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CDAD9B" w14:textId="77777777" w:rsidR="0049304B" w:rsidRPr="00D4555D" w:rsidRDefault="0049304B" w:rsidP="00D4555D">
      <w:pPr>
        <w:pStyle w:val="Title"/>
      </w:pPr>
      <w:bookmarkStart w:id="0" w:name="_Hlk93222534"/>
      <w:r w:rsidRPr="00D4555D">
        <w:t xml:space="preserve">Immunogenicity of </w:t>
      </w:r>
      <w:r w:rsidRPr="00D4555D">
        <w:rPr>
          <w:rFonts w:hint="eastAsia"/>
        </w:rPr>
        <w:t>C</w:t>
      </w:r>
      <w:r w:rsidRPr="00D4555D">
        <w:t xml:space="preserve">OVID-19 Vaccines in Patients with </w:t>
      </w:r>
      <w:r w:rsidRPr="00D4555D">
        <w:rPr>
          <w:rFonts w:hint="eastAsia"/>
        </w:rPr>
        <w:t>Diverse</w:t>
      </w:r>
      <w:r w:rsidRPr="00D4555D">
        <w:t xml:space="preserve"> </w:t>
      </w:r>
      <w:r w:rsidRPr="00D4555D">
        <w:rPr>
          <w:rFonts w:hint="eastAsia"/>
        </w:rPr>
        <w:t>Health</w:t>
      </w:r>
      <w:r w:rsidRPr="00D4555D">
        <w:t xml:space="preserve"> </w:t>
      </w:r>
      <w:r w:rsidRPr="00D4555D">
        <w:rPr>
          <w:rFonts w:hint="eastAsia"/>
        </w:rPr>
        <w:t>Conditions</w:t>
      </w:r>
      <w:r w:rsidRPr="00D4555D">
        <w:t xml:space="preserve">: </w:t>
      </w:r>
      <w:r w:rsidRPr="00D4555D">
        <w:rPr>
          <w:rFonts w:hint="eastAsia"/>
        </w:rPr>
        <w:t>a</w:t>
      </w:r>
      <w:r w:rsidRPr="00D4555D">
        <w:t xml:space="preserve"> Comprehensive </w:t>
      </w:r>
      <w:r w:rsidRPr="00D4555D">
        <w:rPr>
          <w:rFonts w:hint="eastAsia"/>
        </w:rPr>
        <w:t>Systematic</w:t>
      </w:r>
      <w:r w:rsidRPr="00D4555D">
        <w:t xml:space="preserve"> Review </w:t>
      </w:r>
    </w:p>
    <w:p w14:paraId="5A89F2C4" w14:textId="77777777" w:rsidR="0049304B" w:rsidRDefault="0049304B" w:rsidP="0049304B">
      <w:pPr>
        <w:widowControl/>
        <w:wordWrap/>
        <w:autoSpaceDE/>
        <w:autoSpaceDN/>
        <w:rPr>
          <w:rFonts w:ascii="Times New Roman" w:hAnsi="Times New Roman" w:cs="Times New Roman"/>
          <w:b/>
          <w:bCs/>
          <w:sz w:val="24"/>
          <w:szCs w:val="24"/>
        </w:rPr>
      </w:pPr>
    </w:p>
    <w:p w14:paraId="793332C6" w14:textId="2048EF33" w:rsidR="0049304B" w:rsidRPr="00EE0712" w:rsidRDefault="0049304B" w:rsidP="0049304B">
      <w:pPr>
        <w:spacing w:line="480" w:lineRule="auto"/>
        <w:jc w:val="left"/>
        <w:rPr>
          <w:rFonts w:ascii="Times New Roman" w:hAnsi="Times New Roman" w:cs="Times New Roman"/>
          <w:sz w:val="24"/>
          <w:szCs w:val="24"/>
          <w:vertAlign w:val="superscript"/>
        </w:rPr>
      </w:pPr>
      <w:r w:rsidRPr="008E6B65">
        <w:rPr>
          <w:rFonts w:ascii="Times New Roman" w:hAnsi="Times New Roman"/>
          <w:sz w:val="24"/>
          <w:szCs w:val="24"/>
        </w:rPr>
        <w:t>Kyuyeon Cho</w:t>
      </w:r>
      <w:r w:rsidRPr="008E6B65">
        <w:rPr>
          <w:rFonts w:ascii="Times New Roman" w:hAnsi="Times New Roman"/>
          <w:sz w:val="24"/>
          <w:szCs w:val="24"/>
          <w:vertAlign w:val="superscript"/>
        </w:rPr>
        <w:t>1†</w:t>
      </w:r>
      <w:r w:rsidRPr="008E6B65">
        <w:rPr>
          <w:rFonts w:ascii="Times New Roman" w:hAnsi="Times New Roman"/>
          <w:sz w:val="24"/>
          <w:szCs w:val="24"/>
        </w:rPr>
        <w:t>, Seoyeon Park</w:t>
      </w:r>
      <w:r w:rsidRPr="008E6B65">
        <w:rPr>
          <w:rFonts w:ascii="Times New Roman" w:hAnsi="Times New Roman"/>
          <w:sz w:val="24"/>
          <w:szCs w:val="24"/>
          <w:vertAlign w:val="superscript"/>
        </w:rPr>
        <w:t>1†</w:t>
      </w:r>
      <w:r w:rsidRPr="008E6B65">
        <w:rPr>
          <w:rFonts w:ascii="Times New Roman" w:hAnsi="Times New Roman"/>
          <w:sz w:val="24"/>
          <w:szCs w:val="24"/>
        </w:rPr>
        <w:t xml:space="preserve">, </w:t>
      </w:r>
      <w:r>
        <w:rPr>
          <w:rFonts w:ascii="Times New Roman" w:hAnsi="Times New Roman" w:hint="eastAsia"/>
          <w:sz w:val="24"/>
          <w:szCs w:val="24"/>
        </w:rPr>
        <w:t>Eun-Young</w:t>
      </w:r>
      <w:r>
        <w:rPr>
          <w:rFonts w:ascii="Times New Roman" w:hAnsi="Times New Roman"/>
          <w:sz w:val="24"/>
          <w:szCs w:val="24"/>
        </w:rPr>
        <w:t xml:space="preserve"> </w:t>
      </w:r>
      <w:r>
        <w:rPr>
          <w:rFonts w:ascii="Times New Roman" w:hAnsi="Times New Roman" w:hint="eastAsia"/>
          <w:sz w:val="24"/>
          <w:szCs w:val="24"/>
        </w:rPr>
        <w:t>Kim</w:t>
      </w:r>
      <w:r>
        <w:rPr>
          <w:rFonts w:ascii="Times New Roman" w:hAnsi="Times New Roman"/>
          <w:sz w:val="24"/>
          <w:szCs w:val="24"/>
        </w:rPr>
        <w:t xml:space="preserve"> </w:t>
      </w:r>
      <w:r>
        <w:rPr>
          <w:rFonts w:ascii="Times New Roman" w:hAnsi="Times New Roman" w:hint="eastAsia"/>
          <w:sz w:val="24"/>
          <w:szCs w:val="24"/>
        </w:rPr>
        <w:t>PhD</w:t>
      </w:r>
      <w:r w:rsidRPr="00C2000C">
        <w:rPr>
          <w:rFonts w:ascii="Times New Roman" w:hAnsi="Times New Roman" w:hint="eastAsia"/>
          <w:sz w:val="24"/>
          <w:szCs w:val="24"/>
          <w:vertAlign w:val="superscript"/>
        </w:rPr>
        <w:t>2</w:t>
      </w:r>
      <w:r w:rsidRPr="008E6B65">
        <w:rPr>
          <w:rFonts w:ascii="Times New Roman" w:hAnsi="Times New Roman"/>
          <w:sz w:val="24"/>
          <w:szCs w:val="24"/>
          <w:vertAlign w:val="superscript"/>
        </w:rPr>
        <w:t>†</w:t>
      </w:r>
      <w:r>
        <w:rPr>
          <w:rFonts w:ascii="Times New Roman" w:hAnsi="Times New Roman" w:hint="eastAsia"/>
          <w:sz w:val="24"/>
          <w:szCs w:val="24"/>
        </w:rPr>
        <w:t>,</w:t>
      </w:r>
      <w:r>
        <w:rPr>
          <w:rFonts w:ascii="Times New Roman" w:hAnsi="Times New Roman"/>
          <w:sz w:val="24"/>
          <w:szCs w:val="24"/>
        </w:rPr>
        <w:t xml:space="preserve"> </w:t>
      </w:r>
      <w:r w:rsidRPr="008E6B65">
        <w:rPr>
          <w:rFonts w:ascii="Times New Roman" w:hAnsi="Times New Roman"/>
          <w:sz w:val="24"/>
          <w:szCs w:val="24"/>
        </w:rPr>
        <w:t>Ai Koyanagi, M.D.</w:t>
      </w:r>
      <w:r>
        <w:rPr>
          <w:rFonts w:ascii="Times New Roman" w:hAnsi="Times New Roman" w:hint="eastAsia"/>
          <w:sz w:val="24"/>
          <w:szCs w:val="24"/>
          <w:vertAlign w:val="superscript"/>
        </w:rPr>
        <w:t>3</w:t>
      </w:r>
      <w:r w:rsidRPr="008E6B65">
        <w:rPr>
          <w:rFonts w:ascii="Times New Roman" w:hAnsi="Times New Roman"/>
          <w:sz w:val="24"/>
          <w:szCs w:val="24"/>
          <w:vertAlign w:val="superscript"/>
        </w:rPr>
        <w:t xml:space="preserve"> </w:t>
      </w:r>
      <w:r>
        <w:rPr>
          <w:rFonts w:ascii="Times New Roman" w:hAnsi="Times New Roman" w:hint="eastAsia"/>
          <w:sz w:val="24"/>
          <w:szCs w:val="24"/>
          <w:vertAlign w:val="superscript"/>
        </w:rPr>
        <w:t>4</w:t>
      </w:r>
      <w:r w:rsidRPr="008E6B65">
        <w:rPr>
          <w:rFonts w:ascii="Times New Roman" w:hAnsi="Times New Roman"/>
          <w:sz w:val="24"/>
          <w:szCs w:val="24"/>
        </w:rPr>
        <w:t>, Louis Jacob, M.D.</w:t>
      </w:r>
      <w:r w:rsidR="00840735">
        <w:rPr>
          <w:rFonts w:ascii="Times New Roman" w:hAnsi="Times New Roman" w:cs="Times New Roman"/>
          <w:sz w:val="24"/>
          <w:szCs w:val="24"/>
          <w:vertAlign w:val="superscript"/>
        </w:rPr>
        <w:t>4</w:t>
      </w:r>
      <w:r w:rsidRPr="00EE0712">
        <w:rPr>
          <w:rFonts w:ascii="Times New Roman" w:hAnsi="Times New Roman" w:cs="Times New Roman"/>
          <w:sz w:val="24"/>
          <w:szCs w:val="24"/>
          <w:vertAlign w:val="superscript"/>
        </w:rPr>
        <w:t xml:space="preserve"> </w:t>
      </w:r>
      <w:r w:rsidRPr="007B3298">
        <w:rPr>
          <w:rFonts w:ascii="Times New Roman" w:hAnsi="Times New Roman" w:cs="Times New Roman"/>
          <w:sz w:val="24"/>
          <w:szCs w:val="24"/>
          <w:vertAlign w:val="superscript"/>
        </w:rPr>
        <w:t>5</w:t>
      </w:r>
      <w:r w:rsidRPr="00EE0712">
        <w:rPr>
          <w:rFonts w:ascii="Times New Roman" w:hAnsi="Times New Roman" w:cs="Times New Roman"/>
          <w:sz w:val="24"/>
          <w:szCs w:val="24"/>
        </w:rPr>
        <w:t>, Dong Keon Yon, M.D.</w:t>
      </w:r>
      <w:r w:rsidR="00840735">
        <w:rPr>
          <w:rFonts w:ascii="Times New Roman" w:hAnsi="Times New Roman" w:cs="Times New Roman"/>
          <w:sz w:val="24"/>
          <w:szCs w:val="24"/>
          <w:vertAlign w:val="superscript"/>
        </w:rPr>
        <w:t>6</w:t>
      </w:r>
      <w:r w:rsidRPr="00EE0712">
        <w:rPr>
          <w:rFonts w:ascii="Times New Roman" w:hAnsi="Times New Roman" w:cs="Times New Roman"/>
          <w:sz w:val="24"/>
          <w:szCs w:val="24"/>
        </w:rPr>
        <w:t>, Seung Won Lee, M.D.</w:t>
      </w:r>
      <w:r w:rsidR="00840735">
        <w:rPr>
          <w:rFonts w:ascii="Times New Roman" w:hAnsi="Times New Roman" w:cs="Times New Roman"/>
          <w:sz w:val="24"/>
          <w:szCs w:val="24"/>
          <w:vertAlign w:val="superscript"/>
        </w:rPr>
        <w:t>7</w:t>
      </w:r>
      <w:r w:rsidRPr="00EE0712">
        <w:rPr>
          <w:rFonts w:ascii="Times New Roman" w:hAnsi="Times New Roman" w:cs="Times New Roman"/>
          <w:sz w:val="24"/>
          <w:szCs w:val="24"/>
        </w:rPr>
        <w:t>, Min Seo Kim, M.D.</w:t>
      </w:r>
      <w:r w:rsidR="00840735">
        <w:rPr>
          <w:rFonts w:ascii="Times New Roman" w:hAnsi="Times New Roman" w:cs="Times New Roman"/>
          <w:sz w:val="24"/>
          <w:szCs w:val="24"/>
          <w:vertAlign w:val="superscript"/>
        </w:rPr>
        <w:t>8</w:t>
      </w:r>
      <w:r w:rsidRPr="007B3298">
        <w:rPr>
          <w:rFonts w:ascii="Times New Roman" w:hAnsi="Times New Roman" w:cs="Times New Roman"/>
          <w:sz w:val="24"/>
          <w:szCs w:val="24"/>
        </w:rPr>
        <w:t>,</w:t>
      </w:r>
      <w:r w:rsidRPr="00EE0712">
        <w:rPr>
          <w:rFonts w:ascii="Times New Roman" w:hAnsi="Times New Roman" w:cs="Times New Roman"/>
          <w:sz w:val="24"/>
          <w:szCs w:val="24"/>
        </w:rPr>
        <w:t xml:space="preserve"> </w:t>
      </w:r>
      <w:r w:rsidRPr="007B3298">
        <w:rPr>
          <w:rFonts w:ascii="Times New Roman" w:hAnsi="Times New Roman" w:cs="Times New Roman"/>
          <w:sz w:val="24"/>
          <w:szCs w:val="24"/>
        </w:rPr>
        <w:t>Joaquim</w:t>
      </w:r>
      <w:r w:rsidRPr="00EE0712">
        <w:rPr>
          <w:rFonts w:ascii="Times New Roman" w:hAnsi="Times New Roman" w:cs="Times New Roman"/>
          <w:sz w:val="24"/>
          <w:szCs w:val="24"/>
        </w:rPr>
        <w:t xml:space="preserve"> </w:t>
      </w:r>
      <w:r w:rsidRPr="007B3298">
        <w:rPr>
          <w:rFonts w:ascii="Times New Roman" w:hAnsi="Times New Roman" w:cs="Times New Roman"/>
          <w:sz w:val="24"/>
          <w:szCs w:val="24"/>
        </w:rPr>
        <w:t>Radua</w:t>
      </w:r>
      <w:r w:rsidR="00840735">
        <w:rPr>
          <w:rFonts w:ascii="Times New Roman" w:hAnsi="Times New Roman" w:cs="Times New Roman"/>
          <w:sz w:val="24"/>
          <w:szCs w:val="24"/>
          <w:vertAlign w:val="superscript"/>
        </w:rPr>
        <w:t>9</w:t>
      </w:r>
      <w:r w:rsidRPr="00EE0712">
        <w:rPr>
          <w:rFonts w:ascii="Times New Roman" w:hAnsi="Times New Roman" w:cs="Times New Roman"/>
          <w:sz w:val="24"/>
          <w:szCs w:val="24"/>
          <w:vertAlign w:val="superscript"/>
        </w:rPr>
        <w:t xml:space="preserve"> </w:t>
      </w:r>
      <w:r w:rsidRPr="007B3298">
        <w:rPr>
          <w:rFonts w:ascii="Times New Roman" w:hAnsi="Times New Roman" w:cs="Times New Roman"/>
          <w:sz w:val="24"/>
          <w:szCs w:val="24"/>
          <w:vertAlign w:val="superscript"/>
        </w:rPr>
        <w:t>10</w:t>
      </w:r>
      <w:r w:rsidRPr="00EE0712">
        <w:rPr>
          <w:rFonts w:ascii="Times New Roman" w:hAnsi="Times New Roman" w:cs="Times New Roman"/>
          <w:sz w:val="24"/>
          <w:szCs w:val="24"/>
          <w:vertAlign w:val="superscript"/>
        </w:rPr>
        <w:t xml:space="preserve"> </w:t>
      </w:r>
      <w:r w:rsidRPr="007B3298">
        <w:rPr>
          <w:rFonts w:ascii="Times New Roman" w:hAnsi="Times New Roman" w:cs="Times New Roman"/>
          <w:sz w:val="24"/>
          <w:szCs w:val="24"/>
          <w:vertAlign w:val="superscript"/>
        </w:rPr>
        <w:t>11</w:t>
      </w:r>
      <w:r w:rsidR="00840735">
        <w:rPr>
          <w:rFonts w:ascii="Times New Roman" w:hAnsi="Times New Roman" w:cs="Times New Roman"/>
          <w:sz w:val="24"/>
          <w:szCs w:val="24"/>
          <w:vertAlign w:val="superscript"/>
        </w:rPr>
        <w:t xml:space="preserve"> 12</w:t>
      </w:r>
      <w:r w:rsidRPr="00EE0712">
        <w:rPr>
          <w:rFonts w:ascii="Times New Roman" w:hAnsi="Times New Roman" w:cs="Times New Roman"/>
          <w:sz w:val="24"/>
          <w:szCs w:val="24"/>
        </w:rPr>
        <w:t xml:space="preserve">, </w:t>
      </w:r>
      <w:r w:rsidRPr="007B3298">
        <w:rPr>
          <w:rFonts w:ascii="Times New Roman" w:hAnsi="Times New Roman" w:cs="Times New Roman"/>
          <w:sz w:val="24"/>
          <w:szCs w:val="24"/>
        </w:rPr>
        <w:t>Elena,</w:t>
      </w:r>
      <w:r w:rsidRPr="00EE0712">
        <w:rPr>
          <w:rFonts w:ascii="Times New Roman" w:hAnsi="Times New Roman" w:cs="Times New Roman"/>
          <w:sz w:val="24"/>
          <w:szCs w:val="24"/>
        </w:rPr>
        <w:t xml:space="preserve"> </w:t>
      </w:r>
      <w:r w:rsidRPr="007B3298">
        <w:rPr>
          <w:rFonts w:ascii="Times New Roman" w:hAnsi="Times New Roman" w:cs="Times New Roman"/>
          <w:sz w:val="24"/>
          <w:szCs w:val="24"/>
        </w:rPr>
        <w:t>Dragioti</w:t>
      </w:r>
      <w:r w:rsidRPr="007B3298">
        <w:rPr>
          <w:rFonts w:ascii="Times New Roman" w:hAnsi="Times New Roman" w:cs="Times New Roman"/>
          <w:sz w:val="24"/>
          <w:szCs w:val="24"/>
          <w:vertAlign w:val="superscript"/>
        </w:rPr>
        <w:t>1</w:t>
      </w:r>
      <w:r w:rsidR="00840735">
        <w:rPr>
          <w:rFonts w:ascii="Times New Roman" w:hAnsi="Times New Roman" w:cs="Times New Roman"/>
          <w:sz w:val="24"/>
          <w:szCs w:val="24"/>
          <w:vertAlign w:val="superscript"/>
        </w:rPr>
        <w:t>3</w:t>
      </w:r>
      <w:r w:rsidRPr="007B3298">
        <w:rPr>
          <w:rFonts w:ascii="Times New Roman" w:hAnsi="Times New Roman" w:cs="Times New Roman"/>
          <w:sz w:val="24"/>
          <w:szCs w:val="24"/>
        </w:rPr>
        <w:t>,</w:t>
      </w:r>
      <w:r w:rsidRPr="00EE0712">
        <w:rPr>
          <w:rFonts w:ascii="Times New Roman" w:hAnsi="Times New Roman" w:cs="Times New Roman"/>
          <w:sz w:val="24"/>
          <w:szCs w:val="24"/>
        </w:rPr>
        <w:t xml:space="preserve"> Jae Il Shin, M.D.</w:t>
      </w:r>
      <w:r w:rsidRPr="00EE0712">
        <w:rPr>
          <w:rFonts w:ascii="Times New Roman" w:hAnsi="Times New Roman" w:cs="Times New Roman"/>
          <w:sz w:val="24"/>
          <w:szCs w:val="24"/>
          <w:vertAlign w:val="superscript"/>
        </w:rPr>
        <w:t>1</w:t>
      </w:r>
      <w:r w:rsidR="00840735">
        <w:rPr>
          <w:rFonts w:ascii="Times New Roman" w:hAnsi="Times New Roman" w:cs="Times New Roman"/>
          <w:sz w:val="24"/>
          <w:szCs w:val="24"/>
          <w:vertAlign w:val="superscript"/>
        </w:rPr>
        <w:t>4</w:t>
      </w:r>
      <w:r w:rsidRPr="00EE0712">
        <w:rPr>
          <w:rFonts w:ascii="Times New Roman" w:hAnsi="Times New Roman" w:cs="Times New Roman"/>
          <w:sz w:val="24"/>
          <w:szCs w:val="24"/>
          <w:vertAlign w:val="superscript"/>
        </w:rPr>
        <w:t>*</w:t>
      </w:r>
      <w:r w:rsidRPr="00EE0712">
        <w:rPr>
          <w:rFonts w:ascii="Times New Roman" w:hAnsi="Times New Roman" w:cs="Times New Roman"/>
          <w:sz w:val="24"/>
          <w:szCs w:val="24"/>
        </w:rPr>
        <w:t xml:space="preserve"> and Lee Smith, PhD.</w:t>
      </w:r>
      <w:r w:rsidRPr="00EE0712">
        <w:rPr>
          <w:rFonts w:ascii="Times New Roman" w:hAnsi="Times New Roman" w:cs="Times New Roman"/>
          <w:sz w:val="24"/>
          <w:szCs w:val="24"/>
          <w:vertAlign w:val="superscript"/>
        </w:rPr>
        <w:t>1</w:t>
      </w:r>
      <w:r w:rsidR="00840735">
        <w:rPr>
          <w:rFonts w:ascii="Times New Roman" w:hAnsi="Times New Roman" w:cs="Times New Roman"/>
          <w:sz w:val="24"/>
          <w:szCs w:val="24"/>
          <w:vertAlign w:val="superscript"/>
        </w:rPr>
        <w:t>5</w:t>
      </w:r>
    </w:p>
    <w:p w14:paraId="3C2FD383" w14:textId="77777777" w:rsidR="0049304B" w:rsidRPr="00EE0712" w:rsidRDefault="0049304B" w:rsidP="0049304B">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cs="Times New Roman"/>
          <w:sz w:val="24"/>
          <w:szCs w:val="24"/>
        </w:rPr>
      </w:pPr>
      <w:r w:rsidRPr="00EE0712">
        <w:rPr>
          <w:rFonts w:ascii="Times New Roman" w:eastAsia="Times New Roman" w:hAnsi="Times New Roman" w:cs="Times New Roman"/>
          <w:sz w:val="24"/>
          <w:szCs w:val="24"/>
        </w:rPr>
        <w:t>Yonsei University College of Medicine, Seoul, Republic of Korea</w:t>
      </w:r>
    </w:p>
    <w:p w14:paraId="11D20C8E" w14:textId="77777777" w:rsidR="0049304B" w:rsidRPr="00EE0712" w:rsidRDefault="0049304B" w:rsidP="0049304B">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cs="Times New Roman"/>
          <w:sz w:val="24"/>
          <w:szCs w:val="24"/>
        </w:rPr>
      </w:pPr>
      <w:r w:rsidRPr="00EE0712">
        <w:rPr>
          <w:rFonts w:ascii="Times New Roman" w:hAnsi="Times New Roman" w:cs="Times New Roman"/>
          <w:sz w:val="24"/>
          <w:szCs w:val="24"/>
          <w:shd w:val="clear" w:color="auto" w:fill="FFFFFF"/>
        </w:rPr>
        <w:t>Evidence-Based and Clinical Research Laboratory, Department of Health, Social and Clinical Pharmacy, College of Pharmacy, Chung-Ang University, Seoul 06974, Korea</w:t>
      </w:r>
    </w:p>
    <w:p w14:paraId="42384D65" w14:textId="77777777" w:rsidR="0049304B" w:rsidRPr="00840735" w:rsidRDefault="0049304B" w:rsidP="0049304B">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cs="Times New Roman"/>
          <w:sz w:val="24"/>
          <w:szCs w:val="24"/>
          <w:lang w:val="es-ES"/>
        </w:rPr>
      </w:pPr>
      <w:r w:rsidRPr="00840735">
        <w:rPr>
          <w:rFonts w:ascii="Times New Roman" w:hAnsi="Times New Roman" w:cs="Times New Roman"/>
          <w:kern w:val="0"/>
          <w:sz w:val="24"/>
          <w:szCs w:val="24"/>
          <w:lang w:val="es-ES"/>
        </w:rPr>
        <w:t>ICREA, Pg. Lluis Companys 23, 08010, Barcelona, Spain.</w:t>
      </w:r>
    </w:p>
    <w:p w14:paraId="04FE032C" w14:textId="334F7385" w:rsidR="0049304B" w:rsidRPr="00840735" w:rsidRDefault="0049304B" w:rsidP="0049304B">
      <w:pPr>
        <w:pStyle w:val="ListParagraph"/>
        <w:widowControl/>
        <w:numPr>
          <w:ilvl w:val="0"/>
          <w:numId w:val="1"/>
        </w:numPr>
        <w:wordWrap/>
        <w:adjustRightInd w:val="0"/>
        <w:spacing w:after="0" w:line="480" w:lineRule="auto"/>
        <w:ind w:leftChars="0"/>
        <w:jc w:val="left"/>
        <w:rPr>
          <w:rFonts w:ascii="Times New Roman" w:hAnsi="Times New Roman" w:cs="Times New Roman"/>
          <w:kern w:val="0"/>
          <w:sz w:val="24"/>
          <w:szCs w:val="24"/>
        </w:rPr>
      </w:pPr>
      <w:r w:rsidRPr="00840735">
        <w:rPr>
          <w:rFonts w:ascii="Times New Roman" w:hAnsi="Times New Roman" w:cs="Times New Roman"/>
          <w:kern w:val="0"/>
          <w:sz w:val="24"/>
          <w:szCs w:val="24"/>
        </w:rPr>
        <w:t>Research and Development Unit, Parc Sanitari Sant Joan de Déu, CIBERSAM, 08830, Barcelona, Spain.</w:t>
      </w:r>
    </w:p>
    <w:p w14:paraId="0A0F893D" w14:textId="46FED034" w:rsidR="00840735" w:rsidRPr="00840735" w:rsidRDefault="00840735" w:rsidP="0049304B">
      <w:pPr>
        <w:pStyle w:val="ListParagraph"/>
        <w:widowControl/>
        <w:numPr>
          <w:ilvl w:val="0"/>
          <w:numId w:val="1"/>
        </w:numPr>
        <w:wordWrap/>
        <w:adjustRightInd w:val="0"/>
        <w:spacing w:after="0" w:line="480" w:lineRule="auto"/>
        <w:ind w:leftChars="0"/>
        <w:jc w:val="left"/>
        <w:rPr>
          <w:rFonts w:ascii="Times New Roman" w:hAnsi="Times New Roman" w:cs="Times New Roman"/>
          <w:kern w:val="0"/>
          <w:sz w:val="24"/>
          <w:szCs w:val="24"/>
        </w:rPr>
      </w:pPr>
      <w:r w:rsidRPr="00840735">
        <w:rPr>
          <w:rFonts w:ascii="Times New Roman" w:hAnsi="Times New Roman" w:cs="Times New Roman"/>
          <w:sz w:val="24"/>
          <w:szCs w:val="24"/>
        </w:rPr>
        <w:t>Faculty of Medicine, University of Versailles Saint-Quentin-en-Yvelines, 78180 Montigny-le-Bretonneux, France</w:t>
      </w:r>
    </w:p>
    <w:p w14:paraId="1FCC5C8B" w14:textId="77777777" w:rsidR="0049304B" w:rsidRPr="00840735" w:rsidRDefault="0049304B" w:rsidP="0049304B">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cs="Times New Roman"/>
          <w:sz w:val="24"/>
          <w:szCs w:val="24"/>
        </w:rPr>
      </w:pPr>
      <w:r w:rsidRPr="00840735">
        <w:rPr>
          <w:rFonts w:ascii="Times New Roman" w:eastAsia="Times New Roman" w:hAnsi="Times New Roman" w:cs="Times New Roman"/>
          <w:sz w:val="24"/>
          <w:szCs w:val="24"/>
        </w:rPr>
        <w:t>Department of Pediatrics, Seoul National University Hospital, Seoul National University College of Medicine, Seoul, Republic of Korea</w:t>
      </w:r>
    </w:p>
    <w:p w14:paraId="7E0704C1" w14:textId="77777777" w:rsidR="0049304B" w:rsidRPr="00F02592" w:rsidRDefault="0049304B" w:rsidP="0049304B">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cs="Times New Roman"/>
          <w:sz w:val="24"/>
          <w:szCs w:val="24"/>
        </w:rPr>
      </w:pPr>
      <w:r w:rsidRPr="00F02592">
        <w:rPr>
          <w:rFonts w:ascii="Times New Roman" w:eastAsia="Times New Roman" w:hAnsi="Times New Roman"/>
          <w:sz w:val="24"/>
          <w:szCs w:val="24"/>
        </w:rPr>
        <w:t xml:space="preserve">Department of Data Science, Sejong University College of Software Convergence, Seoul, </w:t>
      </w:r>
      <w:r w:rsidRPr="00F02592">
        <w:rPr>
          <w:rFonts w:ascii="Times New Roman" w:eastAsia="Times New Roman" w:hAnsi="Times New Roman" w:cs="Times New Roman"/>
          <w:sz w:val="24"/>
          <w:szCs w:val="24"/>
        </w:rPr>
        <w:t>Republic of Korea</w:t>
      </w:r>
    </w:p>
    <w:p w14:paraId="6E4E4C28" w14:textId="77777777" w:rsidR="0049304B" w:rsidRPr="00F02592" w:rsidRDefault="0049304B" w:rsidP="0049304B">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cs="Times New Roman"/>
          <w:sz w:val="24"/>
          <w:szCs w:val="24"/>
        </w:rPr>
      </w:pPr>
      <w:r w:rsidRPr="00F02592">
        <w:rPr>
          <w:rFonts w:ascii="Times New Roman" w:eastAsia="Times New Roman" w:hAnsi="Times New Roman" w:cs="Times New Roman"/>
          <w:sz w:val="24"/>
          <w:szCs w:val="24"/>
        </w:rPr>
        <w:t>Samsung Advanced Institute for Health Sciences and Technology (SAIHST), Sungkyunkwan University, Samsung Medical Center, Seoul, Republic of Korea</w:t>
      </w:r>
    </w:p>
    <w:p w14:paraId="4CCC9809" w14:textId="77777777" w:rsidR="0049304B" w:rsidRPr="00C2000C" w:rsidRDefault="0049304B" w:rsidP="0049304B">
      <w:pPr>
        <w:widowControl/>
        <w:numPr>
          <w:ilvl w:val="0"/>
          <w:numId w:val="1"/>
        </w:numPr>
        <w:shd w:val="clear" w:color="auto" w:fill="FFFFFF"/>
        <w:wordWrap/>
        <w:autoSpaceDE/>
        <w:autoSpaceDN/>
        <w:spacing w:after="0" w:line="480" w:lineRule="auto"/>
        <w:jc w:val="left"/>
        <w:rPr>
          <w:rFonts w:ascii="Times New Roman" w:eastAsia="Gulim" w:hAnsi="Times New Roman" w:cs="Times New Roman"/>
          <w:kern w:val="0"/>
          <w:sz w:val="24"/>
          <w:szCs w:val="24"/>
        </w:rPr>
      </w:pPr>
      <w:r w:rsidRPr="00C2000C">
        <w:rPr>
          <w:rFonts w:ascii="Times New Roman" w:eastAsia="Gulim" w:hAnsi="Times New Roman" w:cs="Times New Roman"/>
          <w:kern w:val="0"/>
          <w:sz w:val="24"/>
          <w:szCs w:val="24"/>
        </w:rPr>
        <w:t>Early Psychosis: Interventions and Clinical-detection (EPIC) Lab, Department of Psychosis Studies, Institute of Psychiatry, Psychology &amp; Neuroscience, King's College London, London SE5 8AB, UK.</w:t>
      </w:r>
    </w:p>
    <w:p w14:paraId="5FF174B3" w14:textId="77777777" w:rsidR="0049304B" w:rsidRPr="00C2000C" w:rsidRDefault="0049304B" w:rsidP="0049304B">
      <w:pPr>
        <w:widowControl/>
        <w:numPr>
          <w:ilvl w:val="0"/>
          <w:numId w:val="1"/>
        </w:numPr>
        <w:shd w:val="clear" w:color="auto" w:fill="FFFFFF"/>
        <w:wordWrap/>
        <w:autoSpaceDE/>
        <w:autoSpaceDN/>
        <w:spacing w:after="0" w:line="480" w:lineRule="auto"/>
        <w:jc w:val="left"/>
        <w:rPr>
          <w:rFonts w:ascii="Times New Roman" w:eastAsia="Gulim" w:hAnsi="Times New Roman" w:cs="Times New Roman"/>
          <w:kern w:val="0"/>
          <w:sz w:val="24"/>
          <w:szCs w:val="24"/>
        </w:rPr>
      </w:pPr>
      <w:r w:rsidRPr="00C2000C">
        <w:rPr>
          <w:rFonts w:ascii="Times New Roman" w:eastAsia="Gulim" w:hAnsi="Times New Roman" w:cs="Times New Roman"/>
          <w:kern w:val="0"/>
          <w:sz w:val="24"/>
          <w:szCs w:val="24"/>
        </w:rPr>
        <w:lastRenderedPageBreak/>
        <w:t>Mental Health Networking Biomedical Research Centre (CIBERSAM), 08036 Barcelona, Spain.</w:t>
      </w:r>
    </w:p>
    <w:p w14:paraId="4D16D24A" w14:textId="77777777" w:rsidR="0049304B" w:rsidRPr="00C2000C" w:rsidRDefault="0049304B" w:rsidP="0049304B">
      <w:pPr>
        <w:widowControl/>
        <w:numPr>
          <w:ilvl w:val="0"/>
          <w:numId w:val="1"/>
        </w:numPr>
        <w:shd w:val="clear" w:color="auto" w:fill="FFFFFF"/>
        <w:wordWrap/>
        <w:autoSpaceDE/>
        <w:autoSpaceDN/>
        <w:spacing w:after="0" w:line="480" w:lineRule="auto"/>
        <w:jc w:val="left"/>
        <w:rPr>
          <w:rFonts w:ascii="Times New Roman" w:eastAsia="Gulim" w:hAnsi="Times New Roman" w:cs="Times New Roman"/>
          <w:kern w:val="0"/>
          <w:sz w:val="24"/>
          <w:szCs w:val="24"/>
        </w:rPr>
      </w:pPr>
      <w:r w:rsidRPr="00C2000C">
        <w:rPr>
          <w:rFonts w:ascii="Times New Roman" w:eastAsia="Gulim" w:hAnsi="Times New Roman" w:cs="Times New Roman"/>
          <w:kern w:val="0"/>
          <w:sz w:val="24"/>
          <w:szCs w:val="24"/>
        </w:rPr>
        <w:t>Centre for Psychiatry Research, Department of Clinical Neuroscience, Karolinska Institute, 11330 Stockholm, Sweden.</w:t>
      </w:r>
    </w:p>
    <w:p w14:paraId="7F8E43DC" w14:textId="77777777" w:rsidR="0049304B" w:rsidRPr="00F02592" w:rsidRDefault="0049304B" w:rsidP="0049304B">
      <w:pPr>
        <w:widowControl/>
        <w:numPr>
          <w:ilvl w:val="0"/>
          <w:numId w:val="1"/>
        </w:numPr>
        <w:shd w:val="clear" w:color="auto" w:fill="FFFFFF"/>
        <w:wordWrap/>
        <w:autoSpaceDE/>
        <w:autoSpaceDN/>
        <w:spacing w:after="0" w:line="480" w:lineRule="auto"/>
        <w:jc w:val="left"/>
        <w:rPr>
          <w:rFonts w:ascii="Times New Roman" w:eastAsia="Gulim" w:hAnsi="Times New Roman" w:cs="Times New Roman"/>
          <w:kern w:val="0"/>
          <w:sz w:val="24"/>
          <w:szCs w:val="24"/>
        </w:rPr>
      </w:pPr>
      <w:r w:rsidRPr="00C2000C">
        <w:rPr>
          <w:rFonts w:ascii="Times New Roman" w:eastAsia="Gulim" w:hAnsi="Times New Roman" w:cs="Times New Roman"/>
          <w:kern w:val="0"/>
          <w:sz w:val="24"/>
          <w:szCs w:val="24"/>
        </w:rPr>
        <w:t>Institut d'Investigacions Biomèdiques August Pi i Sunyer (IDIBAPS), 08036 Barcelona, Spain.</w:t>
      </w:r>
    </w:p>
    <w:p w14:paraId="0FCE4D1B" w14:textId="77777777" w:rsidR="0049304B" w:rsidRPr="00F02592" w:rsidRDefault="0049304B" w:rsidP="0049304B">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cs="Times New Roman"/>
          <w:sz w:val="24"/>
          <w:szCs w:val="24"/>
        </w:rPr>
      </w:pPr>
      <w:r w:rsidRPr="00F02592">
        <w:rPr>
          <w:rFonts w:ascii="Times New Roman" w:hAnsi="Times New Roman" w:cs="Times New Roman"/>
          <w:sz w:val="24"/>
          <w:szCs w:val="24"/>
          <w:shd w:val="clear" w:color="auto" w:fill="FFFFFF"/>
        </w:rPr>
        <w:t>Pain and Rehabilitation Centre, and Department of Health, Medicine and Caring Sciences, Linköping University, SE-581 85 Linköping, Sweden.</w:t>
      </w:r>
    </w:p>
    <w:p w14:paraId="7870B3C9" w14:textId="77777777" w:rsidR="0049304B" w:rsidRPr="00F02592" w:rsidRDefault="0049304B" w:rsidP="0049304B">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sz w:val="24"/>
          <w:szCs w:val="24"/>
        </w:rPr>
      </w:pPr>
      <w:r w:rsidRPr="00F02592">
        <w:rPr>
          <w:rFonts w:ascii="Times New Roman" w:eastAsia="Times New Roman" w:hAnsi="Times New Roman"/>
          <w:sz w:val="24"/>
          <w:szCs w:val="24"/>
        </w:rPr>
        <w:t>Department of Pediatrics, Yonsei University College of Medicine, Seoul, Republic of Korea</w:t>
      </w:r>
    </w:p>
    <w:p w14:paraId="16AE21F4" w14:textId="77777777" w:rsidR="0049304B" w:rsidRPr="00F02592" w:rsidRDefault="0049304B" w:rsidP="0049304B">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sz w:val="24"/>
          <w:szCs w:val="24"/>
        </w:rPr>
      </w:pPr>
      <w:r w:rsidRPr="00F02592">
        <w:rPr>
          <w:rFonts w:ascii="Times New Roman" w:eastAsia="Times New Roman" w:hAnsi="Times New Roman"/>
          <w:sz w:val="24"/>
          <w:szCs w:val="24"/>
        </w:rPr>
        <w:t>Centre for Health, Performance and Wellbeing, Anglia Ruskin University, Cambridge, UK</w:t>
      </w:r>
    </w:p>
    <w:p w14:paraId="315951E7" w14:textId="77777777" w:rsidR="0049304B" w:rsidRPr="00DD5BE7" w:rsidRDefault="0049304B" w:rsidP="0049304B">
      <w:pPr>
        <w:spacing w:line="480" w:lineRule="auto"/>
        <w:jc w:val="left"/>
        <w:rPr>
          <w:rFonts w:ascii="Times New Roman" w:hAnsi="Times New Roman"/>
          <w:sz w:val="24"/>
          <w:szCs w:val="24"/>
        </w:rPr>
      </w:pPr>
      <w:r w:rsidRPr="008E6B65">
        <w:rPr>
          <w:rFonts w:ascii="Times New Roman" w:hAnsi="Times New Roman"/>
          <w:sz w:val="24"/>
          <w:szCs w:val="24"/>
        </w:rPr>
        <w:t>† Kyuyeon Cho</w:t>
      </w:r>
      <w:r>
        <w:rPr>
          <w:rFonts w:ascii="Times New Roman" w:hAnsi="Times New Roman"/>
          <w:sz w:val="24"/>
          <w:szCs w:val="24"/>
        </w:rPr>
        <w:t xml:space="preserve"> and </w:t>
      </w:r>
      <w:r w:rsidRPr="008E6B65">
        <w:rPr>
          <w:rFonts w:ascii="Times New Roman" w:hAnsi="Times New Roman"/>
          <w:sz w:val="24"/>
          <w:szCs w:val="24"/>
        </w:rPr>
        <w:t>Seoyeon Park</w:t>
      </w:r>
      <w:r>
        <w:rPr>
          <w:rFonts w:ascii="Times New Roman" w:hAnsi="Times New Roman"/>
          <w:sz w:val="24"/>
          <w:szCs w:val="24"/>
        </w:rPr>
        <w:t xml:space="preserve"> </w:t>
      </w:r>
      <w:r w:rsidRPr="008E6B65">
        <w:rPr>
          <w:rFonts w:ascii="Times New Roman" w:hAnsi="Times New Roman"/>
          <w:sz w:val="24"/>
          <w:szCs w:val="24"/>
        </w:rPr>
        <w:t>contributed equally to this article as co-first authors.</w:t>
      </w:r>
    </w:p>
    <w:p w14:paraId="4AA7D09A" w14:textId="77777777" w:rsidR="0049304B" w:rsidRPr="001556E6" w:rsidRDefault="0049304B" w:rsidP="0049304B">
      <w:pPr>
        <w:widowControl/>
        <w:wordWrap/>
        <w:autoSpaceDE/>
        <w:autoSpaceDN/>
        <w:rPr>
          <w:rFonts w:ascii="Times New Roman" w:hAnsi="Times New Roman" w:cs="Times New Roman"/>
          <w:b/>
          <w:bCs/>
          <w:sz w:val="24"/>
          <w:szCs w:val="24"/>
        </w:rPr>
      </w:pPr>
    </w:p>
    <w:p w14:paraId="22FA7AF0" w14:textId="77777777" w:rsidR="0049304B" w:rsidRDefault="0049304B" w:rsidP="0049304B">
      <w:pPr>
        <w:spacing w:line="480" w:lineRule="auto"/>
        <w:jc w:val="left"/>
        <w:rPr>
          <w:rFonts w:ascii="Times New Roman" w:hAnsi="Times New Roman"/>
          <w:color w:val="0000FF"/>
          <w:sz w:val="24"/>
          <w:szCs w:val="24"/>
          <w:u w:val="single"/>
        </w:rPr>
      </w:pPr>
      <w:r w:rsidRPr="00D4555D">
        <w:rPr>
          <w:rStyle w:val="Heading1Char"/>
        </w:rPr>
        <w:t>Corresponding Author</w:t>
      </w:r>
      <w:bookmarkStart w:id="1" w:name="_Hlk534835896"/>
      <w:r w:rsidRPr="008E6B65">
        <w:rPr>
          <w:rFonts w:ascii="Times New Roman" w:hAnsi="Times New Roman"/>
          <w:sz w:val="24"/>
          <w:szCs w:val="24"/>
        </w:rPr>
        <w:br/>
        <w:t>Prof. Jae Il Shin, MD</w:t>
      </w:r>
      <w:r>
        <w:rPr>
          <w:rFonts w:ascii="Times New Roman" w:hAnsi="Times New Roman"/>
          <w:sz w:val="24"/>
          <w:szCs w:val="24"/>
        </w:rPr>
        <w:t>, PhD</w:t>
      </w:r>
      <w:r w:rsidRPr="008E6B65">
        <w:rPr>
          <w:rFonts w:ascii="Times New Roman" w:hAnsi="Times New Roman"/>
          <w:sz w:val="24"/>
          <w:szCs w:val="24"/>
        </w:rPr>
        <w:t xml:space="preserve">. </w:t>
      </w:r>
      <w:r w:rsidRPr="008E6B65">
        <w:rPr>
          <w:rFonts w:ascii="Times New Roman" w:hAnsi="Times New Roman"/>
          <w:sz w:val="24"/>
          <w:szCs w:val="24"/>
        </w:rPr>
        <w:br/>
        <w:t>Address: 50-1 Yonsei-ro, Seodaemun-gu, C.P.O. Box 8044, Department of Pediatrics, Yonsei University College of Medicine, Seoul 03722, Korea</w:t>
      </w:r>
      <w:r w:rsidRPr="008E6B65">
        <w:rPr>
          <w:rFonts w:ascii="Times New Roman" w:hAnsi="Times New Roman"/>
          <w:sz w:val="24"/>
          <w:szCs w:val="24"/>
        </w:rPr>
        <w:br/>
        <w:t xml:space="preserve">Tel.: +82-2-2228-2050; Fax: +82-2-393-9118; E-mail: </w:t>
      </w:r>
      <w:hyperlink r:id="rId7" w:history="1">
        <w:r w:rsidRPr="008E6B65">
          <w:rPr>
            <w:rStyle w:val="Hyperlink"/>
            <w:rFonts w:ascii="Times New Roman" w:hAnsi="Times New Roman"/>
            <w:sz w:val="24"/>
            <w:szCs w:val="24"/>
          </w:rPr>
          <w:t>shinji@yuhs.ac</w:t>
        </w:r>
      </w:hyperlink>
      <w:bookmarkEnd w:id="1"/>
      <w:r>
        <w:rPr>
          <w:rFonts w:ascii="Times New Roman" w:hAnsi="Times New Roman"/>
          <w:color w:val="0000FF"/>
          <w:sz w:val="24"/>
          <w:szCs w:val="24"/>
          <w:u w:val="single"/>
        </w:rPr>
        <w:t xml:space="preserve"> </w:t>
      </w:r>
    </w:p>
    <w:p w14:paraId="7E4B1E9A" w14:textId="77777777" w:rsidR="0049304B" w:rsidRDefault="0049304B" w:rsidP="0049304B">
      <w:pPr>
        <w:widowControl/>
        <w:wordWrap/>
        <w:autoSpaceDE/>
        <w:autoSpaceDN/>
        <w:rPr>
          <w:rFonts w:ascii="Times New Roman" w:hAnsi="Times New Roman" w:cs="Times New Roman"/>
          <w:b/>
          <w:bCs/>
          <w:sz w:val="24"/>
          <w:szCs w:val="24"/>
        </w:rPr>
      </w:pPr>
    </w:p>
    <w:p w14:paraId="22E1FCD9" w14:textId="77777777" w:rsidR="0049304B" w:rsidRPr="00AE33CC" w:rsidRDefault="0049304B" w:rsidP="00AE33CC">
      <w:pPr>
        <w:rPr>
          <w:rFonts w:ascii="Times New Roman" w:hAnsi="Times New Roman" w:cs="Times New Roman"/>
          <w:b/>
          <w:bCs/>
          <w:sz w:val="24"/>
          <w:szCs w:val="24"/>
        </w:rPr>
      </w:pPr>
      <w:r w:rsidRPr="00AE33CC">
        <w:rPr>
          <w:rFonts w:ascii="Times New Roman" w:hAnsi="Times New Roman" w:cs="Times New Roman"/>
          <w:b/>
          <w:bCs/>
          <w:sz w:val="24"/>
          <w:szCs w:val="24"/>
        </w:rPr>
        <w:t>Shortened title</w:t>
      </w:r>
    </w:p>
    <w:p w14:paraId="52ADD0E5" w14:textId="77777777" w:rsidR="0049304B" w:rsidRPr="00554AB0" w:rsidRDefault="0049304B" w:rsidP="0049304B">
      <w:pPr>
        <w:widowControl/>
        <w:wordWrap/>
        <w:autoSpaceDE/>
        <w:autoSpaceDN/>
        <w:rPr>
          <w:rFonts w:ascii="Times New Roman" w:hAnsi="Times New Roman" w:cs="Times New Roman"/>
          <w:sz w:val="24"/>
          <w:szCs w:val="24"/>
        </w:rPr>
      </w:pPr>
      <w:r w:rsidRPr="00554AB0">
        <w:rPr>
          <w:rFonts w:ascii="Times New Roman" w:hAnsi="Times New Roman" w:cs="Times New Roman"/>
          <w:sz w:val="24"/>
          <w:szCs w:val="24"/>
        </w:rPr>
        <w:t xml:space="preserve">Immunogenicity of </w:t>
      </w:r>
      <w:r w:rsidRPr="00554AB0">
        <w:rPr>
          <w:rFonts w:ascii="Times New Roman" w:hAnsi="Times New Roman" w:cs="Times New Roman" w:hint="eastAsia"/>
          <w:sz w:val="24"/>
          <w:szCs w:val="24"/>
        </w:rPr>
        <w:t>C</w:t>
      </w:r>
      <w:r w:rsidRPr="00554AB0">
        <w:rPr>
          <w:rFonts w:ascii="Times New Roman" w:hAnsi="Times New Roman" w:cs="Times New Roman"/>
          <w:sz w:val="24"/>
          <w:szCs w:val="24"/>
        </w:rPr>
        <w:t xml:space="preserve">OVID-19 Vaccines </w:t>
      </w:r>
      <w:bookmarkEnd w:id="0"/>
      <w:r w:rsidRPr="00554AB0">
        <w:rPr>
          <w:rFonts w:ascii="Times New Roman" w:hAnsi="Times New Roman" w:cs="Times New Roman"/>
          <w:sz w:val="24"/>
          <w:szCs w:val="24"/>
        </w:rPr>
        <w:br w:type="page"/>
      </w:r>
    </w:p>
    <w:p w14:paraId="7133C6A4" w14:textId="77777777" w:rsidR="0049304B" w:rsidRDefault="0049304B" w:rsidP="00D4555D">
      <w:pPr>
        <w:pStyle w:val="Heading1"/>
      </w:pPr>
      <w:r>
        <w:rPr>
          <w:rFonts w:hint="eastAsia"/>
        </w:rPr>
        <w:lastRenderedPageBreak/>
        <w:t>A</w:t>
      </w:r>
      <w:r>
        <w:t xml:space="preserve">bstract </w:t>
      </w:r>
    </w:p>
    <w:p w14:paraId="6A587F88" w14:textId="77777777" w:rsidR="0049304B" w:rsidRDefault="0049304B" w:rsidP="0049304B">
      <w:pPr>
        <w:widowControl/>
        <w:wordWrap/>
        <w:autoSpaceDE/>
        <w:autoSpaceDN/>
        <w:rPr>
          <w:rFonts w:ascii="Times New Roman" w:hAnsi="Times New Roman" w:cs="Times New Roman"/>
          <w:b/>
          <w:bCs/>
          <w:sz w:val="24"/>
          <w:szCs w:val="24"/>
        </w:rPr>
      </w:pPr>
    </w:p>
    <w:p w14:paraId="60216B48" w14:textId="77777777" w:rsidR="0049304B" w:rsidRDefault="0049304B" w:rsidP="0049304B">
      <w:pPr>
        <w:widowControl/>
        <w:wordWrap/>
        <w:autoSpaceDE/>
        <w:autoSpaceDN/>
        <w:spacing w:line="480" w:lineRule="auto"/>
        <w:rPr>
          <w:rFonts w:ascii="Times New Roman" w:hAnsi="Times New Roman" w:cs="Times New Roman"/>
          <w:sz w:val="24"/>
          <w:szCs w:val="24"/>
        </w:rPr>
      </w:pPr>
      <w:r>
        <w:rPr>
          <w:rFonts w:ascii="Times New Roman" w:hAnsi="Times New Roman" w:cs="Times New Roman"/>
          <w:sz w:val="24"/>
          <w:szCs w:val="24"/>
        </w:rPr>
        <w:t xml:space="preserve">It remains unclear how effective COVID-19 vaccinations will be in patients with weakened immunity due to diseases, transplantation, and dialysis. We conducted a systematic review comparing the efficacy of COVID-19 vaccination in patients with solid tumor, hematologic malignancy, autoimmune disease, inflammatory bowel disease, and patients who received transplantation or dialysis. A literature search was conducted twice using the Medline/PubMed database. As a result, 21 papers were included in the review, and seropositivity rate was summarized by specific type of disease, transplantation, and dialysis. When different papers studied the same type of patient group, a study with a higher number of participants was selected. Most of the solid tumor patients showed a seropositivity rate of more than 80% after the second inoculation, but a low seropositivity was found in certain tumors such as breast cancer. Research in patients with certain types of hematological malignancy and autoimmune diseases has also reported low seropositivity, and this may have been affected by the immunosuppressive treatment these patients receive. Research in patients receiving dialysis or transplantation has reported lower seropositivity rates than the general population, while all patients with inflammatory bowel disease have converted to be seropositive. Meta-analysis validating these results will be needed, and studies will also be needed on methods to protect patients with reduced immunity from COVID-19. </w:t>
      </w:r>
    </w:p>
    <w:p w14:paraId="7D1D920D" w14:textId="77777777" w:rsidR="0049304B" w:rsidRDefault="0049304B" w:rsidP="0049304B">
      <w:pPr>
        <w:widowControl/>
        <w:wordWrap/>
        <w:autoSpaceDE/>
        <w:autoSpaceDN/>
        <w:spacing w:line="480" w:lineRule="auto"/>
        <w:rPr>
          <w:rFonts w:ascii="Times New Roman" w:hAnsi="Times New Roman" w:cs="Times New Roman"/>
          <w:sz w:val="24"/>
          <w:szCs w:val="24"/>
        </w:rPr>
      </w:pPr>
    </w:p>
    <w:p w14:paraId="72790850" w14:textId="77777777" w:rsidR="0049304B" w:rsidRPr="00FC19D8" w:rsidRDefault="0049304B" w:rsidP="00D4555D">
      <w:pPr>
        <w:pStyle w:val="Heading1"/>
      </w:pPr>
      <w:r w:rsidRPr="00FC19D8">
        <w:rPr>
          <w:rFonts w:hint="eastAsia"/>
        </w:rPr>
        <w:t>K</w:t>
      </w:r>
      <w:r w:rsidRPr="00FC19D8">
        <w:t>eywords</w:t>
      </w:r>
    </w:p>
    <w:p w14:paraId="2840CE30" w14:textId="77777777" w:rsidR="0049304B" w:rsidRPr="00FC19D8" w:rsidRDefault="0049304B" w:rsidP="0049304B">
      <w:pPr>
        <w:widowControl/>
        <w:wordWrap/>
        <w:autoSpaceDE/>
        <w:autoSpaceDN/>
        <w:rPr>
          <w:rFonts w:ascii="Times New Roman" w:hAnsi="Times New Roman" w:cs="Times New Roman"/>
          <w:sz w:val="24"/>
          <w:szCs w:val="24"/>
        </w:rPr>
      </w:pPr>
      <w:r w:rsidRPr="00FC19D8">
        <w:rPr>
          <w:rFonts w:ascii="Times New Roman" w:hAnsi="Times New Roman" w:cs="Times New Roman" w:hint="eastAsia"/>
          <w:sz w:val="24"/>
          <w:szCs w:val="24"/>
        </w:rPr>
        <w:t>C</w:t>
      </w:r>
      <w:r w:rsidRPr="00FC19D8">
        <w:rPr>
          <w:rFonts w:ascii="Times New Roman" w:hAnsi="Times New Roman" w:cs="Times New Roman"/>
          <w:sz w:val="24"/>
          <w:szCs w:val="24"/>
        </w:rPr>
        <w:t xml:space="preserve">OVID-19, </w:t>
      </w:r>
      <w:r>
        <w:rPr>
          <w:rFonts w:ascii="Times New Roman" w:hAnsi="Times New Roman" w:cs="Times New Roman"/>
          <w:sz w:val="24"/>
          <w:szCs w:val="24"/>
        </w:rPr>
        <w:t xml:space="preserve">vaccine, </w:t>
      </w:r>
      <w:r w:rsidRPr="00FC19D8">
        <w:rPr>
          <w:rFonts w:ascii="Times New Roman" w:hAnsi="Times New Roman" w:cs="Times New Roman"/>
          <w:sz w:val="24"/>
          <w:szCs w:val="24"/>
        </w:rPr>
        <w:t>seropositivity, immunogenicity, health status</w:t>
      </w:r>
    </w:p>
    <w:p w14:paraId="5932DB48" w14:textId="77777777" w:rsidR="0049304B" w:rsidRDefault="0049304B" w:rsidP="0049304B">
      <w:pPr>
        <w:widowControl/>
        <w:wordWrap/>
        <w:autoSpaceDE/>
        <w:autoSpaceDN/>
        <w:rPr>
          <w:rFonts w:ascii="Times New Roman" w:hAnsi="Times New Roman" w:cs="Times New Roman"/>
          <w:b/>
          <w:bCs/>
          <w:sz w:val="24"/>
          <w:szCs w:val="24"/>
        </w:rPr>
      </w:pPr>
      <w:r>
        <w:rPr>
          <w:rFonts w:ascii="Times New Roman" w:hAnsi="Times New Roman" w:cs="Times New Roman"/>
          <w:b/>
          <w:bCs/>
          <w:sz w:val="24"/>
          <w:szCs w:val="24"/>
        </w:rPr>
        <w:br w:type="page"/>
      </w:r>
    </w:p>
    <w:p w14:paraId="0F133CD0" w14:textId="77777777" w:rsidR="0049304B" w:rsidRPr="00DE626E" w:rsidRDefault="0049304B" w:rsidP="00D4555D">
      <w:pPr>
        <w:pStyle w:val="Heading1"/>
      </w:pPr>
      <w:r w:rsidRPr="00DE626E">
        <w:lastRenderedPageBreak/>
        <w:t>Introduction</w:t>
      </w:r>
    </w:p>
    <w:p w14:paraId="7010C15D" w14:textId="6710B98C" w:rsidR="0049304B" w:rsidRPr="00DE626E" w:rsidRDefault="0049304B" w:rsidP="0049304B">
      <w:pPr>
        <w:spacing w:line="480" w:lineRule="auto"/>
        <w:rPr>
          <w:rFonts w:ascii="Times New Roman" w:hAnsi="Times New Roman" w:cs="Times New Roman"/>
          <w:sz w:val="24"/>
          <w:szCs w:val="24"/>
        </w:rPr>
      </w:pPr>
      <w:r w:rsidRPr="00DE626E">
        <w:rPr>
          <w:rFonts w:ascii="Times New Roman" w:hAnsi="Times New Roman" w:cs="Times New Roman"/>
          <w:sz w:val="24"/>
          <w:szCs w:val="24"/>
        </w:rPr>
        <w:t xml:space="preserve">Coronavirus Disease 2019 (COVID-19) has been a major threat to global health since December 2019. </w:t>
      </w:r>
      <w:r>
        <w:rPr>
          <w:rFonts w:ascii="Times New Roman" w:hAnsi="Times New Roman" w:cs="Times New Roman"/>
          <w:sz w:val="24"/>
          <w:szCs w:val="24"/>
        </w:rPr>
        <w:t xml:space="preserve">COVID-19 is </w:t>
      </w:r>
      <w:r w:rsidRPr="00DE626E">
        <w:rPr>
          <w:rFonts w:ascii="Times New Roman" w:hAnsi="Times New Roman" w:cs="Times New Roman"/>
          <w:sz w:val="24"/>
          <w:szCs w:val="24"/>
        </w:rPr>
        <w:t>caused by the virus called severe acute respiratory syndrome coronavirus 2 (SARS-CoV-2)</w:t>
      </w:r>
      <w:r w:rsidRPr="00DD4AC8">
        <w:rPr>
          <w:rFonts w:ascii="Times New Roman" w:hAnsi="Times New Roman" w:cs="Times New Roman"/>
          <w:sz w:val="24"/>
          <w:szCs w:val="24"/>
          <w:vertAlign w:val="superscript"/>
        </w:rPr>
        <w:t>1</w:t>
      </w:r>
      <w:r w:rsidRPr="00DE626E">
        <w:rPr>
          <w:rFonts w:ascii="Times New Roman" w:hAnsi="Times New Roman" w:cs="Times New Roman"/>
          <w:sz w:val="24"/>
          <w:szCs w:val="24"/>
        </w:rPr>
        <w:t>. Common symptoms of the disease included fever, cough, and myalgia</w:t>
      </w:r>
      <w:r w:rsidRPr="00DD4AC8">
        <w:rPr>
          <w:rFonts w:ascii="Times New Roman" w:hAnsi="Times New Roman" w:cs="Times New Roman"/>
          <w:sz w:val="24"/>
          <w:szCs w:val="24"/>
          <w:vertAlign w:val="superscript"/>
        </w:rPr>
        <w:t>2</w:t>
      </w:r>
      <w:r w:rsidRPr="00DE626E">
        <w:rPr>
          <w:rFonts w:ascii="Times New Roman" w:hAnsi="Times New Roman" w:cs="Times New Roman"/>
          <w:sz w:val="24"/>
          <w:szCs w:val="24"/>
        </w:rPr>
        <w:t xml:space="preserve">. A pandemic was declared by the World Health Organization (WHO), and according to </w:t>
      </w:r>
      <w:r>
        <w:rPr>
          <w:rFonts w:ascii="Times New Roman" w:hAnsi="Times New Roman" w:cs="Times New Roman"/>
          <w:sz w:val="24"/>
          <w:szCs w:val="24"/>
        </w:rPr>
        <w:t>WHO</w:t>
      </w:r>
      <w:r w:rsidRPr="00DE626E">
        <w:rPr>
          <w:rFonts w:ascii="Times New Roman" w:hAnsi="Times New Roman" w:cs="Times New Roman"/>
          <w:sz w:val="24"/>
          <w:szCs w:val="24"/>
        </w:rPr>
        <w:t xml:space="preserve">, the cumulative number of confirmed cases worldwide was </w:t>
      </w:r>
      <w:r w:rsidR="00840735">
        <w:rPr>
          <w:rFonts w:ascii="Times New Roman" w:hAnsi="Times New Roman" w:cs="Times New Roman"/>
          <w:sz w:val="24"/>
          <w:szCs w:val="24"/>
        </w:rPr>
        <w:t>304</w:t>
      </w:r>
      <w:r w:rsidRPr="00DE626E">
        <w:rPr>
          <w:rFonts w:ascii="Times New Roman" w:hAnsi="Times New Roman" w:cs="Times New Roman"/>
          <w:sz w:val="24"/>
          <w:szCs w:val="24"/>
        </w:rPr>
        <w:t xml:space="preserve"> million and the death toll was 5.</w:t>
      </w:r>
      <w:r w:rsidR="00840735">
        <w:rPr>
          <w:rFonts w:ascii="Times New Roman" w:hAnsi="Times New Roman" w:cs="Times New Roman"/>
          <w:sz w:val="24"/>
          <w:szCs w:val="24"/>
        </w:rPr>
        <w:t>4</w:t>
      </w:r>
      <w:r w:rsidRPr="00DE626E">
        <w:rPr>
          <w:rFonts w:ascii="Times New Roman" w:hAnsi="Times New Roman" w:cs="Times New Roman"/>
          <w:sz w:val="24"/>
          <w:szCs w:val="24"/>
        </w:rPr>
        <w:t xml:space="preserve"> million as of </w:t>
      </w:r>
      <w:r w:rsidR="00840735">
        <w:rPr>
          <w:rFonts w:ascii="Times New Roman" w:hAnsi="Times New Roman" w:cs="Times New Roman"/>
          <w:sz w:val="24"/>
          <w:szCs w:val="24"/>
        </w:rPr>
        <w:t>11</w:t>
      </w:r>
      <w:r>
        <w:rPr>
          <w:rFonts w:ascii="Times New Roman" w:hAnsi="Times New Roman" w:cs="Times New Roman"/>
          <w:sz w:val="24"/>
          <w:szCs w:val="24"/>
        </w:rPr>
        <w:t xml:space="preserve"> </w:t>
      </w:r>
      <w:r w:rsidR="00840735">
        <w:rPr>
          <w:rFonts w:ascii="Times New Roman" w:hAnsi="Times New Roman" w:cs="Times New Roman" w:hint="eastAsia"/>
          <w:sz w:val="24"/>
          <w:szCs w:val="24"/>
        </w:rPr>
        <w:t>J</w:t>
      </w:r>
      <w:r w:rsidR="00840735">
        <w:rPr>
          <w:rFonts w:ascii="Times New Roman" w:hAnsi="Times New Roman" w:cs="Times New Roman"/>
          <w:sz w:val="24"/>
          <w:szCs w:val="24"/>
        </w:rPr>
        <w:t>anuary</w:t>
      </w:r>
      <w:r w:rsidRPr="00DE626E">
        <w:rPr>
          <w:rFonts w:ascii="Times New Roman" w:hAnsi="Times New Roman" w:cs="Times New Roman"/>
          <w:sz w:val="24"/>
          <w:szCs w:val="24"/>
        </w:rPr>
        <w:t xml:space="preserve"> 202</w:t>
      </w:r>
      <w:r w:rsidR="00840735">
        <w:rPr>
          <w:rFonts w:ascii="Times New Roman" w:hAnsi="Times New Roman" w:cs="Times New Roman"/>
          <w:sz w:val="24"/>
          <w:szCs w:val="24"/>
        </w:rPr>
        <w:t>2</w:t>
      </w:r>
      <w:r w:rsidRPr="00DD4AC8">
        <w:rPr>
          <w:rFonts w:ascii="Times New Roman" w:hAnsi="Times New Roman" w:cs="Times New Roman"/>
          <w:sz w:val="24"/>
          <w:szCs w:val="24"/>
          <w:vertAlign w:val="superscript"/>
        </w:rPr>
        <w:t>3</w:t>
      </w:r>
      <w:r w:rsidRPr="00DE626E">
        <w:rPr>
          <w:rFonts w:ascii="Times New Roman" w:hAnsi="Times New Roman" w:cs="Times New Roman"/>
          <w:sz w:val="24"/>
          <w:szCs w:val="24"/>
        </w:rPr>
        <w:t xml:space="preserve">. COVID-19 </w:t>
      </w:r>
      <w:r>
        <w:rPr>
          <w:rFonts w:ascii="Times New Roman" w:hAnsi="Times New Roman" w:cs="Times New Roman"/>
          <w:sz w:val="24"/>
          <w:szCs w:val="24"/>
        </w:rPr>
        <w:t xml:space="preserve">has </w:t>
      </w:r>
      <w:r w:rsidRPr="00DE626E">
        <w:rPr>
          <w:rFonts w:ascii="Times New Roman" w:hAnsi="Times New Roman" w:cs="Times New Roman"/>
          <w:sz w:val="24"/>
          <w:szCs w:val="24"/>
        </w:rPr>
        <w:t xml:space="preserve">also </w:t>
      </w:r>
      <w:r>
        <w:rPr>
          <w:rFonts w:ascii="Times New Roman" w:hAnsi="Times New Roman" w:cs="Times New Roman"/>
          <w:sz w:val="24"/>
          <w:szCs w:val="24"/>
        </w:rPr>
        <w:t>resulted in multiple detrimental social, economic, and environmental outcomes</w:t>
      </w:r>
      <w:r w:rsidRPr="00DE626E">
        <w:rPr>
          <w:rFonts w:ascii="Times New Roman" w:hAnsi="Times New Roman" w:cs="Times New Roman"/>
          <w:sz w:val="24"/>
          <w:szCs w:val="24"/>
        </w:rPr>
        <w:t xml:space="preserve">, such as </w:t>
      </w:r>
      <w:r>
        <w:rPr>
          <w:rFonts w:ascii="Times New Roman" w:hAnsi="Times New Roman" w:cs="Times New Roman"/>
          <w:sz w:val="24"/>
          <w:szCs w:val="24"/>
        </w:rPr>
        <w:t xml:space="preserve">strained medical facilities and </w:t>
      </w:r>
      <w:r w:rsidRPr="00DE626E">
        <w:rPr>
          <w:rFonts w:ascii="Times New Roman" w:hAnsi="Times New Roman" w:cs="Times New Roman"/>
          <w:sz w:val="24"/>
          <w:szCs w:val="24"/>
        </w:rPr>
        <w:t xml:space="preserve">job cuts in several industries, </w:t>
      </w:r>
      <w:r w:rsidRPr="00DD4AC8">
        <w:rPr>
          <w:rFonts w:ascii="Times New Roman" w:hAnsi="Times New Roman" w:cs="Times New Roman"/>
          <w:sz w:val="24"/>
          <w:szCs w:val="24"/>
          <w:vertAlign w:val="superscript"/>
        </w:rPr>
        <w:t>4</w:t>
      </w:r>
      <w:r w:rsidRPr="00DE626E">
        <w:rPr>
          <w:rFonts w:ascii="Times New Roman" w:hAnsi="Times New Roman" w:cs="Times New Roman"/>
          <w:sz w:val="24"/>
          <w:szCs w:val="24"/>
        </w:rPr>
        <w:t xml:space="preserve">. </w:t>
      </w:r>
    </w:p>
    <w:p w14:paraId="4DD709C4" w14:textId="388C85D5" w:rsidR="0049304B" w:rsidRPr="00DE626E" w:rsidRDefault="0049304B" w:rsidP="0049304B">
      <w:pPr>
        <w:spacing w:line="480" w:lineRule="auto"/>
        <w:ind w:firstLineChars="50" w:firstLine="120"/>
        <w:rPr>
          <w:rFonts w:ascii="Times New Roman" w:hAnsi="Times New Roman" w:cs="Times New Roman"/>
          <w:sz w:val="24"/>
          <w:szCs w:val="24"/>
        </w:rPr>
      </w:pPr>
      <w:r w:rsidRPr="00DE626E">
        <w:rPr>
          <w:rFonts w:ascii="Times New Roman" w:hAnsi="Times New Roman" w:cs="Times New Roman"/>
          <w:sz w:val="24"/>
          <w:szCs w:val="24"/>
        </w:rPr>
        <w:t xml:space="preserve">In order to counter the threat of COVID-19, countries around the world </w:t>
      </w:r>
      <w:r>
        <w:rPr>
          <w:rFonts w:ascii="Times New Roman" w:hAnsi="Times New Roman" w:cs="Times New Roman"/>
          <w:sz w:val="24"/>
          <w:szCs w:val="24"/>
        </w:rPr>
        <w:t xml:space="preserve">have shifted resources to rapid and intensive COVID-19 </w:t>
      </w:r>
      <w:r w:rsidRPr="00DE626E">
        <w:rPr>
          <w:rFonts w:ascii="Times New Roman" w:hAnsi="Times New Roman" w:cs="Times New Roman"/>
          <w:sz w:val="24"/>
          <w:szCs w:val="24"/>
        </w:rPr>
        <w:t>vaccine development</w:t>
      </w:r>
      <w:r w:rsidRPr="00DD4AC8">
        <w:rPr>
          <w:rFonts w:ascii="Times New Roman" w:hAnsi="Times New Roman" w:cs="Times New Roman"/>
          <w:sz w:val="24"/>
          <w:szCs w:val="24"/>
          <w:vertAlign w:val="superscript"/>
        </w:rPr>
        <w:t>5</w:t>
      </w:r>
      <w:r w:rsidRPr="00DE626E">
        <w:rPr>
          <w:rFonts w:ascii="Times New Roman" w:hAnsi="Times New Roman" w:cs="Times New Roman"/>
          <w:sz w:val="24"/>
          <w:szCs w:val="24"/>
        </w:rPr>
        <w:t xml:space="preserve">. </w:t>
      </w:r>
      <w:r w:rsidR="006B1877" w:rsidRPr="00365473">
        <w:rPr>
          <w:rFonts w:ascii="Times New Roman" w:hAnsi="Times New Roman" w:cs="Times New Roman"/>
          <w:sz w:val="24"/>
          <w:szCs w:val="24"/>
          <w:shd w:val="clear" w:color="auto" w:fill="FFFFFF"/>
        </w:rPr>
        <w:t>As of Febraury 24, ten vaccines have been granted emergency use listing by WHO</w:t>
      </w:r>
      <w:r w:rsidR="006B1877" w:rsidRPr="00365473">
        <w:rPr>
          <w:rFonts w:ascii="Times New Roman" w:hAnsi="Times New Roman" w:cs="Times New Roman"/>
          <w:sz w:val="24"/>
          <w:szCs w:val="24"/>
          <w:shd w:val="clear" w:color="auto" w:fill="FFFFFF"/>
          <w:vertAlign w:val="superscript"/>
        </w:rPr>
        <w:t>6</w:t>
      </w:r>
      <w:r w:rsidR="006B1877" w:rsidRPr="00365473">
        <w:rPr>
          <w:rFonts w:ascii="Times New Roman" w:hAnsi="Times New Roman" w:cs="Times New Roman"/>
          <w:sz w:val="24"/>
          <w:szCs w:val="24"/>
          <w:shd w:val="clear" w:color="auto" w:fill="FFFFFF"/>
        </w:rPr>
        <w:t>.</w:t>
      </w:r>
      <w:r w:rsidR="006B1877">
        <w:rPr>
          <w:rFonts w:ascii="Times New Roman" w:hAnsi="Times New Roman" w:cs="Times New Roman"/>
          <w:sz w:val="24"/>
          <w:szCs w:val="24"/>
        </w:rPr>
        <w:t xml:space="preserve"> </w:t>
      </w:r>
      <w:r w:rsidRPr="00DE626E">
        <w:rPr>
          <w:rFonts w:ascii="Times New Roman" w:hAnsi="Times New Roman" w:cs="Times New Roman"/>
          <w:sz w:val="24"/>
          <w:szCs w:val="24"/>
        </w:rPr>
        <w:t>There are two types of RNA-based vaccines that contain RNA that makes viral protein, two types of inactivated vaccines that contain copies of already dead viruses, and the other three types are vaccines made of non-replicated viral vectors</w:t>
      </w:r>
      <w:r w:rsidRPr="00DD4AC8">
        <w:rPr>
          <w:rFonts w:ascii="Times New Roman" w:hAnsi="Times New Roman" w:cs="Times New Roman"/>
          <w:sz w:val="24"/>
          <w:szCs w:val="24"/>
          <w:vertAlign w:val="superscript"/>
        </w:rPr>
        <w:t>7</w:t>
      </w:r>
      <w:r w:rsidRPr="00DE626E">
        <w:rPr>
          <w:rFonts w:ascii="Times New Roman" w:hAnsi="Times New Roman" w:cs="Times New Roman"/>
          <w:sz w:val="24"/>
          <w:szCs w:val="24"/>
        </w:rPr>
        <w:t xml:space="preserve">. In addition, although </w:t>
      </w:r>
      <w:r>
        <w:rPr>
          <w:rFonts w:ascii="Times New Roman" w:hAnsi="Times New Roman" w:cs="Times New Roman"/>
          <w:sz w:val="24"/>
          <w:szCs w:val="24"/>
        </w:rPr>
        <w:t xml:space="preserve">not </w:t>
      </w:r>
      <w:r w:rsidRPr="00DE626E">
        <w:rPr>
          <w:rFonts w:ascii="Times New Roman" w:hAnsi="Times New Roman" w:cs="Times New Roman"/>
          <w:sz w:val="24"/>
          <w:szCs w:val="24"/>
        </w:rPr>
        <w:t xml:space="preserve">approved by WHO, there are several vaccines used in each country. As of </w:t>
      </w:r>
      <w:r>
        <w:rPr>
          <w:rFonts w:ascii="Times New Roman" w:hAnsi="Times New Roman" w:cs="Times New Roman"/>
          <w:sz w:val="24"/>
          <w:szCs w:val="24"/>
        </w:rPr>
        <w:t xml:space="preserve">25 November </w:t>
      </w:r>
      <w:r w:rsidRPr="00DE626E">
        <w:rPr>
          <w:rFonts w:ascii="Times New Roman" w:hAnsi="Times New Roman" w:cs="Times New Roman"/>
          <w:sz w:val="24"/>
          <w:szCs w:val="24"/>
        </w:rPr>
        <w:t xml:space="preserve">2021, 53.8% of the world’s population was inoculated </w:t>
      </w:r>
      <w:r>
        <w:rPr>
          <w:rFonts w:ascii="Times New Roman" w:hAnsi="Times New Roman" w:cs="Times New Roman"/>
          <w:sz w:val="24"/>
          <w:szCs w:val="24"/>
        </w:rPr>
        <w:t xml:space="preserve">with </w:t>
      </w:r>
      <w:r w:rsidRPr="00DE626E">
        <w:rPr>
          <w:rFonts w:ascii="Times New Roman" w:hAnsi="Times New Roman" w:cs="Times New Roman"/>
          <w:sz w:val="24"/>
          <w:szCs w:val="24"/>
        </w:rPr>
        <w:t xml:space="preserve">at least one </w:t>
      </w:r>
      <w:r>
        <w:rPr>
          <w:rFonts w:ascii="Times New Roman" w:hAnsi="Times New Roman" w:cs="Times New Roman"/>
          <w:sz w:val="24"/>
          <w:szCs w:val="24"/>
        </w:rPr>
        <w:t xml:space="preserve">vaccine </w:t>
      </w:r>
      <w:r w:rsidRPr="00DE626E">
        <w:rPr>
          <w:rFonts w:ascii="Times New Roman" w:hAnsi="Times New Roman" w:cs="Times New Roman"/>
          <w:sz w:val="24"/>
          <w:szCs w:val="24"/>
        </w:rPr>
        <w:t>dose, and 42.7% were fully vaccinated</w:t>
      </w:r>
      <w:r w:rsidRPr="00DD4AC8">
        <w:rPr>
          <w:rFonts w:ascii="Times New Roman" w:hAnsi="Times New Roman" w:cs="Times New Roman"/>
          <w:sz w:val="24"/>
          <w:szCs w:val="24"/>
          <w:vertAlign w:val="superscript"/>
        </w:rPr>
        <w:t>8</w:t>
      </w:r>
      <w:r w:rsidRPr="00DE626E">
        <w:rPr>
          <w:rFonts w:ascii="Times New Roman" w:hAnsi="Times New Roman" w:cs="Times New Roman"/>
          <w:sz w:val="24"/>
          <w:szCs w:val="24"/>
        </w:rPr>
        <w:t xml:space="preserve">. </w:t>
      </w:r>
    </w:p>
    <w:p w14:paraId="5433BF38" w14:textId="2C92A885" w:rsidR="0049304B" w:rsidRPr="00B06D46" w:rsidRDefault="0049304B" w:rsidP="00B06D46">
      <w:pPr>
        <w:spacing w:line="480" w:lineRule="auto"/>
        <w:ind w:firstLineChars="50" w:firstLine="120"/>
        <w:rPr>
          <w:rFonts w:ascii="Times New Roman" w:hAnsi="Times New Roman" w:cs="Times New Roman"/>
          <w:sz w:val="24"/>
          <w:szCs w:val="24"/>
        </w:rPr>
      </w:pPr>
      <w:r w:rsidRPr="00DE626E">
        <w:rPr>
          <w:rFonts w:ascii="Times New Roman" w:hAnsi="Times New Roman" w:cs="Times New Roman"/>
          <w:sz w:val="24"/>
          <w:szCs w:val="24"/>
        </w:rPr>
        <w:t xml:space="preserve">Vaccines currently in use </w:t>
      </w:r>
      <w:r>
        <w:rPr>
          <w:rFonts w:ascii="Times New Roman" w:hAnsi="Times New Roman" w:cs="Times New Roman"/>
          <w:sz w:val="24"/>
          <w:szCs w:val="24"/>
        </w:rPr>
        <w:t>are generally known to be more than 90% effective against COVID-19</w:t>
      </w:r>
      <w:r w:rsidRPr="00DD4AC8">
        <w:rPr>
          <w:rFonts w:ascii="Times New Roman" w:hAnsi="Times New Roman" w:cs="Times New Roman"/>
          <w:sz w:val="24"/>
          <w:szCs w:val="24"/>
          <w:vertAlign w:val="superscript"/>
        </w:rPr>
        <w:t>9-11</w:t>
      </w:r>
      <w:r>
        <w:rPr>
          <w:rFonts w:ascii="Times New Roman" w:hAnsi="Times New Roman" w:cs="Times New Roman"/>
          <w:sz w:val="24"/>
          <w:szCs w:val="24"/>
        </w:rPr>
        <w:t xml:space="preserve">. </w:t>
      </w:r>
      <w:r w:rsidRPr="00DE626E">
        <w:rPr>
          <w:rFonts w:ascii="Times New Roman" w:hAnsi="Times New Roman" w:cs="Times New Roman"/>
          <w:sz w:val="24"/>
          <w:szCs w:val="24"/>
        </w:rPr>
        <w:t xml:space="preserve">However, it is </w:t>
      </w:r>
      <w:r>
        <w:rPr>
          <w:rFonts w:ascii="Times New Roman" w:hAnsi="Times New Roman" w:cs="Times New Roman" w:hint="eastAsia"/>
          <w:sz w:val="24"/>
          <w:szCs w:val="24"/>
        </w:rPr>
        <w:t xml:space="preserve">unclear </w:t>
      </w:r>
      <w:r>
        <w:rPr>
          <w:rFonts w:ascii="Times New Roman" w:hAnsi="Times New Roman" w:cs="Times New Roman"/>
          <w:sz w:val="24"/>
          <w:szCs w:val="24"/>
        </w:rPr>
        <w:t xml:space="preserve">how effective these vaccines are in patients with underlying diseases and weakened immunity. Seropositivity rates according to individual diseases and conditions have been studied, but no studies have integrated and summarized the literature on this topic. </w:t>
      </w:r>
      <w:r w:rsidRPr="00DE626E">
        <w:rPr>
          <w:rFonts w:ascii="Times New Roman" w:hAnsi="Times New Roman" w:cs="Times New Roman"/>
          <w:sz w:val="24"/>
          <w:szCs w:val="24"/>
        </w:rPr>
        <w:t xml:space="preserve">Therefore, we </w:t>
      </w:r>
      <w:r>
        <w:rPr>
          <w:rFonts w:ascii="Times New Roman" w:hAnsi="Times New Roman" w:cs="Times New Roman"/>
          <w:sz w:val="24"/>
          <w:szCs w:val="24"/>
        </w:rPr>
        <w:t>conducted a systematic review to summarize</w:t>
      </w:r>
      <w:r w:rsidRPr="00DE626E">
        <w:rPr>
          <w:rFonts w:ascii="Times New Roman" w:hAnsi="Times New Roman" w:cs="Times New Roman"/>
          <w:sz w:val="24"/>
          <w:szCs w:val="24"/>
        </w:rPr>
        <w:t xml:space="preserve"> the seropositiv</w:t>
      </w:r>
      <w:r>
        <w:rPr>
          <w:rFonts w:ascii="Times New Roman" w:hAnsi="Times New Roman" w:cs="Times New Roman"/>
          <w:sz w:val="24"/>
          <w:szCs w:val="24"/>
        </w:rPr>
        <w:t>i</w:t>
      </w:r>
      <w:r w:rsidRPr="00DE626E">
        <w:rPr>
          <w:rFonts w:ascii="Times New Roman" w:hAnsi="Times New Roman" w:cs="Times New Roman"/>
          <w:sz w:val="24"/>
          <w:szCs w:val="24"/>
        </w:rPr>
        <w:t xml:space="preserve">ty </w:t>
      </w:r>
      <w:r>
        <w:rPr>
          <w:rFonts w:ascii="Times New Roman" w:hAnsi="Times New Roman" w:cs="Times New Roman"/>
          <w:sz w:val="24"/>
          <w:szCs w:val="24"/>
        </w:rPr>
        <w:t xml:space="preserve">for each patient’s disease and condition, </w:t>
      </w:r>
      <w:r w:rsidRPr="00DE626E">
        <w:rPr>
          <w:rFonts w:ascii="Times New Roman" w:hAnsi="Times New Roman" w:cs="Times New Roman"/>
          <w:sz w:val="24"/>
          <w:szCs w:val="24"/>
        </w:rPr>
        <w:t xml:space="preserve">according to the type of vaccine and </w:t>
      </w:r>
      <w:r>
        <w:rPr>
          <w:rFonts w:ascii="Times New Roman" w:hAnsi="Times New Roman" w:cs="Times New Roman"/>
          <w:sz w:val="24"/>
          <w:szCs w:val="24"/>
        </w:rPr>
        <w:t xml:space="preserve">the number of days after vaccination. </w:t>
      </w:r>
    </w:p>
    <w:p w14:paraId="603BABD2" w14:textId="77777777" w:rsidR="0049304B" w:rsidRDefault="0049304B" w:rsidP="00D4555D">
      <w:pPr>
        <w:pStyle w:val="Heading1"/>
      </w:pPr>
      <w:r w:rsidRPr="001D2216">
        <w:rPr>
          <w:rFonts w:hint="eastAsia"/>
        </w:rPr>
        <w:lastRenderedPageBreak/>
        <w:t>M</w:t>
      </w:r>
      <w:r w:rsidRPr="001D2216">
        <w:t>ethods</w:t>
      </w:r>
    </w:p>
    <w:p w14:paraId="6C3B8761" w14:textId="77777777" w:rsidR="0049304B" w:rsidRPr="00D4555D" w:rsidRDefault="0049304B" w:rsidP="00D4555D">
      <w:pPr>
        <w:pStyle w:val="Heading2"/>
      </w:pPr>
      <w:r w:rsidRPr="00D4555D">
        <w:t xml:space="preserve">Search strategy and selection criteria </w:t>
      </w:r>
    </w:p>
    <w:p w14:paraId="42C58A40" w14:textId="01F6FB8C" w:rsidR="0049304B" w:rsidRDefault="0049304B" w:rsidP="0049304B">
      <w:pPr>
        <w:spacing w:line="480" w:lineRule="auto"/>
        <w:rPr>
          <w:rFonts w:ascii="Times New Roman" w:hAnsi="Times New Roman" w:cs="Times New Roman"/>
          <w:sz w:val="24"/>
          <w:szCs w:val="24"/>
        </w:rPr>
      </w:pPr>
      <w:r w:rsidRPr="0094678D">
        <w:rPr>
          <w:rFonts w:ascii="Times New Roman" w:hAnsi="Times New Roman" w:cs="Times New Roman"/>
          <w:sz w:val="24"/>
          <w:szCs w:val="24"/>
        </w:rPr>
        <w:t>This comprehensive systematic review was conducted according to the Preferred Reporting Items for Systematic Reviews and Meta-Analyses (PRISMA) guidelines</w:t>
      </w:r>
      <w:r w:rsidRPr="00DD4AC8">
        <w:rPr>
          <w:rFonts w:ascii="Times New Roman" w:hAnsi="Times New Roman" w:cs="Times New Roman"/>
          <w:sz w:val="24"/>
          <w:szCs w:val="24"/>
          <w:vertAlign w:val="superscript"/>
        </w:rPr>
        <w:t>12</w:t>
      </w:r>
      <w:r w:rsidRPr="0094678D">
        <w:rPr>
          <w:rFonts w:ascii="Times New Roman" w:hAnsi="Times New Roman" w:cs="Times New Roman"/>
          <w:sz w:val="24"/>
          <w:szCs w:val="24"/>
        </w:rPr>
        <w:t xml:space="preserve">. </w:t>
      </w:r>
      <w:r>
        <w:rPr>
          <w:rFonts w:ascii="Times New Roman" w:hAnsi="Times New Roman" w:cs="Times New Roman"/>
          <w:sz w:val="24"/>
          <w:szCs w:val="24"/>
        </w:rPr>
        <w:t>The PRISMA checklist is presented in Supplement 1. Two researchers (K.C. and S.P.) searched the PubMed/Medline database</w:t>
      </w:r>
      <w:r w:rsidR="00DE1143">
        <w:rPr>
          <w:rFonts w:ascii="Times New Roman" w:hAnsi="Times New Roman" w:cs="Times New Roman"/>
          <w:sz w:val="24"/>
          <w:szCs w:val="24"/>
        </w:rPr>
        <w:t xml:space="preserve"> </w:t>
      </w:r>
      <w:r w:rsidR="00DE1143">
        <w:rPr>
          <w:rFonts w:ascii="Times New Roman" w:hAnsi="Times New Roman" w:cs="Times New Roman" w:hint="eastAsia"/>
          <w:sz w:val="24"/>
          <w:szCs w:val="24"/>
        </w:rPr>
        <w:t>and</w:t>
      </w:r>
      <w:r w:rsidR="00DE1143">
        <w:rPr>
          <w:rFonts w:ascii="Times New Roman" w:hAnsi="Times New Roman" w:cs="Times New Roman"/>
          <w:sz w:val="24"/>
          <w:szCs w:val="24"/>
        </w:rPr>
        <w:t xml:space="preserve"> </w:t>
      </w:r>
      <w:r w:rsidR="00DE1143">
        <w:rPr>
          <w:rFonts w:ascii="Times New Roman" w:hAnsi="Times New Roman" w:cs="Times New Roman" w:hint="eastAsia"/>
          <w:sz w:val="24"/>
          <w:szCs w:val="24"/>
        </w:rPr>
        <w:t>Cochrane</w:t>
      </w:r>
      <w:r w:rsidR="00DE1143">
        <w:rPr>
          <w:rFonts w:ascii="Times New Roman" w:hAnsi="Times New Roman" w:cs="Times New Roman"/>
          <w:sz w:val="24"/>
          <w:szCs w:val="24"/>
        </w:rPr>
        <w:t xml:space="preserve"> </w:t>
      </w:r>
      <w:r w:rsidR="00DE1143">
        <w:rPr>
          <w:rFonts w:ascii="Times New Roman" w:hAnsi="Times New Roman" w:cs="Times New Roman" w:hint="eastAsia"/>
          <w:sz w:val="24"/>
          <w:szCs w:val="24"/>
        </w:rPr>
        <w:t>Library</w:t>
      </w:r>
      <w:r>
        <w:rPr>
          <w:rFonts w:ascii="Times New Roman" w:hAnsi="Times New Roman" w:cs="Times New Roman"/>
          <w:sz w:val="24"/>
          <w:szCs w:val="24"/>
        </w:rPr>
        <w:t xml:space="preserve"> from inception until 5 September 2021</w:t>
      </w:r>
      <w:r>
        <w:rPr>
          <w:rFonts w:ascii="Times New Roman" w:hAnsi="Times New Roman" w:cs="Times New Roman" w:hint="eastAsia"/>
          <w:sz w:val="24"/>
          <w:szCs w:val="24"/>
        </w:rPr>
        <w:t>.</w:t>
      </w:r>
      <w:r>
        <w:rPr>
          <w:rFonts w:ascii="Times New Roman" w:hAnsi="Times New Roman" w:cs="Times New Roman"/>
          <w:sz w:val="24"/>
          <w:szCs w:val="24"/>
        </w:rPr>
        <w:t xml:space="preserve"> An a</w:t>
      </w:r>
      <w:r>
        <w:rPr>
          <w:rFonts w:ascii="Times New Roman" w:hAnsi="Times New Roman" w:cs="Times New Roman" w:hint="eastAsia"/>
          <w:sz w:val="24"/>
          <w:szCs w:val="24"/>
        </w:rPr>
        <w:t>dditional</w:t>
      </w:r>
      <w:r>
        <w:rPr>
          <w:rFonts w:ascii="Times New Roman" w:hAnsi="Times New Roman" w:cs="Times New Roman"/>
          <w:sz w:val="24"/>
          <w:szCs w:val="24"/>
        </w:rPr>
        <w:t xml:space="preserve"> </w:t>
      </w:r>
      <w:r>
        <w:rPr>
          <w:rFonts w:ascii="Times New Roman" w:hAnsi="Times New Roman" w:cs="Times New Roman" w:hint="eastAsia"/>
          <w:sz w:val="24"/>
          <w:szCs w:val="24"/>
        </w:rPr>
        <w:t>search</w:t>
      </w:r>
      <w:r>
        <w:rPr>
          <w:rFonts w:ascii="Times New Roman" w:hAnsi="Times New Roman" w:cs="Times New Roman"/>
          <w:sz w:val="24"/>
          <w:szCs w:val="24"/>
        </w:rPr>
        <w:t xml:space="preserve"> </w:t>
      </w:r>
      <w:r>
        <w:rPr>
          <w:rFonts w:ascii="Times New Roman" w:hAnsi="Times New Roman" w:cs="Times New Roman" w:hint="eastAsia"/>
          <w:sz w:val="24"/>
          <w:szCs w:val="24"/>
        </w:rPr>
        <w:t>was</w:t>
      </w:r>
      <w:r>
        <w:rPr>
          <w:rFonts w:ascii="Times New Roman" w:hAnsi="Times New Roman" w:cs="Times New Roman"/>
          <w:sz w:val="24"/>
          <w:szCs w:val="24"/>
        </w:rPr>
        <w:t xml:space="preserve"> </w:t>
      </w:r>
      <w:r>
        <w:rPr>
          <w:rFonts w:ascii="Times New Roman" w:hAnsi="Times New Roman" w:cs="Times New Roman" w:hint="eastAsia"/>
          <w:sz w:val="24"/>
          <w:szCs w:val="24"/>
        </w:rPr>
        <w:t>conducted</w:t>
      </w:r>
      <w:r>
        <w:rPr>
          <w:rFonts w:ascii="Times New Roman" w:hAnsi="Times New Roman" w:cs="Times New Roman"/>
          <w:sz w:val="24"/>
          <w:szCs w:val="24"/>
        </w:rPr>
        <w:t xml:space="preserve"> </w:t>
      </w:r>
      <w:r>
        <w:rPr>
          <w:rFonts w:ascii="Times New Roman" w:hAnsi="Times New Roman" w:cs="Times New Roman" w:hint="eastAsia"/>
          <w:sz w:val="24"/>
          <w:szCs w:val="24"/>
        </w:rPr>
        <w:t>on</w:t>
      </w:r>
      <w:r>
        <w:rPr>
          <w:rFonts w:ascii="Times New Roman" w:hAnsi="Times New Roman" w:cs="Times New Roman"/>
          <w:sz w:val="24"/>
          <w:szCs w:val="24"/>
        </w:rPr>
        <w:t xml:space="preserve"> </w:t>
      </w:r>
      <w:r>
        <w:rPr>
          <w:rFonts w:ascii="Times New Roman" w:hAnsi="Times New Roman" w:cs="Times New Roman" w:hint="eastAsia"/>
          <w:sz w:val="24"/>
          <w:szCs w:val="24"/>
        </w:rPr>
        <w:t>1</w:t>
      </w:r>
      <w:r>
        <w:rPr>
          <w:rFonts w:ascii="Times New Roman" w:hAnsi="Times New Roman" w:cs="Times New Roman"/>
          <w:sz w:val="24"/>
          <w:szCs w:val="24"/>
        </w:rPr>
        <w:t xml:space="preserve"> </w:t>
      </w:r>
      <w:r>
        <w:rPr>
          <w:rFonts w:ascii="Times New Roman" w:hAnsi="Times New Roman" w:cs="Times New Roman" w:hint="eastAsia"/>
          <w:sz w:val="24"/>
          <w:szCs w:val="24"/>
        </w:rPr>
        <w:t>December</w:t>
      </w:r>
      <w:r>
        <w:rPr>
          <w:rFonts w:ascii="Times New Roman" w:hAnsi="Times New Roman" w:cs="Times New Roman"/>
          <w:sz w:val="24"/>
          <w:szCs w:val="24"/>
        </w:rPr>
        <w:t xml:space="preserve"> </w:t>
      </w:r>
      <w:r>
        <w:rPr>
          <w:rFonts w:ascii="Times New Roman" w:hAnsi="Times New Roman" w:cs="Times New Roman" w:hint="eastAsia"/>
          <w:sz w:val="24"/>
          <w:szCs w:val="24"/>
        </w:rPr>
        <w:t>2021.</w:t>
      </w:r>
      <w:r>
        <w:rPr>
          <w:rFonts w:ascii="Times New Roman" w:hAnsi="Times New Roman" w:cs="Times New Roman"/>
          <w:sz w:val="24"/>
          <w:szCs w:val="24"/>
        </w:rPr>
        <w:t xml:space="preserve"> The following search terms were used</w:t>
      </w:r>
      <w:r w:rsidRPr="00CB4B38">
        <w:rPr>
          <w:rFonts w:ascii="Times New Roman" w:hAnsi="Times New Roman" w:cs="Times New Roman"/>
          <w:sz w:val="24"/>
          <w:szCs w:val="24"/>
        </w:rPr>
        <w:t xml:space="preserve">: </w:t>
      </w:r>
      <w:r>
        <w:rPr>
          <w:rFonts w:ascii="Times New Roman" w:hAnsi="Times New Roman" w:cs="Times New Roman"/>
          <w:sz w:val="24"/>
          <w:szCs w:val="24"/>
        </w:rPr>
        <w:t>(COVID-19 OR SARS-CoV-2) AND (vaccine) AND (seropositivity OR seropositive).</w:t>
      </w:r>
    </w:p>
    <w:p w14:paraId="2F559663" w14:textId="77777777" w:rsidR="0049304B" w:rsidRDefault="0049304B" w:rsidP="0049304B">
      <w:pPr>
        <w:spacing w:line="480" w:lineRule="auto"/>
        <w:ind w:firstLineChars="50" w:firstLine="120"/>
        <w:rPr>
          <w:rFonts w:ascii="Times New Roman" w:hAnsi="Times New Roman" w:cs="Times New Roman"/>
          <w:sz w:val="24"/>
          <w:szCs w:val="24"/>
        </w:rPr>
      </w:pPr>
      <w:r>
        <w:rPr>
          <w:rFonts w:ascii="Times New Roman" w:hAnsi="Times New Roman" w:cs="Times New Roman"/>
          <w:sz w:val="24"/>
          <w:szCs w:val="24"/>
        </w:rPr>
        <w:t xml:space="preserve">Inclusion criteria were: a) studies reporting </w:t>
      </w:r>
      <w:r w:rsidRPr="00C37ED5">
        <w:rPr>
          <w:rFonts w:ascii="Times New Roman" w:hAnsi="Times New Roman" w:cs="Times New Roman"/>
          <w:sz w:val="24"/>
          <w:szCs w:val="24"/>
        </w:rPr>
        <w:t xml:space="preserve">seropositivity </w:t>
      </w:r>
      <w:r>
        <w:rPr>
          <w:rFonts w:ascii="Times New Roman" w:hAnsi="Times New Roman" w:cs="Times New Roman" w:hint="eastAsia"/>
          <w:sz w:val="24"/>
          <w:szCs w:val="24"/>
        </w:rPr>
        <w:t>data</w:t>
      </w:r>
      <w:r>
        <w:rPr>
          <w:rFonts w:ascii="Times New Roman" w:hAnsi="Times New Roman" w:cs="Times New Roman"/>
          <w:sz w:val="24"/>
          <w:szCs w:val="24"/>
        </w:rPr>
        <w:t xml:space="preserve"> </w:t>
      </w:r>
      <w:r w:rsidRPr="00C37ED5">
        <w:rPr>
          <w:rFonts w:ascii="Times New Roman" w:hAnsi="Times New Roman" w:cs="Times New Roman"/>
          <w:sz w:val="24"/>
          <w:szCs w:val="24"/>
        </w:rPr>
        <w:t xml:space="preserve">for </w:t>
      </w:r>
      <w:r>
        <w:rPr>
          <w:rFonts w:ascii="Times New Roman" w:hAnsi="Times New Roman" w:cs="Times New Roman"/>
          <w:sz w:val="24"/>
          <w:szCs w:val="24"/>
        </w:rPr>
        <w:t>patients</w:t>
      </w:r>
      <w:r w:rsidRPr="00C37ED5">
        <w:rPr>
          <w:rFonts w:ascii="Times New Roman" w:hAnsi="Times New Roman" w:cs="Times New Roman"/>
          <w:sz w:val="24"/>
          <w:szCs w:val="24"/>
        </w:rPr>
        <w:t xml:space="preserve"> </w:t>
      </w:r>
      <w:r>
        <w:rPr>
          <w:rFonts w:ascii="Times New Roman" w:hAnsi="Times New Roman" w:cs="Times New Roman"/>
          <w:sz w:val="24"/>
          <w:szCs w:val="24"/>
        </w:rPr>
        <w:t xml:space="preserve">with underlying diseases or receiving transplantation or dialysis, </w:t>
      </w:r>
      <w:r>
        <w:rPr>
          <w:rFonts w:ascii="Times New Roman" w:hAnsi="Times New Roman" w:cs="Times New Roman" w:hint="eastAsia"/>
          <w:sz w:val="24"/>
          <w:szCs w:val="24"/>
        </w:rPr>
        <w:t>b)</w:t>
      </w:r>
      <w:r>
        <w:rPr>
          <w:rFonts w:ascii="Times New Roman" w:hAnsi="Times New Roman" w:cs="Times New Roman"/>
          <w:sz w:val="24"/>
          <w:szCs w:val="24"/>
        </w:rPr>
        <w:t xml:space="preserve"> </w:t>
      </w:r>
      <w:r>
        <w:rPr>
          <w:rFonts w:ascii="Times New Roman" w:hAnsi="Times New Roman" w:cs="Times New Roman" w:hint="eastAsia"/>
          <w:sz w:val="24"/>
          <w:szCs w:val="24"/>
        </w:rPr>
        <w:t>studies</w:t>
      </w:r>
      <w:r>
        <w:rPr>
          <w:rFonts w:ascii="Times New Roman" w:hAnsi="Times New Roman" w:cs="Times New Roman"/>
          <w:sz w:val="24"/>
          <w:szCs w:val="24"/>
        </w:rPr>
        <w:t xml:space="preserve"> </w:t>
      </w:r>
      <w:r>
        <w:rPr>
          <w:rFonts w:ascii="Times New Roman" w:hAnsi="Times New Roman" w:cs="Times New Roman" w:hint="eastAsia"/>
          <w:sz w:val="24"/>
          <w:szCs w:val="24"/>
        </w:rPr>
        <w:t>presenting</w:t>
      </w:r>
      <w:r>
        <w:rPr>
          <w:rFonts w:ascii="Times New Roman" w:hAnsi="Times New Roman" w:cs="Times New Roman"/>
          <w:sz w:val="24"/>
          <w:szCs w:val="24"/>
        </w:rPr>
        <w:t xml:space="preserve"> </w:t>
      </w:r>
      <w:r>
        <w:rPr>
          <w:rFonts w:ascii="Times New Roman" w:hAnsi="Times New Roman" w:cs="Times New Roman" w:hint="eastAsia"/>
          <w:sz w:val="24"/>
          <w:szCs w:val="24"/>
        </w:rPr>
        <w:t>seropositivity</w:t>
      </w:r>
      <w:r>
        <w:rPr>
          <w:rFonts w:ascii="Times New Roman" w:hAnsi="Times New Roman" w:cs="Times New Roman"/>
          <w:sz w:val="24"/>
          <w:szCs w:val="24"/>
        </w:rPr>
        <w:t xml:space="preserve"> </w:t>
      </w:r>
      <w:r>
        <w:rPr>
          <w:rFonts w:ascii="Times New Roman" w:hAnsi="Times New Roman" w:cs="Times New Roman" w:hint="eastAsia"/>
          <w:sz w:val="24"/>
          <w:szCs w:val="24"/>
        </w:rPr>
        <w:t>for</w:t>
      </w:r>
      <w:r>
        <w:rPr>
          <w:rFonts w:ascii="Times New Roman" w:hAnsi="Times New Roman" w:cs="Times New Roman"/>
          <w:sz w:val="24"/>
          <w:szCs w:val="24"/>
        </w:rPr>
        <w:t xml:space="preserve"> </w:t>
      </w:r>
      <w:r>
        <w:rPr>
          <w:rFonts w:ascii="Times New Roman" w:hAnsi="Times New Roman" w:cs="Times New Roman" w:hint="eastAsia"/>
          <w:sz w:val="24"/>
          <w:szCs w:val="24"/>
        </w:rPr>
        <w:t>each</w:t>
      </w:r>
      <w:r>
        <w:rPr>
          <w:rFonts w:ascii="Times New Roman" w:hAnsi="Times New Roman" w:cs="Times New Roman"/>
          <w:sz w:val="24"/>
          <w:szCs w:val="24"/>
        </w:rPr>
        <w:t xml:space="preserve"> </w:t>
      </w:r>
      <w:r>
        <w:rPr>
          <w:rFonts w:ascii="Times New Roman" w:hAnsi="Times New Roman" w:cs="Times New Roman" w:hint="eastAsia"/>
          <w:sz w:val="24"/>
          <w:szCs w:val="24"/>
        </w:rPr>
        <w:t>specific</w:t>
      </w:r>
      <w:r>
        <w:rPr>
          <w:rFonts w:ascii="Times New Roman" w:hAnsi="Times New Roman" w:cs="Times New Roman"/>
          <w:sz w:val="24"/>
          <w:szCs w:val="24"/>
        </w:rPr>
        <w:t xml:space="preserve"> disease </w:t>
      </w:r>
      <w:r>
        <w:rPr>
          <w:rFonts w:ascii="Times New Roman" w:hAnsi="Times New Roman" w:cs="Times New Roman" w:hint="eastAsia"/>
          <w:sz w:val="24"/>
          <w:szCs w:val="24"/>
        </w:rPr>
        <w:t>such</w:t>
      </w:r>
      <w:r>
        <w:rPr>
          <w:rFonts w:ascii="Times New Roman" w:hAnsi="Times New Roman" w:cs="Times New Roman"/>
          <w:sz w:val="24"/>
          <w:szCs w:val="24"/>
        </w:rPr>
        <w:t xml:space="preserve"> </w:t>
      </w:r>
      <w:r>
        <w:rPr>
          <w:rFonts w:ascii="Times New Roman" w:hAnsi="Times New Roman" w:cs="Times New Roman" w:hint="eastAsia"/>
          <w:sz w:val="24"/>
          <w:szCs w:val="24"/>
        </w:rPr>
        <w:t>as</w:t>
      </w:r>
      <w:r>
        <w:rPr>
          <w:rFonts w:ascii="Times New Roman" w:hAnsi="Times New Roman" w:cs="Times New Roman"/>
          <w:sz w:val="24"/>
          <w:szCs w:val="24"/>
        </w:rPr>
        <w:t xml:space="preserve"> </w:t>
      </w:r>
      <w:r>
        <w:rPr>
          <w:rFonts w:ascii="Times New Roman" w:hAnsi="Times New Roman" w:cs="Times New Roman" w:hint="eastAsia"/>
          <w:sz w:val="24"/>
          <w:szCs w:val="24"/>
        </w:rPr>
        <w:t>breast</w:t>
      </w:r>
      <w:r>
        <w:rPr>
          <w:rFonts w:ascii="Times New Roman" w:hAnsi="Times New Roman" w:cs="Times New Roman"/>
          <w:sz w:val="24"/>
          <w:szCs w:val="24"/>
        </w:rPr>
        <w:t xml:space="preserve"> </w:t>
      </w:r>
      <w:r>
        <w:rPr>
          <w:rFonts w:ascii="Times New Roman" w:hAnsi="Times New Roman" w:cs="Times New Roman" w:hint="eastAsia"/>
          <w:sz w:val="24"/>
          <w:szCs w:val="24"/>
        </w:rPr>
        <w:t>cancer</w:t>
      </w:r>
      <w:r>
        <w:rPr>
          <w:rFonts w:ascii="Times New Roman" w:hAnsi="Times New Roman" w:cs="Times New Roman"/>
          <w:sz w:val="24"/>
          <w:szCs w:val="24"/>
        </w:rPr>
        <w:t xml:space="preserve"> </w:t>
      </w:r>
      <w:r>
        <w:rPr>
          <w:rFonts w:ascii="Times New Roman" w:hAnsi="Times New Roman" w:cs="Times New Roman" w:hint="eastAsia"/>
          <w:sz w:val="24"/>
          <w:szCs w:val="24"/>
        </w:rPr>
        <w:t>and</w:t>
      </w:r>
      <w:r>
        <w:rPr>
          <w:rFonts w:ascii="Times New Roman" w:hAnsi="Times New Roman" w:cs="Times New Roman"/>
          <w:sz w:val="24"/>
          <w:szCs w:val="24"/>
        </w:rPr>
        <w:t xml:space="preserve"> </w:t>
      </w:r>
      <w:r>
        <w:rPr>
          <w:rFonts w:ascii="Times New Roman" w:hAnsi="Times New Roman" w:cs="Times New Roman" w:hint="eastAsia"/>
          <w:sz w:val="24"/>
          <w:szCs w:val="24"/>
        </w:rPr>
        <w:t>lung</w:t>
      </w:r>
      <w:r>
        <w:rPr>
          <w:rFonts w:ascii="Times New Roman" w:hAnsi="Times New Roman" w:cs="Times New Roman"/>
          <w:sz w:val="24"/>
          <w:szCs w:val="24"/>
        </w:rPr>
        <w:t xml:space="preserve"> </w:t>
      </w:r>
      <w:r>
        <w:rPr>
          <w:rFonts w:ascii="Times New Roman" w:hAnsi="Times New Roman" w:cs="Times New Roman" w:hint="eastAsia"/>
          <w:sz w:val="24"/>
          <w:szCs w:val="24"/>
        </w:rPr>
        <w:t>cancer,</w:t>
      </w:r>
      <w:r>
        <w:rPr>
          <w:rFonts w:ascii="Times New Roman" w:hAnsi="Times New Roman" w:cs="Times New Roman"/>
          <w:sz w:val="24"/>
          <w:szCs w:val="24"/>
        </w:rPr>
        <w:t xml:space="preserve"> </w:t>
      </w:r>
      <w:r>
        <w:rPr>
          <w:rFonts w:ascii="Times New Roman" w:hAnsi="Times New Roman" w:cs="Times New Roman" w:hint="eastAsia"/>
          <w:sz w:val="24"/>
          <w:szCs w:val="24"/>
        </w:rPr>
        <w:t>not</w:t>
      </w:r>
      <w:r>
        <w:rPr>
          <w:rFonts w:ascii="Times New Roman" w:hAnsi="Times New Roman" w:cs="Times New Roman"/>
          <w:sz w:val="24"/>
          <w:szCs w:val="24"/>
        </w:rPr>
        <w:t xml:space="preserve"> </w:t>
      </w:r>
      <w:r>
        <w:rPr>
          <w:rFonts w:ascii="Times New Roman" w:hAnsi="Times New Roman" w:cs="Times New Roman" w:hint="eastAsia"/>
          <w:sz w:val="24"/>
          <w:szCs w:val="24"/>
        </w:rPr>
        <w:t>simply</w:t>
      </w:r>
      <w:r>
        <w:rPr>
          <w:rFonts w:ascii="Times New Roman" w:hAnsi="Times New Roman" w:cs="Times New Roman"/>
          <w:sz w:val="24"/>
          <w:szCs w:val="24"/>
        </w:rPr>
        <w:t xml:space="preserve"> ‘</w:t>
      </w:r>
      <w:r>
        <w:rPr>
          <w:rFonts w:ascii="Times New Roman" w:hAnsi="Times New Roman" w:cs="Times New Roman" w:hint="eastAsia"/>
          <w:sz w:val="24"/>
          <w:szCs w:val="24"/>
        </w:rPr>
        <w:t>cancer</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sz w:val="24"/>
          <w:szCs w:val="24"/>
        </w:rPr>
        <w:t xml:space="preserve"> </w:t>
      </w:r>
      <w:r>
        <w:rPr>
          <w:rFonts w:ascii="Times New Roman" w:hAnsi="Times New Roman" w:cs="Times New Roman" w:hint="eastAsia"/>
          <w:sz w:val="24"/>
          <w:szCs w:val="24"/>
        </w:rPr>
        <w:t>c</w:t>
      </w:r>
      <w:r>
        <w:rPr>
          <w:rFonts w:ascii="Times New Roman" w:hAnsi="Times New Roman" w:cs="Times New Roman"/>
          <w:sz w:val="24"/>
          <w:szCs w:val="24"/>
        </w:rPr>
        <w:t xml:space="preserve">) studies with data on type of vaccine, number of vaccinations, vaccination date, and follow-up period, and </w:t>
      </w:r>
      <w:r>
        <w:rPr>
          <w:rFonts w:ascii="Times New Roman" w:hAnsi="Times New Roman" w:cs="Times New Roman" w:hint="eastAsia"/>
          <w:sz w:val="24"/>
          <w:szCs w:val="24"/>
        </w:rPr>
        <w:t>d</w:t>
      </w:r>
      <w:r>
        <w:rPr>
          <w:rFonts w:ascii="Times New Roman" w:hAnsi="Times New Roman" w:cs="Times New Roman"/>
          <w:sz w:val="24"/>
          <w:szCs w:val="24"/>
        </w:rPr>
        <w:t>) studies written in English. Exclusion criteria were: a)</w:t>
      </w:r>
      <w:r w:rsidRPr="00C37ED5">
        <w:rPr>
          <w:rFonts w:ascii="Times New Roman" w:hAnsi="Times New Roman" w:cs="Times New Roman"/>
          <w:sz w:val="24"/>
          <w:szCs w:val="24"/>
        </w:rPr>
        <w:t xml:space="preserve"> </w:t>
      </w:r>
      <w:r>
        <w:rPr>
          <w:rFonts w:ascii="Times New Roman" w:hAnsi="Times New Roman" w:cs="Times New Roman"/>
          <w:sz w:val="24"/>
          <w:szCs w:val="24"/>
        </w:rPr>
        <w:t>studies</w:t>
      </w:r>
      <w:r w:rsidRPr="00C37ED5">
        <w:rPr>
          <w:rFonts w:ascii="Times New Roman" w:hAnsi="Times New Roman" w:cs="Times New Roman"/>
          <w:sz w:val="24"/>
          <w:szCs w:val="24"/>
        </w:rPr>
        <w:t xml:space="preserve"> targeting general public or healthcare workers without diseases </w:t>
      </w:r>
      <w:r>
        <w:rPr>
          <w:rFonts w:ascii="Times New Roman" w:hAnsi="Times New Roman" w:cs="Times New Roman"/>
          <w:sz w:val="24"/>
          <w:szCs w:val="24"/>
        </w:rPr>
        <w:t>(however, those who had COVID-19 and recovered now were included), b) studies</w:t>
      </w:r>
      <w:r w:rsidRPr="00C37ED5">
        <w:rPr>
          <w:rFonts w:ascii="Times New Roman" w:hAnsi="Times New Roman" w:cs="Times New Roman"/>
          <w:sz w:val="24"/>
          <w:szCs w:val="24"/>
        </w:rPr>
        <w:t xml:space="preserve"> </w:t>
      </w:r>
      <w:r>
        <w:rPr>
          <w:rFonts w:ascii="Times New Roman" w:hAnsi="Times New Roman" w:cs="Times New Roman"/>
          <w:sz w:val="24"/>
          <w:szCs w:val="24"/>
        </w:rPr>
        <w:t>presenting summarized seropositivity data on several vaccines without data for individual vaccines</w:t>
      </w:r>
      <w:r>
        <w:rPr>
          <w:rFonts w:ascii="Times New Roman" w:hAnsi="Times New Roman" w:cs="Times New Roman" w:hint="eastAsia"/>
          <w:sz w:val="24"/>
          <w:szCs w:val="24"/>
        </w:rPr>
        <w:t>.</w:t>
      </w:r>
      <w:r>
        <w:rPr>
          <w:rFonts w:ascii="Times New Roman" w:hAnsi="Times New Roman" w:cs="Times New Roman"/>
          <w:sz w:val="24"/>
          <w:szCs w:val="24"/>
        </w:rPr>
        <w:t xml:space="preserve"> </w:t>
      </w:r>
    </w:p>
    <w:p w14:paraId="01772557" w14:textId="77777777" w:rsidR="0049304B" w:rsidRDefault="0049304B" w:rsidP="0049304B">
      <w:pPr>
        <w:spacing w:line="480" w:lineRule="auto"/>
        <w:ind w:firstLineChars="50" w:firstLine="120"/>
        <w:rPr>
          <w:rFonts w:ascii="Times New Roman" w:hAnsi="Times New Roman" w:cs="Times New Roman"/>
          <w:sz w:val="24"/>
          <w:szCs w:val="24"/>
        </w:rPr>
      </w:pPr>
      <w:r>
        <w:rPr>
          <w:rFonts w:ascii="Times New Roman" w:hAnsi="Times New Roman" w:cs="Times New Roman" w:hint="eastAsia"/>
          <w:sz w:val="24"/>
          <w:szCs w:val="24"/>
        </w:rPr>
        <w:t>I</w:t>
      </w:r>
      <w:r>
        <w:rPr>
          <w:rFonts w:ascii="Times New Roman" w:hAnsi="Times New Roman" w:cs="Times New Roman"/>
          <w:sz w:val="24"/>
          <w:szCs w:val="24"/>
        </w:rPr>
        <w:t>f there were studies on patients with the same disease or transplantation or dialysis, a study with a larger sample size was selected. However, if the number of days from vaccination to antibody measurement was different, or the type of vaccine was different, data were all adopted even if the disease was the same.</w:t>
      </w:r>
    </w:p>
    <w:p w14:paraId="52E0381F" w14:textId="77777777" w:rsidR="0049304B" w:rsidRPr="00E159FE" w:rsidRDefault="0049304B" w:rsidP="00D4555D">
      <w:pPr>
        <w:pStyle w:val="Heading2"/>
      </w:pPr>
      <w:r w:rsidRPr="00E159FE">
        <w:rPr>
          <w:rFonts w:hint="eastAsia"/>
        </w:rPr>
        <w:t>D</w:t>
      </w:r>
      <w:r w:rsidRPr="00E159FE">
        <w:t xml:space="preserve">ata extraction </w:t>
      </w:r>
      <w:r>
        <w:rPr>
          <w:rFonts w:hint="eastAsia"/>
        </w:rPr>
        <w:t>and</w:t>
      </w:r>
      <w:r>
        <w:t xml:space="preserve"> </w:t>
      </w:r>
      <w:r>
        <w:rPr>
          <w:rFonts w:hint="eastAsia"/>
        </w:rPr>
        <w:t>analysis</w:t>
      </w:r>
    </w:p>
    <w:p w14:paraId="7ED5DBF8" w14:textId="77777777" w:rsidR="0049304B" w:rsidRPr="0088631B" w:rsidRDefault="0049304B" w:rsidP="0049304B">
      <w:pPr>
        <w:spacing w:line="480" w:lineRule="auto"/>
        <w:rPr>
          <w:rFonts w:ascii="Times New Roman" w:hAnsi="Times New Roman" w:cs="Times New Roman"/>
          <w:b/>
          <w:bCs/>
          <w:sz w:val="24"/>
          <w:szCs w:val="24"/>
        </w:rPr>
      </w:pPr>
      <w:r>
        <w:rPr>
          <w:rFonts w:ascii="Times New Roman" w:hAnsi="Times New Roman" w:cs="Times New Roman"/>
          <w:color w:val="000000"/>
          <w:sz w:val="24"/>
          <w:szCs w:val="24"/>
          <w:shd w:val="clear" w:color="auto" w:fill="FFFFFF"/>
        </w:rPr>
        <w:t>From all the selected studies, t</w:t>
      </w:r>
      <w:r w:rsidRPr="0088631B">
        <w:rPr>
          <w:rFonts w:ascii="Times New Roman" w:hAnsi="Times New Roman" w:cs="Times New Roman"/>
          <w:color w:val="000000"/>
          <w:sz w:val="24"/>
          <w:szCs w:val="24"/>
          <w:shd w:val="clear" w:color="auto" w:fill="FFFFFF"/>
        </w:rPr>
        <w:t xml:space="preserve">wo researchers </w:t>
      </w:r>
      <w:r>
        <w:rPr>
          <w:rFonts w:ascii="Times New Roman" w:hAnsi="Times New Roman" w:cs="Times New Roman"/>
          <w:color w:val="000000"/>
          <w:sz w:val="24"/>
          <w:szCs w:val="24"/>
          <w:shd w:val="clear" w:color="auto" w:fill="FFFFFF"/>
        </w:rPr>
        <w:t xml:space="preserve">(K.C. and S.P.) independently extracted data. Any discrepancies between the two researchers were resolved through discussion and </w:t>
      </w:r>
      <w:r>
        <w:rPr>
          <w:rFonts w:ascii="Times New Roman" w:hAnsi="Times New Roman" w:cs="Times New Roman"/>
          <w:color w:val="000000"/>
          <w:sz w:val="24"/>
          <w:szCs w:val="24"/>
          <w:shd w:val="clear" w:color="auto" w:fill="FFFFFF"/>
        </w:rPr>
        <w:lastRenderedPageBreak/>
        <w:t xml:space="preserve">subsequent agreement. The following data were extracted: the first author’s name, publication year, study design, characteristic of participants (types of diseases, transplantation, or dialysis, age, sex [% female], race, country), criteria for judging that the participant is seropositive, sample size, the type of vaccine, the number of received dose, dose interval, antibody test date, and seropositivity rate. </w:t>
      </w:r>
    </w:p>
    <w:p w14:paraId="6D64B52C" w14:textId="24CB4296" w:rsidR="0049304B" w:rsidRPr="00A54490" w:rsidRDefault="0049304B" w:rsidP="0049304B">
      <w:pPr>
        <w:spacing w:line="480" w:lineRule="auto"/>
        <w:ind w:firstLineChars="50" w:firstLine="120"/>
        <w:rPr>
          <w:rFonts w:ascii="Times New Roman" w:hAnsi="Times New Roman" w:cs="Times New Roman"/>
          <w:sz w:val="24"/>
          <w:szCs w:val="24"/>
        </w:rPr>
      </w:pPr>
      <w:r>
        <w:rPr>
          <w:rFonts w:ascii="Times New Roman" w:hAnsi="Times New Roman" w:cs="Times New Roman" w:hint="eastAsia"/>
          <w:sz w:val="24"/>
          <w:szCs w:val="24"/>
        </w:rPr>
        <w:t>Using</w:t>
      </w:r>
      <w:r>
        <w:rPr>
          <w:rFonts w:ascii="Times New Roman" w:hAnsi="Times New Roman" w:cs="Times New Roman"/>
          <w:sz w:val="24"/>
          <w:szCs w:val="24"/>
        </w:rPr>
        <w:t xml:space="preserve"> </w:t>
      </w:r>
      <w:r>
        <w:rPr>
          <w:rFonts w:ascii="Times New Roman" w:hAnsi="Times New Roman" w:cs="Times New Roman" w:hint="eastAsia"/>
          <w:sz w:val="24"/>
          <w:szCs w:val="24"/>
        </w:rPr>
        <w:t>the</w:t>
      </w:r>
      <w:r>
        <w:rPr>
          <w:rFonts w:ascii="Times New Roman" w:hAnsi="Times New Roman" w:cs="Times New Roman"/>
          <w:sz w:val="24"/>
          <w:szCs w:val="24"/>
        </w:rPr>
        <w:t xml:space="preserve"> </w:t>
      </w:r>
      <w:r>
        <w:rPr>
          <w:rFonts w:ascii="Times New Roman" w:hAnsi="Times New Roman" w:cs="Times New Roman" w:hint="eastAsia"/>
          <w:sz w:val="24"/>
          <w:szCs w:val="24"/>
        </w:rPr>
        <w:t>extracted</w:t>
      </w:r>
      <w:r>
        <w:rPr>
          <w:rFonts w:ascii="Times New Roman" w:hAnsi="Times New Roman" w:cs="Times New Roman"/>
          <w:sz w:val="24"/>
          <w:szCs w:val="24"/>
        </w:rPr>
        <w:t xml:space="preserve"> </w:t>
      </w:r>
      <w:r>
        <w:rPr>
          <w:rFonts w:ascii="Times New Roman" w:hAnsi="Times New Roman" w:cs="Times New Roman" w:hint="eastAsia"/>
          <w:sz w:val="24"/>
          <w:szCs w:val="24"/>
        </w:rPr>
        <w:t>sample</w:t>
      </w:r>
      <w:r>
        <w:rPr>
          <w:rFonts w:ascii="Times New Roman" w:hAnsi="Times New Roman" w:cs="Times New Roman"/>
          <w:sz w:val="24"/>
          <w:szCs w:val="24"/>
        </w:rPr>
        <w:t xml:space="preserve"> </w:t>
      </w:r>
      <w:r>
        <w:rPr>
          <w:rFonts w:ascii="Times New Roman" w:hAnsi="Times New Roman" w:cs="Times New Roman" w:hint="eastAsia"/>
          <w:sz w:val="24"/>
          <w:szCs w:val="24"/>
        </w:rPr>
        <w:t>size</w:t>
      </w:r>
      <w:r>
        <w:rPr>
          <w:rFonts w:ascii="Times New Roman" w:hAnsi="Times New Roman" w:cs="Times New Roman"/>
          <w:sz w:val="24"/>
          <w:szCs w:val="24"/>
        </w:rPr>
        <w:t xml:space="preserve"> </w:t>
      </w:r>
      <w:r>
        <w:rPr>
          <w:rFonts w:ascii="Times New Roman" w:hAnsi="Times New Roman" w:cs="Times New Roman" w:hint="eastAsia"/>
          <w:sz w:val="24"/>
          <w:szCs w:val="24"/>
        </w:rPr>
        <w:t>and</w:t>
      </w:r>
      <w:r>
        <w:rPr>
          <w:rFonts w:ascii="Times New Roman" w:hAnsi="Times New Roman" w:cs="Times New Roman"/>
          <w:sz w:val="24"/>
          <w:szCs w:val="24"/>
        </w:rPr>
        <w:t xml:space="preserve"> </w:t>
      </w:r>
      <w:r>
        <w:rPr>
          <w:rFonts w:ascii="Times New Roman" w:hAnsi="Times New Roman" w:cs="Times New Roman" w:hint="eastAsia"/>
          <w:sz w:val="24"/>
          <w:szCs w:val="24"/>
        </w:rPr>
        <w:t>seropositivity</w:t>
      </w:r>
      <w:r>
        <w:rPr>
          <w:rFonts w:ascii="Times New Roman" w:hAnsi="Times New Roman" w:cs="Times New Roman"/>
          <w:sz w:val="24"/>
          <w:szCs w:val="24"/>
        </w:rPr>
        <w:t xml:space="preserve"> </w:t>
      </w:r>
      <w:r>
        <w:rPr>
          <w:rFonts w:ascii="Times New Roman" w:hAnsi="Times New Roman" w:cs="Times New Roman" w:hint="eastAsia"/>
          <w:sz w:val="24"/>
          <w:szCs w:val="24"/>
        </w:rPr>
        <w:t>rate,</w:t>
      </w:r>
      <w:r>
        <w:rPr>
          <w:rFonts w:ascii="Times New Roman" w:hAnsi="Times New Roman" w:cs="Times New Roman"/>
          <w:sz w:val="24"/>
          <w:szCs w:val="24"/>
        </w:rPr>
        <w:t xml:space="preserve"> </w:t>
      </w:r>
      <w:r>
        <w:rPr>
          <w:rFonts w:ascii="Times New Roman" w:hAnsi="Times New Roman" w:cs="Times New Roman" w:hint="eastAsia"/>
          <w:sz w:val="24"/>
          <w:szCs w:val="24"/>
        </w:rPr>
        <w:t>we</w:t>
      </w:r>
      <w:r>
        <w:rPr>
          <w:rFonts w:ascii="Times New Roman" w:hAnsi="Times New Roman" w:cs="Times New Roman"/>
          <w:sz w:val="24"/>
          <w:szCs w:val="24"/>
        </w:rPr>
        <w:t xml:space="preserve"> </w:t>
      </w:r>
      <w:r>
        <w:rPr>
          <w:rFonts w:ascii="Times New Roman" w:hAnsi="Times New Roman" w:cs="Times New Roman" w:hint="eastAsia"/>
          <w:sz w:val="24"/>
          <w:szCs w:val="24"/>
        </w:rPr>
        <w:t>performed</w:t>
      </w:r>
      <w:r>
        <w:rPr>
          <w:rFonts w:ascii="Times New Roman" w:hAnsi="Times New Roman" w:cs="Times New Roman"/>
          <w:sz w:val="24"/>
          <w:szCs w:val="24"/>
        </w:rPr>
        <w:t xml:space="preserve"> </w:t>
      </w:r>
      <w:r>
        <w:rPr>
          <w:rFonts w:ascii="Times New Roman" w:hAnsi="Times New Roman" w:cs="Times New Roman" w:hint="eastAsia"/>
          <w:sz w:val="24"/>
          <w:szCs w:val="24"/>
        </w:rPr>
        <w:t>random-effects</w:t>
      </w:r>
      <w:r>
        <w:rPr>
          <w:rFonts w:ascii="Times New Roman" w:hAnsi="Times New Roman" w:cs="Times New Roman"/>
          <w:sz w:val="24"/>
          <w:szCs w:val="24"/>
        </w:rPr>
        <w:t xml:space="preserve"> </w:t>
      </w:r>
      <w:r>
        <w:rPr>
          <w:rFonts w:ascii="Times New Roman" w:hAnsi="Times New Roman" w:cs="Times New Roman" w:hint="eastAsia"/>
          <w:sz w:val="24"/>
          <w:szCs w:val="24"/>
        </w:rPr>
        <w:t>proportional</w:t>
      </w:r>
      <w:r>
        <w:rPr>
          <w:rFonts w:ascii="Times New Roman" w:hAnsi="Times New Roman" w:cs="Times New Roman"/>
          <w:sz w:val="24"/>
          <w:szCs w:val="24"/>
        </w:rPr>
        <w:t xml:space="preserve"> </w:t>
      </w:r>
      <w:r>
        <w:rPr>
          <w:rFonts w:ascii="Times New Roman" w:hAnsi="Times New Roman" w:cs="Times New Roman" w:hint="eastAsia"/>
          <w:sz w:val="24"/>
          <w:szCs w:val="24"/>
        </w:rPr>
        <w:t>meta-analyses</w:t>
      </w:r>
      <w:r>
        <w:rPr>
          <w:rFonts w:ascii="Times New Roman" w:hAnsi="Times New Roman" w:cs="Times New Roman"/>
          <w:sz w:val="24"/>
          <w:szCs w:val="24"/>
        </w:rPr>
        <w:t xml:space="preserve"> </w:t>
      </w:r>
      <w:r>
        <w:rPr>
          <w:rFonts w:ascii="Times New Roman" w:hAnsi="Times New Roman" w:cs="Times New Roman" w:hint="eastAsia"/>
          <w:sz w:val="24"/>
          <w:szCs w:val="24"/>
        </w:rPr>
        <w:t>to</w:t>
      </w:r>
      <w:r>
        <w:rPr>
          <w:rFonts w:ascii="Times New Roman" w:hAnsi="Times New Roman" w:cs="Times New Roman"/>
          <w:sz w:val="24"/>
          <w:szCs w:val="24"/>
        </w:rPr>
        <w:t xml:space="preserve"> </w:t>
      </w:r>
      <w:r>
        <w:rPr>
          <w:rFonts w:ascii="Times New Roman" w:hAnsi="Times New Roman" w:cs="Times New Roman" w:hint="eastAsia"/>
          <w:sz w:val="24"/>
          <w:szCs w:val="24"/>
        </w:rPr>
        <w:t>estimate</w:t>
      </w:r>
      <w:r>
        <w:rPr>
          <w:rFonts w:ascii="Times New Roman" w:hAnsi="Times New Roman" w:cs="Times New Roman"/>
          <w:sz w:val="24"/>
          <w:szCs w:val="24"/>
        </w:rPr>
        <w:t xml:space="preserve"> </w:t>
      </w:r>
      <w:r>
        <w:rPr>
          <w:rFonts w:ascii="Times New Roman" w:hAnsi="Times New Roman" w:cs="Times New Roman" w:hint="eastAsia"/>
          <w:sz w:val="24"/>
          <w:szCs w:val="24"/>
        </w:rPr>
        <w:t>the</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confidence</w:t>
      </w:r>
      <w:r>
        <w:rPr>
          <w:rFonts w:ascii="Times New Roman" w:hAnsi="Times New Roman" w:cs="Times New Roman"/>
          <w:sz w:val="24"/>
          <w:szCs w:val="24"/>
        </w:rPr>
        <w:t xml:space="preserve"> </w:t>
      </w:r>
      <w:r>
        <w:rPr>
          <w:rFonts w:ascii="Times New Roman" w:hAnsi="Times New Roman" w:cs="Times New Roman" w:hint="eastAsia"/>
          <w:sz w:val="24"/>
          <w:szCs w:val="24"/>
        </w:rPr>
        <w:t>interval</w:t>
      </w:r>
      <w:r>
        <w:rPr>
          <w:rFonts w:ascii="Times New Roman" w:hAnsi="Times New Roman" w:cs="Times New Roman"/>
          <w:sz w:val="24"/>
          <w:szCs w:val="24"/>
        </w:rPr>
        <w:t xml:space="preserve"> </w:t>
      </w:r>
      <w:r>
        <w:rPr>
          <w:rFonts w:ascii="Times New Roman" w:hAnsi="Times New Roman" w:cs="Times New Roman" w:hint="eastAsia"/>
          <w:sz w:val="24"/>
          <w:szCs w:val="24"/>
        </w:rPr>
        <w:t>of</w:t>
      </w:r>
      <w:r>
        <w:rPr>
          <w:rFonts w:ascii="Times New Roman" w:hAnsi="Times New Roman" w:cs="Times New Roman"/>
          <w:sz w:val="24"/>
          <w:szCs w:val="24"/>
        </w:rPr>
        <w:t xml:space="preserve"> </w:t>
      </w:r>
      <w:r>
        <w:rPr>
          <w:rFonts w:ascii="Times New Roman" w:hAnsi="Times New Roman" w:cs="Times New Roman" w:hint="eastAsia"/>
          <w:sz w:val="24"/>
          <w:szCs w:val="24"/>
        </w:rPr>
        <w:t>seropositivity</w:t>
      </w:r>
      <w:r>
        <w:rPr>
          <w:rFonts w:ascii="Times New Roman" w:hAnsi="Times New Roman" w:cs="Times New Roman"/>
          <w:sz w:val="24"/>
          <w:szCs w:val="24"/>
        </w:rPr>
        <w:t xml:space="preserve"> </w:t>
      </w:r>
      <w:r>
        <w:rPr>
          <w:rFonts w:ascii="Times New Roman" w:hAnsi="Times New Roman" w:cs="Times New Roman" w:hint="eastAsia"/>
          <w:sz w:val="24"/>
          <w:szCs w:val="24"/>
        </w:rPr>
        <w:t>rate</w:t>
      </w:r>
      <w:r>
        <w:rPr>
          <w:rFonts w:ascii="Times New Roman" w:hAnsi="Times New Roman" w:cs="Times New Roman"/>
          <w:sz w:val="24"/>
          <w:szCs w:val="24"/>
        </w:rPr>
        <w:t xml:space="preserve"> </w:t>
      </w:r>
      <w:r>
        <w:rPr>
          <w:rFonts w:ascii="Times New Roman" w:hAnsi="Times New Roman" w:cs="Times New Roman" w:hint="eastAsia"/>
          <w:sz w:val="24"/>
          <w:szCs w:val="24"/>
        </w:rPr>
        <w:t>of</w:t>
      </w:r>
      <w:r>
        <w:rPr>
          <w:rFonts w:ascii="Times New Roman" w:hAnsi="Times New Roman" w:cs="Times New Roman"/>
          <w:sz w:val="24"/>
          <w:szCs w:val="24"/>
        </w:rPr>
        <w:t xml:space="preserve"> </w:t>
      </w:r>
      <w:r>
        <w:rPr>
          <w:rFonts w:ascii="Times New Roman" w:hAnsi="Times New Roman" w:cs="Times New Roman" w:hint="eastAsia"/>
          <w:sz w:val="24"/>
          <w:szCs w:val="24"/>
        </w:rPr>
        <w:t>patients</w:t>
      </w:r>
      <w:r>
        <w:rPr>
          <w:rFonts w:ascii="Times New Roman" w:hAnsi="Times New Roman" w:cs="Times New Roman"/>
          <w:sz w:val="24"/>
          <w:szCs w:val="24"/>
        </w:rPr>
        <w:t xml:space="preserve"> </w:t>
      </w:r>
      <w:r>
        <w:rPr>
          <w:rFonts w:ascii="Times New Roman" w:hAnsi="Times New Roman" w:cs="Times New Roman" w:hint="eastAsia"/>
          <w:sz w:val="24"/>
          <w:szCs w:val="24"/>
        </w:rPr>
        <w:t>in</w:t>
      </w:r>
      <w:r>
        <w:rPr>
          <w:rFonts w:ascii="Times New Roman" w:hAnsi="Times New Roman" w:cs="Times New Roman"/>
          <w:sz w:val="24"/>
          <w:szCs w:val="24"/>
        </w:rPr>
        <w:t xml:space="preserve"> </w:t>
      </w:r>
      <w:r>
        <w:rPr>
          <w:rFonts w:ascii="Times New Roman" w:hAnsi="Times New Roman" w:cs="Times New Roman" w:hint="eastAsia"/>
          <w:sz w:val="24"/>
          <w:szCs w:val="24"/>
        </w:rPr>
        <w:t>each</w:t>
      </w:r>
      <w:r>
        <w:rPr>
          <w:rFonts w:ascii="Times New Roman" w:hAnsi="Times New Roman" w:cs="Times New Roman"/>
          <w:sz w:val="24"/>
          <w:szCs w:val="24"/>
        </w:rPr>
        <w:t xml:space="preserve"> </w:t>
      </w:r>
      <w:r>
        <w:rPr>
          <w:rFonts w:ascii="Times New Roman" w:hAnsi="Times New Roman" w:cs="Times New Roman" w:hint="eastAsia"/>
          <w:sz w:val="24"/>
          <w:szCs w:val="24"/>
        </w:rPr>
        <w:t>health</w:t>
      </w:r>
      <w:r>
        <w:rPr>
          <w:rFonts w:ascii="Times New Roman" w:hAnsi="Times New Roman" w:cs="Times New Roman"/>
          <w:sz w:val="24"/>
          <w:szCs w:val="24"/>
        </w:rPr>
        <w:t xml:space="preserve"> </w:t>
      </w:r>
      <w:r>
        <w:rPr>
          <w:rFonts w:ascii="Times New Roman" w:hAnsi="Times New Roman" w:cs="Times New Roman" w:hint="eastAsia"/>
          <w:sz w:val="24"/>
          <w:szCs w:val="24"/>
        </w:rPr>
        <w:t>status.</w:t>
      </w:r>
      <w:r>
        <w:rPr>
          <w:rFonts w:ascii="Times New Roman" w:hAnsi="Times New Roman" w:cs="Times New Roman"/>
          <w:sz w:val="24"/>
          <w:szCs w:val="24"/>
        </w:rPr>
        <w:t xml:space="preserve"> </w:t>
      </w:r>
      <w:r w:rsidR="00DA4749">
        <w:rPr>
          <w:rFonts w:ascii="Times New Roman" w:hAnsi="Times New Roman" w:cs="Times New Roman"/>
          <w:sz w:val="24"/>
          <w:szCs w:val="24"/>
        </w:rPr>
        <w:t xml:space="preserve">We evaluated the statistical heterogeneity between the studies </w:t>
      </w:r>
      <w:r w:rsidR="00DA4749" w:rsidRPr="00DA4749">
        <w:rPr>
          <w:rFonts w:ascii="Times New Roman" w:hAnsi="Times New Roman" w:cs="Times New Roman"/>
          <w:sz w:val="24"/>
          <w:szCs w:val="24"/>
        </w:rPr>
        <w:t xml:space="preserve">using </w:t>
      </w:r>
      <w:r w:rsidR="00DA4749" w:rsidRPr="00365473">
        <w:rPr>
          <w:rFonts w:ascii="Times New Roman" w:hAnsi="Times New Roman" w:cs="Times New Roman"/>
          <w:sz w:val="24"/>
          <w:szCs w:val="24"/>
          <w:shd w:val="clear" w:color="auto" w:fill="FFFFFF"/>
        </w:rPr>
        <w:t xml:space="preserve">the </w:t>
      </w:r>
      <m:oMath>
        <m:sSup>
          <m:sSupPr>
            <m:ctrlPr>
              <w:rPr>
                <w:rFonts w:ascii="Cambria Math" w:hAnsi="Cambria Math" w:cs="Times New Roman"/>
                <w:sz w:val="24"/>
                <w:szCs w:val="24"/>
                <w:shd w:val="clear" w:color="auto" w:fill="FFFFFF"/>
              </w:rPr>
            </m:ctrlPr>
          </m:sSupPr>
          <m:e>
            <m:r>
              <m:rPr>
                <m:sty m:val="p"/>
              </m:rPr>
              <w:rPr>
                <w:rFonts w:ascii="Cambria Math" w:hAnsi="Cambria Math" w:cs="Times New Roman"/>
                <w:sz w:val="24"/>
                <w:szCs w:val="24"/>
                <w:shd w:val="clear" w:color="auto" w:fill="FFFFFF"/>
              </w:rPr>
              <m:t>I</m:t>
            </m:r>
          </m:e>
          <m:sup>
            <m:r>
              <m:rPr>
                <m:sty m:val="p"/>
              </m:rPr>
              <w:rPr>
                <w:rFonts w:ascii="Cambria Math" w:hAnsi="Cambria Math" w:cs="Times New Roman"/>
                <w:sz w:val="24"/>
                <w:szCs w:val="24"/>
                <w:shd w:val="clear" w:color="auto" w:fill="FFFFFF"/>
              </w:rPr>
              <m:t>2</m:t>
            </m:r>
          </m:sup>
        </m:sSup>
      </m:oMath>
      <w:r w:rsidR="00DA4749" w:rsidRPr="00365473">
        <w:rPr>
          <w:rFonts w:ascii="Times New Roman" w:hAnsi="Times New Roman" w:cs="Times New Roman"/>
          <w:sz w:val="24"/>
          <w:szCs w:val="24"/>
          <w:shd w:val="clear" w:color="auto" w:fill="FFFFFF"/>
        </w:rPr>
        <w:t>value</w:t>
      </w:r>
      <w:r w:rsidR="00DA4749" w:rsidRPr="00AE33CC">
        <w:rPr>
          <w:rFonts w:ascii="Times New Roman" w:hAnsi="Times New Roman" w:cs="Times New Roman"/>
          <w:sz w:val="24"/>
          <w:szCs w:val="24"/>
          <w:shd w:val="clear" w:color="auto" w:fill="FFFFFF"/>
        </w:rPr>
        <w:t>.</w:t>
      </w:r>
      <w:r w:rsidR="00DA4749">
        <w:rPr>
          <w:rFonts w:ascii="Times New Roman" w:hAnsi="Times New Roman" w:cs="Times New Roman" w:hint="eastAsia"/>
          <w:sz w:val="24"/>
          <w:szCs w:val="24"/>
        </w:rPr>
        <w:t xml:space="preserve"> </w:t>
      </w:r>
      <w:r>
        <w:rPr>
          <w:rFonts w:ascii="Times New Roman" w:hAnsi="Times New Roman" w:cs="Times New Roman" w:hint="eastAsia"/>
          <w:sz w:val="24"/>
          <w:szCs w:val="24"/>
        </w:rPr>
        <w:t>R</w:t>
      </w:r>
      <w:r>
        <w:rPr>
          <w:rFonts w:ascii="Times New Roman" w:hAnsi="Times New Roman" w:cs="Times New Roman"/>
          <w:sz w:val="24"/>
          <w:szCs w:val="24"/>
        </w:rPr>
        <w:t xml:space="preserve"> </w:t>
      </w:r>
      <w:r>
        <w:rPr>
          <w:rFonts w:ascii="Times New Roman" w:hAnsi="Times New Roman" w:cs="Times New Roman" w:hint="eastAsia"/>
          <w:sz w:val="24"/>
          <w:szCs w:val="24"/>
        </w:rPr>
        <w:t>version</w:t>
      </w:r>
      <w:r>
        <w:rPr>
          <w:rFonts w:ascii="Times New Roman" w:hAnsi="Times New Roman" w:cs="Times New Roman"/>
          <w:sz w:val="24"/>
          <w:szCs w:val="24"/>
        </w:rPr>
        <w:t xml:space="preserve"> </w:t>
      </w:r>
      <w:r>
        <w:rPr>
          <w:rFonts w:ascii="Times New Roman" w:hAnsi="Times New Roman" w:cs="Times New Roman" w:hint="eastAsia"/>
          <w:sz w:val="24"/>
          <w:szCs w:val="24"/>
        </w:rPr>
        <w:t>4.1</w:t>
      </w:r>
      <w:r>
        <w:rPr>
          <w:rFonts w:ascii="Times New Roman" w:hAnsi="Times New Roman" w:cs="Times New Roman"/>
          <w:sz w:val="24"/>
          <w:szCs w:val="24"/>
        </w:rPr>
        <w:t xml:space="preserve"> </w:t>
      </w:r>
      <w:r>
        <w:rPr>
          <w:rFonts w:ascii="Times New Roman" w:hAnsi="Times New Roman" w:cs="Times New Roman" w:hint="eastAsia"/>
          <w:sz w:val="24"/>
          <w:szCs w:val="24"/>
        </w:rPr>
        <w:t>was</w:t>
      </w:r>
      <w:r>
        <w:rPr>
          <w:rFonts w:ascii="Times New Roman" w:hAnsi="Times New Roman" w:cs="Times New Roman"/>
          <w:sz w:val="24"/>
          <w:szCs w:val="24"/>
        </w:rPr>
        <w:t xml:space="preserve"> </w:t>
      </w:r>
      <w:r>
        <w:rPr>
          <w:rFonts w:ascii="Times New Roman" w:hAnsi="Times New Roman" w:cs="Times New Roman" w:hint="eastAsia"/>
          <w:sz w:val="24"/>
          <w:szCs w:val="24"/>
        </w:rPr>
        <w:t>used</w:t>
      </w:r>
      <w:r>
        <w:rPr>
          <w:rFonts w:ascii="Times New Roman" w:hAnsi="Times New Roman" w:cs="Times New Roman"/>
          <w:sz w:val="24"/>
          <w:szCs w:val="24"/>
        </w:rPr>
        <w:t xml:space="preserve"> </w:t>
      </w:r>
      <w:r>
        <w:rPr>
          <w:rFonts w:ascii="Times New Roman" w:hAnsi="Times New Roman" w:cs="Times New Roman" w:hint="eastAsia"/>
          <w:sz w:val="24"/>
          <w:szCs w:val="24"/>
        </w:rPr>
        <w:t>for</w:t>
      </w:r>
      <w:r>
        <w:rPr>
          <w:rFonts w:ascii="Times New Roman" w:hAnsi="Times New Roman" w:cs="Times New Roman"/>
          <w:sz w:val="24"/>
          <w:szCs w:val="24"/>
        </w:rPr>
        <w:t xml:space="preserve"> </w:t>
      </w:r>
      <w:r>
        <w:rPr>
          <w:rFonts w:ascii="Times New Roman" w:hAnsi="Times New Roman" w:cs="Times New Roman" w:hint="eastAsia"/>
          <w:sz w:val="24"/>
          <w:szCs w:val="24"/>
        </w:rPr>
        <w:t>the</w:t>
      </w:r>
      <w:r>
        <w:rPr>
          <w:rFonts w:ascii="Times New Roman" w:hAnsi="Times New Roman" w:cs="Times New Roman"/>
          <w:sz w:val="24"/>
          <w:szCs w:val="24"/>
        </w:rPr>
        <w:t xml:space="preserve"> </w:t>
      </w:r>
      <w:r>
        <w:rPr>
          <w:rFonts w:ascii="Times New Roman" w:hAnsi="Times New Roman" w:cs="Times New Roman" w:hint="eastAsia"/>
          <w:sz w:val="24"/>
          <w:szCs w:val="24"/>
        </w:rPr>
        <w:t>analysis.</w:t>
      </w:r>
      <w:r>
        <w:rPr>
          <w:rFonts w:ascii="Times New Roman" w:hAnsi="Times New Roman" w:cs="Times New Roman"/>
          <w:sz w:val="24"/>
          <w:szCs w:val="24"/>
        </w:rPr>
        <w:t xml:space="preserve"> </w:t>
      </w:r>
    </w:p>
    <w:p w14:paraId="4B875165" w14:textId="77777777" w:rsidR="0049304B" w:rsidRDefault="0049304B" w:rsidP="0049304B">
      <w:pPr>
        <w:widowControl/>
        <w:wordWrap/>
        <w:autoSpaceDE/>
        <w:autoSpaceDN/>
        <w:rPr>
          <w:rFonts w:ascii="Times New Roman" w:hAnsi="Times New Roman" w:cs="Times New Roman"/>
          <w:b/>
          <w:bCs/>
          <w:sz w:val="24"/>
          <w:szCs w:val="24"/>
        </w:rPr>
      </w:pPr>
      <w:r>
        <w:rPr>
          <w:rFonts w:ascii="Times New Roman" w:hAnsi="Times New Roman" w:cs="Times New Roman"/>
          <w:b/>
          <w:bCs/>
          <w:sz w:val="24"/>
          <w:szCs w:val="24"/>
        </w:rPr>
        <w:br w:type="page"/>
      </w:r>
    </w:p>
    <w:p w14:paraId="214A65A3" w14:textId="77777777" w:rsidR="0049304B" w:rsidRPr="0059072A" w:rsidRDefault="0049304B" w:rsidP="00D4555D">
      <w:pPr>
        <w:pStyle w:val="Heading1"/>
      </w:pPr>
      <w:r w:rsidRPr="0059072A">
        <w:lastRenderedPageBreak/>
        <w:t>Result</w:t>
      </w:r>
    </w:p>
    <w:p w14:paraId="3E29DECE" w14:textId="77777777" w:rsidR="0049304B" w:rsidRPr="00E159FE" w:rsidRDefault="0049304B" w:rsidP="00D4555D">
      <w:pPr>
        <w:pStyle w:val="Heading2"/>
      </w:pPr>
      <w:r w:rsidRPr="00E159FE">
        <w:rPr>
          <w:rFonts w:hint="eastAsia"/>
        </w:rPr>
        <w:t>S</w:t>
      </w:r>
      <w:r w:rsidRPr="00E159FE">
        <w:t>earch description</w:t>
      </w:r>
    </w:p>
    <w:p w14:paraId="67554E57" w14:textId="77777777" w:rsidR="0049304B" w:rsidRDefault="0049304B" w:rsidP="0049304B">
      <w:pPr>
        <w:spacing w:line="480" w:lineRule="auto"/>
        <w:rPr>
          <w:rFonts w:ascii="Times New Roman" w:hAnsi="Times New Roman" w:cs="Times New Roman"/>
          <w:sz w:val="24"/>
          <w:szCs w:val="24"/>
        </w:rPr>
      </w:pPr>
      <w:r>
        <w:rPr>
          <w:rFonts w:ascii="Times New Roman" w:hAnsi="Times New Roman" w:cs="Times New Roman" w:hint="eastAsia"/>
          <w:sz w:val="24"/>
          <w:szCs w:val="24"/>
        </w:rPr>
        <w:t>As</w:t>
      </w:r>
      <w:r>
        <w:rPr>
          <w:rFonts w:ascii="Times New Roman" w:hAnsi="Times New Roman" w:cs="Times New Roman"/>
          <w:sz w:val="24"/>
          <w:szCs w:val="24"/>
        </w:rPr>
        <w:t xml:space="preserve"> </w:t>
      </w:r>
      <w:r>
        <w:rPr>
          <w:rFonts w:ascii="Times New Roman" w:hAnsi="Times New Roman" w:cs="Times New Roman" w:hint="eastAsia"/>
          <w:sz w:val="24"/>
          <w:szCs w:val="24"/>
        </w:rPr>
        <w:t>a</w:t>
      </w:r>
      <w:r>
        <w:rPr>
          <w:rFonts w:ascii="Times New Roman" w:hAnsi="Times New Roman" w:cs="Times New Roman"/>
          <w:sz w:val="24"/>
          <w:szCs w:val="24"/>
        </w:rPr>
        <w:t xml:space="preserve"> </w:t>
      </w:r>
      <w:r>
        <w:rPr>
          <w:rFonts w:ascii="Times New Roman" w:hAnsi="Times New Roman" w:cs="Times New Roman" w:hint="eastAsia"/>
          <w:sz w:val="24"/>
          <w:szCs w:val="24"/>
        </w:rPr>
        <w:t>result</w:t>
      </w:r>
      <w:r>
        <w:rPr>
          <w:rFonts w:ascii="Times New Roman" w:hAnsi="Times New Roman" w:cs="Times New Roman"/>
          <w:sz w:val="24"/>
          <w:szCs w:val="24"/>
        </w:rPr>
        <w:t xml:space="preserve"> </w:t>
      </w:r>
      <w:r>
        <w:rPr>
          <w:rFonts w:ascii="Times New Roman" w:hAnsi="Times New Roman" w:cs="Times New Roman" w:hint="eastAsia"/>
          <w:sz w:val="24"/>
          <w:szCs w:val="24"/>
        </w:rPr>
        <w:t>of</w:t>
      </w:r>
      <w:r>
        <w:rPr>
          <w:rFonts w:ascii="Times New Roman" w:hAnsi="Times New Roman" w:cs="Times New Roman"/>
          <w:sz w:val="24"/>
          <w:szCs w:val="24"/>
        </w:rPr>
        <w:t xml:space="preserve"> </w:t>
      </w:r>
      <w:r>
        <w:rPr>
          <w:rFonts w:ascii="Times New Roman" w:hAnsi="Times New Roman" w:cs="Times New Roman" w:hint="eastAsia"/>
          <w:sz w:val="24"/>
          <w:szCs w:val="24"/>
        </w:rPr>
        <w:t>conducting</w:t>
      </w:r>
      <w:r>
        <w:rPr>
          <w:rFonts w:ascii="Times New Roman" w:hAnsi="Times New Roman" w:cs="Times New Roman"/>
          <w:sz w:val="24"/>
          <w:szCs w:val="24"/>
        </w:rPr>
        <w:t xml:space="preserve"> </w:t>
      </w:r>
      <w:r>
        <w:rPr>
          <w:rFonts w:ascii="Times New Roman" w:hAnsi="Times New Roman" w:cs="Times New Roman" w:hint="eastAsia"/>
          <w:sz w:val="24"/>
          <w:szCs w:val="24"/>
        </w:rPr>
        <w:t>the</w:t>
      </w:r>
      <w:r>
        <w:rPr>
          <w:rFonts w:ascii="Times New Roman" w:hAnsi="Times New Roman" w:cs="Times New Roman"/>
          <w:sz w:val="24"/>
          <w:szCs w:val="24"/>
        </w:rPr>
        <w:t xml:space="preserve"> </w:t>
      </w:r>
      <w:r>
        <w:rPr>
          <w:rFonts w:ascii="Times New Roman" w:hAnsi="Times New Roman" w:cs="Times New Roman" w:hint="eastAsia"/>
          <w:sz w:val="24"/>
          <w:szCs w:val="24"/>
        </w:rPr>
        <w:t>literature</w:t>
      </w:r>
      <w:r>
        <w:rPr>
          <w:rFonts w:ascii="Times New Roman" w:hAnsi="Times New Roman" w:cs="Times New Roman"/>
          <w:sz w:val="24"/>
          <w:szCs w:val="24"/>
        </w:rPr>
        <w:t xml:space="preserve"> </w:t>
      </w:r>
      <w:r>
        <w:rPr>
          <w:rFonts w:ascii="Times New Roman" w:hAnsi="Times New Roman" w:cs="Times New Roman" w:hint="eastAsia"/>
          <w:sz w:val="24"/>
          <w:szCs w:val="24"/>
        </w:rPr>
        <w:t>search</w:t>
      </w:r>
      <w:r>
        <w:rPr>
          <w:rFonts w:ascii="Times New Roman" w:hAnsi="Times New Roman" w:cs="Times New Roman"/>
          <w:sz w:val="24"/>
          <w:szCs w:val="24"/>
        </w:rPr>
        <w:t xml:space="preserve"> </w:t>
      </w:r>
      <w:r>
        <w:rPr>
          <w:rFonts w:ascii="Times New Roman" w:hAnsi="Times New Roman" w:cs="Times New Roman" w:hint="eastAsia"/>
          <w:sz w:val="24"/>
          <w:szCs w:val="24"/>
        </w:rPr>
        <w:t>from</w:t>
      </w:r>
      <w:r>
        <w:rPr>
          <w:rFonts w:ascii="Times New Roman" w:hAnsi="Times New Roman" w:cs="Times New Roman"/>
          <w:sz w:val="24"/>
          <w:szCs w:val="24"/>
        </w:rPr>
        <w:t xml:space="preserve"> </w:t>
      </w:r>
      <w:r>
        <w:rPr>
          <w:rFonts w:ascii="Times New Roman" w:hAnsi="Times New Roman" w:cs="Times New Roman" w:hint="eastAsia"/>
          <w:sz w:val="24"/>
          <w:szCs w:val="24"/>
        </w:rPr>
        <w:t>inception</w:t>
      </w:r>
      <w:r>
        <w:rPr>
          <w:rFonts w:ascii="Times New Roman" w:hAnsi="Times New Roman" w:cs="Times New Roman"/>
          <w:sz w:val="24"/>
          <w:szCs w:val="24"/>
        </w:rPr>
        <w:t xml:space="preserve"> </w:t>
      </w:r>
      <w:r>
        <w:rPr>
          <w:rFonts w:ascii="Times New Roman" w:hAnsi="Times New Roman" w:cs="Times New Roman" w:hint="eastAsia"/>
          <w:sz w:val="24"/>
          <w:szCs w:val="24"/>
        </w:rPr>
        <w:t>until</w:t>
      </w:r>
      <w:r>
        <w:rPr>
          <w:rFonts w:ascii="Times New Roman" w:hAnsi="Times New Roman" w:cs="Times New Roman"/>
          <w:sz w:val="24"/>
          <w:szCs w:val="24"/>
        </w:rPr>
        <w:t xml:space="preserve"> </w:t>
      </w:r>
      <w:r>
        <w:rPr>
          <w:rFonts w:ascii="Times New Roman" w:hAnsi="Times New Roman" w:cs="Times New Roman" w:hint="eastAsia"/>
          <w:sz w:val="24"/>
          <w:szCs w:val="24"/>
        </w:rPr>
        <w:t>5</w:t>
      </w:r>
      <w:r>
        <w:rPr>
          <w:rFonts w:ascii="Times New Roman" w:hAnsi="Times New Roman" w:cs="Times New Roman"/>
          <w:sz w:val="24"/>
          <w:szCs w:val="24"/>
        </w:rPr>
        <w:t xml:space="preserve"> </w:t>
      </w:r>
      <w:r>
        <w:rPr>
          <w:rFonts w:ascii="Times New Roman" w:hAnsi="Times New Roman" w:cs="Times New Roman" w:hint="eastAsia"/>
          <w:sz w:val="24"/>
          <w:szCs w:val="24"/>
        </w:rPr>
        <w:t>September</w:t>
      </w:r>
      <w:r>
        <w:rPr>
          <w:rFonts w:ascii="Times New Roman" w:hAnsi="Times New Roman" w:cs="Times New Roman"/>
          <w:sz w:val="24"/>
          <w:szCs w:val="24"/>
        </w:rPr>
        <w:t xml:space="preserve"> </w:t>
      </w:r>
      <w:r>
        <w:rPr>
          <w:rFonts w:ascii="Times New Roman" w:hAnsi="Times New Roman" w:cs="Times New Roman" w:hint="eastAsia"/>
          <w:sz w:val="24"/>
          <w:szCs w:val="24"/>
        </w:rPr>
        <w:t>2021,</w:t>
      </w:r>
      <w:r>
        <w:rPr>
          <w:rFonts w:ascii="Times New Roman" w:hAnsi="Times New Roman" w:cs="Times New Roman"/>
          <w:sz w:val="24"/>
          <w:szCs w:val="24"/>
        </w:rPr>
        <w:t xml:space="preserve"> </w:t>
      </w:r>
      <w:r>
        <w:rPr>
          <w:rFonts w:ascii="Times New Roman" w:hAnsi="Times New Roman" w:cs="Times New Roman" w:hint="eastAsia"/>
          <w:sz w:val="24"/>
          <w:szCs w:val="24"/>
        </w:rPr>
        <w:t>o</w:t>
      </w:r>
      <w:r>
        <w:rPr>
          <w:rFonts w:ascii="Times New Roman" w:hAnsi="Times New Roman" w:cs="Times New Roman"/>
          <w:sz w:val="24"/>
          <w:szCs w:val="24"/>
        </w:rPr>
        <w:t>ne hundred seventy-three papers were retrieved, after removing duplicate papers. Of those, one hundred twenty-six papers were excluded from the title and abstract screening process</w:t>
      </w:r>
      <w:r>
        <w:rPr>
          <w:rFonts w:ascii="Times New Roman" w:hAnsi="Times New Roman" w:cs="Times New Roman" w:hint="eastAsia"/>
          <w:sz w:val="24"/>
          <w:szCs w:val="24"/>
        </w:rPr>
        <w:t>.</w:t>
      </w:r>
      <w:r>
        <w:rPr>
          <w:rFonts w:ascii="Times New Roman" w:hAnsi="Times New Roman" w:cs="Times New Roman"/>
          <w:sz w:val="24"/>
          <w:szCs w:val="24"/>
        </w:rPr>
        <w:t xml:space="preserve"> Of the remaining fifty-one papers, thirty-five were excluded</w:t>
      </w:r>
      <w:r>
        <w:rPr>
          <w:rFonts w:ascii="Times New Roman" w:hAnsi="Times New Roman" w:cs="Times New Roman" w:hint="eastAsia"/>
          <w:sz w:val="24"/>
          <w:szCs w:val="24"/>
        </w:rPr>
        <w:t>,</w:t>
      </w:r>
      <w:r>
        <w:rPr>
          <w:rFonts w:ascii="Times New Roman" w:hAnsi="Times New Roman" w:cs="Times New Roman"/>
          <w:sz w:val="24"/>
          <w:szCs w:val="24"/>
        </w:rPr>
        <w:t xml:space="preserve"> </w:t>
      </w:r>
      <w:r>
        <w:rPr>
          <w:rFonts w:ascii="Times New Roman" w:hAnsi="Times New Roman" w:cs="Times New Roman" w:hint="eastAsia"/>
          <w:sz w:val="24"/>
          <w:szCs w:val="24"/>
        </w:rPr>
        <w:t>and</w:t>
      </w:r>
      <w:r>
        <w:rPr>
          <w:rFonts w:ascii="Times New Roman" w:hAnsi="Times New Roman" w:cs="Times New Roman"/>
          <w:sz w:val="24"/>
          <w:szCs w:val="24"/>
        </w:rPr>
        <w:t xml:space="preserve"> sixteen eligible articles remained in </w:t>
      </w:r>
      <w:r>
        <w:rPr>
          <w:rFonts w:ascii="Times New Roman" w:hAnsi="Times New Roman" w:cs="Times New Roman" w:hint="eastAsia"/>
          <w:sz w:val="24"/>
          <w:szCs w:val="24"/>
        </w:rPr>
        <w:t>the</w:t>
      </w:r>
      <w:r>
        <w:rPr>
          <w:rFonts w:ascii="Times New Roman" w:hAnsi="Times New Roman" w:cs="Times New Roman"/>
          <w:sz w:val="24"/>
          <w:szCs w:val="24"/>
        </w:rPr>
        <w:t xml:space="preserve"> review. </w:t>
      </w:r>
    </w:p>
    <w:p w14:paraId="4EAB40B6" w14:textId="2C238438" w:rsidR="0049304B" w:rsidRDefault="0049304B" w:rsidP="0049304B">
      <w:pPr>
        <w:spacing w:line="480" w:lineRule="auto"/>
        <w:rPr>
          <w:rFonts w:ascii="Times New Roman" w:hAnsi="Times New Roman" w:cs="Times New Roman"/>
          <w:sz w:val="24"/>
          <w:szCs w:val="24"/>
        </w:rPr>
      </w:pPr>
      <w:r>
        <w:rPr>
          <w:rFonts w:ascii="Times New Roman" w:hAnsi="Times New Roman" w:cs="Times New Roman" w:hint="eastAsia"/>
          <w:sz w:val="24"/>
          <w:szCs w:val="24"/>
        </w:rPr>
        <w:t xml:space="preserve"> An</w:t>
      </w:r>
      <w:r>
        <w:rPr>
          <w:rFonts w:ascii="Times New Roman" w:hAnsi="Times New Roman" w:cs="Times New Roman"/>
          <w:sz w:val="24"/>
          <w:szCs w:val="24"/>
        </w:rPr>
        <w:t xml:space="preserve"> </w:t>
      </w:r>
      <w:r>
        <w:rPr>
          <w:rFonts w:ascii="Times New Roman" w:hAnsi="Times New Roman" w:cs="Times New Roman" w:hint="eastAsia"/>
          <w:sz w:val="24"/>
          <w:szCs w:val="24"/>
        </w:rPr>
        <w:t>additional</w:t>
      </w:r>
      <w:r>
        <w:rPr>
          <w:rFonts w:ascii="Times New Roman" w:hAnsi="Times New Roman" w:cs="Times New Roman"/>
          <w:sz w:val="24"/>
          <w:szCs w:val="24"/>
        </w:rPr>
        <w:t xml:space="preserve"> </w:t>
      </w:r>
      <w:r>
        <w:rPr>
          <w:rFonts w:ascii="Times New Roman" w:hAnsi="Times New Roman" w:cs="Times New Roman" w:hint="eastAsia"/>
          <w:sz w:val="24"/>
          <w:szCs w:val="24"/>
        </w:rPr>
        <w:t>literature</w:t>
      </w:r>
      <w:r>
        <w:rPr>
          <w:rFonts w:ascii="Times New Roman" w:hAnsi="Times New Roman" w:cs="Times New Roman"/>
          <w:sz w:val="24"/>
          <w:szCs w:val="24"/>
        </w:rPr>
        <w:t xml:space="preserve"> </w:t>
      </w:r>
      <w:r>
        <w:rPr>
          <w:rFonts w:ascii="Times New Roman" w:hAnsi="Times New Roman" w:cs="Times New Roman" w:hint="eastAsia"/>
          <w:sz w:val="24"/>
          <w:szCs w:val="24"/>
        </w:rPr>
        <w:t>search</w:t>
      </w:r>
      <w:r>
        <w:rPr>
          <w:rFonts w:ascii="Times New Roman" w:hAnsi="Times New Roman" w:cs="Times New Roman"/>
          <w:sz w:val="24"/>
          <w:szCs w:val="24"/>
        </w:rPr>
        <w:t xml:space="preserve"> </w:t>
      </w:r>
      <w:r>
        <w:rPr>
          <w:rFonts w:ascii="Times New Roman" w:hAnsi="Times New Roman" w:cs="Times New Roman" w:hint="eastAsia"/>
          <w:sz w:val="24"/>
          <w:szCs w:val="24"/>
        </w:rPr>
        <w:t>was</w:t>
      </w:r>
      <w:r>
        <w:rPr>
          <w:rFonts w:ascii="Times New Roman" w:hAnsi="Times New Roman" w:cs="Times New Roman"/>
          <w:sz w:val="24"/>
          <w:szCs w:val="24"/>
        </w:rPr>
        <w:t xml:space="preserve"> </w:t>
      </w:r>
      <w:r>
        <w:rPr>
          <w:rFonts w:ascii="Times New Roman" w:hAnsi="Times New Roman" w:cs="Times New Roman" w:hint="eastAsia"/>
          <w:sz w:val="24"/>
          <w:szCs w:val="24"/>
        </w:rPr>
        <w:t>conducted</w:t>
      </w:r>
      <w:r>
        <w:rPr>
          <w:rFonts w:ascii="Times New Roman" w:hAnsi="Times New Roman" w:cs="Times New Roman"/>
          <w:sz w:val="24"/>
          <w:szCs w:val="24"/>
        </w:rPr>
        <w:t xml:space="preserve"> </w:t>
      </w:r>
      <w:r>
        <w:rPr>
          <w:rFonts w:ascii="Times New Roman" w:hAnsi="Times New Roman" w:cs="Times New Roman" w:hint="eastAsia"/>
          <w:sz w:val="24"/>
          <w:szCs w:val="24"/>
        </w:rPr>
        <w:t>on</w:t>
      </w:r>
      <w:r>
        <w:rPr>
          <w:rFonts w:ascii="Times New Roman" w:hAnsi="Times New Roman" w:cs="Times New Roman"/>
          <w:sz w:val="24"/>
          <w:szCs w:val="24"/>
        </w:rPr>
        <w:t xml:space="preserve"> </w:t>
      </w:r>
      <w:r>
        <w:rPr>
          <w:rFonts w:ascii="Times New Roman" w:hAnsi="Times New Roman" w:cs="Times New Roman" w:hint="eastAsia"/>
          <w:sz w:val="24"/>
          <w:szCs w:val="24"/>
        </w:rPr>
        <w:t>December</w:t>
      </w:r>
      <w:r>
        <w:rPr>
          <w:rFonts w:ascii="Times New Roman" w:hAnsi="Times New Roman" w:cs="Times New Roman"/>
          <w:sz w:val="24"/>
          <w:szCs w:val="24"/>
        </w:rPr>
        <w:t xml:space="preserve"> </w:t>
      </w:r>
      <w:r>
        <w:rPr>
          <w:rFonts w:ascii="Times New Roman" w:hAnsi="Times New Roman" w:cs="Times New Roman" w:hint="eastAsia"/>
          <w:sz w:val="24"/>
          <w:szCs w:val="24"/>
        </w:rPr>
        <w:t>5</w:t>
      </w:r>
      <w:r>
        <w:rPr>
          <w:rFonts w:ascii="Times New Roman" w:hAnsi="Times New Roman" w:cs="Times New Roman"/>
          <w:sz w:val="24"/>
          <w:szCs w:val="24"/>
        </w:rPr>
        <w:t xml:space="preserve"> 2021</w:t>
      </w:r>
      <w:r>
        <w:rPr>
          <w:rFonts w:ascii="Times New Roman" w:hAnsi="Times New Roman" w:cs="Times New Roman" w:hint="eastAsia"/>
          <w:sz w:val="24"/>
          <w:szCs w:val="24"/>
        </w:rPr>
        <w:t>,</w:t>
      </w:r>
      <w:r>
        <w:rPr>
          <w:rFonts w:ascii="Times New Roman" w:hAnsi="Times New Roman" w:cs="Times New Roman"/>
          <w:sz w:val="24"/>
          <w:szCs w:val="24"/>
        </w:rPr>
        <w:t xml:space="preserve"> </w:t>
      </w:r>
      <w:r>
        <w:rPr>
          <w:rFonts w:ascii="Times New Roman" w:hAnsi="Times New Roman" w:cs="Times New Roman" w:hint="eastAsia"/>
          <w:sz w:val="24"/>
          <w:szCs w:val="24"/>
        </w:rPr>
        <w:t>seventy-six</w:t>
      </w:r>
      <w:r>
        <w:rPr>
          <w:rFonts w:ascii="Times New Roman" w:hAnsi="Times New Roman" w:cs="Times New Roman"/>
          <w:sz w:val="24"/>
          <w:szCs w:val="24"/>
        </w:rPr>
        <w:t xml:space="preserve"> </w:t>
      </w:r>
      <w:r>
        <w:rPr>
          <w:rFonts w:ascii="Times New Roman" w:hAnsi="Times New Roman" w:cs="Times New Roman" w:hint="eastAsia"/>
          <w:sz w:val="24"/>
          <w:szCs w:val="24"/>
        </w:rPr>
        <w:t>papers</w:t>
      </w:r>
      <w:r>
        <w:rPr>
          <w:rFonts w:ascii="Times New Roman" w:hAnsi="Times New Roman" w:cs="Times New Roman"/>
          <w:sz w:val="24"/>
          <w:szCs w:val="24"/>
        </w:rPr>
        <w:t xml:space="preserve"> </w:t>
      </w:r>
      <w:r>
        <w:rPr>
          <w:rFonts w:ascii="Times New Roman" w:hAnsi="Times New Roman" w:cs="Times New Roman" w:hint="eastAsia"/>
          <w:sz w:val="24"/>
          <w:szCs w:val="24"/>
        </w:rPr>
        <w:t>were</w:t>
      </w:r>
      <w:r>
        <w:rPr>
          <w:rFonts w:ascii="Times New Roman" w:hAnsi="Times New Roman" w:cs="Times New Roman"/>
          <w:sz w:val="24"/>
          <w:szCs w:val="24"/>
        </w:rPr>
        <w:t xml:space="preserve"> retrieved, forty</w:t>
      </w:r>
      <w:r>
        <w:rPr>
          <w:rFonts w:ascii="Times New Roman" w:hAnsi="Times New Roman" w:cs="Times New Roman" w:hint="eastAsia"/>
          <w:sz w:val="24"/>
          <w:szCs w:val="24"/>
        </w:rPr>
        <w:t>-six</w:t>
      </w:r>
      <w:r>
        <w:rPr>
          <w:rFonts w:ascii="Times New Roman" w:hAnsi="Times New Roman" w:cs="Times New Roman"/>
          <w:sz w:val="24"/>
          <w:szCs w:val="24"/>
        </w:rPr>
        <w:t xml:space="preserve"> </w:t>
      </w:r>
      <w:r>
        <w:rPr>
          <w:rFonts w:ascii="Times New Roman" w:hAnsi="Times New Roman" w:cs="Times New Roman" w:hint="eastAsia"/>
          <w:sz w:val="24"/>
          <w:szCs w:val="24"/>
        </w:rPr>
        <w:t>papers</w:t>
      </w:r>
      <w:r>
        <w:rPr>
          <w:rFonts w:ascii="Times New Roman" w:hAnsi="Times New Roman" w:cs="Times New Roman"/>
          <w:sz w:val="24"/>
          <w:szCs w:val="24"/>
        </w:rPr>
        <w:t xml:space="preserve"> </w:t>
      </w:r>
      <w:r>
        <w:rPr>
          <w:rFonts w:ascii="Times New Roman" w:hAnsi="Times New Roman" w:cs="Times New Roman" w:hint="eastAsia"/>
          <w:sz w:val="24"/>
          <w:szCs w:val="24"/>
        </w:rPr>
        <w:t>were</w:t>
      </w:r>
      <w:r>
        <w:rPr>
          <w:rFonts w:ascii="Times New Roman" w:hAnsi="Times New Roman" w:cs="Times New Roman"/>
          <w:sz w:val="24"/>
          <w:szCs w:val="24"/>
        </w:rPr>
        <w:t xml:space="preserve"> </w:t>
      </w:r>
      <w:r>
        <w:rPr>
          <w:rFonts w:ascii="Times New Roman" w:hAnsi="Times New Roman" w:cs="Times New Roman" w:hint="eastAsia"/>
          <w:sz w:val="24"/>
          <w:szCs w:val="24"/>
        </w:rPr>
        <w:t>excluded</w:t>
      </w:r>
      <w:r>
        <w:rPr>
          <w:rFonts w:ascii="Times New Roman" w:hAnsi="Times New Roman" w:cs="Times New Roman"/>
          <w:sz w:val="24"/>
          <w:szCs w:val="24"/>
        </w:rPr>
        <w:t xml:space="preserve"> </w:t>
      </w:r>
      <w:r>
        <w:rPr>
          <w:rFonts w:ascii="Times New Roman" w:hAnsi="Times New Roman" w:cs="Times New Roman" w:hint="eastAsia"/>
          <w:sz w:val="24"/>
          <w:szCs w:val="24"/>
        </w:rPr>
        <w:t>a</w:t>
      </w:r>
      <w:r>
        <w:rPr>
          <w:rFonts w:ascii="Times New Roman" w:hAnsi="Times New Roman" w:cs="Times New Roman"/>
          <w:sz w:val="24"/>
          <w:szCs w:val="24"/>
        </w:rPr>
        <w:t xml:space="preserve">fter </w:t>
      </w:r>
      <w:r>
        <w:rPr>
          <w:rFonts w:ascii="Times New Roman" w:hAnsi="Times New Roman" w:cs="Times New Roman" w:hint="eastAsia"/>
          <w:sz w:val="24"/>
          <w:szCs w:val="24"/>
        </w:rPr>
        <w:t>title</w:t>
      </w:r>
      <w:r>
        <w:rPr>
          <w:rFonts w:ascii="Times New Roman" w:hAnsi="Times New Roman" w:cs="Times New Roman"/>
          <w:sz w:val="24"/>
          <w:szCs w:val="24"/>
        </w:rPr>
        <w:t xml:space="preserve"> </w:t>
      </w:r>
      <w:r>
        <w:rPr>
          <w:rFonts w:ascii="Times New Roman" w:hAnsi="Times New Roman" w:cs="Times New Roman" w:hint="eastAsia"/>
          <w:sz w:val="24"/>
          <w:szCs w:val="24"/>
        </w:rPr>
        <w:t>and</w:t>
      </w:r>
      <w:r>
        <w:rPr>
          <w:rFonts w:ascii="Times New Roman" w:hAnsi="Times New Roman" w:cs="Times New Roman"/>
          <w:sz w:val="24"/>
          <w:szCs w:val="24"/>
        </w:rPr>
        <w:t xml:space="preserve"> </w:t>
      </w:r>
      <w:r>
        <w:rPr>
          <w:rFonts w:ascii="Times New Roman" w:hAnsi="Times New Roman" w:cs="Times New Roman" w:hint="eastAsia"/>
          <w:sz w:val="24"/>
          <w:szCs w:val="24"/>
        </w:rPr>
        <w:t>abstract</w:t>
      </w:r>
      <w:r>
        <w:rPr>
          <w:rFonts w:ascii="Times New Roman" w:hAnsi="Times New Roman" w:cs="Times New Roman"/>
          <w:sz w:val="24"/>
          <w:szCs w:val="24"/>
        </w:rPr>
        <w:t xml:space="preserve"> </w:t>
      </w:r>
      <w:r>
        <w:rPr>
          <w:rFonts w:ascii="Times New Roman" w:hAnsi="Times New Roman" w:cs="Times New Roman" w:hint="eastAsia"/>
          <w:sz w:val="24"/>
          <w:szCs w:val="24"/>
        </w:rPr>
        <w:t>screening,</w:t>
      </w:r>
      <w:r>
        <w:rPr>
          <w:rFonts w:ascii="Times New Roman" w:hAnsi="Times New Roman" w:cs="Times New Roman"/>
          <w:sz w:val="24"/>
          <w:szCs w:val="24"/>
        </w:rPr>
        <w:t xml:space="preserve"> </w:t>
      </w:r>
      <w:r>
        <w:rPr>
          <w:rFonts w:ascii="Times New Roman" w:hAnsi="Times New Roman" w:cs="Times New Roman" w:hint="eastAsia"/>
          <w:sz w:val="24"/>
          <w:szCs w:val="24"/>
        </w:rPr>
        <w:t>and</w:t>
      </w:r>
      <w:r>
        <w:rPr>
          <w:rFonts w:ascii="Times New Roman" w:hAnsi="Times New Roman" w:cs="Times New Roman"/>
          <w:sz w:val="24"/>
          <w:szCs w:val="24"/>
        </w:rPr>
        <w:t xml:space="preserve"> </w:t>
      </w:r>
      <w:r>
        <w:rPr>
          <w:rFonts w:ascii="Times New Roman" w:hAnsi="Times New Roman" w:cs="Times New Roman" w:hint="eastAsia"/>
          <w:sz w:val="24"/>
          <w:szCs w:val="24"/>
        </w:rPr>
        <w:t>twenty-five</w:t>
      </w:r>
      <w:r>
        <w:rPr>
          <w:rFonts w:ascii="Times New Roman" w:hAnsi="Times New Roman" w:cs="Times New Roman"/>
          <w:sz w:val="24"/>
          <w:szCs w:val="24"/>
        </w:rPr>
        <w:t xml:space="preserve"> </w:t>
      </w:r>
      <w:r>
        <w:rPr>
          <w:rFonts w:ascii="Times New Roman" w:hAnsi="Times New Roman" w:cs="Times New Roman" w:hint="eastAsia"/>
          <w:sz w:val="24"/>
          <w:szCs w:val="24"/>
        </w:rPr>
        <w:t>papers</w:t>
      </w:r>
      <w:r>
        <w:rPr>
          <w:rFonts w:ascii="Times New Roman" w:hAnsi="Times New Roman" w:cs="Times New Roman"/>
          <w:sz w:val="24"/>
          <w:szCs w:val="24"/>
        </w:rPr>
        <w:t xml:space="preserve"> </w:t>
      </w:r>
      <w:r>
        <w:rPr>
          <w:rFonts w:ascii="Times New Roman" w:hAnsi="Times New Roman" w:cs="Times New Roman" w:hint="eastAsia"/>
          <w:sz w:val="24"/>
          <w:szCs w:val="24"/>
        </w:rPr>
        <w:t>were</w:t>
      </w:r>
      <w:r>
        <w:rPr>
          <w:rFonts w:ascii="Times New Roman" w:hAnsi="Times New Roman" w:cs="Times New Roman"/>
          <w:sz w:val="24"/>
          <w:szCs w:val="24"/>
        </w:rPr>
        <w:t xml:space="preserve"> </w:t>
      </w:r>
      <w:r>
        <w:rPr>
          <w:rFonts w:ascii="Times New Roman" w:hAnsi="Times New Roman" w:cs="Times New Roman" w:hint="eastAsia"/>
          <w:sz w:val="24"/>
          <w:szCs w:val="24"/>
        </w:rPr>
        <w:t>excluded</w:t>
      </w:r>
      <w:r>
        <w:rPr>
          <w:rFonts w:ascii="Times New Roman" w:hAnsi="Times New Roman" w:cs="Times New Roman"/>
          <w:sz w:val="24"/>
          <w:szCs w:val="24"/>
        </w:rPr>
        <w:t xml:space="preserve"> </w:t>
      </w:r>
      <w:r>
        <w:rPr>
          <w:rFonts w:ascii="Times New Roman" w:hAnsi="Times New Roman" w:cs="Times New Roman" w:hint="eastAsia"/>
          <w:sz w:val="24"/>
          <w:szCs w:val="24"/>
        </w:rPr>
        <w:t>a</w:t>
      </w:r>
      <w:r>
        <w:rPr>
          <w:rFonts w:ascii="Times New Roman" w:hAnsi="Times New Roman" w:cs="Times New Roman"/>
          <w:sz w:val="24"/>
          <w:szCs w:val="24"/>
        </w:rPr>
        <w:t xml:space="preserve">fter </w:t>
      </w:r>
      <w:r>
        <w:rPr>
          <w:rFonts w:ascii="Times New Roman" w:hAnsi="Times New Roman" w:cs="Times New Roman" w:hint="eastAsia"/>
          <w:sz w:val="24"/>
          <w:szCs w:val="24"/>
        </w:rPr>
        <w:t>full</w:t>
      </w:r>
      <w:r>
        <w:rPr>
          <w:rFonts w:ascii="Times New Roman" w:hAnsi="Times New Roman" w:cs="Times New Roman"/>
          <w:sz w:val="24"/>
          <w:szCs w:val="24"/>
        </w:rPr>
        <w:t xml:space="preserve"> </w:t>
      </w:r>
      <w:r>
        <w:rPr>
          <w:rFonts w:ascii="Times New Roman" w:hAnsi="Times New Roman" w:cs="Times New Roman" w:hint="eastAsia"/>
          <w:sz w:val="24"/>
          <w:szCs w:val="24"/>
        </w:rPr>
        <w:t>text</w:t>
      </w:r>
      <w:r>
        <w:rPr>
          <w:rFonts w:ascii="Times New Roman" w:hAnsi="Times New Roman" w:cs="Times New Roman"/>
          <w:sz w:val="24"/>
          <w:szCs w:val="24"/>
        </w:rPr>
        <w:t xml:space="preserve"> </w:t>
      </w:r>
      <w:r>
        <w:rPr>
          <w:rFonts w:ascii="Times New Roman" w:hAnsi="Times New Roman" w:cs="Times New Roman" w:hint="eastAsia"/>
          <w:sz w:val="24"/>
          <w:szCs w:val="24"/>
        </w:rPr>
        <w:t>screening.</w:t>
      </w:r>
      <w:r>
        <w:rPr>
          <w:rFonts w:ascii="Times New Roman" w:hAnsi="Times New Roman" w:cs="Times New Roman"/>
          <w:sz w:val="24"/>
          <w:szCs w:val="24"/>
        </w:rPr>
        <w:t xml:space="preserve"> </w:t>
      </w:r>
      <w:r>
        <w:rPr>
          <w:rFonts w:ascii="Times New Roman" w:hAnsi="Times New Roman" w:cs="Times New Roman" w:hint="eastAsia"/>
          <w:sz w:val="24"/>
          <w:szCs w:val="24"/>
        </w:rPr>
        <w:t>Finally,</w:t>
      </w:r>
      <w:r>
        <w:rPr>
          <w:rFonts w:ascii="Times New Roman" w:hAnsi="Times New Roman" w:cs="Times New Roman"/>
          <w:sz w:val="24"/>
          <w:szCs w:val="24"/>
        </w:rPr>
        <w:t xml:space="preserve"> </w:t>
      </w:r>
      <w:r>
        <w:rPr>
          <w:rFonts w:ascii="Times New Roman" w:hAnsi="Times New Roman" w:cs="Times New Roman" w:hint="eastAsia"/>
          <w:sz w:val="24"/>
          <w:szCs w:val="24"/>
        </w:rPr>
        <w:t>five</w:t>
      </w:r>
      <w:r>
        <w:rPr>
          <w:rFonts w:ascii="Times New Roman" w:hAnsi="Times New Roman" w:cs="Times New Roman"/>
          <w:sz w:val="24"/>
          <w:szCs w:val="24"/>
        </w:rPr>
        <w:t xml:space="preserve"> </w:t>
      </w:r>
      <w:r>
        <w:rPr>
          <w:rFonts w:ascii="Times New Roman" w:hAnsi="Times New Roman" w:cs="Times New Roman" w:hint="eastAsia"/>
          <w:sz w:val="24"/>
          <w:szCs w:val="24"/>
        </w:rPr>
        <w:t>papers</w:t>
      </w:r>
      <w:r>
        <w:rPr>
          <w:rFonts w:ascii="Times New Roman" w:hAnsi="Times New Roman" w:cs="Times New Roman"/>
          <w:sz w:val="24"/>
          <w:szCs w:val="24"/>
        </w:rPr>
        <w:t xml:space="preserve"> </w:t>
      </w:r>
      <w:r>
        <w:rPr>
          <w:rFonts w:ascii="Times New Roman" w:hAnsi="Times New Roman" w:cs="Times New Roman" w:hint="eastAsia"/>
          <w:sz w:val="24"/>
          <w:szCs w:val="24"/>
        </w:rPr>
        <w:t>were</w:t>
      </w:r>
      <w:r>
        <w:rPr>
          <w:rFonts w:ascii="Times New Roman" w:hAnsi="Times New Roman" w:cs="Times New Roman"/>
          <w:sz w:val="24"/>
          <w:szCs w:val="24"/>
        </w:rPr>
        <w:t xml:space="preserve"> </w:t>
      </w:r>
      <w:r>
        <w:rPr>
          <w:rFonts w:ascii="Times New Roman" w:hAnsi="Times New Roman" w:cs="Times New Roman" w:hint="eastAsia"/>
          <w:sz w:val="24"/>
          <w:szCs w:val="24"/>
        </w:rPr>
        <w:t>additionally</w:t>
      </w:r>
      <w:r>
        <w:rPr>
          <w:rFonts w:ascii="Times New Roman" w:hAnsi="Times New Roman" w:cs="Times New Roman"/>
          <w:sz w:val="24"/>
          <w:szCs w:val="24"/>
        </w:rPr>
        <w:t xml:space="preserve"> </w:t>
      </w:r>
      <w:r>
        <w:rPr>
          <w:rFonts w:ascii="Times New Roman" w:hAnsi="Times New Roman" w:cs="Times New Roman" w:hint="eastAsia"/>
          <w:sz w:val="24"/>
          <w:szCs w:val="24"/>
        </w:rPr>
        <w:t>included</w:t>
      </w:r>
      <w:r>
        <w:rPr>
          <w:rFonts w:ascii="Times New Roman" w:hAnsi="Times New Roman" w:cs="Times New Roman"/>
          <w:sz w:val="24"/>
          <w:szCs w:val="24"/>
        </w:rPr>
        <w:t xml:space="preserve"> </w:t>
      </w:r>
      <w:r>
        <w:rPr>
          <w:rFonts w:ascii="Times New Roman" w:hAnsi="Times New Roman" w:cs="Times New Roman" w:hint="eastAsia"/>
          <w:sz w:val="24"/>
          <w:szCs w:val="24"/>
        </w:rPr>
        <w:t>in</w:t>
      </w:r>
      <w:r>
        <w:rPr>
          <w:rFonts w:ascii="Times New Roman" w:hAnsi="Times New Roman" w:cs="Times New Roman"/>
          <w:sz w:val="24"/>
          <w:szCs w:val="24"/>
        </w:rPr>
        <w:t xml:space="preserve"> </w:t>
      </w:r>
      <w:r>
        <w:rPr>
          <w:rFonts w:ascii="Times New Roman" w:hAnsi="Times New Roman" w:cs="Times New Roman" w:hint="eastAsia"/>
          <w:sz w:val="24"/>
          <w:szCs w:val="24"/>
        </w:rPr>
        <w:t>the</w:t>
      </w:r>
      <w:r>
        <w:rPr>
          <w:rFonts w:ascii="Times New Roman" w:hAnsi="Times New Roman" w:cs="Times New Roman"/>
          <w:sz w:val="24"/>
          <w:szCs w:val="24"/>
        </w:rPr>
        <w:t xml:space="preserve"> </w:t>
      </w:r>
      <w:r>
        <w:rPr>
          <w:rFonts w:ascii="Times New Roman" w:hAnsi="Times New Roman" w:cs="Times New Roman" w:hint="eastAsia"/>
          <w:sz w:val="24"/>
          <w:szCs w:val="24"/>
        </w:rPr>
        <w:t>study.</w:t>
      </w:r>
      <w:r>
        <w:rPr>
          <w:rFonts w:ascii="Times New Roman" w:hAnsi="Times New Roman" w:cs="Times New Roman"/>
          <w:sz w:val="24"/>
          <w:szCs w:val="24"/>
        </w:rPr>
        <w:t xml:space="preserve"> </w:t>
      </w:r>
      <w:bookmarkStart w:id="2" w:name="_Hlk97048713"/>
      <w:r w:rsidR="00DA4749">
        <w:rPr>
          <w:rFonts w:ascii="Times New Roman" w:hAnsi="Times New Roman" w:cs="Times New Roman"/>
          <w:sz w:val="24"/>
          <w:szCs w:val="24"/>
        </w:rPr>
        <w:t xml:space="preserve">On February 27, 2022, the second additional search was performed using Cochrane Library. Thirty-three papers were searched, and seven papers satisfied the inclusion criteria. However, two of them were already included papers, and the other five were not included because they targeted at general healthy adults.  </w:t>
      </w:r>
      <w:bookmarkEnd w:id="2"/>
    </w:p>
    <w:p w14:paraId="1ADE6F8B" w14:textId="5CFCD703" w:rsidR="0049304B" w:rsidRDefault="0049304B" w:rsidP="0049304B">
      <w:pPr>
        <w:spacing w:line="480" w:lineRule="auto"/>
        <w:rPr>
          <w:rFonts w:ascii="Times New Roman" w:hAnsi="Times New Roman" w:cs="Times New Roman"/>
          <w:sz w:val="24"/>
          <w:szCs w:val="24"/>
        </w:rPr>
      </w:pPr>
      <w:r>
        <w:rPr>
          <w:rFonts w:ascii="Times New Roman" w:hAnsi="Times New Roman" w:cs="Times New Roman" w:hint="eastAsia"/>
          <w:sz w:val="24"/>
          <w:szCs w:val="24"/>
        </w:rPr>
        <w:t xml:space="preserve"> As</w:t>
      </w:r>
      <w:r>
        <w:rPr>
          <w:rFonts w:ascii="Times New Roman" w:hAnsi="Times New Roman" w:cs="Times New Roman"/>
          <w:sz w:val="24"/>
          <w:szCs w:val="24"/>
        </w:rPr>
        <w:t xml:space="preserve"> </w:t>
      </w:r>
      <w:r>
        <w:rPr>
          <w:rFonts w:ascii="Times New Roman" w:hAnsi="Times New Roman" w:cs="Times New Roman" w:hint="eastAsia"/>
          <w:sz w:val="24"/>
          <w:szCs w:val="24"/>
        </w:rPr>
        <w:t>a</w:t>
      </w:r>
      <w:r>
        <w:rPr>
          <w:rFonts w:ascii="Times New Roman" w:hAnsi="Times New Roman" w:cs="Times New Roman"/>
          <w:sz w:val="24"/>
          <w:szCs w:val="24"/>
        </w:rPr>
        <w:t xml:space="preserve"> </w:t>
      </w:r>
      <w:r>
        <w:rPr>
          <w:rFonts w:ascii="Times New Roman" w:hAnsi="Times New Roman" w:cs="Times New Roman" w:hint="eastAsia"/>
          <w:sz w:val="24"/>
          <w:szCs w:val="24"/>
        </w:rPr>
        <w:t>result,</w:t>
      </w:r>
      <w:r>
        <w:rPr>
          <w:rFonts w:ascii="Times New Roman" w:hAnsi="Times New Roman" w:cs="Times New Roman"/>
          <w:sz w:val="24"/>
          <w:szCs w:val="24"/>
        </w:rPr>
        <w:t xml:space="preserve"> </w:t>
      </w:r>
      <w:r>
        <w:rPr>
          <w:rFonts w:ascii="Times New Roman" w:hAnsi="Times New Roman" w:cs="Times New Roman" w:hint="eastAsia"/>
          <w:sz w:val="24"/>
          <w:szCs w:val="24"/>
        </w:rPr>
        <w:t>twenty-one</w:t>
      </w:r>
      <w:r>
        <w:rPr>
          <w:rFonts w:ascii="Times New Roman" w:hAnsi="Times New Roman" w:cs="Times New Roman"/>
          <w:sz w:val="24"/>
          <w:szCs w:val="24"/>
        </w:rPr>
        <w:t xml:space="preserve"> </w:t>
      </w:r>
      <w:r>
        <w:rPr>
          <w:rFonts w:ascii="Times New Roman" w:hAnsi="Times New Roman" w:cs="Times New Roman" w:hint="eastAsia"/>
          <w:sz w:val="24"/>
          <w:szCs w:val="24"/>
        </w:rPr>
        <w:t>eligible</w:t>
      </w:r>
      <w:r>
        <w:rPr>
          <w:rFonts w:ascii="Times New Roman" w:hAnsi="Times New Roman" w:cs="Times New Roman"/>
          <w:sz w:val="24"/>
          <w:szCs w:val="24"/>
        </w:rPr>
        <w:t xml:space="preserve"> </w:t>
      </w:r>
      <w:r>
        <w:rPr>
          <w:rFonts w:ascii="Times New Roman" w:hAnsi="Times New Roman" w:cs="Times New Roman" w:hint="eastAsia"/>
          <w:sz w:val="24"/>
          <w:szCs w:val="24"/>
        </w:rPr>
        <w:t>articles</w:t>
      </w:r>
      <w:r>
        <w:rPr>
          <w:rFonts w:ascii="Times New Roman" w:hAnsi="Times New Roman" w:cs="Times New Roman"/>
          <w:sz w:val="24"/>
          <w:szCs w:val="24"/>
        </w:rPr>
        <w:t xml:space="preserve"> </w:t>
      </w:r>
      <w:r>
        <w:rPr>
          <w:rFonts w:ascii="Times New Roman" w:hAnsi="Times New Roman" w:cs="Times New Roman" w:hint="eastAsia"/>
          <w:sz w:val="24"/>
          <w:szCs w:val="24"/>
        </w:rPr>
        <w:t>were</w:t>
      </w:r>
      <w:r>
        <w:rPr>
          <w:rFonts w:ascii="Times New Roman" w:hAnsi="Times New Roman" w:cs="Times New Roman"/>
          <w:sz w:val="24"/>
          <w:szCs w:val="24"/>
        </w:rPr>
        <w:t xml:space="preserve"> </w:t>
      </w:r>
      <w:r>
        <w:rPr>
          <w:rFonts w:ascii="Times New Roman" w:hAnsi="Times New Roman" w:cs="Times New Roman" w:hint="eastAsia"/>
          <w:sz w:val="24"/>
          <w:szCs w:val="24"/>
        </w:rPr>
        <w:t>included</w:t>
      </w:r>
      <w:r>
        <w:rPr>
          <w:rFonts w:ascii="Times New Roman" w:hAnsi="Times New Roman" w:cs="Times New Roman"/>
          <w:sz w:val="24"/>
          <w:szCs w:val="24"/>
        </w:rPr>
        <w:t xml:space="preserve"> </w:t>
      </w:r>
      <w:r>
        <w:rPr>
          <w:rFonts w:ascii="Times New Roman" w:hAnsi="Times New Roman" w:cs="Times New Roman" w:hint="eastAsia"/>
          <w:sz w:val="24"/>
          <w:szCs w:val="24"/>
        </w:rPr>
        <w:t>in</w:t>
      </w:r>
      <w:r>
        <w:rPr>
          <w:rFonts w:ascii="Times New Roman" w:hAnsi="Times New Roman" w:cs="Times New Roman"/>
          <w:sz w:val="24"/>
          <w:szCs w:val="24"/>
        </w:rPr>
        <w:t xml:space="preserve"> </w:t>
      </w:r>
      <w:r>
        <w:rPr>
          <w:rFonts w:ascii="Times New Roman" w:hAnsi="Times New Roman" w:cs="Times New Roman" w:hint="eastAsia"/>
          <w:sz w:val="24"/>
          <w:szCs w:val="24"/>
        </w:rPr>
        <w:t>the</w:t>
      </w:r>
      <w:r>
        <w:rPr>
          <w:rFonts w:ascii="Times New Roman" w:hAnsi="Times New Roman" w:cs="Times New Roman"/>
          <w:sz w:val="24"/>
          <w:szCs w:val="24"/>
        </w:rPr>
        <w:t xml:space="preserve"> final </w:t>
      </w:r>
      <w:r>
        <w:rPr>
          <w:rFonts w:ascii="Times New Roman" w:hAnsi="Times New Roman" w:cs="Times New Roman" w:hint="eastAsia"/>
          <w:sz w:val="24"/>
          <w:szCs w:val="24"/>
        </w:rPr>
        <w:t>review.</w:t>
      </w:r>
      <w:r>
        <w:rPr>
          <w:rFonts w:ascii="Times New Roman" w:hAnsi="Times New Roman" w:cs="Times New Roman"/>
          <w:sz w:val="24"/>
          <w:szCs w:val="24"/>
        </w:rPr>
        <w:t xml:space="preserve"> </w:t>
      </w:r>
      <w:r w:rsidR="006B1877" w:rsidRPr="00365473">
        <w:rPr>
          <w:rFonts w:ascii="Times New Roman" w:hAnsi="Times New Roman" w:cs="Times New Roman"/>
          <w:sz w:val="24"/>
          <w:szCs w:val="24"/>
          <w:shd w:val="clear" w:color="auto" w:fill="FFFFFF"/>
        </w:rPr>
        <w:t xml:space="preserve">Since all papers targeting patients seropositive in baseline showed 100% seropositivity, only the paper with the </w:t>
      </w:r>
      <w:r w:rsidR="006B1877">
        <w:rPr>
          <w:rFonts w:ascii="Times New Roman" w:hAnsi="Times New Roman" w:cs="Times New Roman"/>
          <w:sz w:val="24"/>
          <w:szCs w:val="24"/>
          <w:shd w:val="clear" w:color="auto" w:fill="FFFFFF"/>
        </w:rPr>
        <w:t>la</w:t>
      </w:r>
      <w:r w:rsidR="006B1877" w:rsidRPr="00365473">
        <w:rPr>
          <w:rFonts w:ascii="Times New Roman" w:hAnsi="Times New Roman" w:cs="Times New Roman"/>
          <w:sz w:val="24"/>
          <w:szCs w:val="24"/>
          <w:shd w:val="clear" w:color="auto" w:fill="FFFFFF"/>
        </w:rPr>
        <w:t>rgest number of patients were included. In other cases, all papers were included because at least one of the disease type, vaccine type, vaccination interval, and test date was different</w:t>
      </w:r>
      <w:r w:rsidR="006B1877">
        <w:rPr>
          <w:rFonts w:ascii="Times New Roman" w:hAnsi="Times New Roman" w:cs="Times New Roman"/>
          <w:sz w:val="24"/>
          <w:szCs w:val="24"/>
          <w:shd w:val="clear" w:color="auto" w:fill="FFFFFF"/>
        </w:rPr>
        <w:t xml:space="preserve">. </w:t>
      </w:r>
      <w:r w:rsidRPr="006B1877">
        <w:rPr>
          <w:rFonts w:ascii="Times New Roman" w:hAnsi="Times New Roman" w:cs="Times New Roman"/>
          <w:sz w:val="24"/>
          <w:szCs w:val="24"/>
        </w:rPr>
        <w:t xml:space="preserve">A </w:t>
      </w:r>
      <w:r>
        <w:rPr>
          <w:rFonts w:ascii="Times New Roman" w:hAnsi="Times New Roman" w:cs="Times New Roman"/>
          <w:sz w:val="24"/>
          <w:szCs w:val="24"/>
        </w:rPr>
        <w:t xml:space="preserve">flow-chart of literature search is shown in Figure 1, and specific reasons for exclusion are presented in Supplement 2. </w:t>
      </w:r>
    </w:p>
    <w:p w14:paraId="6269F0C6" w14:textId="77777777" w:rsidR="0049304B" w:rsidRDefault="0049304B" w:rsidP="00D4555D">
      <w:pPr>
        <w:pStyle w:val="Heading2"/>
      </w:pPr>
      <w:r w:rsidRPr="00E159FE">
        <w:rPr>
          <w:rFonts w:hint="eastAsia"/>
        </w:rPr>
        <w:t>S</w:t>
      </w:r>
      <w:r w:rsidRPr="00E159FE">
        <w:t>ummary of included studies</w:t>
      </w:r>
    </w:p>
    <w:p w14:paraId="1546CE7F" w14:textId="77777777" w:rsidR="0049304B" w:rsidRDefault="0049304B" w:rsidP="0049304B">
      <w:pPr>
        <w:spacing w:line="480" w:lineRule="auto"/>
        <w:rPr>
          <w:rFonts w:ascii="Times New Roman" w:hAnsi="Times New Roman" w:cs="Times New Roman"/>
          <w:sz w:val="24"/>
          <w:szCs w:val="24"/>
        </w:rPr>
      </w:pPr>
      <w:r>
        <w:rPr>
          <w:rFonts w:ascii="Times New Roman" w:hAnsi="Times New Roman" w:cs="Times New Roman" w:hint="eastAsia"/>
          <w:sz w:val="24"/>
          <w:szCs w:val="24"/>
        </w:rPr>
        <w:t>The</w:t>
      </w:r>
      <w:r>
        <w:rPr>
          <w:rFonts w:ascii="Times New Roman" w:hAnsi="Times New Roman" w:cs="Times New Roman"/>
          <w:sz w:val="24"/>
          <w:szCs w:val="24"/>
        </w:rPr>
        <w:t xml:space="preserve"> </w:t>
      </w:r>
      <w:r>
        <w:rPr>
          <w:rFonts w:ascii="Times New Roman" w:hAnsi="Times New Roman" w:cs="Times New Roman" w:hint="eastAsia"/>
          <w:sz w:val="24"/>
          <w:szCs w:val="24"/>
        </w:rPr>
        <w:t>characteristics</w:t>
      </w:r>
      <w:r>
        <w:rPr>
          <w:rFonts w:ascii="Times New Roman" w:hAnsi="Times New Roman" w:cs="Times New Roman"/>
          <w:sz w:val="24"/>
          <w:szCs w:val="24"/>
        </w:rPr>
        <w:t xml:space="preserve"> </w:t>
      </w:r>
      <w:r>
        <w:rPr>
          <w:rFonts w:ascii="Times New Roman" w:hAnsi="Times New Roman" w:cs="Times New Roman" w:hint="eastAsia"/>
          <w:sz w:val="24"/>
          <w:szCs w:val="24"/>
        </w:rPr>
        <w:t>of</w:t>
      </w:r>
      <w:r>
        <w:rPr>
          <w:rFonts w:ascii="Times New Roman" w:hAnsi="Times New Roman" w:cs="Times New Roman"/>
          <w:sz w:val="24"/>
          <w:szCs w:val="24"/>
        </w:rPr>
        <w:t xml:space="preserve"> </w:t>
      </w:r>
      <w:r>
        <w:rPr>
          <w:rFonts w:ascii="Times New Roman" w:hAnsi="Times New Roman" w:cs="Times New Roman" w:hint="eastAsia"/>
          <w:sz w:val="24"/>
          <w:szCs w:val="24"/>
        </w:rPr>
        <w:t>included</w:t>
      </w:r>
      <w:r>
        <w:rPr>
          <w:rFonts w:ascii="Times New Roman" w:hAnsi="Times New Roman" w:cs="Times New Roman"/>
          <w:sz w:val="24"/>
          <w:szCs w:val="24"/>
        </w:rPr>
        <w:t xml:space="preserve"> </w:t>
      </w:r>
      <w:r>
        <w:rPr>
          <w:rFonts w:ascii="Times New Roman" w:hAnsi="Times New Roman" w:cs="Times New Roman" w:hint="eastAsia"/>
          <w:sz w:val="24"/>
          <w:szCs w:val="24"/>
        </w:rPr>
        <w:t>studies</w:t>
      </w:r>
      <w:r>
        <w:rPr>
          <w:rFonts w:ascii="Times New Roman" w:hAnsi="Times New Roman" w:cs="Times New Roman"/>
          <w:sz w:val="24"/>
          <w:szCs w:val="24"/>
        </w:rPr>
        <w:t xml:space="preserve"> </w:t>
      </w:r>
      <w:r>
        <w:rPr>
          <w:rFonts w:ascii="Times New Roman" w:hAnsi="Times New Roman" w:cs="Times New Roman" w:hint="eastAsia"/>
          <w:sz w:val="24"/>
          <w:szCs w:val="24"/>
        </w:rPr>
        <w:t>are</w:t>
      </w:r>
      <w:r>
        <w:rPr>
          <w:rFonts w:ascii="Times New Roman" w:hAnsi="Times New Roman" w:cs="Times New Roman"/>
          <w:sz w:val="24"/>
          <w:szCs w:val="24"/>
        </w:rPr>
        <w:t xml:space="preserve"> </w:t>
      </w:r>
      <w:r>
        <w:rPr>
          <w:rFonts w:ascii="Times New Roman" w:hAnsi="Times New Roman" w:cs="Times New Roman" w:hint="eastAsia"/>
          <w:sz w:val="24"/>
          <w:szCs w:val="24"/>
        </w:rPr>
        <w:t>presented</w:t>
      </w:r>
      <w:r>
        <w:rPr>
          <w:rFonts w:ascii="Times New Roman" w:hAnsi="Times New Roman" w:cs="Times New Roman"/>
          <w:sz w:val="24"/>
          <w:szCs w:val="24"/>
        </w:rPr>
        <w:t xml:space="preserve"> </w:t>
      </w:r>
      <w:r>
        <w:rPr>
          <w:rFonts w:ascii="Times New Roman" w:hAnsi="Times New Roman" w:cs="Times New Roman" w:hint="eastAsia"/>
          <w:sz w:val="24"/>
          <w:szCs w:val="24"/>
        </w:rPr>
        <w:t>in</w:t>
      </w:r>
      <w:r>
        <w:rPr>
          <w:rFonts w:ascii="Times New Roman" w:hAnsi="Times New Roman" w:cs="Times New Roman"/>
          <w:sz w:val="24"/>
          <w:szCs w:val="24"/>
        </w:rPr>
        <w:t xml:space="preserve"> </w:t>
      </w:r>
      <w:r>
        <w:rPr>
          <w:rFonts w:ascii="Times New Roman" w:hAnsi="Times New Roman" w:cs="Times New Roman" w:hint="eastAsia"/>
          <w:sz w:val="24"/>
          <w:szCs w:val="24"/>
        </w:rPr>
        <w:t>Table</w:t>
      </w:r>
      <w:r>
        <w:rPr>
          <w:rFonts w:ascii="Times New Roman" w:hAnsi="Times New Roman" w:cs="Times New Roman"/>
          <w:sz w:val="24"/>
          <w:szCs w:val="24"/>
        </w:rPr>
        <w:t xml:space="preserve"> </w:t>
      </w:r>
      <w:r>
        <w:rPr>
          <w:rFonts w:ascii="Times New Roman" w:hAnsi="Times New Roman" w:cs="Times New Roman" w:hint="eastAsia"/>
          <w:sz w:val="24"/>
          <w:szCs w:val="24"/>
        </w:rPr>
        <w:t>1</w:t>
      </w:r>
      <w:r>
        <w:rPr>
          <w:rFonts w:ascii="Times New Roman" w:hAnsi="Times New Roman" w:cs="Times New Roman"/>
          <w:sz w:val="24"/>
          <w:szCs w:val="24"/>
        </w:rPr>
        <w:t xml:space="preserve"> </w:t>
      </w:r>
      <w:r>
        <w:rPr>
          <w:rFonts w:ascii="Times New Roman" w:hAnsi="Times New Roman" w:cs="Times New Roman" w:hint="eastAsia"/>
          <w:sz w:val="24"/>
          <w:szCs w:val="24"/>
        </w:rPr>
        <w:t>and</w:t>
      </w:r>
      <w:r>
        <w:rPr>
          <w:rFonts w:ascii="Times New Roman" w:hAnsi="Times New Roman" w:cs="Times New Roman"/>
          <w:sz w:val="24"/>
          <w:szCs w:val="24"/>
        </w:rPr>
        <w:t xml:space="preserve"> </w:t>
      </w:r>
      <w:r>
        <w:rPr>
          <w:rFonts w:ascii="Times New Roman" w:hAnsi="Times New Roman" w:cs="Times New Roman" w:hint="eastAsia"/>
          <w:sz w:val="24"/>
          <w:szCs w:val="24"/>
        </w:rPr>
        <w:t>Supplement</w:t>
      </w:r>
      <w:r>
        <w:rPr>
          <w:rFonts w:ascii="Times New Roman" w:hAnsi="Times New Roman" w:cs="Times New Roman"/>
          <w:sz w:val="24"/>
          <w:szCs w:val="24"/>
        </w:rPr>
        <w:t xml:space="preserve"> </w:t>
      </w:r>
      <w:r>
        <w:rPr>
          <w:rFonts w:ascii="Times New Roman" w:hAnsi="Times New Roman" w:cs="Times New Roman" w:hint="eastAsia"/>
          <w:sz w:val="24"/>
          <w:szCs w:val="24"/>
        </w:rPr>
        <w:t>2.</w:t>
      </w:r>
      <w:r>
        <w:rPr>
          <w:rFonts w:ascii="Times New Roman" w:hAnsi="Times New Roman" w:cs="Times New Roman"/>
          <w:sz w:val="24"/>
          <w:szCs w:val="24"/>
        </w:rPr>
        <w:t xml:space="preserve"> </w:t>
      </w:r>
      <w:r>
        <w:rPr>
          <w:rFonts w:ascii="Times New Roman" w:hAnsi="Times New Roman" w:cs="Times New Roman" w:hint="eastAsia"/>
          <w:sz w:val="24"/>
          <w:szCs w:val="24"/>
        </w:rPr>
        <w:t>Table</w:t>
      </w:r>
      <w:r>
        <w:rPr>
          <w:rFonts w:ascii="Times New Roman" w:hAnsi="Times New Roman" w:cs="Times New Roman"/>
          <w:sz w:val="24"/>
          <w:szCs w:val="24"/>
        </w:rPr>
        <w:t xml:space="preserve"> </w:t>
      </w:r>
      <w:r>
        <w:rPr>
          <w:rFonts w:ascii="Times New Roman" w:hAnsi="Times New Roman" w:cs="Times New Roman" w:hint="eastAsia"/>
          <w:sz w:val="24"/>
          <w:szCs w:val="24"/>
        </w:rPr>
        <w:t>1</w:t>
      </w:r>
      <w:r>
        <w:rPr>
          <w:rFonts w:ascii="Times New Roman" w:hAnsi="Times New Roman" w:cs="Times New Roman"/>
          <w:sz w:val="24"/>
          <w:szCs w:val="24"/>
        </w:rPr>
        <w:t xml:space="preserve"> </w:t>
      </w:r>
      <w:r>
        <w:rPr>
          <w:rFonts w:ascii="Times New Roman" w:hAnsi="Times New Roman" w:cs="Times New Roman" w:hint="eastAsia"/>
          <w:sz w:val="24"/>
          <w:szCs w:val="24"/>
        </w:rPr>
        <w:t>and</w:t>
      </w:r>
      <w:r>
        <w:rPr>
          <w:rFonts w:ascii="Times New Roman" w:hAnsi="Times New Roman" w:cs="Times New Roman"/>
          <w:sz w:val="24"/>
          <w:szCs w:val="24"/>
        </w:rPr>
        <w:t xml:space="preserve"> </w:t>
      </w:r>
      <w:r>
        <w:rPr>
          <w:rFonts w:ascii="Times New Roman" w:hAnsi="Times New Roman" w:cs="Times New Roman" w:hint="eastAsia"/>
          <w:sz w:val="24"/>
          <w:szCs w:val="24"/>
        </w:rPr>
        <w:t>Supplement</w:t>
      </w:r>
      <w:r>
        <w:rPr>
          <w:rFonts w:ascii="Times New Roman" w:hAnsi="Times New Roman" w:cs="Times New Roman"/>
          <w:sz w:val="24"/>
          <w:szCs w:val="24"/>
        </w:rPr>
        <w:t xml:space="preserve"> </w:t>
      </w:r>
      <w:r>
        <w:rPr>
          <w:rFonts w:ascii="Times New Roman" w:hAnsi="Times New Roman" w:cs="Times New Roman" w:hint="eastAsia"/>
          <w:sz w:val="24"/>
          <w:szCs w:val="24"/>
        </w:rPr>
        <w:t>2</w:t>
      </w:r>
      <w:r>
        <w:rPr>
          <w:rFonts w:ascii="Times New Roman" w:hAnsi="Times New Roman" w:cs="Times New Roman"/>
          <w:sz w:val="24"/>
          <w:szCs w:val="24"/>
        </w:rPr>
        <w:t xml:space="preserve"> </w:t>
      </w:r>
      <w:r>
        <w:rPr>
          <w:rFonts w:ascii="Times New Roman" w:hAnsi="Times New Roman" w:cs="Times New Roman" w:hint="eastAsia"/>
          <w:sz w:val="24"/>
          <w:szCs w:val="24"/>
        </w:rPr>
        <w:t>summarize</w:t>
      </w:r>
      <w:r>
        <w:rPr>
          <w:rFonts w:ascii="Times New Roman" w:hAnsi="Times New Roman" w:cs="Times New Roman"/>
          <w:sz w:val="24"/>
          <w:szCs w:val="24"/>
        </w:rPr>
        <w:t xml:space="preserve"> </w:t>
      </w:r>
      <w:r>
        <w:rPr>
          <w:rFonts w:ascii="Times New Roman" w:hAnsi="Times New Roman" w:cs="Times New Roman" w:hint="eastAsia"/>
          <w:sz w:val="24"/>
          <w:szCs w:val="24"/>
        </w:rPr>
        <w:t>which</w:t>
      </w:r>
      <w:r>
        <w:rPr>
          <w:rFonts w:ascii="Times New Roman" w:hAnsi="Times New Roman" w:cs="Times New Roman"/>
          <w:sz w:val="24"/>
          <w:szCs w:val="24"/>
        </w:rPr>
        <w:t xml:space="preserve"> </w:t>
      </w:r>
      <w:r>
        <w:rPr>
          <w:rFonts w:ascii="Times New Roman" w:hAnsi="Times New Roman" w:cs="Times New Roman" w:hint="eastAsia"/>
          <w:sz w:val="24"/>
          <w:szCs w:val="24"/>
        </w:rPr>
        <w:t>participants</w:t>
      </w:r>
      <w:r>
        <w:rPr>
          <w:rFonts w:ascii="Times New Roman" w:hAnsi="Times New Roman" w:cs="Times New Roman"/>
          <w:sz w:val="24"/>
          <w:szCs w:val="24"/>
        </w:rPr>
        <w:t xml:space="preserve"> </w:t>
      </w:r>
      <w:r>
        <w:rPr>
          <w:rFonts w:ascii="Times New Roman" w:hAnsi="Times New Roman" w:cs="Times New Roman" w:hint="eastAsia"/>
          <w:sz w:val="24"/>
          <w:szCs w:val="24"/>
        </w:rPr>
        <w:t>were</w:t>
      </w:r>
      <w:r>
        <w:rPr>
          <w:rFonts w:ascii="Times New Roman" w:hAnsi="Times New Roman" w:cs="Times New Roman"/>
          <w:sz w:val="24"/>
          <w:szCs w:val="24"/>
        </w:rPr>
        <w:t xml:space="preserve"> </w:t>
      </w:r>
      <w:r>
        <w:rPr>
          <w:rFonts w:ascii="Times New Roman" w:hAnsi="Times New Roman" w:cs="Times New Roman" w:hint="eastAsia"/>
          <w:sz w:val="24"/>
          <w:szCs w:val="24"/>
        </w:rPr>
        <w:t>included,</w:t>
      </w:r>
      <w:r>
        <w:rPr>
          <w:rFonts w:ascii="Times New Roman" w:hAnsi="Times New Roman" w:cs="Times New Roman"/>
          <w:sz w:val="24"/>
          <w:szCs w:val="24"/>
        </w:rPr>
        <w:t xml:space="preserve"> </w:t>
      </w:r>
      <w:r>
        <w:rPr>
          <w:rFonts w:ascii="Times New Roman" w:hAnsi="Times New Roman" w:cs="Times New Roman" w:hint="eastAsia"/>
          <w:sz w:val="24"/>
          <w:szCs w:val="24"/>
        </w:rPr>
        <w:t>which</w:t>
      </w:r>
      <w:r>
        <w:rPr>
          <w:rFonts w:ascii="Times New Roman" w:hAnsi="Times New Roman" w:cs="Times New Roman"/>
          <w:sz w:val="24"/>
          <w:szCs w:val="24"/>
        </w:rPr>
        <w:t xml:space="preserve"> </w:t>
      </w:r>
      <w:r>
        <w:rPr>
          <w:rFonts w:ascii="Times New Roman" w:hAnsi="Times New Roman" w:cs="Times New Roman" w:hint="eastAsia"/>
          <w:sz w:val="24"/>
          <w:szCs w:val="24"/>
        </w:rPr>
        <w:t>controls</w:t>
      </w:r>
      <w:r>
        <w:rPr>
          <w:rFonts w:ascii="Times New Roman" w:hAnsi="Times New Roman" w:cs="Times New Roman"/>
          <w:sz w:val="24"/>
          <w:szCs w:val="24"/>
        </w:rPr>
        <w:t xml:space="preserve"> </w:t>
      </w:r>
      <w:r>
        <w:rPr>
          <w:rFonts w:ascii="Times New Roman" w:hAnsi="Times New Roman" w:cs="Times New Roman" w:hint="eastAsia"/>
          <w:sz w:val="24"/>
          <w:szCs w:val="24"/>
        </w:rPr>
        <w:t>were</w:t>
      </w:r>
      <w:r>
        <w:rPr>
          <w:rFonts w:ascii="Times New Roman" w:hAnsi="Times New Roman" w:cs="Times New Roman"/>
          <w:sz w:val="24"/>
          <w:szCs w:val="24"/>
        </w:rPr>
        <w:t xml:space="preserve"> </w:t>
      </w:r>
      <w:r>
        <w:rPr>
          <w:rFonts w:ascii="Times New Roman" w:hAnsi="Times New Roman" w:cs="Times New Roman" w:hint="eastAsia"/>
          <w:sz w:val="24"/>
          <w:szCs w:val="24"/>
        </w:rPr>
        <w:t>included,</w:t>
      </w:r>
      <w:r>
        <w:rPr>
          <w:rFonts w:ascii="Times New Roman" w:hAnsi="Times New Roman" w:cs="Times New Roman"/>
          <w:sz w:val="24"/>
          <w:szCs w:val="24"/>
        </w:rPr>
        <w:t xml:space="preserve"> </w:t>
      </w:r>
      <w:r>
        <w:rPr>
          <w:rFonts w:ascii="Times New Roman" w:hAnsi="Times New Roman" w:cs="Times New Roman" w:hint="eastAsia"/>
          <w:sz w:val="24"/>
          <w:szCs w:val="24"/>
        </w:rPr>
        <w:lastRenderedPageBreak/>
        <w:t>what</w:t>
      </w:r>
      <w:r>
        <w:rPr>
          <w:rFonts w:ascii="Times New Roman" w:hAnsi="Times New Roman" w:cs="Times New Roman"/>
          <w:sz w:val="24"/>
          <w:szCs w:val="24"/>
        </w:rPr>
        <w:t xml:space="preserve"> </w:t>
      </w:r>
      <w:r>
        <w:rPr>
          <w:rFonts w:ascii="Times New Roman" w:hAnsi="Times New Roman" w:cs="Times New Roman" w:hint="eastAsia"/>
          <w:sz w:val="24"/>
          <w:szCs w:val="24"/>
        </w:rPr>
        <w:t>criteria</w:t>
      </w:r>
      <w:r>
        <w:rPr>
          <w:rFonts w:ascii="Times New Roman" w:hAnsi="Times New Roman" w:cs="Times New Roman"/>
          <w:sz w:val="24"/>
          <w:szCs w:val="24"/>
        </w:rPr>
        <w:t xml:space="preserve"> </w:t>
      </w:r>
      <w:r>
        <w:rPr>
          <w:rFonts w:ascii="Times New Roman" w:hAnsi="Times New Roman" w:cs="Times New Roman" w:hint="eastAsia"/>
          <w:sz w:val="24"/>
          <w:szCs w:val="24"/>
        </w:rPr>
        <w:t>determined</w:t>
      </w:r>
      <w:r>
        <w:rPr>
          <w:rFonts w:ascii="Times New Roman" w:hAnsi="Times New Roman" w:cs="Times New Roman"/>
          <w:sz w:val="24"/>
          <w:szCs w:val="24"/>
        </w:rPr>
        <w:t xml:space="preserve"> </w:t>
      </w:r>
      <w:r>
        <w:rPr>
          <w:rFonts w:ascii="Times New Roman" w:hAnsi="Times New Roman" w:cs="Times New Roman" w:hint="eastAsia"/>
          <w:sz w:val="24"/>
          <w:szCs w:val="24"/>
        </w:rPr>
        <w:t>that</w:t>
      </w:r>
      <w:r>
        <w:rPr>
          <w:rFonts w:ascii="Times New Roman" w:hAnsi="Times New Roman" w:cs="Times New Roman"/>
          <w:sz w:val="24"/>
          <w:szCs w:val="24"/>
        </w:rPr>
        <w:t xml:space="preserve"> </w:t>
      </w:r>
      <w:r>
        <w:rPr>
          <w:rFonts w:ascii="Times New Roman" w:hAnsi="Times New Roman" w:cs="Times New Roman" w:hint="eastAsia"/>
          <w:sz w:val="24"/>
          <w:szCs w:val="24"/>
        </w:rPr>
        <w:t>the</w:t>
      </w:r>
      <w:r>
        <w:rPr>
          <w:rFonts w:ascii="Times New Roman" w:hAnsi="Times New Roman" w:cs="Times New Roman"/>
          <w:sz w:val="24"/>
          <w:szCs w:val="24"/>
        </w:rPr>
        <w:t xml:space="preserve"> </w:t>
      </w:r>
      <w:r>
        <w:rPr>
          <w:rFonts w:ascii="Times New Roman" w:hAnsi="Times New Roman" w:cs="Times New Roman" w:hint="eastAsia"/>
          <w:sz w:val="24"/>
          <w:szCs w:val="24"/>
        </w:rPr>
        <w:t>participants</w:t>
      </w:r>
      <w:r>
        <w:rPr>
          <w:rFonts w:ascii="Times New Roman" w:hAnsi="Times New Roman" w:cs="Times New Roman"/>
          <w:sz w:val="24"/>
          <w:szCs w:val="24"/>
        </w:rPr>
        <w:t xml:space="preserve"> </w:t>
      </w:r>
      <w:r>
        <w:rPr>
          <w:rFonts w:ascii="Times New Roman" w:hAnsi="Times New Roman" w:cs="Times New Roman" w:hint="eastAsia"/>
          <w:sz w:val="24"/>
          <w:szCs w:val="24"/>
        </w:rPr>
        <w:t>are</w:t>
      </w:r>
      <w:r>
        <w:rPr>
          <w:rFonts w:ascii="Times New Roman" w:hAnsi="Times New Roman" w:cs="Times New Roman"/>
          <w:sz w:val="24"/>
          <w:szCs w:val="24"/>
        </w:rPr>
        <w:t xml:space="preserve"> </w:t>
      </w:r>
      <w:r>
        <w:rPr>
          <w:rFonts w:ascii="Times New Roman" w:hAnsi="Times New Roman" w:cs="Times New Roman" w:hint="eastAsia"/>
          <w:sz w:val="24"/>
          <w:szCs w:val="24"/>
        </w:rPr>
        <w:t>seropositive,</w:t>
      </w:r>
      <w:r>
        <w:rPr>
          <w:rFonts w:ascii="Times New Roman" w:hAnsi="Times New Roman" w:cs="Times New Roman"/>
          <w:sz w:val="24"/>
          <w:szCs w:val="24"/>
        </w:rPr>
        <w:t xml:space="preserve"> </w:t>
      </w:r>
      <w:r>
        <w:rPr>
          <w:rFonts w:ascii="Times New Roman" w:hAnsi="Times New Roman" w:cs="Times New Roman" w:hint="eastAsia"/>
          <w:sz w:val="24"/>
          <w:szCs w:val="24"/>
        </w:rPr>
        <w:t>which</w:t>
      </w:r>
      <w:r>
        <w:rPr>
          <w:rFonts w:ascii="Times New Roman" w:hAnsi="Times New Roman" w:cs="Times New Roman"/>
          <w:sz w:val="24"/>
          <w:szCs w:val="24"/>
        </w:rPr>
        <w:t xml:space="preserve"> </w:t>
      </w:r>
      <w:r>
        <w:rPr>
          <w:rFonts w:ascii="Times New Roman" w:hAnsi="Times New Roman" w:cs="Times New Roman" w:hint="eastAsia"/>
          <w:sz w:val="24"/>
          <w:szCs w:val="24"/>
        </w:rPr>
        <w:t>vaccines</w:t>
      </w:r>
      <w:r>
        <w:rPr>
          <w:rFonts w:ascii="Times New Roman" w:hAnsi="Times New Roman" w:cs="Times New Roman"/>
          <w:sz w:val="24"/>
          <w:szCs w:val="24"/>
        </w:rPr>
        <w:t xml:space="preserve"> </w:t>
      </w:r>
      <w:r>
        <w:rPr>
          <w:rFonts w:ascii="Times New Roman" w:hAnsi="Times New Roman" w:cs="Times New Roman" w:hint="eastAsia"/>
          <w:sz w:val="24"/>
          <w:szCs w:val="24"/>
        </w:rPr>
        <w:t>were</w:t>
      </w:r>
      <w:r>
        <w:rPr>
          <w:rFonts w:ascii="Times New Roman" w:hAnsi="Times New Roman" w:cs="Times New Roman"/>
          <w:sz w:val="24"/>
          <w:szCs w:val="24"/>
        </w:rPr>
        <w:t xml:space="preserve"> </w:t>
      </w:r>
      <w:r>
        <w:rPr>
          <w:rFonts w:ascii="Times New Roman" w:hAnsi="Times New Roman" w:cs="Times New Roman" w:hint="eastAsia"/>
          <w:sz w:val="24"/>
          <w:szCs w:val="24"/>
        </w:rPr>
        <w:t>used,</w:t>
      </w:r>
      <w:r>
        <w:rPr>
          <w:rFonts w:ascii="Times New Roman" w:hAnsi="Times New Roman" w:cs="Times New Roman"/>
          <w:sz w:val="24"/>
          <w:szCs w:val="24"/>
        </w:rPr>
        <w:t xml:space="preserve"> </w:t>
      </w:r>
      <w:r>
        <w:rPr>
          <w:rFonts w:ascii="Times New Roman" w:hAnsi="Times New Roman" w:cs="Times New Roman" w:hint="eastAsia"/>
          <w:sz w:val="24"/>
          <w:szCs w:val="24"/>
        </w:rPr>
        <w:t>and</w:t>
      </w:r>
      <w:r>
        <w:rPr>
          <w:rFonts w:ascii="Times New Roman" w:hAnsi="Times New Roman" w:cs="Times New Roman"/>
          <w:sz w:val="24"/>
          <w:szCs w:val="24"/>
        </w:rPr>
        <w:t xml:space="preserve"> </w:t>
      </w:r>
      <w:r>
        <w:rPr>
          <w:rFonts w:ascii="Times New Roman" w:hAnsi="Times New Roman" w:cs="Times New Roman" w:hint="eastAsia"/>
          <w:sz w:val="24"/>
          <w:szCs w:val="24"/>
        </w:rPr>
        <w:t>intervals</w:t>
      </w:r>
      <w:r>
        <w:rPr>
          <w:rFonts w:ascii="Times New Roman" w:hAnsi="Times New Roman" w:cs="Times New Roman"/>
          <w:sz w:val="24"/>
          <w:szCs w:val="24"/>
        </w:rPr>
        <w:t xml:space="preserve"> for which </w:t>
      </w:r>
      <w:r>
        <w:rPr>
          <w:rFonts w:ascii="Times New Roman" w:hAnsi="Times New Roman" w:cs="Times New Roman" w:hint="eastAsia"/>
          <w:sz w:val="24"/>
          <w:szCs w:val="24"/>
        </w:rPr>
        <w:t>the</w:t>
      </w:r>
      <w:r>
        <w:rPr>
          <w:rFonts w:ascii="Times New Roman" w:hAnsi="Times New Roman" w:cs="Times New Roman"/>
          <w:sz w:val="24"/>
          <w:szCs w:val="24"/>
        </w:rPr>
        <w:t xml:space="preserve"> participants </w:t>
      </w:r>
      <w:r>
        <w:rPr>
          <w:rFonts w:ascii="Times New Roman" w:hAnsi="Times New Roman" w:cs="Times New Roman" w:hint="eastAsia"/>
          <w:sz w:val="24"/>
          <w:szCs w:val="24"/>
        </w:rPr>
        <w:t>were</w:t>
      </w:r>
      <w:r>
        <w:rPr>
          <w:rFonts w:ascii="Times New Roman" w:hAnsi="Times New Roman" w:cs="Times New Roman"/>
          <w:sz w:val="24"/>
          <w:szCs w:val="24"/>
        </w:rPr>
        <w:t xml:space="preserve"> </w:t>
      </w:r>
      <w:r>
        <w:rPr>
          <w:rFonts w:ascii="Times New Roman" w:hAnsi="Times New Roman" w:cs="Times New Roman" w:hint="eastAsia"/>
          <w:sz w:val="24"/>
          <w:szCs w:val="24"/>
        </w:rPr>
        <w:t>vaccinated</w:t>
      </w:r>
      <w:r>
        <w:rPr>
          <w:rFonts w:ascii="Times New Roman" w:hAnsi="Times New Roman" w:cs="Times New Roman"/>
          <w:sz w:val="24"/>
          <w:szCs w:val="24"/>
        </w:rPr>
        <w:t xml:space="preserve"> </w:t>
      </w:r>
      <w:r>
        <w:rPr>
          <w:rFonts w:ascii="Times New Roman" w:hAnsi="Times New Roman" w:cs="Times New Roman" w:hint="eastAsia"/>
          <w:sz w:val="24"/>
          <w:szCs w:val="24"/>
        </w:rPr>
        <w:t>twice.</w:t>
      </w:r>
      <w:r>
        <w:rPr>
          <w:rFonts w:ascii="Times New Roman" w:hAnsi="Times New Roman" w:cs="Times New Roman"/>
          <w:sz w:val="24"/>
          <w:szCs w:val="24"/>
        </w:rPr>
        <w:t xml:space="preserve"> </w:t>
      </w:r>
    </w:p>
    <w:p w14:paraId="586CAD8F" w14:textId="77777777" w:rsidR="0049304B" w:rsidRDefault="0049304B" w:rsidP="0049304B">
      <w:pPr>
        <w:spacing w:line="480" w:lineRule="auto"/>
        <w:ind w:firstLineChars="50" w:firstLine="120"/>
        <w:rPr>
          <w:rFonts w:ascii="Times New Roman" w:hAnsi="Times New Roman" w:cs="Times New Roman"/>
          <w:sz w:val="24"/>
          <w:szCs w:val="24"/>
        </w:rPr>
      </w:pPr>
      <w:r>
        <w:rPr>
          <w:rFonts w:ascii="Times New Roman" w:hAnsi="Times New Roman" w:cs="Times New Roman"/>
          <w:sz w:val="24"/>
          <w:szCs w:val="24"/>
        </w:rPr>
        <w:t>P</w:t>
      </w:r>
      <w:r>
        <w:rPr>
          <w:rFonts w:ascii="Times New Roman" w:hAnsi="Times New Roman" w:cs="Times New Roman" w:hint="eastAsia"/>
          <w:sz w:val="24"/>
          <w:szCs w:val="24"/>
        </w:rPr>
        <w:t>articipants</w:t>
      </w:r>
      <w:r>
        <w:rPr>
          <w:rFonts w:ascii="Times New Roman" w:hAnsi="Times New Roman" w:cs="Times New Roman"/>
          <w:sz w:val="24"/>
          <w:szCs w:val="24"/>
        </w:rPr>
        <w:t xml:space="preserve"> could be largely divided into solid tumor patients, hematologic malignancy patients, autoimmune disease patients, inflammatory bowel disease patients, transplantation or hemodialysis recipients, and patients who were seropositive for SARS-CoV-2 antibodies at baseline or had COVID-19. There was a total of five types of vaccines, and the most frequently used Pfizer-BioNTech BNT162b2 vaccine was used in nineteen studies. CoronaVac, Oxford-AstraZeneca ChAdOx1 nCov-19 (AZD1222), and Moderna mRNA-1273 were used in two studies each, and there was one study using Sputnik V. The interval between vaccination doses 1 and 2 was 21 or 28 days in total, however, some studies did not report data on vaccination interval . Binding antibody detection tests were used in the majority of studies as a criterion for determining whether a patient is seropositive or not, and levels of immunoglobulin G (IgG) against SARS-CoV-2 S-protein or N-protein were mainly measured.  </w:t>
      </w:r>
    </w:p>
    <w:p w14:paraId="5C4B3578" w14:textId="77777777" w:rsidR="0049304B" w:rsidRDefault="0049304B" w:rsidP="00D4555D">
      <w:pPr>
        <w:pStyle w:val="Heading2"/>
      </w:pPr>
      <w:r w:rsidRPr="00E159FE">
        <w:rPr>
          <w:rFonts w:hint="eastAsia"/>
        </w:rPr>
        <w:t>S</w:t>
      </w:r>
      <w:r w:rsidRPr="00E159FE">
        <w:t>olid tumor</w:t>
      </w:r>
    </w:p>
    <w:p w14:paraId="4C4F135C" w14:textId="77777777" w:rsidR="0049304B" w:rsidRDefault="0049304B" w:rsidP="0049304B">
      <w:pPr>
        <w:spacing w:line="480" w:lineRule="auto"/>
        <w:rPr>
          <w:rFonts w:ascii="Times New Roman" w:hAnsi="Times New Roman" w:cs="Times New Roman"/>
          <w:sz w:val="24"/>
          <w:szCs w:val="24"/>
        </w:rPr>
      </w:pPr>
      <w:r>
        <w:rPr>
          <w:rFonts w:ascii="Times New Roman" w:hAnsi="Times New Roman" w:cs="Times New Roman"/>
          <w:sz w:val="24"/>
          <w:szCs w:val="24"/>
        </w:rPr>
        <w:t xml:space="preserve">Seropositivity of COVID-19 among solid tumor patients is reported in </w:t>
      </w:r>
      <w:r>
        <w:rPr>
          <w:rFonts w:ascii="Times New Roman" w:hAnsi="Times New Roman" w:cs="Times New Roman" w:hint="eastAsia"/>
          <w:sz w:val="24"/>
          <w:szCs w:val="24"/>
        </w:rPr>
        <w:t>Figure</w:t>
      </w:r>
      <w:r>
        <w:rPr>
          <w:rFonts w:ascii="Times New Roman" w:hAnsi="Times New Roman" w:cs="Times New Roman"/>
          <w:sz w:val="24"/>
          <w:szCs w:val="24"/>
        </w:rPr>
        <w:t xml:space="preserve">s 2 and </w:t>
      </w:r>
      <w:r>
        <w:rPr>
          <w:rFonts w:ascii="Times New Roman" w:hAnsi="Times New Roman" w:cs="Times New Roman" w:hint="eastAsia"/>
          <w:sz w:val="24"/>
          <w:szCs w:val="24"/>
        </w:rPr>
        <w:t>3</w:t>
      </w:r>
      <w:r>
        <w:rPr>
          <w:rFonts w:ascii="Times New Roman" w:hAnsi="Times New Roman" w:cs="Times New Roman"/>
          <w:sz w:val="24"/>
          <w:szCs w:val="24"/>
        </w:rPr>
        <w:t xml:space="preserve"> </w:t>
      </w:r>
      <w:r>
        <w:rPr>
          <w:rFonts w:ascii="Times New Roman" w:hAnsi="Times New Roman" w:cs="Times New Roman" w:hint="eastAsia"/>
          <w:sz w:val="24"/>
          <w:szCs w:val="24"/>
        </w:rPr>
        <w:t>and</w:t>
      </w:r>
      <w:r>
        <w:rPr>
          <w:rFonts w:ascii="Times New Roman" w:hAnsi="Times New Roman" w:cs="Times New Roman"/>
          <w:sz w:val="24"/>
          <w:szCs w:val="24"/>
        </w:rPr>
        <w:t xml:space="preserve"> </w:t>
      </w:r>
      <w:r>
        <w:rPr>
          <w:rFonts w:ascii="Times New Roman" w:hAnsi="Times New Roman" w:cs="Times New Roman" w:hint="eastAsia"/>
          <w:sz w:val="24"/>
          <w:szCs w:val="24"/>
        </w:rPr>
        <w:t>Supplement</w:t>
      </w:r>
      <w:r>
        <w:rPr>
          <w:rFonts w:ascii="Times New Roman" w:hAnsi="Times New Roman" w:cs="Times New Roman"/>
          <w:sz w:val="24"/>
          <w:szCs w:val="24"/>
        </w:rPr>
        <w:t xml:space="preserve"> </w:t>
      </w:r>
      <w:r>
        <w:rPr>
          <w:rFonts w:ascii="Times New Roman" w:hAnsi="Times New Roman" w:cs="Times New Roman" w:hint="eastAsia"/>
          <w:sz w:val="24"/>
          <w:szCs w:val="24"/>
        </w:rPr>
        <w:t>3</w:t>
      </w:r>
      <w:r>
        <w:rPr>
          <w:rFonts w:ascii="Times New Roman" w:hAnsi="Times New Roman" w:cs="Times New Roman"/>
          <w:sz w:val="24"/>
          <w:szCs w:val="24"/>
        </w:rPr>
        <w:t>. Three studies were included, and Pfizer vaccine was used in all studies</w:t>
      </w:r>
      <w:r w:rsidRPr="00DD4AC8">
        <w:rPr>
          <w:rFonts w:ascii="Times New Roman" w:hAnsi="Times New Roman" w:cs="Times New Roman"/>
          <w:sz w:val="24"/>
          <w:szCs w:val="24"/>
          <w:vertAlign w:val="superscript"/>
        </w:rPr>
        <w:t>13-15</w:t>
      </w:r>
      <w:r>
        <w:rPr>
          <w:rFonts w:ascii="Times New Roman" w:hAnsi="Times New Roman" w:cs="Times New Roman"/>
          <w:sz w:val="24"/>
          <w:szCs w:val="24"/>
        </w:rPr>
        <w:t xml:space="preserve">. </w:t>
      </w:r>
    </w:p>
    <w:p w14:paraId="10A6974D" w14:textId="77777777" w:rsidR="0049304B" w:rsidRDefault="0049304B" w:rsidP="0049304B">
      <w:pPr>
        <w:spacing w:line="480" w:lineRule="auto"/>
        <w:ind w:firstLineChars="50" w:firstLine="120"/>
        <w:rPr>
          <w:rFonts w:ascii="Times New Roman" w:hAnsi="Times New Roman" w:cs="Times New Roman"/>
          <w:sz w:val="24"/>
          <w:szCs w:val="24"/>
        </w:rPr>
      </w:pPr>
      <w:r>
        <w:rPr>
          <w:rFonts w:ascii="Times New Roman" w:hAnsi="Times New Roman" w:cs="Times New Roman" w:hint="eastAsia"/>
          <w:sz w:val="24"/>
          <w:szCs w:val="24"/>
        </w:rPr>
        <w:t>After</w:t>
      </w:r>
      <w:r>
        <w:rPr>
          <w:rFonts w:ascii="Times New Roman" w:hAnsi="Times New Roman" w:cs="Times New Roman"/>
          <w:sz w:val="24"/>
          <w:szCs w:val="24"/>
        </w:rPr>
        <w:t xml:space="preserve"> </w:t>
      </w:r>
      <w:r>
        <w:rPr>
          <w:rFonts w:ascii="Times New Roman" w:hAnsi="Times New Roman" w:cs="Times New Roman" w:hint="eastAsia"/>
          <w:sz w:val="24"/>
          <w:szCs w:val="24"/>
        </w:rPr>
        <w:t>the</w:t>
      </w:r>
      <w:r>
        <w:rPr>
          <w:rFonts w:ascii="Times New Roman" w:hAnsi="Times New Roman" w:cs="Times New Roman"/>
          <w:sz w:val="24"/>
          <w:szCs w:val="24"/>
        </w:rPr>
        <w:t xml:space="preserve"> </w:t>
      </w:r>
      <w:r>
        <w:rPr>
          <w:rFonts w:ascii="Times New Roman" w:hAnsi="Times New Roman" w:cs="Times New Roman" w:hint="eastAsia"/>
          <w:sz w:val="24"/>
          <w:szCs w:val="24"/>
        </w:rPr>
        <w:t>first</w:t>
      </w:r>
      <w:r>
        <w:rPr>
          <w:rFonts w:ascii="Times New Roman" w:hAnsi="Times New Roman" w:cs="Times New Roman"/>
          <w:sz w:val="24"/>
          <w:szCs w:val="24"/>
        </w:rPr>
        <w:t xml:space="preserve"> </w:t>
      </w:r>
      <w:r>
        <w:rPr>
          <w:rFonts w:ascii="Times New Roman" w:hAnsi="Times New Roman" w:cs="Times New Roman" w:hint="eastAsia"/>
          <w:sz w:val="24"/>
          <w:szCs w:val="24"/>
        </w:rPr>
        <w:t>vaccination,</w:t>
      </w:r>
      <w:r>
        <w:rPr>
          <w:rFonts w:ascii="Times New Roman" w:hAnsi="Times New Roman" w:cs="Times New Roman"/>
          <w:sz w:val="24"/>
          <w:szCs w:val="24"/>
        </w:rPr>
        <w:t xml:space="preserve"> </w:t>
      </w:r>
      <w:r>
        <w:rPr>
          <w:rFonts w:ascii="Times New Roman" w:hAnsi="Times New Roman" w:cs="Times New Roman" w:hint="eastAsia"/>
          <w:sz w:val="24"/>
          <w:szCs w:val="24"/>
        </w:rPr>
        <w:t>most</w:t>
      </w:r>
      <w:r>
        <w:rPr>
          <w:rFonts w:ascii="Times New Roman" w:hAnsi="Times New Roman" w:cs="Times New Roman"/>
          <w:sz w:val="24"/>
          <w:szCs w:val="24"/>
        </w:rPr>
        <w:t xml:space="preserve"> </w:t>
      </w:r>
      <w:r>
        <w:rPr>
          <w:rFonts w:ascii="Times New Roman" w:hAnsi="Times New Roman" w:cs="Times New Roman" w:hint="eastAsia"/>
          <w:sz w:val="24"/>
          <w:szCs w:val="24"/>
        </w:rPr>
        <w:t>solid</w:t>
      </w:r>
      <w:r>
        <w:rPr>
          <w:rFonts w:ascii="Times New Roman" w:hAnsi="Times New Roman" w:cs="Times New Roman"/>
          <w:sz w:val="24"/>
          <w:szCs w:val="24"/>
        </w:rPr>
        <w:t xml:space="preserve"> </w:t>
      </w:r>
      <w:r>
        <w:rPr>
          <w:rFonts w:ascii="Times New Roman" w:hAnsi="Times New Roman" w:cs="Times New Roman" w:hint="eastAsia"/>
          <w:sz w:val="24"/>
          <w:szCs w:val="24"/>
        </w:rPr>
        <w:t>tumor</w:t>
      </w:r>
      <w:r>
        <w:rPr>
          <w:rFonts w:ascii="Times New Roman" w:hAnsi="Times New Roman" w:cs="Times New Roman"/>
          <w:sz w:val="24"/>
          <w:szCs w:val="24"/>
        </w:rPr>
        <w:t xml:space="preserve"> </w:t>
      </w:r>
      <w:r>
        <w:rPr>
          <w:rFonts w:ascii="Times New Roman" w:hAnsi="Times New Roman" w:cs="Times New Roman" w:hint="eastAsia"/>
          <w:sz w:val="24"/>
          <w:szCs w:val="24"/>
        </w:rPr>
        <w:t>patients</w:t>
      </w:r>
      <w:r>
        <w:rPr>
          <w:rFonts w:ascii="Times New Roman" w:hAnsi="Times New Roman" w:cs="Times New Roman"/>
          <w:sz w:val="24"/>
          <w:szCs w:val="24"/>
        </w:rPr>
        <w:t xml:space="preserve"> </w:t>
      </w:r>
      <w:r>
        <w:rPr>
          <w:rFonts w:ascii="Times New Roman" w:hAnsi="Times New Roman" w:cs="Times New Roman" w:hint="eastAsia"/>
          <w:sz w:val="24"/>
          <w:szCs w:val="24"/>
        </w:rPr>
        <w:t>showed</w:t>
      </w:r>
      <w:r>
        <w:rPr>
          <w:rFonts w:ascii="Times New Roman" w:hAnsi="Times New Roman" w:cs="Times New Roman"/>
          <w:sz w:val="24"/>
          <w:szCs w:val="24"/>
        </w:rPr>
        <w:t xml:space="preserve"> </w:t>
      </w:r>
      <w:r>
        <w:rPr>
          <w:rFonts w:ascii="Times New Roman" w:hAnsi="Times New Roman" w:cs="Times New Roman" w:hint="eastAsia"/>
          <w:sz w:val="24"/>
          <w:szCs w:val="24"/>
        </w:rPr>
        <w:t>low</w:t>
      </w:r>
      <w:r>
        <w:rPr>
          <w:rFonts w:ascii="Times New Roman" w:hAnsi="Times New Roman" w:cs="Times New Roman"/>
          <w:sz w:val="24"/>
          <w:szCs w:val="24"/>
        </w:rPr>
        <w:t xml:space="preserve"> </w:t>
      </w:r>
      <w:r>
        <w:rPr>
          <w:rFonts w:ascii="Times New Roman" w:hAnsi="Times New Roman" w:cs="Times New Roman" w:hint="eastAsia"/>
          <w:sz w:val="24"/>
          <w:szCs w:val="24"/>
        </w:rPr>
        <w:t>seropositivity.</w:t>
      </w:r>
      <w:r>
        <w:rPr>
          <w:rFonts w:ascii="Times New Roman" w:hAnsi="Times New Roman" w:cs="Times New Roman"/>
          <w:sz w:val="24"/>
          <w:szCs w:val="24"/>
        </w:rPr>
        <w:t xml:space="preserve"> </w:t>
      </w:r>
      <w:r>
        <w:rPr>
          <w:rFonts w:ascii="Times New Roman" w:hAnsi="Times New Roman" w:cs="Times New Roman" w:hint="eastAsia"/>
          <w:sz w:val="24"/>
          <w:szCs w:val="24"/>
        </w:rPr>
        <w:t>As</w:t>
      </w:r>
      <w:r>
        <w:rPr>
          <w:rFonts w:ascii="Times New Roman" w:hAnsi="Times New Roman" w:cs="Times New Roman"/>
          <w:sz w:val="24"/>
          <w:szCs w:val="24"/>
        </w:rPr>
        <w:t xml:space="preserve"> </w:t>
      </w:r>
      <w:r>
        <w:rPr>
          <w:rFonts w:ascii="Times New Roman" w:hAnsi="Times New Roman" w:cs="Times New Roman" w:hint="eastAsia"/>
          <w:sz w:val="24"/>
          <w:szCs w:val="24"/>
        </w:rPr>
        <w:t>a</w:t>
      </w:r>
      <w:r>
        <w:rPr>
          <w:rFonts w:ascii="Times New Roman" w:hAnsi="Times New Roman" w:cs="Times New Roman"/>
          <w:sz w:val="24"/>
          <w:szCs w:val="24"/>
        </w:rPr>
        <w:t xml:space="preserve"> </w:t>
      </w:r>
      <w:r>
        <w:rPr>
          <w:rFonts w:ascii="Times New Roman" w:hAnsi="Times New Roman" w:cs="Times New Roman" w:hint="eastAsia"/>
          <w:sz w:val="24"/>
          <w:szCs w:val="24"/>
        </w:rPr>
        <w:t>result</w:t>
      </w:r>
      <w:r>
        <w:rPr>
          <w:rFonts w:ascii="Times New Roman" w:hAnsi="Times New Roman" w:cs="Times New Roman"/>
          <w:sz w:val="24"/>
          <w:szCs w:val="24"/>
        </w:rPr>
        <w:t xml:space="preserve"> </w:t>
      </w:r>
      <w:r>
        <w:rPr>
          <w:rFonts w:ascii="Times New Roman" w:hAnsi="Times New Roman" w:cs="Times New Roman" w:hint="eastAsia"/>
          <w:sz w:val="24"/>
          <w:szCs w:val="24"/>
        </w:rPr>
        <w:t>of</w:t>
      </w:r>
      <w:r>
        <w:rPr>
          <w:rFonts w:ascii="Times New Roman" w:hAnsi="Times New Roman" w:cs="Times New Roman"/>
          <w:sz w:val="24"/>
          <w:szCs w:val="24"/>
        </w:rPr>
        <w:t xml:space="preserve"> </w:t>
      </w:r>
      <w:r>
        <w:rPr>
          <w:rFonts w:ascii="Times New Roman" w:hAnsi="Times New Roman" w:cs="Times New Roman" w:hint="eastAsia"/>
          <w:sz w:val="24"/>
          <w:szCs w:val="24"/>
        </w:rPr>
        <w:t>meta-analysis</w:t>
      </w:r>
      <w:r>
        <w:rPr>
          <w:rFonts w:ascii="Times New Roman" w:hAnsi="Times New Roman" w:cs="Times New Roman"/>
          <w:sz w:val="24"/>
          <w:szCs w:val="24"/>
        </w:rPr>
        <w:t xml:space="preserve"> </w:t>
      </w:r>
      <w:r>
        <w:rPr>
          <w:rFonts w:ascii="Times New Roman" w:hAnsi="Times New Roman" w:cs="Times New Roman" w:hint="eastAsia"/>
          <w:sz w:val="24"/>
          <w:szCs w:val="24"/>
        </w:rPr>
        <w:t>of</w:t>
      </w:r>
      <w:r>
        <w:rPr>
          <w:rFonts w:ascii="Times New Roman" w:hAnsi="Times New Roman" w:cs="Times New Roman"/>
          <w:sz w:val="24"/>
          <w:szCs w:val="24"/>
        </w:rPr>
        <w:t xml:space="preserve"> </w:t>
      </w:r>
      <w:r>
        <w:rPr>
          <w:rFonts w:ascii="Times New Roman" w:hAnsi="Times New Roman" w:cs="Times New Roman" w:hint="eastAsia"/>
          <w:sz w:val="24"/>
          <w:szCs w:val="24"/>
        </w:rPr>
        <w:t>all</w:t>
      </w:r>
      <w:r>
        <w:rPr>
          <w:rFonts w:ascii="Times New Roman" w:hAnsi="Times New Roman" w:cs="Times New Roman"/>
          <w:sz w:val="24"/>
          <w:szCs w:val="24"/>
        </w:rPr>
        <w:t xml:space="preserve"> </w:t>
      </w:r>
      <w:r>
        <w:rPr>
          <w:rFonts w:ascii="Times New Roman" w:hAnsi="Times New Roman" w:cs="Times New Roman" w:hint="eastAsia"/>
          <w:sz w:val="24"/>
          <w:szCs w:val="24"/>
        </w:rPr>
        <w:t>patients,</w:t>
      </w:r>
      <w:r>
        <w:rPr>
          <w:rFonts w:ascii="Times New Roman" w:hAnsi="Times New Roman" w:cs="Times New Roman"/>
          <w:sz w:val="24"/>
          <w:szCs w:val="24"/>
        </w:rPr>
        <w:t xml:space="preserve"> </w:t>
      </w:r>
      <w:r>
        <w:rPr>
          <w:rFonts w:ascii="Times New Roman" w:hAnsi="Times New Roman" w:cs="Times New Roman" w:hint="eastAsia"/>
          <w:sz w:val="24"/>
          <w:szCs w:val="24"/>
        </w:rPr>
        <w:t>seropositivity</w:t>
      </w:r>
      <w:r>
        <w:rPr>
          <w:rFonts w:ascii="Times New Roman" w:hAnsi="Times New Roman" w:cs="Times New Roman"/>
          <w:sz w:val="24"/>
          <w:szCs w:val="24"/>
        </w:rPr>
        <w:t xml:space="preserve"> </w:t>
      </w:r>
      <w:r>
        <w:rPr>
          <w:rFonts w:ascii="Times New Roman" w:hAnsi="Times New Roman" w:cs="Times New Roman" w:hint="eastAsia"/>
          <w:sz w:val="24"/>
          <w:szCs w:val="24"/>
        </w:rPr>
        <w:t>was</w:t>
      </w:r>
      <w:r>
        <w:rPr>
          <w:rFonts w:ascii="Times New Roman" w:hAnsi="Times New Roman" w:cs="Times New Roman"/>
          <w:sz w:val="24"/>
          <w:szCs w:val="24"/>
        </w:rPr>
        <w:t xml:space="preserve"> </w:t>
      </w:r>
      <w:r>
        <w:rPr>
          <w:rFonts w:ascii="Times New Roman" w:hAnsi="Times New Roman" w:cs="Times New Roman" w:hint="eastAsia"/>
          <w:sz w:val="24"/>
          <w:szCs w:val="24"/>
        </w:rPr>
        <w:t>only</w:t>
      </w:r>
      <w:r>
        <w:rPr>
          <w:rFonts w:ascii="Times New Roman" w:hAnsi="Times New Roman" w:cs="Times New Roman"/>
          <w:sz w:val="24"/>
          <w:szCs w:val="24"/>
        </w:rPr>
        <w:t xml:space="preserve"> </w:t>
      </w:r>
      <w:r>
        <w:rPr>
          <w:rFonts w:ascii="Times New Roman" w:hAnsi="Times New Roman" w:cs="Times New Roman" w:hint="eastAsia"/>
          <w:sz w:val="24"/>
          <w:szCs w:val="24"/>
        </w:rPr>
        <w:t>27.1%</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[14.1%,</w:t>
      </w:r>
      <w:r>
        <w:rPr>
          <w:rFonts w:ascii="Times New Roman" w:hAnsi="Times New Roman" w:cs="Times New Roman"/>
          <w:sz w:val="24"/>
          <w:szCs w:val="24"/>
        </w:rPr>
        <w:t xml:space="preserve"> </w:t>
      </w:r>
      <w:r>
        <w:rPr>
          <w:rFonts w:ascii="Times New Roman" w:hAnsi="Times New Roman" w:cs="Times New Roman" w:hint="eastAsia"/>
          <w:sz w:val="24"/>
          <w:szCs w:val="24"/>
        </w:rPr>
        <w:t>41.6%],</w:t>
      </w:r>
      <w:r>
        <w:rPr>
          <w:rFonts w:ascii="Times New Roman" w:hAnsi="Times New Roman" w:cs="Times New Roman"/>
          <w:sz w:val="24"/>
          <w:szCs w:val="24"/>
        </w:rPr>
        <w:t xml:space="preserve"> </w:t>
      </w:r>
      <w:r>
        <w:rPr>
          <w:rFonts w:ascii="Times New Roman" w:hAnsi="Times New Roman" w:cs="Times New Roman" w:hint="eastAsia"/>
          <w:sz w:val="24"/>
          <w:szCs w:val="24"/>
        </w:rPr>
        <w:t>N=86).</w:t>
      </w:r>
      <w:r>
        <w:rPr>
          <w:rFonts w:ascii="Times New Roman" w:hAnsi="Times New Roman" w:cs="Times New Roman"/>
          <w:sz w:val="24"/>
          <w:szCs w:val="24"/>
        </w:rPr>
        <w:t xml:space="preserve"> </w:t>
      </w:r>
    </w:p>
    <w:p w14:paraId="62072782" w14:textId="77777777" w:rsidR="0049304B" w:rsidRPr="007C7750" w:rsidRDefault="0049304B" w:rsidP="0049304B">
      <w:pPr>
        <w:spacing w:line="480" w:lineRule="auto"/>
        <w:ind w:firstLineChars="50" w:firstLine="120"/>
        <w:rPr>
          <w:rFonts w:ascii="Times New Roman" w:hAnsi="Times New Roman" w:cs="Times New Roman"/>
          <w:sz w:val="24"/>
          <w:szCs w:val="24"/>
        </w:rPr>
      </w:pPr>
      <w:r>
        <w:rPr>
          <w:rFonts w:ascii="Times New Roman" w:hAnsi="Times New Roman" w:cs="Times New Roman"/>
          <w:sz w:val="24"/>
          <w:szCs w:val="24"/>
        </w:rPr>
        <w:t xml:space="preserve">Based on the seropositivity </w:t>
      </w:r>
      <w:r>
        <w:rPr>
          <w:rFonts w:ascii="Times New Roman" w:hAnsi="Times New Roman" w:cs="Times New Roman" w:hint="eastAsia"/>
          <w:sz w:val="24"/>
          <w:szCs w:val="24"/>
        </w:rPr>
        <w:t>after</w:t>
      </w:r>
      <w:r>
        <w:rPr>
          <w:rFonts w:ascii="Times New Roman" w:hAnsi="Times New Roman" w:cs="Times New Roman"/>
          <w:sz w:val="24"/>
          <w:szCs w:val="24"/>
        </w:rPr>
        <w:t xml:space="preserve"> the second inoculation, the seropositivity of sarcoma cancer was the lowest at 50%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[1.3%,</w:t>
      </w:r>
      <w:r>
        <w:rPr>
          <w:rFonts w:ascii="Times New Roman" w:hAnsi="Times New Roman" w:cs="Times New Roman"/>
          <w:sz w:val="24"/>
          <w:szCs w:val="24"/>
        </w:rPr>
        <w:t xml:space="preserve"> </w:t>
      </w:r>
      <w:r>
        <w:rPr>
          <w:rFonts w:ascii="Times New Roman" w:hAnsi="Times New Roman" w:cs="Times New Roman" w:hint="eastAsia"/>
          <w:sz w:val="24"/>
          <w:szCs w:val="24"/>
        </w:rPr>
        <w:t>98.7%],</w:t>
      </w:r>
      <w:r>
        <w:rPr>
          <w:rFonts w:ascii="Times New Roman" w:hAnsi="Times New Roman" w:cs="Times New Roman"/>
          <w:sz w:val="24"/>
          <w:szCs w:val="24"/>
        </w:rPr>
        <w:t xml:space="preserve"> </w:t>
      </w:r>
      <w:r>
        <w:rPr>
          <w:rFonts w:ascii="Times New Roman" w:hAnsi="Times New Roman" w:cs="Times New Roman" w:hint="eastAsia"/>
          <w:sz w:val="24"/>
          <w:szCs w:val="24"/>
        </w:rPr>
        <w:t>N=2)</w:t>
      </w:r>
      <w:r>
        <w:rPr>
          <w:rFonts w:ascii="Times New Roman" w:hAnsi="Times New Roman" w:cs="Times New Roman"/>
          <w:sz w:val="24"/>
          <w:szCs w:val="24"/>
        </w:rPr>
        <w:t>, followed by esophagus and gastric cancer (60</w:t>
      </w:r>
      <w:r>
        <w:rPr>
          <w:rFonts w:ascii="Times New Roman" w:hAnsi="Times New Roman" w:cs="Times New Roman" w:hint="eastAsia"/>
          <w:sz w:val="24"/>
          <w:szCs w:val="24"/>
        </w:rPr>
        <w:t>.0</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[14.7%,</w:t>
      </w:r>
      <w:r>
        <w:rPr>
          <w:rFonts w:ascii="Times New Roman" w:hAnsi="Times New Roman" w:cs="Times New Roman"/>
          <w:sz w:val="24"/>
          <w:szCs w:val="24"/>
        </w:rPr>
        <w:t xml:space="preserve"> </w:t>
      </w:r>
      <w:r>
        <w:rPr>
          <w:rFonts w:ascii="Times New Roman" w:hAnsi="Times New Roman" w:cs="Times New Roman" w:hint="eastAsia"/>
          <w:sz w:val="24"/>
          <w:szCs w:val="24"/>
        </w:rPr>
        <w:t>94.7%],</w:t>
      </w:r>
      <w:r>
        <w:rPr>
          <w:rFonts w:ascii="Times New Roman" w:hAnsi="Times New Roman" w:cs="Times New Roman"/>
          <w:sz w:val="24"/>
          <w:szCs w:val="24"/>
        </w:rPr>
        <w:t xml:space="preserve"> </w:t>
      </w:r>
      <w:r>
        <w:rPr>
          <w:rFonts w:ascii="Times New Roman" w:hAnsi="Times New Roman" w:cs="Times New Roman" w:hint="eastAsia"/>
          <w:sz w:val="24"/>
          <w:szCs w:val="24"/>
        </w:rPr>
        <w:t>N=5</w:t>
      </w:r>
      <w:r>
        <w:rPr>
          <w:rFonts w:ascii="Times New Roman" w:hAnsi="Times New Roman" w:cs="Times New Roman"/>
          <w:sz w:val="24"/>
          <w:szCs w:val="24"/>
        </w:rPr>
        <w:t xml:space="preserve">) and </w:t>
      </w:r>
      <w:r>
        <w:rPr>
          <w:rFonts w:ascii="Times New Roman" w:hAnsi="Times New Roman" w:cs="Times New Roman" w:hint="eastAsia"/>
          <w:sz w:val="24"/>
          <w:szCs w:val="24"/>
        </w:rPr>
        <w:t>neurologic</w:t>
      </w:r>
      <w:r>
        <w:rPr>
          <w:rFonts w:ascii="Times New Roman" w:hAnsi="Times New Roman" w:cs="Times New Roman"/>
          <w:sz w:val="24"/>
          <w:szCs w:val="24"/>
        </w:rPr>
        <w:t xml:space="preserve"> cancer (</w:t>
      </w:r>
      <w:r>
        <w:rPr>
          <w:rFonts w:ascii="Times New Roman" w:hAnsi="Times New Roman" w:cs="Times New Roman" w:hint="eastAsia"/>
          <w:sz w:val="24"/>
          <w:szCs w:val="24"/>
        </w:rPr>
        <w:t>66.7</w:t>
      </w:r>
      <w:r>
        <w:rPr>
          <w:rFonts w:ascii="Times New Roman" w:hAnsi="Times New Roman" w:cs="Times New Roman"/>
          <w:sz w:val="24"/>
          <w:szCs w:val="24"/>
        </w:rPr>
        <w:t xml:space="preserve"> %</w:t>
      </w:r>
      <w:r>
        <w:rPr>
          <w:rFonts w:ascii="Times New Roman" w:hAnsi="Times New Roman" w:cs="Times New Roman" w:hint="eastAsia"/>
          <w:sz w:val="24"/>
          <w:szCs w:val="24"/>
        </w:rPr>
        <w:t>,</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[9.4%,</w:t>
      </w:r>
      <w:r>
        <w:rPr>
          <w:rFonts w:ascii="Times New Roman" w:hAnsi="Times New Roman" w:cs="Times New Roman"/>
          <w:sz w:val="24"/>
          <w:szCs w:val="24"/>
        </w:rPr>
        <w:t xml:space="preserve"> </w:t>
      </w:r>
      <w:r>
        <w:rPr>
          <w:rFonts w:ascii="Times New Roman" w:hAnsi="Times New Roman" w:cs="Times New Roman" w:hint="eastAsia"/>
          <w:sz w:val="24"/>
          <w:szCs w:val="24"/>
        </w:rPr>
        <w:t>99.2%],</w:t>
      </w:r>
      <w:r>
        <w:rPr>
          <w:rFonts w:ascii="Times New Roman" w:hAnsi="Times New Roman" w:cs="Times New Roman"/>
          <w:sz w:val="24"/>
          <w:szCs w:val="24"/>
        </w:rPr>
        <w:t xml:space="preserve"> </w:t>
      </w:r>
      <w:r>
        <w:rPr>
          <w:rFonts w:ascii="Times New Roman" w:hAnsi="Times New Roman" w:cs="Times New Roman" w:hint="eastAsia"/>
          <w:sz w:val="24"/>
          <w:szCs w:val="24"/>
        </w:rPr>
        <w:t>N=3</w:t>
      </w:r>
      <w:r>
        <w:rPr>
          <w:rFonts w:ascii="Times New Roman" w:hAnsi="Times New Roman" w:cs="Times New Roman"/>
          <w:sz w:val="24"/>
          <w:szCs w:val="24"/>
        </w:rPr>
        <w:t>). Moreover</w:t>
      </w:r>
      <w:r>
        <w:rPr>
          <w:rFonts w:ascii="Times New Roman" w:hAnsi="Times New Roman" w:cs="Times New Roman" w:hint="eastAsia"/>
          <w:sz w:val="24"/>
          <w:szCs w:val="24"/>
        </w:rPr>
        <w:t>,</w:t>
      </w:r>
      <w:r>
        <w:rPr>
          <w:rFonts w:ascii="Times New Roman" w:hAnsi="Times New Roman" w:cs="Times New Roman"/>
          <w:sz w:val="24"/>
          <w:szCs w:val="24"/>
        </w:rPr>
        <w:t xml:space="preserve"> </w:t>
      </w:r>
      <w:r>
        <w:rPr>
          <w:rFonts w:ascii="Times New Roman" w:hAnsi="Times New Roman" w:cs="Times New Roman" w:hint="eastAsia"/>
          <w:sz w:val="24"/>
          <w:szCs w:val="24"/>
        </w:rPr>
        <w:t>the</w:t>
      </w:r>
      <w:r>
        <w:rPr>
          <w:rFonts w:ascii="Times New Roman" w:hAnsi="Times New Roman" w:cs="Times New Roman"/>
          <w:sz w:val="24"/>
          <w:szCs w:val="24"/>
        </w:rPr>
        <w:t xml:space="preserve"> </w:t>
      </w:r>
      <w:r>
        <w:rPr>
          <w:rFonts w:ascii="Times New Roman" w:hAnsi="Times New Roman" w:cs="Times New Roman" w:hint="eastAsia"/>
          <w:sz w:val="24"/>
          <w:szCs w:val="24"/>
        </w:rPr>
        <w:t>seropositivity</w:t>
      </w:r>
      <w:r>
        <w:rPr>
          <w:rFonts w:ascii="Times New Roman" w:hAnsi="Times New Roman" w:cs="Times New Roman"/>
          <w:sz w:val="24"/>
          <w:szCs w:val="24"/>
        </w:rPr>
        <w:t xml:space="preserve"> </w:t>
      </w:r>
      <w:r>
        <w:rPr>
          <w:rFonts w:ascii="Times New Roman" w:hAnsi="Times New Roman" w:cs="Times New Roman" w:hint="eastAsia"/>
          <w:sz w:val="24"/>
          <w:szCs w:val="24"/>
        </w:rPr>
        <w:t>of</w:t>
      </w:r>
      <w:r>
        <w:rPr>
          <w:rFonts w:ascii="Times New Roman" w:hAnsi="Times New Roman" w:cs="Times New Roman"/>
          <w:sz w:val="24"/>
          <w:szCs w:val="24"/>
        </w:rPr>
        <w:t xml:space="preserve"> </w:t>
      </w:r>
      <w:r>
        <w:rPr>
          <w:rFonts w:ascii="Times New Roman" w:hAnsi="Times New Roman" w:cs="Times New Roman" w:hint="eastAsia"/>
          <w:sz w:val="24"/>
          <w:szCs w:val="24"/>
        </w:rPr>
        <w:t>breast</w:t>
      </w:r>
      <w:r>
        <w:rPr>
          <w:rFonts w:ascii="Times New Roman" w:hAnsi="Times New Roman" w:cs="Times New Roman"/>
          <w:sz w:val="24"/>
          <w:szCs w:val="24"/>
        </w:rPr>
        <w:t xml:space="preserve"> cancer patients </w:t>
      </w:r>
      <w:r>
        <w:rPr>
          <w:rFonts w:ascii="Times New Roman" w:hAnsi="Times New Roman" w:cs="Times New Roman" w:hint="eastAsia"/>
          <w:sz w:val="24"/>
          <w:szCs w:val="24"/>
        </w:rPr>
        <w:t>was</w:t>
      </w:r>
      <w:r>
        <w:rPr>
          <w:rFonts w:ascii="Times New Roman" w:hAnsi="Times New Roman" w:cs="Times New Roman"/>
          <w:sz w:val="24"/>
          <w:szCs w:val="24"/>
        </w:rPr>
        <w:t xml:space="preserve"> </w:t>
      </w:r>
      <w:r>
        <w:rPr>
          <w:rFonts w:ascii="Times New Roman" w:hAnsi="Times New Roman" w:cs="Times New Roman" w:hint="eastAsia"/>
          <w:sz w:val="24"/>
          <w:szCs w:val="24"/>
        </w:rPr>
        <w:t>76.3%</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[59.8%,</w:t>
      </w:r>
      <w:r>
        <w:rPr>
          <w:rFonts w:ascii="Times New Roman" w:hAnsi="Times New Roman" w:cs="Times New Roman"/>
          <w:sz w:val="24"/>
          <w:szCs w:val="24"/>
        </w:rPr>
        <w:t xml:space="preserve"> </w:t>
      </w:r>
      <w:r>
        <w:rPr>
          <w:rFonts w:ascii="Times New Roman" w:hAnsi="Times New Roman" w:cs="Times New Roman" w:hint="eastAsia"/>
          <w:sz w:val="24"/>
          <w:szCs w:val="24"/>
        </w:rPr>
        <w:t>88.6%],</w:t>
      </w:r>
      <w:r>
        <w:rPr>
          <w:rFonts w:ascii="Times New Roman" w:hAnsi="Times New Roman" w:cs="Times New Roman"/>
          <w:sz w:val="24"/>
          <w:szCs w:val="24"/>
        </w:rPr>
        <w:t xml:space="preserve"> </w:t>
      </w:r>
      <w:r>
        <w:rPr>
          <w:rFonts w:ascii="Times New Roman" w:hAnsi="Times New Roman" w:cs="Times New Roman" w:hint="eastAsia"/>
          <w:sz w:val="24"/>
          <w:szCs w:val="24"/>
        </w:rPr>
        <w:t>N=38)</w:t>
      </w:r>
      <w:r>
        <w:rPr>
          <w:rFonts w:ascii="Times New Roman" w:hAnsi="Times New Roman" w:cs="Times New Roman"/>
          <w:sz w:val="24"/>
          <w:szCs w:val="24"/>
        </w:rPr>
        <w:t xml:space="preserve"> </w:t>
      </w:r>
      <w:r>
        <w:rPr>
          <w:rFonts w:ascii="Times New Roman" w:hAnsi="Times New Roman" w:cs="Times New Roman" w:hint="eastAsia"/>
          <w:sz w:val="24"/>
          <w:szCs w:val="24"/>
        </w:rPr>
        <w:t>on</w:t>
      </w:r>
      <w:r>
        <w:rPr>
          <w:rFonts w:ascii="Times New Roman" w:hAnsi="Times New Roman" w:cs="Times New Roman"/>
          <w:sz w:val="24"/>
          <w:szCs w:val="24"/>
        </w:rPr>
        <w:t xml:space="preserve"> </w:t>
      </w:r>
      <w:r>
        <w:rPr>
          <w:rFonts w:ascii="Times New Roman" w:hAnsi="Times New Roman" w:cs="Times New Roman" w:hint="eastAsia"/>
          <w:sz w:val="24"/>
          <w:szCs w:val="24"/>
        </w:rPr>
        <w:t>14</w:t>
      </w:r>
      <w:r>
        <w:rPr>
          <w:rFonts w:ascii="Times New Roman" w:hAnsi="Times New Roman" w:cs="Times New Roman"/>
          <w:sz w:val="24"/>
          <w:szCs w:val="24"/>
        </w:rPr>
        <w:t xml:space="preserve"> </w:t>
      </w:r>
      <w:r>
        <w:rPr>
          <w:rFonts w:ascii="Times New Roman" w:hAnsi="Times New Roman" w:cs="Times New Roman" w:hint="eastAsia"/>
          <w:sz w:val="24"/>
          <w:szCs w:val="24"/>
        </w:rPr>
        <w:t>days</w:t>
      </w:r>
      <w:r>
        <w:rPr>
          <w:rFonts w:ascii="Times New Roman" w:hAnsi="Times New Roman" w:cs="Times New Roman"/>
          <w:sz w:val="24"/>
          <w:szCs w:val="24"/>
        </w:rPr>
        <w:t xml:space="preserve"> </w:t>
      </w:r>
      <w:r>
        <w:rPr>
          <w:rFonts w:ascii="Times New Roman" w:hAnsi="Times New Roman" w:cs="Times New Roman" w:hint="eastAsia"/>
          <w:sz w:val="24"/>
          <w:szCs w:val="24"/>
        </w:rPr>
        <w:t>after</w:t>
      </w:r>
      <w:r>
        <w:rPr>
          <w:rFonts w:ascii="Times New Roman" w:hAnsi="Times New Roman" w:cs="Times New Roman"/>
          <w:sz w:val="24"/>
          <w:szCs w:val="24"/>
        </w:rPr>
        <w:t xml:space="preserve"> </w:t>
      </w:r>
      <w:r>
        <w:rPr>
          <w:rFonts w:ascii="Times New Roman" w:hAnsi="Times New Roman" w:cs="Times New Roman" w:hint="eastAsia"/>
          <w:sz w:val="24"/>
          <w:szCs w:val="24"/>
        </w:rPr>
        <w:t>the</w:t>
      </w:r>
      <w:r>
        <w:rPr>
          <w:rFonts w:ascii="Times New Roman" w:hAnsi="Times New Roman" w:cs="Times New Roman"/>
          <w:sz w:val="24"/>
          <w:szCs w:val="24"/>
        </w:rPr>
        <w:t xml:space="preserve"> </w:t>
      </w:r>
      <w:r>
        <w:rPr>
          <w:rFonts w:ascii="Times New Roman" w:hAnsi="Times New Roman" w:cs="Times New Roman" w:hint="eastAsia"/>
          <w:sz w:val="24"/>
          <w:szCs w:val="24"/>
        </w:rPr>
        <w:t>second</w:t>
      </w:r>
      <w:r>
        <w:rPr>
          <w:rFonts w:ascii="Times New Roman" w:hAnsi="Times New Roman" w:cs="Times New Roman"/>
          <w:sz w:val="24"/>
          <w:szCs w:val="24"/>
        </w:rPr>
        <w:t xml:space="preserve"> </w:t>
      </w:r>
      <w:r>
        <w:rPr>
          <w:rFonts w:ascii="Times New Roman" w:hAnsi="Times New Roman" w:cs="Times New Roman" w:hint="eastAsia"/>
          <w:sz w:val="24"/>
          <w:szCs w:val="24"/>
        </w:rPr>
        <w:t>inoculation</w:t>
      </w:r>
      <w:r>
        <w:rPr>
          <w:rFonts w:ascii="Times New Roman" w:hAnsi="Times New Roman" w:cs="Times New Roman"/>
          <w:sz w:val="24"/>
          <w:szCs w:val="24"/>
        </w:rPr>
        <w:t xml:space="preserve"> </w:t>
      </w:r>
      <w:r>
        <w:rPr>
          <w:rFonts w:ascii="Times New Roman" w:hAnsi="Times New Roman" w:cs="Times New Roman" w:hint="eastAsia"/>
          <w:sz w:val="24"/>
          <w:szCs w:val="24"/>
        </w:rPr>
        <w:t>and</w:t>
      </w:r>
      <w:r>
        <w:rPr>
          <w:rFonts w:ascii="Times New Roman" w:hAnsi="Times New Roman" w:cs="Times New Roman"/>
          <w:sz w:val="24"/>
          <w:szCs w:val="24"/>
        </w:rPr>
        <w:t xml:space="preserve"> </w:t>
      </w:r>
      <w:r>
        <w:rPr>
          <w:rFonts w:ascii="Times New Roman" w:hAnsi="Times New Roman" w:cs="Times New Roman" w:hint="eastAsia"/>
          <w:sz w:val="24"/>
          <w:szCs w:val="24"/>
        </w:rPr>
        <w:t>73.1%</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[52.2%,</w:t>
      </w:r>
      <w:r>
        <w:rPr>
          <w:rFonts w:ascii="Times New Roman" w:hAnsi="Times New Roman" w:cs="Times New Roman"/>
          <w:sz w:val="24"/>
          <w:szCs w:val="24"/>
        </w:rPr>
        <w:t xml:space="preserve"> </w:t>
      </w:r>
      <w:r>
        <w:rPr>
          <w:rFonts w:ascii="Times New Roman" w:hAnsi="Times New Roman" w:cs="Times New Roman" w:hint="eastAsia"/>
          <w:sz w:val="24"/>
          <w:szCs w:val="24"/>
        </w:rPr>
        <w:lastRenderedPageBreak/>
        <w:t>84.4%],</w:t>
      </w:r>
      <w:r>
        <w:rPr>
          <w:rFonts w:ascii="Times New Roman" w:hAnsi="Times New Roman" w:cs="Times New Roman"/>
          <w:sz w:val="24"/>
          <w:szCs w:val="24"/>
        </w:rPr>
        <w:t xml:space="preserve"> </w:t>
      </w:r>
      <w:r>
        <w:rPr>
          <w:rFonts w:ascii="Times New Roman" w:hAnsi="Times New Roman" w:cs="Times New Roman" w:hint="eastAsia"/>
          <w:sz w:val="24"/>
          <w:szCs w:val="24"/>
        </w:rPr>
        <w:t>N=26)</w:t>
      </w:r>
      <w:r>
        <w:rPr>
          <w:rFonts w:ascii="Times New Roman" w:hAnsi="Times New Roman" w:cs="Times New Roman"/>
          <w:sz w:val="24"/>
          <w:szCs w:val="24"/>
        </w:rPr>
        <w:t xml:space="preserve"> </w:t>
      </w:r>
      <w:r>
        <w:rPr>
          <w:rFonts w:ascii="Times New Roman" w:hAnsi="Times New Roman" w:cs="Times New Roman" w:hint="eastAsia"/>
          <w:sz w:val="24"/>
          <w:szCs w:val="24"/>
        </w:rPr>
        <w:t>after</w:t>
      </w:r>
      <w:r>
        <w:rPr>
          <w:rFonts w:ascii="Times New Roman" w:hAnsi="Times New Roman" w:cs="Times New Roman"/>
          <w:sz w:val="24"/>
          <w:szCs w:val="24"/>
        </w:rPr>
        <w:t xml:space="preserve"> </w:t>
      </w:r>
      <w:r>
        <w:rPr>
          <w:rFonts w:ascii="Times New Roman" w:hAnsi="Times New Roman" w:cs="Times New Roman" w:hint="eastAsia"/>
          <w:sz w:val="24"/>
          <w:szCs w:val="24"/>
        </w:rPr>
        <w:t>180</w:t>
      </w:r>
      <w:r>
        <w:rPr>
          <w:rFonts w:ascii="Times New Roman" w:hAnsi="Times New Roman" w:cs="Times New Roman"/>
          <w:sz w:val="24"/>
          <w:szCs w:val="24"/>
        </w:rPr>
        <w:t xml:space="preserve"> </w:t>
      </w:r>
      <w:r>
        <w:rPr>
          <w:rFonts w:ascii="Times New Roman" w:hAnsi="Times New Roman" w:cs="Times New Roman" w:hint="eastAsia"/>
          <w:sz w:val="24"/>
          <w:szCs w:val="24"/>
        </w:rPr>
        <w:t>days.</w:t>
      </w:r>
      <w:r>
        <w:rPr>
          <w:rFonts w:ascii="Times New Roman" w:hAnsi="Times New Roman" w:cs="Times New Roman"/>
          <w:sz w:val="24"/>
          <w:szCs w:val="24"/>
        </w:rPr>
        <w:t xml:space="preserve"> </w:t>
      </w:r>
      <w:r>
        <w:rPr>
          <w:rFonts w:ascii="Times New Roman" w:hAnsi="Times New Roman" w:cs="Times New Roman" w:hint="eastAsia"/>
          <w:sz w:val="24"/>
          <w:szCs w:val="24"/>
        </w:rPr>
        <w:t>When</w:t>
      </w:r>
      <w:r>
        <w:rPr>
          <w:rFonts w:ascii="Times New Roman" w:hAnsi="Times New Roman" w:cs="Times New Roman"/>
          <w:sz w:val="24"/>
          <w:szCs w:val="24"/>
        </w:rPr>
        <w:t xml:space="preserve"> </w:t>
      </w:r>
      <w:r>
        <w:rPr>
          <w:rFonts w:ascii="Times New Roman" w:hAnsi="Times New Roman" w:cs="Times New Roman" w:hint="eastAsia"/>
          <w:sz w:val="24"/>
          <w:szCs w:val="24"/>
        </w:rPr>
        <w:t>analyzed</w:t>
      </w:r>
      <w:r>
        <w:rPr>
          <w:rFonts w:ascii="Times New Roman" w:hAnsi="Times New Roman" w:cs="Times New Roman"/>
          <w:sz w:val="24"/>
          <w:szCs w:val="24"/>
        </w:rPr>
        <w:t xml:space="preserve"> </w:t>
      </w:r>
      <w:r>
        <w:rPr>
          <w:rFonts w:ascii="Times New Roman" w:hAnsi="Times New Roman" w:cs="Times New Roman" w:hint="eastAsia"/>
          <w:sz w:val="24"/>
          <w:szCs w:val="24"/>
        </w:rPr>
        <w:t>for</w:t>
      </w:r>
      <w:r>
        <w:rPr>
          <w:rFonts w:ascii="Times New Roman" w:hAnsi="Times New Roman" w:cs="Times New Roman"/>
          <w:sz w:val="24"/>
          <w:szCs w:val="24"/>
        </w:rPr>
        <w:t xml:space="preserve"> </w:t>
      </w:r>
      <w:r>
        <w:rPr>
          <w:rFonts w:ascii="Times New Roman" w:hAnsi="Times New Roman" w:cs="Times New Roman" w:hint="eastAsia"/>
          <w:sz w:val="24"/>
          <w:szCs w:val="24"/>
        </w:rPr>
        <w:t>all</w:t>
      </w:r>
      <w:r>
        <w:rPr>
          <w:rFonts w:ascii="Times New Roman" w:hAnsi="Times New Roman" w:cs="Times New Roman"/>
          <w:sz w:val="24"/>
          <w:szCs w:val="24"/>
        </w:rPr>
        <w:t xml:space="preserve"> </w:t>
      </w:r>
      <w:r>
        <w:rPr>
          <w:rFonts w:ascii="Times New Roman" w:hAnsi="Times New Roman" w:cs="Times New Roman" w:hint="eastAsia"/>
          <w:sz w:val="24"/>
          <w:szCs w:val="24"/>
        </w:rPr>
        <w:t>solid</w:t>
      </w:r>
      <w:r>
        <w:rPr>
          <w:rFonts w:ascii="Times New Roman" w:hAnsi="Times New Roman" w:cs="Times New Roman"/>
          <w:sz w:val="24"/>
          <w:szCs w:val="24"/>
        </w:rPr>
        <w:t xml:space="preserve"> </w:t>
      </w:r>
      <w:r>
        <w:rPr>
          <w:rFonts w:ascii="Times New Roman" w:hAnsi="Times New Roman" w:cs="Times New Roman" w:hint="eastAsia"/>
          <w:sz w:val="24"/>
          <w:szCs w:val="24"/>
        </w:rPr>
        <w:t>tumor</w:t>
      </w:r>
      <w:r>
        <w:rPr>
          <w:rFonts w:ascii="Times New Roman" w:hAnsi="Times New Roman" w:cs="Times New Roman"/>
          <w:sz w:val="24"/>
          <w:szCs w:val="24"/>
        </w:rPr>
        <w:t xml:space="preserve"> </w:t>
      </w:r>
      <w:r>
        <w:rPr>
          <w:rFonts w:ascii="Times New Roman" w:hAnsi="Times New Roman" w:cs="Times New Roman" w:hint="eastAsia"/>
          <w:sz w:val="24"/>
          <w:szCs w:val="24"/>
        </w:rPr>
        <w:t>patients,</w:t>
      </w:r>
      <w:r>
        <w:rPr>
          <w:rFonts w:ascii="Times New Roman" w:hAnsi="Times New Roman" w:cs="Times New Roman"/>
          <w:sz w:val="24"/>
          <w:szCs w:val="24"/>
        </w:rPr>
        <w:t xml:space="preserve"> </w:t>
      </w:r>
      <w:r>
        <w:rPr>
          <w:rFonts w:ascii="Times New Roman" w:hAnsi="Times New Roman" w:cs="Times New Roman" w:hint="eastAsia"/>
          <w:sz w:val="24"/>
          <w:szCs w:val="24"/>
        </w:rPr>
        <w:t>the</w:t>
      </w:r>
      <w:r>
        <w:rPr>
          <w:rFonts w:ascii="Times New Roman" w:hAnsi="Times New Roman" w:cs="Times New Roman"/>
          <w:sz w:val="24"/>
          <w:szCs w:val="24"/>
        </w:rPr>
        <w:t xml:space="preserve"> </w:t>
      </w:r>
      <w:r>
        <w:rPr>
          <w:rFonts w:ascii="Times New Roman" w:hAnsi="Times New Roman" w:cs="Times New Roman" w:hint="eastAsia"/>
          <w:sz w:val="24"/>
          <w:szCs w:val="24"/>
        </w:rPr>
        <w:t>seropositivity</w:t>
      </w:r>
      <w:r>
        <w:rPr>
          <w:rFonts w:ascii="Times New Roman" w:hAnsi="Times New Roman" w:cs="Times New Roman"/>
          <w:sz w:val="24"/>
          <w:szCs w:val="24"/>
        </w:rPr>
        <w:t xml:space="preserve"> </w:t>
      </w:r>
      <w:r>
        <w:rPr>
          <w:rFonts w:ascii="Times New Roman" w:hAnsi="Times New Roman" w:cs="Times New Roman" w:hint="eastAsia"/>
          <w:sz w:val="24"/>
          <w:szCs w:val="24"/>
        </w:rPr>
        <w:t>was</w:t>
      </w:r>
      <w:r>
        <w:rPr>
          <w:rFonts w:ascii="Times New Roman" w:hAnsi="Times New Roman" w:cs="Times New Roman"/>
          <w:sz w:val="24"/>
          <w:szCs w:val="24"/>
        </w:rPr>
        <w:t xml:space="preserve"> </w:t>
      </w:r>
      <w:r>
        <w:rPr>
          <w:rFonts w:ascii="Times New Roman" w:hAnsi="Times New Roman" w:cs="Times New Roman" w:hint="eastAsia"/>
          <w:sz w:val="24"/>
          <w:szCs w:val="24"/>
        </w:rPr>
        <w:t>90.5%</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[87.3%,</w:t>
      </w:r>
      <w:r>
        <w:rPr>
          <w:rFonts w:ascii="Times New Roman" w:hAnsi="Times New Roman" w:cs="Times New Roman"/>
          <w:sz w:val="24"/>
          <w:szCs w:val="24"/>
        </w:rPr>
        <w:t xml:space="preserve"> </w:t>
      </w:r>
      <w:r>
        <w:rPr>
          <w:rFonts w:ascii="Times New Roman" w:hAnsi="Times New Roman" w:cs="Times New Roman" w:hint="eastAsia"/>
          <w:sz w:val="24"/>
          <w:szCs w:val="24"/>
        </w:rPr>
        <w:t>93.4%],</w:t>
      </w:r>
      <w:r>
        <w:rPr>
          <w:rFonts w:ascii="Times New Roman" w:hAnsi="Times New Roman" w:cs="Times New Roman"/>
          <w:sz w:val="24"/>
          <w:szCs w:val="24"/>
        </w:rPr>
        <w:t xml:space="preserve"> </w:t>
      </w:r>
      <w:r>
        <w:rPr>
          <w:rFonts w:ascii="Times New Roman" w:hAnsi="Times New Roman" w:cs="Times New Roman" w:hint="eastAsia"/>
          <w:sz w:val="24"/>
          <w:szCs w:val="24"/>
        </w:rPr>
        <w:t>N=605)</w:t>
      </w:r>
    </w:p>
    <w:p w14:paraId="47838B74" w14:textId="77777777" w:rsidR="0049304B" w:rsidRDefault="0049304B" w:rsidP="00D4555D">
      <w:pPr>
        <w:pStyle w:val="Heading2"/>
      </w:pPr>
      <w:r w:rsidRPr="00E159FE">
        <w:rPr>
          <w:rFonts w:hint="eastAsia"/>
        </w:rPr>
        <w:t>H</w:t>
      </w:r>
      <w:r w:rsidRPr="00E159FE">
        <w:t>ematologic malignancy</w:t>
      </w:r>
    </w:p>
    <w:p w14:paraId="1C89CA31" w14:textId="77777777" w:rsidR="0049304B" w:rsidRDefault="0049304B" w:rsidP="0049304B">
      <w:pPr>
        <w:spacing w:line="480" w:lineRule="auto"/>
        <w:rPr>
          <w:rFonts w:ascii="Times New Roman" w:hAnsi="Times New Roman" w:cs="Times New Roman"/>
          <w:sz w:val="24"/>
          <w:szCs w:val="24"/>
        </w:rPr>
      </w:pPr>
      <w:r>
        <w:rPr>
          <w:rFonts w:ascii="Times New Roman" w:hAnsi="Times New Roman" w:cs="Times New Roman" w:hint="eastAsia"/>
          <w:sz w:val="24"/>
          <w:szCs w:val="24"/>
        </w:rPr>
        <w:t>S</w:t>
      </w:r>
      <w:r>
        <w:rPr>
          <w:rFonts w:ascii="Times New Roman" w:hAnsi="Times New Roman" w:cs="Times New Roman"/>
          <w:sz w:val="24"/>
          <w:szCs w:val="24"/>
        </w:rPr>
        <w:t xml:space="preserve">eropositivity of COVID-19 among hematologic malignancy patients is reported in </w:t>
      </w:r>
      <w:r>
        <w:rPr>
          <w:rFonts w:ascii="Times New Roman" w:hAnsi="Times New Roman" w:cs="Times New Roman" w:hint="eastAsia"/>
          <w:sz w:val="24"/>
          <w:szCs w:val="24"/>
        </w:rPr>
        <w:t>Figure</w:t>
      </w:r>
      <w:r>
        <w:rPr>
          <w:rFonts w:ascii="Times New Roman" w:hAnsi="Times New Roman" w:cs="Times New Roman"/>
          <w:sz w:val="24"/>
          <w:szCs w:val="24"/>
        </w:rPr>
        <w:t xml:space="preserve"> </w:t>
      </w:r>
      <w:r>
        <w:rPr>
          <w:rFonts w:ascii="Times New Roman" w:hAnsi="Times New Roman" w:cs="Times New Roman" w:hint="eastAsia"/>
          <w:sz w:val="24"/>
          <w:szCs w:val="24"/>
        </w:rPr>
        <w:t>4</w:t>
      </w:r>
      <w:r>
        <w:rPr>
          <w:rFonts w:ascii="Times New Roman" w:hAnsi="Times New Roman" w:cs="Times New Roman"/>
          <w:sz w:val="24"/>
          <w:szCs w:val="24"/>
        </w:rPr>
        <w:t xml:space="preserve"> </w:t>
      </w:r>
      <w:r>
        <w:rPr>
          <w:rFonts w:ascii="Times New Roman" w:hAnsi="Times New Roman" w:cs="Times New Roman" w:hint="eastAsia"/>
          <w:sz w:val="24"/>
          <w:szCs w:val="24"/>
        </w:rPr>
        <w:t>and</w:t>
      </w:r>
      <w:r>
        <w:rPr>
          <w:rFonts w:ascii="Times New Roman" w:hAnsi="Times New Roman" w:cs="Times New Roman"/>
          <w:sz w:val="24"/>
          <w:szCs w:val="24"/>
        </w:rPr>
        <w:t xml:space="preserve"> </w:t>
      </w:r>
      <w:r>
        <w:rPr>
          <w:rFonts w:ascii="Times New Roman" w:hAnsi="Times New Roman" w:cs="Times New Roman" w:hint="eastAsia"/>
          <w:sz w:val="24"/>
          <w:szCs w:val="24"/>
        </w:rPr>
        <w:t>Supplement</w:t>
      </w:r>
      <w:r>
        <w:rPr>
          <w:rFonts w:ascii="Times New Roman" w:hAnsi="Times New Roman" w:cs="Times New Roman"/>
          <w:sz w:val="24"/>
          <w:szCs w:val="24"/>
        </w:rPr>
        <w:t xml:space="preserve"> </w:t>
      </w:r>
      <w:r>
        <w:rPr>
          <w:rFonts w:ascii="Times New Roman" w:hAnsi="Times New Roman" w:cs="Times New Roman" w:hint="eastAsia"/>
          <w:sz w:val="24"/>
          <w:szCs w:val="24"/>
        </w:rPr>
        <w:t>4</w:t>
      </w:r>
      <w:r>
        <w:rPr>
          <w:rFonts w:ascii="Times New Roman" w:hAnsi="Times New Roman" w:cs="Times New Roman"/>
          <w:sz w:val="24"/>
          <w:szCs w:val="24"/>
        </w:rPr>
        <w:t>. Three studies were included</w:t>
      </w:r>
      <w:r w:rsidRPr="00DD4AC8">
        <w:rPr>
          <w:rFonts w:ascii="Times New Roman" w:hAnsi="Times New Roman" w:cs="Times New Roman"/>
          <w:sz w:val="24"/>
          <w:szCs w:val="24"/>
          <w:vertAlign w:val="superscript"/>
        </w:rPr>
        <w:t>16-1</w:t>
      </w:r>
      <w:r>
        <w:rPr>
          <w:rFonts w:ascii="Times New Roman" w:hAnsi="Times New Roman" w:cs="Times New Roman"/>
          <w:sz w:val="24"/>
          <w:szCs w:val="24"/>
          <w:vertAlign w:val="superscript"/>
        </w:rPr>
        <w:t>8</w:t>
      </w:r>
      <w:r>
        <w:rPr>
          <w:rFonts w:ascii="Times New Roman" w:hAnsi="Times New Roman" w:cs="Times New Roman"/>
          <w:sz w:val="24"/>
          <w:szCs w:val="24"/>
        </w:rPr>
        <w:t xml:space="preserve">. Most of the data were on the Pfizer vaccine, and there was one data on AstraZeneca vaccine. </w:t>
      </w:r>
    </w:p>
    <w:p w14:paraId="6D1E869A" w14:textId="77777777" w:rsidR="0049304B" w:rsidRPr="00243579" w:rsidRDefault="0049304B" w:rsidP="0049304B">
      <w:pPr>
        <w:spacing w:line="480" w:lineRule="auto"/>
        <w:ind w:firstLineChars="50" w:firstLine="120"/>
        <w:rPr>
          <w:rFonts w:ascii="Times New Roman" w:hAnsi="Times New Roman" w:cs="Times New Roman"/>
          <w:sz w:val="24"/>
          <w:szCs w:val="24"/>
        </w:rPr>
      </w:pPr>
      <w:r>
        <w:rPr>
          <w:rFonts w:ascii="Times New Roman" w:hAnsi="Times New Roman" w:cs="Times New Roman"/>
          <w:sz w:val="24"/>
          <w:szCs w:val="24"/>
        </w:rPr>
        <w:t xml:space="preserve">For aggressive NHL and indolent NHL, there were seropositivity data 14 to 21 days after the second inoculation, 49.3%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[37.0%,</w:t>
      </w:r>
      <w:r>
        <w:rPr>
          <w:rFonts w:ascii="Times New Roman" w:hAnsi="Times New Roman" w:cs="Times New Roman"/>
          <w:sz w:val="24"/>
          <w:szCs w:val="24"/>
        </w:rPr>
        <w:t xml:space="preserve"> </w:t>
      </w:r>
      <w:r>
        <w:rPr>
          <w:rFonts w:ascii="Times New Roman" w:hAnsi="Times New Roman" w:cs="Times New Roman" w:hint="eastAsia"/>
          <w:sz w:val="24"/>
          <w:szCs w:val="24"/>
        </w:rPr>
        <w:t>61.6%],</w:t>
      </w:r>
      <w:r>
        <w:rPr>
          <w:rFonts w:ascii="Times New Roman" w:hAnsi="Times New Roman" w:cs="Times New Roman"/>
          <w:sz w:val="24"/>
          <w:szCs w:val="24"/>
        </w:rPr>
        <w:t xml:space="preserve"> </w:t>
      </w:r>
      <w:r>
        <w:rPr>
          <w:rFonts w:ascii="Times New Roman" w:hAnsi="Times New Roman" w:cs="Times New Roman" w:hint="eastAsia"/>
          <w:sz w:val="24"/>
          <w:szCs w:val="24"/>
        </w:rPr>
        <w:t>N=69)</w:t>
      </w:r>
      <w:r>
        <w:rPr>
          <w:rFonts w:ascii="Times New Roman" w:hAnsi="Times New Roman" w:cs="Times New Roman"/>
          <w:sz w:val="24"/>
          <w:szCs w:val="24"/>
        </w:rPr>
        <w:t xml:space="preserve"> and </w:t>
      </w:r>
      <w:r>
        <w:rPr>
          <w:rFonts w:ascii="Times New Roman" w:hAnsi="Times New Roman" w:cs="Times New Roman" w:hint="eastAsia"/>
          <w:sz w:val="24"/>
          <w:szCs w:val="24"/>
        </w:rPr>
        <w:t>47.5</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[36.2%,</w:t>
      </w:r>
      <w:r>
        <w:rPr>
          <w:rFonts w:ascii="Times New Roman" w:hAnsi="Times New Roman" w:cs="Times New Roman"/>
          <w:sz w:val="24"/>
          <w:szCs w:val="24"/>
        </w:rPr>
        <w:t xml:space="preserve"> </w:t>
      </w:r>
      <w:r>
        <w:rPr>
          <w:rFonts w:ascii="Times New Roman" w:hAnsi="Times New Roman" w:cs="Times New Roman" w:hint="eastAsia"/>
          <w:sz w:val="24"/>
          <w:szCs w:val="24"/>
        </w:rPr>
        <w:t>59.0%],</w:t>
      </w:r>
      <w:r>
        <w:rPr>
          <w:rFonts w:ascii="Times New Roman" w:hAnsi="Times New Roman" w:cs="Times New Roman"/>
          <w:sz w:val="24"/>
          <w:szCs w:val="24"/>
        </w:rPr>
        <w:t xml:space="preserve"> </w:t>
      </w:r>
      <w:r>
        <w:rPr>
          <w:rFonts w:ascii="Times New Roman" w:hAnsi="Times New Roman" w:cs="Times New Roman" w:hint="eastAsia"/>
          <w:sz w:val="24"/>
          <w:szCs w:val="24"/>
        </w:rPr>
        <w:t>N=80)</w:t>
      </w:r>
      <w:r>
        <w:rPr>
          <w:rFonts w:ascii="Times New Roman" w:hAnsi="Times New Roman" w:cs="Times New Roman"/>
          <w:sz w:val="24"/>
          <w:szCs w:val="24"/>
        </w:rPr>
        <w:t xml:space="preserve"> respectively. When receiving anti-CD20 antibodies treatment, the seropositivity decreased to 47</w:t>
      </w:r>
      <w:r>
        <w:rPr>
          <w:rFonts w:ascii="Times New Roman" w:hAnsi="Times New Roman" w:cs="Times New Roman" w:hint="eastAsia"/>
          <w:sz w:val="24"/>
          <w:szCs w:val="24"/>
        </w:rPr>
        <w:t>.0</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[34.6%,</w:t>
      </w:r>
      <w:r>
        <w:rPr>
          <w:rFonts w:ascii="Times New Roman" w:hAnsi="Times New Roman" w:cs="Times New Roman"/>
          <w:sz w:val="24"/>
          <w:szCs w:val="24"/>
        </w:rPr>
        <w:t xml:space="preserve"> </w:t>
      </w:r>
      <w:r>
        <w:rPr>
          <w:rFonts w:ascii="Times New Roman" w:hAnsi="Times New Roman" w:cs="Times New Roman" w:hint="eastAsia"/>
          <w:sz w:val="24"/>
          <w:szCs w:val="24"/>
        </w:rPr>
        <w:t>59.7%],</w:t>
      </w:r>
      <w:r>
        <w:rPr>
          <w:rFonts w:ascii="Times New Roman" w:hAnsi="Times New Roman" w:cs="Times New Roman"/>
          <w:sz w:val="24"/>
          <w:szCs w:val="24"/>
        </w:rPr>
        <w:t xml:space="preserve"> </w:t>
      </w:r>
      <w:r>
        <w:rPr>
          <w:rFonts w:ascii="Times New Roman" w:hAnsi="Times New Roman" w:cs="Times New Roman" w:hint="eastAsia"/>
          <w:sz w:val="24"/>
          <w:szCs w:val="24"/>
        </w:rPr>
        <w:t>N=66)</w:t>
      </w:r>
      <w:r>
        <w:rPr>
          <w:rFonts w:ascii="Times New Roman" w:hAnsi="Times New Roman" w:cs="Times New Roman"/>
          <w:sz w:val="24"/>
          <w:szCs w:val="24"/>
        </w:rPr>
        <w:t xml:space="preserve"> and 30.9%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[19.1%,</w:t>
      </w:r>
      <w:r>
        <w:rPr>
          <w:rFonts w:ascii="Times New Roman" w:hAnsi="Times New Roman" w:cs="Times New Roman"/>
          <w:sz w:val="24"/>
          <w:szCs w:val="24"/>
        </w:rPr>
        <w:t xml:space="preserve"> </w:t>
      </w:r>
      <w:r>
        <w:rPr>
          <w:rFonts w:ascii="Times New Roman" w:hAnsi="Times New Roman" w:cs="Times New Roman" w:hint="eastAsia"/>
          <w:sz w:val="24"/>
          <w:szCs w:val="24"/>
        </w:rPr>
        <w:t>44.8%],</w:t>
      </w:r>
      <w:r>
        <w:rPr>
          <w:rFonts w:ascii="Times New Roman" w:hAnsi="Times New Roman" w:cs="Times New Roman"/>
          <w:sz w:val="24"/>
          <w:szCs w:val="24"/>
        </w:rPr>
        <w:t xml:space="preserve"> </w:t>
      </w:r>
      <w:r>
        <w:rPr>
          <w:rFonts w:ascii="Times New Roman" w:hAnsi="Times New Roman" w:cs="Times New Roman" w:hint="eastAsia"/>
          <w:sz w:val="24"/>
          <w:szCs w:val="24"/>
        </w:rPr>
        <w:t>N=55)</w:t>
      </w:r>
      <w:r>
        <w:rPr>
          <w:rFonts w:ascii="Times New Roman" w:hAnsi="Times New Roman" w:cs="Times New Roman"/>
          <w:sz w:val="24"/>
          <w:szCs w:val="24"/>
        </w:rPr>
        <w:t xml:space="preserve"> respectively. Based on the seropositivity of 30 days after the second inoculation, the seropositivity of CLL was the lowest at 47</w:t>
      </w:r>
      <w:r>
        <w:rPr>
          <w:rFonts w:ascii="Times New Roman" w:hAnsi="Times New Roman" w:cs="Times New Roman" w:hint="eastAsia"/>
          <w:sz w:val="24"/>
          <w:szCs w:val="24"/>
        </w:rPr>
        <w:t>.1</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[29.8%,</w:t>
      </w:r>
      <w:r>
        <w:rPr>
          <w:rFonts w:ascii="Times New Roman" w:hAnsi="Times New Roman" w:cs="Times New Roman"/>
          <w:sz w:val="24"/>
          <w:szCs w:val="24"/>
        </w:rPr>
        <w:t xml:space="preserve"> </w:t>
      </w:r>
      <w:r>
        <w:rPr>
          <w:rFonts w:ascii="Times New Roman" w:hAnsi="Times New Roman" w:cs="Times New Roman" w:hint="eastAsia"/>
          <w:sz w:val="24"/>
          <w:szCs w:val="24"/>
        </w:rPr>
        <w:t>64.9%],</w:t>
      </w:r>
      <w:r>
        <w:rPr>
          <w:rFonts w:ascii="Times New Roman" w:hAnsi="Times New Roman" w:cs="Times New Roman"/>
          <w:sz w:val="24"/>
          <w:szCs w:val="24"/>
        </w:rPr>
        <w:t xml:space="preserve"> </w:t>
      </w:r>
      <w:r>
        <w:rPr>
          <w:rFonts w:ascii="Times New Roman" w:hAnsi="Times New Roman" w:cs="Times New Roman" w:hint="eastAsia"/>
          <w:sz w:val="24"/>
          <w:szCs w:val="24"/>
        </w:rPr>
        <w:t>N=34)</w:t>
      </w:r>
      <w:r>
        <w:rPr>
          <w:rFonts w:ascii="Times New Roman" w:hAnsi="Times New Roman" w:cs="Times New Roman"/>
          <w:sz w:val="24"/>
          <w:szCs w:val="24"/>
        </w:rPr>
        <w:t>, followed by indolent NHL (60</w:t>
      </w:r>
      <w:r>
        <w:rPr>
          <w:rFonts w:ascii="Times New Roman" w:hAnsi="Times New Roman" w:cs="Times New Roman" w:hint="eastAsia"/>
          <w:sz w:val="24"/>
          <w:szCs w:val="24"/>
        </w:rPr>
        <w:t>%,</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[43.3%,</w:t>
      </w:r>
      <w:r>
        <w:rPr>
          <w:rFonts w:ascii="Times New Roman" w:hAnsi="Times New Roman" w:cs="Times New Roman"/>
          <w:sz w:val="24"/>
          <w:szCs w:val="24"/>
        </w:rPr>
        <w:t xml:space="preserve"> </w:t>
      </w:r>
      <w:r>
        <w:rPr>
          <w:rFonts w:ascii="Times New Roman" w:hAnsi="Times New Roman" w:cs="Times New Roman" w:hint="eastAsia"/>
          <w:sz w:val="24"/>
          <w:szCs w:val="24"/>
        </w:rPr>
        <w:t>75.1%],</w:t>
      </w:r>
      <w:r>
        <w:rPr>
          <w:rFonts w:ascii="Times New Roman" w:hAnsi="Times New Roman" w:cs="Times New Roman"/>
          <w:sz w:val="24"/>
          <w:szCs w:val="24"/>
        </w:rPr>
        <w:t xml:space="preserve"> </w:t>
      </w:r>
      <w:r>
        <w:rPr>
          <w:rFonts w:ascii="Times New Roman" w:hAnsi="Times New Roman" w:cs="Times New Roman" w:hint="eastAsia"/>
          <w:sz w:val="24"/>
          <w:szCs w:val="24"/>
        </w:rPr>
        <w:t>N=40</w:t>
      </w:r>
      <w:r>
        <w:rPr>
          <w:rFonts w:ascii="Times New Roman" w:hAnsi="Times New Roman" w:cs="Times New Roman"/>
          <w:sz w:val="24"/>
          <w:szCs w:val="24"/>
        </w:rPr>
        <w:t>). CML, Hodgkin lymphoma, and MDS reported seropositivity rates of more than 90%. Furthermore, when a patient with hematologic malignancy was vaccinated with AstraZeneca and Pfizer once, seropositivity rates of 35.7% and 36.</w:t>
      </w:r>
      <w:r>
        <w:rPr>
          <w:rFonts w:ascii="Times New Roman" w:hAnsi="Times New Roman" w:cs="Times New Roman" w:hint="eastAsia"/>
          <w:sz w:val="24"/>
          <w:szCs w:val="24"/>
        </w:rPr>
        <w:t>6</w:t>
      </w:r>
      <w:r>
        <w:rPr>
          <w:rFonts w:ascii="Times New Roman" w:hAnsi="Times New Roman" w:cs="Times New Roman"/>
          <w:sz w:val="24"/>
          <w:szCs w:val="24"/>
        </w:rPr>
        <w:t xml:space="preserve">%, respectively, were shown 30 days later. </w:t>
      </w:r>
      <w:r>
        <w:rPr>
          <w:rFonts w:ascii="Times New Roman" w:hAnsi="Times New Roman" w:cs="Times New Roman" w:hint="eastAsia"/>
          <w:sz w:val="24"/>
          <w:szCs w:val="24"/>
        </w:rPr>
        <w:t>(Supplement</w:t>
      </w:r>
      <w:r>
        <w:rPr>
          <w:rFonts w:ascii="Times New Roman" w:hAnsi="Times New Roman" w:cs="Times New Roman"/>
          <w:sz w:val="24"/>
          <w:szCs w:val="24"/>
        </w:rPr>
        <w:t xml:space="preserve"> </w:t>
      </w:r>
      <w:r>
        <w:rPr>
          <w:rFonts w:ascii="Times New Roman" w:hAnsi="Times New Roman" w:cs="Times New Roman" w:hint="eastAsia"/>
          <w:sz w:val="24"/>
          <w:szCs w:val="24"/>
        </w:rPr>
        <w:t>3).</w:t>
      </w:r>
      <w:r>
        <w:rPr>
          <w:rFonts w:ascii="Times New Roman" w:hAnsi="Times New Roman" w:cs="Times New Roman"/>
          <w:sz w:val="24"/>
          <w:szCs w:val="24"/>
        </w:rPr>
        <w:t xml:space="preserve"> </w:t>
      </w:r>
      <w:r>
        <w:rPr>
          <w:rFonts w:ascii="Times New Roman" w:hAnsi="Times New Roman" w:cs="Times New Roman" w:hint="eastAsia"/>
          <w:sz w:val="24"/>
          <w:szCs w:val="24"/>
        </w:rPr>
        <w:t>When</w:t>
      </w:r>
      <w:r>
        <w:rPr>
          <w:rFonts w:ascii="Times New Roman" w:hAnsi="Times New Roman" w:cs="Times New Roman"/>
          <w:sz w:val="24"/>
          <w:szCs w:val="24"/>
        </w:rPr>
        <w:t xml:space="preserve"> </w:t>
      </w:r>
      <w:r>
        <w:rPr>
          <w:rFonts w:ascii="Times New Roman" w:hAnsi="Times New Roman" w:cs="Times New Roman" w:hint="eastAsia"/>
          <w:sz w:val="24"/>
          <w:szCs w:val="24"/>
        </w:rPr>
        <w:t>analyzed</w:t>
      </w:r>
      <w:r>
        <w:rPr>
          <w:rFonts w:ascii="Times New Roman" w:hAnsi="Times New Roman" w:cs="Times New Roman"/>
          <w:sz w:val="24"/>
          <w:szCs w:val="24"/>
        </w:rPr>
        <w:t xml:space="preserve"> </w:t>
      </w:r>
      <w:r>
        <w:rPr>
          <w:rFonts w:ascii="Times New Roman" w:hAnsi="Times New Roman" w:cs="Times New Roman" w:hint="eastAsia"/>
          <w:sz w:val="24"/>
          <w:szCs w:val="24"/>
        </w:rPr>
        <w:t>for</w:t>
      </w:r>
      <w:r>
        <w:rPr>
          <w:rFonts w:ascii="Times New Roman" w:hAnsi="Times New Roman" w:cs="Times New Roman"/>
          <w:sz w:val="24"/>
          <w:szCs w:val="24"/>
        </w:rPr>
        <w:t xml:space="preserve"> </w:t>
      </w:r>
      <w:r>
        <w:rPr>
          <w:rFonts w:ascii="Times New Roman" w:hAnsi="Times New Roman" w:cs="Times New Roman" w:hint="eastAsia"/>
          <w:sz w:val="24"/>
          <w:szCs w:val="24"/>
        </w:rPr>
        <w:t>all</w:t>
      </w:r>
      <w:r>
        <w:rPr>
          <w:rFonts w:ascii="Times New Roman" w:hAnsi="Times New Roman" w:cs="Times New Roman"/>
          <w:sz w:val="24"/>
          <w:szCs w:val="24"/>
        </w:rPr>
        <w:t xml:space="preserve"> </w:t>
      </w:r>
      <w:r>
        <w:rPr>
          <w:rFonts w:ascii="Times New Roman" w:hAnsi="Times New Roman" w:cs="Times New Roman" w:hint="eastAsia"/>
          <w:sz w:val="24"/>
          <w:szCs w:val="24"/>
        </w:rPr>
        <w:t>hematologic</w:t>
      </w:r>
      <w:r>
        <w:rPr>
          <w:rFonts w:ascii="Times New Roman" w:hAnsi="Times New Roman" w:cs="Times New Roman"/>
          <w:sz w:val="24"/>
          <w:szCs w:val="24"/>
        </w:rPr>
        <w:t xml:space="preserve"> malignancy</w:t>
      </w:r>
      <w:r>
        <w:rPr>
          <w:rFonts w:ascii="Times New Roman" w:hAnsi="Times New Roman" w:cs="Times New Roman" w:hint="eastAsia"/>
          <w:sz w:val="24"/>
          <w:szCs w:val="24"/>
        </w:rPr>
        <w:t xml:space="preserve"> patients,</w:t>
      </w:r>
      <w:r>
        <w:rPr>
          <w:rFonts w:ascii="Times New Roman" w:hAnsi="Times New Roman" w:cs="Times New Roman"/>
          <w:sz w:val="24"/>
          <w:szCs w:val="24"/>
        </w:rPr>
        <w:t xml:space="preserve"> </w:t>
      </w:r>
      <w:r>
        <w:rPr>
          <w:rFonts w:ascii="Times New Roman" w:hAnsi="Times New Roman" w:cs="Times New Roman" w:hint="eastAsia"/>
          <w:sz w:val="24"/>
          <w:szCs w:val="24"/>
        </w:rPr>
        <w:t>the</w:t>
      </w:r>
      <w:r>
        <w:rPr>
          <w:rFonts w:ascii="Times New Roman" w:hAnsi="Times New Roman" w:cs="Times New Roman"/>
          <w:sz w:val="24"/>
          <w:szCs w:val="24"/>
        </w:rPr>
        <w:t xml:space="preserve"> </w:t>
      </w:r>
      <w:r>
        <w:rPr>
          <w:rFonts w:ascii="Times New Roman" w:hAnsi="Times New Roman" w:cs="Times New Roman" w:hint="eastAsia"/>
          <w:sz w:val="24"/>
          <w:szCs w:val="24"/>
        </w:rPr>
        <w:t>seropositivity</w:t>
      </w:r>
      <w:r>
        <w:rPr>
          <w:rFonts w:ascii="Times New Roman" w:hAnsi="Times New Roman" w:cs="Times New Roman"/>
          <w:sz w:val="24"/>
          <w:szCs w:val="24"/>
        </w:rPr>
        <w:t xml:space="preserve"> </w:t>
      </w:r>
      <w:r>
        <w:rPr>
          <w:rFonts w:ascii="Times New Roman" w:hAnsi="Times New Roman" w:cs="Times New Roman" w:hint="eastAsia"/>
          <w:sz w:val="24"/>
          <w:szCs w:val="24"/>
        </w:rPr>
        <w:t>was</w:t>
      </w:r>
      <w:r>
        <w:rPr>
          <w:rFonts w:ascii="Times New Roman" w:hAnsi="Times New Roman" w:cs="Times New Roman"/>
          <w:sz w:val="24"/>
          <w:szCs w:val="24"/>
        </w:rPr>
        <w:t xml:space="preserve"> </w:t>
      </w:r>
      <w:r>
        <w:rPr>
          <w:rFonts w:ascii="Times New Roman" w:hAnsi="Times New Roman" w:cs="Times New Roman" w:hint="eastAsia"/>
          <w:sz w:val="24"/>
          <w:szCs w:val="24"/>
        </w:rPr>
        <w:t>67.0%</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[55.4%,</w:t>
      </w:r>
      <w:r>
        <w:rPr>
          <w:rFonts w:ascii="Times New Roman" w:hAnsi="Times New Roman" w:cs="Times New Roman"/>
          <w:sz w:val="24"/>
          <w:szCs w:val="24"/>
        </w:rPr>
        <w:t xml:space="preserve"> </w:t>
      </w:r>
      <w:r>
        <w:rPr>
          <w:rFonts w:ascii="Times New Roman" w:hAnsi="Times New Roman" w:cs="Times New Roman" w:hint="eastAsia"/>
          <w:sz w:val="24"/>
          <w:szCs w:val="24"/>
        </w:rPr>
        <w:t>77.0%],</w:t>
      </w:r>
      <w:r>
        <w:rPr>
          <w:rFonts w:ascii="Times New Roman" w:hAnsi="Times New Roman" w:cs="Times New Roman"/>
          <w:sz w:val="24"/>
          <w:szCs w:val="24"/>
        </w:rPr>
        <w:t xml:space="preserve"> </w:t>
      </w:r>
      <w:r>
        <w:rPr>
          <w:rFonts w:ascii="Times New Roman" w:hAnsi="Times New Roman" w:cs="Times New Roman" w:hint="eastAsia"/>
          <w:sz w:val="24"/>
          <w:szCs w:val="24"/>
        </w:rPr>
        <w:t>N=585)</w:t>
      </w:r>
    </w:p>
    <w:p w14:paraId="471EA2C1" w14:textId="77777777" w:rsidR="0049304B" w:rsidRDefault="0049304B" w:rsidP="00D4555D">
      <w:pPr>
        <w:pStyle w:val="Heading2"/>
      </w:pPr>
      <w:r w:rsidRPr="00E159FE">
        <w:rPr>
          <w:rFonts w:hint="eastAsia"/>
        </w:rPr>
        <w:t>A</w:t>
      </w:r>
      <w:r w:rsidRPr="00E159FE">
        <w:t xml:space="preserve">utoimmune disease </w:t>
      </w:r>
    </w:p>
    <w:p w14:paraId="7D5693A9" w14:textId="77777777" w:rsidR="0049304B" w:rsidRDefault="0049304B" w:rsidP="0049304B">
      <w:pPr>
        <w:spacing w:line="480" w:lineRule="auto"/>
        <w:rPr>
          <w:rFonts w:ascii="Times New Roman" w:hAnsi="Times New Roman" w:cs="Times New Roman"/>
          <w:sz w:val="24"/>
          <w:szCs w:val="24"/>
        </w:rPr>
      </w:pPr>
      <w:r>
        <w:rPr>
          <w:rFonts w:ascii="Times New Roman" w:hAnsi="Times New Roman" w:cs="Times New Roman" w:hint="eastAsia"/>
          <w:sz w:val="24"/>
          <w:szCs w:val="24"/>
        </w:rPr>
        <w:t>S</w:t>
      </w:r>
      <w:r>
        <w:rPr>
          <w:rFonts w:ascii="Times New Roman" w:hAnsi="Times New Roman" w:cs="Times New Roman"/>
          <w:sz w:val="24"/>
          <w:szCs w:val="24"/>
        </w:rPr>
        <w:t xml:space="preserve">eropositivity of COVID-19 among autoimmune disease patients is reported in </w:t>
      </w:r>
      <w:r>
        <w:rPr>
          <w:rFonts w:ascii="Times New Roman" w:hAnsi="Times New Roman" w:cs="Times New Roman" w:hint="eastAsia"/>
          <w:sz w:val="24"/>
          <w:szCs w:val="24"/>
        </w:rPr>
        <w:t>Figure</w:t>
      </w:r>
      <w:r>
        <w:rPr>
          <w:rFonts w:ascii="Times New Roman" w:hAnsi="Times New Roman" w:cs="Times New Roman"/>
          <w:sz w:val="24"/>
          <w:szCs w:val="24"/>
        </w:rPr>
        <w:t xml:space="preserve"> </w:t>
      </w:r>
      <w:r>
        <w:rPr>
          <w:rFonts w:ascii="Times New Roman" w:hAnsi="Times New Roman" w:cs="Times New Roman" w:hint="eastAsia"/>
          <w:sz w:val="24"/>
          <w:szCs w:val="24"/>
        </w:rPr>
        <w:t>5</w:t>
      </w:r>
      <w:r>
        <w:rPr>
          <w:rFonts w:ascii="Times New Roman" w:hAnsi="Times New Roman" w:cs="Times New Roman"/>
          <w:sz w:val="24"/>
          <w:szCs w:val="24"/>
        </w:rPr>
        <w:t xml:space="preserve"> </w:t>
      </w:r>
      <w:r>
        <w:rPr>
          <w:rFonts w:ascii="Times New Roman" w:hAnsi="Times New Roman" w:cs="Times New Roman" w:hint="eastAsia"/>
          <w:sz w:val="24"/>
          <w:szCs w:val="24"/>
        </w:rPr>
        <w:t>and</w:t>
      </w:r>
      <w:r>
        <w:rPr>
          <w:rFonts w:ascii="Times New Roman" w:hAnsi="Times New Roman" w:cs="Times New Roman"/>
          <w:sz w:val="24"/>
          <w:szCs w:val="24"/>
        </w:rPr>
        <w:t xml:space="preserve"> </w:t>
      </w:r>
      <w:r>
        <w:rPr>
          <w:rFonts w:ascii="Times New Roman" w:hAnsi="Times New Roman" w:cs="Times New Roman" w:hint="eastAsia"/>
          <w:sz w:val="24"/>
          <w:szCs w:val="24"/>
        </w:rPr>
        <w:t>Supplement</w:t>
      </w:r>
      <w:r>
        <w:rPr>
          <w:rFonts w:ascii="Times New Roman" w:hAnsi="Times New Roman" w:cs="Times New Roman"/>
          <w:sz w:val="24"/>
          <w:szCs w:val="24"/>
        </w:rPr>
        <w:t xml:space="preserve"> </w:t>
      </w:r>
      <w:r>
        <w:rPr>
          <w:rFonts w:ascii="Times New Roman" w:hAnsi="Times New Roman" w:cs="Times New Roman" w:hint="eastAsia"/>
          <w:sz w:val="24"/>
          <w:szCs w:val="24"/>
        </w:rPr>
        <w:t>5</w:t>
      </w:r>
      <w:r>
        <w:rPr>
          <w:rFonts w:ascii="Times New Roman" w:hAnsi="Times New Roman" w:cs="Times New Roman"/>
          <w:sz w:val="24"/>
          <w:szCs w:val="24"/>
        </w:rPr>
        <w:t>. Two studies were included, and Pfizer vaccine was used in all studies</w:t>
      </w:r>
      <w:r w:rsidRPr="00DD4AC8">
        <w:rPr>
          <w:rFonts w:ascii="Times New Roman" w:hAnsi="Times New Roman" w:cs="Times New Roman"/>
          <w:sz w:val="24"/>
          <w:szCs w:val="24"/>
          <w:vertAlign w:val="superscript"/>
        </w:rPr>
        <w:t>1</w:t>
      </w:r>
      <w:r>
        <w:rPr>
          <w:rFonts w:ascii="Times New Roman" w:hAnsi="Times New Roman" w:cs="Times New Roman"/>
          <w:sz w:val="24"/>
          <w:szCs w:val="24"/>
          <w:vertAlign w:val="superscript"/>
        </w:rPr>
        <w:t>9-20</w:t>
      </w:r>
      <w:r>
        <w:rPr>
          <w:rFonts w:ascii="Times New Roman" w:hAnsi="Times New Roman" w:cs="Times New Roman"/>
          <w:sz w:val="24"/>
          <w:szCs w:val="24"/>
        </w:rPr>
        <w:t>.</w:t>
      </w:r>
    </w:p>
    <w:p w14:paraId="7D6BBA85" w14:textId="77777777" w:rsidR="0049304B" w:rsidRPr="00243579" w:rsidRDefault="0049304B" w:rsidP="0049304B">
      <w:pPr>
        <w:spacing w:line="480" w:lineRule="auto"/>
        <w:ind w:firstLineChars="50" w:firstLine="120"/>
        <w:rPr>
          <w:rFonts w:ascii="Times New Roman" w:hAnsi="Times New Roman" w:cs="Times New Roman"/>
          <w:sz w:val="24"/>
          <w:szCs w:val="24"/>
        </w:rPr>
      </w:pPr>
      <w:r>
        <w:rPr>
          <w:rFonts w:ascii="Times New Roman" w:hAnsi="Times New Roman" w:cs="Times New Roman"/>
          <w:sz w:val="24"/>
          <w:szCs w:val="24"/>
        </w:rPr>
        <w:t xml:space="preserve">For AAV and IIM, there were seropositivity data 14 to 42 days after the second inoculation, 30.8%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[14.3%,</w:t>
      </w:r>
      <w:r>
        <w:rPr>
          <w:rFonts w:ascii="Times New Roman" w:hAnsi="Times New Roman" w:cs="Times New Roman"/>
          <w:sz w:val="24"/>
          <w:szCs w:val="24"/>
        </w:rPr>
        <w:t xml:space="preserve"> </w:t>
      </w:r>
      <w:r>
        <w:rPr>
          <w:rFonts w:ascii="Times New Roman" w:hAnsi="Times New Roman" w:cs="Times New Roman" w:hint="eastAsia"/>
          <w:sz w:val="24"/>
          <w:szCs w:val="24"/>
        </w:rPr>
        <w:t>51.8%],</w:t>
      </w:r>
      <w:r>
        <w:rPr>
          <w:rFonts w:ascii="Times New Roman" w:hAnsi="Times New Roman" w:cs="Times New Roman"/>
          <w:sz w:val="24"/>
          <w:szCs w:val="24"/>
        </w:rPr>
        <w:t xml:space="preserve"> </w:t>
      </w:r>
      <w:r>
        <w:rPr>
          <w:rFonts w:ascii="Times New Roman" w:hAnsi="Times New Roman" w:cs="Times New Roman" w:hint="eastAsia"/>
          <w:sz w:val="24"/>
          <w:szCs w:val="24"/>
        </w:rPr>
        <w:t>N=26)</w:t>
      </w:r>
      <w:r>
        <w:rPr>
          <w:rFonts w:ascii="Times New Roman" w:hAnsi="Times New Roman" w:cs="Times New Roman"/>
          <w:sz w:val="24"/>
          <w:szCs w:val="24"/>
        </w:rPr>
        <w:t xml:space="preserve"> and 36.8%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[16.3%,</w:t>
      </w:r>
      <w:r>
        <w:rPr>
          <w:rFonts w:ascii="Times New Roman" w:hAnsi="Times New Roman" w:cs="Times New Roman"/>
          <w:sz w:val="24"/>
          <w:szCs w:val="24"/>
        </w:rPr>
        <w:t xml:space="preserve"> </w:t>
      </w:r>
      <w:r>
        <w:rPr>
          <w:rFonts w:ascii="Times New Roman" w:hAnsi="Times New Roman" w:cs="Times New Roman" w:hint="eastAsia"/>
          <w:sz w:val="24"/>
          <w:szCs w:val="24"/>
        </w:rPr>
        <w:t>61.6%],</w:t>
      </w:r>
      <w:r>
        <w:rPr>
          <w:rFonts w:ascii="Times New Roman" w:hAnsi="Times New Roman" w:cs="Times New Roman"/>
          <w:sz w:val="24"/>
          <w:szCs w:val="24"/>
        </w:rPr>
        <w:t xml:space="preserve"> </w:t>
      </w:r>
      <w:r>
        <w:rPr>
          <w:rFonts w:ascii="Times New Roman" w:hAnsi="Times New Roman" w:cs="Times New Roman" w:hint="eastAsia"/>
          <w:sz w:val="24"/>
          <w:szCs w:val="24"/>
        </w:rPr>
        <w:t>N=19)</w:t>
      </w:r>
      <w:r>
        <w:rPr>
          <w:rFonts w:ascii="Times New Roman" w:hAnsi="Times New Roman" w:cs="Times New Roman"/>
          <w:sz w:val="24"/>
          <w:szCs w:val="24"/>
        </w:rPr>
        <w:t xml:space="preserve"> </w:t>
      </w:r>
      <w:r>
        <w:rPr>
          <w:rFonts w:ascii="Times New Roman" w:hAnsi="Times New Roman" w:cs="Times New Roman"/>
          <w:sz w:val="24"/>
          <w:szCs w:val="24"/>
        </w:rPr>
        <w:lastRenderedPageBreak/>
        <w:t xml:space="preserve">respectively. MS patients treated with anti-CD20 antibodies reported the seropositivity rate of 13.5%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[4.5%,</w:t>
      </w:r>
      <w:r>
        <w:rPr>
          <w:rFonts w:ascii="Times New Roman" w:hAnsi="Times New Roman" w:cs="Times New Roman"/>
          <w:sz w:val="24"/>
          <w:szCs w:val="24"/>
        </w:rPr>
        <w:t xml:space="preserve"> </w:t>
      </w:r>
      <w:r>
        <w:rPr>
          <w:rFonts w:ascii="Times New Roman" w:hAnsi="Times New Roman" w:cs="Times New Roman" w:hint="eastAsia"/>
          <w:sz w:val="24"/>
          <w:szCs w:val="24"/>
        </w:rPr>
        <w:t>28.8%],</w:t>
      </w:r>
      <w:r>
        <w:rPr>
          <w:rFonts w:ascii="Times New Roman" w:hAnsi="Times New Roman" w:cs="Times New Roman"/>
          <w:sz w:val="24"/>
          <w:szCs w:val="24"/>
        </w:rPr>
        <w:t xml:space="preserve"> </w:t>
      </w:r>
      <w:r>
        <w:rPr>
          <w:rFonts w:ascii="Times New Roman" w:hAnsi="Times New Roman" w:cs="Times New Roman" w:hint="eastAsia"/>
          <w:sz w:val="24"/>
          <w:szCs w:val="24"/>
        </w:rPr>
        <w:t>N=37)</w:t>
      </w:r>
      <w:r>
        <w:rPr>
          <w:rFonts w:ascii="Times New Roman" w:hAnsi="Times New Roman" w:cs="Times New Roman"/>
          <w:sz w:val="24"/>
          <w:szCs w:val="24"/>
        </w:rPr>
        <w:t xml:space="preserve"> on the 7</w:t>
      </w:r>
      <w:r w:rsidRPr="00302F0D">
        <w:rPr>
          <w:rFonts w:ascii="Times New Roman" w:hAnsi="Times New Roman" w:cs="Times New Roman"/>
          <w:sz w:val="24"/>
          <w:szCs w:val="24"/>
        </w:rPr>
        <w:t>th</w:t>
      </w:r>
      <w:r>
        <w:rPr>
          <w:rFonts w:ascii="Times New Roman" w:hAnsi="Times New Roman" w:cs="Times New Roman"/>
          <w:sz w:val="24"/>
          <w:szCs w:val="24"/>
        </w:rPr>
        <w:t xml:space="preserve"> and 35.1%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[20.2%,</w:t>
      </w:r>
      <w:r>
        <w:rPr>
          <w:rFonts w:ascii="Times New Roman" w:hAnsi="Times New Roman" w:cs="Times New Roman"/>
          <w:sz w:val="24"/>
          <w:szCs w:val="24"/>
        </w:rPr>
        <w:t xml:space="preserve"> </w:t>
      </w:r>
      <w:r>
        <w:rPr>
          <w:rFonts w:ascii="Times New Roman" w:hAnsi="Times New Roman" w:cs="Times New Roman" w:hint="eastAsia"/>
          <w:sz w:val="24"/>
          <w:szCs w:val="24"/>
        </w:rPr>
        <w:t>52.5%],</w:t>
      </w:r>
      <w:r>
        <w:rPr>
          <w:rFonts w:ascii="Times New Roman" w:hAnsi="Times New Roman" w:cs="Times New Roman"/>
          <w:sz w:val="24"/>
          <w:szCs w:val="24"/>
        </w:rPr>
        <w:t xml:space="preserve"> </w:t>
      </w:r>
      <w:r>
        <w:rPr>
          <w:rFonts w:ascii="Times New Roman" w:hAnsi="Times New Roman" w:cs="Times New Roman" w:hint="eastAsia"/>
          <w:sz w:val="24"/>
          <w:szCs w:val="24"/>
        </w:rPr>
        <w:t>N=37)</w:t>
      </w:r>
      <w:r>
        <w:rPr>
          <w:rFonts w:ascii="Times New Roman" w:hAnsi="Times New Roman" w:cs="Times New Roman"/>
          <w:sz w:val="24"/>
          <w:szCs w:val="24"/>
        </w:rPr>
        <w:t xml:space="preserve"> between the 14</w:t>
      </w:r>
      <w:r w:rsidRPr="00302F0D">
        <w:rPr>
          <w:rFonts w:ascii="Times New Roman" w:hAnsi="Times New Roman" w:cs="Times New Roman"/>
          <w:sz w:val="24"/>
          <w:szCs w:val="24"/>
        </w:rPr>
        <w:t>th</w:t>
      </w:r>
      <w:r>
        <w:rPr>
          <w:rFonts w:ascii="Times New Roman" w:hAnsi="Times New Roman" w:cs="Times New Roman"/>
          <w:sz w:val="24"/>
          <w:szCs w:val="24"/>
        </w:rPr>
        <w:t xml:space="preserve"> and 28</w:t>
      </w:r>
      <w:r w:rsidRPr="00302F0D">
        <w:rPr>
          <w:rFonts w:ascii="Times New Roman" w:hAnsi="Times New Roman" w:cs="Times New Roman"/>
          <w:sz w:val="24"/>
          <w:szCs w:val="24"/>
        </w:rPr>
        <w:t>th</w:t>
      </w:r>
      <w:r>
        <w:rPr>
          <w:rFonts w:ascii="Times New Roman" w:hAnsi="Times New Roman" w:cs="Times New Roman"/>
          <w:sz w:val="24"/>
          <w:szCs w:val="24"/>
        </w:rPr>
        <w:t xml:space="preserve"> after the second inoculation. In all other types of autoimmune disease, there was a seropositivity rate of more than 80%. </w:t>
      </w:r>
      <w:r>
        <w:rPr>
          <w:rFonts w:ascii="Times New Roman" w:hAnsi="Times New Roman" w:cs="Times New Roman" w:hint="eastAsia"/>
          <w:sz w:val="24"/>
          <w:szCs w:val="24"/>
        </w:rPr>
        <w:t>When</w:t>
      </w:r>
      <w:r>
        <w:rPr>
          <w:rFonts w:ascii="Times New Roman" w:hAnsi="Times New Roman" w:cs="Times New Roman"/>
          <w:sz w:val="24"/>
          <w:szCs w:val="24"/>
        </w:rPr>
        <w:t xml:space="preserve"> </w:t>
      </w:r>
      <w:r>
        <w:rPr>
          <w:rFonts w:ascii="Times New Roman" w:hAnsi="Times New Roman" w:cs="Times New Roman" w:hint="eastAsia"/>
          <w:sz w:val="24"/>
          <w:szCs w:val="24"/>
        </w:rPr>
        <w:t>analyzed</w:t>
      </w:r>
      <w:r>
        <w:rPr>
          <w:rFonts w:ascii="Times New Roman" w:hAnsi="Times New Roman" w:cs="Times New Roman"/>
          <w:sz w:val="24"/>
          <w:szCs w:val="24"/>
        </w:rPr>
        <w:t xml:space="preserve"> </w:t>
      </w:r>
      <w:r>
        <w:rPr>
          <w:rFonts w:ascii="Times New Roman" w:hAnsi="Times New Roman" w:cs="Times New Roman" w:hint="eastAsia"/>
          <w:sz w:val="24"/>
          <w:szCs w:val="24"/>
        </w:rPr>
        <w:t>for</w:t>
      </w:r>
      <w:r>
        <w:rPr>
          <w:rFonts w:ascii="Times New Roman" w:hAnsi="Times New Roman" w:cs="Times New Roman"/>
          <w:sz w:val="24"/>
          <w:szCs w:val="24"/>
        </w:rPr>
        <w:t xml:space="preserve"> </w:t>
      </w:r>
      <w:r>
        <w:rPr>
          <w:rFonts w:ascii="Times New Roman" w:hAnsi="Times New Roman" w:cs="Times New Roman" w:hint="eastAsia"/>
          <w:sz w:val="24"/>
          <w:szCs w:val="24"/>
        </w:rPr>
        <w:t>all</w:t>
      </w:r>
      <w:r>
        <w:rPr>
          <w:rFonts w:ascii="Times New Roman" w:hAnsi="Times New Roman" w:cs="Times New Roman"/>
          <w:sz w:val="24"/>
          <w:szCs w:val="24"/>
        </w:rPr>
        <w:t xml:space="preserve"> </w:t>
      </w:r>
      <w:r>
        <w:rPr>
          <w:rFonts w:ascii="Times New Roman" w:hAnsi="Times New Roman" w:cs="Times New Roman" w:hint="eastAsia"/>
          <w:sz w:val="24"/>
          <w:szCs w:val="24"/>
        </w:rPr>
        <w:t>autoimmune</w:t>
      </w:r>
      <w:r>
        <w:rPr>
          <w:rFonts w:ascii="Times New Roman" w:hAnsi="Times New Roman" w:cs="Times New Roman"/>
          <w:sz w:val="24"/>
          <w:szCs w:val="24"/>
        </w:rPr>
        <w:t xml:space="preserve"> </w:t>
      </w:r>
      <w:r>
        <w:rPr>
          <w:rFonts w:ascii="Times New Roman" w:hAnsi="Times New Roman" w:cs="Times New Roman" w:hint="eastAsia"/>
          <w:sz w:val="24"/>
          <w:szCs w:val="24"/>
        </w:rPr>
        <w:t>disease</w:t>
      </w:r>
      <w:r>
        <w:rPr>
          <w:rFonts w:ascii="Times New Roman" w:hAnsi="Times New Roman" w:cs="Times New Roman"/>
          <w:sz w:val="24"/>
          <w:szCs w:val="24"/>
        </w:rPr>
        <w:t xml:space="preserve"> </w:t>
      </w:r>
      <w:r>
        <w:rPr>
          <w:rFonts w:ascii="Times New Roman" w:hAnsi="Times New Roman" w:cs="Times New Roman" w:hint="eastAsia"/>
          <w:sz w:val="24"/>
          <w:szCs w:val="24"/>
        </w:rPr>
        <w:t>patients,</w:t>
      </w:r>
      <w:r>
        <w:rPr>
          <w:rFonts w:ascii="Times New Roman" w:hAnsi="Times New Roman" w:cs="Times New Roman"/>
          <w:sz w:val="24"/>
          <w:szCs w:val="24"/>
        </w:rPr>
        <w:t xml:space="preserve"> </w:t>
      </w:r>
      <w:r>
        <w:rPr>
          <w:rFonts w:ascii="Times New Roman" w:hAnsi="Times New Roman" w:cs="Times New Roman" w:hint="eastAsia"/>
          <w:sz w:val="24"/>
          <w:szCs w:val="24"/>
        </w:rPr>
        <w:t>the</w:t>
      </w:r>
      <w:r>
        <w:rPr>
          <w:rFonts w:ascii="Times New Roman" w:hAnsi="Times New Roman" w:cs="Times New Roman"/>
          <w:sz w:val="24"/>
          <w:szCs w:val="24"/>
        </w:rPr>
        <w:t xml:space="preserve"> </w:t>
      </w:r>
      <w:r>
        <w:rPr>
          <w:rFonts w:ascii="Times New Roman" w:hAnsi="Times New Roman" w:cs="Times New Roman" w:hint="eastAsia"/>
          <w:sz w:val="24"/>
          <w:szCs w:val="24"/>
        </w:rPr>
        <w:t>seropositivity</w:t>
      </w:r>
      <w:r>
        <w:rPr>
          <w:rFonts w:ascii="Times New Roman" w:hAnsi="Times New Roman" w:cs="Times New Roman"/>
          <w:sz w:val="24"/>
          <w:szCs w:val="24"/>
        </w:rPr>
        <w:t xml:space="preserve"> </w:t>
      </w:r>
      <w:r>
        <w:rPr>
          <w:rFonts w:ascii="Times New Roman" w:hAnsi="Times New Roman" w:cs="Times New Roman" w:hint="eastAsia"/>
          <w:sz w:val="24"/>
          <w:szCs w:val="24"/>
        </w:rPr>
        <w:t>was</w:t>
      </w:r>
      <w:r>
        <w:rPr>
          <w:rFonts w:ascii="Times New Roman" w:hAnsi="Times New Roman" w:cs="Times New Roman"/>
          <w:sz w:val="24"/>
          <w:szCs w:val="24"/>
        </w:rPr>
        <w:t xml:space="preserve"> </w:t>
      </w:r>
      <w:r>
        <w:rPr>
          <w:rFonts w:ascii="Times New Roman" w:hAnsi="Times New Roman" w:cs="Times New Roman" w:hint="eastAsia"/>
          <w:sz w:val="24"/>
          <w:szCs w:val="24"/>
        </w:rPr>
        <w:t>70.1%</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[48.7%,</w:t>
      </w:r>
      <w:r>
        <w:rPr>
          <w:rFonts w:ascii="Times New Roman" w:hAnsi="Times New Roman" w:cs="Times New Roman"/>
          <w:sz w:val="24"/>
          <w:szCs w:val="24"/>
        </w:rPr>
        <w:t xml:space="preserve"> </w:t>
      </w:r>
      <w:r>
        <w:rPr>
          <w:rFonts w:ascii="Times New Roman" w:hAnsi="Times New Roman" w:cs="Times New Roman" w:hint="eastAsia"/>
          <w:sz w:val="24"/>
          <w:szCs w:val="24"/>
        </w:rPr>
        <w:t>87.8%],</w:t>
      </w:r>
      <w:r>
        <w:rPr>
          <w:rFonts w:ascii="Times New Roman" w:hAnsi="Times New Roman" w:cs="Times New Roman"/>
          <w:sz w:val="24"/>
          <w:szCs w:val="24"/>
        </w:rPr>
        <w:t xml:space="preserve"> </w:t>
      </w:r>
      <w:r>
        <w:rPr>
          <w:rFonts w:ascii="Times New Roman" w:hAnsi="Times New Roman" w:cs="Times New Roman" w:hint="eastAsia"/>
          <w:sz w:val="24"/>
          <w:szCs w:val="24"/>
        </w:rPr>
        <w:t>N=737)</w:t>
      </w:r>
    </w:p>
    <w:p w14:paraId="28DF7189" w14:textId="77777777" w:rsidR="0049304B" w:rsidRDefault="0049304B" w:rsidP="00D4555D">
      <w:pPr>
        <w:pStyle w:val="Heading2"/>
      </w:pPr>
      <w:r w:rsidRPr="00E159FE">
        <w:rPr>
          <w:rFonts w:hint="eastAsia"/>
        </w:rPr>
        <w:t>D</w:t>
      </w:r>
      <w:r w:rsidRPr="00E159FE">
        <w:t xml:space="preserve">ialysis </w:t>
      </w:r>
    </w:p>
    <w:p w14:paraId="1F1359EE" w14:textId="77777777" w:rsidR="0049304B" w:rsidRDefault="0049304B" w:rsidP="0049304B">
      <w:pPr>
        <w:spacing w:line="480" w:lineRule="auto"/>
        <w:rPr>
          <w:rFonts w:ascii="Times New Roman" w:hAnsi="Times New Roman" w:cs="Times New Roman"/>
          <w:sz w:val="24"/>
          <w:szCs w:val="24"/>
        </w:rPr>
      </w:pPr>
      <w:r>
        <w:rPr>
          <w:rFonts w:ascii="Times New Roman" w:hAnsi="Times New Roman" w:cs="Times New Roman" w:hint="eastAsia"/>
          <w:sz w:val="24"/>
          <w:szCs w:val="24"/>
        </w:rPr>
        <w:t>S</w:t>
      </w:r>
      <w:r>
        <w:rPr>
          <w:rFonts w:ascii="Times New Roman" w:hAnsi="Times New Roman" w:cs="Times New Roman"/>
          <w:sz w:val="24"/>
          <w:szCs w:val="24"/>
        </w:rPr>
        <w:t xml:space="preserve">eropositivity of COVID-19 among dialysis recipients is reported in </w:t>
      </w:r>
      <w:r>
        <w:rPr>
          <w:rFonts w:ascii="Times New Roman" w:hAnsi="Times New Roman" w:cs="Times New Roman" w:hint="eastAsia"/>
          <w:sz w:val="24"/>
          <w:szCs w:val="24"/>
        </w:rPr>
        <w:t>Figure</w:t>
      </w:r>
      <w:r>
        <w:rPr>
          <w:rFonts w:ascii="Times New Roman" w:hAnsi="Times New Roman" w:cs="Times New Roman"/>
          <w:sz w:val="24"/>
          <w:szCs w:val="24"/>
        </w:rPr>
        <w:t xml:space="preserve"> </w:t>
      </w:r>
      <w:r>
        <w:rPr>
          <w:rFonts w:ascii="Times New Roman" w:hAnsi="Times New Roman" w:cs="Times New Roman" w:hint="eastAsia"/>
          <w:sz w:val="24"/>
          <w:szCs w:val="24"/>
        </w:rPr>
        <w:t>5</w:t>
      </w:r>
      <w:r>
        <w:rPr>
          <w:rFonts w:ascii="Times New Roman" w:hAnsi="Times New Roman" w:cs="Times New Roman"/>
          <w:sz w:val="24"/>
          <w:szCs w:val="24"/>
        </w:rPr>
        <w:t xml:space="preserve"> </w:t>
      </w:r>
      <w:r>
        <w:rPr>
          <w:rFonts w:ascii="Times New Roman" w:hAnsi="Times New Roman" w:cs="Times New Roman" w:hint="eastAsia"/>
          <w:sz w:val="24"/>
          <w:szCs w:val="24"/>
        </w:rPr>
        <w:t>and</w:t>
      </w:r>
      <w:r>
        <w:rPr>
          <w:rFonts w:ascii="Times New Roman" w:hAnsi="Times New Roman" w:cs="Times New Roman"/>
          <w:sz w:val="24"/>
          <w:szCs w:val="24"/>
        </w:rPr>
        <w:t xml:space="preserve"> </w:t>
      </w:r>
      <w:r>
        <w:rPr>
          <w:rFonts w:ascii="Times New Roman" w:hAnsi="Times New Roman" w:cs="Times New Roman" w:hint="eastAsia"/>
          <w:sz w:val="24"/>
          <w:szCs w:val="24"/>
        </w:rPr>
        <w:t>Supplement</w:t>
      </w:r>
      <w:r>
        <w:rPr>
          <w:rFonts w:ascii="Times New Roman" w:hAnsi="Times New Roman" w:cs="Times New Roman"/>
          <w:sz w:val="24"/>
          <w:szCs w:val="24"/>
        </w:rPr>
        <w:t xml:space="preserve"> </w:t>
      </w:r>
      <w:r>
        <w:rPr>
          <w:rFonts w:ascii="Times New Roman" w:hAnsi="Times New Roman" w:cs="Times New Roman" w:hint="eastAsia"/>
          <w:sz w:val="24"/>
          <w:szCs w:val="24"/>
        </w:rPr>
        <w:t>6</w:t>
      </w:r>
      <w:r>
        <w:rPr>
          <w:rFonts w:ascii="Times New Roman" w:hAnsi="Times New Roman" w:cs="Times New Roman"/>
          <w:sz w:val="24"/>
          <w:szCs w:val="24"/>
        </w:rPr>
        <w:t xml:space="preserve">. </w:t>
      </w:r>
      <w:r>
        <w:rPr>
          <w:rFonts w:ascii="Times New Roman" w:hAnsi="Times New Roman" w:cs="Times New Roman" w:hint="eastAsia"/>
          <w:sz w:val="24"/>
          <w:szCs w:val="24"/>
        </w:rPr>
        <w:t>Two</w:t>
      </w:r>
      <w:r>
        <w:rPr>
          <w:rFonts w:ascii="Times New Roman" w:hAnsi="Times New Roman" w:cs="Times New Roman"/>
          <w:sz w:val="24"/>
          <w:szCs w:val="24"/>
        </w:rPr>
        <w:t xml:space="preserve"> studies were included, and Pfizer</w:t>
      </w:r>
      <w:r>
        <w:rPr>
          <w:rFonts w:ascii="Times New Roman" w:hAnsi="Times New Roman" w:cs="Times New Roman" w:hint="eastAsia"/>
          <w:sz w:val="24"/>
          <w:szCs w:val="24"/>
        </w:rPr>
        <w:t>,</w:t>
      </w:r>
      <w:r>
        <w:rPr>
          <w:rFonts w:ascii="Times New Roman" w:hAnsi="Times New Roman" w:cs="Times New Roman"/>
          <w:sz w:val="24"/>
          <w:szCs w:val="24"/>
        </w:rPr>
        <w:t xml:space="preserve"> </w:t>
      </w:r>
      <w:r>
        <w:rPr>
          <w:rFonts w:ascii="Times New Roman" w:hAnsi="Times New Roman" w:cs="Times New Roman" w:hint="eastAsia"/>
          <w:sz w:val="24"/>
          <w:szCs w:val="24"/>
        </w:rPr>
        <w:t>Moderna,</w:t>
      </w:r>
      <w:r>
        <w:rPr>
          <w:rFonts w:ascii="Times New Roman" w:hAnsi="Times New Roman" w:cs="Times New Roman"/>
          <w:sz w:val="24"/>
          <w:szCs w:val="24"/>
        </w:rPr>
        <w:t xml:space="preserve"> </w:t>
      </w:r>
      <w:r>
        <w:rPr>
          <w:rFonts w:ascii="Times New Roman" w:hAnsi="Times New Roman" w:cs="Times New Roman" w:hint="eastAsia"/>
          <w:sz w:val="24"/>
          <w:szCs w:val="24"/>
        </w:rPr>
        <w:t>and</w:t>
      </w:r>
      <w:r>
        <w:rPr>
          <w:rFonts w:ascii="Times New Roman" w:hAnsi="Times New Roman" w:cs="Times New Roman"/>
          <w:sz w:val="24"/>
          <w:szCs w:val="24"/>
        </w:rPr>
        <w:t xml:space="preserve"> </w:t>
      </w:r>
      <w:r>
        <w:rPr>
          <w:rFonts w:ascii="Times New Roman" w:hAnsi="Times New Roman" w:cs="Times New Roman" w:hint="eastAsia"/>
          <w:sz w:val="24"/>
          <w:szCs w:val="24"/>
        </w:rPr>
        <w:t>CoronaVac</w:t>
      </w:r>
      <w:r>
        <w:rPr>
          <w:rFonts w:ascii="Times New Roman" w:hAnsi="Times New Roman" w:cs="Times New Roman"/>
          <w:sz w:val="24"/>
          <w:szCs w:val="24"/>
        </w:rPr>
        <w:t xml:space="preserve"> </w:t>
      </w:r>
      <w:r>
        <w:rPr>
          <w:rFonts w:ascii="Times New Roman" w:hAnsi="Times New Roman" w:cs="Times New Roman" w:hint="eastAsia"/>
          <w:sz w:val="24"/>
          <w:szCs w:val="24"/>
        </w:rPr>
        <w:t>vaccines</w:t>
      </w:r>
      <w:r>
        <w:rPr>
          <w:rFonts w:ascii="Times New Roman" w:hAnsi="Times New Roman" w:cs="Times New Roman"/>
          <w:sz w:val="24"/>
          <w:szCs w:val="24"/>
        </w:rPr>
        <w:t xml:space="preserve"> </w:t>
      </w:r>
      <w:r>
        <w:rPr>
          <w:rFonts w:ascii="Times New Roman" w:hAnsi="Times New Roman" w:cs="Times New Roman" w:hint="eastAsia"/>
          <w:sz w:val="24"/>
          <w:szCs w:val="24"/>
        </w:rPr>
        <w:t>were</w:t>
      </w:r>
      <w:r>
        <w:rPr>
          <w:rFonts w:ascii="Times New Roman" w:hAnsi="Times New Roman" w:cs="Times New Roman"/>
          <w:sz w:val="24"/>
          <w:szCs w:val="24"/>
        </w:rPr>
        <w:t xml:space="preserve"> used in </w:t>
      </w:r>
      <w:r>
        <w:rPr>
          <w:rFonts w:ascii="Times New Roman" w:hAnsi="Times New Roman" w:cs="Times New Roman" w:hint="eastAsia"/>
          <w:sz w:val="24"/>
          <w:szCs w:val="24"/>
        </w:rPr>
        <w:t>the</w:t>
      </w:r>
      <w:r>
        <w:rPr>
          <w:rFonts w:ascii="Times New Roman" w:hAnsi="Times New Roman" w:cs="Times New Roman"/>
          <w:sz w:val="24"/>
          <w:szCs w:val="24"/>
        </w:rPr>
        <w:t xml:space="preserve"> studies</w:t>
      </w:r>
      <w:r w:rsidRPr="00DD4AC8">
        <w:rPr>
          <w:rFonts w:ascii="Times New Roman" w:hAnsi="Times New Roman" w:cs="Times New Roman"/>
          <w:sz w:val="24"/>
          <w:szCs w:val="24"/>
          <w:vertAlign w:val="superscript"/>
        </w:rPr>
        <w:t>2</w:t>
      </w:r>
      <w:r>
        <w:rPr>
          <w:rFonts w:ascii="Times New Roman" w:hAnsi="Times New Roman" w:cs="Times New Roman"/>
          <w:sz w:val="24"/>
          <w:szCs w:val="24"/>
          <w:vertAlign w:val="superscript"/>
        </w:rPr>
        <w:t>1</w:t>
      </w:r>
      <w:r>
        <w:rPr>
          <w:rFonts w:ascii="Times New Roman" w:hAnsi="Times New Roman" w:cs="Times New Roman" w:hint="eastAsia"/>
          <w:sz w:val="24"/>
          <w:szCs w:val="24"/>
          <w:vertAlign w:val="superscript"/>
        </w:rPr>
        <w:t>,22</w:t>
      </w:r>
      <w:r>
        <w:rPr>
          <w:rFonts w:ascii="Times New Roman" w:hAnsi="Times New Roman" w:cs="Times New Roman"/>
          <w:sz w:val="24"/>
          <w:szCs w:val="24"/>
        </w:rPr>
        <w:t xml:space="preserve">. </w:t>
      </w:r>
    </w:p>
    <w:p w14:paraId="446DCC0A" w14:textId="77777777" w:rsidR="0049304B" w:rsidRDefault="0049304B" w:rsidP="0049304B">
      <w:pPr>
        <w:spacing w:line="480" w:lineRule="auto"/>
        <w:rPr>
          <w:rFonts w:ascii="Times New Roman" w:hAnsi="Times New Roman" w:cs="Times New Roman"/>
          <w:sz w:val="24"/>
          <w:szCs w:val="24"/>
        </w:rPr>
      </w:pPr>
      <w:r>
        <w:rPr>
          <w:rFonts w:ascii="Times New Roman" w:hAnsi="Times New Roman" w:cs="Times New Roman" w:hint="eastAsia"/>
          <w:sz w:val="24"/>
          <w:szCs w:val="24"/>
        </w:rPr>
        <w:t xml:space="preserve"> </w:t>
      </w:r>
      <w:r>
        <w:rPr>
          <w:rFonts w:ascii="Times New Roman" w:hAnsi="Times New Roman" w:cs="Times New Roman"/>
          <w:sz w:val="24"/>
          <w:szCs w:val="24"/>
        </w:rPr>
        <w:t xml:space="preserve">When </w:t>
      </w:r>
      <w:r>
        <w:rPr>
          <w:rFonts w:ascii="Times New Roman" w:hAnsi="Times New Roman" w:cs="Times New Roman" w:hint="eastAsia"/>
          <w:sz w:val="24"/>
          <w:szCs w:val="24"/>
        </w:rPr>
        <w:t>CoronaVac</w:t>
      </w:r>
      <w:r>
        <w:rPr>
          <w:rFonts w:ascii="Times New Roman" w:hAnsi="Times New Roman" w:cs="Times New Roman"/>
          <w:sz w:val="24"/>
          <w:szCs w:val="24"/>
        </w:rPr>
        <w:t xml:space="preserve">, </w:t>
      </w:r>
      <w:r>
        <w:rPr>
          <w:rFonts w:ascii="Times New Roman" w:hAnsi="Times New Roman" w:cs="Times New Roman" w:hint="eastAsia"/>
          <w:sz w:val="24"/>
          <w:szCs w:val="24"/>
        </w:rPr>
        <w:t>Pfizer,</w:t>
      </w:r>
      <w:r>
        <w:rPr>
          <w:rFonts w:ascii="Times New Roman" w:hAnsi="Times New Roman" w:cs="Times New Roman"/>
          <w:sz w:val="24"/>
          <w:szCs w:val="24"/>
        </w:rPr>
        <w:t xml:space="preserve"> </w:t>
      </w:r>
      <w:r>
        <w:rPr>
          <w:rFonts w:ascii="Times New Roman" w:hAnsi="Times New Roman" w:cs="Times New Roman" w:hint="eastAsia"/>
          <w:sz w:val="24"/>
          <w:szCs w:val="24"/>
        </w:rPr>
        <w:t>and</w:t>
      </w:r>
      <w:r>
        <w:rPr>
          <w:rFonts w:ascii="Times New Roman" w:hAnsi="Times New Roman" w:cs="Times New Roman"/>
          <w:sz w:val="24"/>
          <w:szCs w:val="24"/>
        </w:rPr>
        <w:t xml:space="preserve"> Moderna vaccine were inoculated in hemodialysis patients, the seropositivity rate was </w:t>
      </w:r>
      <w:r>
        <w:rPr>
          <w:rFonts w:ascii="Times New Roman" w:hAnsi="Times New Roman" w:cs="Times New Roman" w:hint="eastAsia"/>
          <w:sz w:val="24"/>
          <w:szCs w:val="24"/>
        </w:rPr>
        <w:t>80.0%</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[66.3%,</w:t>
      </w:r>
      <w:r>
        <w:rPr>
          <w:rFonts w:ascii="Times New Roman" w:hAnsi="Times New Roman" w:cs="Times New Roman"/>
          <w:sz w:val="24"/>
          <w:szCs w:val="24"/>
        </w:rPr>
        <w:t xml:space="preserve"> </w:t>
      </w:r>
      <w:r>
        <w:rPr>
          <w:rFonts w:ascii="Times New Roman" w:hAnsi="Times New Roman" w:cs="Times New Roman" w:hint="eastAsia"/>
          <w:sz w:val="24"/>
          <w:szCs w:val="24"/>
        </w:rPr>
        <w:t>90.0%],</w:t>
      </w:r>
      <w:r>
        <w:rPr>
          <w:rFonts w:ascii="Times New Roman" w:hAnsi="Times New Roman" w:cs="Times New Roman"/>
          <w:sz w:val="24"/>
          <w:szCs w:val="24"/>
        </w:rPr>
        <w:t xml:space="preserve"> </w:t>
      </w:r>
      <w:r>
        <w:rPr>
          <w:rFonts w:ascii="Times New Roman" w:hAnsi="Times New Roman" w:cs="Times New Roman" w:hint="eastAsia"/>
          <w:sz w:val="24"/>
          <w:szCs w:val="24"/>
        </w:rPr>
        <w:t>N=50)</w:t>
      </w:r>
      <w:r>
        <w:rPr>
          <w:rFonts w:ascii="Times New Roman" w:hAnsi="Times New Roman" w:cs="Times New Roman"/>
          <w:sz w:val="24"/>
          <w:szCs w:val="24"/>
        </w:rPr>
        <w:t xml:space="preserve">, </w:t>
      </w:r>
      <w:r>
        <w:rPr>
          <w:rFonts w:ascii="Times New Roman" w:hAnsi="Times New Roman" w:cs="Times New Roman" w:hint="eastAsia"/>
          <w:sz w:val="24"/>
          <w:szCs w:val="24"/>
        </w:rPr>
        <w:t>85.0</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[77.7%,</w:t>
      </w:r>
      <w:r>
        <w:rPr>
          <w:rFonts w:ascii="Times New Roman" w:hAnsi="Times New Roman" w:cs="Times New Roman"/>
          <w:sz w:val="24"/>
          <w:szCs w:val="24"/>
        </w:rPr>
        <w:t xml:space="preserve"> </w:t>
      </w:r>
      <w:r>
        <w:rPr>
          <w:rFonts w:ascii="Times New Roman" w:hAnsi="Times New Roman" w:cs="Times New Roman" w:hint="eastAsia"/>
          <w:sz w:val="24"/>
          <w:szCs w:val="24"/>
        </w:rPr>
        <w:t>90.6%],</w:t>
      </w:r>
      <w:r>
        <w:rPr>
          <w:rFonts w:ascii="Times New Roman" w:hAnsi="Times New Roman" w:cs="Times New Roman"/>
          <w:sz w:val="24"/>
          <w:szCs w:val="24"/>
        </w:rPr>
        <w:t xml:space="preserve"> </w:t>
      </w:r>
      <w:r>
        <w:rPr>
          <w:rFonts w:ascii="Times New Roman" w:hAnsi="Times New Roman" w:cs="Times New Roman" w:hint="eastAsia"/>
          <w:sz w:val="24"/>
          <w:szCs w:val="24"/>
        </w:rPr>
        <w:t>N=133)</w:t>
      </w:r>
      <w:r>
        <w:rPr>
          <w:rFonts w:ascii="Times New Roman" w:hAnsi="Times New Roman" w:cs="Times New Roman"/>
          <w:sz w:val="24"/>
          <w:szCs w:val="24"/>
        </w:rPr>
        <w:t xml:space="preserve">, and </w:t>
      </w:r>
      <w:r>
        <w:rPr>
          <w:rFonts w:ascii="Times New Roman" w:hAnsi="Times New Roman" w:cs="Times New Roman" w:hint="eastAsia"/>
          <w:sz w:val="24"/>
          <w:szCs w:val="24"/>
        </w:rPr>
        <w:t>93.3</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[68.1%,</w:t>
      </w:r>
      <w:r>
        <w:rPr>
          <w:rFonts w:ascii="Times New Roman" w:hAnsi="Times New Roman" w:cs="Times New Roman"/>
          <w:sz w:val="24"/>
          <w:szCs w:val="24"/>
        </w:rPr>
        <w:t xml:space="preserve"> </w:t>
      </w:r>
      <w:r>
        <w:rPr>
          <w:rFonts w:ascii="Times New Roman" w:hAnsi="Times New Roman" w:cs="Times New Roman" w:hint="eastAsia"/>
          <w:sz w:val="24"/>
          <w:szCs w:val="24"/>
        </w:rPr>
        <w:t>99.8%],</w:t>
      </w:r>
      <w:r>
        <w:rPr>
          <w:rFonts w:ascii="Times New Roman" w:hAnsi="Times New Roman" w:cs="Times New Roman"/>
          <w:sz w:val="24"/>
          <w:szCs w:val="24"/>
        </w:rPr>
        <w:t xml:space="preserve"> </w:t>
      </w:r>
      <w:r>
        <w:rPr>
          <w:rFonts w:ascii="Times New Roman" w:hAnsi="Times New Roman" w:cs="Times New Roman" w:hint="eastAsia"/>
          <w:sz w:val="24"/>
          <w:szCs w:val="24"/>
        </w:rPr>
        <w:t>N=15)</w:t>
      </w:r>
      <w:r>
        <w:rPr>
          <w:rFonts w:ascii="Times New Roman" w:hAnsi="Times New Roman" w:cs="Times New Roman"/>
          <w:sz w:val="24"/>
          <w:szCs w:val="24"/>
        </w:rPr>
        <w:t xml:space="preserve"> respectively on 15-30 days after the second inoculation. </w:t>
      </w:r>
      <w:r>
        <w:rPr>
          <w:rFonts w:ascii="Times New Roman" w:hAnsi="Times New Roman" w:cs="Times New Roman" w:hint="eastAsia"/>
          <w:sz w:val="24"/>
          <w:szCs w:val="24"/>
        </w:rPr>
        <w:t>When</w:t>
      </w:r>
      <w:r>
        <w:rPr>
          <w:rFonts w:ascii="Times New Roman" w:hAnsi="Times New Roman" w:cs="Times New Roman"/>
          <w:sz w:val="24"/>
          <w:szCs w:val="24"/>
        </w:rPr>
        <w:t xml:space="preserve"> </w:t>
      </w:r>
      <w:r>
        <w:rPr>
          <w:rFonts w:ascii="Times New Roman" w:hAnsi="Times New Roman" w:cs="Times New Roman" w:hint="eastAsia"/>
          <w:sz w:val="24"/>
          <w:szCs w:val="24"/>
        </w:rPr>
        <w:t>analyzed</w:t>
      </w:r>
      <w:r>
        <w:rPr>
          <w:rFonts w:ascii="Times New Roman" w:hAnsi="Times New Roman" w:cs="Times New Roman"/>
          <w:sz w:val="24"/>
          <w:szCs w:val="24"/>
        </w:rPr>
        <w:t xml:space="preserve"> </w:t>
      </w:r>
      <w:r>
        <w:rPr>
          <w:rFonts w:ascii="Times New Roman" w:hAnsi="Times New Roman" w:cs="Times New Roman" w:hint="eastAsia"/>
          <w:sz w:val="24"/>
          <w:szCs w:val="24"/>
        </w:rPr>
        <w:t>for</w:t>
      </w:r>
      <w:r>
        <w:rPr>
          <w:rFonts w:ascii="Times New Roman" w:hAnsi="Times New Roman" w:cs="Times New Roman"/>
          <w:sz w:val="24"/>
          <w:szCs w:val="24"/>
        </w:rPr>
        <w:t xml:space="preserve"> </w:t>
      </w:r>
      <w:r>
        <w:rPr>
          <w:rFonts w:ascii="Times New Roman" w:hAnsi="Times New Roman" w:cs="Times New Roman" w:hint="eastAsia"/>
          <w:sz w:val="24"/>
          <w:szCs w:val="24"/>
        </w:rPr>
        <w:t>all</w:t>
      </w:r>
      <w:r>
        <w:rPr>
          <w:rFonts w:ascii="Times New Roman" w:hAnsi="Times New Roman" w:cs="Times New Roman"/>
          <w:sz w:val="24"/>
          <w:szCs w:val="24"/>
        </w:rPr>
        <w:t xml:space="preserve"> </w:t>
      </w:r>
      <w:r>
        <w:rPr>
          <w:rFonts w:ascii="Times New Roman" w:hAnsi="Times New Roman" w:cs="Times New Roman" w:hint="eastAsia"/>
          <w:sz w:val="24"/>
          <w:szCs w:val="24"/>
        </w:rPr>
        <w:t>hemodialysis</w:t>
      </w:r>
      <w:r>
        <w:rPr>
          <w:rFonts w:ascii="Times New Roman" w:hAnsi="Times New Roman" w:cs="Times New Roman"/>
          <w:sz w:val="24"/>
          <w:szCs w:val="24"/>
        </w:rPr>
        <w:t xml:space="preserve"> </w:t>
      </w:r>
      <w:r>
        <w:rPr>
          <w:rFonts w:ascii="Times New Roman" w:hAnsi="Times New Roman" w:cs="Times New Roman" w:hint="eastAsia"/>
          <w:sz w:val="24"/>
          <w:szCs w:val="24"/>
        </w:rPr>
        <w:t>patients,</w:t>
      </w:r>
      <w:r>
        <w:rPr>
          <w:rFonts w:ascii="Times New Roman" w:hAnsi="Times New Roman" w:cs="Times New Roman"/>
          <w:sz w:val="24"/>
          <w:szCs w:val="24"/>
        </w:rPr>
        <w:t xml:space="preserve"> </w:t>
      </w:r>
      <w:r>
        <w:rPr>
          <w:rFonts w:ascii="Times New Roman" w:hAnsi="Times New Roman" w:cs="Times New Roman" w:hint="eastAsia"/>
          <w:sz w:val="24"/>
          <w:szCs w:val="24"/>
        </w:rPr>
        <w:t>the</w:t>
      </w:r>
      <w:r>
        <w:rPr>
          <w:rFonts w:ascii="Times New Roman" w:hAnsi="Times New Roman" w:cs="Times New Roman"/>
          <w:sz w:val="24"/>
          <w:szCs w:val="24"/>
        </w:rPr>
        <w:t xml:space="preserve"> </w:t>
      </w:r>
      <w:r>
        <w:rPr>
          <w:rFonts w:ascii="Times New Roman" w:hAnsi="Times New Roman" w:cs="Times New Roman" w:hint="eastAsia"/>
          <w:sz w:val="24"/>
          <w:szCs w:val="24"/>
        </w:rPr>
        <w:t>seropositivity</w:t>
      </w:r>
      <w:r>
        <w:rPr>
          <w:rFonts w:ascii="Times New Roman" w:hAnsi="Times New Roman" w:cs="Times New Roman"/>
          <w:sz w:val="24"/>
          <w:szCs w:val="24"/>
        </w:rPr>
        <w:t xml:space="preserve"> </w:t>
      </w:r>
      <w:r>
        <w:rPr>
          <w:rFonts w:ascii="Times New Roman" w:hAnsi="Times New Roman" w:cs="Times New Roman" w:hint="eastAsia"/>
          <w:sz w:val="24"/>
          <w:szCs w:val="24"/>
        </w:rPr>
        <w:t>was</w:t>
      </w:r>
      <w:r>
        <w:rPr>
          <w:rFonts w:ascii="Times New Roman" w:hAnsi="Times New Roman" w:cs="Times New Roman"/>
          <w:sz w:val="24"/>
          <w:szCs w:val="24"/>
        </w:rPr>
        <w:t xml:space="preserve"> </w:t>
      </w:r>
      <w:r>
        <w:rPr>
          <w:rFonts w:ascii="Times New Roman" w:hAnsi="Times New Roman" w:cs="Times New Roman" w:hint="eastAsia"/>
          <w:sz w:val="24"/>
          <w:szCs w:val="24"/>
        </w:rPr>
        <w:t>85.0%</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[79.4%,</w:t>
      </w:r>
      <w:r>
        <w:rPr>
          <w:rFonts w:ascii="Times New Roman" w:hAnsi="Times New Roman" w:cs="Times New Roman"/>
          <w:sz w:val="24"/>
          <w:szCs w:val="24"/>
        </w:rPr>
        <w:t xml:space="preserve"> </w:t>
      </w:r>
      <w:r>
        <w:rPr>
          <w:rFonts w:ascii="Times New Roman" w:hAnsi="Times New Roman" w:cs="Times New Roman" w:hint="eastAsia"/>
          <w:sz w:val="24"/>
          <w:szCs w:val="24"/>
        </w:rPr>
        <w:t>89.9%],</w:t>
      </w:r>
      <w:r>
        <w:rPr>
          <w:rFonts w:ascii="Times New Roman" w:hAnsi="Times New Roman" w:cs="Times New Roman"/>
          <w:sz w:val="24"/>
          <w:szCs w:val="24"/>
        </w:rPr>
        <w:t xml:space="preserve"> </w:t>
      </w:r>
      <w:r>
        <w:rPr>
          <w:rFonts w:ascii="Times New Roman" w:hAnsi="Times New Roman" w:cs="Times New Roman" w:hint="eastAsia"/>
          <w:sz w:val="24"/>
          <w:szCs w:val="24"/>
        </w:rPr>
        <w:t>N=198)</w:t>
      </w:r>
    </w:p>
    <w:p w14:paraId="43396789" w14:textId="77777777" w:rsidR="0049304B" w:rsidRDefault="0049304B" w:rsidP="00D4555D">
      <w:pPr>
        <w:pStyle w:val="Heading2"/>
      </w:pPr>
      <w:r w:rsidRPr="00E159FE">
        <w:t>Transplant</w:t>
      </w:r>
    </w:p>
    <w:p w14:paraId="0C45CCB0" w14:textId="77777777" w:rsidR="0049304B" w:rsidRPr="00301EFF" w:rsidRDefault="0049304B" w:rsidP="0049304B">
      <w:pPr>
        <w:spacing w:line="480" w:lineRule="auto"/>
        <w:rPr>
          <w:rFonts w:ascii="Times New Roman" w:hAnsi="Times New Roman" w:cs="Times New Roman"/>
          <w:sz w:val="24"/>
          <w:szCs w:val="24"/>
        </w:rPr>
      </w:pPr>
      <w:r>
        <w:rPr>
          <w:rFonts w:ascii="Times New Roman" w:hAnsi="Times New Roman" w:cs="Times New Roman" w:hint="eastAsia"/>
          <w:sz w:val="24"/>
          <w:szCs w:val="24"/>
        </w:rPr>
        <w:t>S</w:t>
      </w:r>
      <w:r>
        <w:rPr>
          <w:rFonts w:ascii="Times New Roman" w:hAnsi="Times New Roman" w:cs="Times New Roman"/>
          <w:sz w:val="24"/>
          <w:szCs w:val="24"/>
        </w:rPr>
        <w:t xml:space="preserve">eropositivity of COVID-19 among transplant recipients is reported on </w:t>
      </w:r>
      <w:r>
        <w:rPr>
          <w:rFonts w:ascii="Times New Roman" w:hAnsi="Times New Roman" w:cs="Times New Roman" w:hint="eastAsia"/>
          <w:sz w:val="24"/>
          <w:szCs w:val="24"/>
        </w:rPr>
        <w:t>Figure</w:t>
      </w:r>
      <w:r>
        <w:rPr>
          <w:rFonts w:ascii="Times New Roman" w:hAnsi="Times New Roman" w:cs="Times New Roman"/>
          <w:sz w:val="24"/>
          <w:szCs w:val="24"/>
        </w:rPr>
        <w:t xml:space="preserve"> </w:t>
      </w:r>
      <w:r>
        <w:rPr>
          <w:rFonts w:ascii="Times New Roman" w:hAnsi="Times New Roman" w:cs="Times New Roman" w:hint="eastAsia"/>
          <w:sz w:val="24"/>
          <w:szCs w:val="24"/>
        </w:rPr>
        <w:t>6</w:t>
      </w:r>
      <w:r>
        <w:rPr>
          <w:rFonts w:ascii="Times New Roman" w:hAnsi="Times New Roman" w:cs="Times New Roman"/>
          <w:sz w:val="24"/>
          <w:szCs w:val="24"/>
        </w:rPr>
        <w:t xml:space="preserve"> </w:t>
      </w:r>
      <w:r>
        <w:rPr>
          <w:rFonts w:ascii="Times New Roman" w:hAnsi="Times New Roman" w:cs="Times New Roman" w:hint="eastAsia"/>
          <w:sz w:val="24"/>
          <w:szCs w:val="24"/>
        </w:rPr>
        <w:t>and</w:t>
      </w:r>
      <w:r>
        <w:rPr>
          <w:rFonts w:ascii="Times New Roman" w:hAnsi="Times New Roman" w:cs="Times New Roman"/>
          <w:sz w:val="24"/>
          <w:szCs w:val="24"/>
        </w:rPr>
        <w:t xml:space="preserve"> </w:t>
      </w:r>
      <w:r>
        <w:rPr>
          <w:rFonts w:ascii="Times New Roman" w:hAnsi="Times New Roman" w:cs="Times New Roman" w:hint="eastAsia"/>
          <w:sz w:val="24"/>
          <w:szCs w:val="24"/>
        </w:rPr>
        <w:t>Supplement</w:t>
      </w:r>
      <w:r>
        <w:rPr>
          <w:rFonts w:ascii="Times New Roman" w:hAnsi="Times New Roman" w:cs="Times New Roman"/>
          <w:sz w:val="24"/>
          <w:szCs w:val="24"/>
        </w:rPr>
        <w:t xml:space="preserve"> </w:t>
      </w:r>
      <w:r>
        <w:rPr>
          <w:rFonts w:ascii="Times New Roman" w:hAnsi="Times New Roman" w:cs="Times New Roman" w:hint="eastAsia"/>
          <w:sz w:val="24"/>
          <w:szCs w:val="24"/>
        </w:rPr>
        <w:t>6</w:t>
      </w:r>
      <w:r>
        <w:rPr>
          <w:rFonts w:ascii="Times New Roman" w:hAnsi="Times New Roman" w:cs="Times New Roman"/>
          <w:sz w:val="24"/>
          <w:szCs w:val="24"/>
        </w:rPr>
        <w:t xml:space="preserve">. </w:t>
      </w:r>
      <w:r>
        <w:rPr>
          <w:rFonts w:ascii="Times New Roman" w:hAnsi="Times New Roman" w:cs="Times New Roman" w:hint="eastAsia"/>
          <w:sz w:val="24"/>
          <w:szCs w:val="24"/>
        </w:rPr>
        <w:t>Five</w:t>
      </w:r>
      <w:r>
        <w:rPr>
          <w:rFonts w:ascii="Times New Roman" w:hAnsi="Times New Roman" w:cs="Times New Roman"/>
          <w:sz w:val="24"/>
          <w:szCs w:val="24"/>
        </w:rPr>
        <w:t xml:space="preserve"> studies were included, and Pfizer vaccine was used in all studies</w:t>
      </w:r>
      <w:r w:rsidRPr="00DD4AC8">
        <w:rPr>
          <w:rFonts w:ascii="Times New Roman" w:hAnsi="Times New Roman" w:cs="Times New Roman"/>
          <w:sz w:val="24"/>
          <w:szCs w:val="24"/>
          <w:vertAlign w:val="superscript"/>
        </w:rPr>
        <w:t>2</w:t>
      </w:r>
      <w:r>
        <w:rPr>
          <w:rFonts w:ascii="Times New Roman" w:hAnsi="Times New Roman" w:cs="Times New Roman" w:hint="eastAsia"/>
          <w:sz w:val="24"/>
          <w:szCs w:val="24"/>
          <w:vertAlign w:val="superscript"/>
        </w:rPr>
        <w:t>3</w:t>
      </w:r>
      <w:r w:rsidRPr="00DD4AC8">
        <w:rPr>
          <w:rFonts w:ascii="Times New Roman" w:hAnsi="Times New Roman" w:cs="Times New Roman"/>
          <w:sz w:val="24"/>
          <w:szCs w:val="24"/>
          <w:vertAlign w:val="superscript"/>
        </w:rPr>
        <w:t>-2</w:t>
      </w:r>
      <w:r>
        <w:rPr>
          <w:rFonts w:ascii="Times New Roman" w:hAnsi="Times New Roman" w:cs="Times New Roman"/>
          <w:sz w:val="24"/>
          <w:szCs w:val="24"/>
          <w:vertAlign w:val="superscript"/>
        </w:rPr>
        <w:t>7</w:t>
      </w:r>
      <w:r>
        <w:rPr>
          <w:rFonts w:ascii="Times New Roman" w:hAnsi="Times New Roman" w:cs="Times New Roman"/>
          <w:sz w:val="24"/>
          <w:szCs w:val="24"/>
        </w:rPr>
        <w:t>. Moderna vaccine was inoculated in lung transplantation recipients</w:t>
      </w:r>
      <w:r>
        <w:rPr>
          <w:rFonts w:ascii="Times New Roman" w:hAnsi="Times New Roman" w:cs="Times New Roman" w:hint="eastAsia"/>
          <w:sz w:val="24"/>
          <w:szCs w:val="24"/>
        </w:rPr>
        <w:t>.</w:t>
      </w:r>
      <w:r>
        <w:rPr>
          <w:rFonts w:ascii="Times New Roman" w:hAnsi="Times New Roman" w:cs="Times New Roman"/>
          <w:sz w:val="24"/>
          <w:szCs w:val="24"/>
        </w:rPr>
        <w:t xml:space="preserve"> </w:t>
      </w:r>
    </w:p>
    <w:p w14:paraId="6CCA2E36" w14:textId="77777777" w:rsidR="0049304B" w:rsidRDefault="0049304B" w:rsidP="0049304B">
      <w:pPr>
        <w:spacing w:line="480" w:lineRule="auto"/>
        <w:ind w:firstLineChars="50" w:firstLine="120"/>
        <w:rPr>
          <w:rFonts w:ascii="Times New Roman" w:hAnsi="Times New Roman" w:cs="Times New Roman"/>
          <w:sz w:val="24"/>
          <w:szCs w:val="24"/>
        </w:rPr>
      </w:pPr>
      <w:r>
        <w:rPr>
          <w:rFonts w:ascii="Times New Roman" w:hAnsi="Times New Roman" w:cs="Times New Roman"/>
          <w:sz w:val="24"/>
          <w:szCs w:val="24"/>
        </w:rPr>
        <w:t>Heart transplant recipients reported seropositivity of 4</w:t>
      </w:r>
      <w:r>
        <w:rPr>
          <w:rFonts w:ascii="Times New Roman" w:hAnsi="Times New Roman" w:cs="Times New Roman" w:hint="eastAsia"/>
          <w:sz w:val="24"/>
          <w:szCs w:val="24"/>
        </w:rPr>
        <w:t>8.6</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[31.9%,</w:t>
      </w:r>
      <w:r>
        <w:rPr>
          <w:rFonts w:ascii="Times New Roman" w:hAnsi="Times New Roman" w:cs="Times New Roman"/>
          <w:sz w:val="24"/>
          <w:szCs w:val="24"/>
        </w:rPr>
        <w:t xml:space="preserve"> </w:t>
      </w:r>
      <w:r>
        <w:rPr>
          <w:rFonts w:ascii="Times New Roman" w:hAnsi="Times New Roman" w:cs="Times New Roman" w:hint="eastAsia"/>
          <w:sz w:val="24"/>
          <w:szCs w:val="24"/>
        </w:rPr>
        <w:t>78.2%],</w:t>
      </w:r>
      <w:r>
        <w:rPr>
          <w:rFonts w:ascii="Times New Roman" w:hAnsi="Times New Roman" w:cs="Times New Roman"/>
          <w:sz w:val="24"/>
          <w:szCs w:val="24"/>
        </w:rPr>
        <w:t xml:space="preserve"> </w:t>
      </w:r>
      <w:r>
        <w:rPr>
          <w:rFonts w:ascii="Times New Roman" w:hAnsi="Times New Roman" w:cs="Times New Roman" w:hint="eastAsia"/>
          <w:sz w:val="24"/>
          <w:szCs w:val="24"/>
        </w:rPr>
        <w:t>N=38)</w:t>
      </w:r>
    </w:p>
    <w:p w14:paraId="235BC940" w14:textId="77777777" w:rsidR="0049304B" w:rsidRDefault="0049304B" w:rsidP="0049304B">
      <w:pPr>
        <w:spacing w:line="480" w:lineRule="auto"/>
        <w:ind w:firstLineChars="50" w:firstLine="120"/>
        <w:rPr>
          <w:rFonts w:ascii="Times New Roman" w:hAnsi="Times New Roman" w:cs="Times New Roman"/>
          <w:sz w:val="24"/>
          <w:szCs w:val="24"/>
        </w:rPr>
      </w:pPr>
      <w:r>
        <w:rPr>
          <w:rFonts w:ascii="Times New Roman" w:hAnsi="Times New Roman" w:cs="Times New Roman"/>
          <w:sz w:val="24"/>
          <w:szCs w:val="24"/>
        </w:rPr>
        <w:t xml:space="preserve">on 14-19 days after the second Pfizer vaccination. </w:t>
      </w:r>
      <w:r>
        <w:rPr>
          <w:rFonts w:ascii="Times New Roman" w:hAnsi="Times New Roman" w:cs="Times New Roman" w:hint="eastAsia"/>
          <w:sz w:val="24"/>
          <w:szCs w:val="24"/>
        </w:rPr>
        <w:t>A</w:t>
      </w:r>
      <w:r>
        <w:rPr>
          <w:rFonts w:ascii="Times New Roman" w:hAnsi="Times New Roman" w:cs="Times New Roman"/>
          <w:sz w:val="24"/>
          <w:szCs w:val="24"/>
        </w:rPr>
        <w:t>fter two inoculations of Pfizer vaccine, the seropositivity rate of kidney transplant recipient was 36.</w:t>
      </w:r>
      <w:r>
        <w:rPr>
          <w:rFonts w:ascii="Times New Roman" w:hAnsi="Times New Roman" w:cs="Times New Roman" w:hint="eastAsia"/>
          <w:sz w:val="24"/>
          <w:szCs w:val="24"/>
        </w:rPr>
        <w:t>4</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[31.0%,</w:t>
      </w:r>
      <w:r>
        <w:rPr>
          <w:rFonts w:ascii="Times New Roman" w:hAnsi="Times New Roman" w:cs="Times New Roman"/>
          <w:sz w:val="24"/>
          <w:szCs w:val="24"/>
        </w:rPr>
        <w:t xml:space="preserve"> </w:t>
      </w:r>
      <w:r>
        <w:rPr>
          <w:rFonts w:ascii="Times New Roman" w:hAnsi="Times New Roman" w:cs="Times New Roman" w:hint="eastAsia"/>
          <w:sz w:val="24"/>
          <w:szCs w:val="24"/>
        </w:rPr>
        <w:t>42.0%],</w:t>
      </w:r>
      <w:r>
        <w:rPr>
          <w:rFonts w:ascii="Times New Roman" w:hAnsi="Times New Roman" w:cs="Times New Roman"/>
          <w:sz w:val="24"/>
          <w:szCs w:val="24"/>
        </w:rPr>
        <w:t xml:space="preserve"> </w:t>
      </w:r>
      <w:r>
        <w:rPr>
          <w:rFonts w:ascii="Times New Roman" w:hAnsi="Times New Roman" w:cs="Times New Roman" w:hint="eastAsia"/>
          <w:sz w:val="24"/>
          <w:szCs w:val="24"/>
        </w:rPr>
        <w:t>N=308)</w:t>
      </w:r>
      <w:r>
        <w:rPr>
          <w:rFonts w:ascii="Times New Roman" w:hAnsi="Times New Roman" w:cs="Times New Roman"/>
          <w:sz w:val="24"/>
          <w:szCs w:val="24"/>
        </w:rPr>
        <w:t xml:space="preserve"> at the mean age of 57.51, and 63.2%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[46.0%,</w:t>
      </w:r>
      <w:r>
        <w:rPr>
          <w:rFonts w:ascii="Times New Roman" w:hAnsi="Times New Roman" w:cs="Times New Roman"/>
          <w:sz w:val="24"/>
          <w:szCs w:val="24"/>
        </w:rPr>
        <w:t xml:space="preserve"> </w:t>
      </w:r>
      <w:r>
        <w:rPr>
          <w:rFonts w:ascii="Times New Roman" w:hAnsi="Times New Roman" w:cs="Times New Roman" w:hint="eastAsia"/>
          <w:sz w:val="24"/>
          <w:szCs w:val="24"/>
        </w:rPr>
        <w:t>78.2%],</w:t>
      </w:r>
      <w:r>
        <w:rPr>
          <w:rFonts w:ascii="Times New Roman" w:hAnsi="Times New Roman" w:cs="Times New Roman"/>
          <w:sz w:val="24"/>
          <w:szCs w:val="24"/>
        </w:rPr>
        <w:t xml:space="preserve"> </w:t>
      </w:r>
      <w:r>
        <w:rPr>
          <w:rFonts w:ascii="Times New Roman" w:hAnsi="Times New Roman" w:cs="Times New Roman" w:hint="eastAsia"/>
          <w:sz w:val="24"/>
          <w:szCs w:val="24"/>
        </w:rPr>
        <w:t>N=38)</w:t>
      </w:r>
      <w:r>
        <w:rPr>
          <w:rFonts w:ascii="Times New Roman" w:hAnsi="Times New Roman" w:cs="Times New Roman"/>
          <w:sz w:val="24"/>
          <w:szCs w:val="24"/>
        </w:rPr>
        <w:t xml:space="preserve"> at the mean age of 16.8. In a study comparing the order of vaccination and kidney transplantation, the </w:t>
      </w:r>
      <w:r>
        <w:rPr>
          <w:rFonts w:ascii="Times New Roman" w:hAnsi="Times New Roman" w:cs="Times New Roman"/>
          <w:sz w:val="24"/>
          <w:szCs w:val="24"/>
        </w:rPr>
        <w:lastRenderedPageBreak/>
        <w:t>seropositivity was higher at 89.</w:t>
      </w:r>
      <w:r>
        <w:rPr>
          <w:rFonts w:ascii="Times New Roman" w:hAnsi="Times New Roman" w:cs="Times New Roman" w:hint="eastAsia"/>
          <w:sz w:val="24"/>
          <w:szCs w:val="24"/>
        </w:rPr>
        <w:t>9</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[82.7%,</w:t>
      </w:r>
      <w:r>
        <w:rPr>
          <w:rFonts w:ascii="Times New Roman" w:hAnsi="Times New Roman" w:cs="Times New Roman"/>
          <w:sz w:val="24"/>
          <w:szCs w:val="24"/>
        </w:rPr>
        <w:t xml:space="preserve"> </w:t>
      </w:r>
      <w:r>
        <w:rPr>
          <w:rFonts w:ascii="Times New Roman" w:hAnsi="Times New Roman" w:cs="Times New Roman" w:hint="eastAsia"/>
          <w:sz w:val="24"/>
          <w:szCs w:val="24"/>
        </w:rPr>
        <w:t>94.9%],</w:t>
      </w:r>
      <w:r>
        <w:rPr>
          <w:rFonts w:ascii="Times New Roman" w:hAnsi="Times New Roman" w:cs="Times New Roman"/>
          <w:sz w:val="24"/>
          <w:szCs w:val="24"/>
        </w:rPr>
        <w:t xml:space="preserve"> </w:t>
      </w:r>
      <w:r>
        <w:rPr>
          <w:rFonts w:ascii="Times New Roman" w:hAnsi="Times New Roman" w:cs="Times New Roman" w:hint="eastAsia"/>
          <w:sz w:val="24"/>
          <w:szCs w:val="24"/>
        </w:rPr>
        <w:t>N=109)</w:t>
      </w:r>
      <w:r>
        <w:rPr>
          <w:rFonts w:ascii="Times New Roman" w:hAnsi="Times New Roman" w:cs="Times New Roman"/>
          <w:sz w:val="24"/>
          <w:szCs w:val="24"/>
        </w:rPr>
        <w:t xml:space="preserve"> in the case of vaccination after transplantation than in the opposite case (44.95%</w:t>
      </w:r>
      <w:r>
        <w:rPr>
          <w:rFonts w:ascii="Times New Roman" w:hAnsi="Times New Roman" w:cs="Times New Roman" w:hint="eastAsia"/>
          <w:sz w:val="24"/>
          <w:szCs w:val="24"/>
        </w:rPr>
        <w:t>,</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[24.4%,</w:t>
      </w:r>
      <w:r>
        <w:rPr>
          <w:rFonts w:ascii="Times New Roman" w:hAnsi="Times New Roman" w:cs="Times New Roman"/>
          <w:sz w:val="24"/>
          <w:szCs w:val="24"/>
        </w:rPr>
        <w:t xml:space="preserve"> </w:t>
      </w:r>
      <w:r>
        <w:rPr>
          <w:rFonts w:ascii="Times New Roman" w:hAnsi="Times New Roman" w:cs="Times New Roman" w:hint="eastAsia"/>
          <w:sz w:val="24"/>
          <w:szCs w:val="24"/>
        </w:rPr>
        <w:t>71.1%],</w:t>
      </w:r>
      <w:r>
        <w:rPr>
          <w:rFonts w:ascii="Times New Roman" w:hAnsi="Times New Roman" w:cs="Times New Roman"/>
          <w:sz w:val="24"/>
          <w:szCs w:val="24"/>
        </w:rPr>
        <w:t xml:space="preserve"> </w:t>
      </w:r>
      <w:r>
        <w:rPr>
          <w:rFonts w:ascii="Times New Roman" w:hAnsi="Times New Roman" w:cs="Times New Roman" w:hint="eastAsia"/>
          <w:sz w:val="24"/>
          <w:szCs w:val="24"/>
        </w:rPr>
        <w:t>N=19</w:t>
      </w:r>
      <w:r>
        <w:rPr>
          <w:rFonts w:ascii="Times New Roman" w:hAnsi="Times New Roman" w:cs="Times New Roman"/>
          <w:sz w:val="24"/>
          <w:szCs w:val="24"/>
        </w:rPr>
        <w:t>). When lung transplant recipients were inoculated Pfizer and Moderna vaccine, the seropositivity rate was 18.</w:t>
      </w:r>
      <w:r>
        <w:rPr>
          <w:rFonts w:ascii="Times New Roman" w:hAnsi="Times New Roman" w:cs="Times New Roman" w:hint="eastAsia"/>
          <w:sz w:val="24"/>
          <w:szCs w:val="24"/>
        </w:rPr>
        <w:t>8</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[8.9%,</w:t>
      </w:r>
      <w:r>
        <w:rPr>
          <w:rFonts w:ascii="Times New Roman" w:hAnsi="Times New Roman" w:cs="Times New Roman"/>
          <w:sz w:val="24"/>
          <w:szCs w:val="24"/>
        </w:rPr>
        <w:t xml:space="preserve"> </w:t>
      </w:r>
      <w:r>
        <w:rPr>
          <w:rFonts w:ascii="Times New Roman" w:hAnsi="Times New Roman" w:cs="Times New Roman" w:hint="eastAsia"/>
          <w:sz w:val="24"/>
          <w:szCs w:val="24"/>
        </w:rPr>
        <w:t>32.6%],</w:t>
      </w:r>
      <w:r>
        <w:rPr>
          <w:rFonts w:ascii="Times New Roman" w:hAnsi="Times New Roman" w:cs="Times New Roman"/>
          <w:sz w:val="24"/>
          <w:szCs w:val="24"/>
        </w:rPr>
        <w:t xml:space="preserve"> </w:t>
      </w:r>
      <w:r>
        <w:rPr>
          <w:rFonts w:ascii="Times New Roman" w:hAnsi="Times New Roman" w:cs="Times New Roman" w:hint="eastAsia"/>
          <w:sz w:val="24"/>
          <w:szCs w:val="24"/>
        </w:rPr>
        <w:t xml:space="preserve">N=48) </w:t>
      </w:r>
      <w:r>
        <w:rPr>
          <w:rFonts w:ascii="Times New Roman" w:hAnsi="Times New Roman" w:cs="Times New Roman"/>
          <w:sz w:val="24"/>
          <w:szCs w:val="24"/>
        </w:rPr>
        <w:t xml:space="preserve">and 36.0%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[18.0%,</w:t>
      </w:r>
      <w:r>
        <w:rPr>
          <w:rFonts w:ascii="Times New Roman" w:hAnsi="Times New Roman" w:cs="Times New Roman"/>
          <w:sz w:val="24"/>
          <w:szCs w:val="24"/>
        </w:rPr>
        <w:t xml:space="preserve"> </w:t>
      </w:r>
      <w:r>
        <w:rPr>
          <w:rFonts w:ascii="Times New Roman" w:hAnsi="Times New Roman" w:cs="Times New Roman" w:hint="eastAsia"/>
          <w:sz w:val="24"/>
          <w:szCs w:val="24"/>
        </w:rPr>
        <w:t>57.5%],</w:t>
      </w:r>
      <w:r>
        <w:rPr>
          <w:rFonts w:ascii="Times New Roman" w:hAnsi="Times New Roman" w:cs="Times New Roman"/>
          <w:sz w:val="24"/>
          <w:szCs w:val="24"/>
        </w:rPr>
        <w:t xml:space="preserve"> </w:t>
      </w:r>
      <w:r>
        <w:rPr>
          <w:rFonts w:ascii="Times New Roman" w:hAnsi="Times New Roman" w:cs="Times New Roman" w:hint="eastAsia"/>
          <w:sz w:val="24"/>
          <w:szCs w:val="24"/>
        </w:rPr>
        <w:t xml:space="preserve">N=25) </w:t>
      </w:r>
      <w:r>
        <w:rPr>
          <w:rFonts w:ascii="Times New Roman" w:hAnsi="Times New Roman" w:cs="Times New Roman"/>
          <w:sz w:val="24"/>
          <w:szCs w:val="24"/>
        </w:rPr>
        <w:t xml:space="preserve">respectively after the second inoculation. </w:t>
      </w:r>
      <w:r>
        <w:rPr>
          <w:rFonts w:ascii="Times New Roman" w:hAnsi="Times New Roman" w:cs="Times New Roman" w:hint="eastAsia"/>
          <w:sz w:val="24"/>
          <w:szCs w:val="24"/>
        </w:rPr>
        <w:t>When</w:t>
      </w:r>
      <w:r>
        <w:rPr>
          <w:rFonts w:ascii="Times New Roman" w:hAnsi="Times New Roman" w:cs="Times New Roman"/>
          <w:sz w:val="24"/>
          <w:szCs w:val="24"/>
        </w:rPr>
        <w:t xml:space="preserve"> </w:t>
      </w:r>
      <w:r>
        <w:rPr>
          <w:rFonts w:ascii="Times New Roman" w:hAnsi="Times New Roman" w:cs="Times New Roman" w:hint="eastAsia"/>
          <w:sz w:val="24"/>
          <w:szCs w:val="24"/>
        </w:rPr>
        <w:t>analyzed</w:t>
      </w:r>
      <w:r>
        <w:rPr>
          <w:rFonts w:ascii="Times New Roman" w:hAnsi="Times New Roman" w:cs="Times New Roman"/>
          <w:sz w:val="24"/>
          <w:szCs w:val="24"/>
        </w:rPr>
        <w:t xml:space="preserve"> </w:t>
      </w:r>
      <w:r>
        <w:rPr>
          <w:rFonts w:ascii="Times New Roman" w:hAnsi="Times New Roman" w:cs="Times New Roman" w:hint="eastAsia"/>
          <w:sz w:val="24"/>
          <w:szCs w:val="24"/>
        </w:rPr>
        <w:t>for</w:t>
      </w:r>
      <w:r>
        <w:rPr>
          <w:rFonts w:ascii="Times New Roman" w:hAnsi="Times New Roman" w:cs="Times New Roman"/>
          <w:sz w:val="24"/>
          <w:szCs w:val="24"/>
        </w:rPr>
        <w:t xml:space="preserve"> </w:t>
      </w:r>
      <w:r>
        <w:rPr>
          <w:rFonts w:ascii="Times New Roman" w:hAnsi="Times New Roman" w:cs="Times New Roman" w:hint="eastAsia"/>
          <w:sz w:val="24"/>
          <w:szCs w:val="24"/>
        </w:rPr>
        <w:t>all</w:t>
      </w:r>
      <w:r>
        <w:rPr>
          <w:rFonts w:ascii="Times New Roman" w:hAnsi="Times New Roman" w:cs="Times New Roman"/>
          <w:sz w:val="24"/>
          <w:szCs w:val="24"/>
        </w:rPr>
        <w:t xml:space="preserve"> </w:t>
      </w:r>
      <w:r>
        <w:rPr>
          <w:rFonts w:ascii="Times New Roman" w:hAnsi="Times New Roman" w:cs="Times New Roman" w:hint="eastAsia"/>
          <w:sz w:val="24"/>
          <w:szCs w:val="24"/>
        </w:rPr>
        <w:t>transplant</w:t>
      </w:r>
      <w:r>
        <w:rPr>
          <w:rFonts w:ascii="Times New Roman" w:hAnsi="Times New Roman" w:cs="Times New Roman"/>
          <w:sz w:val="24"/>
          <w:szCs w:val="24"/>
        </w:rPr>
        <w:t xml:space="preserve"> </w:t>
      </w:r>
      <w:r>
        <w:rPr>
          <w:rFonts w:ascii="Times New Roman" w:hAnsi="Times New Roman" w:cs="Times New Roman" w:hint="eastAsia"/>
          <w:sz w:val="24"/>
          <w:szCs w:val="24"/>
        </w:rPr>
        <w:t>patients,</w:t>
      </w:r>
      <w:r>
        <w:rPr>
          <w:rFonts w:ascii="Times New Roman" w:hAnsi="Times New Roman" w:cs="Times New Roman"/>
          <w:sz w:val="24"/>
          <w:szCs w:val="24"/>
        </w:rPr>
        <w:t xml:space="preserve"> </w:t>
      </w:r>
      <w:r>
        <w:rPr>
          <w:rFonts w:ascii="Times New Roman" w:hAnsi="Times New Roman" w:cs="Times New Roman" w:hint="eastAsia"/>
          <w:sz w:val="24"/>
          <w:szCs w:val="24"/>
        </w:rPr>
        <w:t>the</w:t>
      </w:r>
      <w:r>
        <w:rPr>
          <w:rFonts w:ascii="Times New Roman" w:hAnsi="Times New Roman" w:cs="Times New Roman"/>
          <w:sz w:val="24"/>
          <w:szCs w:val="24"/>
        </w:rPr>
        <w:t xml:space="preserve"> </w:t>
      </w:r>
      <w:r>
        <w:rPr>
          <w:rFonts w:ascii="Times New Roman" w:hAnsi="Times New Roman" w:cs="Times New Roman" w:hint="eastAsia"/>
          <w:sz w:val="24"/>
          <w:szCs w:val="24"/>
        </w:rPr>
        <w:t>seropositivity</w:t>
      </w:r>
      <w:r>
        <w:rPr>
          <w:rFonts w:ascii="Times New Roman" w:hAnsi="Times New Roman" w:cs="Times New Roman"/>
          <w:sz w:val="24"/>
          <w:szCs w:val="24"/>
        </w:rPr>
        <w:t xml:space="preserve"> </w:t>
      </w:r>
      <w:r>
        <w:rPr>
          <w:rFonts w:ascii="Times New Roman" w:hAnsi="Times New Roman" w:cs="Times New Roman" w:hint="eastAsia"/>
          <w:sz w:val="24"/>
          <w:szCs w:val="24"/>
        </w:rPr>
        <w:t>was</w:t>
      </w:r>
      <w:r>
        <w:rPr>
          <w:rFonts w:ascii="Times New Roman" w:hAnsi="Times New Roman" w:cs="Times New Roman"/>
          <w:sz w:val="24"/>
          <w:szCs w:val="24"/>
        </w:rPr>
        <w:t xml:space="preserve"> </w:t>
      </w:r>
      <w:r>
        <w:rPr>
          <w:rFonts w:ascii="Times New Roman" w:hAnsi="Times New Roman" w:cs="Times New Roman" w:hint="eastAsia"/>
          <w:sz w:val="24"/>
          <w:szCs w:val="24"/>
        </w:rPr>
        <w:t>44.9%</w:t>
      </w:r>
      <w:r>
        <w:rPr>
          <w:rFonts w:ascii="Times New Roman" w:hAnsi="Times New Roman" w:cs="Times New Roman"/>
          <w:sz w:val="24"/>
          <w:szCs w:val="24"/>
        </w:rPr>
        <w:t xml:space="preserve"> </w:t>
      </w:r>
      <w:r>
        <w:rPr>
          <w:rFonts w:ascii="Times New Roman" w:hAnsi="Times New Roman" w:cs="Times New Roman" w:hint="eastAsia"/>
          <w:sz w:val="24"/>
          <w:szCs w:val="24"/>
        </w:rPr>
        <w:t>(95%</w:t>
      </w:r>
      <w:r>
        <w:rPr>
          <w:rFonts w:ascii="Times New Roman" w:hAnsi="Times New Roman" w:cs="Times New Roman"/>
          <w:sz w:val="24"/>
          <w:szCs w:val="24"/>
        </w:rPr>
        <w:t xml:space="preserve"> </w:t>
      </w:r>
      <w:r>
        <w:rPr>
          <w:rFonts w:ascii="Times New Roman" w:hAnsi="Times New Roman" w:cs="Times New Roman" w:hint="eastAsia"/>
          <w:sz w:val="24"/>
          <w:szCs w:val="24"/>
        </w:rPr>
        <w:t>CI:</w:t>
      </w:r>
      <w:r>
        <w:rPr>
          <w:rFonts w:ascii="Times New Roman" w:hAnsi="Times New Roman" w:cs="Times New Roman"/>
          <w:sz w:val="24"/>
          <w:szCs w:val="24"/>
        </w:rPr>
        <w:t xml:space="preserve"> </w:t>
      </w:r>
      <w:r>
        <w:rPr>
          <w:rFonts w:ascii="Times New Roman" w:hAnsi="Times New Roman" w:cs="Times New Roman" w:hint="eastAsia"/>
          <w:sz w:val="24"/>
          <w:szCs w:val="24"/>
        </w:rPr>
        <w:t>[24.4%,</w:t>
      </w:r>
      <w:r>
        <w:rPr>
          <w:rFonts w:ascii="Times New Roman" w:hAnsi="Times New Roman" w:cs="Times New Roman"/>
          <w:sz w:val="24"/>
          <w:szCs w:val="24"/>
        </w:rPr>
        <w:t xml:space="preserve"> </w:t>
      </w:r>
      <w:r>
        <w:rPr>
          <w:rFonts w:ascii="Times New Roman" w:hAnsi="Times New Roman" w:cs="Times New Roman" w:hint="eastAsia"/>
          <w:sz w:val="24"/>
          <w:szCs w:val="24"/>
        </w:rPr>
        <w:t>66.0%],</w:t>
      </w:r>
      <w:r>
        <w:rPr>
          <w:rFonts w:ascii="Times New Roman" w:hAnsi="Times New Roman" w:cs="Times New Roman"/>
          <w:sz w:val="24"/>
          <w:szCs w:val="24"/>
        </w:rPr>
        <w:t xml:space="preserve"> </w:t>
      </w:r>
      <w:r>
        <w:rPr>
          <w:rFonts w:ascii="Times New Roman" w:hAnsi="Times New Roman" w:cs="Times New Roman" w:hint="eastAsia"/>
          <w:sz w:val="24"/>
          <w:szCs w:val="24"/>
        </w:rPr>
        <w:t>N=623)</w:t>
      </w:r>
    </w:p>
    <w:p w14:paraId="13446B01" w14:textId="77777777" w:rsidR="0049304B" w:rsidRDefault="0049304B" w:rsidP="00D4555D">
      <w:pPr>
        <w:pStyle w:val="Heading2"/>
      </w:pPr>
      <w:r w:rsidRPr="0028399B">
        <w:rPr>
          <w:rFonts w:hint="eastAsia"/>
        </w:rPr>
        <w:t>I</w:t>
      </w:r>
      <w:r w:rsidRPr="0028399B">
        <w:t xml:space="preserve">nflammatory bowel disease </w:t>
      </w:r>
    </w:p>
    <w:p w14:paraId="42C9B52B" w14:textId="77777777" w:rsidR="0049304B" w:rsidRPr="0028399B" w:rsidRDefault="0049304B" w:rsidP="0049304B">
      <w:pPr>
        <w:spacing w:line="480" w:lineRule="auto"/>
        <w:rPr>
          <w:rFonts w:ascii="Times New Roman" w:hAnsi="Times New Roman" w:cs="Times New Roman"/>
          <w:sz w:val="24"/>
          <w:szCs w:val="24"/>
        </w:rPr>
      </w:pPr>
      <w:r>
        <w:rPr>
          <w:rFonts w:ascii="Times New Roman" w:hAnsi="Times New Roman" w:cs="Times New Roman" w:hint="eastAsia"/>
          <w:sz w:val="24"/>
          <w:szCs w:val="24"/>
        </w:rPr>
        <w:t>S</w:t>
      </w:r>
      <w:r>
        <w:rPr>
          <w:rFonts w:ascii="Times New Roman" w:hAnsi="Times New Roman" w:cs="Times New Roman"/>
          <w:sz w:val="24"/>
          <w:szCs w:val="24"/>
        </w:rPr>
        <w:t xml:space="preserve">eropositivity of COVID-19 among inflammatory bowel disease (IBD) is reported in </w:t>
      </w:r>
      <w:r>
        <w:rPr>
          <w:rFonts w:ascii="Times New Roman" w:hAnsi="Times New Roman" w:cs="Times New Roman" w:hint="eastAsia"/>
          <w:sz w:val="24"/>
          <w:szCs w:val="24"/>
        </w:rPr>
        <w:t>Supplement</w:t>
      </w:r>
      <w:r>
        <w:rPr>
          <w:rFonts w:ascii="Times New Roman" w:hAnsi="Times New Roman" w:cs="Times New Roman"/>
          <w:sz w:val="24"/>
          <w:szCs w:val="24"/>
        </w:rPr>
        <w:t xml:space="preserve"> </w:t>
      </w:r>
      <w:r>
        <w:rPr>
          <w:rFonts w:ascii="Times New Roman" w:hAnsi="Times New Roman" w:cs="Times New Roman" w:hint="eastAsia"/>
          <w:sz w:val="24"/>
          <w:szCs w:val="24"/>
        </w:rPr>
        <w:t>7</w:t>
      </w:r>
      <w:r>
        <w:rPr>
          <w:rFonts w:ascii="Times New Roman" w:hAnsi="Times New Roman" w:cs="Times New Roman"/>
          <w:sz w:val="24"/>
          <w:szCs w:val="24"/>
        </w:rPr>
        <w:t>. Only one study was included, and it compared patients who received anti-TNF</w:t>
      </w:r>
      <w:r w:rsidRPr="001C7EA9">
        <w:rPr>
          <w:rFonts w:ascii="Times New Roman" w:eastAsia="Malgun Gothic" w:hAnsi="Times New Roman" w:cs="Times New Roman"/>
          <w:sz w:val="24"/>
          <w:szCs w:val="24"/>
        </w:rPr>
        <w:t>α</w:t>
      </w:r>
      <w:r>
        <w:rPr>
          <w:rFonts w:ascii="Times New Roman" w:hAnsi="Times New Roman" w:cs="Times New Roman"/>
          <w:sz w:val="24"/>
          <w:szCs w:val="24"/>
        </w:rPr>
        <w:t xml:space="preserve"> with those who did not</w:t>
      </w:r>
      <w:r w:rsidRPr="00DD4AC8">
        <w:rPr>
          <w:rFonts w:ascii="Times New Roman" w:hAnsi="Times New Roman" w:cs="Times New Roman"/>
          <w:sz w:val="24"/>
          <w:szCs w:val="24"/>
          <w:vertAlign w:val="superscript"/>
        </w:rPr>
        <w:t>2</w:t>
      </w:r>
      <w:r>
        <w:rPr>
          <w:rFonts w:ascii="Times New Roman" w:hAnsi="Times New Roman" w:cs="Times New Roman"/>
          <w:sz w:val="24"/>
          <w:szCs w:val="24"/>
          <w:vertAlign w:val="superscript"/>
        </w:rPr>
        <w:t>8</w:t>
      </w:r>
      <w:r>
        <w:rPr>
          <w:rFonts w:ascii="Times New Roman" w:hAnsi="Times New Roman" w:cs="Times New Roman"/>
          <w:sz w:val="24"/>
          <w:szCs w:val="24"/>
        </w:rPr>
        <w:t xml:space="preserve">. </w:t>
      </w:r>
      <w:r w:rsidRPr="00FB3140">
        <w:rPr>
          <w:rFonts w:ascii="Times New Roman" w:hAnsi="Times New Roman" w:cs="Times New Roman"/>
          <w:sz w:val="24"/>
          <w:szCs w:val="24"/>
        </w:rPr>
        <w:t>After the first inoculation, 91.04% of those who were treated with anti-TNF</w:t>
      </w:r>
      <w:r w:rsidRPr="00FB3140">
        <w:rPr>
          <w:rFonts w:ascii="Times New Roman" w:eastAsia="Malgun Gothic" w:hAnsi="Times New Roman" w:cs="Times New Roman"/>
          <w:sz w:val="24"/>
          <w:szCs w:val="24"/>
        </w:rPr>
        <w:t xml:space="preserve">α and 93.22% of those who did not receive treatment were seropositive. </w:t>
      </w:r>
      <w:r>
        <w:rPr>
          <w:rFonts w:ascii="Times New Roman" w:eastAsia="Malgun Gothic" w:hAnsi="Times New Roman" w:cs="Times New Roman"/>
          <w:sz w:val="24"/>
          <w:szCs w:val="24"/>
        </w:rPr>
        <w:t xml:space="preserve">However, </w:t>
      </w:r>
      <w:r w:rsidRPr="00FB3140">
        <w:rPr>
          <w:rFonts w:ascii="Times New Roman" w:hAnsi="Times New Roman" w:cs="Times New Roman"/>
          <w:sz w:val="24"/>
          <w:szCs w:val="24"/>
        </w:rPr>
        <w:t xml:space="preserve">seropositivity </w:t>
      </w:r>
      <w:r>
        <w:rPr>
          <w:rFonts w:ascii="Times New Roman" w:hAnsi="Times New Roman" w:cs="Times New Roman"/>
          <w:sz w:val="24"/>
          <w:szCs w:val="24"/>
        </w:rPr>
        <w:t>converted to</w:t>
      </w:r>
      <w:r w:rsidRPr="00FB3140">
        <w:rPr>
          <w:rFonts w:ascii="Times New Roman" w:hAnsi="Times New Roman" w:cs="Times New Roman"/>
          <w:sz w:val="24"/>
          <w:szCs w:val="24"/>
        </w:rPr>
        <w:t xml:space="preserve"> 100% after the second inoculation</w:t>
      </w:r>
      <w:r>
        <w:rPr>
          <w:rFonts w:ascii="Times New Roman" w:hAnsi="Times New Roman" w:cs="Times New Roman"/>
          <w:sz w:val="24"/>
          <w:szCs w:val="24"/>
        </w:rPr>
        <w:t xml:space="preserve"> in both cases. </w:t>
      </w:r>
    </w:p>
    <w:p w14:paraId="4F38081D" w14:textId="77777777" w:rsidR="0049304B" w:rsidRPr="00E159FE" w:rsidRDefault="0049304B" w:rsidP="00D4555D">
      <w:pPr>
        <w:pStyle w:val="Heading2"/>
      </w:pPr>
      <w:r w:rsidRPr="00E159FE">
        <w:t xml:space="preserve">Infected / Seropositive at baseline  </w:t>
      </w:r>
    </w:p>
    <w:p w14:paraId="339C240A" w14:textId="77777777" w:rsidR="0049304B" w:rsidRDefault="0049304B" w:rsidP="0049304B">
      <w:pPr>
        <w:spacing w:line="480" w:lineRule="auto"/>
        <w:rPr>
          <w:rFonts w:ascii="Times New Roman" w:hAnsi="Times New Roman" w:cs="Times New Roman"/>
          <w:b/>
          <w:bCs/>
          <w:sz w:val="24"/>
          <w:szCs w:val="24"/>
        </w:rPr>
      </w:pPr>
      <w:r>
        <w:rPr>
          <w:rFonts w:ascii="Times New Roman" w:hAnsi="Times New Roman" w:cs="Times New Roman" w:hint="eastAsia"/>
          <w:sz w:val="24"/>
          <w:szCs w:val="24"/>
        </w:rPr>
        <w:t>S</w:t>
      </w:r>
      <w:r>
        <w:rPr>
          <w:rFonts w:ascii="Times New Roman" w:hAnsi="Times New Roman" w:cs="Times New Roman"/>
          <w:sz w:val="24"/>
          <w:szCs w:val="24"/>
        </w:rPr>
        <w:t xml:space="preserve">eropositivity of COVID-19 among participants who were seropositive at baseline, or had COVID-19, or were infected during study is reported in </w:t>
      </w:r>
      <w:r>
        <w:rPr>
          <w:rFonts w:ascii="Times New Roman" w:hAnsi="Times New Roman" w:cs="Times New Roman" w:hint="eastAsia"/>
          <w:sz w:val="24"/>
          <w:szCs w:val="24"/>
        </w:rPr>
        <w:t>Supplement</w:t>
      </w:r>
      <w:r>
        <w:rPr>
          <w:rFonts w:ascii="Times New Roman" w:hAnsi="Times New Roman" w:cs="Times New Roman"/>
          <w:sz w:val="24"/>
          <w:szCs w:val="24"/>
        </w:rPr>
        <w:t xml:space="preserve"> </w:t>
      </w:r>
      <w:r>
        <w:rPr>
          <w:rFonts w:ascii="Times New Roman" w:hAnsi="Times New Roman" w:cs="Times New Roman" w:hint="eastAsia"/>
          <w:sz w:val="24"/>
          <w:szCs w:val="24"/>
        </w:rPr>
        <w:t>8</w:t>
      </w:r>
      <w:r>
        <w:rPr>
          <w:rFonts w:ascii="Times New Roman" w:hAnsi="Times New Roman" w:cs="Times New Roman"/>
          <w:sz w:val="24"/>
          <w:szCs w:val="24"/>
        </w:rPr>
        <w:t xml:space="preserve">. Six studies were included </w:t>
      </w:r>
      <w:r w:rsidRPr="00DD4AC8">
        <w:rPr>
          <w:rFonts w:ascii="Times New Roman" w:hAnsi="Times New Roman" w:cs="Times New Roman"/>
          <w:sz w:val="24"/>
          <w:szCs w:val="24"/>
          <w:vertAlign w:val="superscript"/>
        </w:rPr>
        <w:t>2</w:t>
      </w:r>
      <w:r>
        <w:rPr>
          <w:rFonts w:ascii="Times New Roman" w:hAnsi="Times New Roman" w:cs="Times New Roman"/>
          <w:sz w:val="24"/>
          <w:szCs w:val="24"/>
          <w:vertAlign w:val="superscript"/>
        </w:rPr>
        <w:t>9</w:t>
      </w:r>
      <w:r w:rsidRPr="00DD4AC8">
        <w:rPr>
          <w:rFonts w:ascii="Times New Roman" w:hAnsi="Times New Roman" w:cs="Times New Roman"/>
          <w:sz w:val="24"/>
          <w:szCs w:val="24"/>
          <w:vertAlign w:val="superscript"/>
        </w:rPr>
        <w:t>-3</w:t>
      </w:r>
      <w:r>
        <w:rPr>
          <w:rFonts w:ascii="Times New Roman" w:hAnsi="Times New Roman" w:cs="Times New Roman"/>
          <w:sz w:val="24"/>
          <w:szCs w:val="24"/>
          <w:vertAlign w:val="superscript"/>
        </w:rPr>
        <w:t>3</w:t>
      </w:r>
      <w:r>
        <w:rPr>
          <w:rFonts w:ascii="Times New Roman" w:hAnsi="Times New Roman" w:cs="Times New Roman"/>
          <w:sz w:val="24"/>
          <w:szCs w:val="24"/>
        </w:rPr>
        <w:t xml:space="preserve">. Up to the second inoculation, in most cases, high seropositivity rate was found close to 100%. </w:t>
      </w:r>
    </w:p>
    <w:p w14:paraId="081F75DE" w14:textId="77777777" w:rsidR="0049304B" w:rsidRDefault="0049304B" w:rsidP="0049304B">
      <w:pPr>
        <w:widowControl/>
        <w:wordWrap/>
        <w:autoSpaceDE/>
        <w:autoSpaceDN/>
        <w:rPr>
          <w:rFonts w:ascii="Times New Roman" w:hAnsi="Times New Roman" w:cs="Times New Roman"/>
          <w:b/>
          <w:bCs/>
          <w:sz w:val="24"/>
          <w:szCs w:val="24"/>
        </w:rPr>
      </w:pPr>
      <w:r>
        <w:rPr>
          <w:rFonts w:ascii="Times New Roman" w:hAnsi="Times New Roman" w:cs="Times New Roman"/>
          <w:b/>
          <w:bCs/>
          <w:sz w:val="24"/>
          <w:szCs w:val="24"/>
        </w:rPr>
        <w:br w:type="page"/>
      </w:r>
    </w:p>
    <w:p w14:paraId="39F97E25" w14:textId="079241F7" w:rsidR="0049304B" w:rsidRDefault="00274400" w:rsidP="00D4555D">
      <w:pPr>
        <w:pStyle w:val="Heading1"/>
      </w:pPr>
      <w:r>
        <w:lastRenderedPageBreak/>
        <w:t>Discussion</w:t>
      </w:r>
      <w:r w:rsidR="0049304B">
        <w:t xml:space="preserve"> </w:t>
      </w:r>
    </w:p>
    <w:p w14:paraId="336929A2" w14:textId="77777777" w:rsidR="0049304B" w:rsidRPr="006D652D" w:rsidRDefault="0049304B" w:rsidP="0049304B">
      <w:pPr>
        <w:spacing w:line="480" w:lineRule="auto"/>
        <w:rPr>
          <w:rFonts w:ascii="Times New Roman" w:hAnsi="Times New Roman"/>
          <w:sz w:val="24"/>
          <w:szCs w:val="24"/>
        </w:rPr>
      </w:pPr>
      <w:r>
        <w:rPr>
          <w:rFonts w:ascii="Times New Roman" w:hAnsi="Times New Roman"/>
          <w:sz w:val="24"/>
          <w:szCs w:val="24"/>
        </w:rPr>
        <w:t>Patients with underlying diseases, or patients who receive/d dialysis or transplantation, are at high risk of COVID-19. According to the study of F. Javanmardi, the underlying disease plays an important role in the severity and high mortality of COVID-19</w:t>
      </w:r>
      <w:r w:rsidRPr="00DD4AC8">
        <w:rPr>
          <w:rFonts w:ascii="Times New Roman" w:hAnsi="Times New Roman"/>
          <w:sz w:val="24"/>
          <w:szCs w:val="24"/>
          <w:vertAlign w:val="superscript"/>
        </w:rPr>
        <w:t>34</w:t>
      </w:r>
      <w:r>
        <w:rPr>
          <w:rFonts w:ascii="Times New Roman" w:hAnsi="Times New Roman"/>
          <w:sz w:val="24"/>
          <w:szCs w:val="24"/>
        </w:rPr>
        <w:t>. A study from Italy showed that only 0.8% of patients who deceased of COVID-19 have no disease</w:t>
      </w:r>
      <w:r w:rsidRPr="00DD4AC8">
        <w:rPr>
          <w:rFonts w:ascii="Times New Roman" w:hAnsi="Times New Roman"/>
          <w:sz w:val="24"/>
          <w:szCs w:val="24"/>
          <w:vertAlign w:val="superscript"/>
        </w:rPr>
        <w:t>35</w:t>
      </w:r>
      <w:r>
        <w:rPr>
          <w:rFonts w:ascii="Times New Roman" w:hAnsi="Times New Roman"/>
          <w:sz w:val="24"/>
          <w:szCs w:val="24"/>
        </w:rPr>
        <w:t xml:space="preserve">.     </w:t>
      </w:r>
    </w:p>
    <w:p w14:paraId="646EFDAC" w14:textId="77777777" w:rsidR="0049304B" w:rsidRPr="00A84A60" w:rsidRDefault="0049304B" w:rsidP="0049304B">
      <w:pPr>
        <w:spacing w:line="480" w:lineRule="auto"/>
        <w:rPr>
          <w:rFonts w:ascii="Times New Roman" w:hAnsi="Times New Roman" w:cs="Times New Roman"/>
          <w:sz w:val="24"/>
          <w:szCs w:val="28"/>
        </w:rPr>
      </w:pPr>
      <w:r w:rsidRPr="00A84A60">
        <w:rPr>
          <w:rFonts w:ascii="Times New Roman" w:hAnsi="Times New Roman" w:cs="Times New Roman"/>
          <w:sz w:val="24"/>
          <w:szCs w:val="28"/>
        </w:rPr>
        <w:t xml:space="preserve"> Vaccination is underway to protect patients from COVID-19. However, </w:t>
      </w:r>
      <w:r>
        <w:rPr>
          <w:rFonts w:ascii="Times New Roman" w:hAnsi="Times New Roman" w:cs="Times New Roman"/>
          <w:sz w:val="24"/>
          <w:szCs w:val="28"/>
        </w:rPr>
        <w:t xml:space="preserve">to the best of our knowledge, </w:t>
      </w:r>
      <w:r w:rsidRPr="00A84A60">
        <w:rPr>
          <w:rFonts w:ascii="Times New Roman" w:hAnsi="Times New Roman" w:cs="Times New Roman"/>
          <w:sz w:val="24"/>
          <w:szCs w:val="28"/>
        </w:rPr>
        <w:t>there is no comprehensive study on how effectively antibodies are produced by vaccines for each disease and condition.</w:t>
      </w:r>
      <w:r>
        <w:rPr>
          <w:rFonts w:ascii="Times New Roman" w:hAnsi="Times New Roman" w:cs="Times New Roman"/>
          <w:sz w:val="24"/>
          <w:szCs w:val="28"/>
        </w:rPr>
        <w:t xml:space="preserve"> Therefore, we incorporated evidence from twenty-one studies and summarized the seropositivity rate of patients under various conditions in this review.</w:t>
      </w:r>
    </w:p>
    <w:p w14:paraId="110696D0" w14:textId="77777777" w:rsidR="0049304B" w:rsidRDefault="0049304B" w:rsidP="0049304B">
      <w:pPr>
        <w:spacing w:line="480" w:lineRule="auto"/>
        <w:rPr>
          <w:rFonts w:ascii="Times New Roman" w:hAnsi="Times New Roman" w:cs="Times New Roman"/>
          <w:sz w:val="24"/>
          <w:szCs w:val="24"/>
        </w:rPr>
      </w:pPr>
      <w:bookmarkStart w:id="3" w:name="_Hlk90653350"/>
      <w:r>
        <w:rPr>
          <w:rFonts w:ascii="Times New Roman" w:hAnsi="Times New Roman" w:cs="Times New Roman"/>
          <w:sz w:val="24"/>
          <w:szCs w:val="24"/>
        </w:rPr>
        <w:t xml:space="preserve"> In most types of solid tumor, patients showed a seropositivity rate of more than 80% after the second inoculation. In the type of solid tumor that reported a seropositivity rate of approximately 60% (e.g., esophagus and gastric cancer, neurologic cancer), the number of patients was small, so further research is likely to be needed. The seropositivity of solid tumor patients was relatively higher than that of hematologic malignancy patients or patients with reduced immunity due to transplantation or dialysis. This reflects that the treatment of solid cancer has a smaller effect of immunosuppression than that of hematologic malignancy treatment, transplantation, and dialysis</w:t>
      </w:r>
      <w:r w:rsidRPr="00DD4AC8">
        <w:rPr>
          <w:rFonts w:ascii="Times New Roman" w:hAnsi="Times New Roman" w:cs="Times New Roman"/>
          <w:sz w:val="24"/>
          <w:szCs w:val="24"/>
          <w:vertAlign w:val="superscript"/>
        </w:rPr>
        <w:t>14</w:t>
      </w:r>
      <w:r>
        <w:rPr>
          <w:rFonts w:ascii="Times New Roman" w:hAnsi="Times New Roman" w:cs="Times New Roman"/>
          <w:sz w:val="24"/>
          <w:szCs w:val="24"/>
        </w:rPr>
        <w:t xml:space="preserve">. </w:t>
      </w:r>
      <w:bookmarkStart w:id="4" w:name="_Hlk90653836"/>
      <w:r>
        <w:rPr>
          <w:rFonts w:ascii="Times New Roman" w:hAnsi="Times New Roman" w:cs="Times New Roman"/>
          <w:sz w:val="24"/>
          <w:szCs w:val="24"/>
        </w:rPr>
        <w:t xml:space="preserve">Several papers report low seropositivity in patients with hematologic malignancy. Especially in patients with CLL, less than 40% of seropositivity rate has been reported, and if they received treatment with </w:t>
      </w:r>
      <w:r>
        <w:rPr>
          <w:rFonts w:ascii="Times New Roman" w:hAnsi="Times New Roman" w:cs="Times New Roman" w:hint="eastAsia"/>
          <w:sz w:val="24"/>
          <w:szCs w:val="24"/>
        </w:rPr>
        <w:t>a</w:t>
      </w:r>
      <w:r>
        <w:rPr>
          <w:rFonts w:ascii="Times New Roman" w:hAnsi="Times New Roman" w:cs="Times New Roman"/>
          <w:sz w:val="24"/>
          <w:szCs w:val="24"/>
        </w:rPr>
        <w:t>nti-CD20 antibodies or BCL2 inhibitors, the rate is further reduced</w:t>
      </w:r>
      <w:r w:rsidRPr="00DD4AC8">
        <w:rPr>
          <w:rFonts w:ascii="Times New Roman" w:hAnsi="Times New Roman" w:cs="Times New Roman"/>
          <w:sz w:val="24"/>
          <w:szCs w:val="24"/>
          <w:vertAlign w:val="superscript"/>
        </w:rPr>
        <w:t>36</w:t>
      </w:r>
      <w:r>
        <w:rPr>
          <w:rFonts w:ascii="Times New Roman" w:hAnsi="Times New Roman" w:cs="Times New Roman"/>
          <w:sz w:val="24"/>
          <w:szCs w:val="24"/>
        </w:rPr>
        <w:t xml:space="preserve">. </w:t>
      </w:r>
      <w:bookmarkStart w:id="5" w:name="_Hlk90654214"/>
      <w:bookmarkEnd w:id="4"/>
      <w:r>
        <w:rPr>
          <w:rFonts w:ascii="Times New Roman" w:hAnsi="Times New Roman" w:cs="Times New Roman"/>
          <w:sz w:val="24"/>
          <w:szCs w:val="24"/>
        </w:rPr>
        <w:t>In addition, it is known that JAK1/JAK2 inhibitor, which is widely used in the treatment of hematological malignancy patients, is associated with low seropositivity</w:t>
      </w:r>
      <w:r w:rsidRPr="00DD4AC8">
        <w:rPr>
          <w:rFonts w:ascii="Times New Roman" w:hAnsi="Times New Roman" w:cs="Times New Roman"/>
          <w:sz w:val="24"/>
          <w:szCs w:val="24"/>
          <w:vertAlign w:val="superscript"/>
        </w:rPr>
        <w:t>16</w:t>
      </w:r>
      <w:r>
        <w:rPr>
          <w:rFonts w:ascii="Times New Roman" w:hAnsi="Times New Roman" w:cs="Times New Roman"/>
          <w:sz w:val="24"/>
          <w:szCs w:val="24"/>
        </w:rPr>
        <w:t>. These treatments exhibit a wide range of anti-inflammatory capabilities. One paper reported that these features help treat severe COVID-19</w:t>
      </w:r>
      <w:r w:rsidRPr="00DD4AC8">
        <w:rPr>
          <w:rFonts w:ascii="Times New Roman" w:hAnsi="Times New Roman" w:cs="Times New Roman"/>
          <w:sz w:val="24"/>
          <w:szCs w:val="24"/>
          <w:vertAlign w:val="superscript"/>
        </w:rPr>
        <w:t>37</w:t>
      </w:r>
      <w:r>
        <w:rPr>
          <w:rFonts w:ascii="Times New Roman" w:hAnsi="Times New Roman" w:cs="Times New Roman"/>
          <w:sz w:val="24"/>
          <w:szCs w:val="24"/>
        </w:rPr>
        <w:t xml:space="preserve">. Therefore, it can be seen </w:t>
      </w:r>
      <w:r>
        <w:rPr>
          <w:rFonts w:ascii="Times New Roman" w:hAnsi="Times New Roman" w:cs="Times New Roman"/>
          <w:sz w:val="24"/>
          <w:szCs w:val="24"/>
        </w:rPr>
        <w:lastRenderedPageBreak/>
        <w:t xml:space="preserve">that the JAK1/JAK2 inhibitor attenuates the immune response caused by the vaccination. </w:t>
      </w:r>
      <w:bookmarkEnd w:id="5"/>
    </w:p>
    <w:p w14:paraId="44D46F8C" w14:textId="77777777" w:rsidR="0049304B" w:rsidRDefault="0049304B" w:rsidP="0049304B">
      <w:pPr>
        <w:spacing w:line="480" w:lineRule="auto"/>
        <w:rPr>
          <w:rFonts w:ascii="Times New Roman" w:hAnsi="Times New Roman" w:cs="Times New Roman"/>
          <w:sz w:val="24"/>
          <w:szCs w:val="24"/>
        </w:rPr>
      </w:pPr>
      <w:bookmarkStart w:id="6" w:name="_Hlk90560283"/>
      <w:bookmarkStart w:id="7" w:name="_Hlk90562222"/>
      <w:bookmarkEnd w:id="3"/>
      <w:r>
        <w:rPr>
          <w:rFonts w:ascii="Times New Roman" w:hAnsi="Times New Roman" w:cs="Times New Roman"/>
          <w:sz w:val="24"/>
          <w:szCs w:val="24"/>
        </w:rPr>
        <w:t xml:space="preserve"> </w:t>
      </w:r>
      <w:bookmarkStart w:id="8" w:name="_Hlk90560447"/>
      <w:r>
        <w:rPr>
          <w:rFonts w:ascii="Times New Roman" w:hAnsi="Times New Roman" w:cs="Times New Roman"/>
          <w:sz w:val="24"/>
          <w:szCs w:val="24"/>
        </w:rPr>
        <w:t>Among patients with autoimmune diseases, RA, AAV and IIM patients particularly showed a low serologic response. MS patients treated with CD20 inhibitors also reported low seropositivity. It may be a decrease in humoral response depending on the type of disease, but underlying treatment would have had an effect. In RA patients, MTX, a type of immunosuppressive treatment is associated with lower levels of antibodies</w:t>
      </w:r>
      <w:bookmarkEnd w:id="8"/>
      <w:r>
        <w:rPr>
          <w:rFonts w:ascii="Times New Roman" w:hAnsi="Times New Roman" w:cs="Times New Roman"/>
          <w:sz w:val="24"/>
          <w:szCs w:val="24"/>
        </w:rPr>
        <w:t>, but the degree is not that large</w:t>
      </w:r>
      <w:r w:rsidRPr="00DD4AC8">
        <w:rPr>
          <w:rFonts w:ascii="Times New Roman" w:hAnsi="Times New Roman" w:cs="Times New Roman" w:hint="eastAsia"/>
          <w:sz w:val="24"/>
          <w:szCs w:val="24"/>
          <w:vertAlign w:val="superscript"/>
        </w:rPr>
        <w:t>19,</w:t>
      </w:r>
      <w:r>
        <w:rPr>
          <w:rFonts w:ascii="Times New Roman" w:hAnsi="Times New Roman" w:cs="Times New Roman"/>
          <w:sz w:val="24"/>
          <w:szCs w:val="24"/>
          <w:vertAlign w:val="superscript"/>
        </w:rPr>
        <w:t xml:space="preserve"> </w:t>
      </w:r>
      <w:r w:rsidRPr="00DD4AC8">
        <w:rPr>
          <w:rFonts w:ascii="Times New Roman" w:hAnsi="Times New Roman" w:cs="Times New Roman" w:hint="eastAsia"/>
          <w:sz w:val="24"/>
          <w:szCs w:val="24"/>
          <w:vertAlign w:val="superscript"/>
        </w:rPr>
        <w:t>38</w:t>
      </w:r>
      <w:r>
        <w:rPr>
          <w:rFonts w:ascii="Times New Roman" w:hAnsi="Times New Roman" w:cs="Times New Roman"/>
          <w:sz w:val="24"/>
          <w:szCs w:val="24"/>
        </w:rPr>
        <w:t>. Therefore, vaccination and MTX treatment can be implemented together. Meanwhile, according to some studies, anti-CD20 therapy negatively affects antibody production after vaccination</w:t>
      </w:r>
      <w:r w:rsidRPr="00DD4AC8">
        <w:rPr>
          <w:rFonts w:ascii="Times New Roman" w:hAnsi="Times New Roman" w:cs="Times New Roman" w:hint="eastAsia"/>
          <w:sz w:val="24"/>
          <w:szCs w:val="24"/>
          <w:vertAlign w:val="superscript"/>
        </w:rPr>
        <w:t>39</w:t>
      </w:r>
      <w:r>
        <w:rPr>
          <w:rFonts w:ascii="Times New Roman" w:hAnsi="Times New Roman" w:cs="Times New Roman" w:hint="eastAsia"/>
          <w:sz w:val="24"/>
          <w:szCs w:val="24"/>
          <w:vertAlign w:val="superscript"/>
        </w:rPr>
        <w:t>-40</w:t>
      </w:r>
      <w:r>
        <w:rPr>
          <w:rFonts w:ascii="Times New Roman" w:hAnsi="Times New Roman" w:cs="Times New Roman"/>
          <w:sz w:val="24"/>
          <w:szCs w:val="24"/>
        </w:rPr>
        <w:t>. B-cell depletion due to anti-CD20 is related with a reduced humoral response</w:t>
      </w:r>
      <w:r w:rsidRPr="00DD4AC8">
        <w:rPr>
          <w:rFonts w:ascii="Times New Roman" w:hAnsi="Times New Roman" w:cs="Times New Roman" w:hint="eastAsia"/>
          <w:sz w:val="24"/>
          <w:szCs w:val="24"/>
          <w:vertAlign w:val="superscript"/>
        </w:rPr>
        <w:t>4</w:t>
      </w:r>
      <w:r>
        <w:rPr>
          <w:rFonts w:ascii="Times New Roman" w:hAnsi="Times New Roman" w:cs="Times New Roman" w:hint="eastAsia"/>
          <w:sz w:val="24"/>
          <w:szCs w:val="24"/>
          <w:vertAlign w:val="superscript"/>
        </w:rPr>
        <w:t>1</w:t>
      </w:r>
      <w:r>
        <w:rPr>
          <w:rFonts w:ascii="Times New Roman" w:hAnsi="Times New Roman" w:cs="Times New Roman"/>
          <w:sz w:val="24"/>
          <w:szCs w:val="24"/>
        </w:rPr>
        <w:t>. If clinically possible, it may be reasonable to pause anti-CD20 therapy for a while prior to vaccination</w:t>
      </w:r>
      <w:r w:rsidRPr="00DD4AC8">
        <w:rPr>
          <w:rFonts w:ascii="Times New Roman" w:hAnsi="Times New Roman" w:cs="Times New Roman" w:hint="eastAsia"/>
          <w:sz w:val="24"/>
          <w:szCs w:val="24"/>
          <w:vertAlign w:val="superscript"/>
        </w:rPr>
        <w:t>19</w:t>
      </w:r>
      <w:r>
        <w:rPr>
          <w:rFonts w:ascii="Times New Roman" w:hAnsi="Times New Roman" w:cs="Times New Roman"/>
          <w:sz w:val="24"/>
          <w:szCs w:val="24"/>
        </w:rPr>
        <w:t xml:space="preserve">. Further research will also be needed on whether patients with low serological response can respond to COVID-19 with an immune response through T-cells. </w:t>
      </w:r>
    </w:p>
    <w:p w14:paraId="24C81A5D" w14:textId="77777777" w:rsidR="0049304B" w:rsidRDefault="0049304B" w:rsidP="0049304B">
      <w:pPr>
        <w:spacing w:line="480" w:lineRule="auto"/>
        <w:ind w:firstLineChars="50" w:firstLine="120"/>
        <w:rPr>
          <w:rFonts w:ascii="Times New Roman" w:hAnsi="Times New Roman" w:cs="Times New Roman"/>
          <w:sz w:val="24"/>
          <w:szCs w:val="24"/>
        </w:rPr>
      </w:pPr>
      <w:bookmarkStart w:id="9" w:name="_Hlk90558569"/>
      <w:bookmarkEnd w:id="6"/>
      <w:bookmarkEnd w:id="7"/>
      <w:r>
        <w:rPr>
          <w:rFonts w:ascii="Times New Roman" w:hAnsi="Times New Roman" w:cs="Times New Roman"/>
          <w:sz w:val="24"/>
          <w:szCs w:val="24"/>
        </w:rPr>
        <w:t>Patients with IBD were found to be seropositive after the second inoculation regardless of receiving anti-TNF</w:t>
      </w:r>
      <w:r w:rsidRPr="001C7EA9">
        <w:rPr>
          <w:rFonts w:ascii="Times New Roman" w:eastAsia="Malgun Gothic" w:hAnsi="Times New Roman" w:cs="Times New Roman"/>
          <w:sz w:val="24"/>
          <w:szCs w:val="24"/>
        </w:rPr>
        <w:t>α</w:t>
      </w:r>
      <w:r>
        <w:rPr>
          <w:rFonts w:ascii="Times New Roman" w:eastAsia="Malgun Gothic" w:hAnsi="Times New Roman" w:cs="Times New Roman"/>
          <w:sz w:val="24"/>
          <w:szCs w:val="24"/>
        </w:rPr>
        <w:t>. However, the serologic response of patients with IBD treated with anti-TNF</w:t>
      </w:r>
      <w:r w:rsidRPr="001C7EA9">
        <w:rPr>
          <w:rFonts w:ascii="Times New Roman" w:eastAsia="Malgun Gothic" w:hAnsi="Times New Roman" w:cs="Times New Roman"/>
          <w:sz w:val="24"/>
          <w:szCs w:val="24"/>
        </w:rPr>
        <w:t>α</w:t>
      </w:r>
      <w:r>
        <w:rPr>
          <w:rFonts w:ascii="Times New Roman" w:eastAsia="Malgun Gothic" w:hAnsi="Times New Roman" w:cs="Times New Roman"/>
          <w:sz w:val="24"/>
          <w:szCs w:val="24"/>
        </w:rPr>
        <w:t xml:space="preserve"> was much lower than patients who were not treated with anti-TNF</w:t>
      </w:r>
      <w:r w:rsidRPr="001C7EA9">
        <w:rPr>
          <w:rFonts w:ascii="Times New Roman" w:eastAsia="Malgun Gothic" w:hAnsi="Times New Roman" w:cs="Times New Roman"/>
          <w:sz w:val="24"/>
          <w:szCs w:val="24"/>
        </w:rPr>
        <w:t>α</w:t>
      </w:r>
      <w:r w:rsidRPr="00DD4AC8">
        <w:rPr>
          <w:rFonts w:ascii="Times New Roman" w:eastAsia="Malgun Gothic" w:hAnsi="Times New Roman" w:cs="Times New Roman" w:hint="eastAsia"/>
          <w:sz w:val="24"/>
          <w:szCs w:val="24"/>
          <w:vertAlign w:val="superscript"/>
        </w:rPr>
        <w:t>28</w:t>
      </w:r>
      <w:r>
        <w:rPr>
          <w:rFonts w:ascii="Times New Roman" w:eastAsia="Malgun Gothic" w:hAnsi="Times New Roman" w:cs="Times New Roman"/>
          <w:sz w:val="24"/>
          <w:szCs w:val="24"/>
        </w:rPr>
        <w:t>. According to recent studies, it was shown that patients treated with anti-TNF</w:t>
      </w:r>
      <w:r w:rsidRPr="001C7EA9">
        <w:rPr>
          <w:rFonts w:ascii="Times New Roman" w:eastAsia="Malgun Gothic" w:hAnsi="Times New Roman" w:cs="Times New Roman"/>
          <w:sz w:val="24"/>
          <w:szCs w:val="24"/>
        </w:rPr>
        <w:t>α</w:t>
      </w:r>
      <w:r>
        <w:rPr>
          <w:rFonts w:ascii="Times New Roman" w:eastAsia="Malgun Gothic" w:hAnsi="Times New Roman" w:cs="Times New Roman"/>
          <w:sz w:val="24"/>
          <w:szCs w:val="24"/>
        </w:rPr>
        <w:t xml:space="preserve"> are less capable of producing antibodies</w:t>
      </w:r>
      <w:r w:rsidRPr="00DD4AC8">
        <w:rPr>
          <w:rFonts w:ascii="Times New Roman" w:eastAsia="Malgun Gothic" w:hAnsi="Times New Roman" w:cs="Times New Roman" w:hint="eastAsia"/>
          <w:sz w:val="24"/>
          <w:szCs w:val="24"/>
          <w:vertAlign w:val="superscript"/>
        </w:rPr>
        <w:t>42</w:t>
      </w:r>
      <w:r>
        <w:rPr>
          <w:rFonts w:ascii="Times New Roman" w:eastAsia="Malgun Gothic" w:hAnsi="Times New Roman" w:cs="Times New Roman"/>
          <w:sz w:val="24"/>
          <w:szCs w:val="24"/>
        </w:rPr>
        <w:t>. This is a point to consider when using anti-TNF</w:t>
      </w:r>
      <w:r w:rsidRPr="001C7EA9">
        <w:rPr>
          <w:rFonts w:ascii="Times New Roman" w:eastAsia="Malgun Gothic" w:hAnsi="Times New Roman" w:cs="Times New Roman"/>
          <w:sz w:val="24"/>
          <w:szCs w:val="24"/>
        </w:rPr>
        <w:t>α</w:t>
      </w:r>
      <w:r>
        <w:rPr>
          <w:rFonts w:ascii="Times New Roman" w:eastAsia="Malgun Gothic" w:hAnsi="Times New Roman" w:cs="Times New Roman"/>
          <w:sz w:val="24"/>
          <w:szCs w:val="24"/>
        </w:rPr>
        <w:t xml:space="preserve"> in other immune related diseases, and it will also be necessary to consider additional vaccinations for patients undergoing anti-TNF</w:t>
      </w:r>
      <w:r w:rsidRPr="001C7EA9">
        <w:rPr>
          <w:rFonts w:ascii="Times New Roman" w:eastAsia="Malgun Gothic" w:hAnsi="Times New Roman" w:cs="Times New Roman"/>
          <w:sz w:val="24"/>
          <w:szCs w:val="24"/>
        </w:rPr>
        <w:t>α</w:t>
      </w:r>
      <w:r>
        <w:rPr>
          <w:rFonts w:ascii="Times New Roman" w:eastAsia="Malgun Gothic" w:hAnsi="Times New Roman" w:cs="Times New Roman"/>
          <w:sz w:val="24"/>
          <w:szCs w:val="24"/>
        </w:rPr>
        <w:t xml:space="preserve"> treatment</w:t>
      </w:r>
      <w:r w:rsidRPr="00DD4AC8">
        <w:rPr>
          <w:rFonts w:ascii="Times New Roman" w:eastAsia="Malgun Gothic" w:hAnsi="Times New Roman" w:cs="Times New Roman" w:hint="eastAsia"/>
          <w:sz w:val="24"/>
          <w:szCs w:val="24"/>
          <w:vertAlign w:val="superscript"/>
        </w:rPr>
        <w:t>42</w:t>
      </w:r>
      <w:r>
        <w:rPr>
          <w:rFonts w:ascii="Times New Roman" w:eastAsia="Malgun Gothic" w:hAnsi="Times New Roman" w:cs="Times New Roman"/>
          <w:sz w:val="24"/>
          <w:szCs w:val="24"/>
        </w:rPr>
        <w:t xml:space="preserve">.  </w:t>
      </w:r>
    </w:p>
    <w:p w14:paraId="2BA826B9" w14:textId="77777777" w:rsidR="0049304B" w:rsidRDefault="0049304B" w:rsidP="0049304B">
      <w:pPr>
        <w:spacing w:line="480" w:lineRule="auto"/>
        <w:ind w:firstLineChars="50" w:firstLine="120"/>
        <w:rPr>
          <w:rFonts w:ascii="Times New Roman" w:hAnsi="Times New Roman" w:cs="Times New Roman"/>
          <w:sz w:val="24"/>
          <w:szCs w:val="24"/>
        </w:rPr>
      </w:pPr>
      <w:bookmarkStart w:id="10" w:name="_Hlk90563681"/>
      <w:bookmarkEnd w:id="9"/>
      <w:r>
        <w:rPr>
          <w:rFonts w:ascii="Times New Roman" w:hAnsi="Times New Roman" w:cs="Times New Roman"/>
          <w:sz w:val="24"/>
          <w:szCs w:val="24"/>
        </w:rPr>
        <w:t>Patients receiving hemodialysis showed slightly lower seropositivity compared to the seropositivity of the public. These patients usually have immune dysfunction, and the drugs they take can affect their immune response</w:t>
      </w:r>
      <w:r w:rsidRPr="00DD4AC8">
        <w:rPr>
          <w:rFonts w:ascii="Times New Roman" w:hAnsi="Times New Roman" w:cs="Times New Roman" w:hint="eastAsia"/>
          <w:sz w:val="24"/>
          <w:szCs w:val="24"/>
          <w:vertAlign w:val="superscript"/>
        </w:rPr>
        <w:t>43</w:t>
      </w:r>
      <w:r>
        <w:rPr>
          <w:rFonts w:ascii="Times New Roman" w:hAnsi="Times New Roman" w:cs="Times New Roman"/>
          <w:sz w:val="24"/>
          <w:szCs w:val="24"/>
        </w:rPr>
        <w:t>. Examples of immune dysfunction include loss function of antigen presenting cells and vulnerability of B-cells to programmed cell death</w:t>
      </w:r>
      <w:r w:rsidRPr="00DD4AC8">
        <w:rPr>
          <w:rFonts w:ascii="Times New Roman" w:hAnsi="Times New Roman" w:cs="Times New Roman" w:hint="eastAsia"/>
          <w:sz w:val="24"/>
          <w:szCs w:val="24"/>
          <w:vertAlign w:val="superscript"/>
        </w:rPr>
        <w:t>44</w:t>
      </w:r>
      <w:r>
        <w:rPr>
          <w:rFonts w:ascii="Times New Roman" w:hAnsi="Times New Roman" w:cs="Times New Roman"/>
          <w:sz w:val="24"/>
          <w:szCs w:val="24"/>
        </w:rPr>
        <w:t xml:space="preserve">. </w:t>
      </w:r>
      <w:r>
        <w:rPr>
          <w:rFonts w:ascii="Times New Roman" w:hAnsi="Times New Roman" w:cs="Times New Roman" w:hint="eastAsia"/>
          <w:sz w:val="24"/>
          <w:szCs w:val="24"/>
        </w:rPr>
        <w:t xml:space="preserve"> M</w:t>
      </w:r>
      <w:r>
        <w:rPr>
          <w:rFonts w:ascii="Times New Roman" w:hAnsi="Times New Roman" w:cs="Times New Roman"/>
          <w:sz w:val="24"/>
          <w:szCs w:val="24"/>
        </w:rPr>
        <w:t xml:space="preserve">eanwhile, the difference in efficacy between mRNA vaccine and inactivated vaccine could </w:t>
      </w:r>
      <w:r>
        <w:rPr>
          <w:rFonts w:ascii="Times New Roman" w:hAnsi="Times New Roman" w:cs="Times New Roman"/>
          <w:sz w:val="24"/>
          <w:szCs w:val="24"/>
        </w:rPr>
        <w:lastRenderedPageBreak/>
        <w:t>also be observed. When comparing the protective ability, mRNA vaccine was better. However, according to one study, when comparing whether there were side effects, inactivated vaccine showed fewer side effects. It may be due to a higher immune response through the mRNA vaccine</w:t>
      </w:r>
      <w:r w:rsidRPr="004E0530">
        <w:rPr>
          <w:rFonts w:ascii="Times New Roman" w:hAnsi="Times New Roman" w:cs="Times New Roman" w:hint="eastAsia"/>
          <w:sz w:val="24"/>
          <w:szCs w:val="24"/>
          <w:vertAlign w:val="superscript"/>
        </w:rPr>
        <w:t>22</w:t>
      </w:r>
      <w:r>
        <w:rPr>
          <w:rFonts w:ascii="Times New Roman" w:hAnsi="Times New Roman" w:cs="Times New Roman"/>
          <w:sz w:val="24"/>
          <w:szCs w:val="24"/>
        </w:rPr>
        <w:t xml:space="preserve">. </w:t>
      </w:r>
    </w:p>
    <w:p w14:paraId="6CE23EE0" w14:textId="6F0D2037" w:rsidR="0049304B" w:rsidRDefault="0049304B" w:rsidP="0049304B">
      <w:pPr>
        <w:spacing w:line="480" w:lineRule="auto"/>
        <w:ind w:firstLineChars="50" w:firstLine="120"/>
        <w:rPr>
          <w:rFonts w:ascii="Times New Roman" w:hAnsi="Times New Roman" w:cs="Times New Roman"/>
          <w:sz w:val="24"/>
          <w:szCs w:val="24"/>
        </w:rPr>
      </w:pPr>
      <w:bookmarkStart w:id="11" w:name="_Hlk90572646"/>
      <w:bookmarkEnd w:id="10"/>
      <w:r>
        <w:rPr>
          <w:rFonts w:ascii="Times New Roman" w:hAnsi="Times New Roman" w:cs="Times New Roman"/>
          <w:sz w:val="24"/>
          <w:szCs w:val="24"/>
        </w:rPr>
        <w:t>Research in patients receiving transplantation reported low seropositivity. Less than half of the lung transplant patients were seroconverted and only about half of heart transplant patients converted to seropositive. Seropositivity was also below the general level for kidney transplant patients. These results are likely due to the reduced host immunity of immunosuppressive patients required to produce a complete immune response after vaccination</w:t>
      </w:r>
      <w:r w:rsidRPr="00DD4AC8">
        <w:rPr>
          <w:rFonts w:ascii="Times New Roman" w:hAnsi="Times New Roman" w:cs="Times New Roman" w:hint="eastAsia"/>
          <w:sz w:val="24"/>
          <w:szCs w:val="24"/>
          <w:vertAlign w:val="superscript"/>
        </w:rPr>
        <w:t>45</w:t>
      </w:r>
      <w:r>
        <w:rPr>
          <w:rFonts w:ascii="Times New Roman" w:hAnsi="Times New Roman" w:cs="Times New Roman"/>
          <w:sz w:val="24"/>
          <w:szCs w:val="24"/>
        </w:rPr>
        <w:t>. In addition, immunosuppressive treatments mainly taken by transplant recipients to prevent transplant rejection may have lowered the vaccine efficacy</w:t>
      </w:r>
      <w:r w:rsidRPr="00DD4AC8">
        <w:rPr>
          <w:rFonts w:ascii="Times New Roman" w:hAnsi="Times New Roman" w:cs="Times New Roman" w:hint="eastAsia"/>
          <w:sz w:val="24"/>
          <w:szCs w:val="24"/>
          <w:vertAlign w:val="superscript"/>
        </w:rPr>
        <w:t>46</w:t>
      </w:r>
      <w:r>
        <w:rPr>
          <w:rFonts w:ascii="Times New Roman" w:hAnsi="Times New Roman" w:cs="Times New Roman"/>
          <w:sz w:val="24"/>
          <w:szCs w:val="24"/>
        </w:rPr>
        <w:t xml:space="preserve">. If there is no humoral response, increasing the amount of vaccine dose can be one method, but there is still the risk of rejection with vaccines. </w:t>
      </w:r>
    </w:p>
    <w:p w14:paraId="796BB389" w14:textId="05B89898" w:rsidR="00476C3D" w:rsidRPr="00915590" w:rsidRDefault="00B14C45" w:rsidP="0049304B">
      <w:pPr>
        <w:spacing w:line="480" w:lineRule="auto"/>
        <w:ind w:firstLineChars="50" w:firstLine="120"/>
        <w:rPr>
          <w:rFonts w:ascii="Times New Roman" w:hAnsi="Times New Roman" w:cs="Times New Roman"/>
          <w:sz w:val="24"/>
          <w:szCs w:val="24"/>
        </w:rPr>
      </w:pPr>
      <w:bookmarkStart w:id="12" w:name="_Hlk99313999"/>
      <w:r w:rsidRPr="00365473">
        <w:rPr>
          <w:rFonts w:ascii="Times New Roman" w:hAnsi="Times New Roman" w:cs="Times New Roman"/>
          <w:sz w:val="24"/>
          <w:szCs w:val="24"/>
          <w:lang w:val="en-GB"/>
        </w:rPr>
        <w:t>Since there were not many trial and study participants for each disease, it was difficult to perform subgroup analysis, and we think the lack of research on heterogeneity is the limitation of our study.</w:t>
      </w:r>
      <w:r>
        <w:rPr>
          <w:rFonts w:ascii="Times New Roman" w:hAnsi="Times New Roman" w:cs="Times New Roman"/>
          <w:i/>
          <w:iCs/>
          <w:sz w:val="24"/>
          <w:szCs w:val="24"/>
          <w:lang w:val="en-GB"/>
        </w:rPr>
        <w:t xml:space="preserve"> </w:t>
      </w:r>
      <w:r w:rsidR="00915590" w:rsidRPr="00365473">
        <w:rPr>
          <w:rFonts w:ascii="Times New Roman" w:hAnsi="Times New Roman" w:cs="Times New Roman"/>
          <w:sz w:val="24"/>
          <w:szCs w:val="24"/>
          <w:lang w:val="en-GB"/>
        </w:rPr>
        <w:t xml:space="preserve">In Supplement 9C and 9D, the heterogeneity was shown to be high, because patients who received anti-CD20 antibody treatment were included. This should be noted when understanding the average value for the summary effect. It is also necessary to refer to Figure 5 and 6 as it indicates whether patients received anti-CD20 antibody treatment or not. Similarly, in Supplement 9F, the heterogeneity was calculated by combining all transplant patients, and it seems necessary to understand individual data based on </w:t>
      </w:r>
      <w:r w:rsidR="00915590">
        <w:rPr>
          <w:rFonts w:ascii="Times New Roman" w:hAnsi="Times New Roman" w:cs="Times New Roman" w:hint="eastAsia"/>
          <w:sz w:val="24"/>
          <w:szCs w:val="24"/>
          <w:lang w:val="en-GB"/>
        </w:rPr>
        <w:t>F</w:t>
      </w:r>
      <w:r w:rsidR="00915590" w:rsidRPr="00365473">
        <w:rPr>
          <w:rFonts w:ascii="Times New Roman" w:hAnsi="Times New Roman" w:cs="Times New Roman"/>
          <w:sz w:val="24"/>
          <w:szCs w:val="24"/>
          <w:lang w:val="en-GB"/>
        </w:rPr>
        <w:t>igure 7.</w:t>
      </w:r>
      <w:bookmarkEnd w:id="12"/>
    </w:p>
    <w:bookmarkEnd w:id="11"/>
    <w:p w14:paraId="3E931601" w14:textId="03AD306F" w:rsidR="0049304B" w:rsidRDefault="0049304B" w:rsidP="0049304B">
      <w:pPr>
        <w:spacing w:line="480" w:lineRule="auto"/>
        <w:ind w:firstLineChars="100" w:firstLine="240"/>
        <w:rPr>
          <w:rFonts w:ascii="Times New Roman" w:hAnsi="Times New Roman" w:cs="Times New Roman"/>
          <w:sz w:val="24"/>
          <w:szCs w:val="24"/>
        </w:rPr>
      </w:pPr>
      <w:r>
        <w:rPr>
          <w:rFonts w:ascii="Times New Roman" w:hAnsi="Times New Roman" w:cs="Times New Roman"/>
          <w:sz w:val="24"/>
          <w:szCs w:val="24"/>
        </w:rPr>
        <w:t xml:space="preserve">Findings from the present study should be interpreted in light of its limitations. First, </w:t>
      </w:r>
      <w:r w:rsidR="002C1976">
        <w:rPr>
          <w:rFonts w:ascii="Times New Roman" w:hAnsi="Times New Roman" w:cs="Times New Roman"/>
          <w:color w:val="000000"/>
          <w:sz w:val="24"/>
          <w:szCs w:val="24"/>
          <w:shd w:val="clear" w:color="auto" w:fill="FFFFFF"/>
        </w:rPr>
        <w:t>a</w:t>
      </w:r>
      <w:r w:rsidR="002C1976" w:rsidRPr="00365473">
        <w:rPr>
          <w:rFonts w:ascii="Times New Roman" w:hAnsi="Times New Roman" w:cs="Times New Roman"/>
          <w:color w:val="000000"/>
          <w:sz w:val="24"/>
          <w:szCs w:val="24"/>
          <w:shd w:val="clear" w:color="auto" w:fill="FFFFFF"/>
        </w:rPr>
        <w:t xml:space="preserve"> small number of papers were included for some disease groups. There is a potential risk of bias because only one paper was included in </w:t>
      </w:r>
      <w:r w:rsidR="002C1976">
        <w:rPr>
          <w:rFonts w:ascii="Times New Roman" w:hAnsi="Times New Roman" w:cs="Times New Roman"/>
          <w:color w:val="000000"/>
          <w:sz w:val="24"/>
          <w:szCs w:val="24"/>
          <w:shd w:val="clear" w:color="auto" w:fill="FFFFFF"/>
        </w:rPr>
        <w:t>inflammatory bowel disease</w:t>
      </w:r>
      <w:r w:rsidR="002C1976" w:rsidRPr="00365473">
        <w:rPr>
          <w:rFonts w:ascii="Times New Roman" w:hAnsi="Times New Roman" w:cs="Times New Roman"/>
          <w:color w:val="000000"/>
          <w:sz w:val="24"/>
          <w:szCs w:val="24"/>
          <w:shd w:val="clear" w:color="auto" w:fill="FFFFFF"/>
        </w:rPr>
        <w:t xml:space="preserve">, and two papers were </w:t>
      </w:r>
      <w:r w:rsidR="002C1976" w:rsidRPr="00365473">
        <w:rPr>
          <w:rFonts w:ascii="Times New Roman" w:hAnsi="Times New Roman" w:cs="Times New Roman"/>
          <w:color w:val="000000"/>
          <w:sz w:val="24"/>
          <w:szCs w:val="24"/>
          <w:shd w:val="clear" w:color="auto" w:fill="FFFFFF"/>
        </w:rPr>
        <w:lastRenderedPageBreak/>
        <w:t xml:space="preserve">included in autoimmune </w:t>
      </w:r>
      <w:r w:rsidR="002C1976" w:rsidRPr="002C1976">
        <w:rPr>
          <w:rFonts w:ascii="Times New Roman" w:hAnsi="Times New Roman" w:cs="Times New Roman"/>
          <w:color w:val="000000"/>
          <w:sz w:val="24"/>
          <w:szCs w:val="24"/>
          <w:shd w:val="clear" w:color="auto" w:fill="FFFFFF"/>
        </w:rPr>
        <w:t>disease</w:t>
      </w:r>
      <w:r w:rsidR="002C1976" w:rsidRPr="00365473">
        <w:rPr>
          <w:rFonts w:ascii="Times New Roman" w:hAnsi="Times New Roman" w:cs="Times New Roman"/>
          <w:color w:val="000000"/>
          <w:sz w:val="24"/>
          <w:szCs w:val="24"/>
          <w:shd w:val="clear" w:color="auto" w:fill="FFFFFF"/>
        </w:rPr>
        <w:t xml:space="preserve"> and dialy</w:t>
      </w:r>
      <w:r w:rsidR="002C1976">
        <w:rPr>
          <w:rFonts w:ascii="Times New Roman" w:hAnsi="Times New Roman" w:cs="Times New Roman"/>
          <w:color w:val="000000"/>
          <w:sz w:val="24"/>
          <w:szCs w:val="24"/>
          <w:shd w:val="clear" w:color="auto" w:fill="FFFFFF"/>
        </w:rPr>
        <w:t>si</w:t>
      </w:r>
      <w:r w:rsidR="002C1976" w:rsidRPr="00365473">
        <w:rPr>
          <w:rFonts w:ascii="Times New Roman" w:hAnsi="Times New Roman" w:cs="Times New Roman"/>
          <w:color w:val="000000"/>
          <w:sz w:val="24"/>
          <w:szCs w:val="24"/>
          <w:shd w:val="clear" w:color="auto" w:fill="FFFFFF"/>
        </w:rPr>
        <w:t>s.</w:t>
      </w:r>
      <w:r w:rsidRPr="002C1976">
        <w:rPr>
          <w:rFonts w:ascii="Times New Roman" w:hAnsi="Times New Roman" w:cs="Times New Roman"/>
          <w:sz w:val="24"/>
          <w:szCs w:val="24"/>
        </w:rPr>
        <w:t xml:space="preserve"> </w:t>
      </w:r>
      <w:r>
        <w:rPr>
          <w:rFonts w:ascii="Times New Roman" w:hAnsi="Times New Roman" w:cs="Times New Roman"/>
          <w:sz w:val="24"/>
          <w:szCs w:val="24"/>
        </w:rPr>
        <w:t xml:space="preserve">Meta-analysis may be conducted if more seropositivity data on various patient groups are accumulated. In addition, some studies have a small number of participants, so it may not be possible to generalize results. </w:t>
      </w:r>
    </w:p>
    <w:p w14:paraId="2BBFFD4E" w14:textId="77777777" w:rsidR="0049304B" w:rsidRDefault="0049304B" w:rsidP="0049304B">
      <w:pPr>
        <w:spacing w:line="480" w:lineRule="auto"/>
        <w:ind w:firstLineChars="50" w:firstLine="120"/>
        <w:rPr>
          <w:rFonts w:ascii="Times New Roman" w:hAnsi="Times New Roman" w:cs="Times New Roman"/>
          <w:sz w:val="24"/>
          <w:szCs w:val="24"/>
        </w:rPr>
      </w:pPr>
      <w:r>
        <w:rPr>
          <w:rFonts w:ascii="Times New Roman" w:hAnsi="Times New Roman" w:cs="Times New Roman"/>
          <w:sz w:val="24"/>
          <w:szCs w:val="24"/>
        </w:rPr>
        <w:t xml:space="preserve">Moreover, it should be noted that the criteria for determining whether the patient is seropositive in each study was different. Although many studies have conducted studies based on antibody level, it is difficult to completely determine the immune effect of the COVID-19 vaccine with antibody level alone without further research on T-cell response. </w:t>
      </w:r>
    </w:p>
    <w:p w14:paraId="0EBCBEF0" w14:textId="2627CBCC" w:rsidR="001D506E" w:rsidRPr="004B4CFB" w:rsidRDefault="0049304B" w:rsidP="00365473">
      <w:pPr>
        <w:widowControl/>
        <w:wordWrap/>
        <w:autoSpaceDE/>
        <w:autoSpaceDN/>
        <w:spacing w:line="480" w:lineRule="auto"/>
        <w:rPr>
          <w:rFonts w:ascii="Times New Roman" w:hAnsi="Times New Roman" w:cs="Times New Roman"/>
          <w:b/>
          <w:bCs/>
          <w:sz w:val="24"/>
          <w:szCs w:val="24"/>
        </w:rPr>
      </w:pPr>
      <w:r>
        <w:rPr>
          <w:rFonts w:ascii="Times New Roman" w:hAnsi="Times New Roman" w:cs="Times New Roman"/>
          <w:sz w:val="24"/>
          <w:szCs w:val="24"/>
        </w:rPr>
        <w:t xml:space="preserve">Despite the above limitations, this study is the first comprehensive analysis to summarize the seropositivity of various patient groups. </w:t>
      </w:r>
      <w:bookmarkStart w:id="13" w:name="_Hlk90651680"/>
      <w:r>
        <w:rPr>
          <w:rFonts w:ascii="Times New Roman" w:hAnsi="Times New Roman" w:cs="Times New Roman"/>
          <w:sz w:val="24"/>
          <w:szCs w:val="24"/>
        </w:rPr>
        <w:t xml:space="preserve">The COVID-19 vaccine showed low efficacy when immunosuppressive treatment was performed for disease treatment such as hematological malignancy or when the immune function was deteriorated due to dialysis and transplantation. </w:t>
      </w:r>
      <w:r w:rsidRPr="001C7EA9">
        <w:rPr>
          <w:rFonts w:ascii="Times New Roman" w:hAnsi="Times New Roman" w:cs="Times New Roman" w:hint="eastAsia"/>
          <w:sz w:val="24"/>
          <w:szCs w:val="24"/>
        </w:rPr>
        <w:t>V</w:t>
      </w:r>
      <w:r w:rsidRPr="001C7EA9">
        <w:rPr>
          <w:rFonts w:ascii="Times New Roman" w:hAnsi="Times New Roman" w:cs="Times New Roman"/>
          <w:sz w:val="24"/>
          <w:szCs w:val="24"/>
        </w:rPr>
        <w:t>arious methods can be utilized to improve the vaccine efficacy of patients with reduced immunity. For example, patients can get the same vaccine booster dose or mix different types of vaccines</w:t>
      </w:r>
      <w:r w:rsidRPr="00DD4AC8">
        <w:rPr>
          <w:rFonts w:ascii="Times New Roman" w:hAnsi="Times New Roman" w:cs="Times New Roman" w:hint="eastAsia"/>
          <w:sz w:val="24"/>
          <w:szCs w:val="24"/>
          <w:vertAlign w:val="superscript"/>
        </w:rPr>
        <w:t>47-48</w:t>
      </w:r>
      <w:r w:rsidRPr="001C7EA9">
        <w:rPr>
          <w:rFonts w:ascii="Times New Roman" w:hAnsi="Times New Roman" w:cs="Times New Roman"/>
          <w:sz w:val="24"/>
          <w:szCs w:val="24"/>
        </w:rPr>
        <w:t xml:space="preserve">. </w:t>
      </w:r>
      <w:r>
        <w:rPr>
          <w:rFonts w:ascii="Times New Roman" w:hAnsi="Times New Roman" w:cs="Times New Roman"/>
          <w:sz w:val="24"/>
          <w:szCs w:val="24"/>
        </w:rPr>
        <w:t xml:space="preserve">More specific studies should be conducted for </w:t>
      </w:r>
      <w:r w:rsidRPr="004B4CFB">
        <w:rPr>
          <w:rFonts w:ascii="Times New Roman" w:hAnsi="Times New Roman" w:cs="Times New Roman"/>
          <w:sz w:val="24"/>
          <w:szCs w:val="24"/>
        </w:rPr>
        <w:t xml:space="preserve">each patient’s disease and treatment, and several methods should be devised to protect patients from COVID-19. </w:t>
      </w:r>
      <w:bookmarkEnd w:id="13"/>
      <w:r w:rsidR="004B4CFB" w:rsidRPr="00365473">
        <w:rPr>
          <w:rFonts w:ascii="Times New Roman" w:hAnsi="Times New Roman" w:cs="Times New Roman"/>
          <w:sz w:val="24"/>
          <w:szCs w:val="24"/>
        </w:rPr>
        <w:t>Also, there is a paper on how seropositivity rates differ in different groups of immunocompromised patients</w:t>
      </w:r>
      <w:r w:rsidR="004B4CFB" w:rsidRPr="00365473">
        <w:rPr>
          <w:rFonts w:ascii="Times New Roman" w:hAnsi="Times New Roman" w:cs="Times New Roman"/>
          <w:sz w:val="24"/>
          <w:szCs w:val="24"/>
          <w:vertAlign w:val="superscript"/>
        </w:rPr>
        <w:t>49</w:t>
      </w:r>
      <w:r w:rsidR="004B4CFB" w:rsidRPr="00365473">
        <w:rPr>
          <w:rFonts w:ascii="Times New Roman" w:hAnsi="Times New Roman" w:cs="Times New Roman"/>
          <w:sz w:val="24"/>
          <w:szCs w:val="24"/>
        </w:rPr>
        <w:t xml:space="preserve">, but more </w:t>
      </w:r>
      <w:r w:rsidR="004B4CFB">
        <w:rPr>
          <w:rFonts w:ascii="Times New Roman" w:hAnsi="Times New Roman" w:cs="Times New Roman"/>
          <w:sz w:val="24"/>
          <w:szCs w:val="24"/>
        </w:rPr>
        <w:t>studies</w:t>
      </w:r>
      <w:r w:rsidR="004B4CFB" w:rsidRPr="00365473">
        <w:rPr>
          <w:rFonts w:ascii="Times New Roman" w:hAnsi="Times New Roman" w:cs="Times New Roman"/>
          <w:sz w:val="24"/>
          <w:szCs w:val="24"/>
        </w:rPr>
        <w:t xml:space="preserve"> are needed to explain the reasons for this variation.</w:t>
      </w:r>
      <w:r w:rsidR="001D506E" w:rsidRPr="004B4CFB">
        <w:rPr>
          <w:rFonts w:ascii="Times New Roman" w:hAnsi="Times New Roman" w:cs="Times New Roman"/>
          <w:b/>
          <w:bCs/>
          <w:sz w:val="24"/>
          <w:szCs w:val="24"/>
        </w:rPr>
        <w:br w:type="page"/>
      </w:r>
    </w:p>
    <w:p w14:paraId="08528AAC" w14:textId="1B2453B7" w:rsidR="0049304B" w:rsidRPr="00DD4AC8" w:rsidRDefault="0049304B" w:rsidP="00D4555D">
      <w:pPr>
        <w:pStyle w:val="Heading1"/>
      </w:pPr>
      <w:r w:rsidRPr="00DD4AC8">
        <w:rPr>
          <w:rFonts w:hint="eastAsia"/>
        </w:rPr>
        <w:lastRenderedPageBreak/>
        <w:t>C</w:t>
      </w:r>
      <w:r w:rsidRPr="00DD4AC8">
        <w:t xml:space="preserve">onflict of interest </w:t>
      </w:r>
      <w:r w:rsidR="001D506E">
        <w:t xml:space="preserve">statement </w:t>
      </w:r>
    </w:p>
    <w:p w14:paraId="619EA21A" w14:textId="015385B4" w:rsidR="0049304B" w:rsidRDefault="0049304B" w:rsidP="0049304B">
      <w:pPr>
        <w:spacing w:after="0" w:line="480" w:lineRule="auto"/>
        <w:rPr>
          <w:rFonts w:ascii="Times New Roman" w:hAnsi="Times New Roman"/>
          <w:sz w:val="24"/>
          <w:szCs w:val="24"/>
        </w:rPr>
      </w:pPr>
      <w:r w:rsidRPr="00845CC9">
        <w:rPr>
          <w:rFonts w:ascii="Times New Roman" w:hAnsi="Times New Roman"/>
          <w:sz w:val="24"/>
          <w:szCs w:val="24"/>
        </w:rPr>
        <w:t>All authors state that they have no actual or potential conflict of interest including any financial, personal, or other relationships with other people or organization.</w:t>
      </w:r>
    </w:p>
    <w:p w14:paraId="61E3374A" w14:textId="64740C4F" w:rsidR="001D506E" w:rsidRPr="001D506E" w:rsidRDefault="001D506E" w:rsidP="00D4555D">
      <w:pPr>
        <w:pStyle w:val="Heading1"/>
      </w:pPr>
      <w:r w:rsidRPr="001D506E">
        <w:rPr>
          <w:rFonts w:hint="eastAsia"/>
        </w:rPr>
        <w:t>A</w:t>
      </w:r>
      <w:r w:rsidRPr="001D506E">
        <w:t>uthor contribution statement</w:t>
      </w:r>
    </w:p>
    <w:p w14:paraId="18BC6336" w14:textId="330B4B16" w:rsidR="004A22E0" w:rsidRDefault="001D506E" w:rsidP="001D506E">
      <w:pPr>
        <w:spacing w:after="200" w:line="480" w:lineRule="auto"/>
        <w:rPr>
          <w:rFonts w:ascii="Times New Roman" w:eastAsia="Malgun Gothic" w:hAnsi="Times New Roman" w:cs="Times New Roman"/>
          <w:sz w:val="24"/>
          <w:szCs w:val="24"/>
        </w:rPr>
      </w:pPr>
      <w:r>
        <w:rPr>
          <w:rFonts w:ascii="Times New Roman" w:eastAsia="Malgun Gothic" w:hAnsi="Times New Roman" w:cs="Times New Roman"/>
          <w:sz w:val="24"/>
          <w:szCs w:val="24"/>
        </w:rPr>
        <w:t>K</w:t>
      </w:r>
      <w:r w:rsidR="004A22E0">
        <w:rPr>
          <w:rFonts w:ascii="Times New Roman" w:eastAsia="Malgun Gothic" w:hAnsi="Times New Roman" w:cs="Times New Roman"/>
          <w:sz w:val="24"/>
          <w:szCs w:val="24"/>
        </w:rPr>
        <w:t>C</w:t>
      </w:r>
      <w:r>
        <w:rPr>
          <w:rFonts w:ascii="Times New Roman" w:eastAsia="Malgun Gothic" w:hAnsi="Times New Roman" w:cs="Times New Roman"/>
          <w:sz w:val="24"/>
          <w:szCs w:val="24"/>
        </w:rPr>
        <w:t xml:space="preserve"> and S</w:t>
      </w:r>
      <w:r w:rsidR="004A22E0">
        <w:rPr>
          <w:rFonts w:ascii="Times New Roman" w:eastAsia="Malgun Gothic" w:hAnsi="Times New Roman" w:cs="Times New Roman"/>
          <w:sz w:val="24"/>
          <w:szCs w:val="24"/>
        </w:rPr>
        <w:t>P</w:t>
      </w:r>
      <w:r>
        <w:rPr>
          <w:rFonts w:ascii="Times New Roman" w:eastAsia="Malgun Gothic" w:hAnsi="Times New Roman" w:cs="Times New Roman"/>
          <w:sz w:val="24"/>
          <w:szCs w:val="24"/>
        </w:rPr>
        <w:t xml:space="preserve"> had full access to </w:t>
      </w:r>
      <w:r w:rsidR="004A22E0">
        <w:rPr>
          <w:rFonts w:ascii="Times New Roman" w:eastAsia="Malgun Gothic" w:hAnsi="Times New Roman" w:cs="Times New Roman"/>
          <w:sz w:val="24"/>
          <w:szCs w:val="24"/>
        </w:rPr>
        <w:t>all</w:t>
      </w:r>
      <w:r>
        <w:rPr>
          <w:rFonts w:ascii="Times New Roman" w:eastAsia="Malgun Gothic" w:hAnsi="Times New Roman" w:cs="Times New Roman"/>
          <w:sz w:val="24"/>
          <w:szCs w:val="24"/>
        </w:rPr>
        <w:t xml:space="preserve"> the data in the study and take responsibility for </w:t>
      </w:r>
      <w:r w:rsidR="004A22E0">
        <w:rPr>
          <w:rFonts w:ascii="Times New Roman" w:eastAsia="Malgun Gothic" w:hAnsi="Times New Roman" w:cs="Times New Roman"/>
          <w:sz w:val="24"/>
          <w:szCs w:val="24"/>
        </w:rPr>
        <w:t xml:space="preserve">the data analysis. All authors approved the protocol, </w:t>
      </w:r>
      <w:r w:rsidR="0011400E">
        <w:rPr>
          <w:rFonts w:ascii="Times New Roman" w:eastAsia="Malgun Gothic" w:hAnsi="Times New Roman" w:cs="Times New Roman"/>
          <w:sz w:val="24"/>
          <w:szCs w:val="24"/>
        </w:rPr>
        <w:t>drafted,</w:t>
      </w:r>
      <w:r w:rsidR="004A22E0">
        <w:rPr>
          <w:rFonts w:ascii="Times New Roman" w:eastAsia="Malgun Gothic" w:hAnsi="Times New Roman" w:cs="Times New Roman"/>
          <w:sz w:val="24"/>
          <w:szCs w:val="24"/>
        </w:rPr>
        <w:t xml:space="preserve"> and revised the article for intellectual content, and approved the final version. </w:t>
      </w:r>
    </w:p>
    <w:p w14:paraId="26ADC927" w14:textId="1082BA4C" w:rsidR="001D506E" w:rsidRPr="001D506E" w:rsidRDefault="001D506E" w:rsidP="00D4555D">
      <w:pPr>
        <w:pStyle w:val="Heading1"/>
      </w:pPr>
      <w:r w:rsidRPr="001D506E">
        <w:rPr>
          <w:rFonts w:hint="eastAsia"/>
        </w:rPr>
        <w:t>D</w:t>
      </w:r>
      <w:r w:rsidRPr="001D506E">
        <w:t xml:space="preserve">ata availability statement </w:t>
      </w:r>
    </w:p>
    <w:p w14:paraId="0231A2CC" w14:textId="2179CAF1" w:rsidR="001D506E" w:rsidRPr="001D506E" w:rsidRDefault="001D506E" w:rsidP="001D506E">
      <w:pPr>
        <w:spacing w:line="480" w:lineRule="auto"/>
        <w:jc w:val="left"/>
        <w:rPr>
          <w:rFonts w:ascii="Times New Roman" w:hAnsi="Times New Roman"/>
          <w:sz w:val="24"/>
          <w:szCs w:val="24"/>
        </w:rPr>
      </w:pPr>
      <w:r w:rsidRPr="001D506E">
        <w:rPr>
          <w:rFonts w:ascii="Times New Roman" w:hAnsi="Times New Roman" w:cs="Times New Roman"/>
          <w:sz w:val="24"/>
          <w:szCs w:val="24"/>
          <w:lang w:val="en-GB"/>
        </w:rPr>
        <w:t>All data generated during this study are fully available in published cited literature and included in this article and its supplementary information files. The data are also available from the corresponding author upon request.</w:t>
      </w:r>
    </w:p>
    <w:p w14:paraId="50D4A4B1" w14:textId="77777777" w:rsidR="0036534E" w:rsidRPr="00DD4AC8" w:rsidRDefault="0036534E" w:rsidP="00D4555D">
      <w:pPr>
        <w:pStyle w:val="Heading1"/>
      </w:pPr>
      <w:r w:rsidRPr="00DD4AC8">
        <w:rPr>
          <w:rFonts w:hint="eastAsia"/>
        </w:rPr>
        <w:t>F</w:t>
      </w:r>
      <w:r w:rsidRPr="00DD4AC8">
        <w:t>unding statement</w:t>
      </w:r>
    </w:p>
    <w:p w14:paraId="08BEEEC0" w14:textId="77777777" w:rsidR="0036534E" w:rsidRDefault="0036534E" w:rsidP="0036534E">
      <w:pPr>
        <w:spacing w:line="480" w:lineRule="auto"/>
        <w:jc w:val="left"/>
        <w:rPr>
          <w:rFonts w:ascii="Times New Roman" w:hAnsi="Times New Roman"/>
          <w:sz w:val="24"/>
          <w:szCs w:val="24"/>
        </w:rPr>
      </w:pPr>
      <w:r w:rsidRPr="00845CC9">
        <w:rPr>
          <w:rFonts w:ascii="Times New Roman" w:hAnsi="Times New Roman"/>
          <w:sz w:val="24"/>
          <w:szCs w:val="24"/>
        </w:rPr>
        <w:t>None provided financial support for the conduct of the research and/or preparation of the article.</w:t>
      </w:r>
      <w:r>
        <w:rPr>
          <w:rFonts w:ascii="Times New Roman" w:hAnsi="Times New Roman"/>
          <w:sz w:val="24"/>
          <w:szCs w:val="24"/>
        </w:rPr>
        <w:t xml:space="preserve"> </w:t>
      </w:r>
    </w:p>
    <w:p w14:paraId="1EF6CE56" w14:textId="77777777" w:rsidR="001D506E" w:rsidRPr="001D506E" w:rsidRDefault="001D506E" w:rsidP="001D506E">
      <w:pPr>
        <w:spacing w:line="480" w:lineRule="auto"/>
        <w:jc w:val="left"/>
        <w:rPr>
          <w:rFonts w:ascii="Times New Roman" w:hAnsi="Times New Roman"/>
          <w:color w:val="0000FF"/>
          <w:sz w:val="24"/>
          <w:szCs w:val="24"/>
          <w:u w:val="single"/>
        </w:rPr>
      </w:pPr>
    </w:p>
    <w:p w14:paraId="7C3CFD0A" w14:textId="77777777" w:rsidR="001D506E" w:rsidRPr="001D506E" w:rsidRDefault="001D506E" w:rsidP="0049304B">
      <w:pPr>
        <w:spacing w:after="0" w:line="480" w:lineRule="auto"/>
        <w:rPr>
          <w:rFonts w:ascii="Times New Roman" w:hAnsi="Times New Roman"/>
          <w:sz w:val="24"/>
          <w:szCs w:val="24"/>
        </w:rPr>
      </w:pPr>
    </w:p>
    <w:p w14:paraId="1DBDB370" w14:textId="77777777" w:rsidR="0049304B" w:rsidRDefault="0049304B" w:rsidP="0049304B">
      <w:pPr>
        <w:widowControl/>
        <w:wordWrap/>
        <w:autoSpaceDE/>
        <w:autoSpaceDN/>
        <w:rPr>
          <w:rFonts w:ascii="Times New Roman" w:hAnsi="Times New Roman"/>
          <w:sz w:val="24"/>
          <w:szCs w:val="24"/>
        </w:rPr>
      </w:pPr>
      <w:r>
        <w:rPr>
          <w:rFonts w:ascii="Times New Roman" w:hAnsi="Times New Roman"/>
          <w:sz w:val="24"/>
          <w:szCs w:val="24"/>
        </w:rPr>
        <w:br w:type="page"/>
      </w:r>
    </w:p>
    <w:p w14:paraId="11998A0F" w14:textId="77777777" w:rsidR="0049304B" w:rsidRPr="00DD4AC8" w:rsidRDefault="0049304B" w:rsidP="00D4555D">
      <w:pPr>
        <w:pStyle w:val="Heading1"/>
      </w:pPr>
      <w:r w:rsidRPr="00DD4AC8">
        <w:lastRenderedPageBreak/>
        <w:t>References</w:t>
      </w:r>
    </w:p>
    <w:p w14:paraId="4A522808"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sz w:val="24"/>
          <w:szCs w:val="24"/>
        </w:rPr>
        <w:t xml:space="preserve">[1] </w:t>
      </w:r>
      <w:r w:rsidRPr="00DD4AC8">
        <w:rPr>
          <w:rFonts w:ascii="Times New Roman" w:hAnsi="Times New Roman" w:cs="Times New Roman"/>
          <w:kern w:val="0"/>
          <w:sz w:val="24"/>
          <w:szCs w:val="24"/>
        </w:rPr>
        <w:t>Hu B, Guo H, Zhou P, Shi ZL. Characteristics of SARS-CoV-2 and COVID-19. Nat Rev Microbiol. 2021;19(3):141-54.</w:t>
      </w:r>
    </w:p>
    <w:p w14:paraId="4CD698CA"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sz w:val="24"/>
          <w:szCs w:val="24"/>
        </w:rPr>
        <w:t xml:space="preserve">[2] </w:t>
      </w:r>
      <w:r w:rsidRPr="00DD4AC8">
        <w:rPr>
          <w:rFonts w:ascii="Times New Roman" w:hAnsi="Times New Roman" w:cs="Times New Roman"/>
          <w:kern w:val="0"/>
          <w:sz w:val="24"/>
          <w:szCs w:val="24"/>
        </w:rPr>
        <w:t>Huang D, Lian X, Song F, Ma H, Lian Z, Liang Y, et al. Clinical features of severe patients infected with 2019 novel coronavirus: a systematic review and meta-analysis. Ann Transl Med. 2020;8(9):576.</w:t>
      </w:r>
    </w:p>
    <w:p w14:paraId="5FB06E13" w14:textId="3B1ADBEC" w:rsidR="0049304B" w:rsidRPr="00DD4AC8" w:rsidRDefault="0049304B" w:rsidP="0049304B">
      <w:pPr>
        <w:spacing w:after="0" w:line="480" w:lineRule="auto"/>
        <w:rPr>
          <w:rFonts w:ascii="Times New Roman" w:hAnsi="Times New Roman" w:cs="Times New Roman"/>
          <w:sz w:val="24"/>
          <w:szCs w:val="24"/>
        </w:rPr>
      </w:pPr>
      <w:r w:rsidRPr="00DD4AC8">
        <w:rPr>
          <w:rFonts w:ascii="Times New Roman" w:hAnsi="Times New Roman" w:cs="Times New Roman"/>
          <w:sz w:val="24"/>
          <w:szCs w:val="24"/>
        </w:rPr>
        <w:t xml:space="preserve">[3] World Health Organization. Weekly epidemiological update on COVID-19 – </w:t>
      </w:r>
      <w:r w:rsidR="00840735">
        <w:rPr>
          <w:rFonts w:ascii="Times New Roman" w:hAnsi="Times New Roman" w:cs="Times New Roman"/>
          <w:sz w:val="24"/>
          <w:szCs w:val="24"/>
        </w:rPr>
        <w:t>11</w:t>
      </w:r>
      <w:r w:rsidRPr="00DD4AC8">
        <w:rPr>
          <w:rFonts w:ascii="Times New Roman" w:hAnsi="Times New Roman" w:cs="Times New Roman"/>
          <w:sz w:val="24"/>
          <w:szCs w:val="24"/>
        </w:rPr>
        <w:t xml:space="preserve"> </w:t>
      </w:r>
      <w:r w:rsidR="00840735">
        <w:rPr>
          <w:rFonts w:ascii="Times New Roman" w:hAnsi="Times New Roman" w:cs="Times New Roman"/>
          <w:sz w:val="24"/>
          <w:szCs w:val="24"/>
        </w:rPr>
        <w:t>January</w:t>
      </w:r>
      <w:r w:rsidRPr="00DD4AC8">
        <w:rPr>
          <w:rFonts w:ascii="Times New Roman" w:hAnsi="Times New Roman" w:cs="Times New Roman"/>
          <w:sz w:val="24"/>
          <w:szCs w:val="24"/>
        </w:rPr>
        <w:t xml:space="preserve"> 2</w:t>
      </w:r>
      <w:r w:rsidR="00840735">
        <w:rPr>
          <w:rFonts w:ascii="Times New Roman" w:hAnsi="Times New Roman" w:cs="Times New Roman"/>
          <w:sz w:val="24"/>
          <w:szCs w:val="24"/>
        </w:rPr>
        <w:t>2</w:t>
      </w:r>
      <w:r w:rsidRPr="00DD4AC8">
        <w:rPr>
          <w:rFonts w:ascii="Times New Roman" w:hAnsi="Times New Roman" w:cs="Times New Roman"/>
          <w:sz w:val="24"/>
          <w:szCs w:val="24"/>
        </w:rPr>
        <w:t>. COVID-19 Weekly Epidemiological Update. 2021;67(1):1.</w:t>
      </w:r>
    </w:p>
    <w:p w14:paraId="0E7BAFF0"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sz w:val="24"/>
          <w:szCs w:val="24"/>
        </w:rPr>
        <w:t xml:space="preserve">[4] </w:t>
      </w:r>
      <w:r w:rsidRPr="00DD4AC8">
        <w:rPr>
          <w:rFonts w:ascii="Times New Roman" w:hAnsi="Times New Roman" w:cs="Times New Roman"/>
          <w:kern w:val="0"/>
          <w:sz w:val="24"/>
          <w:szCs w:val="24"/>
        </w:rPr>
        <w:t>Ita K. Coronavirus Disease (COVID-19): Current Status and Prospects for Drug and Vaccine Development. Arch Med Res. 2021;52(1):15-24.</w:t>
      </w:r>
    </w:p>
    <w:p w14:paraId="3A194648"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sz w:val="24"/>
          <w:szCs w:val="24"/>
        </w:rPr>
        <w:t>[5]</w:t>
      </w:r>
      <w:r w:rsidRPr="00DD4AC8">
        <w:rPr>
          <w:rFonts w:ascii="Times New Roman" w:hAnsi="Times New Roman" w:cs="Times New Roman"/>
          <w:kern w:val="0"/>
          <w:sz w:val="24"/>
          <w:szCs w:val="24"/>
        </w:rPr>
        <w:t xml:space="preserve"> Soleimanpour S, Yaghoubi A. COVID-19 vaccine: where are we now and where should we go? Expert Rev Vaccines. 2021;20(1):23-44.</w:t>
      </w:r>
    </w:p>
    <w:p w14:paraId="76AA058E" w14:textId="353F15F3" w:rsidR="0049304B" w:rsidRPr="00FA09AB" w:rsidRDefault="0049304B" w:rsidP="0049304B">
      <w:pPr>
        <w:spacing w:after="0" w:line="480" w:lineRule="auto"/>
        <w:jc w:val="left"/>
        <w:rPr>
          <w:rFonts w:ascii="Times New Roman" w:hAnsi="Times New Roman" w:cs="Times New Roman"/>
          <w:sz w:val="24"/>
          <w:szCs w:val="24"/>
        </w:rPr>
      </w:pPr>
      <w:r w:rsidRPr="00DD4AC8">
        <w:rPr>
          <w:rFonts w:ascii="Times New Roman" w:hAnsi="Times New Roman" w:cs="Times New Roman"/>
          <w:sz w:val="24"/>
          <w:szCs w:val="24"/>
        </w:rPr>
        <w:t xml:space="preserve">[6] WHO – COVID19 Vaccine Tracker [Internet]. c2021. </w:t>
      </w:r>
      <w:r w:rsidR="006B1877">
        <w:rPr>
          <w:rFonts w:ascii="Times New Roman" w:hAnsi="Times New Roman" w:cs="Times New Roman"/>
          <w:sz w:val="24"/>
          <w:szCs w:val="24"/>
        </w:rPr>
        <w:t>10</w:t>
      </w:r>
      <w:r w:rsidRPr="00DD4AC8">
        <w:rPr>
          <w:rFonts w:ascii="Times New Roman" w:hAnsi="Times New Roman" w:cs="Times New Roman"/>
          <w:sz w:val="24"/>
          <w:szCs w:val="24"/>
        </w:rPr>
        <w:t xml:space="preserve"> Vaccines </w:t>
      </w:r>
      <w:r w:rsidR="006B1877">
        <w:rPr>
          <w:rFonts w:ascii="Times New Roman" w:hAnsi="Times New Roman" w:cs="Times New Roman"/>
          <w:sz w:val="24"/>
          <w:szCs w:val="24"/>
        </w:rPr>
        <w:t>Granted Emergency Use Listing (EUL)</w:t>
      </w:r>
      <w:r w:rsidRPr="00DD4AC8">
        <w:rPr>
          <w:rFonts w:ascii="Times New Roman" w:hAnsi="Times New Roman" w:cs="Times New Roman"/>
          <w:sz w:val="24"/>
          <w:szCs w:val="24"/>
        </w:rPr>
        <w:t xml:space="preserve"> by </w:t>
      </w:r>
      <w:r w:rsidRPr="00FA09AB">
        <w:rPr>
          <w:rFonts w:ascii="Times New Roman" w:hAnsi="Times New Roman" w:cs="Times New Roman"/>
          <w:sz w:val="24"/>
          <w:szCs w:val="24"/>
        </w:rPr>
        <w:t>WHO; 202</w:t>
      </w:r>
      <w:r w:rsidR="006B1877">
        <w:rPr>
          <w:rFonts w:ascii="Times New Roman" w:hAnsi="Times New Roman" w:cs="Times New Roman"/>
          <w:sz w:val="24"/>
          <w:szCs w:val="24"/>
        </w:rPr>
        <w:t>2</w:t>
      </w:r>
      <w:r w:rsidRPr="00FA09AB">
        <w:rPr>
          <w:rFonts w:ascii="Times New Roman" w:hAnsi="Times New Roman" w:cs="Times New Roman"/>
          <w:sz w:val="24"/>
          <w:szCs w:val="24"/>
        </w:rPr>
        <w:t xml:space="preserve"> </w:t>
      </w:r>
      <w:r w:rsidR="006B1877">
        <w:rPr>
          <w:rFonts w:ascii="Times New Roman" w:hAnsi="Times New Roman" w:cs="Times New Roman"/>
          <w:sz w:val="24"/>
          <w:szCs w:val="24"/>
        </w:rPr>
        <w:t>Feb</w:t>
      </w:r>
      <w:r w:rsidR="006B1877" w:rsidRPr="00FA09AB">
        <w:rPr>
          <w:rFonts w:ascii="Times New Roman" w:hAnsi="Times New Roman" w:cs="Times New Roman"/>
          <w:sz w:val="24"/>
          <w:szCs w:val="24"/>
        </w:rPr>
        <w:t xml:space="preserve"> </w:t>
      </w:r>
      <w:r w:rsidR="006B1877">
        <w:rPr>
          <w:rFonts w:ascii="Times New Roman" w:hAnsi="Times New Roman" w:cs="Times New Roman"/>
          <w:sz w:val="24"/>
          <w:szCs w:val="24"/>
        </w:rPr>
        <w:t>24</w:t>
      </w:r>
      <w:r w:rsidRPr="00FA09AB">
        <w:rPr>
          <w:rFonts w:ascii="Times New Roman" w:hAnsi="Times New Roman" w:cs="Times New Roman"/>
          <w:sz w:val="24"/>
          <w:szCs w:val="24"/>
        </w:rPr>
        <w:t xml:space="preserve"> [cited 202</w:t>
      </w:r>
      <w:r w:rsidR="006B1877">
        <w:rPr>
          <w:rFonts w:ascii="Times New Roman" w:hAnsi="Times New Roman" w:cs="Times New Roman"/>
          <w:sz w:val="24"/>
          <w:szCs w:val="24"/>
        </w:rPr>
        <w:t>2</w:t>
      </w:r>
      <w:r w:rsidRPr="00FA09AB">
        <w:rPr>
          <w:rFonts w:ascii="Times New Roman" w:hAnsi="Times New Roman" w:cs="Times New Roman"/>
          <w:sz w:val="24"/>
          <w:szCs w:val="24"/>
        </w:rPr>
        <w:t xml:space="preserve"> </w:t>
      </w:r>
      <w:r w:rsidR="006B1877">
        <w:rPr>
          <w:rFonts w:ascii="Times New Roman" w:hAnsi="Times New Roman" w:cs="Times New Roman"/>
          <w:sz w:val="24"/>
          <w:szCs w:val="24"/>
        </w:rPr>
        <w:t>Feb</w:t>
      </w:r>
      <w:r w:rsidR="006B1877" w:rsidRPr="00FA09AB">
        <w:rPr>
          <w:rFonts w:ascii="Times New Roman" w:hAnsi="Times New Roman" w:cs="Times New Roman"/>
          <w:sz w:val="24"/>
          <w:szCs w:val="24"/>
        </w:rPr>
        <w:t xml:space="preserve"> </w:t>
      </w:r>
      <w:r w:rsidR="006B1877">
        <w:rPr>
          <w:rFonts w:ascii="Times New Roman" w:hAnsi="Times New Roman" w:cs="Times New Roman"/>
          <w:sz w:val="24"/>
          <w:szCs w:val="24"/>
        </w:rPr>
        <w:t>24</w:t>
      </w:r>
      <w:r w:rsidRPr="00FA09AB">
        <w:rPr>
          <w:rFonts w:ascii="Times New Roman" w:hAnsi="Times New Roman" w:cs="Times New Roman"/>
          <w:sz w:val="24"/>
          <w:szCs w:val="24"/>
        </w:rPr>
        <w:t xml:space="preserve">]. Available from: </w:t>
      </w:r>
      <w:hyperlink r:id="rId8" w:history="1">
        <w:r w:rsidRPr="00FA09AB">
          <w:rPr>
            <w:rStyle w:val="Hyperlink"/>
            <w:rFonts w:ascii="Times New Roman" w:hAnsi="Times New Roman" w:cs="Times New Roman"/>
            <w:sz w:val="24"/>
            <w:szCs w:val="24"/>
          </w:rPr>
          <w:t>https://covid19.trackvaccines.org/agency/who/</w:t>
        </w:r>
      </w:hyperlink>
    </w:p>
    <w:p w14:paraId="73A40AC6" w14:textId="77777777" w:rsidR="0049304B" w:rsidRPr="00FA09AB" w:rsidRDefault="0049304B" w:rsidP="0049304B">
      <w:pPr>
        <w:spacing w:after="0" w:line="480" w:lineRule="auto"/>
        <w:jc w:val="left"/>
        <w:rPr>
          <w:rFonts w:ascii="Times New Roman" w:hAnsi="Times New Roman" w:cs="Times New Roman"/>
          <w:sz w:val="24"/>
          <w:szCs w:val="24"/>
        </w:rPr>
      </w:pPr>
      <w:r w:rsidRPr="00FA09AB">
        <w:rPr>
          <w:rFonts w:ascii="Times New Roman" w:hAnsi="Times New Roman" w:cs="Times New Roman"/>
          <w:sz w:val="24"/>
          <w:szCs w:val="24"/>
        </w:rPr>
        <w:t xml:space="preserve">[7] WHO – COVID19 Vaccine Tracker [Internet]. c2021. Types of Vaccines; 2021 Aug 1 [cited 2021 Dec 5]. Available from: </w:t>
      </w:r>
      <w:hyperlink r:id="rId9" w:history="1">
        <w:r w:rsidRPr="00FA09AB">
          <w:rPr>
            <w:rStyle w:val="Hyperlink"/>
            <w:rFonts w:ascii="Times New Roman" w:hAnsi="Times New Roman" w:cs="Times New Roman"/>
            <w:sz w:val="24"/>
            <w:szCs w:val="24"/>
          </w:rPr>
          <w:t>https://covid19.trackvaccines.org/agency/who/</w:t>
        </w:r>
      </w:hyperlink>
    </w:p>
    <w:p w14:paraId="773E473C" w14:textId="77777777" w:rsidR="0049304B" w:rsidRPr="00DD4AC8" w:rsidRDefault="0049304B" w:rsidP="0049304B">
      <w:pPr>
        <w:spacing w:after="0" w:line="480" w:lineRule="auto"/>
        <w:rPr>
          <w:rFonts w:ascii="Times New Roman" w:hAnsi="Times New Roman" w:cs="Times New Roman"/>
          <w:sz w:val="24"/>
          <w:szCs w:val="24"/>
        </w:rPr>
      </w:pPr>
      <w:r w:rsidRPr="00DD4AC8">
        <w:rPr>
          <w:rFonts w:ascii="Times New Roman" w:hAnsi="Times New Roman" w:cs="Times New Roman"/>
          <w:sz w:val="24"/>
          <w:szCs w:val="24"/>
        </w:rPr>
        <w:t>[8] Ritchie H, Mathieu E, Rodes-Guirao L, et al. Coronavirus Pandemic (COVID-19); [cited 2021 Dec 5]. Available from</w:t>
      </w:r>
      <w:r>
        <w:rPr>
          <w:rFonts w:ascii="Times New Roman" w:hAnsi="Times New Roman" w:cs="Times New Roman" w:hint="eastAsia"/>
          <w:sz w:val="24"/>
          <w:szCs w:val="24"/>
        </w:rPr>
        <w:t>:</w:t>
      </w:r>
      <w:r w:rsidRPr="00DD4AC8">
        <w:rPr>
          <w:rFonts w:ascii="Times New Roman" w:hAnsi="Times New Roman" w:cs="Times New Roman"/>
          <w:sz w:val="24"/>
          <w:szCs w:val="24"/>
        </w:rPr>
        <w:t xml:space="preserve"> https://ourworldindata.org/coronavirus</w:t>
      </w:r>
    </w:p>
    <w:p w14:paraId="2B3FCBFF" w14:textId="77777777" w:rsidR="0049304B" w:rsidRPr="00DD4AC8" w:rsidRDefault="0049304B" w:rsidP="0049304B">
      <w:pPr>
        <w:spacing w:after="0" w:line="480" w:lineRule="auto"/>
        <w:rPr>
          <w:rFonts w:ascii="Times New Roman" w:hAnsi="Times New Roman" w:cs="Times New Roman"/>
          <w:sz w:val="24"/>
          <w:szCs w:val="24"/>
        </w:rPr>
      </w:pPr>
      <w:r w:rsidRPr="00DD4AC8">
        <w:rPr>
          <w:rFonts w:ascii="Times New Roman" w:hAnsi="Times New Roman" w:cs="Times New Roman"/>
          <w:sz w:val="24"/>
          <w:szCs w:val="24"/>
        </w:rPr>
        <w:t xml:space="preserve">[9] </w:t>
      </w:r>
      <w:r w:rsidRPr="00DD4AC8">
        <w:rPr>
          <w:rFonts w:ascii="Times New Roman" w:hAnsi="Times New Roman" w:cs="Times New Roman"/>
          <w:kern w:val="0"/>
          <w:sz w:val="24"/>
          <w:szCs w:val="24"/>
        </w:rPr>
        <w:t>Knoll MD, Wonodi C. Oxford-AstraZeneca COVID-19 vaccine efficacy. Lancet. 2021;397(10269):72-4.</w:t>
      </w:r>
    </w:p>
    <w:p w14:paraId="4981D193"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sz w:val="24"/>
          <w:szCs w:val="24"/>
        </w:rPr>
        <w:t xml:space="preserve">[10] </w:t>
      </w:r>
      <w:r w:rsidRPr="00DD4AC8">
        <w:rPr>
          <w:rFonts w:ascii="Times New Roman" w:hAnsi="Times New Roman" w:cs="Times New Roman"/>
          <w:kern w:val="0"/>
          <w:sz w:val="24"/>
          <w:szCs w:val="24"/>
        </w:rPr>
        <w:t>Polack FP, Thomas SJ, Kitchin N, Absalon J, Gurtman A, Lockhart S, et al. Safety and Efficacy of the BNT162b2 mRNA Covid-19 Vaccine. N Engl J Med. 2020;383(27):2603-15.</w:t>
      </w:r>
    </w:p>
    <w:p w14:paraId="1451C960"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sz w:val="24"/>
          <w:szCs w:val="24"/>
        </w:rPr>
        <w:t xml:space="preserve">[11] </w:t>
      </w:r>
      <w:r w:rsidRPr="00DD4AC8">
        <w:rPr>
          <w:rFonts w:ascii="Times New Roman" w:hAnsi="Times New Roman" w:cs="Times New Roman"/>
          <w:kern w:val="0"/>
          <w:sz w:val="24"/>
          <w:szCs w:val="24"/>
        </w:rPr>
        <w:t>Baden LR, El Sahly HM, Essink B, Kotloff K, Frey S, Novak R, et al. Efficacy and Safety of the mRNA-1273 SARS-CoV-2 Vaccine. N Engl J Med. 2021;384(5):403-16.</w:t>
      </w:r>
    </w:p>
    <w:p w14:paraId="20A71A9B"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p>
    <w:p w14:paraId="45B45EA9"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[12] Moher D, Liberati A, Tetzlaff J, Altman DG, Group P. Preferred reporting items for systematic reviews and meta-analyses: the PRISMA statement. Int J Surg. 2010;8(5):336-41.</w:t>
      </w:r>
    </w:p>
    <w:p w14:paraId="33A055A2"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[13] Goshen-Lago T, Waldhorn I, Holland R, Szwarcwort-Cohen M, Reiner-Benaim A, Shachor-Meyouhas Y, et al. Serologic Status and Toxic Effects of the SARS-CoV-2 BNT162b2 Vaccine in Patients Undergoing Treatment for Cancer. JAMA Oncol. 2021.</w:t>
      </w:r>
    </w:p>
    <w:p w14:paraId="2901F255"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[14] Ligumsky H, Safadi E, Etan T, Vaknin N, Waller M, Croll A, et al. Immunogenicity and Safety of the BNT162b2 mRNA COVID-19 Vaccine Among Actively Treated Cancer Patients. J Natl Cancer Inst. 2021.</w:t>
      </w:r>
    </w:p>
    <w:p w14:paraId="4ABA6F7C"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[15] Waldhorn I, Holland R, Goshen-Lago T, Shirman Y, Szwarcwort-Cohen M, Reiner-Benaim A, et al. Six Month Efficacy and Toxicity Profile of BNT162b2 Vaccine in Cancer Patients with Solid Tumors. Cancer Discov. 2021.</w:t>
      </w:r>
    </w:p>
    <w:p w14:paraId="6D53C242"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[16] Herzog Tzarfati K, Gutwein O, Apel A, Rahimi-Levene N, Sadovnik M, Harel L, et al. BNT162b2 COVID-19 vaccine is significantly less effective in patients with hematologic malignancies. Am J Hematol. 2021.</w:t>
      </w:r>
    </w:p>
    <w:p w14:paraId="4150527E"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[17] Perry C, Luttwak E, Balaban R, Shefer G, Morales MM, Aharon A, et al. Efficacy of the BNT162b2 mRNA COVID-19 vaccine in patients with B-cell non-Hodgkin lymphoma. Blood Adv. 2021;5(16):3053-61.</w:t>
      </w:r>
    </w:p>
    <w:p w14:paraId="417970A2" w14:textId="77777777" w:rsidR="0049304B" w:rsidRPr="007B3298" w:rsidRDefault="0049304B" w:rsidP="0049304B">
      <w:pPr>
        <w:wordWrap/>
        <w:adjustRightInd w:val="0"/>
        <w:spacing w:after="0" w:line="480" w:lineRule="auto"/>
        <w:jc w:val="left"/>
        <w:rPr>
          <w:rFonts w:ascii="Times New Roman" w:hAnsi="Times New Roman" w:cs="Times New Roman"/>
          <w:kern w:val="0"/>
          <w:sz w:val="24"/>
          <w:szCs w:val="24"/>
          <w:lang w:val="es-ES"/>
        </w:rPr>
      </w:pPr>
      <w:r w:rsidRPr="004E0530">
        <w:rPr>
          <w:rFonts w:ascii="Times New Roman" w:hAnsi="Times New Roman" w:cs="Times New Roman"/>
          <w:sz w:val="24"/>
          <w:szCs w:val="24"/>
        </w:rPr>
        <w:t>[18]</w:t>
      </w:r>
      <w:r w:rsidRPr="00DD4AC8">
        <w:rPr>
          <w:rFonts w:ascii="Times New Roman" w:hAnsi="Times New Roman" w:cs="Times New Roman"/>
          <w:b/>
          <w:bCs/>
          <w:sz w:val="24"/>
          <w:szCs w:val="24"/>
        </w:rPr>
        <w:t xml:space="preserve"> </w:t>
      </w:r>
      <w:r w:rsidRPr="00DD4AC8">
        <w:rPr>
          <w:rFonts w:ascii="Times New Roman" w:hAnsi="Times New Roman" w:cs="Times New Roman"/>
          <w:kern w:val="0"/>
          <w:sz w:val="24"/>
          <w:szCs w:val="24"/>
        </w:rPr>
        <w:t xml:space="preserve">Fox TA, Kirkwood AA, Enfield L, O'Reilly M, Arulogun S, D'Sa S, et al. Low seropositivity and suboptimal neutralisation rates in patients fully vaccinated against COVID-19 with B-cell malignancies. </w:t>
      </w:r>
      <w:r w:rsidRPr="007B3298">
        <w:rPr>
          <w:rFonts w:ascii="Times New Roman" w:hAnsi="Times New Roman" w:cs="Times New Roman"/>
          <w:kern w:val="0"/>
          <w:sz w:val="24"/>
          <w:szCs w:val="24"/>
          <w:lang w:val="es-ES"/>
        </w:rPr>
        <w:t>Br J Haematol. 2021;195(5):706-9.</w:t>
      </w:r>
    </w:p>
    <w:p w14:paraId="6AE2CDEA"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7B3298">
        <w:rPr>
          <w:rFonts w:ascii="Times New Roman" w:hAnsi="Times New Roman" w:cs="Times New Roman"/>
          <w:kern w:val="0"/>
          <w:sz w:val="24"/>
          <w:szCs w:val="24"/>
          <w:lang w:val="es-ES"/>
        </w:rPr>
        <w:t xml:space="preserve">[19] Furer V, Eviatar T, Zisman D, Peleg H, Paran D, Levartovsky D, et al. </w:t>
      </w:r>
      <w:r w:rsidRPr="00DD4AC8">
        <w:rPr>
          <w:rFonts w:ascii="Times New Roman" w:hAnsi="Times New Roman" w:cs="Times New Roman"/>
          <w:kern w:val="0"/>
          <w:sz w:val="24"/>
          <w:szCs w:val="24"/>
        </w:rPr>
        <w:t>Immunogenicity and safety of the BNT162b2 mRNA COVID-19 vaccine in adult patients with autoimmune inflammatory rheumatic diseases and in the general population: a multicentre study. Ann Rheum Dis. 2021.</w:t>
      </w:r>
    </w:p>
    <w:p w14:paraId="1A028CC3" w14:textId="77777777" w:rsidR="0049304B"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lastRenderedPageBreak/>
        <w:t>[20] Novak F, Nilsson AC, Nielsen C, Holm DK, Østergaard K, Bystrup A, et al. Humoral immune response following SARS-CoV-2 mRNA vaccination concomitant to anti-CD20 therapy in multiple sclerosis. Mult Scler Relat Disord. 2021;56:103251.</w:t>
      </w:r>
    </w:p>
    <w:p w14:paraId="6EDEC6F7"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[2</w:t>
      </w:r>
      <w:r>
        <w:rPr>
          <w:rFonts w:ascii="Times New Roman" w:hAnsi="Times New Roman" w:cs="Times New Roman" w:hint="eastAsia"/>
          <w:kern w:val="0"/>
          <w:sz w:val="24"/>
          <w:szCs w:val="24"/>
        </w:rPr>
        <w:t>1</w:t>
      </w:r>
      <w:r w:rsidRPr="00DD4AC8">
        <w:rPr>
          <w:rFonts w:ascii="Times New Roman" w:hAnsi="Times New Roman" w:cs="Times New Roman"/>
          <w:kern w:val="0"/>
          <w:sz w:val="24"/>
          <w:szCs w:val="24"/>
        </w:rPr>
        <w:t>] Lacson E, Argyropoulos C, Manley H, Aweh G, Chin A, Salman L, et al. Immunogenicity of SARS-CoV-2 Vaccine in Dialysis. J Am Soc Nephrol. 2021.</w:t>
      </w:r>
    </w:p>
    <w:p w14:paraId="7383DF6C"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[2</w:t>
      </w:r>
      <w:r>
        <w:rPr>
          <w:rFonts w:ascii="Times New Roman" w:hAnsi="Times New Roman" w:cs="Times New Roman" w:hint="eastAsia"/>
          <w:kern w:val="0"/>
          <w:sz w:val="24"/>
          <w:szCs w:val="24"/>
        </w:rPr>
        <w:t>2</w:t>
      </w:r>
      <w:r w:rsidRPr="00DD4AC8">
        <w:rPr>
          <w:rFonts w:ascii="Times New Roman" w:hAnsi="Times New Roman" w:cs="Times New Roman"/>
          <w:kern w:val="0"/>
          <w:sz w:val="24"/>
          <w:szCs w:val="24"/>
        </w:rPr>
        <w:t>] Murt A, Altiparmak MR, Yadigar S, Yalin SF, Ozbey D, Yildiz Z, et al. Antibody responses to the SARS-CoV-2 vaccines in hemodialysis patients: Is inactivated vaccine effective? Ther Apher Dial. 2021.</w:t>
      </w:r>
    </w:p>
    <w:p w14:paraId="251F2F71"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[2</w:t>
      </w:r>
      <w:r>
        <w:rPr>
          <w:rFonts w:ascii="Times New Roman" w:hAnsi="Times New Roman" w:cs="Times New Roman" w:hint="eastAsia"/>
          <w:kern w:val="0"/>
          <w:sz w:val="24"/>
          <w:szCs w:val="24"/>
        </w:rPr>
        <w:t>3</w:t>
      </w:r>
      <w:r w:rsidRPr="00DD4AC8">
        <w:rPr>
          <w:rFonts w:ascii="Times New Roman" w:hAnsi="Times New Roman" w:cs="Times New Roman"/>
          <w:kern w:val="0"/>
          <w:sz w:val="24"/>
          <w:szCs w:val="24"/>
        </w:rPr>
        <w:t>] Grupper A, Katchman E, Ben-Yehoyada M, Rabinowich L, Schwartz D, Schwartz IF, et al. Kidney transplant recipients vaccinated before transplantation maintain superior humoral response to SARS-CoV-2 vaccine. Clin Transplant. 2021:e14478.</w:t>
      </w:r>
    </w:p>
    <w:p w14:paraId="386BC99C"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[2</w:t>
      </w:r>
      <w:r>
        <w:rPr>
          <w:rFonts w:ascii="Times New Roman" w:hAnsi="Times New Roman" w:cs="Times New Roman" w:hint="eastAsia"/>
          <w:kern w:val="0"/>
          <w:sz w:val="24"/>
          <w:szCs w:val="24"/>
        </w:rPr>
        <w:t>4</w:t>
      </w:r>
      <w:r w:rsidRPr="00DD4AC8">
        <w:rPr>
          <w:rFonts w:ascii="Times New Roman" w:hAnsi="Times New Roman" w:cs="Times New Roman"/>
          <w:kern w:val="0"/>
          <w:sz w:val="24"/>
          <w:szCs w:val="24"/>
        </w:rPr>
        <w:t>] Haskin O, Ashkenazi-Hoffnung L, Ziv N, Borovitz Y, Dagan A, Levi S, et al. Serological Response to the BNT162b2 COVID-19 mRNA Vaccine in Adolescent and Young Adult Kidney Transplant Recipients. Transplantation. 2021.</w:t>
      </w:r>
    </w:p>
    <w:p w14:paraId="1A222B0F"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[2</w:t>
      </w:r>
      <w:r>
        <w:rPr>
          <w:rFonts w:ascii="Times New Roman" w:hAnsi="Times New Roman" w:cs="Times New Roman" w:hint="eastAsia"/>
          <w:kern w:val="0"/>
          <w:sz w:val="24"/>
          <w:szCs w:val="24"/>
        </w:rPr>
        <w:t>5</w:t>
      </w:r>
      <w:r w:rsidRPr="00DD4AC8">
        <w:rPr>
          <w:rFonts w:ascii="Times New Roman" w:hAnsi="Times New Roman" w:cs="Times New Roman"/>
          <w:kern w:val="0"/>
          <w:sz w:val="24"/>
          <w:szCs w:val="24"/>
        </w:rPr>
        <w:t>] Itzhaki Ben Zadok O, Shaul AA, Ben-Avraham B, Yaari V, Ben Zvi H, Shostak Y, et al. Immunogenicity of the BNT162b2 mRNA vaccine in heart transplant recipients - a prospective cohort study. Eur J Heart Fail. 2021.</w:t>
      </w:r>
    </w:p>
    <w:p w14:paraId="2BDA9992"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[26] Narasimhan M, Mahimainathan L, Clark AE, Usmani A, Cao J, Araj E, et al. Serological Response in Lung Transplant Recipients after Two Doses of SARS-CoV-2 mRNA Vaccines. Vaccines (Basel). 2021;9(7).</w:t>
      </w:r>
    </w:p>
    <w:p w14:paraId="7C423593"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[27] Rozen-Zvi B, Yahav D, Agur T, Zingerman B, Ben-Zvi H, Atamna A, et al. Antibody response to SARS-CoV-2 mRNA vaccine among kidney transplant recipients: a prospective cohort study. Clin Microbiol Infect. 2021;27(8):1173.e1-.e4.</w:t>
      </w:r>
    </w:p>
    <w:p w14:paraId="130E49CE"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 xml:space="preserve">[28] Edelman-Klapper H, Zittan E, Bar-Gil Shitrit A, Rabinowitz KM, Goren I, Avni-Biron I, et al. Lower Serologic Response to COVID-19 mRNA Vaccine in Patients With </w:t>
      </w:r>
      <w:r w:rsidRPr="00DD4AC8">
        <w:rPr>
          <w:rFonts w:ascii="Times New Roman" w:hAnsi="Times New Roman" w:cs="Times New Roman"/>
          <w:kern w:val="0"/>
          <w:sz w:val="24"/>
          <w:szCs w:val="24"/>
        </w:rPr>
        <w:lastRenderedPageBreak/>
        <w:t>Inflammatory Bowel Diseases Treated with Anti-TNFα. Gastroenterology. 2021.</w:t>
      </w:r>
    </w:p>
    <w:p w14:paraId="263231FD"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[29] Bayram A, Demirbakan H, Günel Karadeniz P, Erdoğan M, Koçer I. Quantitation of antibodies against SARS-CoV-2 spike protein after two doses of CoronaVac in healthcare workers. J Med Virol. 2021;93(9):5560-7.</w:t>
      </w:r>
    </w:p>
    <w:p w14:paraId="6EB47BB1" w14:textId="77777777" w:rsidR="0049304B" w:rsidRPr="007B3298" w:rsidRDefault="0049304B" w:rsidP="0049304B">
      <w:pPr>
        <w:wordWrap/>
        <w:adjustRightInd w:val="0"/>
        <w:spacing w:after="0" w:line="480" w:lineRule="auto"/>
        <w:jc w:val="left"/>
        <w:rPr>
          <w:rFonts w:ascii="Times New Roman" w:hAnsi="Times New Roman" w:cs="Times New Roman"/>
          <w:kern w:val="0"/>
          <w:sz w:val="24"/>
          <w:szCs w:val="24"/>
          <w:lang w:val="es-ES"/>
        </w:rPr>
      </w:pPr>
      <w:r w:rsidRPr="00DD4AC8">
        <w:rPr>
          <w:rFonts w:ascii="Times New Roman" w:hAnsi="Times New Roman" w:cs="Times New Roman"/>
          <w:kern w:val="0"/>
          <w:sz w:val="24"/>
          <w:szCs w:val="24"/>
        </w:rPr>
        <w:t xml:space="preserve">[30] Blain H, Tuaillon E, Gamon L, Pisoni A, Miot S, Rolland Y, et al. Antibody response after one and two jabs of the BNT162b2 vaccine in nursing home residents: The CONsort-19 study. </w:t>
      </w:r>
      <w:r w:rsidRPr="007B3298">
        <w:rPr>
          <w:rFonts w:ascii="Times New Roman" w:hAnsi="Times New Roman" w:cs="Times New Roman"/>
          <w:kern w:val="0"/>
          <w:sz w:val="24"/>
          <w:szCs w:val="24"/>
          <w:lang w:val="es-ES"/>
        </w:rPr>
        <w:t>Allergy. 2021.</w:t>
      </w:r>
    </w:p>
    <w:p w14:paraId="1CFA2BC4"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7B3298">
        <w:rPr>
          <w:rFonts w:ascii="Times New Roman" w:hAnsi="Times New Roman" w:cs="Times New Roman"/>
          <w:kern w:val="0"/>
          <w:sz w:val="24"/>
          <w:szCs w:val="24"/>
          <w:lang w:val="es-ES"/>
        </w:rPr>
        <w:t xml:space="preserve">[31] Claro F, Silva D, Rodriguez M, Rangel R, de Waard JH. </w:t>
      </w:r>
      <w:r w:rsidRPr="00DD4AC8">
        <w:rPr>
          <w:rFonts w:ascii="Times New Roman" w:hAnsi="Times New Roman" w:cs="Times New Roman"/>
          <w:kern w:val="0"/>
          <w:sz w:val="24"/>
          <w:szCs w:val="24"/>
        </w:rPr>
        <w:t>IgG Antibody response to the Sputnik V vaccine: previous SARS-CoV-2 seropositive individuals might need just one vaccine dose. Int J Infect Dis. 2021.</w:t>
      </w:r>
    </w:p>
    <w:p w14:paraId="446DB86C" w14:textId="77777777" w:rsidR="0049304B" w:rsidRPr="007B3298" w:rsidRDefault="0049304B" w:rsidP="0049304B">
      <w:pPr>
        <w:wordWrap/>
        <w:adjustRightInd w:val="0"/>
        <w:spacing w:after="0" w:line="480" w:lineRule="auto"/>
        <w:jc w:val="left"/>
        <w:rPr>
          <w:rFonts w:ascii="Times New Roman" w:hAnsi="Times New Roman" w:cs="Times New Roman"/>
          <w:kern w:val="0"/>
          <w:sz w:val="24"/>
          <w:szCs w:val="24"/>
          <w:lang w:val="es-ES"/>
        </w:rPr>
      </w:pPr>
      <w:r w:rsidRPr="00DD4AC8">
        <w:rPr>
          <w:rFonts w:ascii="Times New Roman" w:hAnsi="Times New Roman" w:cs="Times New Roman"/>
          <w:kern w:val="0"/>
          <w:sz w:val="24"/>
          <w:szCs w:val="24"/>
        </w:rPr>
        <w:t xml:space="preserve">[32] Eyre DW, Lumley SF, Wei J, Cox S, James T, Justice A, et al. Quantitative SARS-CoV-2 anti-spike responses to Pfizer-BioNTech and Oxford-AstraZeneca vaccines by previous infection status. </w:t>
      </w:r>
      <w:r w:rsidRPr="007B3298">
        <w:rPr>
          <w:rFonts w:ascii="Times New Roman" w:hAnsi="Times New Roman" w:cs="Times New Roman"/>
          <w:kern w:val="0"/>
          <w:sz w:val="24"/>
          <w:szCs w:val="24"/>
          <w:lang w:val="es-ES"/>
        </w:rPr>
        <w:t>Clin Microbiol Infect. 2021;27(10):1516.e7-.e14.</w:t>
      </w:r>
    </w:p>
    <w:p w14:paraId="4048E63E"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7B3298">
        <w:rPr>
          <w:rFonts w:ascii="Times New Roman" w:hAnsi="Times New Roman" w:cs="Times New Roman"/>
          <w:kern w:val="0"/>
          <w:sz w:val="24"/>
          <w:szCs w:val="24"/>
          <w:lang w:val="es-ES"/>
        </w:rPr>
        <w:t xml:space="preserve">[33] Salvagno GL, Henry BM, di Piazza G, Pighi L, De Nitto S, Bragantini D, et al. </w:t>
      </w:r>
      <w:r w:rsidRPr="00DD4AC8">
        <w:rPr>
          <w:rFonts w:ascii="Times New Roman" w:hAnsi="Times New Roman" w:cs="Times New Roman"/>
          <w:kern w:val="0"/>
          <w:sz w:val="24"/>
          <w:szCs w:val="24"/>
        </w:rPr>
        <w:t>Anti-SARS-CoV-2 Receptor-Binding Domain Total Antibodies Response in Seropositive and Seronegative Healthcare Workers Undergoing COVID-19 mRNA BNT162b2 Vaccination. Diagnostics (Basel). 2021;11(5).</w:t>
      </w:r>
    </w:p>
    <w:p w14:paraId="47B5BEA7"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[34] Javanmardi F, Keshavarzi A, Akbari A, Emami A, Pirbonyeh N. Prevalence of underlying diseases in died cases of COVID-19: A systematic review and meta-analysis. PLoS One. 2020;15(10):e0241265.</w:t>
      </w:r>
    </w:p>
    <w:p w14:paraId="225FD640"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[35] Onder G, Rezza G, Brusaferro S. Case-Fatality Rate and Characteristics of Patients Dying in Relation to COVID-19 in Italy. JAMA. 2020;323(18):1775-6.</w:t>
      </w:r>
    </w:p>
    <w:p w14:paraId="51AB16F6"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[36] Herishanu Y, Avivi I, Aharon A, Shefer G, Levi S, Bronstein Y, et al. Efficacy of the BNT162b2 mRNA COVID-19 vaccine in patients with chronic lymphocytic leukemia. Blood. 2021;137(23):3165-73.</w:t>
      </w:r>
    </w:p>
    <w:p w14:paraId="2B9CC0AC"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lastRenderedPageBreak/>
        <w:t>[37]La Rosee F, Bremer HC, Gehrke I, Kehr A, Hochhaus A, Birndt S, et al. The Janus kinase 1/2 inhibitor ruxolitinib in COVID-19 with severe systemic hyperinflammation. Leukemia. 2020;34(7):1805-15.</w:t>
      </w:r>
    </w:p>
    <w:p w14:paraId="37985024"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[38] Kapetanovic MC, Roseman C, Jonsson G, Truedsson L, Saxne T, Geborek P. Antibody response is reduced following vaccination with 7-valent conjugate pneumococcal vaccine in adult methotrexate-treated patients with established arthritis, but not those treated with tumor necrosis factor inhibitors. Arthritis Rheum. 2011;63(12):3723-32.</w:t>
      </w:r>
    </w:p>
    <w:p w14:paraId="69473DC2"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[39] Hua C, Barnetche T, Combe B, Morel J. Effect of methotrexate, anti-tumor necrosis factor alpha, and rituximab on the immune response to influenza and pneumococcal vaccines in patients with rheumatoid arthritis: a systematic review and meta-analysis. Arthritis Care Res (Hoboken). 2014;66(7):1016-26.</w:t>
      </w:r>
    </w:p>
    <w:p w14:paraId="6D191CA8"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[40] Westra J, van Assen S, Wilting KR, Land J, Horst G, de Haan A, et al. Rituximab impairs immunoglobulin (Ig)M and IgG (subclass) responses after influenza vaccination in rheumatoid arthritis patients. Clin Exp Immunol. 2014;178(1):40-7.</w:t>
      </w:r>
    </w:p>
    <w:p w14:paraId="776D496C"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[41] Spiera R, Jinich S, Jannat-Khah D. Rituximab, but not other antirheumatic therapies, is associated with impaired serological response to SARS- CoV-2 vaccination in patients with rheumatic diseases. Ann Rheum Dis. 2021;80(10):1357-9.</w:t>
      </w:r>
    </w:p>
    <w:p w14:paraId="36A69FC2"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[42] Wong SY, Dixon R, Martinez Pazos V, Gnjatic S, Colombel JF, Cadwell K, et al. Serologic Response to Messenger RNA Coronavirus Disease 2019 Vaccines in Inflammatory Bowel Disease Patients Receiving Biologic Therapies. Gastroenterology. 2021;161(2):715-8 e4.</w:t>
      </w:r>
    </w:p>
    <w:p w14:paraId="314BA221"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[43] Sharif MR, Chitsazian Z, Moosavian M, Raygan F, Nikoueinejad H, Sharif AR, et al. Immune disorders in hemodialysis patients. Iran J Kidney Dis. 2015;9(2):84-96.</w:t>
      </w:r>
    </w:p>
    <w:p w14:paraId="3D979EDC"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[44] Kato S, Chmielewski M, Honda H, Pecoits-Filho R, Matsuo S, Yuzawa Y, et al. Aspects of immune dysfunction in end-stage renal disease. Clin J Am Soc Nephrol. 2008;3(5):1526-</w:t>
      </w:r>
      <w:r w:rsidRPr="00DD4AC8">
        <w:rPr>
          <w:rFonts w:ascii="Times New Roman" w:hAnsi="Times New Roman" w:cs="Times New Roman"/>
          <w:kern w:val="0"/>
          <w:sz w:val="24"/>
          <w:szCs w:val="24"/>
        </w:rPr>
        <w:lastRenderedPageBreak/>
        <w:t>33.</w:t>
      </w:r>
    </w:p>
    <w:p w14:paraId="7CB633B6"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[45] Eckerle I, Rosenberger KD, Zwahlen M, Junghanss T. Serologic vaccination response after solid organ transplantation: a systematic review. PLoS One. 2013;8(2):e56974.</w:t>
      </w:r>
    </w:p>
    <w:p w14:paraId="74EACC7E"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[46] Natori Y, Shiotsuka M, Slomovic J, Hoschler K, Ferreira V, Ashton P, et al. A Double-Blind, Randomized Trial of High-Dose vs Standard-Dose Influenza Vaccine in Adult Solid-Organ Transplant Recipients. Clin Infect Dis. 2018;66(11):1698-704.</w:t>
      </w:r>
    </w:p>
    <w:p w14:paraId="6EB3F5E2" w14:textId="77777777" w:rsidR="0049304B" w:rsidRPr="00DD4AC8" w:rsidRDefault="0049304B" w:rsidP="0049304B">
      <w:pPr>
        <w:wordWrap/>
        <w:adjustRightInd w:val="0"/>
        <w:spacing w:after="0" w:line="480" w:lineRule="auto"/>
        <w:jc w:val="left"/>
        <w:rPr>
          <w:rFonts w:ascii="Times New Roman" w:hAnsi="Times New Roman" w:cs="Times New Roman"/>
          <w:kern w:val="0"/>
          <w:sz w:val="24"/>
          <w:szCs w:val="24"/>
        </w:rPr>
      </w:pPr>
      <w:r w:rsidRPr="00DD4AC8">
        <w:rPr>
          <w:rFonts w:ascii="Times New Roman" w:hAnsi="Times New Roman" w:cs="Times New Roman"/>
          <w:kern w:val="0"/>
          <w:sz w:val="24"/>
          <w:szCs w:val="24"/>
        </w:rPr>
        <w:t xml:space="preserve">[47] </w:t>
      </w:r>
      <w:r w:rsidRPr="00DD4AC8">
        <w:rPr>
          <w:rFonts w:ascii="Times New Roman" w:hAnsi="Times New Roman" w:cs="Times New Roman"/>
          <w:sz w:val="24"/>
          <w:szCs w:val="24"/>
        </w:rPr>
        <w:t>Pfizer. Pfizer and biontech initiate a study as part of broad development plan to evaluate Covid-19 booster and new vaccine variants. 2021 [Internet]. [cited 2021 Dec 17]. Available from: https://www.pfizer.com/ news/press-release/press-release-detail/pfizer-and-biontech-initiatestudy-part-broad-development.</w:t>
      </w:r>
    </w:p>
    <w:p w14:paraId="08ECBF8A" w14:textId="4267D4CF" w:rsidR="0049304B" w:rsidRPr="004B4CFB" w:rsidRDefault="0049304B" w:rsidP="004B4CFB">
      <w:pPr>
        <w:wordWrap/>
        <w:adjustRightInd w:val="0"/>
        <w:spacing w:after="0" w:line="480" w:lineRule="auto"/>
        <w:jc w:val="left"/>
        <w:rPr>
          <w:rFonts w:ascii="Times New Roman" w:hAnsi="Times New Roman" w:cs="Times New Roman"/>
          <w:kern w:val="0"/>
          <w:sz w:val="24"/>
          <w:szCs w:val="24"/>
        </w:rPr>
      </w:pPr>
      <w:r w:rsidRPr="004B4CFB">
        <w:rPr>
          <w:rFonts w:ascii="Times New Roman" w:hAnsi="Times New Roman" w:cs="Times New Roman"/>
          <w:kern w:val="0"/>
          <w:sz w:val="24"/>
          <w:szCs w:val="24"/>
        </w:rPr>
        <w:t>[48] Ledford H. Could mixing COVID vaccines boost immune response? Nature. 2021;590(7846):375-6.</w:t>
      </w:r>
    </w:p>
    <w:p w14:paraId="0763D08B" w14:textId="57D1A8B0" w:rsidR="0049304B" w:rsidRPr="00D4555D" w:rsidRDefault="004B4CFB" w:rsidP="00D4555D">
      <w:pPr>
        <w:spacing w:line="480" w:lineRule="auto"/>
        <w:rPr>
          <w:rFonts w:ascii="Times New Roman" w:hAnsi="Times New Roman" w:cs="Times New Roman"/>
          <w:b/>
          <w:bCs/>
          <w:sz w:val="24"/>
          <w:szCs w:val="24"/>
        </w:rPr>
      </w:pPr>
      <w:r w:rsidRPr="00D4555D">
        <w:rPr>
          <w:rFonts w:ascii="Times New Roman" w:hAnsi="Times New Roman" w:cs="Times New Roman"/>
          <w:kern w:val="0"/>
          <w:sz w:val="24"/>
          <w:szCs w:val="24"/>
        </w:rPr>
        <w:t xml:space="preserve">[49] Galia R. </w:t>
      </w:r>
      <w:r w:rsidRPr="00D4555D">
        <w:rPr>
          <w:rFonts w:ascii="Times New Roman" w:hAnsi="Times New Roman" w:cs="Times New Roman"/>
          <w:sz w:val="24"/>
          <w:szCs w:val="24"/>
        </w:rPr>
        <w:t>BNT162b2 mRNA COVID-19 vaccination in immunocompromised patients: A prospective cohort study. EClinicalMedicine. 2021;41:101158</w:t>
      </w:r>
    </w:p>
    <w:p w14:paraId="21414B72" w14:textId="60F81048" w:rsidR="00365473" w:rsidRDefault="00365473" w:rsidP="00D4555D"/>
    <w:p w14:paraId="27957904" w14:textId="2C5066A5" w:rsidR="00365473" w:rsidRDefault="00365473" w:rsidP="00D4555D"/>
    <w:p w14:paraId="237E99C4" w14:textId="4ADDB52A" w:rsidR="00365473" w:rsidRDefault="00365473" w:rsidP="00D4555D"/>
    <w:p w14:paraId="367BF89B" w14:textId="4CFD1ECF" w:rsidR="00365473" w:rsidRDefault="00365473" w:rsidP="00D4555D"/>
    <w:p w14:paraId="2593D680" w14:textId="3398A42C" w:rsidR="00365473" w:rsidRDefault="00365473" w:rsidP="00D4555D"/>
    <w:p w14:paraId="01DF0441" w14:textId="63B2E40A" w:rsidR="00365473" w:rsidRDefault="00365473" w:rsidP="00D4555D"/>
    <w:p w14:paraId="65974FC2" w14:textId="09AB5F08" w:rsidR="00365473" w:rsidRDefault="00AE33CC" w:rsidP="00AE33CC">
      <w:pPr>
        <w:pStyle w:val="Heading1"/>
        <w:sectPr w:rsidR="00365473">
          <w:pgSz w:w="11906" w:h="16838"/>
          <w:pgMar w:top="1701" w:right="1440" w:bottom="1440" w:left="1440" w:header="851" w:footer="992" w:gutter="0"/>
          <w:cols w:space="425"/>
          <w:docGrid w:linePitch="360"/>
        </w:sectPr>
      </w:pPr>
      <w:r>
        <w:t>Tables and Figures</w:t>
      </w:r>
    </w:p>
    <w:p w14:paraId="60E336D7" w14:textId="7E93DEF8" w:rsidR="00365473" w:rsidRDefault="00365473" w:rsidP="00D4555D">
      <w:pPr>
        <w:rPr>
          <w:rFonts w:cs="Times New Roman"/>
          <w:color w:val="212121"/>
        </w:rPr>
      </w:pPr>
      <w:r w:rsidRPr="00365473">
        <w:rPr>
          <w:noProof/>
        </w:rPr>
        <w:lastRenderedPageBreak/>
        <w:drawing>
          <wp:inline distT="0" distB="0" distL="0" distR="0" wp14:anchorId="245F8AA1" wp14:editId="43258A97">
            <wp:extent cx="8577580" cy="5731510"/>
            <wp:effectExtent l="0" t="0" r="0" b="2540"/>
            <wp:docPr id="1" name="Picture 1" descr="P156#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156#yIS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577580" cy="5731510"/>
                    </a:xfrm>
                    <a:prstGeom prst="rect">
                      <a:avLst/>
                    </a:prstGeom>
                    <a:noFill/>
                    <a:ln>
                      <a:noFill/>
                    </a:ln>
                  </pic:spPr>
                </pic:pic>
              </a:graphicData>
            </a:graphic>
          </wp:inline>
        </w:drawing>
      </w:r>
    </w:p>
    <w:p w14:paraId="46E0C282" w14:textId="65FC238F" w:rsidR="00365473" w:rsidRPr="00365473" w:rsidRDefault="00365473" w:rsidP="00D4555D">
      <w:r w:rsidRPr="00365473">
        <w:rPr>
          <w:noProof/>
        </w:rPr>
        <w:lastRenderedPageBreak/>
        <w:drawing>
          <wp:inline distT="0" distB="0" distL="0" distR="0" wp14:anchorId="14ED1545" wp14:editId="030FFA51">
            <wp:extent cx="8697595" cy="5629275"/>
            <wp:effectExtent l="0" t="0" r="8255" b="9525"/>
            <wp:docPr id="2" name="Picture 2" descr="P157#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P157#yIS1"/>
                    <pic:cNvPicPr/>
                  </pic:nvPicPr>
                  <pic:blipFill>
                    <a:blip r:embed="rId11"/>
                    <a:stretch>
                      <a:fillRect/>
                    </a:stretch>
                  </pic:blipFill>
                  <pic:spPr>
                    <a:xfrm>
                      <a:off x="0" y="0"/>
                      <a:ext cx="8697595" cy="5629275"/>
                    </a:xfrm>
                    <a:prstGeom prst="rect">
                      <a:avLst/>
                    </a:prstGeom>
                  </pic:spPr>
                </pic:pic>
              </a:graphicData>
            </a:graphic>
          </wp:inline>
        </w:drawing>
      </w:r>
    </w:p>
    <w:p w14:paraId="76462C23" w14:textId="759CA5E1" w:rsidR="004B4CFB" w:rsidRDefault="00365473" w:rsidP="00D4555D">
      <w:r w:rsidRPr="00365473">
        <w:rPr>
          <w:noProof/>
        </w:rPr>
        <w:lastRenderedPageBreak/>
        <w:drawing>
          <wp:inline distT="0" distB="0" distL="0" distR="0" wp14:anchorId="10FFBA68" wp14:editId="624469D3">
            <wp:extent cx="8697595" cy="3836035"/>
            <wp:effectExtent l="0" t="0" r="8255" b="0"/>
            <wp:docPr id="4" name="Picture 4" descr="P158#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P158#yIS1"/>
                    <pic:cNvPicPr/>
                  </pic:nvPicPr>
                  <pic:blipFill>
                    <a:blip r:embed="rId12"/>
                    <a:stretch>
                      <a:fillRect/>
                    </a:stretch>
                  </pic:blipFill>
                  <pic:spPr>
                    <a:xfrm>
                      <a:off x="0" y="0"/>
                      <a:ext cx="8697595" cy="3836035"/>
                    </a:xfrm>
                    <a:prstGeom prst="rect">
                      <a:avLst/>
                    </a:prstGeom>
                  </pic:spPr>
                </pic:pic>
              </a:graphicData>
            </a:graphic>
          </wp:inline>
        </w:drawing>
      </w:r>
    </w:p>
    <w:p w14:paraId="1594ADF7" w14:textId="03E28EB6" w:rsidR="00365473" w:rsidRDefault="00365473" w:rsidP="00D4555D"/>
    <w:p w14:paraId="25899584" w14:textId="2A39A1AD" w:rsidR="00365473" w:rsidRDefault="00365473" w:rsidP="00D4555D"/>
    <w:p w14:paraId="7FFC3094" w14:textId="08E08997" w:rsidR="00365473" w:rsidRDefault="00365473" w:rsidP="00D4555D"/>
    <w:p w14:paraId="290B2805" w14:textId="1458593F" w:rsidR="00365473" w:rsidRDefault="00365473" w:rsidP="00D4555D">
      <w:r w:rsidRPr="00365473">
        <w:rPr>
          <w:noProof/>
        </w:rPr>
        <w:lastRenderedPageBreak/>
        <w:drawing>
          <wp:inline distT="0" distB="0" distL="0" distR="0" wp14:anchorId="753D3C62" wp14:editId="49426CE5">
            <wp:extent cx="8160385" cy="5731510"/>
            <wp:effectExtent l="0" t="0" r="0" b="2540"/>
            <wp:docPr id="5" name="Picture 5" descr="P16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P162#yIS1"/>
                    <pic:cNvPicPr/>
                  </pic:nvPicPr>
                  <pic:blipFill>
                    <a:blip r:embed="rId13"/>
                    <a:stretch>
                      <a:fillRect/>
                    </a:stretch>
                  </pic:blipFill>
                  <pic:spPr>
                    <a:xfrm>
                      <a:off x="0" y="0"/>
                      <a:ext cx="8160385" cy="5731510"/>
                    </a:xfrm>
                    <a:prstGeom prst="rect">
                      <a:avLst/>
                    </a:prstGeom>
                  </pic:spPr>
                </pic:pic>
              </a:graphicData>
            </a:graphic>
          </wp:inline>
        </w:drawing>
      </w:r>
    </w:p>
    <w:p w14:paraId="1C648760" w14:textId="0A8E5C0A" w:rsidR="00365473" w:rsidRDefault="00E47CD1" w:rsidP="00D4555D">
      <w:r w:rsidRPr="00E47CD1">
        <w:rPr>
          <w:noProof/>
        </w:rPr>
        <w:lastRenderedPageBreak/>
        <w:drawing>
          <wp:inline distT="0" distB="0" distL="0" distR="0" wp14:anchorId="279936FE" wp14:editId="413CC66A">
            <wp:extent cx="8697595" cy="5422265"/>
            <wp:effectExtent l="0" t="0" r="8255" b="6985"/>
            <wp:docPr id="6" name="Picture 6" descr="P163#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P163#yIS1"/>
                    <pic:cNvPicPr/>
                  </pic:nvPicPr>
                  <pic:blipFill>
                    <a:blip r:embed="rId14"/>
                    <a:stretch>
                      <a:fillRect/>
                    </a:stretch>
                  </pic:blipFill>
                  <pic:spPr>
                    <a:xfrm>
                      <a:off x="0" y="0"/>
                      <a:ext cx="8697595" cy="5422265"/>
                    </a:xfrm>
                    <a:prstGeom prst="rect">
                      <a:avLst/>
                    </a:prstGeom>
                  </pic:spPr>
                </pic:pic>
              </a:graphicData>
            </a:graphic>
          </wp:inline>
        </w:drawing>
      </w:r>
    </w:p>
    <w:p w14:paraId="126DADF3" w14:textId="36B10ED9" w:rsidR="00E47CD1" w:rsidRDefault="00E47CD1" w:rsidP="00D4555D">
      <w:r w:rsidRPr="00E47CD1">
        <w:rPr>
          <w:noProof/>
        </w:rPr>
        <w:lastRenderedPageBreak/>
        <w:drawing>
          <wp:inline distT="0" distB="0" distL="0" distR="0" wp14:anchorId="47F7F889" wp14:editId="42F11B4C">
            <wp:extent cx="8697595" cy="3816985"/>
            <wp:effectExtent l="0" t="0" r="8255" b="0"/>
            <wp:docPr id="7" name="Picture 7" descr="P164#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P164#yIS1"/>
                    <pic:cNvPicPr/>
                  </pic:nvPicPr>
                  <pic:blipFill>
                    <a:blip r:embed="rId15"/>
                    <a:stretch>
                      <a:fillRect/>
                    </a:stretch>
                  </pic:blipFill>
                  <pic:spPr>
                    <a:xfrm>
                      <a:off x="0" y="0"/>
                      <a:ext cx="8697595" cy="3816985"/>
                    </a:xfrm>
                    <a:prstGeom prst="rect">
                      <a:avLst/>
                    </a:prstGeom>
                  </pic:spPr>
                </pic:pic>
              </a:graphicData>
            </a:graphic>
          </wp:inline>
        </w:drawing>
      </w:r>
    </w:p>
    <w:p w14:paraId="41936550" w14:textId="4EA276AB" w:rsidR="00E47CD1" w:rsidRDefault="00E47CD1" w:rsidP="00D4555D"/>
    <w:p w14:paraId="49AF5856" w14:textId="66DCA964" w:rsidR="00E47CD1" w:rsidRDefault="00E47CD1" w:rsidP="00D4555D"/>
    <w:p w14:paraId="3A5B4C7A" w14:textId="5B91B46B" w:rsidR="00E47CD1" w:rsidRDefault="00E47CD1" w:rsidP="00D4555D"/>
    <w:p w14:paraId="7FC34D60" w14:textId="027C5A48" w:rsidR="00E47CD1" w:rsidRDefault="00E47CD1" w:rsidP="00D4555D"/>
    <w:p w14:paraId="77A0401D" w14:textId="3837761E" w:rsidR="00E47CD1" w:rsidRDefault="00E47CD1" w:rsidP="00D4555D">
      <w:r w:rsidRPr="00E47CD1">
        <w:rPr>
          <w:noProof/>
        </w:rPr>
        <w:lastRenderedPageBreak/>
        <w:drawing>
          <wp:inline distT="0" distB="0" distL="0" distR="0" wp14:anchorId="13EEE192" wp14:editId="7E7A6311">
            <wp:extent cx="8697595" cy="2127250"/>
            <wp:effectExtent l="0" t="0" r="8255" b="6350"/>
            <wp:docPr id="8" name="Picture 8" descr="P169#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P169#yIS1"/>
                    <pic:cNvPicPr/>
                  </pic:nvPicPr>
                  <pic:blipFill>
                    <a:blip r:embed="rId16"/>
                    <a:stretch>
                      <a:fillRect/>
                    </a:stretch>
                  </pic:blipFill>
                  <pic:spPr>
                    <a:xfrm>
                      <a:off x="0" y="0"/>
                      <a:ext cx="8697595" cy="2127250"/>
                    </a:xfrm>
                    <a:prstGeom prst="rect">
                      <a:avLst/>
                    </a:prstGeom>
                  </pic:spPr>
                </pic:pic>
              </a:graphicData>
            </a:graphic>
          </wp:inline>
        </w:drawing>
      </w:r>
    </w:p>
    <w:p w14:paraId="42BB28F3" w14:textId="211EDA21" w:rsidR="00E47CD1" w:rsidRDefault="00E47CD1" w:rsidP="00D4555D"/>
    <w:p w14:paraId="37A2F463" w14:textId="01864FFD" w:rsidR="00E47CD1" w:rsidRDefault="00E47CD1" w:rsidP="00D4555D"/>
    <w:p w14:paraId="18B73E1B" w14:textId="48D65731" w:rsidR="00E47CD1" w:rsidRDefault="00E47CD1" w:rsidP="00D4555D"/>
    <w:p w14:paraId="61DBDFC8" w14:textId="4B24F03F" w:rsidR="00E47CD1" w:rsidRDefault="00E47CD1" w:rsidP="00D4555D"/>
    <w:p w14:paraId="63216CA3" w14:textId="14519B8F" w:rsidR="00E47CD1" w:rsidRDefault="00E47CD1" w:rsidP="00D4555D"/>
    <w:p w14:paraId="19C97779" w14:textId="7873C4C0" w:rsidR="00E47CD1" w:rsidRDefault="00E47CD1" w:rsidP="00D4555D">
      <w:r w:rsidRPr="00E47CD1">
        <w:rPr>
          <w:noProof/>
        </w:rPr>
        <w:lastRenderedPageBreak/>
        <w:drawing>
          <wp:inline distT="0" distB="0" distL="0" distR="0" wp14:anchorId="71AB8D4D" wp14:editId="79619455">
            <wp:extent cx="8697595" cy="4199255"/>
            <wp:effectExtent l="0" t="0" r="8255" b="0"/>
            <wp:docPr id="9" name="Picture 9" descr="P175#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P175#yIS1"/>
                    <pic:cNvPicPr/>
                  </pic:nvPicPr>
                  <pic:blipFill>
                    <a:blip r:embed="rId17"/>
                    <a:stretch>
                      <a:fillRect/>
                    </a:stretch>
                  </pic:blipFill>
                  <pic:spPr>
                    <a:xfrm>
                      <a:off x="0" y="0"/>
                      <a:ext cx="8697595" cy="4199255"/>
                    </a:xfrm>
                    <a:prstGeom prst="rect">
                      <a:avLst/>
                    </a:prstGeom>
                  </pic:spPr>
                </pic:pic>
              </a:graphicData>
            </a:graphic>
          </wp:inline>
        </w:drawing>
      </w:r>
    </w:p>
    <w:p w14:paraId="0C500319" w14:textId="7493879B" w:rsidR="00E47CD1" w:rsidRDefault="00E47CD1" w:rsidP="00D4555D"/>
    <w:p w14:paraId="5AC647FB" w14:textId="03C45FFF" w:rsidR="00E47CD1" w:rsidRDefault="00E47CD1" w:rsidP="00D4555D"/>
    <w:p w14:paraId="2D45561F" w14:textId="77777777" w:rsidR="00D4555D" w:rsidRDefault="00D4555D" w:rsidP="00D4555D">
      <w:pPr>
        <w:rPr>
          <w:rFonts w:ascii="Times New Roman" w:hAnsi="Times New Roman" w:cs="Times New Roman"/>
        </w:rPr>
      </w:pPr>
    </w:p>
    <w:p w14:paraId="7C89AB71" w14:textId="77777777" w:rsidR="00AE33CC" w:rsidRDefault="00AE33CC" w:rsidP="00E47CD1">
      <w:pPr>
        <w:widowControl/>
        <w:wordWrap/>
        <w:autoSpaceDE/>
        <w:autoSpaceDN/>
        <w:rPr>
          <w:rFonts w:ascii="Times New Roman" w:hAnsi="Times New Roman" w:cs="Times New Roman"/>
          <w:b/>
          <w:bCs/>
        </w:rPr>
      </w:pPr>
    </w:p>
    <w:p w14:paraId="686A527A" w14:textId="77777777" w:rsidR="00AE33CC" w:rsidRDefault="00AE33CC" w:rsidP="00E47CD1">
      <w:pPr>
        <w:widowControl/>
        <w:wordWrap/>
        <w:autoSpaceDE/>
        <w:autoSpaceDN/>
        <w:rPr>
          <w:rFonts w:ascii="Times New Roman" w:hAnsi="Times New Roman" w:cs="Times New Roman"/>
          <w:b/>
          <w:bCs/>
        </w:rPr>
      </w:pPr>
    </w:p>
    <w:p w14:paraId="534E8A58" w14:textId="48831931" w:rsidR="00E47CD1" w:rsidRPr="00A215F2" w:rsidRDefault="00E47CD1" w:rsidP="00E47CD1">
      <w:pPr>
        <w:widowControl/>
        <w:wordWrap/>
        <w:autoSpaceDE/>
        <w:autoSpaceDN/>
        <w:rPr>
          <w:rFonts w:ascii="Times New Roman" w:hAnsi="Times New Roman" w:cs="Times New Roman"/>
          <w:b/>
          <w:bCs/>
        </w:rPr>
      </w:pPr>
      <w:r w:rsidRPr="00B52BA5">
        <w:rPr>
          <w:rFonts w:ascii="Times New Roman" w:hAnsi="Times New Roman" w:cs="Times New Roman" w:hint="eastAsia"/>
          <w:b/>
          <w:bCs/>
        </w:rPr>
        <w:lastRenderedPageBreak/>
        <w:t>Supplement</w:t>
      </w:r>
      <w:r w:rsidRPr="00B52BA5">
        <w:rPr>
          <w:rFonts w:ascii="Times New Roman" w:hAnsi="Times New Roman" w:cs="Times New Roman"/>
          <w:b/>
          <w:bCs/>
        </w:rPr>
        <w:t xml:space="preserve"> </w:t>
      </w:r>
      <w:r w:rsidRPr="00B52BA5">
        <w:rPr>
          <w:rFonts w:ascii="Times New Roman" w:hAnsi="Times New Roman" w:cs="Times New Roman" w:hint="eastAsia"/>
          <w:b/>
          <w:bCs/>
        </w:rPr>
        <w:t>1.</w:t>
      </w:r>
      <w:r w:rsidRPr="00B52BA5">
        <w:rPr>
          <w:rFonts w:ascii="Times New Roman" w:hAnsi="Times New Roman" w:cs="Times New Roman"/>
          <w:b/>
          <w:bCs/>
        </w:rPr>
        <w:t xml:space="preserve"> PRISMA checklist</w:t>
      </w:r>
    </w:p>
    <w:tbl>
      <w:tblPr>
        <w:tblW w:w="5000" w:type="pct"/>
        <w:tblBorders>
          <w:top w:val="nil"/>
          <w:left w:val="nil"/>
          <w:bottom w:val="nil"/>
          <w:right w:val="nil"/>
        </w:tblBorders>
        <w:tblLook w:val="0000" w:firstRow="0" w:lastRow="0" w:firstColumn="0" w:lastColumn="0" w:noHBand="0" w:noVBand="0"/>
      </w:tblPr>
      <w:tblGrid>
        <w:gridCol w:w="1483"/>
        <w:gridCol w:w="587"/>
        <w:gridCol w:w="10553"/>
        <w:gridCol w:w="1062"/>
      </w:tblGrid>
      <w:tr w:rsidR="00E47CD1" w:rsidRPr="004C1685" w14:paraId="52A647BF" w14:textId="77777777" w:rsidTr="00EB22E5">
        <w:trPr>
          <w:trHeight w:val="65"/>
          <w:tblHeader/>
        </w:trPr>
        <w:tc>
          <w:tcPr>
            <w:tcW w:w="549" w:type="pct"/>
            <w:tcBorders>
              <w:top w:val="double" w:sz="5" w:space="0" w:color="000000"/>
              <w:left w:val="single" w:sz="5" w:space="0" w:color="000000"/>
              <w:bottom w:val="double" w:sz="2" w:space="0" w:color="FFFFCC"/>
              <w:right w:val="single" w:sz="5" w:space="0" w:color="000000"/>
            </w:tcBorders>
            <w:shd w:val="clear" w:color="auto" w:fill="63639A"/>
            <w:vAlign w:val="center"/>
          </w:tcPr>
          <w:p w14:paraId="071E32EE" w14:textId="77777777" w:rsidR="00E47CD1" w:rsidRPr="00930A31" w:rsidRDefault="00E47CD1" w:rsidP="00EB22E5">
            <w:pPr>
              <w:pStyle w:val="Default"/>
              <w:rPr>
                <w:rFonts w:ascii="Arial" w:hAnsi="Arial" w:cs="Arial"/>
                <w:color w:val="FFFFFF"/>
                <w:sz w:val="18"/>
                <w:szCs w:val="18"/>
              </w:rPr>
            </w:pPr>
            <w:r w:rsidRPr="00930A31">
              <w:rPr>
                <w:rFonts w:ascii="Arial" w:hAnsi="Arial" w:cs="Arial"/>
                <w:b/>
                <w:bCs/>
                <w:color w:val="FFFFFF"/>
                <w:sz w:val="18"/>
                <w:szCs w:val="18"/>
              </w:rPr>
              <w:t xml:space="preserve">Section and Topic </w:t>
            </w:r>
          </w:p>
        </w:tc>
        <w:tc>
          <w:tcPr>
            <w:tcW w:w="193" w:type="pct"/>
            <w:tcBorders>
              <w:top w:val="double" w:sz="5" w:space="0" w:color="000000"/>
              <w:left w:val="single" w:sz="5" w:space="0" w:color="000000"/>
              <w:bottom w:val="double" w:sz="2" w:space="0" w:color="FFFFCC"/>
              <w:right w:val="single" w:sz="5" w:space="0" w:color="000000"/>
            </w:tcBorders>
            <w:shd w:val="clear" w:color="auto" w:fill="63639A"/>
            <w:vAlign w:val="center"/>
          </w:tcPr>
          <w:p w14:paraId="2C948996" w14:textId="77777777" w:rsidR="00E47CD1" w:rsidRPr="00930A31" w:rsidRDefault="00E47CD1" w:rsidP="00EB22E5">
            <w:pPr>
              <w:pStyle w:val="Default"/>
              <w:rPr>
                <w:rFonts w:ascii="Arial" w:hAnsi="Arial" w:cs="Arial"/>
                <w:b/>
                <w:bCs/>
                <w:color w:val="FFFFFF"/>
                <w:sz w:val="18"/>
                <w:szCs w:val="18"/>
              </w:rPr>
            </w:pPr>
            <w:r w:rsidRPr="00930A31">
              <w:rPr>
                <w:rFonts w:ascii="Arial" w:hAnsi="Arial" w:cs="Arial"/>
                <w:b/>
                <w:bCs/>
                <w:color w:val="FFFFFF"/>
                <w:sz w:val="18"/>
                <w:szCs w:val="18"/>
              </w:rPr>
              <w:t>Item #</w:t>
            </w:r>
          </w:p>
        </w:tc>
        <w:tc>
          <w:tcPr>
            <w:tcW w:w="3863" w:type="pct"/>
            <w:tcBorders>
              <w:top w:val="double" w:sz="5" w:space="0" w:color="000000"/>
              <w:left w:val="single" w:sz="5" w:space="0" w:color="000000"/>
              <w:bottom w:val="double" w:sz="5" w:space="0" w:color="000000"/>
              <w:right w:val="single" w:sz="5" w:space="0" w:color="000000"/>
            </w:tcBorders>
            <w:shd w:val="clear" w:color="auto" w:fill="63639A"/>
            <w:vAlign w:val="center"/>
          </w:tcPr>
          <w:p w14:paraId="596F1103" w14:textId="77777777" w:rsidR="00E47CD1" w:rsidRPr="00930A31" w:rsidRDefault="00E47CD1" w:rsidP="00EB22E5">
            <w:pPr>
              <w:pStyle w:val="Default"/>
              <w:rPr>
                <w:rFonts w:ascii="Arial" w:hAnsi="Arial" w:cs="Arial"/>
                <w:color w:val="FFFFFF"/>
                <w:sz w:val="18"/>
                <w:szCs w:val="18"/>
              </w:rPr>
            </w:pPr>
            <w:r w:rsidRPr="00930A31">
              <w:rPr>
                <w:rFonts w:ascii="Arial" w:hAnsi="Arial" w:cs="Arial"/>
                <w:b/>
                <w:bCs/>
                <w:color w:val="FFFFFF"/>
                <w:sz w:val="18"/>
                <w:szCs w:val="18"/>
              </w:rPr>
              <w:t xml:space="preserve">Checklist item </w:t>
            </w:r>
          </w:p>
        </w:tc>
        <w:tc>
          <w:tcPr>
            <w:tcW w:w="395" w:type="pct"/>
            <w:tcBorders>
              <w:top w:val="double" w:sz="5" w:space="0" w:color="000000"/>
              <w:left w:val="single" w:sz="5" w:space="0" w:color="000000"/>
              <w:bottom w:val="double" w:sz="5" w:space="0" w:color="000000"/>
              <w:right w:val="single" w:sz="5" w:space="0" w:color="000000"/>
            </w:tcBorders>
            <w:shd w:val="clear" w:color="auto" w:fill="63639A"/>
            <w:vAlign w:val="center"/>
          </w:tcPr>
          <w:p w14:paraId="14EC91E9" w14:textId="77777777" w:rsidR="00E47CD1" w:rsidRPr="00930A31" w:rsidRDefault="00E47CD1" w:rsidP="00EB22E5">
            <w:pPr>
              <w:pStyle w:val="Default"/>
              <w:rPr>
                <w:rFonts w:ascii="Arial" w:hAnsi="Arial" w:cs="Arial"/>
                <w:color w:val="FFFFFF"/>
                <w:sz w:val="18"/>
                <w:szCs w:val="18"/>
              </w:rPr>
            </w:pPr>
            <w:r w:rsidRPr="00930A31">
              <w:rPr>
                <w:rFonts w:ascii="Arial" w:hAnsi="Arial" w:cs="Arial"/>
                <w:b/>
                <w:bCs/>
                <w:color w:val="FFFFFF"/>
                <w:sz w:val="18"/>
                <w:szCs w:val="18"/>
              </w:rPr>
              <w:t xml:space="preserve">Location where item is reported </w:t>
            </w:r>
          </w:p>
        </w:tc>
      </w:tr>
      <w:tr w:rsidR="00E47CD1" w:rsidRPr="004C1685" w14:paraId="283FD215" w14:textId="77777777" w:rsidTr="00EB22E5">
        <w:trPr>
          <w:trHeight w:val="24"/>
        </w:trPr>
        <w:tc>
          <w:tcPr>
            <w:tcW w:w="4605" w:type="pct"/>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501B5BC1" w14:textId="77777777" w:rsidR="00E47CD1" w:rsidRPr="00930A31" w:rsidRDefault="00E47CD1" w:rsidP="00EB22E5">
            <w:pPr>
              <w:pStyle w:val="Default"/>
              <w:rPr>
                <w:rFonts w:ascii="Arial" w:hAnsi="Arial" w:cs="Arial"/>
                <w:sz w:val="18"/>
                <w:szCs w:val="18"/>
              </w:rPr>
            </w:pPr>
            <w:r w:rsidRPr="00930A31">
              <w:rPr>
                <w:rFonts w:ascii="Arial" w:hAnsi="Arial" w:cs="Arial"/>
                <w:b/>
                <w:bCs/>
                <w:sz w:val="18"/>
                <w:szCs w:val="18"/>
              </w:rPr>
              <w:t xml:space="preserve">TITLE </w:t>
            </w:r>
          </w:p>
        </w:tc>
        <w:tc>
          <w:tcPr>
            <w:tcW w:w="395" w:type="pct"/>
            <w:tcBorders>
              <w:top w:val="double" w:sz="5" w:space="0" w:color="000000"/>
              <w:left w:val="single" w:sz="5" w:space="0" w:color="000000"/>
              <w:bottom w:val="single" w:sz="5" w:space="0" w:color="000000"/>
              <w:right w:val="single" w:sz="5" w:space="0" w:color="000000"/>
            </w:tcBorders>
            <w:shd w:val="clear" w:color="auto" w:fill="FFFFCC"/>
          </w:tcPr>
          <w:p w14:paraId="449BCE22" w14:textId="77777777" w:rsidR="00E47CD1" w:rsidRPr="00930A31" w:rsidRDefault="00E47CD1" w:rsidP="00EB22E5">
            <w:pPr>
              <w:pStyle w:val="Default"/>
              <w:jc w:val="right"/>
              <w:rPr>
                <w:rFonts w:ascii="Arial" w:hAnsi="Arial" w:cs="Arial"/>
                <w:color w:val="auto"/>
                <w:sz w:val="18"/>
                <w:szCs w:val="18"/>
              </w:rPr>
            </w:pPr>
          </w:p>
        </w:tc>
      </w:tr>
      <w:tr w:rsidR="00E47CD1" w:rsidRPr="004C1685" w14:paraId="4E74C618" w14:textId="77777777" w:rsidTr="00EB22E5">
        <w:trPr>
          <w:trHeight w:val="48"/>
        </w:trPr>
        <w:tc>
          <w:tcPr>
            <w:tcW w:w="549" w:type="pct"/>
            <w:tcBorders>
              <w:top w:val="single" w:sz="5" w:space="0" w:color="000000"/>
              <w:left w:val="single" w:sz="5" w:space="0" w:color="000000"/>
              <w:bottom w:val="double" w:sz="2" w:space="0" w:color="FFFFCC"/>
              <w:right w:val="single" w:sz="5" w:space="0" w:color="000000"/>
            </w:tcBorders>
          </w:tcPr>
          <w:p w14:paraId="336B4067"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Title </w:t>
            </w:r>
          </w:p>
        </w:tc>
        <w:tc>
          <w:tcPr>
            <w:tcW w:w="193" w:type="pct"/>
            <w:tcBorders>
              <w:top w:val="single" w:sz="5" w:space="0" w:color="000000"/>
              <w:left w:val="single" w:sz="5" w:space="0" w:color="000000"/>
              <w:bottom w:val="double" w:sz="2" w:space="0" w:color="FFFFCC"/>
              <w:right w:val="single" w:sz="5" w:space="0" w:color="000000"/>
            </w:tcBorders>
          </w:tcPr>
          <w:p w14:paraId="349281EA"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1</w:t>
            </w:r>
          </w:p>
        </w:tc>
        <w:tc>
          <w:tcPr>
            <w:tcW w:w="3863" w:type="pct"/>
            <w:tcBorders>
              <w:top w:val="single" w:sz="5" w:space="0" w:color="000000"/>
              <w:left w:val="single" w:sz="5" w:space="0" w:color="000000"/>
              <w:bottom w:val="double" w:sz="5" w:space="0" w:color="000000"/>
              <w:right w:val="single" w:sz="5" w:space="0" w:color="000000"/>
            </w:tcBorders>
          </w:tcPr>
          <w:p w14:paraId="738EC752"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Identify the report as a systematic review.</w:t>
            </w:r>
          </w:p>
        </w:tc>
        <w:tc>
          <w:tcPr>
            <w:tcW w:w="395" w:type="pct"/>
            <w:tcBorders>
              <w:top w:val="single" w:sz="5" w:space="0" w:color="000000"/>
              <w:left w:val="single" w:sz="5" w:space="0" w:color="000000"/>
              <w:bottom w:val="double" w:sz="5" w:space="0" w:color="000000"/>
              <w:right w:val="single" w:sz="5" w:space="0" w:color="000000"/>
            </w:tcBorders>
          </w:tcPr>
          <w:p w14:paraId="47818269"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2A4CD0D5" w14:textId="77777777" w:rsidTr="00EB22E5">
        <w:trPr>
          <w:trHeight w:val="24"/>
        </w:trPr>
        <w:tc>
          <w:tcPr>
            <w:tcW w:w="4605" w:type="pct"/>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70E05949" w14:textId="77777777" w:rsidR="00E47CD1" w:rsidRPr="00930A31" w:rsidRDefault="00E47CD1" w:rsidP="00EB22E5">
            <w:pPr>
              <w:pStyle w:val="Default"/>
              <w:rPr>
                <w:rFonts w:ascii="Arial" w:hAnsi="Arial" w:cs="Arial"/>
                <w:sz w:val="18"/>
                <w:szCs w:val="18"/>
              </w:rPr>
            </w:pPr>
            <w:r w:rsidRPr="00930A31">
              <w:rPr>
                <w:rFonts w:ascii="Arial" w:hAnsi="Arial" w:cs="Arial"/>
                <w:b/>
                <w:bCs/>
                <w:sz w:val="18"/>
                <w:szCs w:val="18"/>
              </w:rPr>
              <w:t xml:space="preserve">ABSTRACT </w:t>
            </w:r>
          </w:p>
        </w:tc>
        <w:tc>
          <w:tcPr>
            <w:tcW w:w="395" w:type="pct"/>
            <w:tcBorders>
              <w:top w:val="double" w:sz="5" w:space="0" w:color="000000"/>
              <w:left w:val="single" w:sz="5" w:space="0" w:color="000000"/>
              <w:bottom w:val="single" w:sz="5" w:space="0" w:color="000000"/>
              <w:right w:val="single" w:sz="5" w:space="0" w:color="000000"/>
            </w:tcBorders>
            <w:shd w:val="clear" w:color="auto" w:fill="FFFFCC"/>
          </w:tcPr>
          <w:p w14:paraId="69CE4C2A" w14:textId="77777777" w:rsidR="00E47CD1" w:rsidRPr="00930A31" w:rsidRDefault="00E47CD1" w:rsidP="00EB22E5">
            <w:pPr>
              <w:pStyle w:val="Default"/>
              <w:jc w:val="right"/>
              <w:rPr>
                <w:rFonts w:ascii="Arial" w:hAnsi="Arial" w:cs="Arial"/>
                <w:color w:val="auto"/>
                <w:sz w:val="18"/>
                <w:szCs w:val="18"/>
              </w:rPr>
            </w:pPr>
          </w:p>
        </w:tc>
      </w:tr>
      <w:tr w:rsidR="00E47CD1" w:rsidRPr="004C1685" w14:paraId="6019F780" w14:textId="77777777" w:rsidTr="00EB22E5">
        <w:trPr>
          <w:trHeight w:val="48"/>
        </w:trPr>
        <w:tc>
          <w:tcPr>
            <w:tcW w:w="549" w:type="pct"/>
            <w:tcBorders>
              <w:top w:val="single" w:sz="5" w:space="0" w:color="000000"/>
              <w:left w:val="single" w:sz="5" w:space="0" w:color="000000"/>
              <w:bottom w:val="double" w:sz="2" w:space="0" w:color="FFFFCC"/>
              <w:right w:val="single" w:sz="5" w:space="0" w:color="000000"/>
            </w:tcBorders>
          </w:tcPr>
          <w:p w14:paraId="5FF45298"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Abstract </w:t>
            </w:r>
          </w:p>
        </w:tc>
        <w:tc>
          <w:tcPr>
            <w:tcW w:w="193" w:type="pct"/>
            <w:tcBorders>
              <w:top w:val="single" w:sz="5" w:space="0" w:color="000000"/>
              <w:left w:val="single" w:sz="5" w:space="0" w:color="000000"/>
              <w:bottom w:val="double" w:sz="2" w:space="0" w:color="FFFFCC"/>
              <w:right w:val="single" w:sz="5" w:space="0" w:color="000000"/>
            </w:tcBorders>
          </w:tcPr>
          <w:p w14:paraId="3B117B8B"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2</w:t>
            </w:r>
          </w:p>
        </w:tc>
        <w:tc>
          <w:tcPr>
            <w:tcW w:w="3863" w:type="pct"/>
            <w:tcBorders>
              <w:top w:val="single" w:sz="5" w:space="0" w:color="000000"/>
              <w:left w:val="single" w:sz="5" w:space="0" w:color="000000"/>
              <w:bottom w:val="double" w:sz="5" w:space="0" w:color="000000"/>
              <w:right w:val="single" w:sz="5" w:space="0" w:color="000000"/>
            </w:tcBorders>
          </w:tcPr>
          <w:p w14:paraId="28BD53AC"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See the PRISMA 2020 for Abstracts checklist</w:t>
            </w:r>
            <w:r>
              <w:rPr>
                <w:rFonts w:ascii="Arial" w:hAnsi="Arial" w:cs="Arial"/>
                <w:sz w:val="18"/>
                <w:szCs w:val="18"/>
              </w:rPr>
              <w:t>.</w:t>
            </w:r>
          </w:p>
        </w:tc>
        <w:tc>
          <w:tcPr>
            <w:tcW w:w="395" w:type="pct"/>
            <w:tcBorders>
              <w:top w:val="single" w:sz="5" w:space="0" w:color="000000"/>
              <w:left w:val="single" w:sz="5" w:space="0" w:color="000000"/>
              <w:bottom w:val="double" w:sz="5" w:space="0" w:color="000000"/>
              <w:right w:val="single" w:sz="5" w:space="0" w:color="000000"/>
            </w:tcBorders>
          </w:tcPr>
          <w:p w14:paraId="023FAE9A"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739546FC" w14:textId="77777777" w:rsidTr="00EB22E5">
        <w:trPr>
          <w:trHeight w:val="24"/>
        </w:trPr>
        <w:tc>
          <w:tcPr>
            <w:tcW w:w="4605" w:type="pct"/>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5F38D420" w14:textId="77777777" w:rsidR="00E47CD1" w:rsidRPr="00930A31" w:rsidRDefault="00E47CD1" w:rsidP="00EB22E5">
            <w:pPr>
              <w:pStyle w:val="Default"/>
              <w:rPr>
                <w:rFonts w:ascii="Arial" w:hAnsi="Arial" w:cs="Arial"/>
                <w:sz w:val="18"/>
                <w:szCs w:val="18"/>
              </w:rPr>
            </w:pPr>
            <w:r w:rsidRPr="00930A31">
              <w:rPr>
                <w:rFonts w:ascii="Arial" w:hAnsi="Arial" w:cs="Arial"/>
                <w:b/>
                <w:bCs/>
                <w:sz w:val="18"/>
                <w:szCs w:val="18"/>
              </w:rPr>
              <w:t xml:space="preserve">INTRODUCTION </w:t>
            </w:r>
          </w:p>
        </w:tc>
        <w:tc>
          <w:tcPr>
            <w:tcW w:w="395" w:type="pct"/>
            <w:tcBorders>
              <w:top w:val="double" w:sz="5" w:space="0" w:color="000000"/>
              <w:left w:val="single" w:sz="5" w:space="0" w:color="000000"/>
              <w:bottom w:val="single" w:sz="5" w:space="0" w:color="000000"/>
              <w:right w:val="single" w:sz="5" w:space="0" w:color="000000"/>
            </w:tcBorders>
            <w:shd w:val="clear" w:color="auto" w:fill="FFFFCC"/>
          </w:tcPr>
          <w:p w14:paraId="222EAC50" w14:textId="77777777" w:rsidR="00E47CD1" w:rsidRPr="00930A31" w:rsidRDefault="00E47CD1" w:rsidP="00EB22E5">
            <w:pPr>
              <w:pStyle w:val="Default"/>
              <w:jc w:val="right"/>
              <w:rPr>
                <w:rFonts w:ascii="Arial" w:hAnsi="Arial" w:cs="Arial"/>
                <w:color w:val="auto"/>
                <w:sz w:val="18"/>
                <w:szCs w:val="18"/>
              </w:rPr>
            </w:pPr>
          </w:p>
        </w:tc>
      </w:tr>
      <w:tr w:rsidR="00E47CD1" w:rsidRPr="004C1685" w14:paraId="13461AF1" w14:textId="77777777" w:rsidTr="00EB22E5">
        <w:trPr>
          <w:trHeight w:val="48"/>
        </w:trPr>
        <w:tc>
          <w:tcPr>
            <w:tcW w:w="549" w:type="pct"/>
            <w:tcBorders>
              <w:top w:val="single" w:sz="5" w:space="0" w:color="000000"/>
              <w:left w:val="single" w:sz="5" w:space="0" w:color="000000"/>
              <w:bottom w:val="single" w:sz="5" w:space="0" w:color="000000"/>
              <w:right w:val="single" w:sz="5" w:space="0" w:color="000000"/>
            </w:tcBorders>
          </w:tcPr>
          <w:p w14:paraId="40D12E27"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Rationale </w:t>
            </w:r>
          </w:p>
        </w:tc>
        <w:tc>
          <w:tcPr>
            <w:tcW w:w="193" w:type="pct"/>
            <w:tcBorders>
              <w:top w:val="single" w:sz="5" w:space="0" w:color="000000"/>
              <w:left w:val="single" w:sz="5" w:space="0" w:color="000000"/>
              <w:bottom w:val="single" w:sz="5" w:space="0" w:color="000000"/>
              <w:right w:val="single" w:sz="5" w:space="0" w:color="000000"/>
            </w:tcBorders>
          </w:tcPr>
          <w:p w14:paraId="33E46AB5"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3</w:t>
            </w:r>
          </w:p>
        </w:tc>
        <w:tc>
          <w:tcPr>
            <w:tcW w:w="3863" w:type="pct"/>
            <w:tcBorders>
              <w:top w:val="single" w:sz="5" w:space="0" w:color="000000"/>
              <w:left w:val="single" w:sz="5" w:space="0" w:color="000000"/>
              <w:bottom w:val="single" w:sz="5" w:space="0" w:color="000000"/>
              <w:right w:val="single" w:sz="5" w:space="0" w:color="000000"/>
            </w:tcBorders>
          </w:tcPr>
          <w:p w14:paraId="5CDE61BE"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Describe the rationale for the review in the context of existing knowledge.</w:t>
            </w:r>
          </w:p>
        </w:tc>
        <w:tc>
          <w:tcPr>
            <w:tcW w:w="395" w:type="pct"/>
            <w:tcBorders>
              <w:top w:val="single" w:sz="5" w:space="0" w:color="000000"/>
              <w:left w:val="single" w:sz="5" w:space="0" w:color="000000"/>
              <w:bottom w:val="single" w:sz="5" w:space="0" w:color="000000"/>
              <w:right w:val="single" w:sz="5" w:space="0" w:color="000000"/>
            </w:tcBorders>
          </w:tcPr>
          <w:p w14:paraId="5A589482"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1C342E68" w14:textId="77777777" w:rsidTr="00EB22E5">
        <w:trPr>
          <w:trHeight w:val="48"/>
        </w:trPr>
        <w:tc>
          <w:tcPr>
            <w:tcW w:w="549" w:type="pct"/>
            <w:tcBorders>
              <w:top w:val="single" w:sz="5" w:space="0" w:color="000000"/>
              <w:left w:val="single" w:sz="5" w:space="0" w:color="000000"/>
              <w:bottom w:val="double" w:sz="2" w:space="0" w:color="FFFFCC"/>
              <w:right w:val="single" w:sz="5" w:space="0" w:color="000000"/>
            </w:tcBorders>
          </w:tcPr>
          <w:p w14:paraId="03844F9E"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Objectives </w:t>
            </w:r>
          </w:p>
        </w:tc>
        <w:tc>
          <w:tcPr>
            <w:tcW w:w="193" w:type="pct"/>
            <w:tcBorders>
              <w:top w:val="single" w:sz="5" w:space="0" w:color="000000"/>
              <w:left w:val="single" w:sz="5" w:space="0" w:color="000000"/>
              <w:bottom w:val="double" w:sz="2" w:space="0" w:color="FFFFCC"/>
              <w:right w:val="single" w:sz="5" w:space="0" w:color="000000"/>
            </w:tcBorders>
          </w:tcPr>
          <w:p w14:paraId="05EF1F7E"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4</w:t>
            </w:r>
          </w:p>
        </w:tc>
        <w:tc>
          <w:tcPr>
            <w:tcW w:w="3863" w:type="pct"/>
            <w:tcBorders>
              <w:top w:val="single" w:sz="5" w:space="0" w:color="000000"/>
              <w:left w:val="single" w:sz="5" w:space="0" w:color="000000"/>
              <w:bottom w:val="double" w:sz="5" w:space="0" w:color="000000"/>
              <w:right w:val="single" w:sz="5" w:space="0" w:color="000000"/>
            </w:tcBorders>
          </w:tcPr>
          <w:p w14:paraId="4197D600"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Provide an explicit statement of the objective(s) or question(s) the review addresses.</w:t>
            </w:r>
          </w:p>
        </w:tc>
        <w:tc>
          <w:tcPr>
            <w:tcW w:w="395" w:type="pct"/>
            <w:tcBorders>
              <w:top w:val="single" w:sz="5" w:space="0" w:color="000000"/>
              <w:left w:val="single" w:sz="5" w:space="0" w:color="000000"/>
              <w:bottom w:val="double" w:sz="5" w:space="0" w:color="000000"/>
              <w:right w:val="single" w:sz="5" w:space="0" w:color="000000"/>
            </w:tcBorders>
          </w:tcPr>
          <w:p w14:paraId="78F9A4CC"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4788BAF4" w14:textId="77777777" w:rsidTr="00EB22E5">
        <w:trPr>
          <w:trHeight w:val="24"/>
        </w:trPr>
        <w:tc>
          <w:tcPr>
            <w:tcW w:w="4605" w:type="pct"/>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18E50ED8" w14:textId="77777777" w:rsidR="00E47CD1" w:rsidRPr="00930A31" w:rsidRDefault="00E47CD1" w:rsidP="00EB22E5">
            <w:pPr>
              <w:pStyle w:val="Default"/>
              <w:rPr>
                <w:rFonts w:ascii="Arial" w:hAnsi="Arial" w:cs="Arial"/>
                <w:sz w:val="18"/>
                <w:szCs w:val="18"/>
              </w:rPr>
            </w:pPr>
            <w:r w:rsidRPr="00930A31">
              <w:rPr>
                <w:rFonts w:ascii="Arial" w:hAnsi="Arial" w:cs="Arial"/>
                <w:b/>
                <w:bCs/>
                <w:sz w:val="18"/>
                <w:szCs w:val="18"/>
              </w:rPr>
              <w:t xml:space="preserve">METHODS </w:t>
            </w:r>
          </w:p>
        </w:tc>
        <w:tc>
          <w:tcPr>
            <w:tcW w:w="395" w:type="pct"/>
            <w:tcBorders>
              <w:top w:val="double" w:sz="5" w:space="0" w:color="000000"/>
              <w:left w:val="single" w:sz="5" w:space="0" w:color="000000"/>
              <w:bottom w:val="single" w:sz="5" w:space="0" w:color="000000"/>
              <w:right w:val="single" w:sz="5" w:space="0" w:color="000000"/>
            </w:tcBorders>
            <w:shd w:val="clear" w:color="auto" w:fill="FFFFCC"/>
          </w:tcPr>
          <w:p w14:paraId="26773DC0" w14:textId="77777777" w:rsidR="00E47CD1" w:rsidRPr="00930A31" w:rsidRDefault="00E47CD1" w:rsidP="00EB22E5">
            <w:pPr>
              <w:pStyle w:val="Default"/>
              <w:jc w:val="right"/>
              <w:rPr>
                <w:rFonts w:ascii="Arial" w:hAnsi="Arial" w:cs="Arial"/>
                <w:color w:val="auto"/>
                <w:sz w:val="18"/>
                <w:szCs w:val="18"/>
              </w:rPr>
            </w:pPr>
          </w:p>
        </w:tc>
      </w:tr>
      <w:tr w:rsidR="00E47CD1" w:rsidRPr="004C1685" w14:paraId="54DBB2E1" w14:textId="77777777" w:rsidTr="00EB22E5">
        <w:trPr>
          <w:trHeight w:val="48"/>
        </w:trPr>
        <w:tc>
          <w:tcPr>
            <w:tcW w:w="549" w:type="pct"/>
            <w:tcBorders>
              <w:top w:val="single" w:sz="5" w:space="0" w:color="000000"/>
              <w:left w:val="single" w:sz="5" w:space="0" w:color="000000"/>
              <w:bottom w:val="single" w:sz="5" w:space="0" w:color="000000"/>
              <w:right w:val="single" w:sz="5" w:space="0" w:color="000000"/>
            </w:tcBorders>
          </w:tcPr>
          <w:p w14:paraId="6378F210"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Eligibility criteria </w:t>
            </w:r>
          </w:p>
        </w:tc>
        <w:tc>
          <w:tcPr>
            <w:tcW w:w="193" w:type="pct"/>
            <w:tcBorders>
              <w:top w:val="single" w:sz="5" w:space="0" w:color="000000"/>
              <w:left w:val="single" w:sz="5" w:space="0" w:color="000000"/>
              <w:bottom w:val="single" w:sz="5" w:space="0" w:color="000000"/>
              <w:right w:val="single" w:sz="5" w:space="0" w:color="000000"/>
            </w:tcBorders>
          </w:tcPr>
          <w:p w14:paraId="31EB3E55"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5</w:t>
            </w:r>
          </w:p>
        </w:tc>
        <w:tc>
          <w:tcPr>
            <w:tcW w:w="3863" w:type="pct"/>
            <w:tcBorders>
              <w:top w:val="single" w:sz="5" w:space="0" w:color="000000"/>
              <w:left w:val="single" w:sz="5" w:space="0" w:color="000000"/>
              <w:bottom w:val="single" w:sz="5" w:space="0" w:color="000000"/>
              <w:right w:val="single" w:sz="5" w:space="0" w:color="000000"/>
            </w:tcBorders>
          </w:tcPr>
          <w:p w14:paraId="28C319A6"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Specify the inclusion and exclusion criteria for the review and how studies were grouped for the syntheses.</w:t>
            </w:r>
          </w:p>
        </w:tc>
        <w:tc>
          <w:tcPr>
            <w:tcW w:w="395" w:type="pct"/>
            <w:tcBorders>
              <w:top w:val="single" w:sz="5" w:space="0" w:color="000000"/>
              <w:left w:val="single" w:sz="5" w:space="0" w:color="000000"/>
              <w:bottom w:val="single" w:sz="5" w:space="0" w:color="000000"/>
              <w:right w:val="single" w:sz="5" w:space="0" w:color="000000"/>
            </w:tcBorders>
          </w:tcPr>
          <w:p w14:paraId="5FBBB5D1" w14:textId="77777777" w:rsidR="00E47CD1" w:rsidRPr="00930A31" w:rsidRDefault="00E47CD1" w:rsidP="00EB22E5">
            <w:pPr>
              <w:pStyle w:val="Default"/>
              <w:spacing w:before="40" w:after="40"/>
              <w:rPr>
                <w:rFonts w:ascii="Arial" w:hAnsi="Arial" w:cs="Arial"/>
                <w:color w:val="auto"/>
                <w:sz w:val="18"/>
                <w:szCs w:val="18"/>
                <w:lang w:eastAsia="ko-KR"/>
              </w:rPr>
            </w:pPr>
          </w:p>
          <w:p w14:paraId="3F3AFBD3"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0E12466F" w14:textId="77777777" w:rsidTr="00EB22E5">
        <w:trPr>
          <w:trHeight w:val="191"/>
        </w:trPr>
        <w:tc>
          <w:tcPr>
            <w:tcW w:w="549" w:type="pct"/>
            <w:tcBorders>
              <w:top w:val="single" w:sz="5" w:space="0" w:color="000000"/>
              <w:left w:val="single" w:sz="5" w:space="0" w:color="000000"/>
              <w:bottom w:val="single" w:sz="5" w:space="0" w:color="000000"/>
              <w:right w:val="single" w:sz="5" w:space="0" w:color="000000"/>
            </w:tcBorders>
          </w:tcPr>
          <w:p w14:paraId="0B6A4ACB"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Information sources </w:t>
            </w:r>
          </w:p>
        </w:tc>
        <w:tc>
          <w:tcPr>
            <w:tcW w:w="193" w:type="pct"/>
            <w:tcBorders>
              <w:top w:val="single" w:sz="5" w:space="0" w:color="000000"/>
              <w:left w:val="single" w:sz="5" w:space="0" w:color="000000"/>
              <w:bottom w:val="single" w:sz="5" w:space="0" w:color="000000"/>
              <w:right w:val="single" w:sz="5" w:space="0" w:color="000000"/>
            </w:tcBorders>
          </w:tcPr>
          <w:p w14:paraId="07C3F430"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6</w:t>
            </w:r>
          </w:p>
        </w:tc>
        <w:tc>
          <w:tcPr>
            <w:tcW w:w="3863" w:type="pct"/>
            <w:tcBorders>
              <w:top w:val="single" w:sz="5" w:space="0" w:color="000000"/>
              <w:left w:val="single" w:sz="5" w:space="0" w:color="000000"/>
              <w:bottom w:val="single" w:sz="5" w:space="0" w:color="000000"/>
              <w:right w:val="single" w:sz="5" w:space="0" w:color="000000"/>
            </w:tcBorders>
          </w:tcPr>
          <w:p w14:paraId="037B8FE3"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Specify all databases, registers, websites, organisations, reference lists and other sources searched or consulted to identify studies. Specify the date when each source was last searched or consulted.</w:t>
            </w:r>
          </w:p>
        </w:tc>
        <w:tc>
          <w:tcPr>
            <w:tcW w:w="395" w:type="pct"/>
            <w:tcBorders>
              <w:top w:val="single" w:sz="5" w:space="0" w:color="000000"/>
              <w:left w:val="single" w:sz="5" w:space="0" w:color="000000"/>
              <w:bottom w:val="single" w:sz="5" w:space="0" w:color="000000"/>
              <w:right w:val="single" w:sz="5" w:space="0" w:color="000000"/>
            </w:tcBorders>
          </w:tcPr>
          <w:p w14:paraId="364B9EA7"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76047072" w14:textId="77777777" w:rsidTr="00EB22E5">
        <w:trPr>
          <w:trHeight w:val="48"/>
        </w:trPr>
        <w:tc>
          <w:tcPr>
            <w:tcW w:w="549" w:type="pct"/>
            <w:tcBorders>
              <w:top w:val="single" w:sz="5" w:space="0" w:color="000000"/>
              <w:left w:val="single" w:sz="5" w:space="0" w:color="000000"/>
              <w:bottom w:val="single" w:sz="5" w:space="0" w:color="000000"/>
              <w:right w:val="single" w:sz="5" w:space="0" w:color="000000"/>
            </w:tcBorders>
          </w:tcPr>
          <w:p w14:paraId="6E24DB06"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Search strategy</w:t>
            </w:r>
          </w:p>
        </w:tc>
        <w:tc>
          <w:tcPr>
            <w:tcW w:w="193" w:type="pct"/>
            <w:tcBorders>
              <w:top w:val="single" w:sz="5" w:space="0" w:color="000000"/>
              <w:left w:val="single" w:sz="5" w:space="0" w:color="000000"/>
              <w:bottom w:val="single" w:sz="5" w:space="0" w:color="000000"/>
              <w:right w:val="single" w:sz="5" w:space="0" w:color="000000"/>
            </w:tcBorders>
          </w:tcPr>
          <w:p w14:paraId="16F3790E"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7</w:t>
            </w:r>
          </w:p>
        </w:tc>
        <w:tc>
          <w:tcPr>
            <w:tcW w:w="3863" w:type="pct"/>
            <w:tcBorders>
              <w:top w:val="single" w:sz="5" w:space="0" w:color="000000"/>
              <w:left w:val="single" w:sz="5" w:space="0" w:color="000000"/>
              <w:bottom w:val="single" w:sz="5" w:space="0" w:color="000000"/>
              <w:right w:val="single" w:sz="5" w:space="0" w:color="000000"/>
            </w:tcBorders>
          </w:tcPr>
          <w:p w14:paraId="1577DBF0"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Present the full search strategies for all databases, registers and websites, including any filters and limits used.</w:t>
            </w:r>
          </w:p>
        </w:tc>
        <w:tc>
          <w:tcPr>
            <w:tcW w:w="395" w:type="pct"/>
            <w:tcBorders>
              <w:top w:val="single" w:sz="5" w:space="0" w:color="000000"/>
              <w:left w:val="single" w:sz="5" w:space="0" w:color="000000"/>
              <w:bottom w:val="single" w:sz="5" w:space="0" w:color="000000"/>
              <w:right w:val="single" w:sz="5" w:space="0" w:color="000000"/>
            </w:tcBorders>
          </w:tcPr>
          <w:p w14:paraId="323D5576"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1F1202E5" w14:textId="77777777" w:rsidTr="00EB22E5">
        <w:trPr>
          <w:trHeight w:val="48"/>
        </w:trPr>
        <w:tc>
          <w:tcPr>
            <w:tcW w:w="549" w:type="pct"/>
            <w:tcBorders>
              <w:top w:val="single" w:sz="5" w:space="0" w:color="000000"/>
              <w:left w:val="single" w:sz="5" w:space="0" w:color="000000"/>
              <w:bottom w:val="single" w:sz="5" w:space="0" w:color="000000"/>
              <w:right w:val="single" w:sz="5" w:space="0" w:color="000000"/>
            </w:tcBorders>
          </w:tcPr>
          <w:p w14:paraId="235ACACA"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Selection process</w:t>
            </w:r>
          </w:p>
        </w:tc>
        <w:tc>
          <w:tcPr>
            <w:tcW w:w="193" w:type="pct"/>
            <w:tcBorders>
              <w:top w:val="single" w:sz="5" w:space="0" w:color="000000"/>
              <w:left w:val="single" w:sz="5" w:space="0" w:color="000000"/>
              <w:bottom w:val="single" w:sz="5" w:space="0" w:color="000000"/>
              <w:right w:val="single" w:sz="5" w:space="0" w:color="000000"/>
            </w:tcBorders>
          </w:tcPr>
          <w:p w14:paraId="6D226725"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8</w:t>
            </w:r>
          </w:p>
        </w:tc>
        <w:tc>
          <w:tcPr>
            <w:tcW w:w="3863" w:type="pct"/>
            <w:tcBorders>
              <w:top w:val="single" w:sz="5" w:space="0" w:color="000000"/>
              <w:left w:val="single" w:sz="5" w:space="0" w:color="000000"/>
              <w:bottom w:val="single" w:sz="5" w:space="0" w:color="000000"/>
              <w:right w:val="single" w:sz="5" w:space="0" w:color="000000"/>
            </w:tcBorders>
          </w:tcPr>
          <w:p w14:paraId="5BDBE662"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Specify the methods used to decide whether a study met the inclusion criteria of the review, including how many reviewers screened each record and each report retrieved, whether they worked independently, and if applicable, details of automation tools used in the process.</w:t>
            </w:r>
          </w:p>
        </w:tc>
        <w:tc>
          <w:tcPr>
            <w:tcW w:w="395" w:type="pct"/>
            <w:tcBorders>
              <w:top w:val="single" w:sz="5" w:space="0" w:color="000000"/>
              <w:left w:val="single" w:sz="5" w:space="0" w:color="000000"/>
              <w:bottom w:val="single" w:sz="5" w:space="0" w:color="000000"/>
              <w:right w:val="single" w:sz="5" w:space="0" w:color="000000"/>
            </w:tcBorders>
          </w:tcPr>
          <w:p w14:paraId="1E2225D4"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59783FEF" w14:textId="77777777" w:rsidTr="00EB22E5">
        <w:trPr>
          <w:trHeight w:val="152"/>
        </w:trPr>
        <w:tc>
          <w:tcPr>
            <w:tcW w:w="549" w:type="pct"/>
            <w:tcBorders>
              <w:top w:val="single" w:sz="5" w:space="0" w:color="000000"/>
              <w:left w:val="single" w:sz="5" w:space="0" w:color="000000"/>
              <w:bottom w:val="single" w:sz="5" w:space="0" w:color="000000"/>
              <w:right w:val="single" w:sz="5" w:space="0" w:color="000000"/>
            </w:tcBorders>
          </w:tcPr>
          <w:p w14:paraId="1105CC9B"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Data collection process </w:t>
            </w:r>
          </w:p>
        </w:tc>
        <w:tc>
          <w:tcPr>
            <w:tcW w:w="193" w:type="pct"/>
            <w:tcBorders>
              <w:top w:val="single" w:sz="5" w:space="0" w:color="000000"/>
              <w:left w:val="single" w:sz="5" w:space="0" w:color="000000"/>
              <w:bottom w:val="single" w:sz="5" w:space="0" w:color="000000"/>
              <w:right w:val="single" w:sz="5" w:space="0" w:color="000000"/>
            </w:tcBorders>
          </w:tcPr>
          <w:p w14:paraId="26871FBD"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9</w:t>
            </w:r>
          </w:p>
        </w:tc>
        <w:tc>
          <w:tcPr>
            <w:tcW w:w="3863" w:type="pct"/>
            <w:tcBorders>
              <w:top w:val="single" w:sz="5" w:space="0" w:color="000000"/>
              <w:left w:val="single" w:sz="5" w:space="0" w:color="000000"/>
              <w:bottom w:val="single" w:sz="5" w:space="0" w:color="000000"/>
              <w:right w:val="single" w:sz="5" w:space="0" w:color="000000"/>
            </w:tcBorders>
          </w:tcPr>
          <w:p w14:paraId="28D96FCD"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Specify the methods used to collect data from reports, including how many reviewers collected data from each report, whether they worked independently, any processes for obtaining or confirming data from study investigators, and if applicable, details of automation tools used in the process.</w:t>
            </w:r>
          </w:p>
        </w:tc>
        <w:tc>
          <w:tcPr>
            <w:tcW w:w="395" w:type="pct"/>
            <w:tcBorders>
              <w:top w:val="single" w:sz="5" w:space="0" w:color="000000"/>
              <w:left w:val="single" w:sz="5" w:space="0" w:color="000000"/>
              <w:bottom w:val="single" w:sz="5" w:space="0" w:color="000000"/>
              <w:right w:val="single" w:sz="5" w:space="0" w:color="000000"/>
            </w:tcBorders>
          </w:tcPr>
          <w:p w14:paraId="38A2D2A8"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27B3F07E" w14:textId="77777777" w:rsidTr="00EB22E5">
        <w:trPr>
          <w:trHeight w:val="48"/>
        </w:trPr>
        <w:tc>
          <w:tcPr>
            <w:tcW w:w="549" w:type="pct"/>
            <w:vMerge w:val="restart"/>
            <w:tcBorders>
              <w:top w:val="single" w:sz="5" w:space="0" w:color="000000"/>
              <w:left w:val="single" w:sz="5" w:space="0" w:color="000000"/>
              <w:right w:val="single" w:sz="5" w:space="0" w:color="000000"/>
            </w:tcBorders>
          </w:tcPr>
          <w:p w14:paraId="7539A9E9"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Data items </w:t>
            </w:r>
          </w:p>
        </w:tc>
        <w:tc>
          <w:tcPr>
            <w:tcW w:w="193" w:type="pct"/>
            <w:tcBorders>
              <w:top w:val="single" w:sz="5" w:space="0" w:color="000000"/>
              <w:left w:val="single" w:sz="5" w:space="0" w:color="000000"/>
              <w:bottom w:val="single" w:sz="5" w:space="0" w:color="000000"/>
              <w:right w:val="single" w:sz="5" w:space="0" w:color="000000"/>
            </w:tcBorders>
          </w:tcPr>
          <w:p w14:paraId="403833AD"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10a</w:t>
            </w:r>
          </w:p>
        </w:tc>
        <w:tc>
          <w:tcPr>
            <w:tcW w:w="3863" w:type="pct"/>
            <w:tcBorders>
              <w:top w:val="single" w:sz="5" w:space="0" w:color="000000"/>
              <w:left w:val="single" w:sz="5" w:space="0" w:color="000000"/>
              <w:bottom w:val="single" w:sz="5" w:space="0" w:color="000000"/>
              <w:right w:val="single" w:sz="5" w:space="0" w:color="000000"/>
            </w:tcBorders>
          </w:tcPr>
          <w:p w14:paraId="47233A35"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List and define all outcomes for which data were sought. Specify whether all results that were compatible with each outcome domain in each study were sought (e.g. for all measures, time points, analyses), and if not, the methods used to decide which results to collect.</w:t>
            </w:r>
          </w:p>
        </w:tc>
        <w:tc>
          <w:tcPr>
            <w:tcW w:w="395" w:type="pct"/>
            <w:tcBorders>
              <w:top w:val="single" w:sz="5" w:space="0" w:color="000000"/>
              <w:left w:val="single" w:sz="5" w:space="0" w:color="000000"/>
              <w:bottom w:val="single" w:sz="5" w:space="0" w:color="000000"/>
              <w:right w:val="single" w:sz="5" w:space="0" w:color="000000"/>
            </w:tcBorders>
          </w:tcPr>
          <w:p w14:paraId="2D7CCC3C"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60E33CD6" w14:textId="77777777" w:rsidTr="00EB22E5">
        <w:trPr>
          <w:trHeight w:val="48"/>
        </w:trPr>
        <w:tc>
          <w:tcPr>
            <w:tcW w:w="549" w:type="pct"/>
            <w:vMerge/>
            <w:tcBorders>
              <w:left w:val="single" w:sz="5" w:space="0" w:color="000000"/>
              <w:bottom w:val="single" w:sz="5" w:space="0" w:color="000000"/>
              <w:right w:val="single" w:sz="5" w:space="0" w:color="000000"/>
            </w:tcBorders>
          </w:tcPr>
          <w:p w14:paraId="3D1DCB52" w14:textId="77777777" w:rsidR="00E47CD1" w:rsidRPr="00930A31" w:rsidRDefault="00E47CD1" w:rsidP="00EB22E5">
            <w:pPr>
              <w:pStyle w:val="Default"/>
              <w:spacing w:before="40" w:after="40"/>
              <w:rPr>
                <w:rFonts w:ascii="Arial" w:hAnsi="Arial" w:cs="Arial"/>
                <w:sz w:val="18"/>
                <w:szCs w:val="18"/>
              </w:rPr>
            </w:pPr>
          </w:p>
        </w:tc>
        <w:tc>
          <w:tcPr>
            <w:tcW w:w="193" w:type="pct"/>
            <w:tcBorders>
              <w:top w:val="single" w:sz="5" w:space="0" w:color="000000"/>
              <w:left w:val="single" w:sz="5" w:space="0" w:color="000000"/>
              <w:bottom w:val="single" w:sz="5" w:space="0" w:color="000000"/>
              <w:right w:val="single" w:sz="5" w:space="0" w:color="000000"/>
            </w:tcBorders>
          </w:tcPr>
          <w:p w14:paraId="3B0DCF72"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10b</w:t>
            </w:r>
          </w:p>
        </w:tc>
        <w:tc>
          <w:tcPr>
            <w:tcW w:w="3863" w:type="pct"/>
            <w:tcBorders>
              <w:top w:val="single" w:sz="5" w:space="0" w:color="000000"/>
              <w:left w:val="single" w:sz="5" w:space="0" w:color="000000"/>
              <w:bottom w:val="single" w:sz="5" w:space="0" w:color="000000"/>
              <w:right w:val="single" w:sz="5" w:space="0" w:color="000000"/>
            </w:tcBorders>
          </w:tcPr>
          <w:p w14:paraId="1BDC2D45"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List and define all other variables for which data were sought (e.g. participant and intervention characteristics, funding sources). Describe any assumptions made about any missing or unclear information.</w:t>
            </w:r>
          </w:p>
        </w:tc>
        <w:tc>
          <w:tcPr>
            <w:tcW w:w="395" w:type="pct"/>
            <w:tcBorders>
              <w:top w:val="single" w:sz="5" w:space="0" w:color="000000"/>
              <w:left w:val="single" w:sz="5" w:space="0" w:color="000000"/>
              <w:bottom w:val="single" w:sz="5" w:space="0" w:color="000000"/>
              <w:right w:val="single" w:sz="5" w:space="0" w:color="000000"/>
            </w:tcBorders>
          </w:tcPr>
          <w:p w14:paraId="68C17646"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3511576F" w14:textId="77777777" w:rsidTr="00EB22E5">
        <w:trPr>
          <w:trHeight w:val="48"/>
        </w:trPr>
        <w:tc>
          <w:tcPr>
            <w:tcW w:w="549" w:type="pct"/>
            <w:tcBorders>
              <w:top w:val="single" w:sz="5" w:space="0" w:color="000000"/>
              <w:left w:val="single" w:sz="5" w:space="0" w:color="000000"/>
              <w:bottom w:val="single" w:sz="5" w:space="0" w:color="000000"/>
              <w:right w:val="single" w:sz="5" w:space="0" w:color="000000"/>
            </w:tcBorders>
          </w:tcPr>
          <w:p w14:paraId="08A1BCAE"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Study risk of bias assessment</w:t>
            </w:r>
          </w:p>
        </w:tc>
        <w:tc>
          <w:tcPr>
            <w:tcW w:w="193" w:type="pct"/>
            <w:tcBorders>
              <w:top w:val="single" w:sz="5" w:space="0" w:color="000000"/>
              <w:left w:val="single" w:sz="5" w:space="0" w:color="000000"/>
              <w:bottom w:val="single" w:sz="5" w:space="0" w:color="000000"/>
              <w:right w:val="single" w:sz="5" w:space="0" w:color="000000"/>
            </w:tcBorders>
          </w:tcPr>
          <w:p w14:paraId="3FD01802"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11</w:t>
            </w:r>
          </w:p>
        </w:tc>
        <w:tc>
          <w:tcPr>
            <w:tcW w:w="3863" w:type="pct"/>
            <w:tcBorders>
              <w:top w:val="single" w:sz="5" w:space="0" w:color="000000"/>
              <w:left w:val="single" w:sz="5" w:space="0" w:color="000000"/>
              <w:bottom w:val="single" w:sz="5" w:space="0" w:color="000000"/>
              <w:right w:val="single" w:sz="5" w:space="0" w:color="000000"/>
            </w:tcBorders>
          </w:tcPr>
          <w:p w14:paraId="2D35D26E"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Specify the methods used to assess risk of bias in the included studies, including details of the tool(s) used, how many reviewers assessed each study and whether they worked independently, and if applicable, details of automation tools used in the process.</w:t>
            </w:r>
          </w:p>
        </w:tc>
        <w:tc>
          <w:tcPr>
            <w:tcW w:w="395" w:type="pct"/>
            <w:tcBorders>
              <w:top w:val="single" w:sz="5" w:space="0" w:color="000000"/>
              <w:left w:val="single" w:sz="5" w:space="0" w:color="000000"/>
              <w:bottom w:val="single" w:sz="5" w:space="0" w:color="000000"/>
              <w:right w:val="single" w:sz="5" w:space="0" w:color="000000"/>
            </w:tcBorders>
          </w:tcPr>
          <w:p w14:paraId="04D6874D"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1EE52AA7" w14:textId="77777777" w:rsidTr="00EB22E5">
        <w:trPr>
          <w:trHeight w:val="48"/>
        </w:trPr>
        <w:tc>
          <w:tcPr>
            <w:tcW w:w="549" w:type="pct"/>
            <w:tcBorders>
              <w:top w:val="single" w:sz="5" w:space="0" w:color="000000"/>
              <w:left w:val="single" w:sz="5" w:space="0" w:color="000000"/>
              <w:bottom w:val="single" w:sz="5" w:space="0" w:color="000000"/>
              <w:right w:val="single" w:sz="5" w:space="0" w:color="000000"/>
            </w:tcBorders>
          </w:tcPr>
          <w:p w14:paraId="75541B95"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Effect measures </w:t>
            </w:r>
          </w:p>
        </w:tc>
        <w:tc>
          <w:tcPr>
            <w:tcW w:w="193" w:type="pct"/>
            <w:tcBorders>
              <w:top w:val="single" w:sz="5" w:space="0" w:color="000000"/>
              <w:left w:val="single" w:sz="5" w:space="0" w:color="000000"/>
              <w:bottom w:val="single" w:sz="5" w:space="0" w:color="000000"/>
              <w:right w:val="single" w:sz="5" w:space="0" w:color="000000"/>
            </w:tcBorders>
          </w:tcPr>
          <w:p w14:paraId="36B3104D"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12</w:t>
            </w:r>
          </w:p>
        </w:tc>
        <w:tc>
          <w:tcPr>
            <w:tcW w:w="3863" w:type="pct"/>
            <w:tcBorders>
              <w:top w:val="single" w:sz="5" w:space="0" w:color="000000"/>
              <w:left w:val="single" w:sz="5" w:space="0" w:color="000000"/>
              <w:bottom w:val="single" w:sz="5" w:space="0" w:color="000000"/>
              <w:right w:val="single" w:sz="5" w:space="0" w:color="000000"/>
            </w:tcBorders>
          </w:tcPr>
          <w:p w14:paraId="0E85267A"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Specify for each outcome the effect measure(s) (e.g. risk ratio, mean difference) used in the synthesis or presentation of results.</w:t>
            </w:r>
          </w:p>
        </w:tc>
        <w:tc>
          <w:tcPr>
            <w:tcW w:w="395" w:type="pct"/>
            <w:tcBorders>
              <w:top w:val="single" w:sz="5" w:space="0" w:color="000000"/>
              <w:left w:val="single" w:sz="5" w:space="0" w:color="000000"/>
              <w:bottom w:val="single" w:sz="5" w:space="0" w:color="000000"/>
              <w:right w:val="single" w:sz="5" w:space="0" w:color="000000"/>
            </w:tcBorders>
          </w:tcPr>
          <w:p w14:paraId="2521DB42"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2CF46128" w14:textId="77777777" w:rsidTr="00EB22E5">
        <w:trPr>
          <w:trHeight w:val="48"/>
        </w:trPr>
        <w:tc>
          <w:tcPr>
            <w:tcW w:w="549" w:type="pct"/>
            <w:vMerge w:val="restart"/>
            <w:tcBorders>
              <w:top w:val="single" w:sz="5" w:space="0" w:color="000000"/>
              <w:left w:val="single" w:sz="5" w:space="0" w:color="000000"/>
              <w:right w:val="single" w:sz="5" w:space="0" w:color="000000"/>
            </w:tcBorders>
          </w:tcPr>
          <w:p w14:paraId="58A1FA92"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Synthesis </w:t>
            </w:r>
            <w:r w:rsidRPr="00930A31">
              <w:rPr>
                <w:rFonts w:ascii="Arial" w:hAnsi="Arial" w:cs="Arial"/>
                <w:sz w:val="18"/>
                <w:szCs w:val="18"/>
              </w:rPr>
              <w:lastRenderedPageBreak/>
              <w:t>methods</w:t>
            </w:r>
          </w:p>
        </w:tc>
        <w:tc>
          <w:tcPr>
            <w:tcW w:w="193" w:type="pct"/>
            <w:tcBorders>
              <w:top w:val="single" w:sz="5" w:space="0" w:color="000000"/>
              <w:left w:val="single" w:sz="5" w:space="0" w:color="000000"/>
              <w:bottom w:val="single" w:sz="5" w:space="0" w:color="000000"/>
              <w:right w:val="single" w:sz="5" w:space="0" w:color="000000"/>
            </w:tcBorders>
          </w:tcPr>
          <w:p w14:paraId="59168BD4"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lastRenderedPageBreak/>
              <w:t>13a</w:t>
            </w:r>
          </w:p>
        </w:tc>
        <w:tc>
          <w:tcPr>
            <w:tcW w:w="3863" w:type="pct"/>
            <w:tcBorders>
              <w:top w:val="single" w:sz="5" w:space="0" w:color="000000"/>
              <w:left w:val="single" w:sz="5" w:space="0" w:color="000000"/>
              <w:bottom w:val="single" w:sz="5" w:space="0" w:color="000000"/>
              <w:right w:val="single" w:sz="5" w:space="0" w:color="000000"/>
            </w:tcBorders>
          </w:tcPr>
          <w:p w14:paraId="50FF2738"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Describe the processes used to decide which studies were eligible for each synthesis (e.g. tabulating the study intervention </w:t>
            </w:r>
            <w:r w:rsidRPr="00930A31">
              <w:rPr>
                <w:rFonts w:ascii="Arial" w:hAnsi="Arial" w:cs="Arial"/>
                <w:sz w:val="18"/>
                <w:szCs w:val="18"/>
              </w:rPr>
              <w:lastRenderedPageBreak/>
              <w:t>characteristics and comparing against the planned groups for each synthesis (item #5)).</w:t>
            </w:r>
          </w:p>
        </w:tc>
        <w:tc>
          <w:tcPr>
            <w:tcW w:w="395" w:type="pct"/>
            <w:tcBorders>
              <w:top w:val="single" w:sz="5" w:space="0" w:color="000000"/>
              <w:left w:val="single" w:sz="5" w:space="0" w:color="000000"/>
              <w:bottom w:val="single" w:sz="5" w:space="0" w:color="000000"/>
              <w:right w:val="single" w:sz="5" w:space="0" w:color="000000"/>
            </w:tcBorders>
          </w:tcPr>
          <w:p w14:paraId="67907C10"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603BA4E8" w14:textId="77777777" w:rsidTr="00EB22E5">
        <w:trPr>
          <w:trHeight w:val="48"/>
        </w:trPr>
        <w:tc>
          <w:tcPr>
            <w:tcW w:w="549" w:type="pct"/>
            <w:vMerge/>
            <w:tcBorders>
              <w:left w:val="single" w:sz="5" w:space="0" w:color="000000"/>
              <w:right w:val="single" w:sz="5" w:space="0" w:color="000000"/>
            </w:tcBorders>
          </w:tcPr>
          <w:p w14:paraId="36401239" w14:textId="77777777" w:rsidR="00E47CD1" w:rsidRPr="00930A31" w:rsidRDefault="00E47CD1" w:rsidP="00EB22E5">
            <w:pPr>
              <w:pStyle w:val="Default"/>
              <w:spacing w:before="40" w:after="40"/>
              <w:rPr>
                <w:rFonts w:ascii="Arial" w:hAnsi="Arial" w:cs="Arial"/>
                <w:sz w:val="18"/>
                <w:szCs w:val="18"/>
              </w:rPr>
            </w:pPr>
          </w:p>
        </w:tc>
        <w:tc>
          <w:tcPr>
            <w:tcW w:w="193" w:type="pct"/>
            <w:tcBorders>
              <w:top w:val="single" w:sz="5" w:space="0" w:color="000000"/>
              <w:left w:val="single" w:sz="5" w:space="0" w:color="000000"/>
              <w:bottom w:val="single" w:sz="5" w:space="0" w:color="000000"/>
              <w:right w:val="single" w:sz="5" w:space="0" w:color="000000"/>
            </w:tcBorders>
          </w:tcPr>
          <w:p w14:paraId="5307F49D"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13b</w:t>
            </w:r>
          </w:p>
        </w:tc>
        <w:tc>
          <w:tcPr>
            <w:tcW w:w="3863" w:type="pct"/>
            <w:tcBorders>
              <w:top w:val="single" w:sz="5" w:space="0" w:color="000000"/>
              <w:left w:val="single" w:sz="5" w:space="0" w:color="000000"/>
              <w:bottom w:val="single" w:sz="5" w:space="0" w:color="000000"/>
              <w:right w:val="single" w:sz="5" w:space="0" w:color="000000"/>
            </w:tcBorders>
          </w:tcPr>
          <w:p w14:paraId="7340180E"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Describe any methods required to prepare the data for presentation or synthesis, such as handling of missing summary statistics, or data conversions.</w:t>
            </w:r>
          </w:p>
        </w:tc>
        <w:tc>
          <w:tcPr>
            <w:tcW w:w="395" w:type="pct"/>
            <w:tcBorders>
              <w:top w:val="single" w:sz="5" w:space="0" w:color="000000"/>
              <w:left w:val="single" w:sz="5" w:space="0" w:color="000000"/>
              <w:bottom w:val="single" w:sz="5" w:space="0" w:color="000000"/>
              <w:right w:val="single" w:sz="5" w:space="0" w:color="000000"/>
            </w:tcBorders>
          </w:tcPr>
          <w:p w14:paraId="7CE7B5F0"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6358E80F" w14:textId="77777777" w:rsidTr="00EB22E5">
        <w:trPr>
          <w:trHeight w:val="48"/>
        </w:trPr>
        <w:tc>
          <w:tcPr>
            <w:tcW w:w="549" w:type="pct"/>
            <w:vMerge/>
            <w:tcBorders>
              <w:left w:val="single" w:sz="5" w:space="0" w:color="000000"/>
              <w:right w:val="single" w:sz="5" w:space="0" w:color="000000"/>
            </w:tcBorders>
          </w:tcPr>
          <w:p w14:paraId="6B3247B3" w14:textId="77777777" w:rsidR="00E47CD1" w:rsidRPr="00930A31" w:rsidRDefault="00E47CD1" w:rsidP="00EB22E5">
            <w:pPr>
              <w:pStyle w:val="Default"/>
              <w:spacing w:before="40" w:after="40"/>
              <w:rPr>
                <w:rFonts w:ascii="Arial" w:hAnsi="Arial" w:cs="Arial"/>
                <w:sz w:val="18"/>
                <w:szCs w:val="18"/>
              </w:rPr>
            </w:pPr>
          </w:p>
        </w:tc>
        <w:tc>
          <w:tcPr>
            <w:tcW w:w="193" w:type="pct"/>
            <w:tcBorders>
              <w:top w:val="single" w:sz="5" w:space="0" w:color="000000"/>
              <w:left w:val="single" w:sz="5" w:space="0" w:color="000000"/>
              <w:bottom w:val="single" w:sz="5" w:space="0" w:color="000000"/>
              <w:right w:val="single" w:sz="5" w:space="0" w:color="000000"/>
            </w:tcBorders>
          </w:tcPr>
          <w:p w14:paraId="02F57BB1"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13c</w:t>
            </w:r>
          </w:p>
        </w:tc>
        <w:tc>
          <w:tcPr>
            <w:tcW w:w="3863" w:type="pct"/>
            <w:tcBorders>
              <w:top w:val="single" w:sz="5" w:space="0" w:color="000000"/>
              <w:left w:val="single" w:sz="5" w:space="0" w:color="000000"/>
              <w:bottom w:val="single" w:sz="5" w:space="0" w:color="000000"/>
              <w:right w:val="single" w:sz="5" w:space="0" w:color="000000"/>
            </w:tcBorders>
          </w:tcPr>
          <w:p w14:paraId="1E96EAE0"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Describe any methods used to tabulate or visually display results of individual studies and syntheses.</w:t>
            </w:r>
          </w:p>
        </w:tc>
        <w:tc>
          <w:tcPr>
            <w:tcW w:w="395" w:type="pct"/>
            <w:tcBorders>
              <w:top w:val="single" w:sz="5" w:space="0" w:color="000000"/>
              <w:left w:val="single" w:sz="5" w:space="0" w:color="000000"/>
              <w:bottom w:val="single" w:sz="5" w:space="0" w:color="000000"/>
              <w:right w:val="single" w:sz="5" w:space="0" w:color="000000"/>
            </w:tcBorders>
          </w:tcPr>
          <w:p w14:paraId="1EBD6859"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3902B4BA" w14:textId="77777777" w:rsidTr="00EB22E5">
        <w:trPr>
          <w:trHeight w:val="48"/>
        </w:trPr>
        <w:tc>
          <w:tcPr>
            <w:tcW w:w="549" w:type="pct"/>
            <w:vMerge/>
            <w:tcBorders>
              <w:left w:val="single" w:sz="5" w:space="0" w:color="000000"/>
              <w:right w:val="single" w:sz="5" w:space="0" w:color="000000"/>
            </w:tcBorders>
          </w:tcPr>
          <w:p w14:paraId="64CB7D76" w14:textId="77777777" w:rsidR="00E47CD1" w:rsidRPr="00930A31" w:rsidRDefault="00E47CD1" w:rsidP="00EB22E5">
            <w:pPr>
              <w:pStyle w:val="Default"/>
              <w:spacing w:before="40" w:after="40"/>
              <w:rPr>
                <w:rFonts w:ascii="Arial" w:hAnsi="Arial" w:cs="Arial"/>
                <w:sz w:val="18"/>
                <w:szCs w:val="18"/>
              </w:rPr>
            </w:pPr>
          </w:p>
        </w:tc>
        <w:tc>
          <w:tcPr>
            <w:tcW w:w="193" w:type="pct"/>
            <w:tcBorders>
              <w:top w:val="single" w:sz="5" w:space="0" w:color="000000"/>
              <w:left w:val="single" w:sz="5" w:space="0" w:color="000000"/>
              <w:bottom w:val="single" w:sz="5" w:space="0" w:color="000000"/>
              <w:right w:val="single" w:sz="5" w:space="0" w:color="000000"/>
            </w:tcBorders>
          </w:tcPr>
          <w:p w14:paraId="6D98F4ED"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13d</w:t>
            </w:r>
          </w:p>
        </w:tc>
        <w:tc>
          <w:tcPr>
            <w:tcW w:w="3863" w:type="pct"/>
            <w:tcBorders>
              <w:top w:val="single" w:sz="5" w:space="0" w:color="000000"/>
              <w:left w:val="single" w:sz="5" w:space="0" w:color="000000"/>
              <w:bottom w:val="single" w:sz="5" w:space="0" w:color="000000"/>
              <w:right w:val="single" w:sz="5" w:space="0" w:color="000000"/>
            </w:tcBorders>
          </w:tcPr>
          <w:p w14:paraId="1FF918DE"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Describe any methods used to synthesize results and provide a rationale for the choice(s). If meta-analysis was performed, describe the model(s), method(s) to identify the presence and extent of statistical heterogeneity, and software package(s) used.</w:t>
            </w:r>
          </w:p>
        </w:tc>
        <w:tc>
          <w:tcPr>
            <w:tcW w:w="395" w:type="pct"/>
            <w:tcBorders>
              <w:top w:val="single" w:sz="5" w:space="0" w:color="000000"/>
              <w:left w:val="single" w:sz="5" w:space="0" w:color="000000"/>
              <w:bottom w:val="single" w:sz="5" w:space="0" w:color="000000"/>
              <w:right w:val="single" w:sz="5" w:space="0" w:color="000000"/>
            </w:tcBorders>
          </w:tcPr>
          <w:p w14:paraId="323BBE5D"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6CC7D8B7" w14:textId="77777777" w:rsidTr="00EB22E5">
        <w:trPr>
          <w:trHeight w:val="48"/>
        </w:trPr>
        <w:tc>
          <w:tcPr>
            <w:tcW w:w="549" w:type="pct"/>
            <w:vMerge/>
            <w:tcBorders>
              <w:left w:val="single" w:sz="5" w:space="0" w:color="000000"/>
              <w:right w:val="single" w:sz="5" w:space="0" w:color="000000"/>
            </w:tcBorders>
          </w:tcPr>
          <w:p w14:paraId="37DC0D3A" w14:textId="77777777" w:rsidR="00E47CD1" w:rsidRPr="00930A31" w:rsidRDefault="00E47CD1" w:rsidP="00EB22E5">
            <w:pPr>
              <w:pStyle w:val="Default"/>
              <w:spacing w:before="40" w:after="40"/>
              <w:rPr>
                <w:rFonts w:ascii="Arial" w:hAnsi="Arial" w:cs="Arial"/>
                <w:sz w:val="18"/>
                <w:szCs w:val="18"/>
              </w:rPr>
            </w:pPr>
          </w:p>
        </w:tc>
        <w:tc>
          <w:tcPr>
            <w:tcW w:w="193" w:type="pct"/>
            <w:tcBorders>
              <w:top w:val="single" w:sz="5" w:space="0" w:color="000000"/>
              <w:left w:val="single" w:sz="5" w:space="0" w:color="000000"/>
              <w:bottom w:val="single" w:sz="5" w:space="0" w:color="000000"/>
              <w:right w:val="single" w:sz="5" w:space="0" w:color="000000"/>
            </w:tcBorders>
          </w:tcPr>
          <w:p w14:paraId="0FF432C1"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13e</w:t>
            </w:r>
          </w:p>
        </w:tc>
        <w:tc>
          <w:tcPr>
            <w:tcW w:w="3863" w:type="pct"/>
            <w:tcBorders>
              <w:top w:val="single" w:sz="5" w:space="0" w:color="000000"/>
              <w:left w:val="single" w:sz="5" w:space="0" w:color="000000"/>
              <w:bottom w:val="single" w:sz="5" w:space="0" w:color="000000"/>
              <w:right w:val="single" w:sz="5" w:space="0" w:color="000000"/>
            </w:tcBorders>
          </w:tcPr>
          <w:p w14:paraId="264BD0EF"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Describe any methods used to explore possible causes of heterogeneity among study results (e.g. subgroup analysis, meta-regression).</w:t>
            </w:r>
          </w:p>
        </w:tc>
        <w:tc>
          <w:tcPr>
            <w:tcW w:w="395" w:type="pct"/>
            <w:tcBorders>
              <w:top w:val="single" w:sz="5" w:space="0" w:color="000000"/>
              <w:left w:val="single" w:sz="5" w:space="0" w:color="000000"/>
              <w:bottom w:val="single" w:sz="5" w:space="0" w:color="000000"/>
              <w:right w:val="single" w:sz="5" w:space="0" w:color="000000"/>
            </w:tcBorders>
          </w:tcPr>
          <w:p w14:paraId="459B2ADA"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1E7622AA" w14:textId="77777777" w:rsidTr="00EB22E5">
        <w:trPr>
          <w:trHeight w:val="50"/>
        </w:trPr>
        <w:tc>
          <w:tcPr>
            <w:tcW w:w="549" w:type="pct"/>
            <w:vMerge/>
            <w:tcBorders>
              <w:left w:val="single" w:sz="5" w:space="0" w:color="000000"/>
              <w:bottom w:val="single" w:sz="5" w:space="0" w:color="000000"/>
              <w:right w:val="single" w:sz="5" w:space="0" w:color="000000"/>
            </w:tcBorders>
          </w:tcPr>
          <w:p w14:paraId="49D1D76C" w14:textId="77777777" w:rsidR="00E47CD1" w:rsidRPr="00930A31" w:rsidRDefault="00E47CD1" w:rsidP="00EB22E5">
            <w:pPr>
              <w:pStyle w:val="Default"/>
              <w:spacing w:before="40" w:after="40"/>
              <w:rPr>
                <w:rFonts w:ascii="Arial" w:hAnsi="Arial" w:cs="Arial"/>
                <w:sz w:val="18"/>
                <w:szCs w:val="18"/>
              </w:rPr>
            </w:pPr>
          </w:p>
        </w:tc>
        <w:tc>
          <w:tcPr>
            <w:tcW w:w="193" w:type="pct"/>
            <w:tcBorders>
              <w:top w:val="single" w:sz="5" w:space="0" w:color="000000"/>
              <w:left w:val="single" w:sz="5" w:space="0" w:color="000000"/>
              <w:bottom w:val="single" w:sz="5" w:space="0" w:color="000000"/>
              <w:right w:val="single" w:sz="5" w:space="0" w:color="000000"/>
            </w:tcBorders>
          </w:tcPr>
          <w:p w14:paraId="1242164A"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13f</w:t>
            </w:r>
          </w:p>
        </w:tc>
        <w:tc>
          <w:tcPr>
            <w:tcW w:w="3863" w:type="pct"/>
            <w:tcBorders>
              <w:top w:val="single" w:sz="5" w:space="0" w:color="000000"/>
              <w:left w:val="single" w:sz="5" w:space="0" w:color="000000"/>
              <w:bottom w:val="single" w:sz="5" w:space="0" w:color="000000"/>
              <w:right w:val="single" w:sz="5" w:space="0" w:color="000000"/>
            </w:tcBorders>
          </w:tcPr>
          <w:p w14:paraId="0C5DD660"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Describe any sensitivity analyses conducted to assess robustness of the synthesized results.</w:t>
            </w:r>
          </w:p>
        </w:tc>
        <w:tc>
          <w:tcPr>
            <w:tcW w:w="395" w:type="pct"/>
            <w:tcBorders>
              <w:top w:val="single" w:sz="5" w:space="0" w:color="000000"/>
              <w:left w:val="single" w:sz="5" w:space="0" w:color="000000"/>
              <w:bottom w:val="single" w:sz="5" w:space="0" w:color="000000"/>
              <w:right w:val="single" w:sz="5" w:space="0" w:color="000000"/>
            </w:tcBorders>
          </w:tcPr>
          <w:p w14:paraId="06F5CAEA"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0CE95194" w14:textId="77777777" w:rsidTr="00EB22E5">
        <w:trPr>
          <w:trHeight w:val="48"/>
        </w:trPr>
        <w:tc>
          <w:tcPr>
            <w:tcW w:w="549" w:type="pct"/>
            <w:tcBorders>
              <w:top w:val="single" w:sz="5" w:space="0" w:color="000000"/>
              <w:left w:val="single" w:sz="5" w:space="0" w:color="000000"/>
              <w:bottom w:val="single" w:sz="5" w:space="0" w:color="000000"/>
              <w:right w:val="single" w:sz="5" w:space="0" w:color="000000"/>
            </w:tcBorders>
          </w:tcPr>
          <w:p w14:paraId="351C9B51"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Reporting bias assessment</w:t>
            </w:r>
          </w:p>
        </w:tc>
        <w:tc>
          <w:tcPr>
            <w:tcW w:w="193" w:type="pct"/>
            <w:tcBorders>
              <w:top w:val="single" w:sz="5" w:space="0" w:color="000000"/>
              <w:left w:val="single" w:sz="5" w:space="0" w:color="000000"/>
              <w:bottom w:val="single" w:sz="5" w:space="0" w:color="000000"/>
              <w:right w:val="single" w:sz="5" w:space="0" w:color="000000"/>
            </w:tcBorders>
          </w:tcPr>
          <w:p w14:paraId="257F37D0"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14</w:t>
            </w:r>
          </w:p>
        </w:tc>
        <w:tc>
          <w:tcPr>
            <w:tcW w:w="3863" w:type="pct"/>
            <w:tcBorders>
              <w:top w:val="single" w:sz="5" w:space="0" w:color="000000"/>
              <w:left w:val="single" w:sz="5" w:space="0" w:color="000000"/>
              <w:bottom w:val="single" w:sz="5" w:space="0" w:color="000000"/>
              <w:right w:val="single" w:sz="5" w:space="0" w:color="000000"/>
            </w:tcBorders>
          </w:tcPr>
          <w:p w14:paraId="1C8CE1AF"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Describe any methods used to assess risk of bias due to missing results in a synthesis (arising from reporting biases).</w:t>
            </w:r>
          </w:p>
        </w:tc>
        <w:tc>
          <w:tcPr>
            <w:tcW w:w="395" w:type="pct"/>
            <w:tcBorders>
              <w:top w:val="single" w:sz="5" w:space="0" w:color="000000"/>
              <w:left w:val="single" w:sz="5" w:space="0" w:color="000000"/>
              <w:bottom w:val="single" w:sz="5" w:space="0" w:color="000000"/>
              <w:right w:val="single" w:sz="5" w:space="0" w:color="000000"/>
            </w:tcBorders>
          </w:tcPr>
          <w:p w14:paraId="63BAB61D"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1E4F5625" w14:textId="77777777" w:rsidTr="00EB22E5">
        <w:trPr>
          <w:trHeight w:val="48"/>
        </w:trPr>
        <w:tc>
          <w:tcPr>
            <w:tcW w:w="549" w:type="pct"/>
            <w:tcBorders>
              <w:top w:val="single" w:sz="5" w:space="0" w:color="000000"/>
              <w:left w:val="single" w:sz="5" w:space="0" w:color="000000"/>
              <w:bottom w:val="single" w:sz="5" w:space="0" w:color="000000"/>
              <w:right w:val="single" w:sz="5" w:space="0" w:color="000000"/>
            </w:tcBorders>
          </w:tcPr>
          <w:p w14:paraId="6DEB427A"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Certainty assessment</w:t>
            </w:r>
          </w:p>
        </w:tc>
        <w:tc>
          <w:tcPr>
            <w:tcW w:w="193" w:type="pct"/>
            <w:tcBorders>
              <w:top w:val="single" w:sz="5" w:space="0" w:color="000000"/>
              <w:left w:val="single" w:sz="5" w:space="0" w:color="000000"/>
              <w:bottom w:val="single" w:sz="5" w:space="0" w:color="000000"/>
              <w:right w:val="single" w:sz="5" w:space="0" w:color="000000"/>
            </w:tcBorders>
          </w:tcPr>
          <w:p w14:paraId="7562267F"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15</w:t>
            </w:r>
          </w:p>
        </w:tc>
        <w:tc>
          <w:tcPr>
            <w:tcW w:w="3863" w:type="pct"/>
            <w:tcBorders>
              <w:top w:val="single" w:sz="5" w:space="0" w:color="000000"/>
              <w:left w:val="single" w:sz="5" w:space="0" w:color="000000"/>
              <w:bottom w:val="single" w:sz="5" w:space="0" w:color="000000"/>
              <w:right w:val="single" w:sz="5" w:space="0" w:color="000000"/>
            </w:tcBorders>
          </w:tcPr>
          <w:p w14:paraId="516BD0CB"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Describe any methods used to assess certainty (or confidence) in the body of evidence for an outcome.</w:t>
            </w:r>
          </w:p>
        </w:tc>
        <w:tc>
          <w:tcPr>
            <w:tcW w:w="395" w:type="pct"/>
            <w:tcBorders>
              <w:top w:val="single" w:sz="5" w:space="0" w:color="000000"/>
              <w:left w:val="single" w:sz="5" w:space="0" w:color="000000"/>
              <w:bottom w:val="single" w:sz="5" w:space="0" w:color="000000"/>
              <w:right w:val="single" w:sz="5" w:space="0" w:color="000000"/>
            </w:tcBorders>
          </w:tcPr>
          <w:p w14:paraId="3035E2EC"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4ECCC7D7" w14:textId="77777777" w:rsidTr="00EB22E5">
        <w:trPr>
          <w:trHeight w:val="24"/>
        </w:trPr>
        <w:tc>
          <w:tcPr>
            <w:tcW w:w="4605" w:type="pct"/>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64A89E2F" w14:textId="77777777" w:rsidR="00E47CD1" w:rsidRPr="00930A31" w:rsidRDefault="00E47CD1" w:rsidP="00EB22E5">
            <w:pPr>
              <w:pStyle w:val="Default"/>
              <w:rPr>
                <w:rFonts w:ascii="Arial" w:hAnsi="Arial" w:cs="Arial"/>
                <w:sz w:val="18"/>
                <w:szCs w:val="18"/>
              </w:rPr>
            </w:pPr>
            <w:r w:rsidRPr="00930A31">
              <w:rPr>
                <w:rFonts w:ascii="Arial" w:hAnsi="Arial" w:cs="Arial"/>
                <w:b/>
                <w:bCs/>
                <w:sz w:val="18"/>
                <w:szCs w:val="18"/>
              </w:rPr>
              <w:t xml:space="preserve">RESULTS </w:t>
            </w:r>
          </w:p>
        </w:tc>
        <w:tc>
          <w:tcPr>
            <w:tcW w:w="395" w:type="pct"/>
            <w:tcBorders>
              <w:top w:val="double" w:sz="5" w:space="0" w:color="000000"/>
              <w:left w:val="single" w:sz="5" w:space="0" w:color="000000"/>
              <w:bottom w:val="single" w:sz="5" w:space="0" w:color="000000"/>
              <w:right w:val="single" w:sz="5" w:space="0" w:color="000000"/>
            </w:tcBorders>
            <w:shd w:val="clear" w:color="auto" w:fill="FFFFCC"/>
          </w:tcPr>
          <w:p w14:paraId="33C95BA0" w14:textId="77777777" w:rsidR="00E47CD1" w:rsidRPr="00930A31" w:rsidRDefault="00E47CD1" w:rsidP="00EB22E5">
            <w:pPr>
              <w:pStyle w:val="Default"/>
              <w:jc w:val="center"/>
              <w:rPr>
                <w:rFonts w:ascii="Arial" w:hAnsi="Arial" w:cs="Arial"/>
                <w:color w:val="auto"/>
                <w:sz w:val="18"/>
                <w:szCs w:val="18"/>
              </w:rPr>
            </w:pPr>
          </w:p>
        </w:tc>
      </w:tr>
      <w:tr w:rsidR="00E47CD1" w:rsidRPr="004C1685" w14:paraId="61FEDB9D" w14:textId="77777777" w:rsidTr="00EB22E5">
        <w:trPr>
          <w:trHeight w:val="48"/>
        </w:trPr>
        <w:tc>
          <w:tcPr>
            <w:tcW w:w="549" w:type="pct"/>
            <w:vMerge w:val="restart"/>
            <w:tcBorders>
              <w:top w:val="single" w:sz="5" w:space="0" w:color="000000"/>
              <w:left w:val="single" w:sz="5" w:space="0" w:color="000000"/>
              <w:right w:val="single" w:sz="5" w:space="0" w:color="000000"/>
            </w:tcBorders>
          </w:tcPr>
          <w:p w14:paraId="211B5E38"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Study selection </w:t>
            </w:r>
          </w:p>
        </w:tc>
        <w:tc>
          <w:tcPr>
            <w:tcW w:w="193" w:type="pct"/>
            <w:tcBorders>
              <w:top w:val="single" w:sz="5" w:space="0" w:color="000000"/>
              <w:left w:val="single" w:sz="5" w:space="0" w:color="000000"/>
              <w:bottom w:val="single" w:sz="5" w:space="0" w:color="000000"/>
              <w:right w:val="single" w:sz="5" w:space="0" w:color="000000"/>
            </w:tcBorders>
          </w:tcPr>
          <w:p w14:paraId="31FA5F63"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16a</w:t>
            </w:r>
          </w:p>
        </w:tc>
        <w:tc>
          <w:tcPr>
            <w:tcW w:w="3863" w:type="pct"/>
            <w:tcBorders>
              <w:top w:val="single" w:sz="5" w:space="0" w:color="000000"/>
              <w:left w:val="single" w:sz="5" w:space="0" w:color="000000"/>
              <w:bottom w:val="single" w:sz="5" w:space="0" w:color="000000"/>
              <w:right w:val="single" w:sz="5" w:space="0" w:color="000000"/>
            </w:tcBorders>
          </w:tcPr>
          <w:p w14:paraId="6D2A3905"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Describe the results of the search and selection process, from the number of records identified in the search to the number of studies included in the review, ideally using a flow diagram</w:t>
            </w:r>
            <w:r>
              <w:rPr>
                <w:rFonts w:ascii="Arial" w:hAnsi="Arial" w:cs="Arial"/>
                <w:sz w:val="18"/>
                <w:szCs w:val="18"/>
              </w:rPr>
              <w:t>.</w:t>
            </w:r>
          </w:p>
        </w:tc>
        <w:tc>
          <w:tcPr>
            <w:tcW w:w="395" w:type="pct"/>
            <w:tcBorders>
              <w:top w:val="single" w:sz="5" w:space="0" w:color="000000"/>
              <w:left w:val="single" w:sz="5" w:space="0" w:color="000000"/>
              <w:bottom w:val="single" w:sz="5" w:space="0" w:color="000000"/>
              <w:right w:val="single" w:sz="5" w:space="0" w:color="000000"/>
            </w:tcBorders>
          </w:tcPr>
          <w:p w14:paraId="07DA6FC7"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578F3DD4" w14:textId="77777777" w:rsidTr="00EB22E5">
        <w:trPr>
          <w:trHeight w:val="48"/>
        </w:trPr>
        <w:tc>
          <w:tcPr>
            <w:tcW w:w="549" w:type="pct"/>
            <w:vMerge/>
            <w:tcBorders>
              <w:left w:val="single" w:sz="5" w:space="0" w:color="000000"/>
              <w:bottom w:val="single" w:sz="5" w:space="0" w:color="000000"/>
              <w:right w:val="single" w:sz="5" w:space="0" w:color="000000"/>
            </w:tcBorders>
          </w:tcPr>
          <w:p w14:paraId="093C0A54" w14:textId="77777777" w:rsidR="00E47CD1" w:rsidRPr="00930A31" w:rsidRDefault="00E47CD1" w:rsidP="00EB22E5">
            <w:pPr>
              <w:pStyle w:val="Default"/>
              <w:spacing w:before="40" w:after="40"/>
              <w:rPr>
                <w:rFonts w:ascii="Arial" w:hAnsi="Arial" w:cs="Arial"/>
                <w:sz w:val="18"/>
                <w:szCs w:val="18"/>
              </w:rPr>
            </w:pPr>
          </w:p>
        </w:tc>
        <w:tc>
          <w:tcPr>
            <w:tcW w:w="193" w:type="pct"/>
            <w:tcBorders>
              <w:top w:val="single" w:sz="5" w:space="0" w:color="000000"/>
              <w:left w:val="single" w:sz="5" w:space="0" w:color="000000"/>
              <w:bottom w:val="single" w:sz="5" w:space="0" w:color="000000"/>
              <w:right w:val="single" w:sz="5" w:space="0" w:color="000000"/>
            </w:tcBorders>
          </w:tcPr>
          <w:p w14:paraId="5F64E865"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16b</w:t>
            </w:r>
          </w:p>
        </w:tc>
        <w:tc>
          <w:tcPr>
            <w:tcW w:w="3863" w:type="pct"/>
            <w:tcBorders>
              <w:top w:val="single" w:sz="5" w:space="0" w:color="000000"/>
              <w:left w:val="single" w:sz="5" w:space="0" w:color="000000"/>
              <w:bottom w:val="single" w:sz="5" w:space="0" w:color="000000"/>
              <w:right w:val="single" w:sz="5" w:space="0" w:color="000000"/>
            </w:tcBorders>
          </w:tcPr>
          <w:p w14:paraId="3D344727"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Cite studies that might appear to meet the inclusion criteria, but which were excluded, and explain why they were excluded.</w:t>
            </w:r>
          </w:p>
        </w:tc>
        <w:tc>
          <w:tcPr>
            <w:tcW w:w="395" w:type="pct"/>
            <w:tcBorders>
              <w:top w:val="single" w:sz="5" w:space="0" w:color="000000"/>
              <w:left w:val="single" w:sz="5" w:space="0" w:color="000000"/>
              <w:bottom w:val="single" w:sz="5" w:space="0" w:color="000000"/>
              <w:right w:val="single" w:sz="5" w:space="0" w:color="000000"/>
            </w:tcBorders>
          </w:tcPr>
          <w:p w14:paraId="199A828E"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4F8468DF" w14:textId="77777777" w:rsidTr="00EB22E5">
        <w:trPr>
          <w:trHeight w:val="103"/>
        </w:trPr>
        <w:tc>
          <w:tcPr>
            <w:tcW w:w="549" w:type="pct"/>
            <w:tcBorders>
              <w:top w:val="single" w:sz="5" w:space="0" w:color="000000"/>
              <w:left w:val="single" w:sz="5" w:space="0" w:color="000000"/>
              <w:bottom w:val="single" w:sz="5" w:space="0" w:color="000000"/>
              <w:right w:val="single" w:sz="5" w:space="0" w:color="000000"/>
            </w:tcBorders>
          </w:tcPr>
          <w:p w14:paraId="2D43C95B"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Study characteristics </w:t>
            </w:r>
          </w:p>
        </w:tc>
        <w:tc>
          <w:tcPr>
            <w:tcW w:w="193" w:type="pct"/>
            <w:tcBorders>
              <w:top w:val="single" w:sz="5" w:space="0" w:color="000000"/>
              <w:left w:val="single" w:sz="5" w:space="0" w:color="000000"/>
              <w:bottom w:val="single" w:sz="5" w:space="0" w:color="000000"/>
              <w:right w:val="single" w:sz="5" w:space="0" w:color="000000"/>
            </w:tcBorders>
          </w:tcPr>
          <w:p w14:paraId="1C906BA5"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17</w:t>
            </w:r>
          </w:p>
        </w:tc>
        <w:tc>
          <w:tcPr>
            <w:tcW w:w="3863" w:type="pct"/>
            <w:tcBorders>
              <w:top w:val="single" w:sz="5" w:space="0" w:color="000000"/>
              <w:left w:val="single" w:sz="5" w:space="0" w:color="000000"/>
              <w:bottom w:val="single" w:sz="5" w:space="0" w:color="000000"/>
              <w:right w:val="single" w:sz="5" w:space="0" w:color="000000"/>
            </w:tcBorders>
          </w:tcPr>
          <w:p w14:paraId="6B7E6CA2"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Cite each included study and present its characteristics.</w:t>
            </w:r>
          </w:p>
        </w:tc>
        <w:tc>
          <w:tcPr>
            <w:tcW w:w="395" w:type="pct"/>
            <w:tcBorders>
              <w:top w:val="single" w:sz="5" w:space="0" w:color="000000"/>
              <w:left w:val="single" w:sz="5" w:space="0" w:color="000000"/>
              <w:bottom w:val="single" w:sz="5" w:space="0" w:color="000000"/>
              <w:right w:val="single" w:sz="5" w:space="0" w:color="000000"/>
            </w:tcBorders>
          </w:tcPr>
          <w:p w14:paraId="6C1A7EEE"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1856C37D" w14:textId="77777777" w:rsidTr="00EB22E5">
        <w:trPr>
          <w:trHeight w:val="48"/>
        </w:trPr>
        <w:tc>
          <w:tcPr>
            <w:tcW w:w="549" w:type="pct"/>
            <w:tcBorders>
              <w:top w:val="single" w:sz="5" w:space="0" w:color="000000"/>
              <w:left w:val="single" w:sz="5" w:space="0" w:color="000000"/>
              <w:bottom w:val="single" w:sz="5" w:space="0" w:color="000000"/>
              <w:right w:val="single" w:sz="5" w:space="0" w:color="000000"/>
            </w:tcBorders>
          </w:tcPr>
          <w:p w14:paraId="25B808F5"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Risk of bias in studies </w:t>
            </w:r>
          </w:p>
        </w:tc>
        <w:tc>
          <w:tcPr>
            <w:tcW w:w="193" w:type="pct"/>
            <w:tcBorders>
              <w:top w:val="single" w:sz="5" w:space="0" w:color="000000"/>
              <w:left w:val="single" w:sz="5" w:space="0" w:color="000000"/>
              <w:bottom w:val="single" w:sz="5" w:space="0" w:color="000000"/>
              <w:right w:val="single" w:sz="5" w:space="0" w:color="000000"/>
            </w:tcBorders>
          </w:tcPr>
          <w:p w14:paraId="203C5F98"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18</w:t>
            </w:r>
          </w:p>
        </w:tc>
        <w:tc>
          <w:tcPr>
            <w:tcW w:w="3863" w:type="pct"/>
            <w:tcBorders>
              <w:top w:val="single" w:sz="5" w:space="0" w:color="000000"/>
              <w:left w:val="single" w:sz="5" w:space="0" w:color="000000"/>
              <w:bottom w:val="single" w:sz="5" w:space="0" w:color="000000"/>
              <w:right w:val="single" w:sz="5" w:space="0" w:color="000000"/>
            </w:tcBorders>
          </w:tcPr>
          <w:p w14:paraId="472C13B9"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Present assessments of risk of bias for each included study.</w:t>
            </w:r>
          </w:p>
        </w:tc>
        <w:tc>
          <w:tcPr>
            <w:tcW w:w="395" w:type="pct"/>
            <w:tcBorders>
              <w:top w:val="single" w:sz="5" w:space="0" w:color="000000"/>
              <w:left w:val="single" w:sz="5" w:space="0" w:color="000000"/>
              <w:bottom w:val="single" w:sz="5" w:space="0" w:color="000000"/>
              <w:right w:val="single" w:sz="5" w:space="0" w:color="000000"/>
            </w:tcBorders>
          </w:tcPr>
          <w:p w14:paraId="00FD8151"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443BCE78" w14:textId="77777777" w:rsidTr="00EB22E5">
        <w:trPr>
          <w:trHeight w:val="48"/>
        </w:trPr>
        <w:tc>
          <w:tcPr>
            <w:tcW w:w="549" w:type="pct"/>
            <w:tcBorders>
              <w:top w:val="single" w:sz="5" w:space="0" w:color="000000"/>
              <w:left w:val="single" w:sz="5" w:space="0" w:color="000000"/>
              <w:bottom w:val="single" w:sz="5" w:space="0" w:color="000000"/>
              <w:right w:val="single" w:sz="5" w:space="0" w:color="000000"/>
            </w:tcBorders>
          </w:tcPr>
          <w:p w14:paraId="53965BB1"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Results of individual studies </w:t>
            </w:r>
          </w:p>
        </w:tc>
        <w:tc>
          <w:tcPr>
            <w:tcW w:w="193" w:type="pct"/>
            <w:tcBorders>
              <w:top w:val="single" w:sz="5" w:space="0" w:color="000000"/>
              <w:left w:val="single" w:sz="5" w:space="0" w:color="000000"/>
              <w:bottom w:val="single" w:sz="5" w:space="0" w:color="000000"/>
              <w:right w:val="single" w:sz="5" w:space="0" w:color="000000"/>
            </w:tcBorders>
          </w:tcPr>
          <w:p w14:paraId="4A486D01"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19</w:t>
            </w:r>
          </w:p>
        </w:tc>
        <w:tc>
          <w:tcPr>
            <w:tcW w:w="3863" w:type="pct"/>
            <w:tcBorders>
              <w:top w:val="single" w:sz="5" w:space="0" w:color="000000"/>
              <w:left w:val="single" w:sz="5" w:space="0" w:color="000000"/>
              <w:bottom w:val="single" w:sz="5" w:space="0" w:color="000000"/>
              <w:right w:val="single" w:sz="5" w:space="0" w:color="000000"/>
            </w:tcBorders>
          </w:tcPr>
          <w:p w14:paraId="578A9D79"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For all outcomes, present, for each study: (a) summary statistics for each group (where appropriate) and (b) an effect estimate and its precision (e.g. confidence/credible interval), ideally using structured </w:t>
            </w:r>
            <w:r>
              <w:rPr>
                <w:rFonts w:ascii="Arial" w:hAnsi="Arial" w:cs="Arial"/>
                <w:sz w:val="18"/>
                <w:szCs w:val="18"/>
              </w:rPr>
              <w:t>Supplement</w:t>
            </w:r>
            <w:r w:rsidRPr="00930A31">
              <w:rPr>
                <w:rFonts w:ascii="Arial" w:hAnsi="Arial" w:cs="Arial"/>
                <w:sz w:val="18"/>
                <w:szCs w:val="18"/>
              </w:rPr>
              <w:t>s or plots.</w:t>
            </w:r>
          </w:p>
        </w:tc>
        <w:tc>
          <w:tcPr>
            <w:tcW w:w="395" w:type="pct"/>
            <w:tcBorders>
              <w:top w:val="single" w:sz="5" w:space="0" w:color="000000"/>
              <w:left w:val="single" w:sz="5" w:space="0" w:color="000000"/>
              <w:bottom w:val="single" w:sz="5" w:space="0" w:color="000000"/>
              <w:right w:val="single" w:sz="5" w:space="0" w:color="000000"/>
            </w:tcBorders>
          </w:tcPr>
          <w:p w14:paraId="7BC80A30"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7F57D9E5" w14:textId="77777777" w:rsidTr="00EB22E5">
        <w:trPr>
          <w:trHeight w:val="48"/>
        </w:trPr>
        <w:tc>
          <w:tcPr>
            <w:tcW w:w="549" w:type="pct"/>
            <w:vMerge w:val="restart"/>
            <w:tcBorders>
              <w:top w:val="single" w:sz="5" w:space="0" w:color="000000"/>
              <w:left w:val="single" w:sz="5" w:space="0" w:color="000000"/>
              <w:right w:val="single" w:sz="5" w:space="0" w:color="000000"/>
            </w:tcBorders>
          </w:tcPr>
          <w:p w14:paraId="456CB553"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Results of syntheses</w:t>
            </w:r>
          </w:p>
        </w:tc>
        <w:tc>
          <w:tcPr>
            <w:tcW w:w="193" w:type="pct"/>
            <w:tcBorders>
              <w:top w:val="single" w:sz="5" w:space="0" w:color="000000"/>
              <w:left w:val="single" w:sz="5" w:space="0" w:color="000000"/>
              <w:bottom w:val="single" w:sz="5" w:space="0" w:color="000000"/>
              <w:right w:val="single" w:sz="5" w:space="0" w:color="000000"/>
            </w:tcBorders>
          </w:tcPr>
          <w:p w14:paraId="767501EC"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20a</w:t>
            </w:r>
          </w:p>
        </w:tc>
        <w:tc>
          <w:tcPr>
            <w:tcW w:w="3863" w:type="pct"/>
            <w:tcBorders>
              <w:top w:val="single" w:sz="5" w:space="0" w:color="000000"/>
              <w:left w:val="single" w:sz="5" w:space="0" w:color="000000"/>
              <w:bottom w:val="single" w:sz="5" w:space="0" w:color="000000"/>
              <w:right w:val="single" w:sz="5" w:space="0" w:color="000000"/>
            </w:tcBorders>
          </w:tcPr>
          <w:p w14:paraId="01D7B399"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For each synthesis, briefly summarise the characteristics and risk of bias among contributing studies.</w:t>
            </w:r>
          </w:p>
        </w:tc>
        <w:tc>
          <w:tcPr>
            <w:tcW w:w="395" w:type="pct"/>
            <w:tcBorders>
              <w:top w:val="single" w:sz="5" w:space="0" w:color="000000"/>
              <w:left w:val="single" w:sz="5" w:space="0" w:color="000000"/>
              <w:bottom w:val="single" w:sz="5" w:space="0" w:color="000000"/>
              <w:right w:val="single" w:sz="5" w:space="0" w:color="000000"/>
            </w:tcBorders>
          </w:tcPr>
          <w:p w14:paraId="4B11A79C"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33E20779" w14:textId="77777777" w:rsidTr="00EB22E5">
        <w:trPr>
          <w:trHeight w:val="203"/>
        </w:trPr>
        <w:tc>
          <w:tcPr>
            <w:tcW w:w="549" w:type="pct"/>
            <w:vMerge/>
            <w:tcBorders>
              <w:left w:val="single" w:sz="5" w:space="0" w:color="000000"/>
              <w:right w:val="single" w:sz="5" w:space="0" w:color="000000"/>
            </w:tcBorders>
          </w:tcPr>
          <w:p w14:paraId="684F2F4F" w14:textId="77777777" w:rsidR="00E47CD1" w:rsidRPr="00930A31" w:rsidRDefault="00E47CD1" w:rsidP="00EB22E5">
            <w:pPr>
              <w:pStyle w:val="Default"/>
              <w:spacing w:before="40" w:after="40"/>
              <w:rPr>
                <w:rFonts w:ascii="Arial" w:hAnsi="Arial" w:cs="Arial"/>
                <w:sz w:val="18"/>
                <w:szCs w:val="18"/>
              </w:rPr>
            </w:pPr>
          </w:p>
        </w:tc>
        <w:tc>
          <w:tcPr>
            <w:tcW w:w="193" w:type="pct"/>
            <w:tcBorders>
              <w:top w:val="single" w:sz="5" w:space="0" w:color="000000"/>
              <w:left w:val="single" w:sz="5" w:space="0" w:color="000000"/>
              <w:bottom w:val="single" w:sz="5" w:space="0" w:color="000000"/>
              <w:right w:val="single" w:sz="5" w:space="0" w:color="000000"/>
            </w:tcBorders>
          </w:tcPr>
          <w:p w14:paraId="40D6D320"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20b</w:t>
            </w:r>
          </w:p>
        </w:tc>
        <w:tc>
          <w:tcPr>
            <w:tcW w:w="3863" w:type="pct"/>
            <w:tcBorders>
              <w:top w:val="single" w:sz="5" w:space="0" w:color="000000"/>
              <w:left w:val="single" w:sz="5" w:space="0" w:color="000000"/>
              <w:bottom w:val="single" w:sz="5" w:space="0" w:color="000000"/>
              <w:right w:val="single" w:sz="5" w:space="0" w:color="000000"/>
            </w:tcBorders>
          </w:tcPr>
          <w:p w14:paraId="0C6E3BE9"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Present results of all statistical syntheses conducted. If meta-analysis was done, present for each the summary estimate and its precision (e.g. confidence/credible interval) and measures of statistical heterogeneity. If comparing groups, describe the direction of the effect.</w:t>
            </w:r>
          </w:p>
        </w:tc>
        <w:tc>
          <w:tcPr>
            <w:tcW w:w="395" w:type="pct"/>
            <w:tcBorders>
              <w:top w:val="single" w:sz="5" w:space="0" w:color="000000"/>
              <w:left w:val="single" w:sz="5" w:space="0" w:color="000000"/>
              <w:bottom w:val="single" w:sz="5" w:space="0" w:color="000000"/>
              <w:right w:val="single" w:sz="5" w:space="0" w:color="000000"/>
            </w:tcBorders>
          </w:tcPr>
          <w:p w14:paraId="7BFCFF7B" w14:textId="77777777" w:rsidR="00E47CD1" w:rsidRPr="00930A31" w:rsidRDefault="00E47CD1" w:rsidP="00EB22E5">
            <w:pPr>
              <w:pStyle w:val="Default"/>
              <w:spacing w:before="40" w:after="40"/>
              <w:rPr>
                <w:rFonts w:ascii="Arial" w:hAnsi="Arial" w:cs="Arial"/>
                <w:color w:val="auto"/>
                <w:sz w:val="18"/>
                <w:szCs w:val="18"/>
              </w:rPr>
            </w:pPr>
          </w:p>
        </w:tc>
      </w:tr>
      <w:tr w:rsidR="00E47CD1" w:rsidRPr="004C1685" w14:paraId="6844B05F" w14:textId="77777777" w:rsidTr="00EB22E5">
        <w:trPr>
          <w:trHeight w:val="48"/>
        </w:trPr>
        <w:tc>
          <w:tcPr>
            <w:tcW w:w="549" w:type="pct"/>
            <w:vMerge/>
            <w:tcBorders>
              <w:left w:val="single" w:sz="5" w:space="0" w:color="000000"/>
              <w:right w:val="single" w:sz="5" w:space="0" w:color="000000"/>
            </w:tcBorders>
          </w:tcPr>
          <w:p w14:paraId="0145751E" w14:textId="77777777" w:rsidR="00E47CD1" w:rsidRPr="00930A31" w:rsidRDefault="00E47CD1" w:rsidP="00EB22E5">
            <w:pPr>
              <w:pStyle w:val="Default"/>
              <w:spacing w:before="40" w:after="40"/>
              <w:rPr>
                <w:rFonts w:ascii="Arial" w:hAnsi="Arial" w:cs="Arial"/>
                <w:sz w:val="18"/>
                <w:szCs w:val="18"/>
              </w:rPr>
            </w:pPr>
          </w:p>
        </w:tc>
        <w:tc>
          <w:tcPr>
            <w:tcW w:w="193" w:type="pct"/>
            <w:tcBorders>
              <w:top w:val="single" w:sz="5" w:space="0" w:color="000000"/>
              <w:left w:val="single" w:sz="5" w:space="0" w:color="000000"/>
              <w:bottom w:val="single" w:sz="5" w:space="0" w:color="000000"/>
              <w:right w:val="single" w:sz="5" w:space="0" w:color="000000"/>
            </w:tcBorders>
          </w:tcPr>
          <w:p w14:paraId="60AAB04D"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20c</w:t>
            </w:r>
          </w:p>
        </w:tc>
        <w:tc>
          <w:tcPr>
            <w:tcW w:w="3863" w:type="pct"/>
            <w:tcBorders>
              <w:top w:val="single" w:sz="5" w:space="0" w:color="000000"/>
              <w:left w:val="single" w:sz="5" w:space="0" w:color="000000"/>
              <w:bottom w:val="single" w:sz="5" w:space="0" w:color="000000"/>
              <w:right w:val="single" w:sz="5" w:space="0" w:color="000000"/>
            </w:tcBorders>
          </w:tcPr>
          <w:p w14:paraId="0F3A60DB"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Present results of all investigations of possible causes of heterogeneity among study results.</w:t>
            </w:r>
          </w:p>
        </w:tc>
        <w:tc>
          <w:tcPr>
            <w:tcW w:w="395" w:type="pct"/>
            <w:tcBorders>
              <w:top w:val="single" w:sz="5" w:space="0" w:color="000000"/>
              <w:left w:val="single" w:sz="5" w:space="0" w:color="000000"/>
              <w:bottom w:val="single" w:sz="5" w:space="0" w:color="000000"/>
              <w:right w:val="single" w:sz="5" w:space="0" w:color="000000"/>
            </w:tcBorders>
          </w:tcPr>
          <w:p w14:paraId="4DA25932" w14:textId="77777777" w:rsidR="00E47CD1" w:rsidRPr="00930A31" w:rsidRDefault="00E47CD1" w:rsidP="00EB22E5">
            <w:pPr>
              <w:pStyle w:val="Default"/>
              <w:spacing w:before="40" w:after="40"/>
              <w:rPr>
                <w:rFonts w:ascii="Arial" w:hAnsi="Arial" w:cs="Arial"/>
                <w:color w:val="auto"/>
                <w:sz w:val="18"/>
                <w:szCs w:val="18"/>
              </w:rPr>
            </w:pPr>
          </w:p>
        </w:tc>
      </w:tr>
      <w:tr w:rsidR="00E47CD1" w:rsidRPr="004C1685" w14:paraId="65A49DB8" w14:textId="77777777" w:rsidTr="00EB22E5">
        <w:trPr>
          <w:trHeight w:val="48"/>
        </w:trPr>
        <w:tc>
          <w:tcPr>
            <w:tcW w:w="549" w:type="pct"/>
            <w:vMerge/>
            <w:tcBorders>
              <w:left w:val="single" w:sz="5" w:space="0" w:color="000000"/>
              <w:bottom w:val="single" w:sz="5" w:space="0" w:color="000000"/>
              <w:right w:val="single" w:sz="5" w:space="0" w:color="000000"/>
            </w:tcBorders>
          </w:tcPr>
          <w:p w14:paraId="2E2F2B38" w14:textId="77777777" w:rsidR="00E47CD1" w:rsidRPr="00930A31" w:rsidRDefault="00E47CD1" w:rsidP="00EB22E5">
            <w:pPr>
              <w:pStyle w:val="Default"/>
              <w:spacing w:before="40" w:after="40"/>
              <w:rPr>
                <w:rFonts w:ascii="Arial" w:hAnsi="Arial" w:cs="Arial"/>
                <w:sz w:val="18"/>
                <w:szCs w:val="18"/>
              </w:rPr>
            </w:pPr>
          </w:p>
        </w:tc>
        <w:tc>
          <w:tcPr>
            <w:tcW w:w="193" w:type="pct"/>
            <w:tcBorders>
              <w:top w:val="single" w:sz="5" w:space="0" w:color="000000"/>
              <w:left w:val="single" w:sz="5" w:space="0" w:color="000000"/>
              <w:bottom w:val="single" w:sz="5" w:space="0" w:color="000000"/>
              <w:right w:val="single" w:sz="5" w:space="0" w:color="000000"/>
            </w:tcBorders>
          </w:tcPr>
          <w:p w14:paraId="6299BCBD"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20d</w:t>
            </w:r>
          </w:p>
        </w:tc>
        <w:tc>
          <w:tcPr>
            <w:tcW w:w="3863" w:type="pct"/>
            <w:tcBorders>
              <w:top w:val="single" w:sz="5" w:space="0" w:color="000000"/>
              <w:left w:val="single" w:sz="5" w:space="0" w:color="000000"/>
              <w:bottom w:val="single" w:sz="5" w:space="0" w:color="000000"/>
              <w:right w:val="single" w:sz="5" w:space="0" w:color="000000"/>
            </w:tcBorders>
          </w:tcPr>
          <w:p w14:paraId="3EEA7DBF"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Present results of all sensitivity analyses conducted to assess the robustness of the synthesized results.</w:t>
            </w:r>
          </w:p>
        </w:tc>
        <w:tc>
          <w:tcPr>
            <w:tcW w:w="395" w:type="pct"/>
            <w:tcBorders>
              <w:top w:val="single" w:sz="5" w:space="0" w:color="000000"/>
              <w:left w:val="single" w:sz="5" w:space="0" w:color="000000"/>
              <w:bottom w:val="single" w:sz="5" w:space="0" w:color="000000"/>
              <w:right w:val="single" w:sz="5" w:space="0" w:color="000000"/>
            </w:tcBorders>
          </w:tcPr>
          <w:p w14:paraId="44E6CF1E"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12EE225D" w14:textId="77777777" w:rsidTr="00EB22E5">
        <w:trPr>
          <w:trHeight w:val="48"/>
        </w:trPr>
        <w:tc>
          <w:tcPr>
            <w:tcW w:w="549" w:type="pct"/>
            <w:tcBorders>
              <w:top w:val="single" w:sz="5" w:space="0" w:color="000000"/>
              <w:left w:val="single" w:sz="5" w:space="0" w:color="000000"/>
              <w:bottom w:val="single" w:sz="5" w:space="0" w:color="000000"/>
              <w:right w:val="single" w:sz="5" w:space="0" w:color="000000"/>
            </w:tcBorders>
          </w:tcPr>
          <w:p w14:paraId="7743844A"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Reporting </w:t>
            </w:r>
            <w:r w:rsidRPr="00930A31">
              <w:rPr>
                <w:rFonts w:ascii="Arial" w:hAnsi="Arial" w:cs="Arial"/>
                <w:sz w:val="18"/>
                <w:szCs w:val="18"/>
              </w:rPr>
              <w:lastRenderedPageBreak/>
              <w:t>biases</w:t>
            </w:r>
          </w:p>
        </w:tc>
        <w:tc>
          <w:tcPr>
            <w:tcW w:w="193" w:type="pct"/>
            <w:tcBorders>
              <w:top w:val="single" w:sz="5" w:space="0" w:color="000000"/>
              <w:left w:val="single" w:sz="5" w:space="0" w:color="000000"/>
              <w:bottom w:val="single" w:sz="5" w:space="0" w:color="000000"/>
              <w:right w:val="single" w:sz="5" w:space="0" w:color="000000"/>
            </w:tcBorders>
          </w:tcPr>
          <w:p w14:paraId="74371306"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lastRenderedPageBreak/>
              <w:t>21</w:t>
            </w:r>
          </w:p>
        </w:tc>
        <w:tc>
          <w:tcPr>
            <w:tcW w:w="3863" w:type="pct"/>
            <w:tcBorders>
              <w:top w:val="single" w:sz="5" w:space="0" w:color="000000"/>
              <w:left w:val="single" w:sz="5" w:space="0" w:color="000000"/>
              <w:bottom w:val="single" w:sz="5" w:space="0" w:color="000000"/>
              <w:right w:val="single" w:sz="5" w:space="0" w:color="000000"/>
            </w:tcBorders>
          </w:tcPr>
          <w:p w14:paraId="7FE1CF07"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Present assessments of risk of bias due to missing results (arising from reporting biases) for each synthesis assessed.</w:t>
            </w:r>
          </w:p>
        </w:tc>
        <w:tc>
          <w:tcPr>
            <w:tcW w:w="395" w:type="pct"/>
            <w:tcBorders>
              <w:top w:val="single" w:sz="5" w:space="0" w:color="000000"/>
              <w:left w:val="single" w:sz="5" w:space="0" w:color="000000"/>
              <w:bottom w:val="single" w:sz="5" w:space="0" w:color="000000"/>
              <w:right w:val="single" w:sz="5" w:space="0" w:color="000000"/>
            </w:tcBorders>
          </w:tcPr>
          <w:p w14:paraId="14D03782"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1FB0E38F" w14:textId="77777777" w:rsidTr="00EB22E5">
        <w:trPr>
          <w:trHeight w:val="48"/>
        </w:trPr>
        <w:tc>
          <w:tcPr>
            <w:tcW w:w="549" w:type="pct"/>
            <w:tcBorders>
              <w:top w:val="single" w:sz="5" w:space="0" w:color="000000"/>
              <w:left w:val="single" w:sz="5" w:space="0" w:color="000000"/>
              <w:bottom w:val="single" w:sz="5" w:space="0" w:color="000000"/>
              <w:right w:val="single" w:sz="5" w:space="0" w:color="000000"/>
            </w:tcBorders>
          </w:tcPr>
          <w:p w14:paraId="54A8FCBC"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Certainty of evidence </w:t>
            </w:r>
          </w:p>
        </w:tc>
        <w:tc>
          <w:tcPr>
            <w:tcW w:w="193" w:type="pct"/>
            <w:tcBorders>
              <w:top w:val="single" w:sz="5" w:space="0" w:color="000000"/>
              <w:left w:val="single" w:sz="5" w:space="0" w:color="000000"/>
              <w:bottom w:val="single" w:sz="5" w:space="0" w:color="000000"/>
              <w:right w:val="single" w:sz="5" w:space="0" w:color="000000"/>
            </w:tcBorders>
          </w:tcPr>
          <w:p w14:paraId="71F4A5EA"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22</w:t>
            </w:r>
          </w:p>
        </w:tc>
        <w:tc>
          <w:tcPr>
            <w:tcW w:w="3863" w:type="pct"/>
            <w:tcBorders>
              <w:top w:val="single" w:sz="5" w:space="0" w:color="000000"/>
              <w:left w:val="single" w:sz="5" w:space="0" w:color="000000"/>
              <w:bottom w:val="single" w:sz="5" w:space="0" w:color="000000"/>
              <w:right w:val="single" w:sz="5" w:space="0" w:color="000000"/>
            </w:tcBorders>
          </w:tcPr>
          <w:p w14:paraId="518DF83E"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Present assessments of certainty (or confidence) in the body of evidence for each outcome assessed.</w:t>
            </w:r>
          </w:p>
        </w:tc>
        <w:tc>
          <w:tcPr>
            <w:tcW w:w="395" w:type="pct"/>
            <w:tcBorders>
              <w:top w:val="single" w:sz="5" w:space="0" w:color="000000"/>
              <w:left w:val="single" w:sz="5" w:space="0" w:color="000000"/>
              <w:bottom w:val="single" w:sz="5" w:space="0" w:color="000000"/>
              <w:right w:val="single" w:sz="5" w:space="0" w:color="000000"/>
            </w:tcBorders>
          </w:tcPr>
          <w:p w14:paraId="4E7954A3"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4E48952D" w14:textId="77777777" w:rsidTr="00EB22E5">
        <w:trPr>
          <w:trHeight w:val="24"/>
        </w:trPr>
        <w:tc>
          <w:tcPr>
            <w:tcW w:w="4605" w:type="pct"/>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60169F77" w14:textId="77777777" w:rsidR="00E47CD1" w:rsidRPr="00930A31" w:rsidRDefault="00E47CD1" w:rsidP="00EB22E5">
            <w:pPr>
              <w:pStyle w:val="Default"/>
              <w:rPr>
                <w:rFonts w:ascii="Arial" w:hAnsi="Arial" w:cs="Arial"/>
                <w:sz w:val="18"/>
                <w:szCs w:val="18"/>
              </w:rPr>
            </w:pPr>
            <w:r w:rsidRPr="00930A31">
              <w:rPr>
                <w:rFonts w:ascii="Arial" w:hAnsi="Arial" w:cs="Arial"/>
                <w:b/>
                <w:bCs/>
                <w:sz w:val="18"/>
                <w:szCs w:val="18"/>
              </w:rPr>
              <w:t xml:space="preserve">DISCUSSION </w:t>
            </w:r>
          </w:p>
        </w:tc>
        <w:tc>
          <w:tcPr>
            <w:tcW w:w="395" w:type="pct"/>
            <w:tcBorders>
              <w:top w:val="double" w:sz="5" w:space="0" w:color="000000"/>
              <w:left w:val="single" w:sz="5" w:space="0" w:color="000000"/>
              <w:bottom w:val="single" w:sz="5" w:space="0" w:color="000000"/>
              <w:right w:val="single" w:sz="5" w:space="0" w:color="000000"/>
            </w:tcBorders>
            <w:shd w:val="clear" w:color="auto" w:fill="FFFFCC"/>
          </w:tcPr>
          <w:p w14:paraId="5EF0931C" w14:textId="77777777" w:rsidR="00E47CD1" w:rsidRPr="00930A31" w:rsidRDefault="00E47CD1" w:rsidP="00EB22E5">
            <w:pPr>
              <w:pStyle w:val="Default"/>
              <w:jc w:val="center"/>
              <w:rPr>
                <w:rFonts w:ascii="Arial" w:hAnsi="Arial" w:cs="Arial"/>
                <w:color w:val="auto"/>
                <w:sz w:val="18"/>
                <w:szCs w:val="18"/>
              </w:rPr>
            </w:pPr>
          </w:p>
        </w:tc>
      </w:tr>
      <w:tr w:rsidR="00E47CD1" w:rsidRPr="004C1685" w14:paraId="7015D01E" w14:textId="77777777" w:rsidTr="00EB22E5">
        <w:trPr>
          <w:trHeight w:val="48"/>
        </w:trPr>
        <w:tc>
          <w:tcPr>
            <w:tcW w:w="549" w:type="pct"/>
            <w:vMerge w:val="restart"/>
            <w:tcBorders>
              <w:top w:val="single" w:sz="5" w:space="0" w:color="000000"/>
              <w:left w:val="single" w:sz="5" w:space="0" w:color="000000"/>
              <w:right w:val="single" w:sz="5" w:space="0" w:color="000000"/>
            </w:tcBorders>
          </w:tcPr>
          <w:p w14:paraId="518FD0CA"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 xml:space="preserve">Discussion </w:t>
            </w:r>
          </w:p>
        </w:tc>
        <w:tc>
          <w:tcPr>
            <w:tcW w:w="193" w:type="pct"/>
            <w:tcBorders>
              <w:top w:val="single" w:sz="5" w:space="0" w:color="000000"/>
              <w:left w:val="single" w:sz="5" w:space="0" w:color="000000"/>
              <w:bottom w:val="single" w:sz="5" w:space="0" w:color="000000"/>
              <w:right w:val="single" w:sz="5" w:space="0" w:color="000000"/>
            </w:tcBorders>
          </w:tcPr>
          <w:p w14:paraId="1549AF60"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23a</w:t>
            </w:r>
          </w:p>
        </w:tc>
        <w:tc>
          <w:tcPr>
            <w:tcW w:w="3863" w:type="pct"/>
            <w:tcBorders>
              <w:top w:val="single" w:sz="5" w:space="0" w:color="000000"/>
              <w:left w:val="single" w:sz="5" w:space="0" w:color="000000"/>
              <w:bottom w:val="single" w:sz="5" w:space="0" w:color="000000"/>
              <w:right w:val="single" w:sz="5" w:space="0" w:color="000000"/>
            </w:tcBorders>
          </w:tcPr>
          <w:p w14:paraId="46D9AF1F"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Provide a general interpretation of the results in the context of other evidence.</w:t>
            </w:r>
          </w:p>
        </w:tc>
        <w:tc>
          <w:tcPr>
            <w:tcW w:w="395" w:type="pct"/>
            <w:tcBorders>
              <w:top w:val="single" w:sz="5" w:space="0" w:color="000000"/>
              <w:left w:val="single" w:sz="5" w:space="0" w:color="000000"/>
              <w:bottom w:val="single" w:sz="5" w:space="0" w:color="000000"/>
              <w:right w:val="single" w:sz="5" w:space="0" w:color="000000"/>
            </w:tcBorders>
          </w:tcPr>
          <w:p w14:paraId="28200969"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03112B13" w14:textId="77777777" w:rsidTr="00EB22E5">
        <w:trPr>
          <w:trHeight w:val="48"/>
        </w:trPr>
        <w:tc>
          <w:tcPr>
            <w:tcW w:w="549" w:type="pct"/>
            <w:vMerge/>
            <w:tcBorders>
              <w:left w:val="single" w:sz="5" w:space="0" w:color="000000"/>
              <w:right w:val="single" w:sz="5" w:space="0" w:color="000000"/>
            </w:tcBorders>
          </w:tcPr>
          <w:p w14:paraId="0FDDF9F9" w14:textId="77777777" w:rsidR="00E47CD1" w:rsidRPr="00930A31" w:rsidRDefault="00E47CD1" w:rsidP="00EB22E5">
            <w:pPr>
              <w:pStyle w:val="Default"/>
              <w:spacing w:before="40" w:after="40"/>
              <w:rPr>
                <w:rFonts w:ascii="Arial" w:hAnsi="Arial" w:cs="Arial"/>
                <w:sz w:val="18"/>
                <w:szCs w:val="18"/>
              </w:rPr>
            </w:pPr>
          </w:p>
        </w:tc>
        <w:tc>
          <w:tcPr>
            <w:tcW w:w="193" w:type="pct"/>
            <w:tcBorders>
              <w:top w:val="single" w:sz="5" w:space="0" w:color="000000"/>
              <w:left w:val="single" w:sz="5" w:space="0" w:color="000000"/>
              <w:bottom w:val="single" w:sz="5" w:space="0" w:color="000000"/>
              <w:right w:val="single" w:sz="5" w:space="0" w:color="000000"/>
            </w:tcBorders>
          </w:tcPr>
          <w:p w14:paraId="51CB8EA9"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23b</w:t>
            </w:r>
          </w:p>
        </w:tc>
        <w:tc>
          <w:tcPr>
            <w:tcW w:w="3863" w:type="pct"/>
            <w:tcBorders>
              <w:top w:val="single" w:sz="5" w:space="0" w:color="000000"/>
              <w:left w:val="single" w:sz="5" w:space="0" w:color="000000"/>
              <w:bottom w:val="single" w:sz="5" w:space="0" w:color="000000"/>
              <w:right w:val="single" w:sz="5" w:space="0" w:color="000000"/>
            </w:tcBorders>
          </w:tcPr>
          <w:p w14:paraId="092CD4FF"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Discuss any limitations of the evidence included in the review.</w:t>
            </w:r>
          </w:p>
        </w:tc>
        <w:tc>
          <w:tcPr>
            <w:tcW w:w="395" w:type="pct"/>
            <w:tcBorders>
              <w:top w:val="single" w:sz="5" w:space="0" w:color="000000"/>
              <w:left w:val="single" w:sz="5" w:space="0" w:color="000000"/>
              <w:bottom w:val="single" w:sz="5" w:space="0" w:color="000000"/>
              <w:right w:val="single" w:sz="5" w:space="0" w:color="000000"/>
            </w:tcBorders>
          </w:tcPr>
          <w:p w14:paraId="17F3E7D2"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60CFC889" w14:textId="77777777" w:rsidTr="00EB22E5">
        <w:trPr>
          <w:trHeight w:val="48"/>
        </w:trPr>
        <w:tc>
          <w:tcPr>
            <w:tcW w:w="549" w:type="pct"/>
            <w:vMerge/>
            <w:tcBorders>
              <w:left w:val="single" w:sz="5" w:space="0" w:color="000000"/>
              <w:right w:val="single" w:sz="5" w:space="0" w:color="000000"/>
            </w:tcBorders>
          </w:tcPr>
          <w:p w14:paraId="44AE2BD4" w14:textId="77777777" w:rsidR="00E47CD1" w:rsidRPr="00930A31" w:rsidRDefault="00E47CD1" w:rsidP="00EB22E5">
            <w:pPr>
              <w:pStyle w:val="Default"/>
              <w:spacing w:before="40" w:after="40"/>
              <w:rPr>
                <w:rFonts w:ascii="Arial" w:hAnsi="Arial" w:cs="Arial"/>
                <w:sz w:val="18"/>
                <w:szCs w:val="18"/>
              </w:rPr>
            </w:pPr>
          </w:p>
        </w:tc>
        <w:tc>
          <w:tcPr>
            <w:tcW w:w="193" w:type="pct"/>
            <w:tcBorders>
              <w:top w:val="single" w:sz="5" w:space="0" w:color="000000"/>
              <w:left w:val="single" w:sz="5" w:space="0" w:color="000000"/>
              <w:bottom w:val="single" w:sz="4" w:space="0" w:color="auto"/>
              <w:right w:val="single" w:sz="5" w:space="0" w:color="000000"/>
            </w:tcBorders>
          </w:tcPr>
          <w:p w14:paraId="68D43922"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23c</w:t>
            </w:r>
          </w:p>
        </w:tc>
        <w:tc>
          <w:tcPr>
            <w:tcW w:w="3863" w:type="pct"/>
            <w:tcBorders>
              <w:top w:val="single" w:sz="5" w:space="0" w:color="000000"/>
              <w:left w:val="single" w:sz="5" w:space="0" w:color="000000"/>
              <w:bottom w:val="single" w:sz="5" w:space="0" w:color="000000"/>
              <w:right w:val="single" w:sz="5" w:space="0" w:color="000000"/>
            </w:tcBorders>
          </w:tcPr>
          <w:p w14:paraId="30A0CB62"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Discuss any limitations of the review processes used.</w:t>
            </w:r>
          </w:p>
        </w:tc>
        <w:tc>
          <w:tcPr>
            <w:tcW w:w="395" w:type="pct"/>
            <w:tcBorders>
              <w:top w:val="single" w:sz="5" w:space="0" w:color="000000"/>
              <w:left w:val="single" w:sz="5" w:space="0" w:color="000000"/>
              <w:bottom w:val="single" w:sz="5" w:space="0" w:color="000000"/>
              <w:right w:val="single" w:sz="5" w:space="0" w:color="000000"/>
            </w:tcBorders>
          </w:tcPr>
          <w:p w14:paraId="23A73603"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7AC94548" w14:textId="77777777" w:rsidTr="00EB22E5">
        <w:trPr>
          <w:trHeight w:val="48"/>
        </w:trPr>
        <w:tc>
          <w:tcPr>
            <w:tcW w:w="549" w:type="pct"/>
            <w:vMerge/>
            <w:tcBorders>
              <w:left w:val="single" w:sz="5" w:space="0" w:color="000000"/>
              <w:bottom w:val="single" w:sz="4" w:space="0" w:color="auto"/>
              <w:right w:val="single" w:sz="5" w:space="0" w:color="000000"/>
            </w:tcBorders>
          </w:tcPr>
          <w:p w14:paraId="1E4D197F" w14:textId="77777777" w:rsidR="00E47CD1" w:rsidRPr="00930A31" w:rsidRDefault="00E47CD1" w:rsidP="00EB22E5">
            <w:pPr>
              <w:pStyle w:val="Default"/>
              <w:spacing w:before="40" w:after="40"/>
              <w:rPr>
                <w:rFonts w:ascii="Arial" w:hAnsi="Arial" w:cs="Arial"/>
                <w:sz w:val="18"/>
                <w:szCs w:val="18"/>
              </w:rPr>
            </w:pPr>
          </w:p>
        </w:tc>
        <w:tc>
          <w:tcPr>
            <w:tcW w:w="193" w:type="pct"/>
            <w:tcBorders>
              <w:top w:val="single" w:sz="4" w:space="0" w:color="auto"/>
              <w:left w:val="single" w:sz="5" w:space="0" w:color="000000"/>
              <w:bottom w:val="single" w:sz="4" w:space="0" w:color="auto"/>
              <w:right w:val="single" w:sz="4" w:space="0" w:color="auto"/>
            </w:tcBorders>
          </w:tcPr>
          <w:p w14:paraId="0ED7DBEE"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23d</w:t>
            </w:r>
          </w:p>
        </w:tc>
        <w:tc>
          <w:tcPr>
            <w:tcW w:w="3863" w:type="pct"/>
            <w:tcBorders>
              <w:top w:val="single" w:sz="5" w:space="0" w:color="000000"/>
              <w:left w:val="single" w:sz="4" w:space="0" w:color="auto"/>
              <w:bottom w:val="double" w:sz="5" w:space="0" w:color="000000"/>
              <w:right w:val="single" w:sz="5" w:space="0" w:color="000000"/>
            </w:tcBorders>
          </w:tcPr>
          <w:p w14:paraId="0A1CF52F"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Discuss implications of the results for practice, policy, and future research.</w:t>
            </w:r>
          </w:p>
        </w:tc>
        <w:tc>
          <w:tcPr>
            <w:tcW w:w="395" w:type="pct"/>
            <w:tcBorders>
              <w:top w:val="single" w:sz="5" w:space="0" w:color="000000"/>
              <w:left w:val="single" w:sz="5" w:space="0" w:color="000000"/>
              <w:bottom w:val="double" w:sz="5" w:space="0" w:color="000000"/>
              <w:right w:val="single" w:sz="5" w:space="0" w:color="000000"/>
            </w:tcBorders>
          </w:tcPr>
          <w:p w14:paraId="13F6B6A3"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0F3A0EA5" w14:textId="77777777" w:rsidTr="00EB22E5">
        <w:trPr>
          <w:trHeight w:val="24"/>
        </w:trPr>
        <w:tc>
          <w:tcPr>
            <w:tcW w:w="4605" w:type="pct"/>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1673D298" w14:textId="77777777" w:rsidR="00E47CD1" w:rsidRPr="00930A31" w:rsidRDefault="00E47CD1" w:rsidP="00EB22E5">
            <w:pPr>
              <w:pStyle w:val="Default"/>
              <w:rPr>
                <w:rFonts w:ascii="Arial" w:hAnsi="Arial" w:cs="Arial"/>
                <w:sz w:val="18"/>
                <w:szCs w:val="18"/>
              </w:rPr>
            </w:pPr>
            <w:r w:rsidRPr="00930A31">
              <w:rPr>
                <w:rFonts w:ascii="Arial" w:hAnsi="Arial" w:cs="Arial"/>
                <w:b/>
                <w:bCs/>
                <w:sz w:val="18"/>
                <w:szCs w:val="18"/>
              </w:rPr>
              <w:t>OTHER INFORMATION</w:t>
            </w:r>
          </w:p>
        </w:tc>
        <w:tc>
          <w:tcPr>
            <w:tcW w:w="395" w:type="pct"/>
            <w:tcBorders>
              <w:top w:val="double" w:sz="5" w:space="0" w:color="000000"/>
              <w:left w:val="single" w:sz="5" w:space="0" w:color="000000"/>
              <w:bottom w:val="single" w:sz="5" w:space="0" w:color="000000"/>
              <w:right w:val="single" w:sz="5" w:space="0" w:color="000000"/>
            </w:tcBorders>
            <w:shd w:val="clear" w:color="auto" w:fill="FFFFCC"/>
          </w:tcPr>
          <w:p w14:paraId="7462D95F" w14:textId="77777777" w:rsidR="00E47CD1" w:rsidRPr="00930A31" w:rsidRDefault="00E47CD1" w:rsidP="00EB22E5">
            <w:pPr>
              <w:pStyle w:val="Default"/>
              <w:jc w:val="center"/>
              <w:rPr>
                <w:rFonts w:ascii="Arial" w:hAnsi="Arial" w:cs="Arial"/>
                <w:color w:val="auto"/>
                <w:sz w:val="18"/>
                <w:szCs w:val="18"/>
              </w:rPr>
            </w:pPr>
          </w:p>
        </w:tc>
      </w:tr>
      <w:tr w:rsidR="00E47CD1" w:rsidRPr="004C1685" w14:paraId="1163B701" w14:textId="77777777" w:rsidTr="00EB22E5">
        <w:trPr>
          <w:trHeight w:val="48"/>
        </w:trPr>
        <w:tc>
          <w:tcPr>
            <w:tcW w:w="549" w:type="pct"/>
            <w:vMerge w:val="restart"/>
            <w:tcBorders>
              <w:top w:val="single" w:sz="5" w:space="0" w:color="000000"/>
              <w:left w:val="single" w:sz="5" w:space="0" w:color="000000"/>
              <w:right w:val="single" w:sz="5" w:space="0" w:color="000000"/>
            </w:tcBorders>
          </w:tcPr>
          <w:p w14:paraId="4150909B"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Registration and protocol</w:t>
            </w:r>
          </w:p>
        </w:tc>
        <w:tc>
          <w:tcPr>
            <w:tcW w:w="193" w:type="pct"/>
            <w:tcBorders>
              <w:top w:val="single" w:sz="5" w:space="0" w:color="000000"/>
              <w:left w:val="single" w:sz="5" w:space="0" w:color="000000"/>
              <w:bottom w:val="single" w:sz="5" w:space="0" w:color="000000"/>
              <w:right w:val="single" w:sz="5" w:space="0" w:color="000000"/>
            </w:tcBorders>
          </w:tcPr>
          <w:p w14:paraId="4AC85AC8"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24a</w:t>
            </w:r>
          </w:p>
        </w:tc>
        <w:tc>
          <w:tcPr>
            <w:tcW w:w="3863" w:type="pct"/>
            <w:tcBorders>
              <w:top w:val="single" w:sz="5" w:space="0" w:color="000000"/>
              <w:left w:val="single" w:sz="5" w:space="0" w:color="000000"/>
              <w:bottom w:val="single" w:sz="5" w:space="0" w:color="000000"/>
              <w:right w:val="single" w:sz="5" w:space="0" w:color="000000"/>
            </w:tcBorders>
          </w:tcPr>
          <w:p w14:paraId="034F87A5"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Provide registration information for the review, including register name and registration number, or state that the review was not registered.</w:t>
            </w:r>
          </w:p>
        </w:tc>
        <w:tc>
          <w:tcPr>
            <w:tcW w:w="395" w:type="pct"/>
            <w:tcBorders>
              <w:top w:val="single" w:sz="5" w:space="0" w:color="000000"/>
              <w:left w:val="single" w:sz="5" w:space="0" w:color="000000"/>
              <w:bottom w:val="single" w:sz="5" w:space="0" w:color="000000"/>
              <w:right w:val="single" w:sz="5" w:space="0" w:color="000000"/>
            </w:tcBorders>
          </w:tcPr>
          <w:p w14:paraId="1D138861"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034DE1E1" w14:textId="77777777" w:rsidTr="00EB22E5">
        <w:trPr>
          <w:trHeight w:val="57"/>
        </w:trPr>
        <w:tc>
          <w:tcPr>
            <w:tcW w:w="549" w:type="pct"/>
            <w:vMerge/>
            <w:tcBorders>
              <w:left w:val="single" w:sz="5" w:space="0" w:color="000000"/>
              <w:right w:val="single" w:sz="5" w:space="0" w:color="000000"/>
            </w:tcBorders>
          </w:tcPr>
          <w:p w14:paraId="3970499A" w14:textId="77777777" w:rsidR="00E47CD1" w:rsidRPr="00930A31" w:rsidRDefault="00E47CD1" w:rsidP="00EB22E5">
            <w:pPr>
              <w:pStyle w:val="Default"/>
              <w:spacing w:before="40" w:after="40"/>
              <w:rPr>
                <w:rFonts w:ascii="Arial" w:hAnsi="Arial" w:cs="Arial"/>
                <w:sz w:val="18"/>
                <w:szCs w:val="18"/>
              </w:rPr>
            </w:pPr>
          </w:p>
        </w:tc>
        <w:tc>
          <w:tcPr>
            <w:tcW w:w="193" w:type="pct"/>
            <w:tcBorders>
              <w:top w:val="single" w:sz="5" w:space="0" w:color="000000"/>
              <w:left w:val="single" w:sz="5" w:space="0" w:color="000000"/>
              <w:bottom w:val="single" w:sz="5" w:space="0" w:color="000000"/>
              <w:right w:val="single" w:sz="5" w:space="0" w:color="000000"/>
            </w:tcBorders>
          </w:tcPr>
          <w:p w14:paraId="23C4612E"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24b</w:t>
            </w:r>
          </w:p>
        </w:tc>
        <w:tc>
          <w:tcPr>
            <w:tcW w:w="3863" w:type="pct"/>
            <w:tcBorders>
              <w:top w:val="single" w:sz="5" w:space="0" w:color="000000"/>
              <w:left w:val="single" w:sz="5" w:space="0" w:color="000000"/>
              <w:bottom w:val="single" w:sz="5" w:space="0" w:color="000000"/>
              <w:right w:val="single" w:sz="5" w:space="0" w:color="000000"/>
            </w:tcBorders>
          </w:tcPr>
          <w:p w14:paraId="3FD0D915"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Indicate where the review protocol can be accessed, or state that a protocol was not prepared.</w:t>
            </w:r>
          </w:p>
        </w:tc>
        <w:tc>
          <w:tcPr>
            <w:tcW w:w="395" w:type="pct"/>
            <w:tcBorders>
              <w:top w:val="single" w:sz="5" w:space="0" w:color="000000"/>
              <w:left w:val="single" w:sz="5" w:space="0" w:color="000000"/>
              <w:bottom w:val="single" w:sz="5" w:space="0" w:color="000000"/>
              <w:right w:val="single" w:sz="5" w:space="0" w:color="000000"/>
            </w:tcBorders>
          </w:tcPr>
          <w:p w14:paraId="4A24DD62"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4D7B96C7" w14:textId="77777777" w:rsidTr="00EB22E5">
        <w:trPr>
          <w:trHeight w:val="48"/>
        </w:trPr>
        <w:tc>
          <w:tcPr>
            <w:tcW w:w="549" w:type="pct"/>
            <w:vMerge/>
            <w:tcBorders>
              <w:left w:val="single" w:sz="5" w:space="0" w:color="000000"/>
              <w:bottom w:val="single" w:sz="5" w:space="0" w:color="000000"/>
              <w:right w:val="single" w:sz="5" w:space="0" w:color="000000"/>
            </w:tcBorders>
          </w:tcPr>
          <w:p w14:paraId="5DDF3014" w14:textId="77777777" w:rsidR="00E47CD1" w:rsidRPr="00930A31" w:rsidRDefault="00E47CD1" w:rsidP="00EB22E5">
            <w:pPr>
              <w:pStyle w:val="Default"/>
              <w:spacing w:before="40" w:after="40"/>
              <w:rPr>
                <w:rFonts w:ascii="Arial" w:hAnsi="Arial" w:cs="Arial"/>
                <w:sz w:val="18"/>
                <w:szCs w:val="18"/>
              </w:rPr>
            </w:pPr>
          </w:p>
        </w:tc>
        <w:tc>
          <w:tcPr>
            <w:tcW w:w="193" w:type="pct"/>
            <w:tcBorders>
              <w:top w:val="single" w:sz="5" w:space="0" w:color="000000"/>
              <w:left w:val="single" w:sz="5" w:space="0" w:color="000000"/>
              <w:bottom w:val="single" w:sz="5" w:space="0" w:color="000000"/>
              <w:right w:val="single" w:sz="5" w:space="0" w:color="000000"/>
            </w:tcBorders>
          </w:tcPr>
          <w:p w14:paraId="56446A13"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24c</w:t>
            </w:r>
          </w:p>
        </w:tc>
        <w:tc>
          <w:tcPr>
            <w:tcW w:w="3863" w:type="pct"/>
            <w:tcBorders>
              <w:top w:val="single" w:sz="5" w:space="0" w:color="000000"/>
              <w:left w:val="single" w:sz="5" w:space="0" w:color="000000"/>
              <w:bottom w:val="single" w:sz="5" w:space="0" w:color="000000"/>
              <w:right w:val="single" w:sz="5" w:space="0" w:color="000000"/>
            </w:tcBorders>
          </w:tcPr>
          <w:p w14:paraId="19A64095"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Describe and explain any amendments to information provided at registration or in the protocol.</w:t>
            </w:r>
          </w:p>
        </w:tc>
        <w:tc>
          <w:tcPr>
            <w:tcW w:w="395" w:type="pct"/>
            <w:tcBorders>
              <w:top w:val="single" w:sz="5" w:space="0" w:color="000000"/>
              <w:left w:val="single" w:sz="5" w:space="0" w:color="000000"/>
              <w:bottom w:val="single" w:sz="5" w:space="0" w:color="000000"/>
              <w:right w:val="single" w:sz="5" w:space="0" w:color="000000"/>
            </w:tcBorders>
          </w:tcPr>
          <w:p w14:paraId="1A085A44"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5F85DCEA" w14:textId="77777777" w:rsidTr="00EB22E5">
        <w:trPr>
          <w:trHeight w:val="48"/>
        </w:trPr>
        <w:tc>
          <w:tcPr>
            <w:tcW w:w="549" w:type="pct"/>
            <w:tcBorders>
              <w:top w:val="single" w:sz="5" w:space="0" w:color="000000"/>
              <w:left w:val="single" w:sz="5" w:space="0" w:color="000000"/>
              <w:bottom w:val="single" w:sz="5" w:space="0" w:color="000000"/>
              <w:right w:val="single" w:sz="5" w:space="0" w:color="000000"/>
            </w:tcBorders>
          </w:tcPr>
          <w:p w14:paraId="1954335A"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Support</w:t>
            </w:r>
          </w:p>
        </w:tc>
        <w:tc>
          <w:tcPr>
            <w:tcW w:w="193" w:type="pct"/>
            <w:tcBorders>
              <w:top w:val="single" w:sz="5" w:space="0" w:color="000000"/>
              <w:left w:val="single" w:sz="5" w:space="0" w:color="000000"/>
              <w:bottom w:val="single" w:sz="5" w:space="0" w:color="000000"/>
              <w:right w:val="single" w:sz="5" w:space="0" w:color="000000"/>
            </w:tcBorders>
          </w:tcPr>
          <w:p w14:paraId="4E42BC1E"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25</w:t>
            </w:r>
          </w:p>
        </w:tc>
        <w:tc>
          <w:tcPr>
            <w:tcW w:w="3863" w:type="pct"/>
            <w:tcBorders>
              <w:top w:val="single" w:sz="5" w:space="0" w:color="000000"/>
              <w:left w:val="single" w:sz="5" w:space="0" w:color="000000"/>
              <w:bottom w:val="single" w:sz="5" w:space="0" w:color="000000"/>
              <w:right w:val="single" w:sz="5" w:space="0" w:color="000000"/>
            </w:tcBorders>
          </w:tcPr>
          <w:p w14:paraId="71379C1E"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Describe sources of financial or non-financial support for the review, and the role of the funders or sponsors in the review.</w:t>
            </w:r>
          </w:p>
        </w:tc>
        <w:tc>
          <w:tcPr>
            <w:tcW w:w="395" w:type="pct"/>
            <w:tcBorders>
              <w:top w:val="single" w:sz="5" w:space="0" w:color="000000"/>
              <w:left w:val="single" w:sz="5" w:space="0" w:color="000000"/>
              <w:bottom w:val="single" w:sz="5" w:space="0" w:color="000000"/>
              <w:right w:val="single" w:sz="5" w:space="0" w:color="000000"/>
            </w:tcBorders>
          </w:tcPr>
          <w:p w14:paraId="7D6D2733"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09D37008" w14:textId="77777777" w:rsidTr="00EB22E5">
        <w:trPr>
          <w:trHeight w:val="48"/>
        </w:trPr>
        <w:tc>
          <w:tcPr>
            <w:tcW w:w="549" w:type="pct"/>
            <w:tcBorders>
              <w:top w:val="single" w:sz="5" w:space="0" w:color="000000"/>
              <w:left w:val="single" w:sz="5" w:space="0" w:color="000000"/>
              <w:bottom w:val="single" w:sz="5" w:space="0" w:color="000000"/>
              <w:right w:val="single" w:sz="5" w:space="0" w:color="000000"/>
            </w:tcBorders>
          </w:tcPr>
          <w:p w14:paraId="2D78F3EC"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Competing interests</w:t>
            </w:r>
          </w:p>
        </w:tc>
        <w:tc>
          <w:tcPr>
            <w:tcW w:w="193" w:type="pct"/>
            <w:tcBorders>
              <w:top w:val="single" w:sz="5" w:space="0" w:color="000000"/>
              <w:left w:val="single" w:sz="5" w:space="0" w:color="000000"/>
              <w:bottom w:val="single" w:sz="5" w:space="0" w:color="000000"/>
              <w:right w:val="single" w:sz="5" w:space="0" w:color="000000"/>
            </w:tcBorders>
          </w:tcPr>
          <w:p w14:paraId="14326254"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26</w:t>
            </w:r>
          </w:p>
        </w:tc>
        <w:tc>
          <w:tcPr>
            <w:tcW w:w="3863" w:type="pct"/>
            <w:tcBorders>
              <w:top w:val="single" w:sz="5" w:space="0" w:color="000000"/>
              <w:left w:val="single" w:sz="5" w:space="0" w:color="000000"/>
              <w:bottom w:val="single" w:sz="5" w:space="0" w:color="000000"/>
              <w:right w:val="single" w:sz="5" w:space="0" w:color="000000"/>
            </w:tcBorders>
          </w:tcPr>
          <w:p w14:paraId="6BF2EFD4"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Declare any competing interests of review authors.</w:t>
            </w:r>
          </w:p>
        </w:tc>
        <w:tc>
          <w:tcPr>
            <w:tcW w:w="395" w:type="pct"/>
            <w:tcBorders>
              <w:top w:val="single" w:sz="5" w:space="0" w:color="000000"/>
              <w:left w:val="single" w:sz="5" w:space="0" w:color="000000"/>
              <w:bottom w:val="single" w:sz="5" w:space="0" w:color="000000"/>
              <w:right w:val="single" w:sz="5" w:space="0" w:color="000000"/>
            </w:tcBorders>
          </w:tcPr>
          <w:p w14:paraId="61E78483" w14:textId="77777777" w:rsidR="00E47CD1" w:rsidRPr="00930A31" w:rsidRDefault="00E47CD1" w:rsidP="00EB22E5">
            <w:pPr>
              <w:pStyle w:val="Default"/>
              <w:spacing w:before="40" w:after="40"/>
              <w:rPr>
                <w:rFonts w:ascii="Arial" w:hAnsi="Arial" w:cs="Arial"/>
                <w:color w:val="auto"/>
                <w:sz w:val="18"/>
                <w:szCs w:val="18"/>
                <w:lang w:eastAsia="ko-KR"/>
              </w:rPr>
            </w:pPr>
          </w:p>
        </w:tc>
      </w:tr>
      <w:tr w:rsidR="00E47CD1" w:rsidRPr="004C1685" w14:paraId="29E4FD18" w14:textId="77777777" w:rsidTr="00EB22E5">
        <w:trPr>
          <w:trHeight w:val="219"/>
        </w:trPr>
        <w:tc>
          <w:tcPr>
            <w:tcW w:w="549" w:type="pct"/>
            <w:tcBorders>
              <w:top w:val="single" w:sz="5" w:space="0" w:color="000000"/>
              <w:left w:val="single" w:sz="5" w:space="0" w:color="000000"/>
              <w:bottom w:val="double" w:sz="5" w:space="0" w:color="000000"/>
              <w:right w:val="single" w:sz="5" w:space="0" w:color="000000"/>
            </w:tcBorders>
          </w:tcPr>
          <w:p w14:paraId="0F7D9F9A"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Availability of data, code and other materials</w:t>
            </w:r>
          </w:p>
        </w:tc>
        <w:tc>
          <w:tcPr>
            <w:tcW w:w="193" w:type="pct"/>
            <w:tcBorders>
              <w:top w:val="single" w:sz="5" w:space="0" w:color="000000"/>
              <w:left w:val="single" w:sz="5" w:space="0" w:color="000000"/>
              <w:bottom w:val="double" w:sz="5" w:space="0" w:color="000000"/>
              <w:right w:val="single" w:sz="5" w:space="0" w:color="000000"/>
            </w:tcBorders>
          </w:tcPr>
          <w:p w14:paraId="61608F5D" w14:textId="77777777" w:rsidR="00E47CD1" w:rsidRPr="00930A31" w:rsidRDefault="00E47CD1" w:rsidP="00EB22E5">
            <w:pPr>
              <w:pStyle w:val="Default"/>
              <w:spacing w:before="40" w:after="40"/>
              <w:jc w:val="right"/>
              <w:rPr>
                <w:rFonts w:ascii="Arial" w:hAnsi="Arial" w:cs="Arial"/>
                <w:sz w:val="18"/>
                <w:szCs w:val="18"/>
              </w:rPr>
            </w:pPr>
            <w:r w:rsidRPr="00930A31">
              <w:rPr>
                <w:rFonts w:ascii="Arial" w:hAnsi="Arial" w:cs="Arial"/>
                <w:sz w:val="18"/>
                <w:szCs w:val="18"/>
              </w:rPr>
              <w:t>27</w:t>
            </w:r>
          </w:p>
        </w:tc>
        <w:tc>
          <w:tcPr>
            <w:tcW w:w="3863" w:type="pct"/>
            <w:tcBorders>
              <w:top w:val="single" w:sz="5" w:space="0" w:color="000000"/>
              <w:left w:val="single" w:sz="5" w:space="0" w:color="000000"/>
              <w:bottom w:val="double" w:sz="5" w:space="0" w:color="000000"/>
              <w:right w:val="single" w:sz="5" w:space="0" w:color="000000"/>
            </w:tcBorders>
          </w:tcPr>
          <w:p w14:paraId="5068DA5F" w14:textId="77777777" w:rsidR="00E47CD1" w:rsidRPr="00930A31" w:rsidRDefault="00E47CD1" w:rsidP="00EB22E5">
            <w:pPr>
              <w:pStyle w:val="Default"/>
              <w:spacing w:before="40" w:after="40"/>
              <w:rPr>
                <w:rFonts w:ascii="Arial" w:hAnsi="Arial" w:cs="Arial"/>
                <w:sz w:val="18"/>
                <w:szCs w:val="18"/>
              </w:rPr>
            </w:pPr>
            <w:r w:rsidRPr="00930A31">
              <w:rPr>
                <w:rFonts w:ascii="Arial" w:hAnsi="Arial" w:cs="Arial"/>
                <w:sz w:val="18"/>
                <w:szCs w:val="18"/>
              </w:rPr>
              <w:t>Report which of the following are publicly available and where they can be found: template data collection forms; data extracted from included studies; data used for all analyses; analytic code; any other materials used in the review.</w:t>
            </w:r>
          </w:p>
        </w:tc>
        <w:tc>
          <w:tcPr>
            <w:tcW w:w="395" w:type="pct"/>
            <w:tcBorders>
              <w:top w:val="single" w:sz="5" w:space="0" w:color="000000"/>
              <w:left w:val="single" w:sz="5" w:space="0" w:color="000000"/>
              <w:bottom w:val="double" w:sz="5" w:space="0" w:color="000000"/>
              <w:right w:val="single" w:sz="5" w:space="0" w:color="000000"/>
            </w:tcBorders>
          </w:tcPr>
          <w:p w14:paraId="618E4474" w14:textId="77777777" w:rsidR="00E47CD1" w:rsidRPr="00930A31" w:rsidRDefault="00E47CD1" w:rsidP="00EB22E5">
            <w:pPr>
              <w:pStyle w:val="Default"/>
              <w:spacing w:before="40" w:after="40"/>
              <w:rPr>
                <w:rFonts w:ascii="Arial" w:hAnsi="Arial" w:cs="Arial"/>
                <w:color w:val="auto"/>
                <w:sz w:val="18"/>
                <w:szCs w:val="18"/>
                <w:lang w:eastAsia="ko-KR"/>
              </w:rPr>
            </w:pPr>
          </w:p>
        </w:tc>
      </w:tr>
    </w:tbl>
    <w:p w14:paraId="3F3E725D" w14:textId="77777777" w:rsidR="00AE33CC" w:rsidRDefault="00AE33CC" w:rsidP="00E47CD1">
      <w:pPr>
        <w:widowControl/>
        <w:wordWrap/>
        <w:autoSpaceDE/>
        <w:autoSpaceDN/>
        <w:rPr>
          <w:rFonts w:ascii="Times New Roman" w:hAnsi="Times New Roman" w:cs="Times New Roman"/>
          <w:b/>
          <w:bCs/>
          <w:sz w:val="22"/>
        </w:rPr>
      </w:pPr>
    </w:p>
    <w:p w14:paraId="3F48E2E4" w14:textId="77777777" w:rsidR="00AE33CC" w:rsidRDefault="00AE33CC">
      <w:pPr>
        <w:widowControl/>
        <w:wordWrap/>
        <w:autoSpaceDE/>
        <w:autoSpaceDN/>
        <w:rPr>
          <w:rFonts w:ascii="Times New Roman" w:hAnsi="Times New Roman" w:cs="Times New Roman"/>
          <w:b/>
          <w:bCs/>
          <w:sz w:val="22"/>
        </w:rPr>
      </w:pPr>
      <w:r>
        <w:rPr>
          <w:rFonts w:ascii="Times New Roman" w:hAnsi="Times New Roman" w:cs="Times New Roman"/>
          <w:b/>
          <w:bCs/>
          <w:sz w:val="22"/>
        </w:rPr>
        <w:br w:type="page"/>
      </w:r>
    </w:p>
    <w:p w14:paraId="50CE4B39" w14:textId="59B63CD7" w:rsidR="00E47CD1" w:rsidRPr="00191770" w:rsidRDefault="00E47CD1" w:rsidP="00E47CD1">
      <w:pPr>
        <w:widowControl/>
        <w:wordWrap/>
        <w:autoSpaceDE/>
        <w:autoSpaceDN/>
        <w:rPr>
          <w:rFonts w:ascii="Times New Roman" w:hAnsi="Times New Roman" w:cs="Times New Roman"/>
          <w:b/>
          <w:bCs/>
          <w:sz w:val="22"/>
        </w:rPr>
      </w:pPr>
      <w:r>
        <w:rPr>
          <w:rFonts w:ascii="Times New Roman" w:hAnsi="Times New Roman" w:cs="Times New Roman" w:hint="eastAsia"/>
          <w:b/>
          <w:bCs/>
          <w:sz w:val="22"/>
        </w:rPr>
        <w:lastRenderedPageBreak/>
        <w:t>Supplement</w:t>
      </w:r>
      <w:r>
        <w:rPr>
          <w:rFonts w:ascii="Times New Roman" w:hAnsi="Times New Roman" w:cs="Times New Roman"/>
          <w:b/>
          <w:bCs/>
          <w:sz w:val="22"/>
        </w:rPr>
        <w:t xml:space="preserve"> </w:t>
      </w:r>
      <w:r>
        <w:rPr>
          <w:rFonts w:ascii="Times New Roman" w:hAnsi="Times New Roman" w:cs="Times New Roman" w:hint="eastAsia"/>
          <w:b/>
          <w:bCs/>
          <w:sz w:val="22"/>
        </w:rPr>
        <w:t>2</w:t>
      </w:r>
      <w:r w:rsidRPr="00191770">
        <w:rPr>
          <w:rFonts w:ascii="Times New Roman" w:hAnsi="Times New Roman" w:cs="Times New Roman"/>
          <w:b/>
          <w:bCs/>
          <w:sz w:val="22"/>
        </w:rPr>
        <w:t xml:space="preserve">. </w:t>
      </w:r>
      <w:r>
        <w:rPr>
          <w:rFonts w:ascii="Times New Roman" w:hAnsi="Times New Roman" w:cs="Times New Roman"/>
          <w:b/>
          <w:bCs/>
          <w:sz w:val="22"/>
        </w:rPr>
        <w:t xml:space="preserve">The characteristics of studies </w:t>
      </w:r>
      <w:r w:rsidRPr="00191770">
        <w:rPr>
          <w:rFonts w:ascii="Times New Roman" w:hAnsi="Times New Roman" w:cs="Times New Roman"/>
          <w:b/>
          <w:bCs/>
          <w:sz w:val="22"/>
        </w:rPr>
        <w:t xml:space="preserve">included in the </w:t>
      </w:r>
      <w:r>
        <w:rPr>
          <w:rFonts w:ascii="Times New Roman" w:hAnsi="Times New Roman" w:cs="Times New Roman"/>
          <w:b/>
          <w:bCs/>
          <w:sz w:val="22"/>
        </w:rPr>
        <w:t>systematic review.</w:t>
      </w:r>
    </w:p>
    <w:tbl>
      <w:tblPr>
        <w:tblStyle w:val="PlainTable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4536"/>
        <w:gridCol w:w="2835"/>
        <w:gridCol w:w="4111"/>
        <w:gridCol w:w="1134"/>
        <w:gridCol w:w="1501"/>
      </w:tblGrid>
      <w:tr w:rsidR="00E47CD1" w:rsidRPr="00191770" w14:paraId="5A8BF9CA" w14:textId="77777777" w:rsidTr="00EB22E5">
        <w:trPr>
          <w:cnfStyle w:val="100000000000" w:firstRow="1" w:lastRow="0" w:firstColumn="0" w:lastColumn="0" w:oddVBand="0" w:evenVBand="0" w:oddHBand="0" w:evenHBand="0" w:firstRowFirstColumn="0" w:firstRowLastColumn="0" w:lastRowFirstColumn="0" w:lastRowLastColumn="0"/>
          <w:trHeight w:val="410"/>
        </w:trPr>
        <w:tc>
          <w:tcPr>
            <w:cnfStyle w:val="001000000000" w:firstRow="0" w:lastRow="0" w:firstColumn="1" w:lastColumn="0" w:oddVBand="0" w:evenVBand="0" w:oddHBand="0" w:evenHBand="0" w:firstRowFirstColumn="0" w:firstRowLastColumn="0" w:lastRowFirstColumn="0" w:lastRowLastColumn="0"/>
            <w:tcW w:w="1271" w:type="dxa"/>
            <w:noWrap/>
            <w:hideMark/>
          </w:tcPr>
          <w:p w14:paraId="1528AAD1" w14:textId="77777777" w:rsidR="00E47CD1" w:rsidRPr="00191770" w:rsidRDefault="00E47CD1" w:rsidP="00EB22E5">
            <w:pPr>
              <w:widowControl/>
              <w:wordWrap/>
              <w:autoSpaceDE/>
              <w:autoSpaceDN/>
              <w:jc w:val="center"/>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Author, year</w:t>
            </w:r>
          </w:p>
        </w:tc>
        <w:tc>
          <w:tcPr>
            <w:tcW w:w="4536" w:type="dxa"/>
            <w:noWrap/>
            <w:hideMark/>
          </w:tcPr>
          <w:p w14:paraId="542DD6FC" w14:textId="77777777" w:rsidR="00E47CD1" w:rsidRPr="00191770"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Subjects (Population)</w:t>
            </w:r>
          </w:p>
        </w:tc>
        <w:tc>
          <w:tcPr>
            <w:tcW w:w="2835" w:type="dxa"/>
            <w:noWrap/>
            <w:hideMark/>
          </w:tcPr>
          <w:p w14:paraId="7D9D7130" w14:textId="77777777" w:rsidR="00E47CD1" w:rsidRPr="00191770"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Comparison</w:t>
            </w:r>
          </w:p>
        </w:tc>
        <w:tc>
          <w:tcPr>
            <w:tcW w:w="4111" w:type="dxa"/>
            <w:noWrap/>
            <w:hideMark/>
          </w:tcPr>
          <w:p w14:paraId="1C0C3101" w14:textId="77777777" w:rsidR="00E47CD1" w:rsidRPr="00191770"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Criteria for seropositivity</w:t>
            </w:r>
          </w:p>
        </w:tc>
        <w:tc>
          <w:tcPr>
            <w:tcW w:w="1134" w:type="dxa"/>
            <w:noWrap/>
            <w:hideMark/>
          </w:tcPr>
          <w:p w14:paraId="1AC0C2DD" w14:textId="77777777" w:rsidR="00E47CD1" w:rsidRPr="00191770"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Vaccine</w:t>
            </w:r>
          </w:p>
        </w:tc>
        <w:tc>
          <w:tcPr>
            <w:tcW w:w="1501" w:type="dxa"/>
            <w:noWrap/>
            <w:hideMark/>
          </w:tcPr>
          <w:p w14:paraId="70006768" w14:textId="77777777" w:rsidR="00E47CD1" w:rsidRPr="00191770"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Dose interval</w:t>
            </w:r>
          </w:p>
        </w:tc>
      </w:tr>
      <w:tr w:rsidR="00E47CD1" w:rsidRPr="00191770" w14:paraId="2AEDED9E" w14:textId="77777777" w:rsidTr="00EB22E5">
        <w:trPr>
          <w:cnfStyle w:val="000000100000" w:firstRow="0" w:lastRow="0" w:firstColumn="0" w:lastColumn="0" w:oddVBand="0" w:evenVBand="0" w:oddHBand="1" w:evenHBand="0" w:firstRowFirstColumn="0" w:firstRowLastColumn="0" w:lastRowFirstColumn="0" w:lastRowLastColumn="0"/>
          <w:trHeight w:val="3594"/>
        </w:trPr>
        <w:tc>
          <w:tcPr>
            <w:cnfStyle w:val="001000000000" w:firstRow="0" w:lastRow="0" w:firstColumn="1" w:lastColumn="0" w:oddVBand="0" w:evenVBand="0" w:oddHBand="0" w:evenHBand="0" w:firstRowFirstColumn="0" w:firstRowLastColumn="0" w:lastRowFirstColumn="0" w:lastRowLastColumn="0"/>
            <w:tcW w:w="1271" w:type="dxa"/>
            <w:noWrap/>
            <w:hideMark/>
          </w:tcPr>
          <w:p w14:paraId="46FAA1B5" w14:textId="77777777" w:rsidR="00E47CD1" w:rsidRPr="00191770" w:rsidRDefault="00E47CD1" w:rsidP="00EB22E5">
            <w:pPr>
              <w:widowControl/>
              <w:wordWrap/>
              <w:autoSpaceDE/>
              <w:autoSpaceDN/>
              <w:jc w:val="left"/>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G. L. Salvagano, 2021</w:t>
            </w:r>
          </w:p>
        </w:tc>
        <w:tc>
          <w:tcPr>
            <w:tcW w:w="4536" w:type="dxa"/>
            <w:hideMark/>
          </w:tcPr>
          <w:p w14:paraId="181A891A"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 xml:space="preserve">1) The initial study population consisted of 1003 employees of the Pederzoli Hospital of Peschiera del Garda, who voluntarily agreed to undergo vaccination with Pfizer COVID 19 mRNA Vaccine Comirnaty. The final study population consisted of 925 subjects (mean age, 44 ± 13 years; 457 (49.4%) women) who completed the two-dose vaccine cycle and had serum samples drawn at all the three time points. </w:t>
            </w:r>
            <w:r w:rsidRPr="00191770">
              <w:rPr>
                <w:rFonts w:ascii="Times New Roman" w:eastAsia="Malgun Gothic" w:hAnsi="Times New Roman" w:cs="Times New Roman"/>
                <w:color w:val="000000"/>
                <w:kern w:val="0"/>
                <w:sz w:val="22"/>
              </w:rPr>
              <w:br/>
              <w:t>2) Two hundred and six (22.3%) subjects had measurable total anti-SARS-CoV-2 RBD antibodies level (i.e., ≥0.8 U/mL) before vaccination, and were hence classified as baseline seropositive.</w:t>
            </w:r>
          </w:p>
        </w:tc>
        <w:tc>
          <w:tcPr>
            <w:tcW w:w="2835" w:type="dxa"/>
            <w:noWrap/>
            <w:hideMark/>
          </w:tcPr>
          <w:p w14:paraId="4D0A76F2"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NA</w:t>
            </w:r>
          </w:p>
        </w:tc>
        <w:tc>
          <w:tcPr>
            <w:tcW w:w="4111" w:type="dxa"/>
            <w:hideMark/>
          </w:tcPr>
          <w:p w14:paraId="25820D37"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Humoral response was assessed with Roche Elecsys Anti-SARS-CoV-2 S total antibodies, on Roche Cobas 6000 (Roche Diagnostics). Quantitative assessment of total anti-SARS-CoV-2 RBD antibodies in human serum and plasma specimens was conducted. Test results &lt;0.8 U/mL are classified as non-reactive,</w:t>
            </w:r>
            <w:r w:rsidRPr="00191770">
              <w:rPr>
                <w:rFonts w:ascii="Times New Roman" w:eastAsia="Malgun Gothic" w:hAnsi="Times New Roman" w:cs="Times New Roman"/>
                <w:color w:val="000000"/>
                <w:kern w:val="0"/>
                <w:sz w:val="22"/>
              </w:rPr>
              <w:br/>
              <w:t>while those ≥0.8 U/mL are classified as reactive.</w:t>
            </w:r>
          </w:p>
        </w:tc>
        <w:tc>
          <w:tcPr>
            <w:tcW w:w="1134" w:type="dxa"/>
            <w:hideMark/>
          </w:tcPr>
          <w:p w14:paraId="0941AEA8"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Pfizer</w:t>
            </w:r>
          </w:p>
        </w:tc>
        <w:tc>
          <w:tcPr>
            <w:tcW w:w="1501" w:type="dxa"/>
            <w:hideMark/>
          </w:tcPr>
          <w:p w14:paraId="37D614EF"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Exactly 21 days between the first and the second dose</w:t>
            </w:r>
          </w:p>
        </w:tc>
      </w:tr>
      <w:tr w:rsidR="00E47CD1" w:rsidRPr="00191770" w14:paraId="403FC26E" w14:textId="77777777" w:rsidTr="00EB22E5">
        <w:trPr>
          <w:trHeight w:val="3911"/>
        </w:trPr>
        <w:tc>
          <w:tcPr>
            <w:cnfStyle w:val="001000000000" w:firstRow="0" w:lastRow="0" w:firstColumn="1" w:lastColumn="0" w:oddVBand="0" w:evenVBand="0" w:oddHBand="0" w:evenHBand="0" w:firstRowFirstColumn="0" w:firstRowLastColumn="0" w:lastRowFirstColumn="0" w:lastRowLastColumn="0"/>
            <w:tcW w:w="1271" w:type="dxa"/>
            <w:noWrap/>
            <w:hideMark/>
          </w:tcPr>
          <w:p w14:paraId="04C1833F" w14:textId="77777777" w:rsidR="00E47CD1" w:rsidRPr="00191770" w:rsidRDefault="00E47CD1" w:rsidP="00EB22E5">
            <w:pPr>
              <w:widowControl/>
              <w:wordWrap/>
              <w:autoSpaceDE/>
              <w:autoSpaceDN/>
              <w:jc w:val="left"/>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H. Blain, 2021</w:t>
            </w:r>
          </w:p>
        </w:tc>
        <w:tc>
          <w:tcPr>
            <w:tcW w:w="4536" w:type="dxa"/>
            <w:hideMark/>
          </w:tcPr>
          <w:p w14:paraId="0ED4A7E2"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Nursing home residents without prior COVID-19 (with repeated negative RT-PCR and negative N-protein IgG measured 3 weeks after the jab) vs. residents with prior COVID-19 (confirmed either by a positive RT-PCR or by detectable N-protein IgG)</w:t>
            </w:r>
          </w:p>
        </w:tc>
        <w:tc>
          <w:tcPr>
            <w:tcW w:w="2835" w:type="dxa"/>
            <w:hideMark/>
          </w:tcPr>
          <w:p w14:paraId="0F395216"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 xml:space="preserve">Used a control group of younger healthcare workers </w:t>
            </w:r>
            <w:r w:rsidRPr="00191770">
              <w:rPr>
                <w:rFonts w:ascii="Times New Roman" w:eastAsia="Malgun Gothic" w:hAnsi="Times New Roman" w:cs="Times New Roman"/>
                <w:color w:val="000000"/>
                <w:kern w:val="0"/>
                <w:sz w:val="22"/>
              </w:rPr>
              <w:br/>
              <w:t>to assess the differences with NH residents who had never had a positive RT-PCR and who had undetectable N-protein IgG levels after vaccination</w:t>
            </w:r>
          </w:p>
        </w:tc>
        <w:tc>
          <w:tcPr>
            <w:tcW w:w="4111" w:type="dxa"/>
            <w:hideMark/>
          </w:tcPr>
          <w:p w14:paraId="250EC653"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S-RDB-protein IgG against the SARS-CoV-2 receptor-binding domain (RBD) of the S1 subunit was detected using the SARS-CoV-2 IgG II Quant assay (Abbott Diagnostics). Results were expressed as arbitrary units per ml (AU/ml; positive threshold: 50 AU/ml; upper limit: 40,000 AU/ml; a level ≥1,050 AU/ml was considered as a significant response21 and a level ≥4160 AU/ml indicated a high neutralising effect according to the manufacturer). N-protein IgG was detected using the SARS-CoV-2 IgG assay (Abbott Diagnostics). Results were expressed as a signal to cutoff ratio (S/CO; Abbott Alinity; positive threshold: 0.8 S/CO).</w:t>
            </w:r>
          </w:p>
        </w:tc>
        <w:tc>
          <w:tcPr>
            <w:tcW w:w="1134" w:type="dxa"/>
            <w:hideMark/>
          </w:tcPr>
          <w:p w14:paraId="42DB17B3"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Pfizer</w:t>
            </w:r>
          </w:p>
        </w:tc>
        <w:tc>
          <w:tcPr>
            <w:tcW w:w="1501" w:type="dxa"/>
            <w:hideMark/>
          </w:tcPr>
          <w:p w14:paraId="6A28F4AF"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Three weeks between the first and the second dose</w:t>
            </w:r>
          </w:p>
        </w:tc>
      </w:tr>
      <w:tr w:rsidR="00E47CD1" w:rsidRPr="00191770" w14:paraId="11C43ACD" w14:textId="77777777" w:rsidTr="00EB22E5">
        <w:trPr>
          <w:cnfStyle w:val="000000100000" w:firstRow="0" w:lastRow="0" w:firstColumn="0" w:lastColumn="0" w:oddVBand="0" w:evenVBand="0" w:oddHBand="1" w:evenHBand="0" w:firstRowFirstColumn="0" w:firstRowLastColumn="0" w:lastRowFirstColumn="0" w:lastRowLastColumn="0"/>
          <w:trHeight w:val="1792"/>
        </w:trPr>
        <w:tc>
          <w:tcPr>
            <w:cnfStyle w:val="001000000000" w:firstRow="0" w:lastRow="0" w:firstColumn="1" w:lastColumn="0" w:oddVBand="0" w:evenVBand="0" w:oddHBand="0" w:evenHBand="0" w:firstRowFirstColumn="0" w:firstRowLastColumn="0" w:lastRowFirstColumn="0" w:lastRowLastColumn="0"/>
            <w:tcW w:w="1271" w:type="dxa"/>
            <w:noWrap/>
            <w:hideMark/>
          </w:tcPr>
          <w:p w14:paraId="6912BC2B" w14:textId="77777777" w:rsidR="00E47CD1" w:rsidRPr="00191770" w:rsidRDefault="00E47CD1" w:rsidP="00EB22E5">
            <w:pPr>
              <w:widowControl/>
              <w:wordWrap/>
              <w:autoSpaceDE/>
              <w:autoSpaceDN/>
              <w:jc w:val="left"/>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lastRenderedPageBreak/>
              <w:t>B. Rozen-Zvi, 2021</w:t>
            </w:r>
          </w:p>
        </w:tc>
        <w:tc>
          <w:tcPr>
            <w:tcW w:w="4536" w:type="dxa"/>
            <w:hideMark/>
          </w:tcPr>
          <w:p w14:paraId="0EC99F08"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Adult kidney transplant recipients who were vaccinated with two doses of BNT162b2 vaccine, 21 days apart, and followed at the Rabin Medical Center (RMC) kidney transplantation follow-up clinic between 8th and 28th February 2021</w:t>
            </w:r>
          </w:p>
        </w:tc>
        <w:tc>
          <w:tcPr>
            <w:tcW w:w="2835" w:type="dxa"/>
            <w:noWrap/>
            <w:hideMark/>
          </w:tcPr>
          <w:p w14:paraId="67E6AE7A"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NA</w:t>
            </w:r>
          </w:p>
        </w:tc>
        <w:tc>
          <w:tcPr>
            <w:tcW w:w="4111" w:type="dxa"/>
            <w:hideMark/>
          </w:tcPr>
          <w:p w14:paraId="17C05D7B"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A test was considered positive if IgG was &gt;=50 AU/mL</w:t>
            </w:r>
          </w:p>
        </w:tc>
        <w:tc>
          <w:tcPr>
            <w:tcW w:w="1134" w:type="dxa"/>
            <w:hideMark/>
          </w:tcPr>
          <w:p w14:paraId="49CF0562"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Pfizer</w:t>
            </w:r>
          </w:p>
        </w:tc>
        <w:tc>
          <w:tcPr>
            <w:tcW w:w="1501" w:type="dxa"/>
            <w:hideMark/>
          </w:tcPr>
          <w:p w14:paraId="260E684E"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Not clearly defined</w:t>
            </w:r>
          </w:p>
        </w:tc>
      </w:tr>
      <w:tr w:rsidR="00E47CD1" w:rsidRPr="00191770" w14:paraId="34CC0E17" w14:textId="77777777" w:rsidTr="00EB22E5">
        <w:trPr>
          <w:trHeight w:val="2906"/>
        </w:trPr>
        <w:tc>
          <w:tcPr>
            <w:cnfStyle w:val="001000000000" w:firstRow="0" w:lastRow="0" w:firstColumn="1" w:lastColumn="0" w:oddVBand="0" w:evenVBand="0" w:oddHBand="0" w:evenHBand="0" w:firstRowFirstColumn="0" w:firstRowLastColumn="0" w:lastRowFirstColumn="0" w:lastRowLastColumn="0"/>
            <w:tcW w:w="1271" w:type="dxa"/>
            <w:noWrap/>
            <w:hideMark/>
          </w:tcPr>
          <w:p w14:paraId="3010825F" w14:textId="77777777" w:rsidR="00E47CD1" w:rsidRPr="00191770" w:rsidRDefault="00E47CD1" w:rsidP="00EB22E5">
            <w:pPr>
              <w:widowControl/>
              <w:wordWrap/>
              <w:autoSpaceDE/>
              <w:autoSpaceDN/>
              <w:jc w:val="left"/>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K. Herzog Tzarfati, 2021</w:t>
            </w:r>
          </w:p>
        </w:tc>
        <w:tc>
          <w:tcPr>
            <w:tcW w:w="4536" w:type="dxa"/>
            <w:hideMark/>
          </w:tcPr>
          <w:p w14:paraId="04663D53"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Patients with hematologic malignancies treated at Shamir Medical</w:t>
            </w:r>
            <w:r w:rsidRPr="00191770">
              <w:rPr>
                <w:rFonts w:ascii="Times New Roman" w:eastAsia="Malgun Gothic" w:hAnsi="Times New Roman" w:cs="Times New Roman"/>
                <w:color w:val="000000"/>
                <w:kern w:val="0"/>
                <w:sz w:val="22"/>
              </w:rPr>
              <w:br/>
              <w:t xml:space="preserve">Center in Israel, having received two doses of vaccination </w:t>
            </w:r>
            <w:r w:rsidRPr="00191770">
              <w:rPr>
                <w:rFonts w:ascii="Times New Roman" w:eastAsia="Malgun Gothic" w:hAnsi="Times New Roman" w:cs="Times New Roman"/>
                <w:color w:val="000000"/>
                <w:kern w:val="0"/>
                <w:sz w:val="22"/>
              </w:rPr>
              <w:br/>
              <w:t>- Participants with solid cancer or immune diseases were not excluded.</w:t>
            </w:r>
            <w:r w:rsidRPr="00191770">
              <w:rPr>
                <w:rFonts w:ascii="Times New Roman" w:eastAsia="Malgun Gothic" w:hAnsi="Times New Roman" w:cs="Times New Roman"/>
                <w:color w:val="000000"/>
                <w:kern w:val="0"/>
                <w:sz w:val="22"/>
              </w:rPr>
              <w:br/>
              <w:t>- Patients with prior COVID-19 infection were excluded from the study</w:t>
            </w:r>
          </w:p>
        </w:tc>
        <w:tc>
          <w:tcPr>
            <w:tcW w:w="2835" w:type="dxa"/>
            <w:hideMark/>
          </w:tcPr>
          <w:p w14:paraId="614B3F37"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An age-matched group of subjects with no hematologic malignancy</w:t>
            </w:r>
          </w:p>
        </w:tc>
        <w:tc>
          <w:tcPr>
            <w:tcW w:w="4111" w:type="dxa"/>
            <w:hideMark/>
          </w:tcPr>
          <w:p w14:paraId="1EC50550"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Serologic testing for SARS-Cov2 IgG was performed using the Liaison SARS-CoV-2 S1/S2 IgG test (DiaSorin, Saluggia, Italy), a chemiluminescence immunoassay for the quantitative determination of anti-S1- and anti-S2-specific IgG antibodies to SARS-CoV-2 in human serum or plasma samples. Samples were considered positive for antibody titers</w:t>
            </w:r>
            <w:r>
              <w:rPr>
                <w:rFonts w:ascii="Times New Roman" w:eastAsia="Malgun Gothic" w:hAnsi="Times New Roman" w:cs="Times New Roman"/>
                <w:color w:val="000000"/>
                <w:kern w:val="0"/>
                <w:sz w:val="22"/>
              </w:rPr>
              <w:t xml:space="preserve"> </w:t>
            </w:r>
            <w:r w:rsidRPr="00191770">
              <w:rPr>
                <w:rFonts w:ascii="Times New Roman" w:eastAsia="Malgun Gothic" w:hAnsi="Times New Roman" w:cs="Times New Roman"/>
                <w:color w:val="000000"/>
                <w:kern w:val="0"/>
                <w:sz w:val="22"/>
              </w:rPr>
              <w:t>&gt;12 AU/ml.</w:t>
            </w:r>
          </w:p>
        </w:tc>
        <w:tc>
          <w:tcPr>
            <w:tcW w:w="1134" w:type="dxa"/>
            <w:hideMark/>
          </w:tcPr>
          <w:p w14:paraId="076989DC"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Pfizer</w:t>
            </w:r>
          </w:p>
        </w:tc>
        <w:tc>
          <w:tcPr>
            <w:tcW w:w="1501" w:type="dxa"/>
            <w:hideMark/>
          </w:tcPr>
          <w:p w14:paraId="76DA6E72"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Not clearly defined</w:t>
            </w:r>
          </w:p>
        </w:tc>
      </w:tr>
      <w:tr w:rsidR="00E47CD1" w:rsidRPr="00191770" w14:paraId="70482DFA" w14:textId="77777777" w:rsidTr="00EB22E5">
        <w:trPr>
          <w:cnfStyle w:val="000000100000" w:firstRow="0" w:lastRow="0" w:firstColumn="0" w:lastColumn="0" w:oddVBand="0" w:evenVBand="0" w:oddHBand="1" w:evenHBand="0" w:firstRowFirstColumn="0" w:firstRowLastColumn="0" w:lastRowFirstColumn="0" w:lastRowLastColumn="0"/>
          <w:trHeight w:val="3911"/>
        </w:trPr>
        <w:tc>
          <w:tcPr>
            <w:cnfStyle w:val="001000000000" w:firstRow="0" w:lastRow="0" w:firstColumn="1" w:lastColumn="0" w:oddVBand="0" w:evenVBand="0" w:oddHBand="0" w:evenHBand="0" w:firstRowFirstColumn="0" w:firstRowLastColumn="0" w:lastRowFirstColumn="0" w:lastRowLastColumn="0"/>
            <w:tcW w:w="1271" w:type="dxa"/>
            <w:noWrap/>
            <w:hideMark/>
          </w:tcPr>
          <w:p w14:paraId="134559CE" w14:textId="77777777" w:rsidR="00E47CD1" w:rsidRPr="00191770" w:rsidRDefault="00E47CD1" w:rsidP="00EB22E5">
            <w:pPr>
              <w:widowControl/>
              <w:wordWrap/>
              <w:autoSpaceDE/>
              <w:autoSpaceDN/>
              <w:jc w:val="left"/>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C. Perry, 2021</w:t>
            </w:r>
          </w:p>
        </w:tc>
        <w:tc>
          <w:tcPr>
            <w:tcW w:w="4536" w:type="dxa"/>
            <w:hideMark/>
          </w:tcPr>
          <w:p w14:paraId="6692F852"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patients aged &gt;=18 years diagnosed with B-NHL, including diffuse large B-cell lymphoma (DLBCL) and primary mediastinal B-cell lymphoma and follicular lymphoma and marginal zone lymphoma</w:t>
            </w:r>
            <w:r w:rsidRPr="00191770">
              <w:rPr>
                <w:rFonts w:ascii="Times New Roman" w:eastAsia="Malgun Gothic" w:hAnsi="Times New Roman" w:cs="Times New Roman"/>
                <w:color w:val="000000"/>
                <w:kern w:val="0"/>
                <w:sz w:val="22"/>
              </w:rPr>
              <w:br/>
              <w:t>(1) Treatment-naïve patients (patients with indolent lymphoma under 'watch-and-wait' management)</w:t>
            </w:r>
            <w:r w:rsidRPr="00191770">
              <w:rPr>
                <w:rFonts w:ascii="Times New Roman" w:eastAsia="Malgun Gothic" w:hAnsi="Times New Roman" w:cs="Times New Roman"/>
                <w:color w:val="000000"/>
                <w:kern w:val="0"/>
                <w:sz w:val="22"/>
              </w:rPr>
              <w:br/>
              <w:t>(2) Actively treated patients who were receiving treatment with anti-CD-20 Ab</w:t>
            </w:r>
            <w:r w:rsidRPr="00191770">
              <w:rPr>
                <w:rFonts w:ascii="Times New Roman" w:eastAsia="Malgun Gothic" w:hAnsi="Times New Roman" w:cs="Times New Roman"/>
                <w:color w:val="000000"/>
                <w:kern w:val="0"/>
                <w:sz w:val="22"/>
              </w:rPr>
              <w:br/>
              <w:t>(3) Patients who had completed chemoimmunotehrapy / immune monotherapy / maintenance &gt; 6 months before vaccination</w:t>
            </w:r>
          </w:p>
        </w:tc>
        <w:tc>
          <w:tcPr>
            <w:tcW w:w="2835" w:type="dxa"/>
            <w:hideMark/>
          </w:tcPr>
          <w:p w14:paraId="2F4D3C61"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Age compatible, healthy volunteers, aged &gt;18 years, who had received 2 consecutive COVID-19 vaccine doses</w:t>
            </w:r>
          </w:p>
        </w:tc>
        <w:tc>
          <w:tcPr>
            <w:tcW w:w="4111" w:type="dxa"/>
            <w:hideMark/>
          </w:tcPr>
          <w:p w14:paraId="41121FDE"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Serum samples were analyzed by using the Elecsys Anti-SARS-CoV-2S assay, performed on the Cobas e601 (Roche Diagnostics) enzyme-linked immunosorbent assay reader for quantitative detection of antibodies, predominantly IgG, aimed at the SARS-CoV-2 S protein receptor binding domain. A concentration of &lt;0.80 U/mL considered to be a negative result and &gt;0.80 U/mL considered to be positive</w:t>
            </w:r>
          </w:p>
        </w:tc>
        <w:tc>
          <w:tcPr>
            <w:tcW w:w="1134" w:type="dxa"/>
            <w:hideMark/>
          </w:tcPr>
          <w:p w14:paraId="6F5D5E30"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Pfizer</w:t>
            </w:r>
          </w:p>
        </w:tc>
        <w:tc>
          <w:tcPr>
            <w:tcW w:w="1501" w:type="dxa"/>
            <w:hideMark/>
          </w:tcPr>
          <w:p w14:paraId="6BF34FC5"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21 days between the first and the second dose</w:t>
            </w:r>
          </w:p>
        </w:tc>
      </w:tr>
      <w:tr w:rsidR="00E47CD1" w:rsidRPr="00191770" w14:paraId="5A23FF1B" w14:textId="77777777" w:rsidTr="00EB22E5">
        <w:trPr>
          <w:trHeight w:val="1792"/>
        </w:trPr>
        <w:tc>
          <w:tcPr>
            <w:cnfStyle w:val="001000000000" w:firstRow="0" w:lastRow="0" w:firstColumn="1" w:lastColumn="0" w:oddVBand="0" w:evenVBand="0" w:oddHBand="0" w:evenHBand="0" w:firstRowFirstColumn="0" w:firstRowLastColumn="0" w:lastRowFirstColumn="0" w:lastRowLastColumn="0"/>
            <w:tcW w:w="1271" w:type="dxa"/>
            <w:noWrap/>
            <w:hideMark/>
          </w:tcPr>
          <w:p w14:paraId="1C18C1F0" w14:textId="77777777" w:rsidR="00E47CD1" w:rsidRPr="00191770" w:rsidRDefault="00E47CD1" w:rsidP="00EB22E5">
            <w:pPr>
              <w:widowControl/>
              <w:wordWrap/>
              <w:autoSpaceDE/>
              <w:autoSpaceDN/>
              <w:jc w:val="left"/>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lastRenderedPageBreak/>
              <w:t>F. Claro, 2021</w:t>
            </w:r>
          </w:p>
        </w:tc>
        <w:tc>
          <w:tcPr>
            <w:tcW w:w="4536" w:type="dxa"/>
            <w:hideMark/>
          </w:tcPr>
          <w:p w14:paraId="7CD4E03D"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Individuals who presented for vaccination in a public hospital in Caracas, Venezuela</w:t>
            </w:r>
            <w:r w:rsidRPr="00191770">
              <w:rPr>
                <w:rFonts w:ascii="Times New Roman" w:eastAsia="Malgun Gothic" w:hAnsi="Times New Roman" w:cs="Times New Roman"/>
                <w:color w:val="000000"/>
                <w:kern w:val="0"/>
                <w:sz w:val="22"/>
              </w:rPr>
              <w:br/>
              <w:t>- Only vaccine recipients who provided a baseline (pre-vaccine) sample, a sample at the moment of the application of dose 2 and a sample 6 weeks after dose 2 were included in this study</w:t>
            </w:r>
          </w:p>
        </w:tc>
        <w:tc>
          <w:tcPr>
            <w:tcW w:w="2835" w:type="dxa"/>
            <w:hideMark/>
          </w:tcPr>
          <w:p w14:paraId="0DAB6C04"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NA</w:t>
            </w:r>
          </w:p>
        </w:tc>
        <w:tc>
          <w:tcPr>
            <w:tcW w:w="4111" w:type="dxa"/>
            <w:hideMark/>
          </w:tcPr>
          <w:p w14:paraId="045B7FA4"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A positive antibody response or seroconversion, was defined as a titer with an S/P (sample to positive) ratio of at least 40%. S/P ratios of &lt; 40% were considered negative</w:t>
            </w:r>
          </w:p>
        </w:tc>
        <w:tc>
          <w:tcPr>
            <w:tcW w:w="1134" w:type="dxa"/>
            <w:hideMark/>
          </w:tcPr>
          <w:p w14:paraId="453C742B"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Sputanik V</w:t>
            </w:r>
          </w:p>
        </w:tc>
        <w:tc>
          <w:tcPr>
            <w:tcW w:w="1501" w:type="dxa"/>
            <w:hideMark/>
          </w:tcPr>
          <w:p w14:paraId="3B417B4D"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Three weeks between the first and the second dose</w:t>
            </w:r>
          </w:p>
        </w:tc>
      </w:tr>
      <w:tr w:rsidR="00E47CD1" w:rsidRPr="00191770" w14:paraId="7B9941B0" w14:textId="77777777" w:rsidTr="00EB22E5">
        <w:trPr>
          <w:cnfStyle w:val="000000100000" w:firstRow="0" w:lastRow="0" w:firstColumn="0" w:lastColumn="0" w:oddVBand="0" w:evenVBand="0" w:oddHBand="1" w:evenHBand="0" w:firstRowFirstColumn="0" w:firstRowLastColumn="0" w:lastRowFirstColumn="0" w:lastRowLastColumn="0"/>
          <w:trHeight w:val="3737"/>
        </w:trPr>
        <w:tc>
          <w:tcPr>
            <w:cnfStyle w:val="001000000000" w:firstRow="0" w:lastRow="0" w:firstColumn="1" w:lastColumn="0" w:oddVBand="0" w:evenVBand="0" w:oddHBand="0" w:evenHBand="0" w:firstRowFirstColumn="0" w:firstRowLastColumn="0" w:lastRowFirstColumn="0" w:lastRowLastColumn="0"/>
            <w:tcW w:w="1271" w:type="dxa"/>
            <w:noWrap/>
            <w:hideMark/>
          </w:tcPr>
          <w:p w14:paraId="31FE8940" w14:textId="77777777" w:rsidR="00E47CD1" w:rsidRPr="00191770" w:rsidRDefault="00E47CD1" w:rsidP="00EB22E5">
            <w:pPr>
              <w:widowControl/>
              <w:wordWrap/>
              <w:autoSpaceDE/>
              <w:autoSpaceDN/>
              <w:jc w:val="left"/>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H. Ligumsky, 2021</w:t>
            </w:r>
          </w:p>
        </w:tc>
        <w:tc>
          <w:tcPr>
            <w:tcW w:w="4536" w:type="dxa"/>
            <w:hideMark/>
          </w:tcPr>
          <w:p w14:paraId="0CE418F2"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Patients with solid tumors, actively-treated at the day-care center of the oncology division. Active treatment was defined as any IV anti-cancer medication, administered during a period starting at two weeks before the 1st vaccine dose, and ending two weeks after the 2nd vaccine dose</w:t>
            </w:r>
          </w:p>
        </w:tc>
        <w:tc>
          <w:tcPr>
            <w:tcW w:w="2835" w:type="dxa"/>
            <w:hideMark/>
          </w:tcPr>
          <w:p w14:paraId="259DB456"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Fully vaccinated healthy adults with no personal history of cancer or active immune suppressive medications, who were either health care workers at the oncology division of TASMC offered to be tested for anti-SARS-CoV-2S IgG  antibodies or individuals opted to test immunogenicity at the Integrated Cancer Prevention Center at TASMC</w:t>
            </w:r>
          </w:p>
        </w:tc>
        <w:tc>
          <w:tcPr>
            <w:tcW w:w="4111" w:type="dxa"/>
            <w:hideMark/>
          </w:tcPr>
          <w:p w14:paraId="2E1C1877"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Anti-SARS-CoV-2 S IgG (Immunoglobulin G) antibodies (Abs) were measured, using level&gt;50 AU/ml as cutoff for seropositivity</w:t>
            </w:r>
          </w:p>
        </w:tc>
        <w:tc>
          <w:tcPr>
            <w:tcW w:w="1134" w:type="dxa"/>
            <w:noWrap/>
            <w:hideMark/>
          </w:tcPr>
          <w:p w14:paraId="06E3632D"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Pfizer</w:t>
            </w:r>
          </w:p>
        </w:tc>
        <w:tc>
          <w:tcPr>
            <w:tcW w:w="1501" w:type="dxa"/>
            <w:hideMark/>
          </w:tcPr>
          <w:p w14:paraId="5C6075EF"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Not clearly defined</w:t>
            </w:r>
          </w:p>
        </w:tc>
      </w:tr>
      <w:tr w:rsidR="00E47CD1" w:rsidRPr="00191770" w14:paraId="2434BDE6" w14:textId="77777777" w:rsidTr="00EB22E5">
        <w:trPr>
          <w:trHeight w:val="3911"/>
        </w:trPr>
        <w:tc>
          <w:tcPr>
            <w:cnfStyle w:val="001000000000" w:firstRow="0" w:lastRow="0" w:firstColumn="1" w:lastColumn="0" w:oddVBand="0" w:evenVBand="0" w:oddHBand="0" w:evenHBand="0" w:firstRowFirstColumn="0" w:firstRowLastColumn="0" w:lastRowFirstColumn="0" w:lastRowLastColumn="0"/>
            <w:tcW w:w="1271" w:type="dxa"/>
            <w:noWrap/>
            <w:hideMark/>
          </w:tcPr>
          <w:p w14:paraId="417A0468" w14:textId="77777777" w:rsidR="00E47CD1" w:rsidRPr="00191770" w:rsidRDefault="00E47CD1" w:rsidP="00EB22E5">
            <w:pPr>
              <w:widowControl/>
              <w:wordWrap/>
              <w:autoSpaceDE/>
              <w:autoSpaceDN/>
              <w:jc w:val="left"/>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lastRenderedPageBreak/>
              <w:t>V. Furer, 2021</w:t>
            </w:r>
          </w:p>
        </w:tc>
        <w:tc>
          <w:tcPr>
            <w:tcW w:w="4536" w:type="dxa"/>
            <w:hideMark/>
          </w:tcPr>
          <w:p w14:paraId="0107F336"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 Adult patients (aged ≥18 years)</w:t>
            </w:r>
            <w:r w:rsidRPr="00191770">
              <w:rPr>
                <w:rFonts w:ascii="Times New Roman" w:eastAsia="Malgun Gothic" w:hAnsi="Times New Roman" w:cs="Times New Roman"/>
                <w:color w:val="000000"/>
                <w:kern w:val="0"/>
                <w:sz w:val="22"/>
              </w:rPr>
              <w:br/>
              <w:t>- Patients with autoimmune inflammatory rheumatic diseases (rheumatoid arthritis, psoriatic arthritis, axial spondyloarthritis, systemic lupus erythematosus, systemic vasculitis, antineutrophil cytoplasmic antibody-associated vasculitis, central nervous system vasculitis,  idiopathic inflammatory myositis)</w:t>
            </w:r>
            <w:r w:rsidRPr="00191770">
              <w:rPr>
                <w:rFonts w:ascii="Times New Roman" w:eastAsia="Malgun Gothic" w:hAnsi="Times New Roman" w:cs="Times New Roman"/>
                <w:color w:val="000000"/>
                <w:kern w:val="0"/>
                <w:sz w:val="22"/>
              </w:rPr>
              <w:br/>
              <w:t>- Exclusion : pregnancy, history of past vaccination allergy, and previous COVID-19 infection</w:t>
            </w:r>
          </w:p>
        </w:tc>
        <w:tc>
          <w:tcPr>
            <w:tcW w:w="2835" w:type="dxa"/>
            <w:hideMark/>
          </w:tcPr>
          <w:p w14:paraId="290A0189"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The control group included a sample of the general population, consisting mainly of healthcare personnel</w:t>
            </w:r>
            <w:r w:rsidRPr="00191770">
              <w:rPr>
                <w:rFonts w:ascii="Times New Roman" w:eastAsia="Malgun Gothic" w:hAnsi="Times New Roman" w:cs="Times New Roman"/>
                <w:color w:val="000000"/>
                <w:kern w:val="0"/>
                <w:sz w:val="22"/>
              </w:rPr>
              <w:br/>
              <w:t xml:space="preserve">- </w:t>
            </w:r>
            <w:r>
              <w:rPr>
                <w:rFonts w:ascii="Times New Roman" w:eastAsia="Malgun Gothic" w:hAnsi="Times New Roman" w:cs="Times New Roman"/>
                <w:color w:val="000000"/>
                <w:kern w:val="0"/>
                <w:sz w:val="22"/>
              </w:rPr>
              <w:t>E</w:t>
            </w:r>
            <w:r w:rsidRPr="00191770">
              <w:rPr>
                <w:rFonts w:ascii="Times New Roman" w:eastAsia="Malgun Gothic" w:hAnsi="Times New Roman" w:cs="Times New Roman"/>
                <w:color w:val="000000"/>
                <w:kern w:val="0"/>
                <w:sz w:val="22"/>
              </w:rPr>
              <w:t xml:space="preserve">xclusion : history of </w:t>
            </w:r>
            <w:r w:rsidRPr="00191770">
              <w:rPr>
                <w:rFonts w:ascii="Times New Roman" w:eastAsia="Malgun Gothic" w:hAnsi="Times New Roman" w:cs="Times New Roman"/>
                <w:color w:val="000000"/>
                <w:kern w:val="0"/>
                <w:sz w:val="22"/>
              </w:rPr>
              <w:br/>
              <w:t>AIIRD and immunosuppressive treatment,  pregnancy, history of past vaccination allergy, and previous COVID-19 infection</w:t>
            </w:r>
          </w:p>
        </w:tc>
        <w:tc>
          <w:tcPr>
            <w:tcW w:w="4111" w:type="dxa"/>
            <w:hideMark/>
          </w:tcPr>
          <w:p w14:paraId="7FE9B0F8"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Seropositivity was defined as IgG ≥15 binding antibody units (BAU)/mL</w:t>
            </w:r>
          </w:p>
        </w:tc>
        <w:tc>
          <w:tcPr>
            <w:tcW w:w="1134" w:type="dxa"/>
            <w:noWrap/>
            <w:hideMark/>
          </w:tcPr>
          <w:p w14:paraId="43371B62"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Pfizer</w:t>
            </w:r>
          </w:p>
        </w:tc>
        <w:tc>
          <w:tcPr>
            <w:tcW w:w="1501" w:type="dxa"/>
            <w:hideMark/>
          </w:tcPr>
          <w:p w14:paraId="34225572"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3 weeks apart</w:t>
            </w:r>
          </w:p>
        </w:tc>
      </w:tr>
      <w:tr w:rsidR="00E47CD1" w:rsidRPr="00191770" w14:paraId="5208D394" w14:textId="77777777" w:rsidTr="00EB22E5">
        <w:trPr>
          <w:cnfStyle w:val="000000100000" w:firstRow="0" w:lastRow="0" w:firstColumn="0" w:lastColumn="0" w:oddVBand="0" w:evenVBand="0" w:oddHBand="1" w:evenHBand="0" w:firstRowFirstColumn="0" w:firstRowLastColumn="0" w:lastRowFirstColumn="0" w:lastRowLastColumn="0"/>
          <w:trHeight w:val="2070"/>
        </w:trPr>
        <w:tc>
          <w:tcPr>
            <w:cnfStyle w:val="001000000000" w:firstRow="0" w:lastRow="0" w:firstColumn="1" w:lastColumn="0" w:oddVBand="0" w:evenVBand="0" w:oddHBand="0" w:evenHBand="0" w:firstRowFirstColumn="0" w:firstRowLastColumn="0" w:lastRowFirstColumn="0" w:lastRowLastColumn="0"/>
            <w:tcW w:w="1271" w:type="dxa"/>
            <w:noWrap/>
            <w:hideMark/>
          </w:tcPr>
          <w:p w14:paraId="1665DEF9" w14:textId="77777777" w:rsidR="00E47CD1" w:rsidRPr="00191770" w:rsidRDefault="00E47CD1" w:rsidP="00EB22E5">
            <w:pPr>
              <w:widowControl/>
              <w:wordWrap/>
              <w:autoSpaceDE/>
              <w:autoSpaceDN/>
              <w:jc w:val="left"/>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E. Lacson, 2021</w:t>
            </w:r>
          </w:p>
        </w:tc>
        <w:tc>
          <w:tcPr>
            <w:tcW w:w="4536" w:type="dxa"/>
            <w:hideMark/>
          </w:tcPr>
          <w:p w14:paraId="5D27B5B2"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Patients receiving maintenance dialysis</w:t>
            </w:r>
          </w:p>
        </w:tc>
        <w:tc>
          <w:tcPr>
            <w:tcW w:w="2835" w:type="dxa"/>
            <w:hideMark/>
          </w:tcPr>
          <w:p w14:paraId="57725331"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NA</w:t>
            </w:r>
          </w:p>
        </w:tc>
        <w:tc>
          <w:tcPr>
            <w:tcW w:w="4111" w:type="dxa"/>
            <w:hideMark/>
          </w:tcPr>
          <w:p w14:paraId="57EE5D5C"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 xml:space="preserve">Response was based on levels of immunoglobulin-G against the receptor binding domain of the S1 subunit of SARS-CoV-2 </w:t>
            </w:r>
            <w:r w:rsidRPr="00191770">
              <w:rPr>
                <w:rFonts w:ascii="Times New Roman" w:eastAsia="Malgun Gothic" w:hAnsi="Times New Roman" w:cs="Times New Roman"/>
                <w:color w:val="000000"/>
                <w:kern w:val="0"/>
                <w:sz w:val="22"/>
              </w:rPr>
              <w:br/>
              <w:t>spike-antigen (seropositive ≥2 U/L) using an FDA-approved semi-quantitative chemiluminescent assay (ADVIA Centaur® XP/XPT COV2G)</w:t>
            </w:r>
          </w:p>
        </w:tc>
        <w:tc>
          <w:tcPr>
            <w:tcW w:w="1134" w:type="dxa"/>
            <w:hideMark/>
          </w:tcPr>
          <w:p w14:paraId="6E80751A"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Pfizer / Moderna</w:t>
            </w:r>
          </w:p>
        </w:tc>
        <w:tc>
          <w:tcPr>
            <w:tcW w:w="1501" w:type="dxa"/>
            <w:hideMark/>
          </w:tcPr>
          <w:p w14:paraId="511948C0"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Not clearly defined</w:t>
            </w:r>
          </w:p>
        </w:tc>
      </w:tr>
      <w:tr w:rsidR="00E47CD1" w:rsidRPr="00191770" w14:paraId="6CFD35EC" w14:textId="77777777" w:rsidTr="00EB22E5">
        <w:trPr>
          <w:trHeight w:val="1787"/>
        </w:trPr>
        <w:tc>
          <w:tcPr>
            <w:cnfStyle w:val="001000000000" w:firstRow="0" w:lastRow="0" w:firstColumn="1" w:lastColumn="0" w:oddVBand="0" w:evenVBand="0" w:oddHBand="0" w:evenHBand="0" w:firstRowFirstColumn="0" w:firstRowLastColumn="0" w:lastRowFirstColumn="0" w:lastRowLastColumn="0"/>
            <w:tcW w:w="1271" w:type="dxa"/>
            <w:noWrap/>
            <w:hideMark/>
          </w:tcPr>
          <w:p w14:paraId="37A9A8D6" w14:textId="77777777" w:rsidR="00E47CD1" w:rsidRPr="00191770" w:rsidRDefault="00E47CD1" w:rsidP="00EB22E5">
            <w:pPr>
              <w:widowControl/>
              <w:wordWrap/>
              <w:autoSpaceDE/>
              <w:autoSpaceDN/>
              <w:jc w:val="left"/>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O. Itzhaki, 2021</w:t>
            </w:r>
          </w:p>
        </w:tc>
        <w:tc>
          <w:tcPr>
            <w:tcW w:w="4536" w:type="dxa"/>
            <w:hideMark/>
          </w:tcPr>
          <w:p w14:paraId="02BEEBF1"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 xml:space="preserve">Heart transplant recipients who have received a two-dose SARS-CoV-2 mRNA vaccine </w:t>
            </w:r>
            <w:r w:rsidRPr="00191770">
              <w:rPr>
                <w:rFonts w:ascii="Times New Roman" w:eastAsia="Malgun Gothic" w:hAnsi="Times New Roman" w:cs="Times New Roman"/>
                <w:color w:val="000000"/>
                <w:kern w:val="0"/>
                <w:sz w:val="22"/>
              </w:rPr>
              <w:br/>
              <w:t>- Major exclusion criteria were HTx within the previous 30 days, patient’s refusal to get a full two-dose vaccine schedule or to participate in the study and a known prior SARS-CoV-2 infection</w:t>
            </w:r>
          </w:p>
        </w:tc>
        <w:tc>
          <w:tcPr>
            <w:tcW w:w="2835" w:type="dxa"/>
            <w:hideMark/>
          </w:tcPr>
          <w:p w14:paraId="716E39FD"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NA</w:t>
            </w:r>
          </w:p>
        </w:tc>
        <w:tc>
          <w:tcPr>
            <w:tcW w:w="4111" w:type="dxa"/>
            <w:hideMark/>
          </w:tcPr>
          <w:p w14:paraId="2CB39D05"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S-IgG value (geometric mean titres) of 50 AU/mL and greater was interpreted as seropositive.</w:t>
            </w:r>
          </w:p>
        </w:tc>
        <w:tc>
          <w:tcPr>
            <w:tcW w:w="1134" w:type="dxa"/>
            <w:hideMark/>
          </w:tcPr>
          <w:p w14:paraId="019B87D6"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Pfizer</w:t>
            </w:r>
          </w:p>
        </w:tc>
        <w:tc>
          <w:tcPr>
            <w:tcW w:w="1501" w:type="dxa"/>
            <w:hideMark/>
          </w:tcPr>
          <w:p w14:paraId="46B6C700"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21 days between the first and the second dose</w:t>
            </w:r>
          </w:p>
        </w:tc>
      </w:tr>
      <w:tr w:rsidR="00E47CD1" w:rsidRPr="00191770" w14:paraId="7555A90C" w14:textId="77777777" w:rsidTr="00EB22E5">
        <w:trPr>
          <w:cnfStyle w:val="000000100000" w:firstRow="0" w:lastRow="0" w:firstColumn="0" w:lastColumn="0" w:oddVBand="0" w:evenVBand="0" w:oddHBand="1" w:evenHBand="0" w:firstRowFirstColumn="0" w:firstRowLastColumn="0" w:lastRowFirstColumn="0" w:lastRowLastColumn="0"/>
          <w:trHeight w:val="2215"/>
        </w:trPr>
        <w:tc>
          <w:tcPr>
            <w:cnfStyle w:val="001000000000" w:firstRow="0" w:lastRow="0" w:firstColumn="1" w:lastColumn="0" w:oddVBand="0" w:evenVBand="0" w:oddHBand="0" w:evenHBand="0" w:firstRowFirstColumn="0" w:firstRowLastColumn="0" w:lastRowFirstColumn="0" w:lastRowLastColumn="0"/>
            <w:tcW w:w="1271" w:type="dxa"/>
            <w:noWrap/>
            <w:hideMark/>
          </w:tcPr>
          <w:p w14:paraId="490A8BC1" w14:textId="77777777" w:rsidR="00E47CD1" w:rsidRPr="00191770" w:rsidRDefault="00E47CD1" w:rsidP="00EB22E5">
            <w:pPr>
              <w:widowControl/>
              <w:wordWrap/>
              <w:autoSpaceDE/>
              <w:autoSpaceDN/>
              <w:jc w:val="left"/>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lastRenderedPageBreak/>
              <w:t>A. Bayram, 2021</w:t>
            </w:r>
          </w:p>
        </w:tc>
        <w:tc>
          <w:tcPr>
            <w:tcW w:w="4536" w:type="dxa"/>
            <w:hideMark/>
          </w:tcPr>
          <w:p w14:paraId="34A0500B"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Healthcare workers (HCW) of both genders, 18 years of age or older, who agreed to participate in the prospective study</w:t>
            </w:r>
            <w:r w:rsidRPr="00191770">
              <w:rPr>
                <w:rFonts w:ascii="Times New Roman" w:eastAsia="Malgun Gothic" w:hAnsi="Times New Roman" w:cs="Times New Roman"/>
                <w:color w:val="000000"/>
                <w:kern w:val="0"/>
                <w:sz w:val="22"/>
              </w:rPr>
              <w:br/>
              <w:t>- HCWs who had COVID‐19 in less than 90 days, and who were pregnant were not vaccinated and were not included in the study</w:t>
            </w:r>
          </w:p>
        </w:tc>
        <w:tc>
          <w:tcPr>
            <w:tcW w:w="2835" w:type="dxa"/>
            <w:hideMark/>
          </w:tcPr>
          <w:p w14:paraId="052B832D"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NA</w:t>
            </w:r>
          </w:p>
        </w:tc>
        <w:tc>
          <w:tcPr>
            <w:tcW w:w="4111" w:type="dxa"/>
            <w:hideMark/>
          </w:tcPr>
          <w:p w14:paraId="71540C44"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Detection and quantitation of SARS‐CoV‐2 antispike antibodies were performed by the chemiluminescent microparticle immunoassay (SARS‐CoV‐2 IgG II Quant; Abbott). Results greater than or equal to the cutoff value 50.0 AU/ml were reported as positive</w:t>
            </w:r>
          </w:p>
        </w:tc>
        <w:tc>
          <w:tcPr>
            <w:tcW w:w="1134" w:type="dxa"/>
            <w:hideMark/>
          </w:tcPr>
          <w:p w14:paraId="40679260"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 xml:space="preserve">CoronaVac </w:t>
            </w:r>
          </w:p>
        </w:tc>
        <w:tc>
          <w:tcPr>
            <w:tcW w:w="1501" w:type="dxa"/>
            <w:hideMark/>
          </w:tcPr>
          <w:p w14:paraId="60674883"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28 days between the first and the second dose</w:t>
            </w:r>
          </w:p>
        </w:tc>
      </w:tr>
      <w:tr w:rsidR="00E47CD1" w:rsidRPr="00191770" w14:paraId="09044AF1" w14:textId="77777777" w:rsidTr="00EB22E5">
        <w:trPr>
          <w:trHeight w:val="1931"/>
        </w:trPr>
        <w:tc>
          <w:tcPr>
            <w:cnfStyle w:val="001000000000" w:firstRow="0" w:lastRow="0" w:firstColumn="1" w:lastColumn="0" w:oddVBand="0" w:evenVBand="0" w:oddHBand="0" w:evenHBand="0" w:firstRowFirstColumn="0" w:firstRowLastColumn="0" w:lastRowFirstColumn="0" w:lastRowLastColumn="0"/>
            <w:tcW w:w="1271" w:type="dxa"/>
            <w:noWrap/>
            <w:hideMark/>
          </w:tcPr>
          <w:p w14:paraId="72431AEE" w14:textId="77777777" w:rsidR="00E47CD1" w:rsidRPr="00191770" w:rsidRDefault="00E47CD1" w:rsidP="00EB22E5">
            <w:pPr>
              <w:widowControl/>
              <w:wordWrap/>
              <w:autoSpaceDE/>
              <w:autoSpaceDN/>
              <w:jc w:val="left"/>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D. W. Eyre, 2021</w:t>
            </w:r>
          </w:p>
        </w:tc>
        <w:tc>
          <w:tcPr>
            <w:tcW w:w="4536" w:type="dxa"/>
            <w:hideMark/>
          </w:tcPr>
          <w:p w14:paraId="136D1A1E"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Healthcare workers from Oxford University Hospitals</w:t>
            </w:r>
          </w:p>
        </w:tc>
        <w:tc>
          <w:tcPr>
            <w:tcW w:w="2835" w:type="dxa"/>
            <w:hideMark/>
          </w:tcPr>
          <w:p w14:paraId="5B8FBBE6"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NA</w:t>
            </w:r>
          </w:p>
        </w:tc>
        <w:tc>
          <w:tcPr>
            <w:tcW w:w="4111" w:type="dxa"/>
            <w:hideMark/>
          </w:tcPr>
          <w:p w14:paraId="34285FF1"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Quantitative post-vaccination anti-spike antibody responses were measured using the Abbott SARS-CoV-2 IgG II Quant assay (detection threshold: 50 AU/mL).</w:t>
            </w:r>
          </w:p>
        </w:tc>
        <w:tc>
          <w:tcPr>
            <w:tcW w:w="1134" w:type="dxa"/>
            <w:hideMark/>
          </w:tcPr>
          <w:p w14:paraId="0BF55DEC"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Pfizer / Astrazeneca</w:t>
            </w:r>
          </w:p>
        </w:tc>
        <w:tc>
          <w:tcPr>
            <w:tcW w:w="1501" w:type="dxa"/>
            <w:hideMark/>
          </w:tcPr>
          <w:p w14:paraId="5F20D124"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Median (IQR) dosing interval : 24 (21-28) days</w:t>
            </w:r>
          </w:p>
        </w:tc>
      </w:tr>
      <w:tr w:rsidR="00E47CD1" w:rsidRPr="00191770" w14:paraId="5CAEF2D9" w14:textId="77777777" w:rsidTr="00EB22E5">
        <w:trPr>
          <w:cnfStyle w:val="000000100000" w:firstRow="0" w:lastRow="0" w:firstColumn="0" w:lastColumn="0" w:oddVBand="0" w:evenVBand="0" w:oddHBand="1" w:evenHBand="0" w:firstRowFirstColumn="0" w:firstRowLastColumn="0" w:lastRowFirstColumn="0" w:lastRowLastColumn="0"/>
          <w:trHeight w:val="2347"/>
        </w:trPr>
        <w:tc>
          <w:tcPr>
            <w:cnfStyle w:val="001000000000" w:firstRow="0" w:lastRow="0" w:firstColumn="1" w:lastColumn="0" w:oddVBand="0" w:evenVBand="0" w:oddHBand="0" w:evenHBand="0" w:firstRowFirstColumn="0" w:firstRowLastColumn="0" w:lastRowFirstColumn="0" w:lastRowLastColumn="0"/>
            <w:tcW w:w="1271" w:type="dxa"/>
            <w:noWrap/>
            <w:hideMark/>
          </w:tcPr>
          <w:p w14:paraId="04BBB282" w14:textId="77777777" w:rsidR="00E47CD1" w:rsidRPr="00191770" w:rsidRDefault="00E47CD1" w:rsidP="00EB22E5">
            <w:pPr>
              <w:widowControl/>
              <w:wordWrap/>
              <w:autoSpaceDE/>
              <w:autoSpaceDN/>
              <w:jc w:val="left"/>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T. Goshen-Lago, 2021</w:t>
            </w:r>
          </w:p>
        </w:tc>
        <w:tc>
          <w:tcPr>
            <w:tcW w:w="4536" w:type="dxa"/>
            <w:hideMark/>
          </w:tcPr>
          <w:p w14:paraId="2FBBC61F"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Patients with solid tumors receiving intravenous treatment administered at the infusional ambulatory unit of the oncology center or inpatient service within the Rambam Health Care Campus (RHCC), Haifa, Israel</w:t>
            </w:r>
            <w:r w:rsidRPr="00191770">
              <w:rPr>
                <w:rFonts w:ascii="Times New Roman" w:eastAsia="Malgun Gothic" w:hAnsi="Times New Roman" w:cs="Times New Roman"/>
                <w:color w:val="000000"/>
                <w:kern w:val="0"/>
                <w:sz w:val="22"/>
              </w:rPr>
              <w:br/>
              <w:t>- Hematologic malignant neoplasms are treated in a separated institution and hence were not included in the study population</w:t>
            </w:r>
          </w:p>
        </w:tc>
        <w:tc>
          <w:tcPr>
            <w:tcW w:w="2835" w:type="dxa"/>
            <w:hideMark/>
          </w:tcPr>
          <w:p w14:paraId="51AC6322"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Age-matched healthy health care workers who underwent serologic testing before the second vaccination dose</w:t>
            </w:r>
          </w:p>
        </w:tc>
        <w:tc>
          <w:tcPr>
            <w:tcW w:w="4111" w:type="dxa"/>
            <w:hideMark/>
          </w:tcPr>
          <w:p w14:paraId="5D640151"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Serum samples were analyzed at all measurement times for the detection of anti–SARS-CoV2 antibodies. For IgG expression, we used SARS-CoV-2 anti-spike (S) S1/S2 IgG assay (Liaison; DiaSorin) to detect S1/S2 IgG antibodies. Cutoff values for positive serologic findings were 15 arbitrary units per milliliter</w:t>
            </w:r>
          </w:p>
        </w:tc>
        <w:tc>
          <w:tcPr>
            <w:tcW w:w="1134" w:type="dxa"/>
            <w:hideMark/>
          </w:tcPr>
          <w:p w14:paraId="609364D4"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Pfizer</w:t>
            </w:r>
          </w:p>
        </w:tc>
        <w:tc>
          <w:tcPr>
            <w:tcW w:w="1501" w:type="dxa"/>
            <w:hideMark/>
          </w:tcPr>
          <w:p w14:paraId="11900225"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21 days between the first and the second dose</w:t>
            </w:r>
          </w:p>
        </w:tc>
      </w:tr>
      <w:tr w:rsidR="00E47CD1" w:rsidRPr="00191770" w14:paraId="28323AB2" w14:textId="77777777" w:rsidTr="00EB22E5">
        <w:trPr>
          <w:trHeight w:val="3399"/>
        </w:trPr>
        <w:tc>
          <w:tcPr>
            <w:cnfStyle w:val="001000000000" w:firstRow="0" w:lastRow="0" w:firstColumn="1" w:lastColumn="0" w:oddVBand="0" w:evenVBand="0" w:oddHBand="0" w:evenHBand="0" w:firstRowFirstColumn="0" w:firstRowLastColumn="0" w:lastRowFirstColumn="0" w:lastRowLastColumn="0"/>
            <w:tcW w:w="1271" w:type="dxa"/>
            <w:noWrap/>
            <w:hideMark/>
          </w:tcPr>
          <w:p w14:paraId="3EA74B85" w14:textId="77777777" w:rsidR="00E47CD1" w:rsidRPr="00191770" w:rsidRDefault="00E47CD1" w:rsidP="00EB22E5">
            <w:pPr>
              <w:widowControl/>
              <w:wordWrap/>
              <w:autoSpaceDE/>
              <w:autoSpaceDN/>
              <w:jc w:val="left"/>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lastRenderedPageBreak/>
              <w:t>M. Narasimhan, 2021</w:t>
            </w:r>
          </w:p>
        </w:tc>
        <w:tc>
          <w:tcPr>
            <w:tcW w:w="4536" w:type="dxa"/>
            <w:hideMark/>
          </w:tcPr>
          <w:p w14:paraId="3308FB3E"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Lung-transplant recipients</w:t>
            </w:r>
          </w:p>
        </w:tc>
        <w:tc>
          <w:tcPr>
            <w:tcW w:w="2835" w:type="dxa"/>
            <w:hideMark/>
          </w:tcPr>
          <w:p w14:paraId="7A9B4FC3"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People who are non-transplanted and non-exposed to COVID-19</w:t>
            </w:r>
          </w:p>
        </w:tc>
        <w:tc>
          <w:tcPr>
            <w:tcW w:w="4111" w:type="dxa"/>
            <w:hideMark/>
          </w:tcPr>
          <w:p w14:paraId="334FEEAA"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Antibody responses were semi-quantitatively assessed using serum samples analyzed on the Alinity i platform (Abbott Laboratories, Abbott Park, IL, USA) using the FDA-approved SARS-CoV-2 anti-nucleocapsid protein IgG assay (IgGNC), the SARS-CoV-2 anti-spike protein IgM assay (IgMSP), or the SARS-CoV-2 anti-spike protein IgG II assay (IgGSP), as previously described. Two Index values of ≥1.4 (IgGNC), ≥1.0 (IgMSP), and ≥50 AU/mL (IgGSP) were interpreted as positive</w:t>
            </w:r>
          </w:p>
        </w:tc>
        <w:tc>
          <w:tcPr>
            <w:tcW w:w="1134" w:type="dxa"/>
            <w:hideMark/>
          </w:tcPr>
          <w:p w14:paraId="1C83CF4B"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Pfizer / Moderna</w:t>
            </w:r>
          </w:p>
        </w:tc>
        <w:tc>
          <w:tcPr>
            <w:tcW w:w="1501" w:type="dxa"/>
            <w:hideMark/>
          </w:tcPr>
          <w:p w14:paraId="07B43A6E"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Not clearly defined</w:t>
            </w:r>
          </w:p>
        </w:tc>
      </w:tr>
      <w:tr w:rsidR="00E47CD1" w:rsidRPr="00191770" w14:paraId="6CBE5096" w14:textId="77777777" w:rsidTr="00EB22E5">
        <w:trPr>
          <w:cnfStyle w:val="000000100000" w:firstRow="0" w:lastRow="0" w:firstColumn="0" w:lastColumn="0" w:oddVBand="0" w:evenVBand="0" w:oddHBand="1" w:evenHBand="0" w:firstRowFirstColumn="0" w:firstRowLastColumn="0" w:lastRowFirstColumn="0" w:lastRowLastColumn="0"/>
          <w:trHeight w:val="1598"/>
        </w:trPr>
        <w:tc>
          <w:tcPr>
            <w:cnfStyle w:val="001000000000" w:firstRow="0" w:lastRow="0" w:firstColumn="1" w:lastColumn="0" w:oddVBand="0" w:evenVBand="0" w:oddHBand="0" w:evenHBand="0" w:firstRowFirstColumn="0" w:firstRowLastColumn="0" w:lastRowFirstColumn="0" w:lastRowLastColumn="0"/>
            <w:tcW w:w="1271" w:type="dxa"/>
            <w:noWrap/>
            <w:hideMark/>
          </w:tcPr>
          <w:p w14:paraId="2A028300" w14:textId="77777777" w:rsidR="00E47CD1" w:rsidRPr="00191770" w:rsidRDefault="00E47CD1" w:rsidP="00EB22E5">
            <w:pPr>
              <w:widowControl/>
              <w:wordWrap/>
              <w:autoSpaceDE/>
              <w:autoSpaceDN/>
              <w:jc w:val="left"/>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I. Waldhorn, 2021</w:t>
            </w:r>
          </w:p>
        </w:tc>
        <w:tc>
          <w:tcPr>
            <w:tcW w:w="4536" w:type="dxa"/>
            <w:hideMark/>
          </w:tcPr>
          <w:p w14:paraId="3D6863A7"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Patients with solid tumors receiving intravenous treatment administered at the infusional ambulatory unit of the oncology center within the Rambam Health Care Campus, Haifa, Israel. (follow-up report of 'T. Goshen-Lago, 2021')</w:t>
            </w:r>
          </w:p>
        </w:tc>
        <w:tc>
          <w:tcPr>
            <w:tcW w:w="2835" w:type="dxa"/>
            <w:hideMark/>
          </w:tcPr>
          <w:p w14:paraId="68C3D089"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Healthy healthcare workers who were tested for serology at the same time points</w:t>
            </w:r>
          </w:p>
        </w:tc>
        <w:tc>
          <w:tcPr>
            <w:tcW w:w="4111" w:type="dxa"/>
            <w:hideMark/>
          </w:tcPr>
          <w:p w14:paraId="3B2413ED"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For IgG expression, we used SARS-CoV-2 anti-spike (S) S1/S2 IgG assay (Liaison; DiaSorin) to detect S1/S2 IgG antibodies. Cutoff values for positive serologic findings were 15 arbitrary units per milliliter</w:t>
            </w:r>
          </w:p>
        </w:tc>
        <w:tc>
          <w:tcPr>
            <w:tcW w:w="1134" w:type="dxa"/>
            <w:noWrap/>
            <w:hideMark/>
          </w:tcPr>
          <w:p w14:paraId="721D441C"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Pfizer</w:t>
            </w:r>
          </w:p>
        </w:tc>
        <w:tc>
          <w:tcPr>
            <w:tcW w:w="1501" w:type="dxa"/>
            <w:hideMark/>
          </w:tcPr>
          <w:p w14:paraId="67CADE48"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21 days between the first and the second dose</w:t>
            </w:r>
          </w:p>
        </w:tc>
      </w:tr>
      <w:tr w:rsidR="00E47CD1" w:rsidRPr="00191770" w14:paraId="3311E75F" w14:textId="77777777" w:rsidTr="00EB22E5">
        <w:trPr>
          <w:trHeight w:val="2549"/>
        </w:trPr>
        <w:tc>
          <w:tcPr>
            <w:cnfStyle w:val="001000000000" w:firstRow="0" w:lastRow="0" w:firstColumn="1" w:lastColumn="0" w:oddVBand="0" w:evenVBand="0" w:oddHBand="0" w:evenHBand="0" w:firstRowFirstColumn="0" w:firstRowLastColumn="0" w:lastRowFirstColumn="0" w:lastRowLastColumn="0"/>
            <w:tcW w:w="1271" w:type="dxa"/>
            <w:noWrap/>
            <w:hideMark/>
          </w:tcPr>
          <w:p w14:paraId="5C2681ED" w14:textId="77777777" w:rsidR="00E47CD1" w:rsidRPr="00191770" w:rsidRDefault="00E47CD1" w:rsidP="00EB22E5">
            <w:pPr>
              <w:widowControl/>
              <w:wordWrap/>
              <w:autoSpaceDE/>
              <w:autoSpaceDN/>
              <w:jc w:val="left"/>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O. Haskin, 2021</w:t>
            </w:r>
          </w:p>
        </w:tc>
        <w:tc>
          <w:tcPr>
            <w:tcW w:w="4536" w:type="dxa"/>
            <w:hideMark/>
          </w:tcPr>
          <w:p w14:paraId="4C534F9E"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 xml:space="preserve">Kidney transplant recipients were recruited at Schneider Children’s Medical Center, a tertiary-care </w:t>
            </w:r>
            <w:r w:rsidRPr="00191770">
              <w:rPr>
                <w:rFonts w:ascii="Times New Roman" w:eastAsia="Malgun Gothic" w:hAnsi="Times New Roman" w:cs="Times New Roman"/>
                <w:color w:val="000000"/>
                <w:kern w:val="0"/>
                <w:sz w:val="22"/>
              </w:rPr>
              <w:br/>
              <w:t xml:space="preserve">pediatric hospital that houses a nephrology institute. </w:t>
            </w:r>
            <w:r w:rsidRPr="00191770">
              <w:rPr>
                <w:rFonts w:ascii="Times New Roman" w:eastAsia="Malgun Gothic" w:hAnsi="Times New Roman" w:cs="Times New Roman"/>
                <w:color w:val="000000"/>
                <w:kern w:val="0"/>
                <w:sz w:val="22"/>
              </w:rPr>
              <w:br/>
              <w:t xml:space="preserve">The inclusion criterion for the study group was </w:t>
            </w:r>
            <w:r w:rsidRPr="00191770">
              <w:rPr>
                <w:rFonts w:ascii="Times New Roman" w:eastAsia="Malgun Gothic" w:hAnsi="Times New Roman" w:cs="Times New Roman"/>
                <w:color w:val="000000"/>
                <w:kern w:val="0"/>
                <w:sz w:val="22"/>
              </w:rPr>
              <w:br/>
              <w:t xml:space="preserve">completion of the 2-dose regimen of the Pfizer-BioNTech </w:t>
            </w:r>
            <w:r w:rsidRPr="00191770">
              <w:rPr>
                <w:rFonts w:ascii="Times New Roman" w:eastAsia="Malgun Gothic" w:hAnsi="Times New Roman" w:cs="Times New Roman"/>
                <w:color w:val="000000"/>
                <w:kern w:val="0"/>
                <w:sz w:val="22"/>
              </w:rPr>
              <w:br/>
              <w:t>COVID-19 vaccine according to the manufacturer’s recommended dose and time schedule.</w:t>
            </w:r>
          </w:p>
        </w:tc>
        <w:tc>
          <w:tcPr>
            <w:tcW w:w="2835" w:type="dxa"/>
            <w:hideMark/>
          </w:tcPr>
          <w:p w14:paraId="3322372B"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 xml:space="preserve">The inclusion criterion for the control group was a previous COVID-19 infection that was confirmed by nasopharyngeal swab real-time quantitative reverse transcription–polymerase chain reaction. </w:t>
            </w:r>
          </w:p>
        </w:tc>
        <w:tc>
          <w:tcPr>
            <w:tcW w:w="4111" w:type="dxa"/>
            <w:hideMark/>
          </w:tcPr>
          <w:p w14:paraId="42AB2D22"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The SARS-CoV-2 IgG II Quant assay (Abbott, Abbott Park, IL) was used for quantitative measurement of IgG antibodies against the spike protein of SARS-CoV-2. A test was considered positive if IgG was &gt;50 antibody unit (AU)/mL.</w:t>
            </w:r>
          </w:p>
        </w:tc>
        <w:tc>
          <w:tcPr>
            <w:tcW w:w="1134" w:type="dxa"/>
            <w:noWrap/>
            <w:hideMark/>
          </w:tcPr>
          <w:p w14:paraId="3BEF5A40"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Pfizer</w:t>
            </w:r>
          </w:p>
        </w:tc>
        <w:tc>
          <w:tcPr>
            <w:tcW w:w="1501" w:type="dxa"/>
            <w:hideMark/>
          </w:tcPr>
          <w:p w14:paraId="68662E7A"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191770">
              <w:rPr>
                <w:rFonts w:ascii="Times New Roman" w:eastAsia="Malgun Gothic" w:hAnsi="Times New Roman" w:cs="Times New Roman"/>
                <w:color w:val="000000"/>
                <w:kern w:val="0"/>
                <w:sz w:val="22"/>
              </w:rPr>
              <w:t>Three weeks between the first and the second dose</w:t>
            </w:r>
          </w:p>
        </w:tc>
      </w:tr>
      <w:tr w:rsidR="00E47CD1" w:rsidRPr="00191770" w14:paraId="18C9DFBA" w14:textId="77777777" w:rsidTr="00EB22E5">
        <w:trPr>
          <w:cnfStyle w:val="000000100000" w:firstRow="0" w:lastRow="0" w:firstColumn="0" w:lastColumn="0" w:oddVBand="0" w:evenVBand="0" w:oddHBand="1" w:evenHBand="0" w:firstRowFirstColumn="0" w:firstRowLastColumn="0" w:lastRowFirstColumn="0" w:lastRowLastColumn="0"/>
          <w:trHeight w:val="2549"/>
        </w:trPr>
        <w:tc>
          <w:tcPr>
            <w:cnfStyle w:val="001000000000" w:firstRow="0" w:lastRow="0" w:firstColumn="1" w:lastColumn="0" w:oddVBand="0" w:evenVBand="0" w:oddHBand="0" w:evenHBand="0" w:firstRowFirstColumn="0" w:firstRowLastColumn="0" w:lastRowFirstColumn="0" w:lastRowLastColumn="0"/>
            <w:tcW w:w="1271" w:type="dxa"/>
            <w:noWrap/>
          </w:tcPr>
          <w:p w14:paraId="50E5F450" w14:textId="77777777" w:rsidR="00E47CD1" w:rsidRPr="009B41F6" w:rsidRDefault="00E47CD1" w:rsidP="00EB22E5">
            <w:pPr>
              <w:widowControl/>
              <w:wordWrap/>
              <w:autoSpaceDE/>
              <w:autoSpaceDN/>
              <w:jc w:val="left"/>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lastRenderedPageBreak/>
              <w:t>H. Edelman-Klapper, 2021</w:t>
            </w:r>
          </w:p>
        </w:tc>
        <w:tc>
          <w:tcPr>
            <w:tcW w:w="4536" w:type="dxa"/>
          </w:tcPr>
          <w:p w14:paraId="20DA81DF" w14:textId="77777777" w:rsidR="00E47CD1" w:rsidRPr="009B41F6"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Patients with inflammatory bowel diseases (IBD) aged ≥18 years.</w:t>
            </w:r>
          </w:p>
          <w:p w14:paraId="79B5158F"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IBD diagnosis was defined by accepted criteria. Patients were stratified at baseline into those treated with anti-TNFα, or those not treated with anti-TNFα but other IBD treatements. Patients with past COVID-19 infection proved by SARS-CoV-2 polymerase chain reaction test and pregnant women were excluded.</w:t>
            </w:r>
          </w:p>
        </w:tc>
        <w:tc>
          <w:tcPr>
            <w:tcW w:w="2835" w:type="dxa"/>
          </w:tcPr>
          <w:p w14:paraId="33090F14"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Heatlhcare professoinals and their realtives without known gastrointestninal diseases</w:t>
            </w:r>
          </w:p>
        </w:tc>
        <w:tc>
          <w:tcPr>
            <w:tcW w:w="4111" w:type="dxa"/>
          </w:tcPr>
          <w:p w14:paraId="7D943D1E"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SARS-CoV-2 IgG II quantitative testing was performed using the Abbott architect i2000sr platform in accordanc with manufacutrer's instructions. Values ≥ 50 activity units (AU)/mL are consdiered positive.</w:t>
            </w:r>
          </w:p>
        </w:tc>
        <w:tc>
          <w:tcPr>
            <w:tcW w:w="1134" w:type="dxa"/>
            <w:noWrap/>
          </w:tcPr>
          <w:p w14:paraId="3AF99359"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Pfizer</w:t>
            </w:r>
          </w:p>
        </w:tc>
        <w:tc>
          <w:tcPr>
            <w:tcW w:w="1501" w:type="dxa"/>
          </w:tcPr>
          <w:p w14:paraId="13968318" w14:textId="77777777" w:rsidR="00E47CD1"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21-28 days between the first and the second dose</w:t>
            </w:r>
          </w:p>
          <w:p w14:paraId="102FE752" w14:textId="77777777" w:rsidR="00E47CD1" w:rsidRPr="009B41F6" w:rsidRDefault="00E47CD1" w:rsidP="00EB22E5">
            <w:pPr>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sz w:val="22"/>
              </w:rPr>
            </w:pPr>
          </w:p>
        </w:tc>
      </w:tr>
      <w:tr w:rsidR="00E47CD1" w:rsidRPr="00191770" w14:paraId="4A3235D3" w14:textId="77777777" w:rsidTr="00EB22E5">
        <w:trPr>
          <w:trHeight w:val="2549"/>
        </w:trPr>
        <w:tc>
          <w:tcPr>
            <w:cnfStyle w:val="001000000000" w:firstRow="0" w:lastRow="0" w:firstColumn="1" w:lastColumn="0" w:oddVBand="0" w:evenVBand="0" w:oddHBand="0" w:evenHBand="0" w:firstRowFirstColumn="0" w:firstRowLastColumn="0" w:lastRowFirstColumn="0" w:lastRowLastColumn="0"/>
            <w:tcW w:w="1271" w:type="dxa"/>
            <w:noWrap/>
          </w:tcPr>
          <w:p w14:paraId="1398991F" w14:textId="77777777" w:rsidR="00E47CD1" w:rsidRPr="009B41F6" w:rsidRDefault="00E47CD1" w:rsidP="00EB22E5">
            <w:pPr>
              <w:widowControl/>
              <w:wordWrap/>
              <w:autoSpaceDE/>
              <w:autoSpaceDN/>
              <w:jc w:val="left"/>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T. A. Fox, 2021</w:t>
            </w:r>
          </w:p>
        </w:tc>
        <w:tc>
          <w:tcPr>
            <w:tcW w:w="4536" w:type="dxa"/>
          </w:tcPr>
          <w:p w14:paraId="6036F6BA"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Patients on treatment or treated within the last 24 months for a B-cell malignancy and receiving either the BNT162b2 (Pfizer-BioNTech) or ChAdOx1 nCov-19 (Oxford-Astrazeneca) vaccines were recruited.</w:t>
            </w:r>
          </w:p>
        </w:tc>
        <w:tc>
          <w:tcPr>
            <w:tcW w:w="2835" w:type="dxa"/>
          </w:tcPr>
          <w:p w14:paraId="37A42DD0"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N</w:t>
            </w:r>
            <w:r>
              <w:rPr>
                <w:rFonts w:ascii="Times New Roman" w:eastAsia="Malgun Gothic" w:hAnsi="Times New Roman" w:cs="Times New Roman" w:hint="eastAsia"/>
                <w:color w:val="000000"/>
                <w:kern w:val="0"/>
                <w:sz w:val="22"/>
              </w:rPr>
              <w:t>A</w:t>
            </w:r>
          </w:p>
        </w:tc>
        <w:tc>
          <w:tcPr>
            <w:tcW w:w="4111" w:type="dxa"/>
          </w:tcPr>
          <w:p w14:paraId="307E6226"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Serum samples were screened for anti-severe acute respiratory syndrome coronavirus-2 (SARS-CoV-2) antibodies using quantitative double-antigen sandwich immunoassays for both the nucleocapsid (N) antigen and the spike (S) protein receptor binding domain (RBD) (both Roche, Basel, Switzerland) Values ≥0.8 U/mL are considered as reactive.</w:t>
            </w:r>
          </w:p>
        </w:tc>
        <w:tc>
          <w:tcPr>
            <w:tcW w:w="1134" w:type="dxa"/>
            <w:noWrap/>
          </w:tcPr>
          <w:p w14:paraId="7B88209F"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Pfizer / Astrazeneca</w:t>
            </w:r>
          </w:p>
        </w:tc>
        <w:tc>
          <w:tcPr>
            <w:tcW w:w="1501" w:type="dxa"/>
          </w:tcPr>
          <w:p w14:paraId="30586548"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Not clearly defined</w:t>
            </w:r>
          </w:p>
        </w:tc>
      </w:tr>
      <w:tr w:rsidR="00E47CD1" w:rsidRPr="00191770" w14:paraId="4D2355C4" w14:textId="77777777" w:rsidTr="00EB22E5">
        <w:trPr>
          <w:cnfStyle w:val="000000100000" w:firstRow="0" w:lastRow="0" w:firstColumn="0" w:lastColumn="0" w:oddVBand="0" w:evenVBand="0" w:oddHBand="1" w:evenHBand="0" w:firstRowFirstColumn="0" w:firstRowLastColumn="0" w:lastRowFirstColumn="0" w:lastRowLastColumn="0"/>
          <w:trHeight w:val="2549"/>
        </w:trPr>
        <w:tc>
          <w:tcPr>
            <w:cnfStyle w:val="001000000000" w:firstRow="0" w:lastRow="0" w:firstColumn="1" w:lastColumn="0" w:oddVBand="0" w:evenVBand="0" w:oddHBand="0" w:evenHBand="0" w:firstRowFirstColumn="0" w:firstRowLastColumn="0" w:lastRowFirstColumn="0" w:lastRowLastColumn="0"/>
            <w:tcW w:w="1271" w:type="dxa"/>
            <w:noWrap/>
          </w:tcPr>
          <w:p w14:paraId="0347C21D" w14:textId="77777777" w:rsidR="00E47CD1" w:rsidRPr="009B41F6" w:rsidRDefault="00E47CD1" w:rsidP="00EB22E5">
            <w:pPr>
              <w:widowControl/>
              <w:wordWrap/>
              <w:autoSpaceDE/>
              <w:autoSpaceDN/>
              <w:jc w:val="left"/>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A. Grupper, 2021</w:t>
            </w:r>
          </w:p>
        </w:tc>
        <w:tc>
          <w:tcPr>
            <w:tcW w:w="4536" w:type="dxa"/>
          </w:tcPr>
          <w:p w14:paraId="72EE7992"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(1) Pre-transplant vaccination group (Pre-Tx Vac group), composed of 19 consecutive adult kidney transplant recipients, who received full vaccination (two doses 21 days apart) at least 1 month prior to kidney transplantation, (2) Post-transplant vaccination group (Post-Tx Vac group), composed of 116 kidney recipients who were vaccinated after transplantation. The subjects were included if they had negative history of COVID-19 and were never found to have positive polymerase chain reaction (PCR) to SARS-CoV-2.</w:t>
            </w:r>
          </w:p>
        </w:tc>
        <w:tc>
          <w:tcPr>
            <w:tcW w:w="2835" w:type="dxa"/>
          </w:tcPr>
          <w:p w14:paraId="41BAC83B"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39 vaccinated helathcare workers</w:t>
            </w:r>
          </w:p>
        </w:tc>
        <w:tc>
          <w:tcPr>
            <w:tcW w:w="4111" w:type="dxa"/>
          </w:tcPr>
          <w:p w14:paraId="35A06975"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LIAISON SARS-CoV-2 S1/S2 IgG chemiluminescent assay (DiaSorin S.p.A., Saluggia, Italy) was used according to the manufacture instructions, to detect IgG antibodies directed against a recombinant S protein (S1/S2). Samples displaying &lt;12.0 AU/ml were considered negative, those ranging between 12.0 and 15.0 AU/ml are equivocal, and those &gt; 15 AU/ml were considered as positive.</w:t>
            </w:r>
          </w:p>
        </w:tc>
        <w:tc>
          <w:tcPr>
            <w:tcW w:w="1134" w:type="dxa"/>
            <w:noWrap/>
          </w:tcPr>
          <w:p w14:paraId="65FA882A" w14:textId="77777777" w:rsidR="00E47CD1" w:rsidRPr="009B41F6"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Pr>
                <w:rFonts w:ascii="Times New Roman" w:eastAsia="Malgun Gothic" w:hAnsi="Times New Roman" w:cs="Times New Roman" w:hint="eastAsia"/>
                <w:color w:val="000000"/>
                <w:kern w:val="0"/>
                <w:sz w:val="22"/>
              </w:rPr>
              <w:t>Pfizer</w:t>
            </w:r>
          </w:p>
        </w:tc>
        <w:tc>
          <w:tcPr>
            <w:tcW w:w="1501" w:type="dxa"/>
          </w:tcPr>
          <w:p w14:paraId="5746AB38"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21 days between the first and the second dose</w:t>
            </w:r>
          </w:p>
        </w:tc>
      </w:tr>
      <w:tr w:rsidR="00E47CD1" w:rsidRPr="00191770" w14:paraId="55A4B494" w14:textId="77777777" w:rsidTr="00EB22E5">
        <w:trPr>
          <w:trHeight w:val="2549"/>
        </w:trPr>
        <w:tc>
          <w:tcPr>
            <w:cnfStyle w:val="001000000000" w:firstRow="0" w:lastRow="0" w:firstColumn="1" w:lastColumn="0" w:oddVBand="0" w:evenVBand="0" w:oddHBand="0" w:evenHBand="0" w:firstRowFirstColumn="0" w:firstRowLastColumn="0" w:lastRowFirstColumn="0" w:lastRowLastColumn="0"/>
            <w:tcW w:w="1271" w:type="dxa"/>
            <w:noWrap/>
          </w:tcPr>
          <w:p w14:paraId="5F9E128C" w14:textId="77777777" w:rsidR="00E47CD1" w:rsidRPr="009B41F6" w:rsidRDefault="00E47CD1" w:rsidP="00EB22E5">
            <w:pPr>
              <w:widowControl/>
              <w:wordWrap/>
              <w:autoSpaceDE/>
              <w:autoSpaceDN/>
              <w:jc w:val="left"/>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lastRenderedPageBreak/>
              <w:t>A. Murt, 2021</w:t>
            </w:r>
          </w:p>
        </w:tc>
        <w:tc>
          <w:tcPr>
            <w:tcW w:w="4536" w:type="dxa"/>
          </w:tcPr>
          <w:p w14:paraId="4E3A769A" w14:textId="77777777" w:rsidR="00E47CD1"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All of the patients were maintenance hemodialysis patients over 18 years old. Patients who had previous or active infection with SARS-CoV-2, who have active malignancy or who received any kind of immunosuppressive treatments in the previous 12 months were excluded from the study.</w:t>
            </w:r>
          </w:p>
          <w:p w14:paraId="33E4C172" w14:textId="77777777" w:rsidR="00E47CD1" w:rsidRDefault="00E47CD1" w:rsidP="00EB22E5">
            <w:pP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p w14:paraId="69DE0189" w14:textId="77777777" w:rsidR="00E47CD1" w:rsidRPr="009B41F6" w:rsidRDefault="00E47CD1" w:rsidP="00EB22E5">
            <w:pPr>
              <w:tabs>
                <w:tab w:val="left" w:pos="3447"/>
              </w:tabs>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sz w:val="22"/>
              </w:rPr>
            </w:pPr>
            <w:r>
              <w:rPr>
                <w:rFonts w:ascii="Times New Roman" w:eastAsia="Malgun Gothic" w:hAnsi="Times New Roman" w:cs="Times New Roman"/>
                <w:sz w:val="22"/>
              </w:rPr>
              <w:tab/>
            </w:r>
          </w:p>
        </w:tc>
        <w:tc>
          <w:tcPr>
            <w:tcW w:w="2835" w:type="dxa"/>
          </w:tcPr>
          <w:p w14:paraId="04EDDDC8"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Healthy healthcare workers who were vaccinated with CoronaVac in a similar protocol with the study subjects.</w:t>
            </w:r>
          </w:p>
        </w:tc>
        <w:tc>
          <w:tcPr>
            <w:tcW w:w="4111" w:type="dxa"/>
          </w:tcPr>
          <w:p w14:paraId="3462028C"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The analysis was carried out by Abbott SARS-CoV-2 IgG II Quant (Chicago, USA) via Abbott ARCHITECT i1000 (Chicago, USA) equipment that measures IgG antibodies toward spike receptor-binding domain (RBD) of SARS-CoV-2.</w:t>
            </w:r>
            <w:r>
              <w:rPr>
                <w:rFonts w:ascii="Times New Roman" w:eastAsia="Malgun Gothic" w:hAnsi="Times New Roman" w:cs="Times New Roman"/>
                <w:color w:val="000000"/>
                <w:kern w:val="0"/>
                <w:sz w:val="22"/>
              </w:rPr>
              <w:t xml:space="preserve"> </w:t>
            </w:r>
            <w:r w:rsidRPr="009B41F6">
              <w:rPr>
                <w:rFonts w:ascii="Times New Roman" w:eastAsia="Malgun Gothic" w:hAnsi="Times New Roman" w:cs="Times New Roman"/>
                <w:color w:val="000000"/>
                <w:kern w:val="0"/>
                <w:sz w:val="22"/>
              </w:rPr>
              <w:t>50 AU/ml was accepted as the cut-off value for positivity.</w:t>
            </w:r>
          </w:p>
        </w:tc>
        <w:tc>
          <w:tcPr>
            <w:tcW w:w="1134" w:type="dxa"/>
            <w:noWrap/>
          </w:tcPr>
          <w:p w14:paraId="2F0873E0" w14:textId="77777777" w:rsidR="00E47CD1"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Pr>
                <w:rFonts w:ascii="Times New Roman" w:eastAsia="Malgun Gothic" w:hAnsi="Times New Roman" w:cs="Times New Roman" w:hint="eastAsia"/>
                <w:color w:val="000000"/>
                <w:kern w:val="0"/>
                <w:sz w:val="22"/>
              </w:rPr>
              <w:t>Pfizer</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w:t>
            </w:r>
          </w:p>
          <w:p w14:paraId="725228FF"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Pr>
                <w:rFonts w:ascii="Times New Roman" w:eastAsia="Malgun Gothic" w:hAnsi="Times New Roman" w:cs="Times New Roman" w:hint="eastAsia"/>
                <w:color w:val="000000"/>
                <w:kern w:val="0"/>
                <w:sz w:val="22"/>
              </w:rPr>
              <w:t>CoronaVac</w:t>
            </w:r>
          </w:p>
        </w:tc>
        <w:tc>
          <w:tcPr>
            <w:tcW w:w="1501" w:type="dxa"/>
          </w:tcPr>
          <w:p w14:paraId="54FBA98F" w14:textId="77777777" w:rsidR="00E47CD1" w:rsidRPr="0019177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28 days between the first and the second dose</w:t>
            </w:r>
          </w:p>
        </w:tc>
      </w:tr>
      <w:tr w:rsidR="00E47CD1" w:rsidRPr="00191770" w14:paraId="6F28AFB8" w14:textId="77777777" w:rsidTr="00EB22E5">
        <w:trPr>
          <w:cnfStyle w:val="000000100000" w:firstRow="0" w:lastRow="0" w:firstColumn="0" w:lastColumn="0" w:oddVBand="0" w:evenVBand="0" w:oddHBand="1" w:evenHBand="0" w:firstRowFirstColumn="0" w:firstRowLastColumn="0" w:lastRowFirstColumn="0" w:lastRowLastColumn="0"/>
          <w:trHeight w:val="2549"/>
        </w:trPr>
        <w:tc>
          <w:tcPr>
            <w:cnfStyle w:val="001000000000" w:firstRow="0" w:lastRow="0" w:firstColumn="1" w:lastColumn="0" w:oddVBand="0" w:evenVBand="0" w:oddHBand="0" w:evenHBand="0" w:firstRowFirstColumn="0" w:firstRowLastColumn="0" w:lastRowFirstColumn="0" w:lastRowLastColumn="0"/>
            <w:tcW w:w="1271" w:type="dxa"/>
            <w:noWrap/>
          </w:tcPr>
          <w:p w14:paraId="2AB0859B" w14:textId="77777777" w:rsidR="00E47CD1" w:rsidRPr="009B41F6" w:rsidRDefault="00E47CD1" w:rsidP="00EB22E5">
            <w:pPr>
              <w:widowControl/>
              <w:wordWrap/>
              <w:autoSpaceDE/>
              <w:autoSpaceDN/>
              <w:jc w:val="left"/>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F. Novak, 2021</w:t>
            </w:r>
          </w:p>
        </w:tc>
        <w:tc>
          <w:tcPr>
            <w:tcW w:w="4536" w:type="dxa"/>
          </w:tcPr>
          <w:p w14:paraId="51025E1B"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Adult patients (age ≥ 18 years) with multiple sclerosis (2010 McDonald Criteria) and currently treated with anti-CD20 therapy (ocrelizumab). The patients did not receive any other immunosuppressive therapy during this study and were negative to IgG Abs against SARS-CoV-2 prior to inclusion.</w:t>
            </w:r>
          </w:p>
        </w:tc>
        <w:tc>
          <w:tcPr>
            <w:tcW w:w="2835" w:type="dxa"/>
          </w:tcPr>
          <w:p w14:paraId="62E100A2"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NA</w:t>
            </w:r>
          </w:p>
        </w:tc>
        <w:tc>
          <w:tcPr>
            <w:tcW w:w="4111" w:type="dxa"/>
          </w:tcPr>
          <w:p w14:paraId="6CE223FC"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IgG antibodies against SARS-CoV-2 spike receptor–binding domain (RBD) were determined in plasma samples, using the SARS-CoV-2 IgG II Quant assay (Abbott Laboratories). Antibody-Levels above 254 BAU/ml was defined as sufficient levels. Values between &lt;254 BAU/ml and &gt;54 BAU/ml were considered intermediate and below &lt;54 BAU/ml as low.</w:t>
            </w:r>
          </w:p>
        </w:tc>
        <w:tc>
          <w:tcPr>
            <w:tcW w:w="1134" w:type="dxa"/>
            <w:noWrap/>
          </w:tcPr>
          <w:p w14:paraId="3A8B7248"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Pfizer</w:t>
            </w:r>
          </w:p>
        </w:tc>
        <w:tc>
          <w:tcPr>
            <w:tcW w:w="1501" w:type="dxa"/>
          </w:tcPr>
          <w:p w14:paraId="12AC1830" w14:textId="77777777" w:rsidR="00E47CD1" w:rsidRPr="0019177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B41F6">
              <w:rPr>
                <w:rFonts w:ascii="Times New Roman" w:eastAsia="Malgun Gothic" w:hAnsi="Times New Roman" w:cs="Times New Roman"/>
                <w:color w:val="000000"/>
                <w:kern w:val="0"/>
                <w:sz w:val="22"/>
              </w:rPr>
              <w:t>Not clearly defined</w:t>
            </w:r>
          </w:p>
        </w:tc>
      </w:tr>
    </w:tbl>
    <w:p w14:paraId="06EA0E39" w14:textId="77777777" w:rsidR="00E47CD1" w:rsidRDefault="00E47CD1" w:rsidP="00E47CD1">
      <w:pPr>
        <w:widowControl/>
        <w:wordWrap/>
        <w:autoSpaceDE/>
        <w:autoSpaceDN/>
        <w:rPr>
          <w:rFonts w:ascii="Times New Roman" w:hAnsi="Times New Roman" w:cs="Times New Roman"/>
          <w:b/>
          <w:bCs/>
        </w:rPr>
      </w:pPr>
    </w:p>
    <w:p w14:paraId="5C30553B" w14:textId="77777777" w:rsidR="00E47CD1" w:rsidRPr="000A1015" w:rsidRDefault="00E47CD1" w:rsidP="00E47CD1">
      <w:pPr>
        <w:widowControl/>
        <w:wordWrap/>
        <w:autoSpaceDE/>
        <w:autoSpaceDN/>
        <w:rPr>
          <w:rFonts w:ascii="Times New Roman" w:hAnsi="Times New Roman" w:cs="Times New Roman"/>
          <w:b/>
          <w:bCs/>
        </w:rPr>
      </w:pPr>
    </w:p>
    <w:p w14:paraId="45429EEF" w14:textId="77777777" w:rsidR="00E47CD1" w:rsidRDefault="00E47CD1" w:rsidP="00E47CD1">
      <w:pPr>
        <w:widowControl/>
        <w:wordWrap/>
        <w:autoSpaceDE/>
        <w:autoSpaceDN/>
        <w:rPr>
          <w:rFonts w:ascii="Times New Roman" w:hAnsi="Times New Roman" w:cs="Times New Roman"/>
          <w:b/>
          <w:bCs/>
        </w:rPr>
      </w:pPr>
      <w:r>
        <w:rPr>
          <w:rFonts w:ascii="Times New Roman" w:hAnsi="Times New Roman" w:cs="Times New Roman"/>
          <w:b/>
          <w:bCs/>
        </w:rPr>
        <w:br w:type="page"/>
      </w:r>
    </w:p>
    <w:p w14:paraId="27D8233F" w14:textId="77777777" w:rsidR="00E47CD1" w:rsidRPr="00804210" w:rsidRDefault="00E47CD1" w:rsidP="00E47CD1">
      <w:pPr>
        <w:widowControl/>
        <w:wordWrap/>
        <w:autoSpaceDE/>
        <w:autoSpaceDN/>
        <w:rPr>
          <w:rFonts w:ascii="Times New Roman" w:hAnsi="Times New Roman" w:cs="Times New Roman"/>
          <w:b/>
          <w:bCs/>
        </w:rPr>
      </w:pPr>
      <w:r>
        <w:rPr>
          <w:rFonts w:ascii="Times New Roman" w:hAnsi="Times New Roman" w:cs="Times New Roman"/>
          <w:b/>
          <w:bCs/>
        </w:rPr>
        <w:lastRenderedPageBreak/>
        <w:t>Supplement</w:t>
      </w:r>
      <w:r w:rsidRPr="00804210">
        <w:rPr>
          <w:rFonts w:ascii="Times New Roman" w:hAnsi="Times New Roman" w:cs="Times New Roman"/>
          <w:b/>
          <w:bCs/>
        </w:rPr>
        <w:t xml:space="preserve"> </w:t>
      </w:r>
      <w:r>
        <w:rPr>
          <w:rFonts w:ascii="Times New Roman" w:hAnsi="Times New Roman" w:cs="Times New Roman" w:hint="eastAsia"/>
          <w:b/>
          <w:bCs/>
        </w:rPr>
        <w:t>3</w:t>
      </w:r>
      <w:r w:rsidRPr="00804210">
        <w:rPr>
          <w:rFonts w:ascii="Times New Roman" w:hAnsi="Times New Roman" w:cs="Times New Roman"/>
          <w:b/>
          <w:bCs/>
        </w:rPr>
        <w:t xml:space="preserve">. SARS-CoV-2 seropositivity among solid tumor patients </w:t>
      </w:r>
    </w:p>
    <w:tbl>
      <w:tblPr>
        <w:tblStyle w:val="PlainTable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66"/>
        <w:gridCol w:w="2202"/>
        <w:gridCol w:w="633"/>
        <w:gridCol w:w="1136"/>
        <w:gridCol w:w="720"/>
        <w:gridCol w:w="1202"/>
        <w:gridCol w:w="1100"/>
        <w:gridCol w:w="1259"/>
        <w:gridCol w:w="881"/>
        <w:gridCol w:w="1588"/>
      </w:tblGrid>
      <w:tr w:rsidR="00E47CD1" w:rsidRPr="00804210" w14:paraId="12C0009B" w14:textId="77777777" w:rsidTr="00EB22E5">
        <w:trPr>
          <w:cnfStyle w:val="100000000000" w:firstRow="1" w:lastRow="0" w:firstColumn="0" w:lastColumn="0" w:oddVBand="0" w:evenVBand="0" w:oddHBand="0" w:evenHBand="0" w:firstRowFirstColumn="0" w:firstRowLastColumn="0" w:lastRowFirstColumn="0" w:lastRowLastColumn="0"/>
          <w:trHeight w:val="1056"/>
        </w:trPr>
        <w:tc>
          <w:tcPr>
            <w:cnfStyle w:val="001000000000" w:firstRow="0" w:lastRow="0" w:firstColumn="1" w:lastColumn="0" w:oddVBand="0" w:evenVBand="0" w:oddHBand="0" w:evenHBand="0" w:firstRowFirstColumn="0" w:firstRowLastColumn="0" w:lastRowFirstColumn="0" w:lastRowLastColumn="0"/>
            <w:tcW w:w="1083" w:type="pct"/>
            <w:noWrap/>
            <w:hideMark/>
          </w:tcPr>
          <w:p w14:paraId="29CCFB5C" w14:textId="77777777" w:rsidR="00E47CD1" w:rsidRPr="0093618C" w:rsidRDefault="00E47CD1" w:rsidP="00EB22E5">
            <w:pPr>
              <w:widowControl/>
              <w:wordWrap/>
              <w:autoSpaceDE/>
              <w:autoSpaceDN/>
              <w:jc w:val="center"/>
              <w:rPr>
                <w:rFonts w:ascii="Times New Roman" w:eastAsia="Malgun Gothic" w:hAnsi="Times New Roman" w:cs="Times New Roman"/>
                <w:color w:val="000000"/>
                <w:kern w:val="0"/>
                <w:sz w:val="22"/>
              </w:rPr>
            </w:pPr>
            <w:r w:rsidRPr="0093618C">
              <w:rPr>
                <w:rFonts w:ascii="Times New Roman" w:eastAsia="Malgun Gothic" w:hAnsi="Times New Roman" w:cs="Times New Roman"/>
                <w:color w:val="000000"/>
                <w:kern w:val="0"/>
                <w:sz w:val="22"/>
              </w:rPr>
              <w:t>Population</w:t>
            </w:r>
          </w:p>
        </w:tc>
        <w:tc>
          <w:tcPr>
            <w:tcW w:w="804" w:type="pct"/>
            <w:noWrap/>
            <w:hideMark/>
          </w:tcPr>
          <w:p w14:paraId="37D3B93C" w14:textId="77777777" w:rsidR="00E47CD1" w:rsidRPr="0093618C"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3618C">
              <w:rPr>
                <w:rFonts w:ascii="Times New Roman" w:eastAsia="Malgun Gothic" w:hAnsi="Times New Roman" w:cs="Times New Roman"/>
                <w:color w:val="000000"/>
                <w:kern w:val="0"/>
                <w:sz w:val="22"/>
              </w:rPr>
              <w:t>Author, year</w:t>
            </w:r>
          </w:p>
        </w:tc>
        <w:tc>
          <w:tcPr>
            <w:tcW w:w="231" w:type="pct"/>
            <w:noWrap/>
            <w:hideMark/>
          </w:tcPr>
          <w:p w14:paraId="50761135" w14:textId="77777777" w:rsidR="00E47CD1" w:rsidRPr="0093618C"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3618C">
              <w:rPr>
                <w:rFonts w:ascii="Times New Roman" w:eastAsia="Malgun Gothic" w:hAnsi="Times New Roman" w:cs="Times New Roman"/>
                <w:color w:val="000000"/>
                <w:kern w:val="0"/>
                <w:sz w:val="22"/>
              </w:rPr>
              <w:t>n</w:t>
            </w:r>
          </w:p>
        </w:tc>
        <w:tc>
          <w:tcPr>
            <w:tcW w:w="415" w:type="pct"/>
            <w:noWrap/>
            <w:hideMark/>
          </w:tcPr>
          <w:p w14:paraId="5C7EF2FF" w14:textId="77777777" w:rsidR="00E47CD1" w:rsidRPr="0093618C"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3618C">
              <w:rPr>
                <w:rFonts w:ascii="Times New Roman" w:eastAsia="Malgun Gothic" w:hAnsi="Times New Roman" w:cs="Times New Roman"/>
                <w:color w:val="000000"/>
                <w:kern w:val="0"/>
                <w:sz w:val="22"/>
              </w:rPr>
              <w:t>Country</w:t>
            </w:r>
          </w:p>
        </w:tc>
        <w:tc>
          <w:tcPr>
            <w:tcW w:w="263" w:type="pct"/>
            <w:noWrap/>
            <w:hideMark/>
          </w:tcPr>
          <w:p w14:paraId="0D3D0B30" w14:textId="77777777" w:rsidR="00E47CD1" w:rsidRPr="0093618C"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3618C">
              <w:rPr>
                <w:rFonts w:ascii="Times New Roman" w:eastAsia="Malgun Gothic" w:hAnsi="Times New Roman" w:cs="Times New Roman"/>
                <w:color w:val="000000"/>
                <w:kern w:val="0"/>
                <w:sz w:val="22"/>
              </w:rPr>
              <w:t>Age</w:t>
            </w:r>
          </w:p>
        </w:tc>
        <w:tc>
          <w:tcPr>
            <w:tcW w:w="439" w:type="pct"/>
            <w:hideMark/>
          </w:tcPr>
          <w:p w14:paraId="79E2EF26" w14:textId="77777777" w:rsidR="00E47CD1" w:rsidRPr="0093618C"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3618C">
              <w:rPr>
                <w:rFonts w:ascii="Times New Roman" w:eastAsia="Malgun Gothic" w:hAnsi="Times New Roman" w:cs="Times New Roman"/>
                <w:color w:val="000000"/>
                <w:kern w:val="0"/>
                <w:sz w:val="22"/>
              </w:rPr>
              <w:t xml:space="preserve">Sex </w:t>
            </w:r>
            <w:r w:rsidRPr="0093618C">
              <w:rPr>
                <w:rFonts w:ascii="Times New Roman" w:eastAsia="Malgun Gothic" w:hAnsi="Times New Roman" w:cs="Times New Roman"/>
                <w:color w:val="000000"/>
                <w:kern w:val="0"/>
                <w:sz w:val="22"/>
              </w:rPr>
              <w:br/>
              <w:t>(female %)</w:t>
            </w:r>
          </w:p>
        </w:tc>
        <w:tc>
          <w:tcPr>
            <w:tcW w:w="402" w:type="pct"/>
            <w:noWrap/>
            <w:hideMark/>
          </w:tcPr>
          <w:p w14:paraId="11FD8649" w14:textId="77777777" w:rsidR="00E47CD1" w:rsidRPr="0093618C"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3618C">
              <w:rPr>
                <w:rFonts w:ascii="Times New Roman" w:eastAsia="Malgun Gothic" w:hAnsi="Times New Roman" w:cs="Times New Roman"/>
                <w:color w:val="000000"/>
                <w:kern w:val="0"/>
                <w:sz w:val="22"/>
              </w:rPr>
              <w:t>Vaccine</w:t>
            </w:r>
          </w:p>
        </w:tc>
        <w:tc>
          <w:tcPr>
            <w:tcW w:w="460" w:type="pct"/>
            <w:noWrap/>
            <w:hideMark/>
          </w:tcPr>
          <w:p w14:paraId="46154D33" w14:textId="77777777" w:rsidR="00E47CD1" w:rsidRPr="0093618C"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3618C">
              <w:rPr>
                <w:rFonts w:ascii="Times New Roman" w:eastAsia="Malgun Gothic" w:hAnsi="Times New Roman" w:cs="Times New Roman"/>
                <w:color w:val="000000"/>
                <w:kern w:val="0"/>
                <w:sz w:val="22"/>
              </w:rPr>
              <w:t>Test Date (day)</w:t>
            </w:r>
          </w:p>
        </w:tc>
        <w:tc>
          <w:tcPr>
            <w:tcW w:w="322" w:type="pct"/>
            <w:noWrap/>
            <w:hideMark/>
          </w:tcPr>
          <w:p w14:paraId="3A3F7D96" w14:textId="77777777" w:rsidR="00E47CD1" w:rsidRPr="0093618C"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3618C">
              <w:rPr>
                <w:rFonts w:ascii="Times New Roman" w:eastAsia="Malgun Gothic" w:hAnsi="Times New Roman" w:cs="Times New Roman"/>
                <w:color w:val="000000"/>
                <w:kern w:val="0"/>
                <w:sz w:val="22"/>
              </w:rPr>
              <w:t>Dose</w:t>
            </w:r>
          </w:p>
        </w:tc>
        <w:tc>
          <w:tcPr>
            <w:tcW w:w="580" w:type="pct"/>
            <w:hideMark/>
          </w:tcPr>
          <w:p w14:paraId="30C1B816" w14:textId="77777777" w:rsidR="00E47CD1" w:rsidRPr="0093618C"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3618C">
              <w:rPr>
                <w:rFonts w:ascii="Times New Roman" w:eastAsia="Malgun Gothic" w:hAnsi="Times New Roman" w:cs="Times New Roman"/>
                <w:color w:val="000000"/>
                <w:kern w:val="0"/>
                <w:sz w:val="22"/>
              </w:rPr>
              <w:t xml:space="preserve">Seropositivity </w:t>
            </w:r>
            <w:r w:rsidRPr="0093618C">
              <w:rPr>
                <w:rFonts w:ascii="Times New Roman" w:eastAsia="Malgun Gothic" w:hAnsi="Times New Roman" w:cs="Times New Roman"/>
                <w:color w:val="000000"/>
                <w:kern w:val="0"/>
                <w:sz w:val="22"/>
              </w:rPr>
              <w:br/>
              <w:t>(%)</w:t>
            </w:r>
          </w:p>
        </w:tc>
      </w:tr>
      <w:tr w:rsidR="00E47CD1" w:rsidRPr="00804210" w14:paraId="715A1EAC"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6AE40143"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Bladder cancer</w:t>
            </w:r>
          </w:p>
        </w:tc>
        <w:tc>
          <w:tcPr>
            <w:tcW w:w="804" w:type="pct"/>
            <w:noWrap/>
            <w:hideMark/>
          </w:tcPr>
          <w:p w14:paraId="48116811"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5ED2306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7</w:t>
            </w:r>
          </w:p>
        </w:tc>
        <w:tc>
          <w:tcPr>
            <w:tcW w:w="415" w:type="pct"/>
            <w:noWrap/>
            <w:hideMark/>
          </w:tcPr>
          <w:p w14:paraId="40981CFD"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269CDE84"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6B11482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110A67C6"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573BDBC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&gt;10</w:t>
            </w:r>
          </w:p>
        </w:tc>
        <w:tc>
          <w:tcPr>
            <w:tcW w:w="322" w:type="pct"/>
            <w:noWrap/>
            <w:hideMark/>
          </w:tcPr>
          <w:p w14:paraId="2E6BAB73"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First </w:t>
            </w:r>
          </w:p>
        </w:tc>
        <w:tc>
          <w:tcPr>
            <w:tcW w:w="580" w:type="pct"/>
            <w:noWrap/>
            <w:hideMark/>
          </w:tcPr>
          <w:p w14:paraId="739D372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28.57</w:t>
            </w:r>
          </w:p>
        </w:tc>
      </w:tr>
      <w:tr w:rsidR="00E47CD1" w:rsidRPr="00804210" w14:paraId="7D4665D0"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29579336"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1FB759A8"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57F7501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13</w:t>
            </w:r>
          </w:p>
        </w:tc>
        <w:tc>
          <w:tcPr>
            <w:tcW w:w="415" w:type="pct"/>
            <w:noWrap/>
            <w:hideMark/>
          </w:tcPr>
          <w:p w14:paraId="45C8FFF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4B116121"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74C80F1E"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39F8F3D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1EAEBE4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14</w:t>
            </w:r>
          </w:p>
        </w:tc>
        <w:tc>
          <w:tcPr>
            <w:tcW w:w="322" w:type="pct"/>
            <w:noWrap/>
            <w:hideMark/>
          </w:tcPr>
          <w:p w14:paraId="30C71884"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61044E8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92.31</w:t>
            </w:r>
          </w:p>
        </w:tc>
      </w:tr>
      <w:tr w:rsidR="00E47CD1" w:rsidRPr="00804210" w14:paraId="2D7F8640"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10BCE0AA"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3903963A"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231" w:type="pct"/>
            <w:noWrap/>
            <w:hideMark/>
          </w:tcPr>
          <w:p w14:paraId="59A6F8F3"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15" w:type="pct"/>
            <w:noWrap/>
            <w:hideMark/>
          </w:tcPr>
          <w:p w14:paraId="75A95FD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hideMark/>
          </w:tcPr>
          <w:p w14:paraId="7DCF761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39" w:type="pct"/>
            <w:noWrap/>
            <w:hideMark/>
          </w:tcPr>
          <w:p w14:paraId="1AF2B4F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02" w:type="pct"/>
            <w:noWrap/>
            <w:hideMark/>
          </w:tcPr>
          <w:p w14:paraId="6C152266"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hideMark/>
          </w:tcPr>
          <w:p w14:paraId="01D58584"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322" w:type="pct"/>
            <w:noWrap/>
            <w:hideMark/>
          </w:tcPr>
          <w:p w14:paraId="776FC023"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580" w:type="pct"/>
            <w:noWrap/>
            <w:hideMark/>
          </w:tcPr>
          <w:p w14:paraId="152AFED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 xml:space="preserve">　</w:t>
            </w:r>
          </w:p>
        </w:tc>
      </w:tr>
      <w:tr w:rsidR="00E47CD1" w:rsidRPr="00804210" w14:paraId="72F64A5D"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104E20AA"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Breast cancer</w:t>
            </w:r>
          </w:p>
        </w:tc>
        <w:tc>
          <w:tcPr>
            <w:tcW w:w="804" w:type="pct"/>
            <w:noWrap/>
            <w:hideMark/>
          </w:tcPr>
          <w:p w14:paraId="2047E450"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010EA0A4"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18</w:t>
            </w:r>
          </w:p>
        </w:tc>
        <w:tc>
          <w:tcPr>
            <w:tcW w:w="415" w:type="pct"/>
            <w:noWrap/>
            <w:hideMark/>
          </w:tcPr>
          <w:p w14:paraId="2935634F"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002F9C3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3D8929D6"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5216C0E2"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4DF28F3E"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&gt;10</w:t>
            </w:r>
          </w:p>
        </w:tc>
        <w:tc>
          <w:tcPr>
            <w:tcW w:w="322" w:type="pct"/>
            <w:noWrap/>
            <w:hideMark/>
          </w:tcPr>
          <w:p w14:paraId="6D6E2200"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First </w:t>
            </w:r>
          </w:p>
        </w:tc>
        <w:tc>
          <w:tcPr>
            <w:tcW w:w="580" w:type="pct"/>
            <w:noWrap/>
            <w:hideMark/>
          </w:tcPr>
          <w:p w14:paraId="351B4A18"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27.78</w:t>
            </w:r>
          </w:p>
        </w:tc>
      </w:tr>
      <w:tr w:rsidR="00E47CD1" w:rsidRPr="00804210" w14:paraId="4FE0049E"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6D8FD535"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41F3432C"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2C64BEA2"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38</w:t>
            </w:r>
          </w:p>
        </w:tc>
        <w:tc>
          <w:tcPr>
            <w:tcW w:w="415" w:type="pct"/>
            <w:noWrap/>
            <w:hideMark/>
          </w:tcPr>
          <w:p w14:paraId="2FF229E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783EC06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1A686426"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31D6BDC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163B4912"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14</w:t>
            </w:r>
          </w:p>
        </w:tc>
        <w:tc>
          <w:tcPr>
            <w:tcW w:w="322" w:type="pct"/>
            <w:noWrap/>
            <w:hideMark/>
          </w:tcPr>
          <w:p w14:paraId="7B6EFFD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6C59E62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76.32</w:t>
            </w:r>
          </w:p>
        </w:tc>
      </w:tr>
      <w:tr w:rsidR="00E47CD1" w:rsidRPr="00804210" w14:paraId="0BD9BD23"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601E0B1F"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7B9D8969"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H. Ligumsky, 2021</w:t>
            </w:r>
          </w:p>
        </w:tc>
        <w:tc>
          <w:tcPr>
            <w:tcW w:w="231" w:type="pct"/>
            <w:noWrap/>
            <w:hideMark/>
          </w:tcPr>
          <w:p w14:paraId="65AD8996"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82</w:t>
            </w:r>
          </w:p>
        </w:tc>
        <w:tc>
          <w:tcPr>
            <w:tcW w:w="415" w:type="pct"/>
            <w:noWrap/>
            <w:hideMark/>
          </w:tcPr>
          <w:p w14:paraId="4D8436DA"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64393098"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010A2A8A"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7E0E9226"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1009A77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56</w:t>
            </w:r>
          </w:p>
        </w:tc>
        <w:tc>
          <w:tcPr>
            <w:tcW w:w="322" w:type="pct"/>
            <w:noWrap/>
            <w:hideMark/>
          </w:tcPr>
          <w:p w14:paraId="5D6AD972"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6724DA5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82.93</w:t>
            </w:r>
          </w:p>
        </w:tc>
      </w:tr>
      <w:tr w:rsidR="00E47CD1" w:rsidRPr="00804210" w14:paraId="5DA210C3"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3B39A6A8"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2DBB44B0"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 Waldhorn, 2021</w:t>
            </w:r>
          </w:p>
        </w:tc>
        <w:tc>
          <w:tcPr>
            <w:tcW w:w="231" w:type="pct"/>
            <w:noWrap/>
            <w:hideMark/>
          </w:tcPr>
          <w:p w14:paraId="0446DC9F"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26</w:t>
            </w:r>
          </w:p>
        </w:tc>
        <w:tc>
          <w:tcPr>
            <w:tcW w:w="415" w:type="pct"/>
            <w:noWrap/>
            <w:hideMark/>
          </w:tcPr>
          <w:p w14:paraId="2D8A7A95"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348D702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31149A0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7E66D7A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4A6C60A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180</w:t>
            </w:r>
          </w:p>
        </w:tc>
        <w:tc>
          <w:tcPr>
            <w:tcW w:w="322" w:type="pct"/>
            <w:noWrap/>
            <w:hideMark/>
          </w:tcPr>
          <w:p w14:paraId="3AC50D62"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349F4836"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73.08</w:t>
            </w:r>
          </w:p>
        </w:tc>
      </w:tr>
      <w:tr w:rsidR="00E47CD1" w:rsidRPr="00804210" w14:paraId="2E9B7FC2"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2D69FE2E"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5648EF6B"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231" w:type="pct"/>
            <w:noWrap/>
            <w:hideMark/>
          </w:tcPr>
          <w:p w14:paraId="4715CB5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15" w:type="pct"/>
            <w:noWrap/>
            <w:hideMark/>
          </w:tcPr>
          <w:p w14:paraId="2A27936A"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hideMark/>
          </w:tcPr>
          <w:p w14:paraId="4B4F212C"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39" w:type="pct"/>
            <w:noWrap/>
            <w:hideMark/>
          </w:tcPr>
          <w:p w14:paraId="35B882C1"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02" w:type="pct"/>
            <w:noWrap/>
            <w:hideMark/>
          </w:tcPr>
          <w:p w14:paraId="027D03E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hideMark/>
          </w:tcPr>
          <w:p w14:paraId="110C5E76"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322" w:type="pct"/>
            <w:noWrap/>
            <w:hideMark/>
          </w:tcPr>
          <w:p w14:paraId="229093A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580" w:type="pct"/>
            <w:noWrap/>
            <w:hideMark/>
          </w:tcPr>
          <w:p w14:paraId="1F7D8D1E"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 xml:space="preserve">　</w:t>
            </w:r>
          </w:p>
        </w:tc>
      </w:tr>
      <w:tr w:rsidR="00E47CD1" w:rsidRPr="00804210" w14:paraId="28FEB5E5"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1E80F05F"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Colorectal cancer</w:t>
            </w:r>
          </w:p>
        </w:tc>
        <w:tc>
          <w:tcPr>
            <w:tcW w:w="804" w:type="pct"/>
            <w:noWrap/>
            <w:hideMark/>
          </w:tcPr>
          <w:p w14:paraId="53923D82"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2C4E8BA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8</w:t>
            </w:r>
          </w:p>
        </w:tc>
        <w:tc>
          <w:tcPr>
            <w:tcW w:w="415" w:type="pct"/>
            <w:noWrap/>
            <w:hideMark/>
          </w:tcPr>
          <w:p w14:paraId="5C4F6C70"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6DFFF36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0F2AAEA3"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737A5770"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377954A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&gt;10</w:t>
            </w:r>
          </w:p>
        </w:tc>
        <w:tc>
          <w:tcPr>
            <w:tcW w:w="322" w:type="pct"/>
            <w:noWrap/>
            <w:hideMark/>
          </w:tcPr>
          <w:p w14:paraId="44B26DC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First </w:t>
            </w:r>
          </w:p>
        </w:tc>
        <w:tc>
          <w:tcPr>
            <w:tcW w:w="580" w:type="pct"/>
            <w:noWrap/>
            <w:hideMark/>
          </w:tcPr>
          <w:p w14:paraId="0C29571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25</w:t>
            </w:r>
          </w:p>
        </w:tc>
      </w:tr>
      <w:tr w:rsidR="00E47CD1" w:rsidRPr="00804210" w14:paraId="644C50D0"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4E94CFEF"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3DF9D113"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33D6AA28"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34</w:t>
            </w:r>
          </w:p>
        </w:tc>
        <w:tc>
          <w:tcPr>
            <w:tcW w:w="415" w:type="pct"/>
            <w:noWrap/>
            <w:hideMark/>
          </w:tcPr>
          <w:p w14:paraId="4D4A9BB8"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4244BDD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6234567E"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0CE71B1C"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1907B3E7"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14</w:t>
            </w:r>
          </w:p>
        </w:tc>
        <w:tc>
          <w:tcPr>
            <w:tcW w:w="322" w:type="pct"/>
            <w:noWrap/>
            <w:hideMark/>
          </w:tcPr>
          <w:p w14:paraId="578D5745"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6459CE4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88.24</w:t>
            </w:r>
          </w:p>
        </w:tc>
      </w:tr>
      <w:tr w:rsidR="00E47CD1" w:rsidRPr="00804210" w14:paraId="5381E2D0"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5EC52A88"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4CFD7D9F"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231" w:type="pct"/>
            <w:noWrap/>
            <w:hideMark/>
          </w:tcPr>
          <w:p w14:paraId="33C90AE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15" w:type="pct"/>
            <w:noWrap/>
            <w:hideMark/>
          </w:tcPr>
          <w:p w14:paraId="42B477CB"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hideMark/>
          </w:tcPr>
          <w:p w14:paraId="206476D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39" w:type="pct"/>
            <w:noWrap/>
            <w:hideMark/>
          </w:tcPr>
          <w:p w14:paraId="49301CF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02" w:type="pct"/>
            <w:noWrap/>
            <w:hideMark/>
          </w:tcPr>
          <w:p w14:paraId="55D47AD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hideMark/>
          </w:tcPr>
          <w:p w14:paraId="537A342B"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322" w:type="pct"/>
            <w:noWrap/>
            <w:hideMark/>
          </w:tcPr>
          <w:p w14:paraId="1230453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580" w:type="pct"/>
            <w:noWrap/>
            <w:hideMark/>
          </w:tcPr>
          <w:p w14:paraId="60DB2E08"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 xml:space="preserve">　</w:t>
            </w:r>
          </w:p>
        </w:tc>
      </w:tr>
      <w:tr w:rsidR="00E47CD1" w:rsidRPr="00804210" w14:paraId="5BC6E97D"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38E733B5"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Esophagus and gastric cancer</w:t>
            </w:r>
          </w:p>
        </w:tc>
        <w:tc>
          <w:tcPr>
            <w:tcW w:w="804" w:type="pct"/>
            <w:noWrap/>
            <w:hideMark/>
          </w:tcPr>
          <w:p w14:paraId="18B7810C"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52DE581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2</w:t>
            </w:r>
          </w:p>
        </w:tc>
        <w:tc>
          <w:tcPr>
            <w:tcW w:w="415" w:type="pct"/>
            <w:noWrap/>
            <w:hideMark/>
          </w:tcPr>
          <w:p w14:paraId="36E73790"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5F4B5FC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69A67F01"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3363332A"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7FAE980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&gt;10</w:t>
            </w:r>
          </w:p>
        </w:tc>
        <w:tc>
          <w:tcPr>
            <w:tcW w:w="322" w:type="pct"/>
            <w:noWrap/>
            <w:hideMark/>
          </w:tcPr>
          <w:p w14:paraId="680AAF6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First </w:t>
            </w:r>
          </w:p>
        </w:tc>
        <w:tc>
          <w:tcPr>
            <w:tcW w:w="580" w:type="pct"/>
            <w:noWrap/>
            <w:hideMark/>
          </w:tcPr>
          <w:p w14:paraId="7CF846F4"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0</w:t>
            </w:r>
          </w:p>
        </w:tc>
      </w:tr>
      <w:tr w:rsidR="00E47CD1" w:rsidRPr="00804210" w14:paraId="6D096710"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78F83B25"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6601F95E"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74C87FF5"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5</w:t>
            </w:r>
          </w:p>
        </w:tc>
        <w:tc>
          <w:tcPr>
            <w:tcW w:w="415" w:type="pct"/>
            <w:noWrap/>
            <w:hideMark/>
          </w:tcPr>
          <w:p w14:paraId="4AE1E106"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5682894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68DA654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1D6C3CDF"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5C67F5F3"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14</w:t>
            </w:r>
          </w:p>
        </w:tc>
        <w:tc>
          <w:tcPr>
            <w:tcW w:w="322" w:type="pct"/>
            <w:noWrap/>
            <w:hideMark/>
          </w:tcPr>
          <w:p w14:paraId="1B535B4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67E23B4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60</w:t>
            </w:r>
          </w:p>
        </w:tc>
      </w:tr>
      <w:tr w:rsidR="00E47CD1" w:rsidRPr="00804210" w14:paraId="360C2C6C"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1CC3C135"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1CD7D36A"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231" w:type="pct"/>
            <w:noWrap/>
            <w:hideMark/>
          </w:tcPr>
          <w:p w14:paraId="1ED65616"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15" w:type="pct"/>
            <w:noWrap/>
            <w:hideMark/>
          </w:tcPr>
          <w:p w14:paraId="1FB155E6"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hideMark/>
          </w:tcPr>
          <w:p w14:paraId="71390C1A"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39" w:type="pct"/>
            <w:noWrap/>
            <w:hideMark/>
          </w:tcPr>
          <w:p w14:paraId="3492407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02" w:type="pct"/>
            <w:noWrap/>
            <w:hideMark/>
          </w:tcPr>
          <w:p w14:paraId="69BF511E"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hideMark/>
          </w:tcPr>
          <w:p w14:paraId="6B97E7D4"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322" w:type="pct"/>
            <w:noWrap/>
            <w:hideMark/>
          </w:tcPr>
          <w:p w14:paraId="3DA59A7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580" w:type="pct"/>
            <w:noWrap/>
            <w:hideMark/>
          </w:tcPr>
          <w:p w14:paraId="15248B9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 xml:space="preserve">　</w:t>
            </w:r>
          </w:p>
        </w:tc>
      </w:tr>
      <w:tr w:rsidR="00E47CD1" w:rsidRPr="00804210" w14:paraId="2CBABB4A"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0C10FBC9"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Gastrointestinal cancer</w:t>
            </w:r>
          </w:p>
        </w:tc>
        <w:tc>
          <w:tcPr>
            <w:tcW w:w="804" w:type="pct"/>
            <w:noWrap/>
            <w:hideMark/>
          </w:tcPr>
          <w:p w14:paraId="02980B9D"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H. Ligumsky, 2021</w:t>
            </w:r>
          </w:p>
        </w:tc>
        <w:tc>
          <w:tcPr>
            <w:tcW w:w="231" w:type="pct"/>
            <w:noWrap/>
            <w:hideMark/>
          </w:tcPr>
          <w:p w14:paraId="1E02455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84</w:t>
            </w:r>
          </w:p>
        </w:tc>
        <w:tc>
          <w:tcPr>
            <w:tcW w:w="415" w:type="pct"/>
            <w:noWrap/>
            <w:hideMark/>
          </w:tcPr>
          <w:p w14:paraId="582B53D4"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113BDD76"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40ABAB7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14DEE063"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4552E0C0"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56</w:t>
            </w:r>
          </w:p>
        </w:tc>
        <w:tc>
          <w:tcPr>
            <w:tcW w:w="322" w:type="pct"/>
            <w:noWrap/>
            <w:hideMark/>
          </w:tcPr>
          <w:p w14:paraId="1784F4B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62AD484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92.86</w:t>
            </w:r>
          </w:p>
        </w:tc>
      </w:tr>
      <w:tr w:rsidR="00E47CD1" w:rsidRPr="00804210" w14:paraId="7E3A6360"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12AFC427"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7C04BD78"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 Waldhorn, 2021</w:t>
            </w:r>
          </w:p>
        </w:tc>
        <w:tc>
          <w:tcPr>
            <w:tcW w:w="231" w:type="pct"/>
            <w:noWrap/>
            <w:hideMark/>
          </w:tcPr>
          <w:p w14:paraId="5CE5925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56</w:t>
            </w:r>
          </w:p>
        </w:tc>
        <w:tc>
          <w:tcPr>
            <w:tcW w:w="415" w:type="pct"/>
            <w:noWrap/>
            <w:hideMark/>
          </w:tcPr>
          <w:p w14:paraId="6E2CD7A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495AABD0"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367E2B98"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215B48A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45FFE240"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180</w:t>
            </w:r>
          </w:p>
        </w:tc>
        <w:tc>
          <w:tcPr>
            <w:tcW w:w="322" w:type="pct"/>
            <w:noWrap/>
            <w:hideMark/>
          </w:tcPr>
          <w:p w14:paraId="04977D15"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42A63B36"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80.36</w:t>
            </w:r>
          </w:p>
        </w:tc>
      </w:tr>
      <w:tr w:rsidR="00E47CD1" w:rsidRPr="00804210" w14:paraId="6608D2D9"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21035522"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17E5CB8D"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231" w:type="pct"/>
            <w:noWrap/>
            <w:hideMark/>
          </w:tcPr>
          <w:p w14:paraId="65BE9DA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15" w:type="pct"/>
            <w:noWrap/>
            <w:hideMark/>
          </w:tcPr>
          <w:p w14:paraId="5CB35A7F"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hideMark/>
          </w:tcPr>
          <w:p w14:paraId="67A3AEDF"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39" w:type="pct"/>
            <w:noWrap/>
            <w:hideMark/>
          </w:tcPr>
          <w:p w14:paraId="0D78A11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02" w:type="pct"/>
            <w:noWrap/>
            <w:hideMark/>
          </w:tcPr>
          <w:p w14:paraId="67C7CCE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hideMark/>
          </w:tcPr>
          <w:p w14:paraId="770CE846"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322" w:type="pct"/>
            <w:noWrap/>
            <w:hideMark/>
          </w:tcPr>
          <w:p w14:paraId="4537B945"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580" w:type="pct"/>
            <w:noWrap/>
            <w:hideMark/>
          </w:tcPr>
          <w:p w14:paraId="05CB5F04"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 xml:space="preserve">　</w:t>
            </w:r>
          </w:p>
        </w:tc>
      </w:tr>
      <w:tr w:rsidR="00E47CD1" w:rsidRPr="00804210" w14:paraId="42FAA1E7"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7B8DCA16"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lastRenderedPageBreak/>
              <w:t>Gynecological cancer</w:t>
            </w:r>
          </w:p>
        </w:tc>
        <w:tc>
          <w:tcPr>
            <w:tcW w:w="804" w:type="pct"/>
            <w:noWrap/>
            <w:hideMark/>
          </w:tcPr>
          <w:p w14:paraId="098EA67B"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40957328"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6</w:t>
            </w:r>
          </w:p>
        </w:tc>
        <w:tc>
          <w:tcPr>
            <w:tcW w:w="415" w:type="pct"/>
            <w:noWrap/>
            <w:hideMark/>
          </w:tcPr>
          <w:p w14:paraId="406FA165"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158F6DB2"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3A6FFC8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753705E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5AEB5B38"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&gt;10</w:t>
            </w:r>
          </w:p>
        </w:tc>
        <w:tc>
          <w:tcPr>
            <w:tcW w:w="322" w:type="pct"/>
            <w:noWrap/>
            <w:hideMark/>
          </w:tcPr>
          <w:p w14:paraId="12175295"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First </w:t>
            </w:r>
          </w:p>
        </w:tc>
        <w:tc>
          <w:tcPr>
            <w:tcW w:w="580" w:type="pct"/>
            <w:noWrap/>
            <w:hideMark/>
          </w:tcPr>
          <w:p w14:paraId="23C7CC70"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33.33</w:t>
            </w:r>
          </w:p>
        </w:tc>
      </w:tr>
      <w:tr w:rsidR="00E47CD1" w:rsidRPr="00804210" w14:paraId="4A47DAD2"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2422041F"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4804CDA3"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7B51BEC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9</w:t>
            </w:r>
          </w:p>
        </w:tc>
        <w:tc>
          <w:tcPr>
            <w:tcW w:w="415" w:type="pct"/>
            <w:noWrap/>
            <w:hideMark/>
          </w:tcPr>
          <w:p w14:paraId="0A10CCF6"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4193A5CD"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584C784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08AFD8C0"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5D1AE8C2"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14</w:t>
            </w:r>
          </w:p>
        </w:tc>
        <w:tc>
          <w:tcPr>
            <w:tcW w:w="322" w:type="pct"/>
            <w:noWrap/>
            <w:hideMark/>
          </w:tcPr>
          <w:p w14:paraId="6C603E5B"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434507C5"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88.89</w:t>
            </w:r>
          </w:p>
        </w:tc>
      </w:tr>
      <w:tr w:rsidR="00E47CD1" w:rsidRPr="00804210" w14:paraId="4374E63B"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41A2845A"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12BC5746"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H. Ligumsky, 2021</w:t>
            </w:r>
          </w:p>
        </w:tc>
        <w:tc>
          <w:tcPr>
            <w:tcW w:w="231" w:type="pct"/>
            <w:noWrap/>
            <w:hideMark/>
          </w:tcPr>
          <w:p w14:paraId="5E6CE574"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41</w:t>
            </w:r>
          </w:p>
        </w:tc>
        <w:tc>
          <w:tcPr>
            <w:tcW w:w="415" w:type="pct"/>
            <w:noWrap/>
            <w:hideMark/>
          </w:tcPr>
          <w:p w14:paraId="12AB88D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59ADFABF"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02794C47"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026FFFF0"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1DBA39E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56</w:t>
            </w:r>
          </w:p>
        </w:tc>
        <w:tc>
          <w:tcPr>
            <w:tcW w:w="322" w:type="pct"/>
            <w:noWrap/>
            <w:hideMark/>
          </w:tcPr>
          <w:p w14:paraId="0C4B7D9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471D2082"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95.12</w:t>
            </w:r>
          </w:p>
        </w:tc>
      </w:tr>
      <w:tr w:rsidR="00E47CD1" w:rsidRPr="00804210" w14:paraId="125E4311"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76B13873"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07CF9DE0"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 Waldhorn, 2021</w:t>
            </w:r>
          </w:p>
        </w:tc>
        <w:tc>
          <w:tcPr>
            <w:tcW w:w="231" w:type="pct"/>
            <w:noWrap/>
            <w:hideMark/>
          </w:tcPr>
          <w:p w14:paraId="42E844D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5</w:t>
            </w:r>
          </w:p>
        </w:tc>
        <w:tc>
          <w:tcPr>
            <w:tcW w:w="415" w:type="pct"/>
            <w:noWrap/>
            <w:hideMark/>
          </w:tcPr>
          <w:p w14:paraId="63A68562"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0657FC2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78717886"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34299F65"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3BD4C32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180</w:t>
            </w:r>
          </w:p>
        </w:tc>
        <w:tc>
          <w:tcPr>
            <w:tcW w:w="322" w:type="pct"/>
            <w:noWrap/>
            <w:hideMark/>
          </w:tcPr>
          <w:p w14:paraId="6C4E8FD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1CF2316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80</w:t>
            </w:r>
          </w:p>
        </w:tc>
      </w:tr>
      <w:tr w:rsidR="00E47CD1" w:rsidRPr="00804210" w14:paraId="57FA06C2"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453FA650"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35DC1B50"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231" w:type="pct"/>
            <w:noWrap/>
            <w:hideMark/>
          </w:tcPr>
          <w:p w14:paraId="58109424"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15" w:type="pct"/>
            <w:noWrap/>
            <w:hideMark/>
          </w:tcPr>
          <w:p w14:paraId="0F101F3E"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hideMark/>
          </w:tcPr>
          <w:p w14:paraId="788B5228"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39" w:type="pct"/>
            <w:noWrap/>
            <w:hideMark/>
          </w:tcPr>
          <w:p w14:paraId="13DBB10F"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02" w:type="pct"/>
            <w:noWrap/>
            <w:hideMark/>
          </w:tcPr>
          <w:p w14:paraId="6E244EE8"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hideMark/>
          </w:tcPr>
          <w:p w14:paraId="01F41EE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322" w:type="pct"/>
            <w:noWrap/>
            <w:hideMark/>
          </w:tcPr>
          <w:p w14:paraId="0D52713E"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580" w:type="pct"/>
            <w:noWrap/>
            <w:hideMark/>
          </w:tcPr>
          <w:p w14:paraId="2ECF0B87"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 xml:space="preserve">　</w:t>
            </w:r>
          </w:p>
        </w:tc>
      </w:tr>
      <w:tr w:rsidR="00E47CD1" w:rsidRPr="00804210" w14:paraId="3FE8B52A"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2DE2316F"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Head and neck cancer</w:t>
            </w:r>
          </w:p>
        </w:tc>
        <w:tc>
          <w:tcPr>
            <w:tcW w:w="804" w:type="pct"/>
            <w:noWrap/>
            <w:hideMark/>
          </w:tcPr>
          <w:p w14:paraId="598F2F29"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65112EC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6</w:t>
            </w:r>
          </w:p>
        </w:tc>
        <w:tc>
          <w:tcPr>
            <w:tcW w:w="415" w:type="pct"/>
            <w:noWrap/>
            <w:hideMark/>
          </w:tcPr>
          <w:p w14:paraId="5F3D78C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544FC30F"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12FB02F3"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42ACD85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7BF4D7BF"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&gt;10</w:t>
            </w:r>
          </w:p>
        </w:tc>
        <w:tc>
          <w:tcPr>
            <w:tcW w:w="322" w:type="pct"/>
            <w:noWrap/>
            <w:hideMark/>
          </w:tcPr>
          <w:p w14:paraId="7B05BF88"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First </w:t>
            </w:r>
          </w:p>
        </w:tc>
        <w:tc>
          <w:tcPr>
            <w:tcW w:w="580" w:type="pct"/>
            <w:noWrap/>
            <w:hideMark/>
          </w:tcPr>
          <w:p w14:paraId="2691BC12"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16.67</w:t>
            </w:r>
          </w:p>
        </w:tc>
      </w:tr>
      <w:tr w:rsidR="00E47CD1" w:rsidRPr="00804210" w14:paraId="11547155"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5D7ACFB1"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4B7EA56C"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549CFE32"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11</w:t>
            </w:r>
          </w:p>
        </w:tc>
        <w:tc>
          <w:tcPr>
            <w:tcW w:w="415" w:type="pct"/>
            <w:noWrap/>
            <w:hideMark/>
          </w:tcPr>
          <w:p w14:paraId="25D09577"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4E02ACC7"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57AB311F"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5D886281"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5437CC7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14</w:t>
            </w:r>
          </w:p>
        </w:tc>
        <w:tc>
          <w:tcPr>
            <w:tcW w:w="322" w:type="pct"/>
            <w:noWrap/>
            <w:hideMark/>
          </w:tcPr>
          <w:p w14:paraId="7BAB2C98"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70DAB4BC"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90.91</w:t>
            </w:r>
          </w:p>
        </w:tc>
      </w:tr>
      <w:tr w:rsidR="00E47CD1" w:rsidRPr="00804210" w14:paraId="38F6BAE9"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6F8C860B"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7CFF4EBA"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 Waldhorn, 2021</w:t>
            </w:r>
          </w:p>
        </w:tc>
        <w:tc>
          <w:tcPr>
            <w:tcW w:w="231" w:type="pct"/>
            <w:noWrap/>
            <w:hideMark/>
          </w:tcPr>
          <w:p w14:paraId="697C23C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5</w:t>
            </w:r>
          </w:p>
        </w:tc>
        <w:tc>
          <w:tcPr>
            <w:tcW w:w="415" w:type="pct"/>
            <w:noWrap/>
            <w:hideMark/>
          </w:tcPr>
          <w:p w14:paraId="5A75DDB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76C78D7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608A31B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30A1471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3630230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180</w:t>
            </w:r>
          </w:p>
        </w:tc>
        <w:tc>
          <w:tcPr>
            <w:tcW w:w="322" w:type="pct"/>
            <w:noWrap/>
            <w:hideMark/>
          </w:tcPr>
          <w:p w14:paraId="6FBBB04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0E67A37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80</w:t>
            </w:r>
          </w:p>
        </w:tc>
      </w:tr>
      <w:tr w:rsidR="00E47CD1" w:rsidRPr="00804210" w14:paraId="6A363900"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6C6D5CB3"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3A8A39FC"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231" w:type="pct"/>
            <w:noWrap/>
            <w:hideMark/>
          </w:tcPr>
          <w:p w14:paraId="63DF553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15" w:type="pct"/>
            <w:noWrap/>
            <w:hideMark/>
          </w:tcPr>
          <w:p w14:paraId="09D5ACBA"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hideMark/>
          </w:tcPr>
          <w:p w14:paraId="65500B7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39" w:type="pct"/>
            <w:noWrap/>
            <w:hideMark/>
          </w:tcPr>
          <w:p w14:paraId="4AD4173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02" w:type="pct"/>
            <w:noWrap/>
            <w:hideMark/>
          </w:tcPr>
          <w:p w14:paraId="458C5E8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hideMark/>
          </w:tcPr>
          <w:p w14:paraId="3513DD1A"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322" w:type="pct"/>
            <w:noWrap/>
            <w:hideMark/>
          </w:tcPr>
          <w:p w14:paraId="561609C8"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580" w:type="pct"/>
            <w:noWrap/>
            <w:hideMark/>
          </w:tcPr>
          <w:p w14:paraId="2682279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 xml:space="preserve">　</w:t>
            </w:r>
          </w:p>
        </w:tc>
      </w:tr>
      <w:tr w:rsidR="00E47CD1" w:rsidRPr="00804210" w14:paraId="37C943B8"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3D35B115"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Hepatobiliary cancer</w:t>
            </w:r>
          </w:p>
        </w:tc>
        <w:tc>
          <w:tcPr>
            <w:tcW w:w="804" w:type="pct"/>
            <w:noWrap/>
            <w:hideMark/>
          </w:tcPr>
          <w:p w14:paraId="4FD744AD"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107276B8"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6</w:t>
            </w:r>
          </w:p>
        </w:tc>
        <w:tc>
          <w:tcPr>
            <w:tcW w:w="415" w:type="pct"/>
            <w:noWrap/>
            <w:hideMark/>
          </w:tcPr>
          <w:p w14:paraId="12412A7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6906E4DB"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4886864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6BDAB1D4"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3FE4EFE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&gt;10</w:t>
            </w:r>
          </w:p>
        </w:tc>
        <w:tc>
          <w:tcPr>
            <w:tcW w:w="322" w:type="pct"/>
            <w:noWrap/>
            <w:hideMark/>
          </w:tcPr>
          <w:p w14:paraId="4CD43B52"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First </w:t>
            </w:r>
          </w:p>
        </w:tc>
        <w:tc>
          <w:tcPr>
            <w:tcW w:w="580" w:type="pct"/>
            <w:noWrap/>
            <w:hideMark/>
          </w:tcPr>
          <w:p w14:paraId="04F4A0CB"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33.33</w:t>
            </w:r>
          </w:p>
        </w:tc>
      </w:tr>
      <w:tr w:rsidR="00E47CD1" w:rsidRPr="00804210" w14:paraId="5ADEB0A0"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3F37B79F"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578C1711"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345DCBE1"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10</w:t>
            </w:r>
          </w:p>
        </w:tc>
        <w:tc>
          <w:tcPr>
            <w:tcW w:w="415" w:type="pct"/>
            <w:noWrap/>
            <w:hideMark/>
          </w:tcPr>
          <w:p w14:paraId="0D635560"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36CF072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3F528E14"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5D217B77"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688A7B24"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14</w:t>
            </w:r>
          </w:p>
        </w:tc>
        <w:tc>
          <w:tcPr>
            <w:tcW w:w="322" w:type="pct"/>
            <w:noWrap/>
            <w:hideMark/>
          </w:tcPr>
          <w:p w14:paraId="23A2F80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3E123096"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100</w:t>
            </w:r>
          </w:p>
        </w:tc>
      </w:tr>
      <w:tr w:rsidR="00E47CD1" w:rsidRPr="00804210" w14:paraId="0283951F"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2C2AC491"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7FC3AB5D"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231" w:type="pct"/>
            <w:noWrap/>
            <w:hideMark/>
          </w:tcPr>
          <w:p w14:paraId="109213F0"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15" w:type="pct"/>
            <w:noWrap/>
            <w:hideMark/>
          </w:tcPr>
          <w:p w14:paraId="4F13891F"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hideMark/>
          </w:tcPr>
          <w:p w14:paraId="3B80472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39" w:type="pct"/>
            <w:noWrap/>
            <w:hideMark/>
          </w:tcPr>
          <w:p w14:paraId="433745D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02" w:type="pct"/>
            <w:noWrap/>
            <w:hideMark/>
          </w:tcPr>
          <w:p w14:paraId="3A7E2CC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hideMark/>
          </w:tcPr>
          <w:p w14:paraId="1589B86D"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322" w:type="pct"/>
            <w:noWrap/>
            <w:hideMark/>
          </w:tcPr>
          <w:p w14:paraId="5F74DC0D"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580" w:type="pct"/>
            <w:noWrap/>
            <w:hideMark/>
          </w:tcPr>
          <w:p w14:paraId="212AD03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 xml:space="preserve">　</w:t>
            </w:r>
          </w:p>
        </w:tc>
      </w:tr>
      <w:tr w:rsidR="00E47CD1" w:rsidRPr="00804210" w14:paraId="3CAEFCE1"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0CFC7B64"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Kidney cancer</w:t>
            </w:r>
          </w:p>
        </w:tc>
        <w:tc>
          <w:tcPr>
            <w:tcW w:w="804" w:type="pct"/>
            <w:noWrap/>
            <w:hideMark/>
          </w:tcPr>
          <w:p w14:paraId="4D16567D"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6D00DBD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7</w:t>
            </w:r>
          </w:p>
        </w:tc>
        <w:tc>
          <w:tcPr>
            <w:tcW w:w="415" w:type="pct"/>
            <w:noWrap/>
            <w:hideMark/>
          </w:tcPr>
          <w:p w14:paraId="54FF450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60085A70"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3B82514E"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1175F647"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7575CC92"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&gt;10</w:t>
            </w:r>
          </w:p>
        </w:tc>
        <w:tc>
          <w:tcPr>
            <w:tcW w:w="322" w:type="pct"/>
            <w:noWrap/>
            <w:hideMark/>
          </w:tcPr>
          <w:p w14:paraId="4335E185"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First </w:t>
            </w:r>
          </w:p>
        </w:tc>
        <w:tc>
          <w:tcPr>
            <w:tcW w:w="580" w:type="pct"/>
            <w:noWrap/>
            <w:hideMark/>
          </w:tcPr>
          <w:p w14:paraId="05197520"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14.29</w:t>
            </w:r>
          </w:p>
        </w:tc>
      </w:tr>
      <w:tr w:rsidR="00E47CD1" w:rsidRPr="00804210" w14:paraId="5D4F6943"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20281CAE"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3DE109FD"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7D491363"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17</w:t>
            </w:r>
          </w:p>
        </w:tc>
        <w:tc>
          <w:tcPr>
            <w:tcW w:w="415" w:type="pct"/>
            <w:noWrap/>
            <w:hideMark/>
          </w:tcPr>
          <w:p w14:paraId="7779AD0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11F0E81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6204E43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70B409B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45E5955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14</w:t>
            </w:r>
          </w:p>
        </w:tc>
        <w:tc>
          <w:tcPr>
            <w:tcW w:w="322" w:type="pct"/>
            <w:noWrap/>
            <w:hideMark/>
          </w:tcPr>
          <w:p w14:paraId="139FC936"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73F6C77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82.35</w:t>
            </w:r>
          </w:p>
        </w:tc>
      </w:tr>
      <w:tr w:rsidR="00E47CD1" w:rsidRPr="00804210" w14:paraId="353F6BFE"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4A86165E"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1514E4A0"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231" w:type="pct"/>
            <w:noWrap/>
            <w:hideMark/>
          </w:tcPr>
          <w:p w14:paraId="5D9384BF"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15" w:type="pct"/>
            <w:noWrap/>
            <w:hideMark/>
          </w:tcPr>
          <w:p w14:paraId="7F587D2F"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hideMark/>
          </w:tcPr>
          <w:p w14:paraId="00C7603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39" w:type="pct"/>
            <w:noWrap/>
            <w:hideMark/>
          </w:tcPr>
          <w:p w14:paraId="7BC23C32"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02" w:type="pct"/>
            <w:noWrap/>
            <w:hideMark/>
          </w:tcPr>
          <w:p w14:paraId="658C48C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hideMark/>
          </w:tcPr>
          <w:p w14:paraId="51D1781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322" w:type="pct"/>
            <w:noWrap/>
            <w:hideMark/>
          </w:tcPr>
          <w:p w14:paraId="6BF8530E"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580" w:type="pct"/>
            <w:noWrap/>
            <w:hideMark/>
          </w:tcPr>
          <w:p w14:paraId="30973E57"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 xml:space="preserve">　</w:t>
            </w:r>
          </w:p>
        </w:tc>
      </w:tr>
      <w:tr w:rsidR="00E47CD1" w:rsidRPr="00804210" w14:paraId="59752E60"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5D1EC7B0"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Lung cancer</w:t>
            </w:r>
          </w:p>
        </w:tc>
        <w:tc>
          <w:tcPr>
            <w:tcW w:w="804" w:type="pct"/>
            <w:noWrap/>
            <w:hideMark/>
          </w:tcPr>
          <w:p w14:paraId="00DF91AB"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1BE401B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14</w:t>
            </w:r>
          </w:p>
        </w:tc>
        <w:tc>
          <w:tcPr>
            <w:tcW w:w="415" w:type="pct"/>
            <w:noWrap/>
            <w:hideMark/>
          </w:tcPr>
          <w:p w14:paraId="1522DD5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759139D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5F65B5C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5BFB777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5923312D"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&gt;10</w:t>
            </w:r>
          </w:p>
        </w:tc>
        <w:tc>
          <w:tcPr>
            <w:tcW w:w="322" w:type="pct"/>
            <w:noWrap/>
            <w:hideMark/>
          </w:tcPr>
          <w:p w14:paraId="36226B7B"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First </w:t>
            </w:r>
          </w:p>
        </w:tc>
        <w:tc>
          <w:tcPr>
            <w:tcW w:w="580" w:type="pct"/>
            <w:noWrap/>
            <w:hideMark/>
          </w:tcPr>
          <w:p w14:paraId="6182293F"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21.43</w:t>
            </w:r>
          </w:p>
        </w:tc>
      </w:tr>
      <w:tr w:rsidR="00E47CD1" w:rsidRPr="00804210" w14:paraId="228C65D6"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7F810691"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13E5E5E2"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75B0D6A8"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43</w:t>
            </w:r>
          </w:p>
        </w:tc>
        <w:tc>
          <w:tcPr>
            <w:tcW w:w="415" w:type="pct"/>
            <w:noWrap/>
            <w:hideMark/>
          </w:tcPr>
          <w:p w14:paraId="1C27D6C8"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3F6771E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7E8A5E92"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1D5B003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4723736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14</w:t>
            </w:r>
          </w:p>
        </w:tc>
        <w:tc>
          <w:tcPr>
            <w:tcW w:w="322" w:type="pct"/>
            <w:noWrap/>
            <w:hideMark/>
          </w:tcPr>
          <w:p w14:paraId="361000B4"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1EF7C6A5"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86.05</w:t>
            </w:r>
          </w:p>
        </w:tc>
      </w:tr>
      <w:tr w:rsidR="00E47CD1" w:rsidRPr="00804210" w14:paraId="418A31EB"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7F2B7790"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4196D1B0"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 Waldhorn, 2021</w:t>
            </w:r>
          </w:p>
        </w:tc>
        <w:tc>
          <w:tcPr>
            <w:tcW w:w="231" w:type="pct"/>
            <w:noWrap/>
            <w:hideMark/>
          </w:tcPr>
          <w:p w14:paraId="51F728E0"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36</w:t>
            </w:r>
          </w:p>
        </w:tc>
        <w:tc>
          <w:tcPr>
            <w:tcW w:w="415" w:type="pct"/>
            <w:noWrap/>
            <w:hideMark/>
          </w:tcPr>
          <w:p w14:paraId="11E7EE5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09AF7F10"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2CAA3B2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19AC967F"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0D16509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180</w:t>
            </w:r>
          </w:p>
        </w:tc>
        <w:tc>
          <w:tcPr>
            <w:tcW w:w="322" w:type="pct"/>
            <w:noWrap/>
            <w:hideMark/>
          </w:tcPr>
          <w:p w14:paraId="2C1F860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5064AE94"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80.56</w:t>
            </w:r>
          </w:p>
        </w:tc>
      </w:tr>
      <w:tr w:rsidR="00E47CD1" w:rsidRPr="00804210" w14:paraId="33993443"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tcPr>
          <w:p w14:paraId="6DA9C927"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tcPr>
          <w:p w14:paraId="2596D3A2"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31" w:type="pct"/>
            <w:noWrap/>
          </w:tcPr>
          <w:p w14:paraId="2641A81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415" w:type="pct"/>
            <w:noWrap/>
          </w:tcPr>
          <w:p w14:paraId="3FD9998C"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tcPr>
          <w:p w14:paraId="19E475F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439" w:type="pct"/>
            <w:noWrap/>
          </w:tcPr>
          <w:p w14:paraId="6C8F347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402" w:type="pct"/>
            <w:noWrap/>
          </w:tcPr>
          <w:p w14:paraId="4CDD877C"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tcPr>
          <w:p w14:paraId="69A3856C"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322" w:type="pct"/>
            <w:noWrap/>
          </w:tcPr>
          <w:p w14:paraId="4142773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580" w:type="pct"/>
            <w:noWrap/>
          </w:tcPr>
          <w:p w14:paraId="2DE48A45"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p>
        </w:tc>
      </w:tr>
      <w:tr w:rsidR="00E47CD1" w:rsidRPr="00804210" w14:paraId="40559F07"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1776B4DA" w14:textId="77777777" w:rsidR="00E47CD1" w:rsidRPr="00804210" w:rsidRDefault="00E47CD1" w:rsidP="00EB22E5">
            <w:pPr>
              <w:widowControl/>
              <w:wordWrap/>
              <w:autoSpaceDE/>
              <w:autoSpaceDN/>
              <w:jc w:val="center"/>
              <w:rPr>
                <w:rFonts w:ascii="Times New Roman" w:eastAsia="Malgun Gothic" w:hAnsi="Times New Roman" w:cs="Times New Roman"/>
                <w:kern w:val="0"/>
                <w:sz w:val="22"/>
              </w:rPr>
            </w:pPr>
            <w:r w:rsidRPr="00804210">
              <w:rPr>
                <w:rFonts w:ascii="Times New Roman" w:eastAsia="Malgun Gothic" w:hAnsi="Times New Roman" w:cs="Times New Roman"/>
                <w:kern w:val="0"/>
                <w:sz w:val="22"/>
              </w:rPr>
              <w:t>Non-small cell lung cancer</w:t>
            </w:r>
          </w:p>
        </w:tc>
        <w:tc>
          <w:tcPr>
            <w:tcW w:w="804" w:type="pct"/>
            <w:noWrap/>
            <w:hideMark/>
          </w:tcPr>
          <w:p w14:paraId="4004BFC0"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H. Ligumsky, 2021</w:t>
            </w:r>
          </w:p>
        </w:tc>
        <w:tc>
          <w:tcPr>
            <w:tcW w:w="231" w:type="pct"/>
            <w:noWrap/>
            <w:hideMark/>
          </w:tcPr>
          <w:p w14:paraId="113CF734"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45</w:t>
            </w:r>
          </w:p>
        </w:tc>
        <w:tc>
          <w:tcPr>
            <w:tcW w:w="415" w:type="pct"/>
            <w:noWrap/>
            <w:hideMark/>
          </w:tcPr>
          <w:p w14:paraId="6AE4402F"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517F310D"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1789A1C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16112CC3"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2BEEEEE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56</w:t>
            </w:r>
          </w:p>
        </w:tc>
        <w:tc>
          <w:tcPr>
            <w:tcW w:w="322" w:type="pct"/>
            <w:noWrap/>
            <w:hideMark/>
          </w:tcPr>
          <w:p w14:paraId="085031B8"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079027DB"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88.89</w:t>
            </w:r>
          </w:p>
        </w:tc>
      </w:tr>
      <w:tr w:rsidR="00E47CD1" w:rsidRPr="00804210" w14:paraId="70B784A1"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2FC2984D" w14:textId="77777777" w:rsidR="00E47CD1" w:rsidRPr="00804210" w:rsidRDefault="00E47CD1" w:rsidP="00EB22E5">
            <w:pPr>
              <w:widowControl/>
              <w:wordWrap/>
              <w:autoSpaceDE/>
              <w:autoSpaceDN/>
              <w:jc w:val="center"/>
              <w:rPr>
                <w:rFonts w:ascii="Times New Roman" w:eastAsia="Malgun Gothic" w:hAnsi="Times New Roman" w:cs="Times New Roman"/>
                <w:kern w:val="0"/>
                <w:sz w:val="22"/>
              </w:rPr>
            </w:pPr>
          </w:p>
        </w:tc>
        <w:tc>
          <w:tcPr>
            <w:tcW w:w="804" w:type="pct"/>
            <w:noWrap/>
            <w:hideMark/>
          </w:tcPr>
          <w:p w14:paraId="575983C2"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231" w:type="pct"/>
            <w:noWrap/>
            <w:hideMark/>
          </w:tcPr>
          <w:p w14:paraId="202095C0"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15" w:type="pct"/>
            <w:noWrap/>
            <w:hideMark/>
          </w:tcPr>
          <w:p w14:paraId="1D1DAC4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hideMark/>
          </w:tcPr>
          <w:p w14:paraId="16673594"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39" w:type="pct"/>
            <w:noWrap/>
            <w:hideMark/>
          </w:tcPr>
          <w:p w14:paraId="107F2611"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02" w:type="pct"/>
            <w:noWrap/>
            <w:hideMark/>
          </w:tcPr>
          <w:p w14:paraId="78E40F9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hideMark/>
          </w:tcPr>
          <w:p w14:paraId="60374DFA"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322" w:type="pct"/>
            <w:noWrap/>
            <w:hideMark/>
          </w:tcPr>
          <w:p w14:paraId="44B75127"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580" w:type="pct"/>
            <w:noWrap/>
            <w:hideMark/>
          </w:tcPr>
          <w:p w14:paraId="47B11D22"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 xml:space="preserve">　</w:t>
            </w:r>
          </w:p>
        </w:tc>
      </w:tr>
      <w:tr w:rsidR="00E47CD1" w:rsidRPr="00804210" w14:paraId="69B5D412"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4B68082D"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Melanoma cancer</w:t>
            </w:r>
          </w:p>
        </w:tc>
        <w:tc>
          <w:tcPr>
            <w:tcW w:w="804" w:type="pct"/>
            <w:noWrap/>
            <w:hideMark/>
          </w:tcPr>
          <w:p w14:paraId="710E9191"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56F3651B"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2</w:t>
            </w:r>
          </w:p>
        </w:tc>
        <w:tc>
          <w:tcPr>
            <w:tcW w:w="415" w:type="pct"/>
            <w:noWrap/>
            <w:hideMark/>
          </w:tcPr>
          <w:p w14:paraId="527A9958"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4459AB52"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3F0E4746"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21D12425"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6F645F8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&gt;10</w:t>
            </w:r>
          </w:p>
        </w:tc>
        <w:tc>
          <w:tcPr>
            <w:tcW w:w="322" w:type="pct"/>
            <w:noWrap/>
            <w:hideMark/>
          </w:tcPr>
          <w:p w14:paraId="78B0BD50"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First </w:t>
            </w:r>
          </w:p>
        </w:tc>
        <w:tc>
          <w:tcPr>
            <w:tcW w:w="580" w:type="pct"/>
            <w:noWrap/>
            <w:hideMark/>
          </w:tcPr>
          <w:p w14:paraId="2F5BA42B"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100</w:t>
            </w:r>
          </w:p>
        </w:tc>
      </w:tr>
      <w:tr w:rsidR="00E47CD1" w:rsidRPr="00804210" w14:paraId="413D1F21"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7F959731"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28D63F25"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3E412A2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4</w:t>
            </w:r>
          </w:p>
        </w:tc>
        <w:tc>
          <w:tcPr>
            <w:tcW w:w="415" w:type="pct"/>
            <w:noWrap/>
            <w:hideMark/>
          </w:tcPr>
          <w:p w14:paraId="64FB37D1"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14992D5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536DF37E"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3C231725"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293BAF46"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14</w:t>
            </w:r>
          </w:p>
        </w:tc>
        <w:tc>
          <w:tcPr>
            <w:tcW w:w="322" w:type="pct"/>
            <w:noWrap/>
            <w:hideMark/>
          </w:tcPr>
          <w:p w14:paraId="71BFD92F"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67FBC83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100</w:t>
            </w:r>
          </w:p>
        </w:tc>
      </w:tr>
      <w:tr w:rsidR="00E47CD1" w:rsidRPr="00804210" w14:paraId="0AB67829"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60E00875"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0DB157AF"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 Waldhorn, 2021</w:t>
            </w:r>
          </w:p>
        </w:tc>
        <w:tc>
          <w:tcPr>
            <w:tcW w:w="231" w:type="pct"/>
            <w:noWrap/>
            <w:hideMark/>
          </w:tcPr>
          <w:p w14:paraId="677D8C9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2</w:t>
            </w:r>
          </w:p>
        </w:tc>
        <w:tc>
          <w:tcPr>
            <w:tcW w:w="415" w:type="pct"/>
            <w:noWrap/>
            <w:hideMark/>
          </w:tcPr>
          <w:p w14:paraId="5688848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4E50336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75D12838"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7400EDD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62B06655"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180</w:t>
            </w:r>
          </w:p>
        </w:tc>
        <w:tc>
          <w:tcPr>
            <w:tcW w:w="322" w:type="pct"/>
            <w:noWrap/>
            <w:hideMark/>
          </w:tcPr>
          <w:p w14:paraId="2452AB04"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12776DA8"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100</w:t>
            </w:r>
          </w:p>
        </w:tc>
      </w:tr>
      <w:tr w:rsidR="00E47CD1" w:rsidRPr="00804210" w14:paraId="7016B16D"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152C843B"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67D97BE9"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231" w:type="pct"/>
            <w:noWrap/>
            <w:hideMark/>
          </w:tcPr>
          <w:p w14:paraId="1D73877E"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15" w:type="pct"/>
            <w:noWrap/>
            <w:hideMark/>
          </w:tcPr>
          <w:p w14:paraId="7421AB30"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hideMark/>
          </w:tcPr>
          <w:p w14:paraId="4AB1360A"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39" w:type="pct"/>
            <w:noWrap/>
            <w:hideMark/>
          </w:tcPr>
          <w:p w14:paraId="0B73032A"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02" w:type="pct"/>
            <w:noWrap/>
            <w:hideMark/>
          </w:tcPr>
          <w:p w14:paraId="564D1A74"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hideMark/>
          </w:tcPr>
          <w:p w14:paraId="66FCB6D2"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322" w:type="pct"/>
            <w:noWrap/>
            <w:hideMark/>
          </w:tcPr>
          <w:p w14:paraId="07FE789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580" w:type="pct"/>
            <w:noWrap/>
            <w:hideMark/>
          </w:tcPr>
          <w:p w14:paraId="4865450C"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 xml:space="preserve">　</w:t>
            </w:r>
          </w:p>
        </w:tc>
      </w:tr>
      <w:tr w:rsidR="00E47CD1" w:rsidRPr="00804210" w14:paraId="70628394"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31A19B29"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Neurologic cancer</w:t>
            </w:r>
          </w:p>
        </w:tc>
        <w:tc>
          <w:tcPr>
            <w:tcW w:w="804" w:type="pct"/>
            <w:noWrap/>
            <w:hideMark/>
          </w:tcPr>
          <w:p w14:paraId="1FCA316A"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2AD667DB"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w:t>
            </w:r>
          </w:p>
        </w:tc>
        <w:tc>
          <w:tcPr>
            <w:tcW w:w="415" w:type="pct"/>
            <w:noWrap/>
            <w:hideMark/>
          </w:tcPr>
          <w:p w14:paraId="7E5B06CF"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052133A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65C667D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078AF12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78527900"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&gt;10</w:t>
            </w:r>
          </w:p>
        </w:tc>
        <w:tc>
          <w:tcPr>
            <w:tcW w:w="322" w:type="pct"/>
            <w:noWrap/>
            <w:hideMark/>
          </w:tcPr>
          <w:p w14:paraId="0EF8DD4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First </w:t>
            </w:r>
          </w:p>
        </w:tc>
        <w:tc>
          <w:tcPr>
            <w:tcW w:w="580" w:type="pct"/>
            <w:noWrap/>
            <w:hideMark/>
          </w:tcPr>
          <w:p w14:paraId="7C4EA6D0"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100</w:t>
            </w:r>
          </w:p>
        </w:tc>
      </w:tr>
      <w:tr w:rsidR="00E47CD1" w:rsidRPr="00804210" w14:paraId="1F0F93BB"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0E5EB516"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6255CB41"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10637AA5"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5</w:t>
            </w:r>
          </w:p>
        </w:tc>
        <w:tc>
          <w:tcPr>
            <w:tcW w:w="415" w:type="pct"/>
            <w:noWrap/>
            <w:hideMark/>
          </w:tcPr>
          <w:p w14:paraId="5364D35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5E0CDB24"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2E3FDDCE"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632CE6A0"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4C986A35"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14</w:t>
            </w:r>
          </w:p>
        </w:tc>
        <w:tc>
          <w:tcPr>
            <w:tcW w:w="322" w:type="pct"/>
            <w:noWrap/>
            <w:hideMark/>
          </w:tcPr>
          <w:p w14:paraId="0E2F442E"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465752C8"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100</w:t>
            </w:r>
          </w:p>
        </w:tc>
      </w:tr>
      <w:tr w:rsidR="00E47CD1" w:rsidRPr="00804210" w14:paraId="5B493162"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33A334F1"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1732CA62"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 Waldhorn, 2021</w:t>
            </w:r>
          </w:p>
        </w:tc>
        <w:tc>
          <w:tcPr>
            <w:tcW w:w="231" w:type="pct"/>
            <w:noWrap/>
            <w:hideMark/>
          </w:tcPr>
          <w:p w14:paraId="128ADA5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3</w:t>
            </w:r>
          </w:p>
        </w:tc>
        <w:tc>
          <w:tcPr>
            <w:tcW w:w="415" w:type="pct"/>
            <w:noWrap/>
            <w:hideMark/>
          </w:tcPr>
          <w:p w14:paraId="73E7BD35"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1C52868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24FFAEA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7FDC0CB0"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37DFBBD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180</w:t>
            </w:r>
          </w:p>
        </w:tc>
        <w:tc>
          <w:tcPr>
            <w:tcW w:w="322" w:type="pct"/>
            <w:noWrap/>
            <w:hideMark/>
          </w:tcPr>
          <w:p w14:paraId="1D360358"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3C2B1173"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66.67</w:t>
            </w:r>
          </w:p>
        </w:tc>
      </w:tr>
      <w:tr w:rsidR="00E47CD1" w:rsidRPr="00804210" w14:paraId="63A4BF37"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21F856D1"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4F275E13"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231" w:type="pct"/>
            <w:noWrap/>
            <w:hideMark/>
          </w:tcPr>
          <w:p w14:paraId="3450EA0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15" w:type="pct"/>
            <w:noWrap/>
            <w:hideMark/>
          </w:tcPr>
          <w:p w14:paraId="1F2FC4D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hideMark/>
          </w:tcPr>
          <w:p w14:paraId="069E8CC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39" w:type="pct"/>
            <w:noWrap/>
            <w:hideMark/>
          </w:tcPr>
          <w:p w14:paraId="0B8C4627"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02" w:type="pct"/>
            <w:noWrap/>
            <w:hideMark/>
          </w:tcPr>
          <w:p w14:paraId="1F6C0A0E"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hideMark/>
          </w:tcPr>
          <w:p w14:paraId="0ECA844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322" w:type="pct"/>
            <w:noWrap/>
            <w:hideMark/>
          </w:tcPr>
          <w:p w14:paraId="0A41F67C"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580" w:type="pct"/>
            <w:noWrap/>
            <w:hideMark/>
          </w:tcPr>
          <w:p w14:paraId="1F99A03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 xml:space="preserve">　</w:t>
            </w:r>
          </w:p>
        </w:tc>
      </w:tr>
      <w:tr w:rsidR="00E47CD1" w:rsidRPr="00804210" w14:paraId="0E6DD20D"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42487B45"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Pancreas cancer</w:t>
            </w:r>
          </w:p>
        </w:tc>
        <w:tc>
          <w:tcPr>
            <w:tcW w:w="804" w:type="pct"/>
            <w:noWrap/>
            <w:hideMark/>
          </w:tcPr>
          <w:p w14:paraId="71ADDB2F"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35BE811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4</w:t>
            </w:r>
          </w:p>
        </w:tc>
        <w:tc>
          <w:tcPr>
            <w:tcW w:w="415" w:type="pct"/>
            <w:noWrap/>
            <w:hideMark/>
          </w:tcPr>
          <w:p w14:paraId="686B92F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01F2FE3B"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620FDCBF"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159477E3"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7BC80A8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&gt;10</w:t>
            </w:r>
          </w:p>
        </w:tc>
        <w:tc>
          <w:tcPr>
            <w:tcW w:w="322" w:type="pct"/>
            <w:noWrap/>
            <w:hideMark/>
          </w:tcPr>
          <w:p w14:paraId="4449507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First </w:t>
            </w:r>
          </w:p>
        </w:tc>
        <w:tc>
          <w:tcPr>
            <w:tcW w:w="580" w:type="pct"/>
            <w:noWrap/>
            <w:hideMark/>
          </w:tcPr>
          <w:p w14:paraId="4BA184BB"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0</w:t>
            </w:r>
          </w:p>
        </w:tc>
      </w:tr>
      <w:tr w:rsidR="00E47CD1" w:rsidRPr="00804210" w14:paraId="72FFF593"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26200794"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35CF7DDA"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741BD9C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11</w:t>
            </w:r>
          </w:p>
        </w:tc>
        <w:tc>
          <w:tcPr>
            <w:tcW w:w="415" w:type="pct"/>
            <w:noWrap/>
            <w:hideMark/>
          </w:tcPr>
          <w:p w14:paraId="6B7F83D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15F26877"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0F9E531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47E6FD4A"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038FC87E"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14</w:t>
            </w:r>
          </w:p>
        </w:tc>
        <w:tc>
          <w:tcPr>
            <w:tcW w:w="322" w:type="pct"/>
            <w:noWrap/>
            <w:hideMark/>
          </w:tcPr>
          <w:p w14:paraId="3E0B3DA0"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5047F146"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81.81</w:t>
            </w:r>
          </w:p>
        </w:tc>
      </w:tr>
      <w:tr w:rsidR="00E47CD1" w:rsidRPr="00804210" w14:paraId="322DF6FB"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607CFEDD"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364A44DE"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231" w:type="pct"/>
            <w:noWrap/>
            <w:hideMark/>
          </w:tcPr>
          <w:p w14:paraId="5A40D7A8"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15" w:type="pct"/>
            <w:noWrap/>
            <w:hideMark/>
          </w:tcPr>
          <w:p w14:paraId="049E2E2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hideMark/>
          </w:tcPr>
          <w:p w14:paraId="435DA47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39" w:type="pct"/>
            <w:noWrap/>
            <w:hideMark/>
          </w:tcPr>
          <w:p w14:paraId="7A7B9E0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02" w:type="pct"/>
            <w:noWrap/>
            <w:hideMark/>
          </w:tcPr>
          <w:p w14:paraId="736A7E35"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hideMark/>
          </w:tcPr>
          <w:p w14:paraId="5778A745"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322" w:type="pct"/>
            <w:noWrap/>
            <w:hideMark/>
          </w:tcPr>
          <w:p w14:paraId="4AB5F12F"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580" w:type="pct"/>
            <w:noWrap/>
            <w:hideMark/>
          </w:tcPr>
          <w:p w14:paraId="40F2803A"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 xml:space="preserve">　</w:t>
            </w:r>
          </w:p>
        </w:tc>
      </w:tr>
      <w:tr w:rsidR="00E47CD1" w:rsidRPr="00804210" w14:paraId="303FB519"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2868C0B8"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Prostate cancer</w:t>
            </w:r>
          </w:p>
        </w:tc>
        <w:tc>
          <w:tcPr>
            <w:tcW w:w="804" w:type="pct"/>
            <w:noWrap/>
            <w:hideMark/>
          </w:tcPr>
          <w:p w14:paraId="55B61BE6"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46592437"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5</w:t>
            </w:r>
          </w:p>
        </w:tc>
        <w:tc>
          <w:tcPr>
            <w:tcW w:w="415" w:type="pct"/>
            <w:noWrap/>
            <w:hideMark/>
          </w:tcPr>
          <w:p w14:paraId="64CF2DC4"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7B1BA598"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6EACBFE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744B4C0C"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07B152B0"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&gt;10</w:t>
            </w:r>
          </w:p>
        </w:tc>
        <w:tc>
          <w:tcPr>
            <w:tcW w:w="322" w:type="pct"/>
            <w:noWrap/>
            <w:hideMark/>
          </w:tcPr>
          <w:p w14:paraId="38BDD3D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First </w:t>
            </w:r>
          </w:p>
        </w:tc>
        <w:tc>
          <w:tcPr>
            <w:tcW w:w="580" w:type="pct"/>
            <w:noWrap/>
            <w:hideMark/>
          </w:tcPr>
          <w:p w14:paraId="65740DB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80</w:t>
            </w:r>
          </w:p>
        </w:tc>
      </w:tr>
      <w:tr w:rsidR="00E47CD1" w:rsidRPr="00804210" w14:paraId="7AE92C0A"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171344B8"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59400901"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08A6541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15</w:t>
            </w:r>
          </w:p>
        </w:tc>
        <w:tc>
          <w:tcPr>
            <w:tcW w:w="415" w:type="pct"/>
            <w:noWrap/>
            <w:hideMark/>
          </w:tcPr>
          <w:p w14:paraId="6FF5B3D3"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400096F2"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71AB8DF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5D722494"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7EF238A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14</w:t>
            </w:r>
          </w:p>
        </w:tc>
        <w:tc>
          <w:tcPr>
            <w:tcW w:w="322" w:type="pct"/>
            <w:noWrap/>
            <w:hideMark/>
          </w:tcPr>
          <w:p w14:paraId="2D7528C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02AB264E"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93.33</w:t>
            </w:r>
          </w:p>
        </w:tc>
      </w:tr>
      <w:tr w:rsidR="00E47CD1" w:rsidRPr="00804210" w14:paraId="1355F6F0"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5E4B7431"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0FB5769D"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231" w:type="pct"/>
            <w:noWrap/>
            <w:hideMark/>
          </w:tcPr>
          <w:p w14:paraId="3F940D5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15" w:type="pct"/>
            <w:noWrap/>
            <w:hideMark/>
          </w:tcPr>
          <w:p w14:paraId="2DD0DE88"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hideMark/>
          </w:tcPr>
          <w:p w14:paraId="40F5E105"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39" w:type="pct"/>
            <w:noWrap/>
            <w:hideMark/>
          </w:tcPr>
          <w:p w14:paraId="33C65FF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02" w:type="pct"/>
            <w:noWrap/>
            <w:hideMark/>
          </w:tcPr>
          <w:p w14:paraId="5C5BACAA"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hideMark/>
          </w:tcPr>
          <w:p w14:paraId="43FBE93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322" w:type="pct"/>
            <w:noWrap/>
            <w:hideMark/>
          </w:tcPr>
          <w:p w14:paraId="322F0607"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580" w:type="pct"/>
            <w:noWrap/>
            <w:hideMark/>
          </w:tcPr>
          <w:p w14:paraId="5106F79C"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 xml:space="preserve">　</w:t>
            </w:r>
          </w:p>
        </w:tc>
      </w:tr>
      <w:tr w:rsidR="00E47CD1" w:rsidRPr="00804210" w14:paraId="1B9BF185"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63EF11CD"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Sarcoma cancer</w:t>
            </w:r>
          </w:p>
        </w:tc>
        <w:tc>
          <w:tcPr>
            <w:tcW w:w="804" w:type="pct"/>
            <w:noWrap/>
            <w:hideMark/>
          </w:tcPr>
          <w:p w14:paraId="658AE3A6"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1C4C5304"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2</w:t>
            </w:r>
          </w:p>
        </w:tc>
        <w:tc>
          <w:tcPr>
            <w:tcW w:w="415" w:type="pct"/>
            <w:noWrap/>
            <w:hideMark/>
          </w:tcPr>
          <w:p w14:paraId="37196FA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65DD6A8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7A4BB4F8"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456A93B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24B0C20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14</w:t>
            </w:r>
          </w:p>
        </w:tc>
        <w:tc>
          <w:tcPr>
            <w:tcW w:w="322" w:type="pct"/>
            <w:noWrap/>
            <w:hideMark/>
          </w:tcPr>
          <w:p w14:paraId="2C110A8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24CE5B94"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50</w:t>
            </w:r>
          </w:p>
        </w:tc>
      </w:tr>
      <w:tr w:rsidR="00E47CD1" w:rsidRPr="00804210" w14:paraId="3DF43CFC"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488D29FF"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6A90FBB1"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 Waldhorn, 2021</w:t>
            </w:r>
          </w:p>
        </w:tc>
        <w:tc>
          <w:tcPr>
            <w:tcW w:w="231" w:type="pct"/>
            <w:noWrap/>
            <w:hideMark/>
          </w:tcPr>
          <w:p w14:paraId="5714B042"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2</w:t>
            </w:r>
          </w:p>
        </w:tc>
        <w:tc>
          <w:tcPr>
            <w:tcW w:w="415" w:type="pct"/>
            <w:noWrap/>
            <w:hideMark/>
          </w:tcPr>
          <w:p w14:paraId="4FBAB096"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481557D0"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75D6A0EC"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45E8802F"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038A6E0F"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180</w:t>
            </w:r>
          </w:p>
        </w:tc>
        <w:tc>
          <w:tcPr>
            <w:tcW w:w="322" w:type="pct"/>
            <w:noWrap/>
            <w:hideMark/>
          </w:tcPr>
          <w:p w14:paraId="70ACE6E6"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3423014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100</w:t>
            </w:r>
          </w:p>
        </w:tc>
      </w:tr>
      <w:tr w:rsidR="00E47CD1" w:rsidRPr="00804210" w14:paraId="260FFF3C"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5DD45AA0"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36A5861D"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231" w:type="pct"/>
            <w:noWrap/>
            <w:hideMark/>
          </w:tcPr>
          <w:p w14:paraId="0716E626"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15" w:type="pct"/>
            <w:noWrap/>
            <w:hideMark/>
          </w:tcPr>
          <w:p w14:paraId="1487EA9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hideMark/>
          </w:tcPr>
          <w:p w14:paraId="3D3F71D5"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39" w:type="pct"/>
            <w:noWrap/>
            <w:hideMark/>
          </w:tcPr>
          <w:p w14:paraId="45FEBD17"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02" w:type="pct"/>
            <w:noWrap/>
            <w:hideMark/>
          </w:tcPr>
          <w:p w14:paraId="58A8E47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hideMark/>
          </w:tcPr>
          <w:p w14:paraId="62524DA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322" w:type="pct"/>
            <w:noWrap/>
            <w:hideMark/>
          </w:tcPr>
          <w:p w14:paraId="0A7ABD84"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580" w:type="pct"/>
            <w:noWrap/>
            <w:hideMark/>
          </w:tcPr>
          <w:p w14:paraId="21C5385D"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 xml:space="preserve">　</w:t>
            </w:r>
          </w:p>
        </w:tc>
      </w:tr>
      <w:tr w:rsidR="00E47CD1" w:rsidRPr="00804210" w14:paraId="503102D9"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4EBF6428"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Testis cancer</w:t>
            </w:r>
          </w:p>
        </w:tc>
        <w:tc>
          <w:tcPr>
            <w:tcW w:w="804" w:type="pct"/>
            <w:noWrap/>
            <w:hideMark/>
          </w:tcPr>
          <w:p w14:paraId="1F7237B0"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T. Goshen-Lago, 2021</w:t>
            </w:r>
          </w:p>
        </w:tc>
        <w:tc>
          <w:tcPr>
            <w:tcW w:w="231" w:type="pct"/>
            <w:noWrap/>
            <w:hideMark/>
          </w:tcPr>
          <w:p w14:paraId="7BCF16A7"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w:t>
            </w:r>
          </w:p>
        </w:tc>
        <w:tc>
          <w:tcPr>
            <w:tcW w:w="415" w:type="pct"/>
            <w:noWrap/>
            <w:hideMark/>
          </w:tcPr>
          <w:p w14:paraId="52A4FBF4"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1E62A01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48A3C9F9"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4E8843D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5C9EE4D8"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14</w:t>
            </w:r>
          </w:p>
        </w:tc>
        <w:tc>
          <w:tcPr>
            <w:tcW w:w="322" w:type="pct"/>
            <w:noWrap/>
            <w:hideMark/>
          </w:tcPr>
          <w:p w14:paraId="56BE2196"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571B5FA4"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100</w:t>
            </w:r>
          </w:p>
        </w:tc>
      </w:tr>
      <w:tr w:rsidR="00E47CD1" w:rsidRPr="00804210" w14:paraId="73C30454"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03472ABC"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5C3F10FD"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231" w:type="pct"/>
            <w:noWrap/>
            <w:hideMark/>
          </w:tcPr>
          <w:p w14:paraId="7A7B9792"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15" w:type="pct"/>
            <w:noWrap/>
            <w:hideMark/>
          </w:tcPr>
          <w:p w14:paraId="7272AED4"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hideMark/>
          </w:tcPr>
          <w:p w14:paraId="34A9DF58"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39" w:type="pct"/>
            <w:noWrap/>
            <w:hideMark/>
          </w:tcPr>
          <w:p w14:paraId="73EA1532"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402" w:type="pct"/>
            <w:noWrap/>
            <w:hideMark/>
          </w:tcPr>
          <w:p w14:paraId="763C2462"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hideMark/>
          </w:tcPr>
          <w:p w14:paraId="7C4CC24D"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322" w:type="pct"/>
            <w:noWrap/>
            <w:hideMark/>
          </w:tcPr>
          <w:p w14:paraId="27C70A2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 xml:space="preserve">　</w:t>
            </w:r>
          </w:p>
        </w:tc>
        <w:tc>
          <w:tcPr>
            <w:tcW w:w="580" w:type="pct"/>
            <w:noWrap/>
            <w:hideMark/>
          </w:tcPr>
          <w:p w14:paraId="19DDF9C0"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 xml:space="preserve">　</w:t>
            </w:r>
          </w:p>
        </w:tc>
      </w:tr>
      <w:tr w:rsidR="00E47CD1" w:rsidRPr="00804210" w14:paraId="7BC0B69D"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1B89F298"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lastRenderedPageBreak/>
              <w:t>Other cancer</w:t>
            </w:r>
          </w:p>
        </w:tc>
        <w:tc>
          <w:tcPr>
            <w:tcW w:w="804" w:type="pct"/>
            <w:noWrap/>
            <w:hideMark/>
          </w:tcPr>
          <w:p w14:paraId="162C703C"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H. Ligumsky, 2021</w:t>
            </w:r>
          </w:p>
        </w:tc>
        <w:tc>
          <w:tcPr>
            <w:tcW w:w="231" w:type="pct"/>
            <w:noWrap/>
            <w:hideMark/>
          </w:tcPr>
          <w:p w14:paraId="41DA7E6C"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45</w:t>
            </w:r>
          </w:p>
        </w:tc>
        <w:tc>
          <w:tcPr>
            <w:tcW w:w="415" w:type="pct"/>
            <w:noWrap/>
            <w:hideMark/>
          </w:tcPr>
          <w:p w14:paraId="7630B9CA"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4654824D"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3317B0FF"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2EEDE521"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777BE931"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56</w:t>
            </w:r>
          </w:p>
        </w:tc>
        <w:tc>
          <w:tcPr>
            <w:tcW w:w="322" w:type="pct"/>
            <w:noWrap/>
            <w:hideMark/>
          </w:tcPr>
          <w:p w14:paraId="67AE0492"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19F233FA"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84.44</w:t>
            </w:r>
          </w:p>
        </w:tc>
      </w:tr>
      <w:tr w:rsidR="00E47CD1" w:rsidRPr="00804210" w14:paraId="18953115"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083" w:type="pct"/>
            <w:noWrap/>
            <w:hideMark/>
          </w:tcPr>
          <w:p w14:paraId="2B2A991A" w14:textId="77777777" w:rsidR="00E47CD1" w:rsidRPr="00804210"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804" w:type="pct"/>
            <w:noWrap/>
            <w:hideMark/>
          </w:tcPr>
          <w:p w14:paraId="1C403BDC" w14:textId="77777777" w:rsidR="00E47CD1" w:rsidRPr="00804210"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 Waldhorn, 2021</w:t>
            </w:r>
          </w:p>
        </w:tc>
        <w:tc>
          <w:tcPr>
            <w:tcW w:w="231" w:type="pct"/>
            <w:noWrap/>
            <w:hideMark/>
          </w:tcPr>
          <w:p w14:paraId="67453059"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w:t>
            </w:r>
          </w:p>
        </w:tc>
        <w:tc>
          <w:tcPr>
            <w:tcW w:w="415" w:type="pct"/>
            <w:noWrap/>
            <w:hideMark/>
          </w:tcPr>
          <w:p w14:paraId="645CC6D5"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Israel</w:t>
            </w:r>
          </w:p>
        </w:tc>
        <w:tc>
          <w:tcPr>
            <w:tcW w:w="263" w:type="pct"/>
            <w:noWrap/>
            <w:hideMark/>
          </w:tcPr>
          <w:p w14:paraId="5644C6EC"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39" w:type="pct"/>
            <w:noWrap/>
            <w:hideMark/>
          </w:tcPr>
          <w:p w14:paraId="27903B01"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NR</w:t>
            </w:r>
          </w:p>
        </w:tc>
        <w:tc>
          <w:tcPr>
            <w:tcW w:w="402" w:type="pct"/>
            <w:noWrap/>
            <w:hideMark/>
          </w:tcPr>
          <w:p w14:paraId="63346516"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Pfizer</w:t>
            </w:r>
          </w:p>
        </w:tc>
        <w:tc>
          <w:tcPr>
            <w:tcW w:w="460" w:type="pct"/>
            <w:noWrap/>
            <w:hideMark/>
          </w:tcPr>
          <w:p w14:paraId="6C16E105"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180</w:t>
            </w:r>
          </w:p>
        </w:tc>
        <w:tc>
          <w:tcPr>
            <w:tcW w:w="322" w:type="pct"/>
            <w:noWrap/>
            <w:hideMark/>
          </w:tcPr>
          <w:p w14:paraId="44C36976"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04210">
              <w:rPr>
                <w:rFonts w:ascii="Times New Roman" w:eastAsia="Malgun Gothic" w:hAnsi="Times New Roman" w:cs="Times New Roman"/>
                <w:color w:val="000000"/>
                <w:kern w:val="0"/>
                <w:sz w:val="22"/>
              </w:rPr>
              <w:t>Second</w:t>
            </w:r>
          </w:p>
        </w:tc>
        <w:tc>
          <w:tcPr>
            <w:tcW w:w="580" w:type="pct"/>
            <w:noWrap/>
            <w:hideMark/>
          </w:tcPr>
          <w:p w14:paraId="17B1BC65" w14:textId="77777777" w:rsidR="00E47CD1" w:rsidRPr="00804210"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04210">
              <w:rPr>
                <w:rFonts w:ascii="Times New Roman" w:eastAsia="Malgun Gothic" w:hAnsi="Times New Roman" w:cs="Times New Roman"/>
                <w:b/>
                <w:bCs/>
                <w:color w:val="000000"/>
                <w:kern w:val="0"/>
                <w:sz w:val="22"/>
              </w:rPr>
              <w:t>100</w:t>
            </w:r>
          </w:p>
        </w:tc>
      </w:tr>
      <w:tr w:rsidR="00E47CD1" w:rsidRPr="00804210" w14:paraId="63DD8AE7"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083" w:type="pct"/>
            <w:noWrap/>
          </w:tcPr>
          <w:p w14:paraId="2E88A38F" w14:textId="77777777" w:rsidR="00E47CD1" w:rsidRPr="00804210" w:rsidRDefault="00E47CD1" w:rsidP="00EB22E5">
            <w:pPr>
              <w:widowControl/>
              <w:wordWrap/>
              <w:autoSpaceDE/>
              <w:autoSpaceDN/>
              <w:jc w:val="left"/>
              <w:rPr>
                <w:rFonts w:ascii="Times New Roman" w:eastAsia="Malgun Gothic" w:hAnsi="Times New Roman" w:cs="Times New Roman"/>
                <w:color w:val="000000"/>
                <w:kern w:val="0"/>
                <w:sz w:val="22"/>
              </w:rPr>
            </w:pPr>
          </w:p>
        </w:tc>
        <w:tc>
          <w:tcPr>
            <w:tcW w:w="804" w:type="pct"/>
            <w:noWrap/>
          </w:tcPr>
          <w:p w14:paraId="4AF76FE1" w14:textId="77777777" w:rsidR="00E47CD1" w:rsidRPr="00804210"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31" w:type="pct"/>
            <w:noWrap/>
          </w:tcPr>
          <w:p w14:paraId="118BD6CB"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415" w:type="pct"/>
            <w:noWrap/>
          </w:tcPr>
          <w:p w14:paraId="3CBBEB3C"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63" w:type="pct"/>
            <w:noWrap/>
          </w:tcPr>
          <w:p w14:paraId="103C2D33"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439" w:type="pct"/>
            <w:noWrap/>
          </w:tcPr>
          <w:p w14:paraId="6F9EAD2E"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402" w:type="pct"/>
            <w:noWrap/>
          </w:tcPr>
          <w:p w14:paraId="3566ABA2"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460" w:type="pct"/>
            <w:noWrap/>
          </w:tcPr>
          <w:p w14:paraId="3ED32B4F"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322" w:type="pct"/>
            <w:noWrap/>
          </w:tcPr>
          <w:p w14:paraId="46315E26"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580" w:type="pct"/>
            <w:noWrap/>
          </w:tcPr>
          <w:p w14:paraId="6EF5B995" w14:textId="77777777" w:rsidR="00E47CD1" w:rsidRPr="00804210"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p>
        </w:tc>
      </w:tr>
    </w:tbl>
    <w:p w14:paraId="4526B0D6" w14:textId="77777777" w:rsidR="00E47CD1" w:rsidRPr="00804210" w:rsidRDefault="00E47CD1" w:rsidP="00E47CD1">
      <w:pPr>
        <w:jc w:val="right"/>
        <w:rPr>
          <w:rFonts w:ascii="Times New Roman" w:hAnsi="Times New Roman" w:cs="Times New Roman"/>
        </w:rPr>
      </w:pPr>
    </w:p>
    <w:p w14:paraId="785AD150" w14:textId="77777777" w:rsidR="00E47CD1" w:rsidRDefault="00E47CD1" w:rsidP="00E47CD1">
      <w:pPr>
        <w:widowControl/>
        <w:wordWrap/>
        <w:autoSpaceDE/>
        <w:autoSpaceDN/>
        <w:rPr>
          <w:rFonts w:ascii="Times New Roman" w:hAnsi="Times New Roman" w:cs="Times New Roman"/>
        </w:rPr>
      </w:pPr>
    </w:p>
    <w:p w14:paraId="4F1CE685" w14:textId="77777777" w:rsidR="00E47CD1" w:rsidRDefault="00E47CD1" w:rsidP="00E47CD1">
      <w:pPr>
        <w:widowControl/>
        <w:wordWrap/>
        <w:autoSpaceDE/>
        <w:autoSpaceDN/>
        <w:rPr>
          <w:rFonts w:ascii="Times New Roman" w:hAnsi="Times New Roman" w:cs="Times New Roman"/>
        </w:rPr>
      </w:pPr>
    </w:p>
    <w:p w14:paraId="22C44AEB" w14:textId="77777777" w:rsidR="00E47CD1" w:rsidRDefault="00E47CD1" w:rsidP="00E47CD1">
      <w:pPr>
        <w:widowControl/>
        <w:wordWrap/>
        <w:autoSpaceDE/>
        <w:autoSpaceDN/>
        <w:rPr>
          <w:rFonts w:ascii="Times New Roman" w:hAnsi="Times New Roman" w:cs="Times New Roman"/>
        </w:rPr>
      </w:pPr>
    </w:p>
    <w:p w14:paraId="5F7AE19A" w14:textId="77777777" w:rsidR="00E47CD1" w:rsidRDefault="00E47CD1" w:rsidP="00E47CD1">
      <w:pPr>
        <w:widowControl/>
        <w:wordWrap/>
        <w:autoSpaceDE/>
        <w:autoSpaceDN/>
        <w:rPr>
          <w:rFonts w:ascii="Times New Roman" w:hAnsi="Times New Roman" w:cs="Times New Roman"/>
        </w:rPr>
      </w:pPr>
      <w:r>
        <w:rPr>
          <w:rFonts w:ascii="Times New Roman" w:hAnsi="Times New Roman" w:cs="Times New Roman"/>
        </w:rPr>
        <w:br w:type="page"/>
      </w:r>
    </w:p>
    <w:p w14:paraId="082DAEAF" w14:textId="77777777" w:rsidR="00E47CD1" w:rsidRDefault="00E47CD1" w:rsidP="00E47CD1">
      <w:pPr>
        <w:widowControl/>
        <w:wordWrap/>
        <w:autoSpaceDE/>
        <w:autoSpaceDN/>
        <w:rPr>
          <w:rFonts w:ascii="Times New Roman" w:hAnsi="Times New Roman" w:cs="Times New Roman"/>
        </w:rPr>
      </w:pPr>
      <w:r>
        <w:rPr>
          <w:rFonts w:ascii="Times New Roman" w:hAnsi="Times New Roman" w:cs="Times New Roman"/>
          <w:b/>
          <w:bCs/>
        </w:rPr>
        <w:lastRenderedPageBreak/>
        <w:t>Supplement</w:t>
      </w:r>
      <w:r w:rsidRPr="00804210">
        <w:rPr>
          <w:rFonts w:ascii="Times New Roman" w:hAnsi="Times New Roman" w:cs="Times New Roman"/>
          <w:b/>
          <w:bCs/>
        </w:rPr>
        <w:t xml:space="preserve"> </w:t>
      </w:r>
      <w:r>
        <w:rPr>
          <w:rFonts w:ascii="Times New Roman" w:hAnsi="Times New Roman" w:cs="Times New Roman" w:hint="eastAsia"/>
          <w:b/>
          <w:bCs/>
        </w:rPr>
        <w:t>4</w:t>
      </w:r>
      <w:r w:rsidRPr="00804210">
        <w:rPr>
          <w:rFonts w:ascii="Times New Roman" w:hAnsi="Times New Roman" w:cs="Times New Roman"/>
          <w:b/>
          <w:bCs/>
        </w:rPr>
        <w:t xml:space="preserve">. SARS-CoV-2 seropositivity among hematological malignancy patients </w:t>
      </w:r>
      <w:r w:rsidRPr="00804210">
        <w:rPr>
          <w:rFonts w:ascii="Times New Roman" w:hAnsi="Times New Roman" w:cs="Times New Roman"/>
        </w:rPr>
        <w:t>(NHL, Non-Hodgkin lymphoma; B-NHL, B-cell Non-Hodgkin lymphoma)</w:t>
      </w:r>
    </w:p>
    <w:tbl>
      <w:tblPr>
        <w:tblStyle w:val="GridTable2-Accent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97"/>
        <w:gridCol w:w="1498"/>
        <w:gridCol w:w="629"/>
        <w:gridCol w:w="1134"/>
        <w:gridCol w:w="1559"/>
        <w:gridCol w:w="1276"/>
        <w:gridCol w:w="1559"/>
        <w:gridCol w:w="1417"/>
        <w:gridCol w:w="1276"/>
        <w:gridCol w:w="1643"/>
      </w:tblGrid>
      <w:tr w:rsidR="00E47CD1" w:rsidRPr="00D8134D" w14:paraId="581ECBCA" w14:textId="77777777" w:rsidTr="00EB22E5">
        <w:trPr>
          <w:cnfStyle w:val="100000000000" w:firstRow="1" w:lastRow="0" w:firstColumn="0" w:lastColumn="0" w:oddVBand="0" w:evenVBand="0" w:oddHBand="0" w:evenHBand="0" w:firstRowFirstColumn="0" w:firstRowLastColumn="0" w:lastRowFirstColumn="0" w:lastRowLastColumn="0"/>
          <w:trHeight w:val="1056"/>
        </w:trPr>
        <w:tc>
          <w:tcPr>
            <w:cnfStyle w:val="001000000000" w:firstRow="0" w:lastRow="0" w:firstColumn="1" w:lastColumn="0" w:oddVBand="0" w:evenVBand="0" w:oddHBand="0" w:evenHBand="0" w:firstRowFirstColumn="0" w:firstRowLastColumn="0" w:lastRowFirstColumn="0" w:lastRowLastColumn="0"/>
            <w:tcW w:w="3397" w:type="dxa"/>
            <w:noWrap/>
            <w:hideMark/>
          </w:tcPr>
          <w:p w14:paraId="5B932BF7"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Population</w:t>
            </w:r>
          </w:p>
        </w:tc>
        <w:tc>
          <w:tcPr>
            <w:tcW w:w="1498" w:type="dxa"/>
            <w:noWrap/>
            <w:hideMark/>
          </w:tcPr>
          <w:p w14:paraId="380A8C01" w14:textId="77777777" w:rsidR="00E47CD1" w:rsidRPr="00D8134D"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Author, year</w:t>
            </w:r>
          </w:p>
        </w:tc>
        <w:tc>
          <w:tcPr>
            <w:tcW w:w="629" w:type="dxa"/>
            <w:noWrap/>
            <w:hideMark/>
          </w:tcPr>
          <w:p w14:paraId="07A9E413" w14:textId="77777777" w:rsidR="00E47CD1" w:rsidRPr="00D8134D"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w:t>
            </w:r>
          </w:p>
        </w:tc>
        <w:tc>
          <w:tcPr>
            <w:tcW w:w="1134" w:type="dxa"/>
            <w:noWrap/>
            <w:hideMark/>
          </w:tcPr>
          <w:p w14:paraId="1B9F5AFC" w14:textId="77777777" w:rsidR="00E47CD1" w:rsidRPr="00D8134D"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Country</w:t>
            </w:r>
          </w:p>
        </w:tc>
        <w:tc>
          <w:tcPr>
            <w:tcW w:w="1559" w:type="dxa"/>
            <w:noWrap/>
            <w:hideMark/>
          </w:tcPr>
          <w:p w14:paraId="4B724439" w14:textId="77777777" w:rsidR="00E47CD1" w:rsidRPr="00D8134D"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Age</w:t>
            </w:r>
          </w:p>
        </w:tc>
        <w:tc>
          <w:tcPr>
            <w:tcW w:w="1276" w:type="dxa"/>
            <w:hideMark/>
          </w:tcPr>
          <w:p w14:paraId="79B00DE7" w14:textId="77777777" w:rsidR="00E47CD1" w:rsidRPr="00D8134D"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Sex </w:t>
            </w:r>
            <w:r w:rsidRPr="00D8134D">
              <w:rPr>
                <w:rFonts w:ascii="Times New Roman" w:eastAsia="Malgun Gothic" w:hAnsi="Times New Roman" w:cs="Times New Roman"/>
                <w:color w:val="000000"/>
                <w:kern w:val="0"/>
                <w:sz w:val="22"/>
              </w:rPr>
              <w:br/>
              <w:t>(female %)</w:t>
            </w:r>
          </w:p>
        </w:tc>
        <w:tc>
          <w:tcPr>
            <w:tcW w:w="1559" w:type="dxa"/>
            <w:noWrap/>
            <w:hideMark/>
          </w:tcPr>
          <w:p w14:paraId="721256E5" w14:textId="77777777" w:rsidR="00E47CD1" w:rsidRPr="00D8134D"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Vaccine</w:t>
            </w:r>
          </w:p>
        </w:tc>
        <w:tc>
          <w:tcPr>
            <w:tcW w:w="1417" w:type="dxa"/>
            <w:noWrap/>
            <w:hideMark/>
          </w:tcPr>
          <w:p w14:paraId="449C7252" w14:textId="77777777" w:rsidR="00E47CD1" w:rsidRPr="00D8134D"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Test Date (day)</w:t>
            </w:r>
          </w:p>
        </w:tc>
        <w:tc>
          <w:tcPr>
            <w:tcW w:w="1276" w:type="dxa"/>
            <w:noWrap/>
            <w:hideMark/>
          </w:tcPr>
          <w:p w14:paraId="40DA999E" w14:textId="77777777" w:rsidR="00E47CD1" w:rsidRPr="00D8134D"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Dose</w:t>
            </w:r>
          </w:p>
        </w:tc>
        <w:tc>
          <w:tcPr>
            <w:tcW w:w="1643" w:type="dxa"/>
            <w:hideMark/>
          </w:tcPr>
          <w:p w14:paraId="1D441678" w14:textId="77777777" w:rsidR="00E47CD1" w:rsidRPr="00D8134D"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Seropositivity </w:t>
            </w:r>
            <w:r w:rsidRPr="00D8134D">
              <w:rPr>
                <w:rFonts w:ascii="Times New Roman" w:eastAsia="Malgun Gothic" w:hAnsi="Times New Roman" w:cs="Times New Roman"/>
                <w:color w:val="000000"/>
                <w:kern w:val="0"/>
                <w:sz w:val="22"/>
              </w:rPr>
              <w:br/>
              <w:t>(%)</w:t>
            </w:r>
          </w:p>
        </w:tc>
      </w:tr>
      <w:tr w:rsidR="00E47CD1" w:rsidRPr="00D8134D" w14:paraId="554FC908"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307CE830"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Aggressive NHL</w:t>
            </w:r>
          </w:p>
        </w:tc>
        <w:tc>
          <w:tcPr>
            <w:tcW w:w="1498" w:type="dxa"/>
            <w:noWrap/>
            <w:hideMark/>
          </w:tcPr>
          <w:p w14:paraId="42E4512E" w14:textId="77777777" w:rsidR="00E47CD1" w:rsidRPr="00D8134D"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C.Perry, 2021</w:t>
            </w:r>
          </w:p>
        </w:tc>
        <w:tc>
          <w:tcPr>
            <w:tcW w:w="629" w:type="dxa"/>
            <w:noWrap/>
            <w:hideMark/>
          </w:tcPr>
          <w:p w14:paraId="4C0B2016"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69</w:t>
            </w:r>
          </w:p>
        </w:tc>
        <w:tc>
          <w:tcPr>
            <w:tcW w:w="1134" w:type="dxa"/>
            <w:noWrap/>
            <w:hideMark/>
          </w:tcPr>
          <w:p w14:paraId="61DAC5AE"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Israel</w:t>
            </w:r>
          </w:p>
        </w:tc>
        <w:tc>
          <w:tcPr>
            <w:tcW w:w="1559" w:type="dxa"/>
            <w:noWrap/>
            <w:hideMark/>
          </w:tcPr>
          <w:p w14:paraId="20DE8E50"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276" w:type="dxa"/>
            <w:noWrap/>
            <w:hideMark/>
          </w:tcPr>
          <w:p w14:paraId="15064E55"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559" w:type="dxa"/>
            <w:noWrap/>
            <w:hideMark/>
          </w:tcPr>
          <w:p w14:paraId="2DF7E05B"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Pfizer</w:t>
            </w:r>
          </w:p>
        </w:tc>
        <w:tc>
          <w:tcPr>
            <w:tcW w:w="1417" w:type="dxa"/>
            <w:noWrap/>
            <w:hideMark/>
          </w:tcPr>
          <w:p w14:paraId="1966D5DB"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14-21</w:t>
            </w:r>
          </w:p>
        </w:tc>
        <w:tc>
          <w:tcPr>
            <w:tcW w:w="1276" w:type="dxa"/>
            <w:noWrap/>
            <w:hideMark/>
          </w:tcPr>
          <w:p w14:paraId="19270163"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Second</w:t>
            </w:r>
          </w:p>
        </w:tc>
        <w:tc>
          <w:tcPr>
            <w:tcW w:w="1643" w:type="dxa"/>
            <w:noWrap/>
            <w:hideMark/>
          </w:tcPr>
          <w:p w14:paraId="086CE9BE"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49.3</w:t>
            </w:r>
          </w:p>
        </w:tc>
      </w:tr>
      <w:tr w:rsidR="00E47CD1" w:rsidRPr="00D8134D" w14:paraId="70AB8CFE"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70E01BC8"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498" w:type="dxa"/>
            <w:noWrap/>
            <w:hideMark/>
          </w:tcPr>
          <w:p w14:paraId="6096CCBA" w14:textId="77777777" w:rsidR="00E47CD1" w:rsidRPr="00D8134D"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K. Herzog Tzarfati, 2021</w:t>
            </w:r>
          </w:p>
        </w:tc>
        <w:tc>
          <w:tcPr>
            <w:tcW w:w="629" w:type="dxa"/>
            <w:noWrap/>
            <w:hideMark/>
          </w:tcPr>
          <w:p w14:paraId="1438EC31"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51</w:t>
            </w:r>
          </w:p>
        </w:tc>
        <w:tc>
          <w:tcPr>
            <w:tcW w:w="1134" w:type="dxa"/>
            <w:noWrap/>
            <w:hideMark/>
          </w:tcPr>
          <w:p w14:paraId="66C9C780"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Israel</w:t>
            </w:r>
          </w:p>
        </w:tc>
        <w:tc>
          <w:tcPr>
            <w:tcW w:w="1559" w:type="dxa"/>
            <w:noWrap/>
            <w:hideMark/>
          </w:tcPr>
          <w:p w14:paraId="65F76013"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276" w:type="dxa"/>
            <w:noWrap/>
            <w:hideMark/>
          </w:tcPr>
          <w:p w14:paraId="5E2DAC4A"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559" w:type="dxa"/>
            <w:noWrap/>
            <w:hideMark/>
          </w:tcPr>
          <w:p w14:paraId="19378899"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Pfizer</w:t>
            </w:r>
          </w:p>
        </w:tc>
        <w:tc>
          <w:tcPr>
            <w:tcW w:w="1417" w:type="dxa"/>
            <w:noWrap/>
            <w:hideMark/>
          </w:tcPr>
          <w:p w14:paraId="028016C6"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30</w:t>
            </w:r>
          </w:p>
        </w:tc>
        <w:tc>
          <w:tcPr>
            <w:tcW w:w="1276" w:type="dxa"/>
            <w:noWrap/>
            <w:hideMark/>
          </w:tcPr>
          <w:p w14:paraId="06F65E75"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Second</w:t>
            </w:r>
          </w:p>
        </w:tc>
        <w:tc>
          <w:tcPr>
            <w:tcW w:w="1643" w:type="dxa"/>
            <w:noWrap/>
            <w:hideMark/>
          </w:tcPr>
          <w:p w14:paraId="34926EA5"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71</w:t>
            </w:r>
          </w:p>
        </w:tc>
      </w:tr>
      <w:tr w:rsidR="00E47CD1" w:rsidRPr="00D8134D" w14:paraId="0B9746A2"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004CCDCC" w14:textId="77777777" w:rsidR="00E47CD1" w:rsidRPr="00D8134D" w:rsidRDefault="00E47CD1" w:rsidP="00EB22E5">
            <w:pPr>
              <w:widowControl/>
              <w:wordWrap/>
              <w:autoSpaceDE/>
              <w:autoSpaceDN/>
              <w:jc w:val="center"/>
              <w:rPr>
                <w:rFonts w:ascii="Times New Roman" w:eastAsia="Malgun Gothic" w:hAnsi="Times New Roman" w:cs="Times New Roman"/>
                <w:b w:val="0"/>
                <w:bCs w:val="0"/>
                <w:color w:val="000000"/>
                <w:kern w:val="0"/>
                <w:sz w:val="22"/>
              </w:rPr>
            </w:pPr>
            <w:r w:rsidRPr="00D8134D">
              <w:rPr>
                <w:rFonts w:ascii="Times New Roman" w:eastAsia="Malgun Gothic" w:hAnsi="Times New Roman" w:cs="Times New Roman"/>
                <w:b w:val="0"/>
                <w:bCs w:val="0"/>
                <w:color w:val="000000"/>
                <w:kern w:val="0"/>
                <w:sz w:val="22"/>
              </w:rPr>
              <w:t>anti-CD20 Abs treated</w:t>
            </w:r>
          </w:p>
        </w:tc>
        <w:tc>
          <w:tcPr>
            <w:tcW w:w="1498" w:type="dxa"/>
            <w:noWrap/>
            <w:hideMark/>
          </w:tcPr>
          <w:p w14:paraId="1D7FBAFE" w14:textId="77777777" w:rsidR="00E47CD1" w:rsidRPr="00D8134D"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C.Perry, 2021</w:t>
            </w:r>
          </w:p>
        </w:tc>
        <w:tc>
          <w:tcPr>
            <w:tcW w:w="629" w:type="dxa"/>
            <w:noWrap/>
            <w:hideMark/>
          </w:tcPr>
          <w:p w14:paraId="4835585F"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66</w:t>
            </w:r>
          </w:p>
        </w:tc>
        <w:tc>
          <w:tcPr>
            <w:tcW w:w="1134" w:type="dxa"/>
            <w:noWrap/>
            <w:hideMark/>
          </w:tcPr>
          <w:p w14:paraId="418C2248"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Israel</w:t>
            </w:r>
          </w:p>
        </w:tc>
        <w:tc>
          <w:tcPr>
            <w:tcW w:w="1559" w:type="dxa"/>
            <w:noWrap/>
            <w:hideMark/>
          </w:tcPr>
          <w:p w14:paraId="380C01F8"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276" w:type="dxa"/>
            <w:noWrap/>
            <w:hideMark/>
          </w:tcPr>
          <w:p w14:paraId="3FB44A74"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559" w:type="dxa"/>
            <w:noWrap/>
            <w:hideMark/>
          </w:tcPr>
          <w:p w14:paraId="0299294C"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Pfizer</w:t>
            </w:r>
          </w:p>
        </w:tc>
        <w:tc>
          <w:tcPr>
            <w:tcW w:w="1417" w:type="dxa"/>
            <w:noWrap/>
            <w:hideMark/>
          </w:tcPr>
          <w:p w14:paraId="48D20454"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14-21</w:t>
            </w:r>
          </w:p>
        </w:tc>
        <w:tc>
          <w:tcPr>
            <w:tcW w:w="1276" w:type="dxa"/>
            <w:noWrap/>
            <w:hideMark/>
          </w:tcPr>
          <w:p w14:paraId="3BFCDB71"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Second</w:t>
            </w:r>
          </w:p>
        </w:tc>
        <w:tc>
          <w:tcPr>
            <w:tcW w:w="1643" w:type="dxa"/>
            <w:noWrap/>
            <w:hideMark/>
          </w:tcPr>
          <w:p w14:paraId="6E7B4F1F"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47</w:t>
            </w:r>
          </w:p>
        </w:tc>
      </w:tr>
      <w:tr w:rsidR="00E47CD1" w:rsidRPr="00D8134D" w14:paraId="7EDA6643"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457D7DC2"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498" w:type="dxa"/>
            <w:noWrap/>
            <w:hideMark/>
          </w:tcPr>
          <w:p w14:paraId="7A4E4B32" w14:textId="77777777" w:rsidR="00E47CD1" w:rsidRPr="00D8134D"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629" w:type="dxa"/>
            <w:noWrap/>
            <w:hideMark/>
          </w:tcPr>
          <w:p w14:paraId="28A7C78F"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134" w:type="dxa"/>
            <w:noWrap/>
            <w:hideMark/>
          </w:tcPr>
          <w:p w14:paraId="479F7F4F"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559" w:type="dxa"/>
            <w:noWrap/>
            <w:hideMark/>
          </w:tcPr>
          <w:p w14:paraId="4CE3C2AE"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58B063E7"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559" w:type="dxa"/>
            <w:noWrap/>
            <w:hideMark/>
          </w:tcPr>
          <w:p w14:paraId="01F574D5"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417" w:type="dxa"/>
            <w:noWrap/>
            <w:hideMark/>
          </w:tcPr>
          <w:p w14:paraId="408FAFAC"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63533E57"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643" w:type="dxa"/>
            <w:noWrap/>
            <w:hideMark/>
          </w:tcPr>
          <w:p w14:paraId="0B8B6CD2"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 xml:space="preserve">　</w:t>
            </w:r>
          </w:p>
        </w:tc>
      </w:tr>
      <w:tr w:rsidR="00E47CD1" w:rsidRPr="00D8134D" w14:paraId="28F35D4A"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1B921E77"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Indolent NHL</w:t>
            </w:r>
          </w:p>
        </w:tc>
        <w:tc>
          <w:tcPr>
            <w:tcW w:w="1498" w:type="dxa"/>
            <w:noWrap/>
            <w:hideMark/>
          </w:tcPr>
          <w:p w14:paraId="4FA7741A" w14:textId="77777777" w:rsidR="00E47CD1" w:rsidRPr="00D8134D"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C.Perry, 2021</w:t>
            </w:r>
          </w:p>
        </w:tc>
        <w:tc>
          <w:tcPr>
            <w:tcW w:w="629" w:type="dxa"/>
            <w:noWrap/>
            <w:hideMark/>
          </w:tcPr>
          <w:p w14:paraId="661DDE1D"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80</w:t>
            </w:r>
          </w:p>
        </w:tc>
        <w:tc>
          <w:tcPr>
            <w:tcW w:w="1134" w:type="dxa"/>
            <w:noWrap/>
            <w:hideMark/>
          </w:tcPr>
          <w:p w14:paraId="22DEE21E"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Israel</w:t>
            </w:r>
          </w:p>
        </w:tc>
        <w:tc>
          <w:tcPr>
            <w:tcW w:w="1559" w:type="dxa"/>
            <w:noWrap/>
            <w:hideMark/>
          </w:tcPr>
          <w:p w14:paraId="5B955BBC"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276" w:type="dxa"/>
            <w:noWrap/>
            <w:hideMark/>
          </w:tcPr>
          <w:p w14:paraId="0BED160A"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559" w:type="dxa"/>
            <w:noWrap/>
            <w:hideMark/>
          </w:tcPr>
          <w:p w14:paraId="21732FD6"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Pfizer</w:t>
            </w:r>
          </w:p>
        </w:tc>
        <w:tc>
          <w:tcPr>
            <w:tcW w:w="1417" w:type="dxa"/>
            <w:noWrap/>
            <w:hideMark/>
          </w:tcPr>
          <w:p w14:paraId="5AFEF30A"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14-21</w:t>
            </w:r>
          </w:p>
        </w:tc>
        <w:tc>
          <w:tcPr>
            <w:tcW w:w="1276" w:type="dxa"/>
            <w:noWrap/>
            <w:hideMark/>
          </w:tcPr>
          <w:p w14:paraId="01BEBFB9"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Second</w:t>
            </w:r>
          </w:p>
        </w:tc>
        <w:tc>
          <w:tcPr>
            <w:tcW w:w="1643" w:type="dxa"/>
            <w:noWrap/>
            <w:hideMark/>
          </w:tcPr>
          <w:p w14:paraId="0DCDBDB4"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48.1</w:t>
            </w:r>
          </w:p>
        </w:tc>
      </w:tr>
      <w:tr w:rsidR="00E47CD1" w:rsidRPr="00D8134D" w14:paraId="1CC1C8CC"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1B4EA186"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498" w:type="dxa"/>
            <w:noWrap/>
            <w:hideMark/>
          </w:tcPr>
          <w:p w14:paraId="329749A7" w14:textId="77777777" w:rsidR="00E47CD1" w:rsidRPr="00D8134D"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K. Herzog Tzarfati, 2021</w:t>
            </w:r>
          </w:p>
        </w:tc>
        <w:tc>
          <w:tcPr>
            <w:tcW w:w="629" w:type="dxa"/>
            <w:noWrap/>
            <w:hideMark/>
          </w:tcPr>
          <w:p w14:paraId="70F15971"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40</w:t>
            </w:r>
          </w:p>
        </w:tc>
        <w:tc>
          <w:tcPr>
            <w:tcW w:w="1134" w:type="dxa"/>
            <w:noWrap/>
            <w:hideMark/>
          </w:tcPr>
          <w:p w14:paraId="760132B8"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Israel</w:t>
            </w:r>
          </w:p>
        </w:tc>
        <w:tc>
          <w:tcPr>
            <w:tcW w:w="1559" w:type="dxa"/>
            <w:noWrap/>
            <w:hideMark/>
          </w:tcPr>
          <w:p w14:paraId="2703A1A0"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276" w:type="dxa"/>
            <w:noWrap/>
            <w:hideMark/>
          </w:tcPr>
          <w:p w14:paraId="515C3670"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559" w:type="dxa"/>
            <w:noWrap/>
            <w:hideMark/>
          </w:tcPr>
          <w:p w14:paraId="59A1532F"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Pfizer</w:t>
            </w:r>
          </w:p>
        </w:tc>
        <w:tc>
          <w:tcPr>
            <w:tcW w:w="1417" w:type="dxa"/>
            <w:noWrap/>
            <w:hideMark/>
          </w:tcPr>
          <w:p w14:paraId="1D010C84"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30</w:t>
            </w:r>
          </w:p>
        </w:tc>
        <w:tc>
          <w:tcPr>
            <w:tcW w:w="1276" w:type="dxa"/>
            <w:noWrap/>
            <w:hideMark/>
          </w:tcPr>
          <w:p w14:paraId="4C49E0A5"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Second</w:t>
            </w:r>
          </w:p>
        </w:tc>
        <w:tc>
          <w:tcPr>
            <w:tcW w:w="1643" w:type="dxa"/>
            <w:noWrap/>
            <w:hideMark/>
          </w:tcPr>
          <w:p w14:paraId="493BF8BA"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60</w:t>
            </w:r>
          </w:p>
        </w:tc>
      </w:tr>
      <w:tr w:rsidR="00E47CD1" w:rsidRPr="00D8134D" w14:paraId="266C0B0B"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5140E9B0" w14:textId="77777777" w:rsidR="00E47CD1" w:rsidRPr="00D8134D" w:rsidRDefault="00E47CD1" w:rsidP="00EB22E5">
            <w:pPr>
              <w:widowControl/>
              <w:wordWrap/>
              <w:autoSpaceDE/>
              <w:autoSpaceDN/>
              <w:jc w:val="center"/>
              <w:rPr>
                <w:rFonts w:ascii="Times New Roman" w:eastAsia="Malgun Gothic" w:hAnsi="Times New Roman" w:cs="Times New Roman"/>
                <w:b w:val="0"/>
                <w:bCs w:val="0"/>
                <w:color w:val="000000"/>
                <w:kern w:val="0"/>
                <w:sz w:val="22"/>
              </w:rPr>
            </w:pPr>
            <w:r w:rsidRPr="00D8134D">
              <w:rPr>
                <w:rFonts w:ascii="Times New Roman" w:eastAsia="Malgun Gothic" w:hAnsi="Times New Roman" w:cs="Times New Roman"/>
                <w:b w:val="0"/>
                <w:bCs w:val="0"/>
                <w:color w:val="000000"/>
                <w:kern w:val="0"/>
                <w:sz w:val="22"/>
              </w:rPr>
              <w:t>anti-CD20 Abs treated</w:t>
            </w:r>
          </w:p>
        </w:tc>
        <w:tc>
          <w:tcPr>
            <w:tcW w:w="1498" w:type="dxa"/>
            <w:noWrap/>
            <w:hideMark/>
          </w:tcPr>
          <w:p w14:paraId="4251EBE4" w14:textId="77777777" w:rsidR="00E47CD1" w:rsidRPr="00D8134D"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C.Perry, 2021</w:t>
            </w:r>
          </w:p>
        </w:tc>
        <w:tc>
          <w:tcPr>
            <w:tcW w:w="629" w:type="dxa"/>
            <w:noWrap/>
            <w:hideMark/>
          </w:tcPr>
          <w:p w14:paraId="5BD35355"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55</w:t>
            </w:r>
          </w:p>
        </w:tc>
        <w:tc>
          <w:tcPr>
            <w:tcW w:w="1134" w:type="dxa"/>
            <w:noWrap/>
            <w:hideMark/>
          </w:tcPr>
          <w:p w14:paraId="5530C4FC"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Israel</w:t>
            </w:r>
          </w:p>
        </w:tc>
        <w:tc>
          <w:tcPr>
            <w:tcW w:w="1559" w:type="dxa"/>
            <w:noWrap/>
            <w:hideMark/>
          </w:tcPr>
          <w:p w14:paraId="4B01E0F8"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276" w:type="dxa"/>
            <w:noWrap/>
            <w:hideMark/>
          </w:tcPr>
          <w:p w14:paraId="222079BD"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559" w:type="dxa"/>
            <w:noWrap/>
            <w:hideMark/>
          </w:tcPr>
          <w:p w14:paraId="52EB13DD"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Pfizer</w:t>
            </w:r>
          </w:p>
        </w:tc>
        <w:tc>
          <w:tcPr>
            <w:tcW w:w="1417" w:type="dxa"/>
            <w:noWrap/>
            <w:hideMark/>
          </w:tcPr>
          <w:p w14:paraId="1F65D4B6"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14-21</w:t>
            </w:r>
          </w:p>
        </w:tc>
        <w:tc>
          <w:tcPr>
            <w:tcW w:w="1276" w:type="dxa"/>
            <w:noWrap/>
            <w:hideMark/>
          </w:tcPr>
          <w:p w14:paraId="209E1246"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Second</w:t>
            </w:r>
          </w:p>
        </w:tc>
        <w:tc>
          <w:tcPr>
            <w:tcW w:w="1643" w:type="dxa"/>
            <w:noWrap/>
            <w:hideMark/>
          </w:tcPr>
          <w:p w14:paraId="6B2FDE32"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30.9</w:t>
            </w:r>
          </w:p>
        </w:tc>
      </w:tr>
      <w:tr w:rsidR="00E47CD1" w:rsidRPr="00D8134D" w14:paraId="761E5E5B"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19F0679C"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498" w:type="dxa"/>
            <w:noWrap/>
            <w:hideMark/>
          </w:tcPr>
          <w:p w14:paraId="36C39182" w14:textId="77777777" w:rsidR="00E47CD1" w:rsidRPr="00D8134D"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629" w:type="dxa"/>
            <w:noWrap/>
            <w:hideMark/>
          </w:tcPr>
          <w:p w14:paraId="07B1E6CC"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134" w:type="dxa"/>
            <w:noWrap/>
            <w:hideMark/>
          </w:tcPr>
          <w:p w14:paraId="4EEFC6EC"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559" w:type="dxa"/>
            <w:noWrap/>
            <w:hideMark/>
          </w:tcPr>
          <w:p w14:paraId="5FAF2905"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5DC58420"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559" w:type="dxa"/>
            <w:noWrap/>
            <w:hideMark/>
          </w:tcPr>
          <w:p w14:paraId="7D6A9B42"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417" w:type="dxa"/>
            <w:noWrap/>
            <w:hideMark/>
          </w:tcPr>
          <w:p w14:paraId="7DD338CC"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2B36D3D6"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643" w:type="dxa"/>
            <w:noWrap/>
            <w:hideMark/>
          </w:tcPr>
          <w:p w14:paraId="7169779B"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 xml:space="preserve">　</w:t>
            </w:r>
          </w:p>
        </w:tc>
      </w:tr>
      <w:tr w:rsidR="00E47CD1" w:rsidRPr="00D8134D" w14:paraId="35C31038"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0616BC61"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Hodgkin lymphoma</w:t>
            </w:r>
          </w:p>
        </w:tc>
        <w:tc>
          <w:tcPr>
            <w:tcW w:w="1498" w:type="dxa"/>
            <w:noWrap/>
            <w:hideMark/>
          </w:tcPr>
          <w:p w14:paraId="31457755" w14:textId="77777777" w:rsidR="00E47CD1" w:rsidRPr="00D8134D"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K. Herzog Tzarfati, 2021</w:t>
            </w:r>
          </w:p>
        </w:tc>
        <w:tc>
          <w:tcPr>
            <w:tcW w:w="629" w:type="dxa"/>
            <w:noWrap/>
            <w:hideMark/>
          </w:tcPr>
          <w:p w14:paraId="50FFC428"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16</w:t>
            </w:r>
          </w:p>
        </w:tc>
        <w:tc>
          <w:tcPr>
            <w:tcW w:w="1134" w:type="dxa"/>
            <w:noWrap/>
            <w:hideMark/>
          </w:tcPr>
          <w:p w14:paraId="7F1508EC"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Israel</w:t>
            </w:r>
          </w:p>
        </w:tc>
        <w:tc>
          <w:tcPr>
            <w:tcW w:w="1559" w:type="dxa"/>
            <w:noWrap/>
            <w:hideMark/>
          </w:tcPr>
          <w:p w14:paraId="65043021"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276" w:type="dxa"/>
            <w:noWrap/>
            <w:hideMark/>
          </w:tcPr>
          <w:p w14:paraId="6CB75F7E"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559" w:type="dxa"/>
            <w:noWrap/>
            <w:hideMark/>
          </w:tcPr>
          <w:p w14:paraId="51D74821"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Pfizer</w:t>
            </w:r>
          </w:p>
        </w:tc>
        <w:tc>
          <w:tcPr>
            <w:tcW w:w="1417" w:type="dxa"/>
            <w:noWrap/>
            <w:hideMark/>
          </w:tcPr>
          <w:p w14:paraId="4AF6EE6F"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30</w:t>
            </w:r>
          </w:p>
        </w:tc>
        <w:tc>
          <w:tcPr>
            <w:tcW w:w="1276" w:type="dxa"/>
            <w:noWrap/>
            <w:hideMark/>
          </w:tcPr>
          <w:p w14:paraId="7E25E6FF"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Second</w:t>
            </w:r>
          </w:p>
        </w:tc>
        <w:tc>
          <w:tcPr>
            <w:tcW w:w="1643" w:type="dxa"/>
            <w:noWrap/>
            <w:hideMark/>
          </w:tcPr>
          <w:p w14:paraId="0F1BBA34"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94</w:t>
            </w:r>
          </w:p>
        </w:tc>
      </w:tr>
      <w:tr w:rsidR="00E47CD1" w:rsidRPr="00D8134D" w14:paraId="297E284E"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1751F815"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498" w:type="dxa"/>
            <w:noWrap/>
            <w:hideMark/>
          </w:tcPr>
          <w:p w14:paraId="3EA6F8E6" w14:textId="77777777" w:rsidR="00E47CD1" w:rsidRPr="00D8134D"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629" w:type="dxa"/>
            <w:noWrap/>
            <w:hideMark/>
          </w:tcPr>
          <w:p w14:paraId="26A75D08"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134" w:type="dxa"/>
            <w:noWrap/>
            <w:hideMark/>
          </w:tcPr>
          <w:p w14:paraId="7DA8CEB3"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559" w:type="dxa"/>
            <w:noWrap/>
            <w:hideMark/>
          </w:tcPr>
          <w:p w14:paraId="500E9E37"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5BD8811D"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559" w:type="dxa"/>
            <w:noWrap/>
            <w:hideMark/>
          </w:tcPr>
          <w:p w14:paraId="1BDE2D46"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417" w:type="dxa"/>
            <w:noWrap/>
            <w:hideMark/>
          </w:tcPr>
          <w:p w14:paraId="357B93F2"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60E7899F"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643" w:type="dxa"/>
            <w:noWrap/>
            <w:hideMark/>
          </w:tcPr>
          <w:p w14:paraId="2D978961"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 xml:space="preserve">　</w:t>
            </w:r>
          </w:p>
        </w:tc>
      </w:tr>
      <w:tr w:rsidR="00E47CD1" w:rsidRPr="00D8134D" w14:paraId="68FBDE78"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67DCF88C"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Multiple myeloma</w:t>
            </w:r>
          </w:p>
        </w:tc>
        <w:tc>
          <w:tcPr>
            <w:tcW w:w="1498" w:type="dxa"/>
            <w:noWrap/>
            <w:hideMark/>
          </w:tcPr>
          <w:p w14:paraId="23380640" w14:textId="77777777" w:rsidR="00E47CD1" w:rsidRPr="00D8134D"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K. Herzog Tzarfati, 2021</w:t>
            </w:r>
          </w:p>
        </w:tc>
        <w:tc>
          <w:tcPr>
            <w:tcW w:w="629" w:type="dxa"/>
            <w:noWrap/>
            <w:hideMark/>
          </w:tcPr>
          <w:p w14:paraId="3754949A"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53</w:t>
            </w:r>
          </w:p>
        </w:tc>
        <w:tc>
          <w:tcPr>
            <w:tcW w:w="1134" w:type="dxa"/>
            <w:noWrap/>
            <w:hideMark/>
          </w:tcPr>
          <w:p w14:paraId="42D59922"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Israel</w:t>
            </w:r>
          </w:p>
        </w:tc>
        <w:tc>
          <w:tcPr>
            <w:tcW w:w="1559" w:type="dxa"/>
            <w:noWrap/>
            <w:hideMark/>
          </w:tcPr>
          <w:p w14:paraId="1760883E"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276" w:type="dxa"/>
            <w:noWrap/>
            <w:hideMark/>
          </w:tcPr>
          <w:p w14:paraId="6D5772A9"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559" w:type="dxa"/>
            <w:noWrap/>
            <w:hideMark/>
          </w:tcPr>
          <w:p w14:paraId="4ED6A9D1"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Pfizer</w:t>
            </w:r>
          </w:p>
        </w:tc>
        <w:tc>
          <w:tcPr>
            <w:tcW w:w="1417" w:type="dxa"/>
            <w:noWrap/>
            <w:hideMark/>
          </w:tcPr>
          <w:p w14:paraId="1C3D8A79"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30</w:t>
            </w:r>
          </w:p>
        </w:tc>
        <w:tc>
          <w:tcPr>
            <w:tcW w:w="1276" w:type="dxa"/>
            <w:noWrap/>
            <w:hideMark/>
          </w:tcPr>
          <w:p w14:paraId="7FF60BBC"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Second</w:t>
            </w:r>
          </w:p>
        </w:tc>
        <w:tc>
          <w:tcPr>
            <w:tcW w:w="1643" w:type="dxa"/>
            <w:noWrap/>
            <w:hideMark/>
          </w:tcPr>
          <w:p w14:paraId="1D2D2BF4"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76</w:t>
            </w:r>
          </w:p>
        </w:tc>
      </w:tr>
      <w:tr w:rsidR="00E47CD1" w:rsidRPr="00D8134D" w14:paraId="7BD38F2B"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21928F97"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498" w:type="dxa"/>
            <w:noWrap/>
            <w:hideMark/>
          </w:tcPr>
          <w:p w14:paraId="0E9B6036" w14:textId="77777777" w:rsidR="00E47CD1" w:rsidRPr="00D8134D"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629" w:type="dxa"/>
            <w:noWrap/>
            <w:hideMark/>
          </w:tcPr>
          <w:p w14:paraId="79C6AE9D"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134" w:type="dxa"/>
            <w:noWrap/>
            <w:hideMark/>
          </w:tcPr>
          <w:p w14:paraId="5625A350"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559" w:type="dxa"/>
            <w:noWrap/>
            <w:hideMark/>
          </w:tcPr>
          <w:p w14:paraId="7CF70BA6"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2C86EC79"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559" w:type="dxa"/>
            <w:noWrap/>
            <w:hideMark/>
          </w:tcPr>
          <w:p w14:paraId="4F2A9986"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417" w:type="dxa"/>
            <w:noWrap/>
            <w:hideMark/>
          </w:tcPr>
          <w:p w14:paraId="30509308"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1E255C38"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643" w:type="dxa"/>
            <w:noWrap/>
            <w:hideMark/>
          </w:tcPr>
          <w:p w14:paraId="1A4FA0AB"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 xml:space="preserve">　</w:t>
            </w:r>
          </w:p>
        </w:tc>
      </w:tr>
      <w:tr w:rsidR="00E47CD1" w:rsidRPr="00D8134D" w14:paraId="5F6C63E4"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7E2856A9"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CLL</w:t>
            </w:r>
          </w:p>
        </w:tc>
        <w:tc>
          <w:tcPr>
            <w:tcW w:w="1498" w:type="dxa"/>
            <w:noWrap/>
            <w:hideMark/>
          </w:tcPr>
          <w:p w14:paraId="6C917CEA" w14:textId="77777777" w:rsidR="00E47CD1" w:rsidRPr="00D8134D"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K. Herzog Tzarfati, 2021</w:t>
            </w:r>
          </w:p>
        </w:tc>
        <w:tc>
          <w:tcPr>
            <w:tcW w:w="629" w:type="dxa"/>
            <w:noWrap/>
            <w:hideMark/>
          </w:tcPr>
          <w:p w14:paraId="24721006"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34</w:t>
            </w:r>
          </w:p>
        </w:tc>
        <w:tc>
          <w:tcPr>
            <w:tcW w:w="1134" w:type="dxa"/>
            <w:noWrap/>
            <w:hideMark/>
          </w:tcPr>
          <w:p w14:paraId="46DD8920"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Israel</w:t>
            </w:r>
          </w:p>
        </w:tc>
        <w:tc>
          <w:tcPr>
            <w:tcW w:w="1559" w:type="dxa"/>
            <w:noWrap/>
            <w:hideMark/>
          </w:tcPr>
          <w:p w14:paraId="3BE26D63"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276" w:type="dxa"/>
            <w:noWrap/>
            <w:hideMark/>
          </w:tcPr>
          <w:p w14:paraId="788B43DB"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559" w:type="dxa"/>
            <w:noWrap/>
            <w:hideMark/>
          </w:tcPr>
          <w:p w14:paraId="11B7210C"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Pfizer</w:t>
            </w:r>
          </w:p>
        </w:tc>
        <w:tc>
          <w:tcPr>
            <w:tcW w:w="1417" w:type="dxa"/>
            <w:noWrap/>
            <w:hideMark/>
          </w:tcPr>
          <w:p w14:paraId="397B7FD5"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30</w:t>
            </w:r>
          </w:p>
        </w:tc>
        <w:tc>
          <w:tcPr>
            <w:tcW w:w="1276" w:type="dxa"/>
            <w:noWrap/>
            <w:hideMark/>
          </w:tcPr>
          <w:p w14:paraId="51E3EA3D"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Second</w:t>
            </w:r>
          </w:p>
        </w:tc>
        <w:tc>
          <w:tcPr>
            <w:tcW w:w="1643" w:type="dxa"/>
            <w:noWrap/>
            <w:hideMark/>
          </w:tcPr>
          <w:p w14:paraId="2F9E1A86"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47</w:t>
            </w:r>
          </w:p>
        </w:tc>
      </w:tr>
      <w:tr w:rsidR="00E47CD1" w:rsidRPr="00D8134D" w14:paraId="7CB2E0D9"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5C40FA2B"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498" w:type="dxa"/>
            <w:noWrap/>
            <w:hideMark/>
          </w:tcPr>
          <w:p w14:paraId="43CA2361" w14:textId="77777777" w:rsidR="00E47CD1" w:rsidRPr="00D8134D"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629" w:type="dxa"/>
            <w:noWrap/>
            <w:hideMark/>
          </w:tcPr>
          <w:p w14:paraId="3CBC1F53"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134" w:type="dxa"/>
            <w:noWrap/>
            <w:hideMark/>
          </w:tcPr>
          <w:p w14:paraId="180A79E3"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559" w:type="dxa"/>
            <w:noWrap/>
            <w:hideMark/>
          </w:tcPr>
          <w:p w14:paraId="64F2BEEC"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4F934C2F"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559" w:type="dxa"/>
            <w:noWrap/>
            <w:hideMark/>
          </w:tcPr>
          <w:p w14:paraId="60DE88DB"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417" w:type="dxa"/>
            <w:noWrap/>
            <w:hideMark/>
          </w:tcPr>
          <w:p w14:paraId="543514F8"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13725F04"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643" w:type="dxa"/>
            <w:noWrap/>
            <w:hideMark/>
          </w:tcPr>
          <w:p w14:paraId="25B3C5AA"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 xml:space="preserve">　</w:t>
            </w:r>
          </w:p>
        </w:tc>
      </w:tr>
      <w:tr w:rsidR="00E47CD1" w:rsidRPr="00D8134D" w14:paraId="71A5ACB4"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7568D9B8"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Acute leukemia</w:t>
            </w:r>
          </w:p>
        </w:tc>
        <w:tc>
          <w:tcPr>
            <w:tcW w:w="1498" w:type="dxa"/>
            <w:noWrap/>
            <w:hideMark/>
          </w:tcPr>
          <w:p w14:paraId="52754F78" w14:textId="77777777" w:rsidR="00E47CD1" w:rsidRPr="00D8134D"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K. Herzog Tzarfati, 2021</w:t>
            </w:r>
          </w:p>
        </w:tc>
        <w:tc>
          <w:tcPr>
            <w:tcW w:w="629" w:type="dxa"/>
            <w:noWrap/>
            <w:hideMark/>
          </w:tcPr>
          <w:p w14:paraId="79769086"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15</w:t>
            </w:r>
          </w:p>
        </w:tc>
        <w:tc>
          <w:tcPr>
            <w:tcW w:w="1134" w:type="dxa"/>
            <w:noWrap/>
            <w:hideMark/>
          </w:tcPr>
          <w:p w14:paraId="54934E07"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Israel</w:t>
            </w:r>
          </w:p>
        </w:tc>
        <w:tc>
          <w:tcPr>
            <w:tcW w:w="1559" w:type="dxa"/>
            <w:noWrap/>
            <w:hideMark/>
          </w:tcPr>
          <w:p w14:paraId="32254B5E"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276" w:type="dxa"/>
            <w:noWrap/>
            <w:hideMark/>
          </w:tcPr>
          <w:p w14:paraId="5BC93368"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559" w:type="dxa"/>
            <w:noWrap/>
            <w:hideMark/>
          </w:tcPr>
          <w:p w14:paraId="50C609F3"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Pfizer</w:t>
            </w:r>
          </w:p>
        </w:tc>
        <w:tc>
          <w:tcPr>
            <w:tcW w:w="1417" w:type="dxa"/>
            <w:noWrap/>
            <w:hideMark/>
          </w:tcPr>
          <w:p w14:paraId="5878A211"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30</w:t>
            </w:r>
          </w:p>
        </w:tc>
        <w:tc>
          <w:tcPr>
            <w:tcW w:w="1276" w:type="dxa"/>
            <w:noWrap/>
            <w:hideMark/>
          </w:tcPr>
          <w:p w14:paraId="26EE4A82"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Second</w:t>
            </w:r>
          </w:p>
        </w:tc>
        <w:tc>
          <w:tcPr>
            <w:tcW w:w="1643" w:type="dxa"/>
            <w:noWrap/>
            <w:hideMark/>
          </w:tcPr>
          <w:p w14:paraId="1EAD1906"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80</w:t>
            </w:r>
          </w:p>
        </w:tc>
      </w:tr>
      <w:tr w:rsidR="00E47CD1" w:rsidRPr="00D8134D" w14:paraId="5E4EAD7D"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7BDF7810"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498" w:type="dxa"/>
            <w:noWrap/>
            <w:hideMark/>
          </w:tcPr>
          <w:p w14:paraId="470DF59F" w14:textId="77777777" w:rsidR="00E47CD1" w:rsidRPr="00D8134D"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629" w:type="dxa"/>
            <w:noWrap/>
            <w:hideMark/>
          </w:tcPr>
          <w:p w14:paraId="7D94BFAE"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134" w:type="dxa"/>
            <w:noWrap/>
            <w:hideMark/>
          </w:tcPr>
          <w:p w14:paraId="4E8A7E21"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559" w:type="dxa"/>
            <w:noWrap/>
            <w:hideMark/>
          </w:tcPr>
          <w:p w14:paraId="3215A503"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03682296"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559" w:type="dxa"/>
            <w:noWrap/>
            <w:hideMark/>
          </w:tcPr>
          <w:p w14:paraId="4D037456"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417" w:type="dxa"/>
            <w:noWrap/>
            <w:hideMark/>
          </w:tcPr>
          <w:p w14:paraId="1892E8A7"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56F4073D"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643" w:type="dxa"/>
            <w:noWrap/>
            <w:hideMark/>
          </w:tcPr>
          <w:p w14:paraId="6AC68E51"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 xml:space="preserve">　</w:t>
            </w:r>
          </w:p>
        </w:tc>
      </w:tr>
      <w:tr w:rsidR="00E47CD1" w:rsidRPr="00D8134D" w14:paraId="198AA87A"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0B627C30"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MDS</w:t>
            </w:r>
          </w:p>
        </w:tc>
        <w:tc>
          <w:tcPr>
            <w:tcW w:w="1498" w:type="dxa"/>
            <w:noWrap/>
            <w:hideMark/>
          </w:tcPr>
          <w:p w14:paraId="5C4306DE" w14:textId="77777777" w:rsidR="00E47CD1" w:rsidRPr="00D8134D"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K. Herzog Tzarfati, 2021</w:t>
            </w:r>
          </w:p>
        </w:tc>
        <w:tc>
          <w:tcPr>
            <w:tcW w:w="629" w:type="dxa"/>
            <w:noWrap/>
            <w:hideMark/>
          </w:tcPr>
          <w:p w14:paraId="126B4CCA"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16</w:t>
            </w:r>
          </w:p>
        </w:tc>
        <w:tc>
          <w:tcPr>
            <w:tcW w:w="1134" w:type="dxa"/>
            <w:noWrap/>
            <w:hideMark/>
          </w:tcPr>
          <w:p w14:paraId="396DA891"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Israel</w:t>
            </w:r>
          </w:p>
        </w:tc>
        <w:tc>
          <w:tcPr>
            <w:tcW w:w="1559" w:type="dxa"/>
            <w:noWrap/>
            <w:hideMark/>
          </w:tcPr>
          <w:p w14:paraId="3EE88B95"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276" w:type="dxa"/>
            <w:noWrap/>
            <w:hideMark/>
          </w:tcPr>
          <w:p w14:paraId="7A3FA2D9"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559" w:type="dxa"/>
            <w:noWrap/>
            <w:hideMark/>
          </w:tcPr>
          <w:p w14:paraId="76576939"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Pfizer</w:t>
            </w:r>
          </w:p>
        </w:tc>
        <w:tc>
          <w:tcPr>
            <w:tcW w:w="1417" w:type="dxa"/>
            <w:noWrap/>
            <w:hideMark/>
          </w:tcPr>
          <w:p w14:paraId="126C9C6E"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30</w:t>
            </w:r>
          </w:p>
        </w:tc>
        <w:tc>
          <w:tcPr>
            <w:tcW w:w="1276" w:type="dxa"/>
            <w:noWrap/>
            <w:hideMark/>
          </w:tcPr>
          <w:p w14:paraId="6BB9F104"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Second</w:t>
            </w:r>
          </w:p>
        </w:tc>
        <w:tc>
          <w:tcPr>
            <w:tcW w:w="1643" w:type="dxa"/>
            <w:noWrap/>
            <w:hideMark/>
          </w:tcPr>
          <w:p w14:paraId="5760041D"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94</w:t>
            </w:r>
          </w:p>
        </w:tc>
      </w:tr>
      <w:tr w:rsidR="00E47CD1" w:rsidRPr="00D8134D" w14:paraId="48370CD0"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776DFEEC"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498" w:type="dxa"/>
            <w:noWrap/>
            <w:hideMark/>
          </w:tcPr>
          <w:p w14:paraId="51D9A330" w14:textId="77777777" w:rsidR="00E47CD1" w:rsidRPr="00D8134D"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629" w:type="dxa"/>
            <w:noWrap/>
            <w:hideMark/>
          </w:tcPr>
          <w:p w14:paraId="2556413B"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134" w:type="dxa"/>
            <w:noWrap/>
            <w:hideMark/>
          </w:tcPr>
          <w:p w14:paraId="79113146"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559" w:type="dxa"/>
            <w:noWrap/>
            <w:hideMark/>
          </w:tcPr>
          <w:p w14:paraId="239C3727"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3AFC9C39"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559" w:type="dxa"/>
            <w:noWrap/>
            <w:hideMark/>
          </w:tcPr>
          <w:p w14:paraId="0802145F"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417" w:type="dxa"/>
            <w:noWrap/>
            <w:hideMark/>
          </w:tcPr>
          <w:p w14:paraId="52D435EF"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3225FF38"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643" w:type="dxa"/>
            <w:noWrap/>
            <w:hideMark/>
          </w:tcPr>
          <w:p w14:paraId="76BCE8AC"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 xml:space="preserve">　</w:t>
            </w:r>
          </w:p>
        </w:tc>
      </w:tr>
      <w:tr w:rsidR="00E47CD1" w:rsidRPr="00D8134D" w14:paraId="2B8BE357"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02F36AFF"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MPN</w:t>
            </w:r>
          </w:p>
        </w:tc>
        <w:tc>
          <w:tcPr>
            <w:tcW w:w="1498" w:type="dxa"/>
            <w:noWrap/>
            <w:hideMark/>
          </w:tcPr>
          <w:p w14:paraId="4F5C6D89" w14:textId="77777777" w:rsidR="00E47CD1" w:rsidRPr="00D8134D"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K. Herzog Tzarfati, 2021</w:t>
            </w:r>
          </w:p>
        </w:tc>
        <w:tc>
          <w:tcPr>
            <w:tcW w:w="629" w:type="dxa"/>
            <w:noWrap/>
            <w:hideMark/>
          </w:tcPr>
          <w:p w14:paraId="27E303C1"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68</w:t>
            </w:r>
          </w:p>
        </w:tc>
        <w:tc>
          <w:tcPr>
            <w:tcW w:w="1134" w:type="dxa"/>
            <w:noWrap/>
            <w:hideMark/>
          </w:tcPr>
          <w:p w14:paraId="4B13CB92"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Israel</w:t>
            </w:r>
          </w:p>
        </w:tc>
        <w:tc>
          <w:tcPr>
            <w:tcW w:w="1559" w:type="dxa"/>
            <w:noWrap/>
            <w:hideMark/>
          </w:tcPr>
          <w:p w14:paraId="51756C51"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276" w:type="dxa"/>
            <w:noWrap/>
            <w:hideMark/>
          </w:tcPr>
          <w:p w14:paraId="20C935D2"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559" w:type="dxa"/>
            <w:noWrap/>
            <w:hideMark/>
          </w:tcPr>
          <w:p w14:paraId="62227D52"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Pfizer</w:t>
            </w:r>
          </w:p>
        </w:tc>
        <w:tc>
          <w:tcPr>
            <w:tcW w:w="1417" w:type="dxa"/>
            <w:noWrap/>
            <w:hideMark/>
          </w:tcPr>
          <w:p w14:paraId="602EB04B"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30</w:t>
            </w:r>
          </w:p>
        </w:tc>
        <w:tc>
          <w:tcPr>
            <w:tcW w:w="1276" w:type="dxa"/>
            <w:noWrap/>
            <w:hideMark/>
          </w:tcPr>
          <w:p w14:paraId="7A2E1099"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Second</w:t>
            </w:r>
          </w:p>
        </w:tc>
        <w:tc>
          <w:tcPr>
            <w:tcW w:w="1643" w:type="dxa"/>
            <w:noWrap/>
            <w:hideMark/>
          </w:tcPr>
          <w:p w14:paraId="543FB83D"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84</w:t>
            </w:r>
          </w:p>
        </w:tc>
      </w:tr>
      <w:tr w:rsidR="00E47CD1" w:rsidRPr="00D8134D" w14:paraId="4C41CBD3"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309D38A7"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498" w:type="dxa"/>
            <w:noWrap/>
            <w:hideMark/>
          </w:tcPr>
          <w:p w14:paraId="1A93336A" w14:textId="77777777" w:rsidR="00E47CD1" w:rsidRPr="00D8134D"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629" w:type="dxa"/>
            <w:noWrap/>
            <w:hideMark/>
          </w:tcPr>
          <w:p w14:paraId="1C282DB2"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134" w:type="dxa"/>
            <w:noWrap/>
            <w:hideMark/>
          </w:tcPr>
          <w:p w14:paraId="4C6DC461"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559" w:type="dxa"/>
            <w:noWrap/>
            <w:hideMark/>
          </w:tcPr>
          <w:p w14:paraId="2A13985A"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4CC889BD"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559" w:type="dxa"/>
            <w:noWrap/>
            <w:hideMark/>
          </w:tcPr>
          <w:p w14:paraId="4458F7B8"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417" w:type="dxa"/>
            <w:noWrap/>
            <w:hideMark/>
          </w:tcPr>
          <w:p w14:paraId="24242271"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1949FF4D"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643" w:type="dxa"/>
            <w:noWrap/>
            <w:hideMark/>
          </w:tcPr>
          <w:p w14:paraId="46D3F3EE"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 xml:space="preserve">　</w:t>
            </w:r>
          </w:p>
        </w:tc>
      </w:tr>
      <w:tr w:rsidR="00E47CD1" w:rsidRPr="00D8134D" w14:paraId="315E3184"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133539BE"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CML</w:t>
            </w:r>
          </w:p>
        </w:tc>
        <w:tc>
          <w:tcPr>
            <w:tcW w:w="1498" w:type="dxa"/>
            <w:noWrap/>
            <w:hideMark/>
          </w:tcPr>
          <w:p w14:paraId="7BF4EA90" w14:textId="77777777" w:rsidR="00E47CD1" w:rsidRPr="00D8134D"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K. Herzog Tzarfati, 2021</w:t>
            </w:r>
          </w:p>
        </w:tc>
        <w:tc>
          <w:tcPr>
            <w:tcW w:w="629" w:type="dxa"/>
            <w:noWrap/>
            <w:hideMark/>
          </w:tcPr>
          <w:p w14:paraId="7DD78D85"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22</w:t>
            </w:r>
          </w:p>
        </w:tc>
        <w:tc>
          <w:tcPr>
            <w:tcW w:w="1134" w:type="dxa"/>
            <w:noWrap/>
            <w:hideMark/>
          </w:tcPr>
          <w:p w14:paraId="515D2738"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Israel</w:t>
            </w:r>
          </w:p>
        </w:tc>
        <w:tc>
          <w:tcPr>
            <w:tcW w:w="1559" w:type="dxa"/>
            <w:noWrap/>
            <w:hideMark/>
          </w:tcPr>
          <w:p w14:paraId="7DB66B94"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276" w:type="dxa"/>
            <w:noWrap/>
            <w:hideMark/>
          </w:tcPr>
          <w:p w14:paraId="5A49FD9B"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559" w:type="dxa"/>
            <w:noWrap/>
            <w:hideMark/>
          </w:tcPr>
          <w:p w14:paraId="6393126D"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Pfizer</w:t>
            </w:r>
          </w:p>
        </w:tc>
        <w:tc>
          <w:tcPr>
            <w:tcW w:w="1417" w:type="dxa"/>
            <w:noWrap/>
            <w:hideMark/>
          </w:tcPr>
          <w:p w14:paraId="1C36C7C0"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30</w:t>
            </w:r>
          </w:p>
        </w:tc>
        <w:tc>
          <w:tcPr>
            <w:tcW w:w="1276" w:type="dxa"/>
            <w:noWrap/>
            <w:hideMark/>
          </w:tcPr>
          <w:p w14:paraId="7C99D6A8"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Second</w:t>
            </w:r>
          </w:p>
        </w:tc>
        <w:tc>
          <w:tcPr>
            <w:tcW w:w="1643" w:type="dxa"/>
            <w:noWrap/>
            <w:hideMark/>
          </w:tcPr>
          <w:p w14:paraId="34CCD6EE"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9</w:t>
            </w:r>
            <w:r w:rsidRPr="00896AE8">
              <w:rPr>
                <w:rFonts w:ascii="Times New Roman" w:eastAsia="Malgun Gothic" w:hAnsi="Times New Roman" w:cs="Times New Roman" w:hint="eastAsia"/>
                <w:b/>
                <w:bCs/>
                <w:color w:val="000000"/>
                <w:kern w:val="0"/>
                <w:sz w:val="22"/>
              </w:rPr>
              <w:t>1</w:t>
            </w:r>
          </w:p>
        </w:tc>
      </w:tr>
      <w:tr w:rsidR="00E47CD1" w:rsidRPr="00D8134D" w14:paraId="428C2869"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059E729E"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498" w:type="dxa"/>
            <w:noWrap/>
            <w:hideMark/>
          </w:tcPr>
          <w:p w14:paraId="2A9FCCD3" w14:textId="77777777" w:rsidR="00E47CD1" w:rsidRPr="00D8134D"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629" w:type="dxa"/>
            <w:noWrap/>
            <w:hideMark/>
          </w:tcPr>
          <w:p w14:paraId="4F8181AF"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134" w:type="dxa"/>
            <w:noWrap/>
            <w:hideMark/>
          </w:tcPr>
          <w:p w14:paraId="3658F7E8"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559" w:type="dxa"/>
            <w:noWrap/>
            <w:hideMark/>
          </w:tcPr>
          <w:p w14:paraId="0E2B5740"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2FBEEF2B"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559" w:type="dxa"/>
            <w:noWrap/>
            <w:hideMark/>
          </w:tcPr>
          <w:p w14:paraId="4AEA11F2"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1417" w:type="dxa"/>
            <w:noWrap/>
            <w:hideMark/>
          </w:tcPr>
          <w:p w14:paraId="10BF5C24"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276" w:type="dxa"/>
            <w:noWrap/>
            <w:hideMark/>
          </w:tcPr>
          <w:p w14:paraId="183E81C9"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 xml:space="preserve">　</w:t>
            </w:r>
          </w:p>
        </w:tc>
        <w:tc>
          <w:tcPr>
            <w:tcW w:w="1643" w:type="dxa"/>
            <w:noWrap/>
            <w:hideMark/>
          </w:tcPr>
          <w:p w14:paraId="3105B20B" w14:textId="77777777" w:rsidR="00E47CD1" w:rsidRPr="00D8134D" w:rsidRDefault="00E47CD1" w:rsidP="00EB22E5">
            <w:pPr>
              <w:widowControl/>
              <w:wordWrap/>
              <w:autoSpaceDE/>
              <w:autoSpaceDN/>
              <w:ind w:right="110"/>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 xml:space="preserve">　</w:t>
            </w:r>
          </w:p>
        </w:tc>
      </w:tr>
      <w:tr w:rsidR="00E47CD1" w:rsidRPr="00D8134D" w14:paraId="38949841"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15F72AE0"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Total</w:t>
            </w:r>
          </w:p>
        </w:tc>
        <w:tc>
          <w:tcPr>
            <w:tcW w:w="1498" w:type="dxa"/>
            <w:noWrap/>
            <w:hideMark/>
          </w:tcPr>
          <w:p w14:paraId="463487FA" w14:textId="77777777" w:rsidR="00E47CD1" w:rsidRPr="00D8134D"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T. A. Fox, 2021</w:t>
            </w:r>
          </w:p>
        </w:tc>
        <w:tc>
          <w:tcPr>
            <w:tcW w:w="629" w:type="dxa"/>
            <w:noWrap/>
            <w:hideMark/>
          </w:tcPr>
          <w:p w14:paraId="685148ED"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41</w:t>
            </w:r>
          </w:p>
        </w:tc>
        <w:tc>
          <w:tcPr>
            <w:tcW w:w="1134" w:type="dxa"/>
            <w:noWrap/>
            <w:hideMark/>
          </w:tcPr>
          <w:p w14:paraId="11679467"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UK</w:t>
            </w:r>
          </w:p>
        </w:tc>
        <w:tc>
          <w:tcPr>
            <w:tcW w:w="1559" w:type="dxa"/>
            <w:noWrap/>
            <w:hideMark/>
          </w:tcPr>
          <w:p w14:paraId="4DB4E0E6"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276" w:type="dxa"/>
            <w:noWrap/>
            <w:hideMark/>
          </w:tcPr>
          <w:p w14:paraId="2F24BB36"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559" w:type="dxa"/>
            <w:noWrap/>
            <w:hideMark/>
          </w:tcPr>
          <w:p w14:paraId="2F2ED06C"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Pfizer</w:t>
            </w:r>
          </w:p>
        </w:tc>
        <w:tc>
          <w:tcPr>
            <w:tcW w:w="1417" w:type="dxa"/>
            <w:noWrap/>
            <w:hideMark/>
          </w:tcPr>
          <w:p w14:paraId="31FE95DA"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30</w:t>
            </w:r>
          </w:p>
        </w:tc>
        <w:tc>
          <w:tcPr>
            <w:tcW w:w="1276" w:type="dxa"/>
            <w:noWrap/>
            <w:hideMark/>
          </w:tcPr>
          <w:p w14:paraId="0EC7A523"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First</w:t>
            </w:r>
          </w:p>
        </w:tc>
        <w:tc>
          <w:tcPr>
            <w:tcW w:w="1643" w:type="dxa"/>
            <w:noWrap/>
            <w:hideMark/>
          </w:tcPr>
          <w:p w14:paraId="1C16FA7F"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36.58</w:t>
            </w:r>
          </w:p>
        </w:tc>
      </w:tr>
      <w:tr w:rsidR="00E47CD1" w:rsidRPr="00D8134D" w14:paraId="60F326FC"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37A1BF58"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498" w:type="dxa"/>
            <w:noWrap/>
            <w:hideMark/>
          </w:tcPr>
          <w:p w14:paraId="5336629E" w14:textId="77777777" w:rsidR="00E47CD1" w:rsidRPr="00D8134D" w:rsidRDefault="00E47CD1" w:rsidP="00EB22E5">
            <w:pPr>
              <w:widowControl/>
              <w:wordWrap/>
              <w:autoSpaceDE/>
              <w:autoSpaceDN/>
              <w:jc w:val="lef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T. A. Fox, 2021</w:t>
            </w:r>
          </w:p>
        </w:tc>
        <w:tc>
          <w:tcPr>
            <w:tcW w:w="629" w:type="dxa"/>
            <w:noWrap/>
            <w:hideMark/>
          </w:tcPr>
          <w:p w14:paraId="68722475"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14</w:t>
            </w:r>
          </w:p>
        </w:tc>
        <w:tc>
          <w:tcPr>
            <w:tcW w:w="1134" w:type="dxa"/>
            <w:noWrap/>
            <w:hideMark/>
          </w:tcPr>
          <w:p w14:paraId="7DED8D44"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UK</w:t>
            </w:r>
          </w:p>
        </w:tc>
        <w:tc>
          <w:tcPr>
            <w:tcW w:w="1559" w:type="dxa"/>
            <w:noWrap/>
            <w:hideMark/>
          </w:tcPr>
          <w:p w14:paraId="1D517812"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276" w:type="dxa"/>
            <w:noWrap/>
            <w:hideMark/>
          </w:tcPr>
          <w:p w14:paraId="59780282"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559" w:type="dxa"/>
            <w:noWrap/>
            <w:hideMark/>
          </w:tcPr>
          <w:p w14:paraId="6C05295D"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Astrazeneca</w:t>
            </w:r>
          </w:p>
        </w:tc>
        <w:tc>
          <w:tcPr>
            <w:tcW w:w="1417" w:type="dxa"/>
            <w:noWrap/>
            <w:hideMark/>
          </w:tcPr>
          <w:p w14:paraId="1D10C375"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30</w:t>
            </w:r>
          </w:p>
        </w:tc>
        <w:tc>
          <w:tcPr>
            <w:tcW w:w="1276" w:type="dxa"/>
            <w:noWrap/>
            <w:hideMark/>
          </w:tcPr>
          <w:p w14:paraId="27271DEC"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First</w:t>
            </w:r>
          </w:p>
        </w:tc>
        <w:tc>
          <w:tcPr>
            <w:tcW w:w="1643" w:type="dxa"/>
            <w:noWrap/>
            <w:hideMark/>
          </w:tcPr>
          <w:p w14:paraId="22B3A5FA" w14:textId="77777777" w:rsidR="00E47CD1" w:rsidRPr="00D8134D"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35.71</w:t>
            </w:r>
          </w:p>
        </w:tc>
      </w:tr>
      <w:tr w:rsidR="00E47CD1" w:rsidRPr="00D8134D" w14:paraId="35E54720"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3397" w:type="dxa"/>
            <w:noWrap/>
            <w:hideMark/>
          </w:tcPr>
          <w:p w14:paraId="6B2B701B" w14:textId="77777777" w:rsidR="00E47CD1" w:rsidRPr="00D8134D"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498" w:type="dxa"/>
            <w:noWrap/>
            <w:hideMark/>
          </w:tcPr>
          <w:p w14:paraId="7C789E7C" w14:textId="77777777" w:rsidR="00E47CD1" w:rsidRPr="00D8134D"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K. Herzog Tzarfati, 2021</w:t>
            </w:r>
          </w:p>
        </w:tc>
        <w:tc>
          <w:tcPr>
            <w:tcW w:w="629" w:type="dxa"/>
            <w:noWrap/>
            <w:hideMark/>
          </w:tcPr>
          <w:p w14:paraId="3A6503CB"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315</w:t>
            </w:r>
          </w:p>
        </w:tc>
        <w:tc>
          <w:tcPr>
            <w:tcW w:w="1134" w:type="dxa"/>
            <w:noWrap/>
            <w:hideMark/>
          </w:tcPr>
          <w:p w14:paraId="504F4941"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Israel</w:t>
            </w:r>
          </w:p>
        </w:tc>
        <w:tc>
          <w:tcPr>
            <w:tcW w:w="1559" w:type="dxa"/>
            <w:noWrap/>
            <w:hideMark/>
          </w:tcPr>
          <w:p w14:paraId="0CBA1989" w14:textId="77777777" w:rsidR="00E47CD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Median (IQR)</w:t>
            </w:r>
          </w:p>
          <w:p w14:paraId="5A7244DB"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71 (61-78)</w:t>
            </w:r>
          </w:p>
        </w:tc>
        <w:tc>
          <w:tcPr>
            <w:tcW w:w="1276" w:type="dxa"/>
            <w:noWrap/>
            <w:hideMark/>
          </w:tcPr>
          <w:p w14:paraId="6CC86637"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NR</w:t>
            </w:r>
          </w:p>
        </w:tc>
        <w:tc>
          <w:tcPr>
            <w:tcW w:w="1559" w:type="dxa"/>
            <w:noWrap/>
            <w:hideMark/>
          </w:tcPr>
          <w:p w14:paraId="5F0631F5"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Pfizer</w:t>
            </w:r>
          </w:p>
        </w:tc>
        <w:tc>
          <w:tcPr>
            <w:tcW w:w="1417" w:type="dxa"/>
            <w:noWrap/>
            <w:hideMark/>
          </w:tcPr>
          <w:p w14:paraId="0BB76617"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30</w:t>
            </w:r>
          </w:p>
        </w:tc>
        <w:tc>
          <w:tcPr>
            <w:tcW w:w="1276" w:type="dxa"/>
            <w:noWrap/>
            <w:hideMark/>
          </w:tcPr>
          <w:p w14:paraId="15D42AEB"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D8134D">
              <w:rPr>
                <w:rFonts w:ascii="Times New Roman" w:eastAsia="Malgun Gothic" w:hAnsi="Times New Roman" w:cs="Times New Roman"/>
                <w:color w:val="000000"/>
                <w:kern w:val="0"/>
                <w:sz w:val="22"/>
              </w:rPr>
              <w:t>Second</w:t>
            </w:r>
          </w:p>
        </w:tc>
        <w:tc>
          <w:tcPr>
            <w:tcW w:w="1643" w:type="dxa"/>
            <w:noWrap/>
            <w:hideMark/>
          </w:tcPr>
          <w:p w14:paraId="077F3372" w14:textId="77777777" w:rsidR="00E47CD1" w:rsidRPr="00D8134D"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D8134D">
              <w:rPr>
                <w:rFonts w:ascii="Times New Roman" w:eastAsia="Malgun Gothic" w:hAnsi="Times New Roman" w:cs="Times New Roman"/>
                <w:b/>
                <w:bCs/>
                <w:color w:val="000000"/>
                <w:kern w:val="0"/>
                <w:sz w:val="22"/>
              </w:rPr>
              <w:t>74.60</w:t>
            </w:r>
          </w:p>
        </w:tc>
      </w:tr>
    </w:tbl>
    <w:p w14:paraId="37E65EA2" w14:textId="77777777" w:rsidR="00E47CD1" w:rsidRDefault="00E47CD1" w:rsidP="00E47CD1">
      <w:pPr>
        <w:widowControl/>
        <w:wordWrap/>
        <w:autoSpaceDE/>
        <w:autoSpaceDN/>
        <w:rPr>
          <w:rFonts w:ascii="Times New Roman" w:hAnsi="Times New Roman" w:cs="Times New Roman"/>
        </w:rPr>
      </w:pPr>
    </w:p>
    <w:p w14:paraId="1BC935AF" w14:textId="77777777" w:rsidR="00E47CD1" w:rsidRDefault="00E47CD1" w:rsidP="00E47CD1">
      <w:pPr>
        <w:widowControl/>
        <w:wordWrap/>
        <w:autoSpaceDE/>
        <w:autoSpaceDN/>
        <w:rPr>
          <w:rFonts w:ascii="Times New Roman" w:hAnsi="Times New Roman" w:cs="Times New Roman"/>
        </w:rPr>
      </w:pPr>
    </w:p>
    <w:p w14:paraId="111D4355" w14:textId="77777777" w:rsidR="00E47CD1" w:rsidRDefault="00E47CD1" w:rsidP="00E47CD1">
      <w:pPr>
        <w:widowControl/>
        <w:wordWrap/>
        <w:autoSpaceDE/>
        <w:autoSpaceDN/>
        <w:rPr>
          <w:rFonts w:ascii="Times New Roman" w:hAnsi="Times New Roman" w:cs="Times New Roman"/>
        </w:rPr>
      </w:pPr>
    </w:p>
    <w:p w14:paraId="2AACD5AB" w14:textId="77777777" w:rsidR="00E47CD1" w:rsidRDefault="00E47CD1" w:rsidP="00E47CD1">
      <w:pPr>
        <w:widowControl/>
        <w:wordWrap/>
        <w:autoSpaceDE/>
        <w:autoSpaceDN/>
        <w:rPr>
          <w:rFonts w:ascii="Times New Roman" w:hAnsi="Times New Roman" w:cs="Times New Roman"/>
        </w:rPr>
      </w:pPr>
    </w:p>
    <w:p w14:paraId="438DC708" w14:textId="77777777" w:rsidR="00E47CD1" w:rsidRDefault="00E47CD1" w:rsidP="00E47CD1">
      <w:pPr>
        <w:widowControl/>
        <w:wordWrap/>
        <w:autoSpaceDE/>
        <w:autoSpaceDN/>
        <w:rPr>
          <w:rFonts w:ascii="Times New Roman" w:hAnsi="Times New Roman" w:cs="Times New Roman"/>
        </w:rPr>
      </w:pPr>
      <w:r>
        <w:rPr>
          <w:rFonts w:ascii="Times New Roman" w:hAnsi="Times New Roman" w:cs="Times New Roman"/>
        </w:rPr>
        <w:br w:type="page"/>
      </w:r>
    </w:p>
    <w:p w14:paraId="31194371" w14:textId="77777777" w:rsidR="00E47CD1" w:rsidRPr="000A1015" w:rsidRDefault="00E47CD1" w:rsidP="00E47CD1">
      <w:pPr>
        <w:rPr>
          <w:rFonts w:ascii="Times New Roman" w:hAnsi="Times New Roman" w:cs="Times New Roman"/>
        </w:rPr>
      </w:pPr>
      <w:r>
        <w:rPr>
          <w:rFonts w:ascii="Times New Roman" w:hAnsi="Times New Roman" w:cs="Times New Roman"/>
          <w:b/>
          <w:bCs/>
        </w:rPr>
        <w:lastRenderedPageBreak/>
        <w:t>Supplement</w:t>
      </w:r>
      <w:r w:rsidRPr="00804210">
        <w:rPr>
          <w:rFonts w:ascii="Times New Roman" w:hAnsi="Times New Roman" w:cs="Times New Roman"/>
          <w:b/>
          <w:bCs/>
        </w:rPr>
        <w:t xml:space="preserve"> </w:t>
      </w:r>
      <w:r>
        <w:rPr>
          <w:rFonts w:ascii="Times New Roman" w:hAnsi="Times New Roman" w:cs="Times New Roman" w:hint="eastAsia"/>
          <w:b/>
          <w:bCs/>
        </w:rPr>
        <w:t>5</w:t>
      </w:r>
      <w:r w:rsidRPr="00804210">
        <w:rPr>
          <w:rFonts w:ascii="Times New Roman" w:hAnsi="Times New Roman" w:cs="Times New Roman"/>
          <w:b/>
          <w:bCs/>
        </w:rPr>
        <w:t xml:space="preserve">. SARS-CoV-2 seropositivity among autoimmune disease patients </w:t>
      </w:r>
      <w:r w:rsidRPr="00804210">
        <w:rPr>
          <w:rFonts w:ascii="Times New Roman" w:hAnsi="Times New Roman" w:cs="Times New Roman"/>
        </w:rPr>
        <w:t>(RA, rheumatoid arthritis; PsA, psoriatic arthritis; AxSpA, axial spondylarthritis; SLE, systemic lupus erythematosus; IIM, idiopathic inflammatory myositis; LVV, large vessel vasculitis; AAV, antineutrophil cytoplasmic antibody (ANCA)-associated vasculitis</w:t>
      </w:r>
      <w:r>
        <w:rPr>
          <w:rFonts w:ascii="Times New Roman" w:hAnsi="Times New Roman" w:cs="Times New Roman" w:hint="eastAsia"/>
        </w:rPr>
        <w:t>;</w:t>
      </w:r>
      <w:r>
        <w:rPr>
          <w:rFonts w:ascii="Times New Roman" w:hAnsi="Times New Roman" w:cs="Times New Roman"/>
        </w:rPr>
        <w:t xml:space="preserve"> </w:t>
      </w:r>
      <w:r>
        <w:rPr>
          <w:rFonts w:ascii="Times New Roman" w:hAnsi="Times New Roman" w:cs="Times New Roman" w:hint="eastAsia"/>
        </w:rPr>
        <w:t>MS,</w:t>
      </w:r>
      <w:r>
        <w:rPr>
          <w:rFonts w:ascii="Times New Roman" w:hAnsi="Times New Roman" w:cs="Times New Roman"/>
        </w:rPr>
        <w:t xml:space="preserve"> </w:t>
      </w:r>
      <w:r>
        <w:rPr>
          <w:rFonts w:ascii="Times New Roman" w:hAnsi="Times New Roman" w:cs="Times New Roman" w:hint="eastAsia"/>
        </w:rPr>
        <w:t>multiple</w:t>
      </w:r>
      <w:r>
        <w:rPr>
          <w:rFonts w:ascii="Times New Roman" w:hAnsi="Times New Roman" w:cs="Times New Roman"/>
        </w:rPr>
        <w:t xml:space="preserve"> </w:t>
      </w:r>
      <w:r>
        <w:rPr>
          <w:rFonts w:ascii="Times New Roman" w:hAnsi="Times New Roman" w:cs="Times New Roman" w:hint="eastAsia"/>
        </w:rPr>
        <w:t>sclerosis;</w:t>
      </w:r>
      <w:r>
        <w:rPr>
          <w:rFonts w:ascii="Times New Roman" w:hAnsi="Times New Roman" w:cs="Times New Roman"/>
        </w:rPr>
        <w:t xml:space="preserve"> </w:t>
      </w:r>
      <w:r>
        <w:rPr>
          <w:rFonts w:ascii="Times New Roman" w:hAnsi="Times New Roman" w:cs="Times New Roman" w:hint="eastAsia"/>
        </w:rPr>
        <w:t>Abs,</w:t>
      </w:r>
      <w:r>
        <w:rPr>
          <w:rFonts w:ascii="Times New Roman" w:hAnsi="Times New Roman" w:cs="Times New Roman"/>
        </w:rPr>
        <w:t xml:space="preserve"> </w:t>
      </w:r>
      <w:r>
        <w:rPr>
          <w:rFonts w:ascii="Times New Roman" w:hAnsi="Times New Roman" w:cs="Times New Roman" w:hint="eastAsia"/>
        </w:rPr>
        <w:t>antibodies</w:t>
      </w:r>
      <w:r w:rsidRPr="00804210">
        <w:rPr>
          <w:rFonts w:ascii="Times New Roman" w:hAnsi="Times New Roman" w:cs="Times New Roman"/>
        </w:rPr>
        <w:t>)</w:t>
      </w:r>
    </w:p>
    <w:tbl>
      <w:tblPr>
        <w:tblStyle w:val="GridTable2-Accent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7"/>
        <w:gridCol w:w="1701"/>
        <w:gridCol w:w="709"/>
        <w:gridCol w:w="1134"/>
        <w:gridCol w:w="2835"/>
        <w:gridCol w:w="1417"/>
        <w:gridCol w:w="1134"/>
        <w:gridCol w:w="1276"/>
        <w:gridCol w:w="992"/>
        <w:gridCol w:w="1643"/>
      </w:tblGrid>
      <w:tr w:rsidR="00E47CD1" w:rsidRPr="00A94C3B" w14:paraId="3FAE98B7" w14:textId="77777777" w:rsidTr="00EB22E5">
        <w:trPr>
          <w:cnfStyle w:val="100000000000" w:firstRow="1" w:lastRow="0" w:firstColumn="0" w:lastColumn="0" w:oddVBand="0" w:evenVBand="0" w:oddHBand="0" w:evenHBand="0" w:firstRowFirstColumn="0" w:firstRowLastColumn="0" w:lastRowFirstColumn="0" w:lastRowLastColumn="0"/>
          <w:trHeight w:val="1056"/>
        </w:trPr>
        <w:tc>
          <w:tcPr>
            <w:cnfStyle w:val="001000000000" w:firstRow="0" w:lastRow="0" w:firstColumn="1" w:lastColumn="0" w:oddVBand="0" w:evenVBand="0" w:oddHBand="0" w:evenHBand="0" w:firstRowFirstColumn="0" w:firstRowLastColumn="0" w:lastRowFirstColumn="0" w:lastRowLastColumn="0"/>
            <w:tcW w:w="2547" w:type="dxa"/>
            <w:noWrap/>
            <w:hideMark/>
          </w:tcPr>
          <w:p w14:paraId="313D0F1B"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Population</w:t>
            </w:r>
          </w:p>
        </w:tc>
        <w:tc>
          <w:tcPr>
            <w:tcW w:w="1701" w:type="dxa"/>
            <w:noWrap/>
            <w:hideMark/>
          </w:tcPr>
          <w:p w14:paraId="0E795C79"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Author, year</w:t>
            </w:r>
          </w:p>
        </w:tc>
        <w:tc>
          <w:tcPr>
            <w:tcW w:w="709" w:type="dxa"/>
            <w:noWrap/>
            <w:hideMark/>
          </w:tcPr>
          <w:p w14:paraId="60DD4361"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n</w:t>
            </w:r>
          </w:p>
        </w:tc>
        <w:tc>
          <w:tcPr>
            <w:tcW w:w="1134" w:type="dxa"/>
            <w:noWrap/>
            <w:hideMark/>
          </w:tcPr>
          <w:p w14:paraId="236ECDA3"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Country</w:t>
            </w:r>
          </w:p>
        </w:tc>
        <w:tc>
          <w:tcPr>
            <w:tcW w:w="2835" w:type="dxa"/>
            <w:noWrap/>
            <w:hideMark/>
          </w:tcPr>
          <w:p w14:paraId="6CD3A12E"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Age</w:t>
            </w:r>
          </w:p>
        </w:tc>
        <w:tc>
          <w:tcPr>
            <w:tcW w:w="1417" w:type="dxa"/>
            <w:hideMark/>
          </w:tcPr>
          <w:p w14:paraId="0DDB600B"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Sex </w:t>
            </w:r>
            <w:r w:rsidRPr="00A94C3B">
              <w:rPr>
                <w:rFonts w:ascii="Times New Roman" w:eastAsia="Malgun Gothic" w:hAnsi="Times New Roman" w:cs="Times New Roman"/>
                <w:color w:val="000000"/>
                <w:kern w:val="0"/>
                <w:sz w:val="22"/>
              </w:rPr>
              <w:br/>
              <w:t>(female %)</w:t>
            </w:r>
          </w:p>
        </w:tc>
        <w:tc>
          <w:tcPr>
            <w:tcW w:w="1134" w:type="dxa"/>
            <w:noWrap/>
            <w:hideMark/>
          </w:tcPr>
          <w:p w14:paraId="34004310"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Vaccine</w:t>
            </w:r>
          </w:p>
        </w:tc>
        <w:tc>
          <w:tcPr>
            <w:tcW w:w="1276" w:type="dxa"/>
            <w:hideMark/>
          </w:tcPr>
          <w:p w14:paraId="09199814"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Test Date </w:t>
            </w:r>
            <w:r w:rsidRPr="00A94C3B">
              <w:rPr>
                <w:rFonts w:ascii="Times New Roman" w:eastAsia="Malgun Gothic" w:hAnsi="Times New Roman" w:cs="Times New Roman"/>
                <w:color w:val="000000"/>
                <w:kern w:val="0"/>
                <w:sz w:val="22"/>
              </w:rPr>
              <w:br/>
              <w:t>(day)</w:t>
            </w:r>
          </w:p>
        </w:tc>
        <w:tc>
          <w:tcPr>
            <w:tcW w:w="992" w:type="dxa"/>
            <w:noWrap/>
            <w:hideMark/>
          </w:tcPr>
          <w:p w14:paraId="35EBF3E2"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Dose</w:t>
            </w:r>
          </w:p>
        </w:tc>
        <w:tc>
          <w:tcPr>
            <w:tcW w:w="1643" w:type="dxa"/>
            <w:hideMark/>
          </w:tcPr>
          <w:p w14:paraId="37F7FCEB"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Seropositivity </w:t>
            </w:r>
            <w:r w:rsidRPr="00A94C3B">
              <w:rPr>
                <w:rFonts w:ascii="Times New Roman" w:eastAsia="Malgun Gothic" w:hAnsi="Times New Roman" w:cs="Times New Roman"/>
                <w:color w:val="000000"/>
                <w:kern w:val="0"/>
                <w:sz w:val="22"/>
              </w:rPr>
              <w:br/>
              <w:t>(%)</w:t>
            </w:r>
          </w:p>
        </w:tc>
      </w:tr>
      <w:tr w:rsidR="00E47CD1" w:rsidRPr="00A94C3B" w14:paraId="4F2D1F1E"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547" w:type="dxa"/>
            <w:noWrap/>
            <w:hideMark/>
          </w:tcPr>
          <w:p w14:paraId="28257A0D"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RA</w:t>
            </w:r>
          </w:p>
        </w:tc>
        <w:tc>
          <w:tcPr>
            <w:tcW w:w="1701" w:type="dxa"/>
            <w:noWrap/>
            <w:hideMark/>
          </w:tcPr>
          <w:p w14:paraId="40C808D5"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V. Furer, 2021</w:t>
            </w:r>
          </w:p>
        </w:tc>
        <w:tc>
          <w:tcPr>
            <w:tcW w:w="709" w:type="dxa"/>
            <w:noWrap/>
            <w:hideMark/>
          </w:tcPr>
          <w:p w14:paraId="5507B17D"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263</w:t>
            </w:r>
          </w:p>
        </w:tc>
        <w:tc>
          <w:tcPr>
            <w:tcW w:w="1134" w:type="dxa"/>
            <w:noWrap/>
            <w:hideMark/>
          </w:tcPr>
          <w:p w14:paraId="2330E7A5"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Israel</w:t>
            </w:r>
          </w:p>
        </w:tc>
        <w:tc>
          <w:tcPr>
            <w:tcW w:w="2835" w:type="dxa"/>
            <w:noWrap/>
            <w:hideMark/>
          </w:tcPr>
          <w:p w14:paraId="2633799D"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Median (Range) 64 (20-88)</w:t>
            </w:r>
          </w:p>
        </w:tc>
        <w:tc>
          <w:tcPr>
            <w:tcW w:w="1417" w:type="dxa"/>
            <w:noWrap/>
            <w:hideMark/>
          </w:tcPr>
          <w:p w14:paraId="1FCD3941"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81.75</w:t>
            </w:r>
          </w:p>
        </w:tc>
        <w:tc>
          <w:tcPr>
            <w:tcW w:w="1134" w:type="dxa"/>
            <w:noWrap/>
            <w:hideMark/>
          </w:tcPr>
          <w:p w14:paraId="1F1A3574"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276" w:type="dxa"/>
            <w:noWrap/>
            <w:hideMark/>
          </w:tcPr>
          <w:p w14:paraId="4B815784"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14-42</w:t>
            </w:r>
          </w:p>
        </w:tc>
        <w:tc>
          <w:tcPr>
            <w:tcW w:w="992" w:type="dxa"/>
            <w:noWrap/>
            <w:hideMark/>
          </w:tcPr>
          <w:p w14:paraId="3C073B85"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43" w:type="dxa"/>
            <w:noWrap/>
            <w:hideMark/>
          </w:tcPr>
          <w:p w14:paraId="7C832B9D"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82.1</w:t>
            </w:r>
          </w:p>
        </w:tc>
      </w:tr>
      <w:tr w:rsidR="00E47CD1" w:rsidRPr="00A94C3B" w14:paraId="73E9B2A2"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2547" w:type="dxa"/>
            <w:noWrap/>
            <w:hideMark/>
          </w:tcPr>
          <w:p w14:paraId="110FB01F"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701" w:type="dxa"/>
            <w:noWrap/>
            <w:hideMark/>
          </w:tcPr>
          <w:p w14:paraId="21E45028"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709" w:type="dxa"/>
            <w:noWrap/>
            <w:hideMark/>
          </w:tcPr>
          <w:p w14:paraId="4EE3DF87"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17032572"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835" w:type="dxa"/>
            <w:noWrap/>
            <w:hideMark/>
          </w:tcPr>
          <w:p w14:paraId="6EC0535D"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417" w:type="dxa"/>
            <w:noWrap/>
            <w:hideMark/>
          </w:tcPr>
          <w:p w14:paraId="634B0587"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501FF7DD"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276" w:type="dxa"/>
            <w:noWrap/>
            <w:hideMark/>
          </w:tcPr>
          <w:p w14:paraId="7574C1BB"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992" w:type="dxa"/>
            <w:noWrap/>
            <w:hideMark/>
          </w:tcPr>
          <w:p w14:paraId="1B392B15"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643" w:type="dxa"/>
            <w:noWrap/>
            <w:hideMark/>
          </w:tcPr>
          <w:p w14:paraId="7B3679C0"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 xml:space="preserve">　</w:t>
            </w:r>
          </w:p>
        </w:tc>
      </w:tr>
      <w:tr w:rsidR="00E47CD1" w:rsidRPr="00A94C3B" w14:paraId="1989361E"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547" w:type="dxa"/>
            <w:noWrap/>
            <w:hideMark/>
          </w:tcPr>
          <w:p w14:paraId="6776E2AA"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PsA</w:t>
            </w:r>
          </w:p>
        </w:tc>
        <w:tc>
          <w:tcPr>
            <w:tcW w:w="1701" w:type="dxa"/>
            <w:noWrap/>
            <w:hideMark/>
          </w:tcPr>
          <w:p w14:paraId="56E290AA"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V. Furer, 2021</w:t>
            </w:r>
          </w:p>
        </w:tc>
        <w:tc>
          <w:tcPr>
            <w:tcW w:w="709" w:type="dxa"/>
            <w:noWrap/>
            <w:hideMark/>
          </w:tcPr>
          <w:p w14:paraId="4CD49BBB"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165</w:t>
            </w:r>
          </w:p>
        </w:tc>
        <w:tc>
          <w:tcPr>
            <w:tcW w:w="1134" w:type="dxa"/>
            <w:noWrap/>
            <w:hideMark/>
          </w:tcPr>
          <w:p w14:paraId="136723D6"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Israel</w:t>
            </w:r>
          </w:p>
        </w:tc>
        <w:tc>
          <w:tcPr>
            <w:tcW w:w="2835" w:type="dxa"/>
            <w:noWrap/>
            <w:hideMark/>
          </w:tcPr>
          <w:p w14:paraId="76D6867B"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Median (Range) 55 (20-86)</w:t>
            </w:r>
          </w:p>
        </w:tc>
        <w:tc>
          <w:tcPr>
            <w:tcW w:w="1417" w:type="dxa"/>
            <w:noWrap/>
            <w:hideMark/>
          </w:tcPr>
          <w:p w14:paraId="1EF2104D"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47.56</w:t>
            </w:r>
          </w:p>
        </w:tc>
        <w:tc>
          <w:tcPr>
            <w:tcW w:w="1134" w:type="dxa"/>
            <w:noWrap/>
            <w:hideMark/>
          </w:tcPr>
          <w:p w14:paraId="476817F0"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276" w:type="dxa"/>
            <w:noWrap/>
            <w:hideMark/>
          </w:tcPr>
          <w:p w14:paraId="7F6B3457"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14-42</w:t>
            </w:r>
          </w:p>
        </w:tc>
        <w:tc>
          <w:tcPr>
            <w:tcW w:w="992" w:type="dxa"/>
            <w:noWrap/>
            <w:hideMark/>
          </w:tcPr>
          <w:p w14:paraId="4EC3EBDC"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43" w:type="dxa"/>
            <w:noWrap/>
            <w:hideMark/>
          </w:tcPr>
          <w:p w14:paraId="4D3C334F"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96.9</w:t>
            </w:r>
          </w:p>
        </w:tc>
      </w:tr>
      <w:tr w:rsidR="00E47CD1" w:rsidRPr="00A94C3B" w14:paraId="017B8F25"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2547" w:type="dxa"/>
            <w:noWrap/>
            <w:hideMark/>
          </w:tcPr>
          <w:p w14:paraId="3FEDDD43"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701" w:type="dxa"/>
            <w:noWrap/>
            <w:hideMark/>
          </w:tcPr>
          <w:p w14:paraId="234E2E4E"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709" w:type="dxa"/>
            <w:noWrap/>
            <w:hideMark/>
          </w:tcPr>
          <w:p w14:paraId="09532D72"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5703305A"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835" w:type="dxa"/>
            <w:noWrap/>
            <w:hideMark/>
          </w:tcPr>
          <w:p w14:paraId="3062C08B"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417" w:type="dxa"/>
            <w:noWrap/>
            <w:hideMark/>
          </w:tcPr>
          <w:p w14:paraId="578151C9"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172B7C31"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276" w:type="dxa"/>
            <w:noWrap/>
            <w:hideMark/>
          </w:tcPr>
          <w:p w14:paraId="7A48140D"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992" w:type="dxa"/>
            <w:noWrap/>
            <w:hideMark/>
          </w:tcPr>
          <w:p w14:paraId="3A363607"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643" w:type="dxa"/>
            <w:noWrap/>
            <w:hideMark/>
          </w:tcPr>
          <w:p w14:paraId="4CC37565"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 xml:space="preserve">　</w:t>
            </w:r>
          </w:p>
        </w:tc>
      </w:tr>
      <w:tr w:rsidR="00E47CD1" w:rsidRPr="00A94C3B" w14:paraId="08A33270"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547" w:type="dxa"/>
            <w:noWrap/>
            <w:hideMark/>
          </w:tcPr>
          <w:p w14:paraId="7C2F1DAF"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AxSpA</w:t>
            </w:r>
          </w:p>
        </w:tc>
        <w:tc>
          <w:tcPr>
            <w:tcW w:w="1701" w:type="dxa"/>
            <w:noWrap/>
            <w:hideMark/>
          </w:tcPr>
          <w:p w14:paraId="3692B8F7"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V. Furer, 2021</w:t>
            </w:r>
          </w:p>
        </w:tc>
        <w:tc>
          <w:tcPr>
            <w:tcW w:w="709" w:type="dxa"/>
            <w:noWrap/>
            <w:hideMark/>
          </w:tcPr>
          <w:p w14:paraId="35CE9A72"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68</w:t>
            </w:r>
          </w:p>
        </w:tc>
        <w:tc>
          <w:tcPr>
            <w:tcW w:w="1134" w:type="dxa"/>
            <w:noWrap/>
            <w:hideMark/>
          </w:tcPr>
          <w:p w14:paraId="5207E287"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Israel</w:t>
            </w:r>
          </w:p>
        </w:tc>
        <w:tc>
          <w:tcPr>
            <w:tcW w:w="2835" w:type="dxa"/>
            <w:noWrap/>
            <w:hideMark/>
          </w:tcPr>
          <w:p w14:paraId="138A2A17"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Median (Range) 49.5 (21-83)</w:t>
            </w:r>
          </w:p>
        </w:tc>
        <w:tc>
          <w:tcPr>
            <w:tcW w:w="1417" w:type="dxa"/>
            <w:noWrap/>
            <w:hideMark/>
          </w:tcPr>
          <w:p w14:paraId="367D6E0D"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52.94</w:t>
            </w:r>
          </w:p>
        </w:tc>
        <w:tc>
          <w:tcPr>
            <w:tcW w:w="1134" w:type="dxa"/>
            <w:noWrap/>
            <w:hideMark/>
          </w:tcPr>
          <w:p w14:paraId="04F3BD52"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276" w:type="dxa"/>
            <w:noWrap/>
            <w:hideMark/>
          </w:tcPr>
          <w:p w14:paraId="15B2A90A"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14-42</w:t>
            </w:r>
          </w:p>
        </w:tc>
        <w:tc>
          <w:tcPr>
            <w:tcW w:w="992" w:type="dxa"/>
            <w:noWrap/>
            <w:hideMark/>
          </w:tcPr>
          <w:p w14:paraId="020BAB98"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43" w:type="dxa"/>
            <w:noWrap/>
            <w:hideMark/>
          </w:tcPr>
          <w:p w14:paraId="14C29A39"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98.5</w:t>
            </w:r>
          </w:p>
        </w:tc>
      </w:tr>
      <w:tr w:rsidR="00E47CD1" w:rsidRPr="00A94C3B" w14:paraId="55239ACB"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2547" w:type="dxa"/>
            <w:noWrap/>
            <w:hideMark/>
          </w:tcPr>
          <w:p w14:paraId="77D29FDE"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701" w:type="dxa"/>
            <w:noWrap/>
            <w:hideMark/>
          </w:tcPr>
          <w:p w14:paraId="664BF5CB"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709" w:type="dxa"/>
            <w:noWrap/>
            <w:hideMark/>
          </w:tcPr>
          <w:p w14:paraId="0B214730"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16B4B922"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835" w:type="dxa"/>
            <w:noWrap/>
            <w:hideMark/>
          </w:tcPr>
          <w:p w14:paraId="2E2F05C6"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417" w:type="dxa"/>
            <w:noWrap/>
            <w:hideMark/>
          </w:tcPr>
          <w:p w14:paraId="5CFD4E27"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7CAC041B"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276" w:type="dxa"/>
            <w:noWrap/>
            <w:hideMark/>
          </w:tcPr>
          <w:p w14:paraId="6E268D1F"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992" w:type="dxa"/>
            <w:noWrap/>
            <w:hideMark/>
          </w:tcPr>
          <w:p w14:paraId="5800CE47"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643" w:type="dxa"/>
            <w:noWrap/>
            <w:hideMark/>
          </w:tcPr>
          <w:p w14:paraId="31F668EA"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 xml:space="preserve">　</w:t>
            </w:r>
          </w:p>
        </w:tc>
      </w:tr>
      <w:tr w:rsidR="00E47CD1" w:rsidRPr="00A94C3B" w14:paraId="512117AF"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547" w:type="dxa"/>
            <w:noWrap/>
            <w:hideMark/>
          </w:tcPr>
          <w:p w14:paraId="51F64A04"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SLE</w:t>
            </w:r>
          </w:p>
        </w:tc>
        <w:tc>
          <w:tcPr>
            <w:tcW w:w="1701" w:type="dxa"/>
            <w:noWrap/>
            <w:hideMark/>
          </w:tcPr>
          <w:p w14:paraId="70826759"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V. Furer, 2021</w:t>
            </w:r>
          </w:p>
        </w:tc>
        <w:tc>
          <w:tcPr>
            <w:tcW w:w="709" w:type="dxa"/>
            <w:noWrap/>
            <w:hideMark/>
          </w:tcPr>
          <w:p w14:paraId="55C3B0C0"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101</w:t>
            </w:r>
          </w:p>
        </w:tc>
        <w:tc>
          <w:tcPr>
            <w:tcW w:w="1134" w:type="dxa"/>
            <w:noWrap/>
            <w:hideMark/>
          </w:tcPr>
          <w:p w14:paraId="4F60937C"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Israel</w:t>
            </w:r>
          </w:p>
        </w:tc>
        <w:tc>
          <w:tcPr>
            <w:tcW w:w="2835" w:type="dxa"/>
            <w:noWrap/>
            <w:hideMark/>
          </w:tcPr>
          <w:p w14:paraId="4706DECD"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Median (Range) 46 (22-80)</w:t>
            </w:r>
          </w:p>
        </w:tc>
        <w:tc>
          <w:tcPr>
            <w:tcW w:w="1417" w:type="dxa"/>
            <w:noWrap/>
            <w:hideMark/>
          </w:tcPr>
          <w:p w14:paraId="6D9E47BF"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88.12</w:t>
            </w:r>
          </w:p>
        </w:tc>
        <w:tc>
          <w:tcPr>
            <w:tcW w:w="1134" w:type="dxa"/>
            <w:noWrap/>
            <w:hideMark/>
          </w:tcPr>
          <w:p w14:paraId="6C334C17"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276" w:type="dxa"/>
            <w:noWrap/>
            <w:hideMark/>
          </w:tcPr>
          <w:p w14:paraId="06FB092B"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14-42</w:t>
            </w:r>
          </w:p>
        </w:tc>
        <w:tc>
          <w:tcPr>
            <w:tcW w:w="992" w:type="dxa"/>
            <w:noWrap/>
            <w:hideMark/>
          </w:tcPr>
          <w:p w14:paraId="679B5F01"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43" w:type="dxa"/>
            <w:noWrap/>
            <w:hideMark/>
          </w:tcPr>
          <w:p w14:paraId="4E98A5E5"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92.1</w:t>
            </w:r>
          </w:p>
        </w:tc>
      </w:tr>
      <w:tr w:rsidR="00E47CD1" w:rsidRPr="00A94C3B" w14:paraId="20B834D0"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2547" w:type="dxa"/>
            <w:noWrap/>
            <w:hideMark/>
          </w:tcPr>
          <w:p w14:paraId="7D967813"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701" w:type="dxa"/>
            <w:noWrap/>
            <w:hideMark/>
          </w:tcPr>
          <w:p w14:paraId="10897980"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709" w:type="dxa"/>
            <w:noWrap/>
            <w:hideMark/>
          </w:tcPr>
          <w:p w14:paraId="0506DC13"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73357DB2"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835" w:type="dxa"/>
            <w:noWrap/>
            <w:hideMark/>
          </w:tcPr>
          <w:p w14:paraId="662409BA"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417" w:type="dxa"/>
            <w:noWrap/>
            <w:hideMark/>
          </w:tcPr>
          <w:p w14:paraId="0F960C59"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0A647BC4"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276" w:type="dxa"/>
            <w:noWrap/>
            <w:hideMark/>
          </w:tcPr>
          <w:p w14:paraId="4BECC1FA"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992" w:type="dxa"/>
            <w:noWrap/>
            <w:hideMark/>
          </w:tcPr>
          <w:p w14:paraId="54DA815D"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643" w:type="dxa"/>
            <w:noWrap/>
            <w:hideMark/>
          </w:tcPr>
          <w:p w14:paraId="5DA1BC0D"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 xml:space="preserve">　</w:t>
            </w:r>
          </w:p>
        </w:tc>
      </w:tr>
      <w:tr w:rsidR="00E47CD1" w:rsidRPr="00A94C3B" w14:paraId="63DABDB2"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547" w:type="dxa"/>
            <w:noWrap/>
            <w:hideMark/>
          </w:tcPr>
          <w:p w14:paraId="55CECD3A"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IIM</w:t>
            </w:r>
          </w:p>
        </w:tc>
        <w:tc>
          <w:tcPr>
            <w:tcW w:w="1701" w:type="dxa"/>
            <w:noWrap/>
            <w:hideMark/>
          </w:tcPr>
          <w:p w14:paraId="79A416B7"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V. Furer, 2021</w:t>
            </w:r>
          </w:p>
        </w:tc>
        <w:tc>
          <w:tcPr>
            <w:tcW w:w="709" w:type="dxa"/>
            <w:noWrap/>
            <w:hideMark/>
          </w:tcPr>
          <w:p w14:paraId="270852DC"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19</w:t>
            </w:r>
          </w:p>
        </w:tc>
        <w:tc>
          <w:tcPr>
            <w:tcW w:w="1134" w:type="dxa"/>
            <w:noWrap/>
            <w:hideMark/>
          </w:tcPr>
          <w:p w14:paraId="055F7673"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Israel</w:t>
            </w:r>
          </w:p>
        </w:tc>
        <w:tc>
          <w:tcPr>
            <w:tcW w:w="2835" w:type="dxa"/>
            <w:noWrap/>
            <w:hideMark/>
          </w:tcPr>
          <w:p w14:paraId="3A4FD9EB"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Median (Range) 64 (34-76)</w:t>
            </w:r>
          </w:p>
        </w:tc>
        <w:tc>
          <w:tcPr>
            <w:tcW w:w="1417" w:type="dxa"/>
            <w:noWrap/>
            <w:hideMark/>
          </w:tcPr>
          <w:p w14:paraId="2467D26E"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73.68</w:t>
            </w:r>
          </w:p>
        </w:tc>
        <w:tc>
          <w:tcPr>
            <w:tcW w:w="1134" w:type="dxa"/>
            <w:noWrap/>
            <w:hideMark/>
          </w:tcPr>
          <w:p w14:paraId="3E00996E"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276" w:type="dxa"/>
            <w:noWrap/>
            <w:hideMark/>
          </w:tcPr>
          <w:p w14:paraId="380AF823"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14-42</w:t>
            </w:r>
          </w:p>
        </w:tc>
        <w:tc>
          <w:tcPr>
            <w:tcW w:w="992" w:type="dxa"/>
            <w:noWrap/>
            <w:hideMark/>
          </w:tcPr>
          <w:p w14:paraId="17DE3521"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43" w:type="dxa"/>
            <w:noWrap/>
            <w:hideMark/>
          </w:tcPr>
          <w:p w14:paraId="42A8E15E"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36.8</w:t>
            </w:r>
          </w:p>
        </w:tc>
      </w:tr>
      <w:tr w:rsidR="00E47CD1" w:rsidRPr="00A94C3B" w14:paraId="6F31E0F9"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2547" w:type="dxa"/>
            <w:noWrap/>
            <w:hideMark/>
          </w:tcPr>
          <w:p w14:paraId="59AC3ABE"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701" w:type="dxa"/>
            <w:noWrap/>
            <w:hideMark/>
          </w:tcPr>
          <w:p w14:paraId="3F566623"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709" w:type="dxa"/>
            <w:noWrap/>
            <w:hideMark/>
          </w:tcPr>
          <w:p w14:paraId="709921C1"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3DB0EF89"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835" w:type="dxa"/>
            <w:noWrap/>
            <w:hideMark/>
          </w:tcPr>
          <w:p w14:paraId="47E22F83"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417" w:type="dxa"/>
            <w:noWrap/>
            <w:hideMark/>
          </w:tcPr>
          <w:p w14:paraId="4B459F23"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48F6E6CB"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276" w:type="dxa"/>
            <w:noWrap/>
            <w:hideMark/>
          </w:tcPr>
          <w:p w14:paraId="4300D4DC"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992" w:type="dxa"/>
            <w:noWrap/>
            <w:hideMark/>
          </w:tcPr>
          <w:p w14:paraId="11F2D0F8"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643" w:type="dxa"/>
            <w:noWrap/>
            <w:hideMark/>
          </w:tcPr>
          <w:p w14:paraId="2B4773CA"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 xml:space="preserve">　</w:t>
            </w:r>
          </w:p>
        </w:tc>
      </w:tr>
      <w:tr w:rsidR="00E47CD1" w:rsidRPr="00A94C3B" w14:paraId="1308A8CA"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547" w:type="dxa"/>
            <w:noWrap/>
            <w:hideMark/>
          </w:tcPr>
          <w:p w14:paraId="6790B36E"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LVV</w:t>
            </w:r>
          </w:p>
        </w:tc>
        <w:tc>
          <w:tcPr>
            <w:tcW w:w="1701" w:type="dxa"/>
            <w:noWrap/>
            <w:hideMark/>
          </w:tcPr>
          <w:p w14:paraId="35407048"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V. Furer, 2021</w:t>
            </w:r>
          </w:p>
        </w:tc>
        <w:tc>
          <w:tcPr>
            <w:tcW w:w="709" w:type="dxa"/>
            <w:noWrap/>
            <w:hideMark/>
          </w:tcPr>
          <w:p w14:paraId="04205486"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21</w:t>
            </w:r>
          </w:p>
        </w:tc>
        <w:tc>
          <w:tcPr>
            <w:tcW w:w="1134" w:type="dxa"/>
            <w:noWrap/>
            <w:hideMark/>
          </w:tcPr>
          <w:p w14:paraId="67574E67"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Israel</w:t>
            </w:r>
          </w:p>
        </w:tc>
        <w:tc>
          <w:tcPr>
            <w:tcW w:w="2835" w:type="dxa"/>
            <w:noWrap/>
            <w:hideMark/>
          </w:tcPr>
          <w:p w14:paraId="1B67A853"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Median (Range) 70 (26-85)</w:t>
            </w:r>
          </w:p>
        </w:tc>
        <w:tc>
          <w:tcPr>
            <w:tcW w:w="1417" w:type="dxa"/>
            <w:noWrap/>
            <w:hideMark/>
          </w:tcPr>
          <w:p w14:paraId="72B148FF"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80.95</w:t>
            </w:r>
          </w:p>
        </w:tc>
        <w:tc>
          <w:tcPr>
            <w:tcW w:w="1134" w:type="dxa"/>
            <w:noWrap/>
            <w:hideMark/>
          </w:tcPr>
          <w:p w14:paraId="164A5E78"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276" w:type="dxa"/>
            <w:noWrap/>
            <w:hideMark/>
          </w:tcPr>
          <w:p w14:paraId="3E16D093"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14-42</w:t>
            </w:r>
          </w:p>
        </w:tc>
        <w:tc>
          <w:tcPr>
            <w:tcW w:w="992" w:type="dxa"/>
            <w:noWrap/>
            <w:hideMark/>
          </w:tcPr>
          <w:p w14:paraId="0C4C6CF9"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43" w:type="dxa"/>
            <w:noWrap/>
            <w:hideMark/>
          </w:tcPr>
          <w:p w14:paraId="6AFD5091"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95.2</w:t>
            </w:r>
          </w:p>
        </w:tc>
      </w:tr>
      <w:tr w:rsidR="00E47CD1" w:rsidRPr="00A94C3B" w14:paraId="02C581AB"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2547" w:type="dxa"/>
            <w:noWrap/>
            <w:hideMark/>
          </w:tcPr>
          <w:p w14:paraId="4E400641"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701" w:type="dxa"/>
            <w:noWrap/>
            <w:hideMark/>
          </w:tcPr>
          <w:p w14:paraId="093CC049"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709" w:type="dxa"/>
            <w:noWrap/>
            <w:hideMark/>
          </w:tcPr>
          <w:p w14:paraId="7AA96DBC"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50E3AE7F"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835" w:type="dxa"/>
            <w:noWrap/>
            <w:hideMark/>
          </w:tcPr>
          <w:p w14:paraId="49AA18E0"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417" w:type="dxa"/>
            <w:noWrap/>
            <w:hideMark/>
          </w:tcPr>
          <w:p w14:paraId="1D8921F1"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30E7E8DA"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276" w:type="dxa"/>
            <w:noWrap/>
            <w:hideMark/>
          </w:tcPr>
          <w:p w14:paraId="4BDCC5EA"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992" w:type="dxa"/>
            <w:noWrap/>
            <w:hideMark/>
          </w:tcPr>
          <w:p w14:paraId="6FA1903A"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643" w:type="dxa"/>
            <w:noWrap/>
            <w:hideMark/>
          </w:tcPr>
          <w:p w14:paraId="2426E254"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 xml:space="preserve">　</w:t>
            </w:r>
          </w:p>
        </w:tc>
      </w:tr>
      <w:tr w:rsidR="00E47CD1" w:rsidRPr="00A94C3B" w14:paraId="4EEE9EA2"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547" w:type="dxa"/>
            <w:noWrap/>
            <w:hideMark/>
          </w:tcPr>
          <w:p w14:paraId="6E0C25BB"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AAV</w:t>
            </w:r>
          </w:p>
        </w:tc>
        <w:tc>
          <w:tcPr>
            <w:tcW w:w="1701" w:type="dxa"/>
            <w:noWrap/>
            <w:hideMark/>
          </w:tcPr>
          <w:p w14:paraId="63106202"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V. Furer, 2021</w:t>
            </w:r>
          </w:p>
        </w:tc>
        <w:tc>
          <w:tcPr>
            <w:tcW w:w="709" w:type="dxa"/>
            <w:noWrap/>
            <w:hideMark/>
          </w:tcPr>
          <w:p w14:paraId="068CC6DD"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26</w:t>
            </w:r>
          </w:p>
        </w:tc>
        <w:tc>
          <w:tcPr>
            <w:tcW w:w="1134" w:type="dxa"/>
            <w:noWrap/>
            <w:hideMark/>
          </w:tcPr>
          <w:p w14:paraId="61B5C17C"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Israel</w:t>
            </w:r>
          </w:p>
        </w:tc>
        <w:tc>
          <w:tcPr>
            <w:tcW w:w="2835" w:type="dxa"/>
            <w:noWrap/>
            <w:hideMark/>
          </w:tcPr>
          <w:p w14:paraId="14CC8A8A"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Median (Range) 60.5 (26-85)</w:t>
            </w:r>
          </w:p>
        </w:tc>
        <w:tc>
          <w:tcPr>
            <w:tcW w:w="1417" w:type="dxa"/>
            <w:noWrap/>
            <w:hideMark/>
          </w:tcPr>
          <w:p w14:paraId="05EB9778"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53.85</w:t>
            </w:r>
          </w:p>
        </w:tc>
        <w:tc>
          <w:tcPr>
            <w:tcW w:w="1134" w:type="dxa"/>
            <w:noWrap/>
            <w:hideMark/>
          </w:tcPr>
          <w:p w14:paraId="3A1E8713"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276" w:type="dxa"/>
            <w:noWrap/>
            <w:hideMark/>
          </w:tcPr>
          <w:p w14:paraId="4030AB62"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14-42</w:t>
            </w:r>
          </w:p>
        </w:tc>
        <w:tc>
          <w:tcPr>
            <w:tcW w:w="992" w:type="dxa"/>
            <w:noWrap/>
            <w:hideMark/>
          </w:tcPr>
          <w:p w14:paraId="262BB362"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43" w:type="dxa"/>
            <w:noWrap/>
            <w:hideMark/>
          </w:tcPr>
          <w:p w14:paraId="758D75D7"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30.8</w:t>
            </w:r>
          </w:p>
        </w:tc>
      </w:tr>
      <w:tr w:rsidR="00E47CD1" w:rsidRPr="00A94C3B" w14:paraId="571C0489"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2547" w:type="dxa"/>
            <w:noWrap/>
            <w:hideMark/>
          </w:tcPr>
          <w:p w14:paraId="33488B7D"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701" w:type="dxa"/>
            <w:noWrap/>
            <w:hideMark/>
          </w:tcPr>
          <w:p w14:paraId="011BFDB3"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709" w:type="dxa"/>
            <w:noWrap/>
            <w:hideMark/>
          </w:tcPr>
          <w:p w14:paraId="29E073DA"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22C9320A"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2835" w:type="dxa"/>
            <w:noWrap/>
            <w:hideMark/>
          </w:tcPr>
          <w:p w14:paraId="1B915F52"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417" w:type="dxa"/>
            <w:noWrap/>
            <w:hideMark/>
          </w:tcPr>
          <w:p w14:paraId="33029908"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05B587A3"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276" w:type="dxa"/>
            <w:noWrap/>
            <w:hideMark/>
          </w:tcPr>
          <w:p w14:paraId="20212B22"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992" w:type="dxa"/>
            <w:noWrap/>
            <w:hideMark/>
          </w:tcPr>
          <w:p w14:paraId="338067F2"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643" w:type="dxa"/>
            <w:noWrap/>
            <w:hideMark/>
          </w:tcPr>
          <w:p w14:paraId="60206DAA"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 xml:space="preserve">　</w:t>
            </w:r>
          </w:p>
        </w:tc>
      </w:tr>
      <w:tr w:rsidR="00E47CD1" w:rsidRPr="00A94C3B" w14:paraId="1758FBD8" w14:textId="77777777" w:rsidTr="00EB22E5">
        <w:trPr>
          <w:cnfStyle w:val="000000100000" w:firstRow="0" w:lastRow="0" w:firstColumn="0" w:lastColumn="0" w:oddVBand="0" w:evenVBand="0" w:oddHBand="1" w:evenHBand="0" w:firstRowFirstColumn="0" w:firstRowLastColumn="0" w:lastRowFirstColumn="0" w:lastRowLastColumn="0"/>
          <w:trHeight w:val="588"/>
        </w:trPr>
        <w:tc>
          <w:tcPr>
            <w:cnfStyle w:val="001000000000" w:firstRow="0" w:lastRow="0" w:firstColumn="1" w:lastColumn="0" w:oddVBand="0" w:evenVBand="0" w:oddHBand="0" w:evenHBand="0" w:firstRowFirstColumn="0" w:firstRowLastColumn="0" w:lastRowFirstColumn="0" w:lastRowLastColumn="0"/>
            <w:tcW w:w="2547" w:type="dxa"/>
            <w:hideMark/>
          </w:tcPr>
          <w:p w14:paraId="68E6E1F8" w14:textId="77777777" w:rsidR="00E47CD1" w:rsidRDefault="00E47CD1" w:rsidP="00EB22E5">
            <w:pPr>
              <w:widowControl/>
              <w:wordWrap/>
              <w:autoSpaceDE/>
              <w:autoSpaceDN/>
              <w:jc w:val="center"/>
              <w:rPr>
                <w:rFonts w:ascii="Times New Roman" w:eastAsia="Malgun Gothic" w:hAnsi="Times New Roman" w:cs="Times New Roman"/>
                <w:b w:val="0"/>
                <w:bCs w:val="0"/>
                <w:color w:val="000000"/>
                <w:kern w:val="0"/>
                <w:sz w:val="22"/>
              </w:rPr>
            </w:pPr>
            <w:r w:rsidRPr="00A94C3B">
              <w:rPr>
                <w:rFonts w:ascii="Times New Roman" w:eastAsia="Malgun Gothic" w:hAnsi="Times New Roman" w:cs="Times New Roman"/>
                <w:color w:val="000000"/>
                <w:kern w:val="0"/>
                <w:sz w:val="22"/>
              </w:rPr>
              <w:t xml:space="preserve">MS </w:t>
            </w:r>
          </w:p>
          <w:p w14:paraId="7C77DE00"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r w:rsidRPr="00A94C3B">
              <w:rPr>
                <w:rFonts w:ascii="Times New Roman" w:eastAsia="Malgun Gothic" w:hAnsi="Times New Roman" w:cs="Times New Roman"/>
                <w:b w:val="0"/>
                <w:bCs w:val="0"/>
                <w:color w:val="000000"/>
                <w:kern w:val="0"/>
                <w:sz w:val="22"/>
              </w:rPr>
              <w:t>anti-CD20 Abs</w:t>
            </w:r>
            <w:r w:rsidRPr="00896AE8">
              <w:rPr>
                <w:rFonts w:ascii="Times New Roman" w:eastAsia="Malgun Gothic" w:hAnsi="Times New Roman" w:cs="Times New Roman"/>
                <w:b w:val="0"/>
                <w:bCs w:val="0"/>
                <w:color w:val="000000"/>
                <w:kern w:val="0"/>
                <w:sz w:val="22"/>
              </w:rPr>
              <w:t xml:space="preserve"> </w:t>
            </w:r>
            <w:r w:rsidRPr="00A94C3B">
              <w:rPr>
                <w:rFonts w:ascii="Times New Roman" w:eastAsia="Malgun Gothic" w:hAnsi="Times New Roman" w:cs="Times New Roman"/>
                <w:b w:val="0"/>
                <w:bCs w:val="0"/>
                <w:color w:val="000000"/>
                <w:kern w:val="0"/>
                <w:sz w:val="22"/>
              </w:rPr>
              <w:t>treated</w:t>
            </w:r>
          </w:p>
        </w:tc>
        <w:tc>
          <w:tcPr>
            <w:tcW w:w="1701" w:type="dxa"/>
            <w:noWrap/>
            <w:hideMark/>
          </w:tcPr>
          <w:p w14:paraId="1D8CB052"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F. Novak, 2021</w:t>
            </w:r>
          </w:p>
        </w:tc>
        <w:tc>
          <w:tcPr>
            <w:tcW w:w="709" w:type="dxa"/>
            <w:noWrap/>
            <w:hideMark/>
          </w:tcPr>
          <w:p w14:paraId="3954F941"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37</w:t>
            </w:r>
          </w:p>
        </w:tc>
        <w:tc>
          <w:tcPr>
            <w:tcW w:w="1134" w:type="dxa"/>
            <w:noWrap/>
            <w:hideMark/>
          </w:tcPr>
          <w:p w14:paraId="0BEB06B0"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Denmark</w:t>
            </w:r>
          </w:p>
        </w:tc>
        <w:tc>
          <w:tcPr>
            <w:tcW w:w="2835" w:type="dxa"/>
            <w:noWrap/>
            <w:hideMark/>
          </w:tcPr>
          <w:p w14:paraId="526C39C5"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Median (Range) 47 (24-62)</w:t>
            </w:r>
          </w:p>
        </w:tc>
        <w:tc>
          <w:tcPr>
            <w:tcW w:w="1417" w:type="dxa"/>
            <w:noWrap/>
            <w:hideMark/>
          </w:tcPr>
          <w:p w14:paraId="1CF11E60"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78.4</w:t>
            </w:r>
          </w:p>
        </w:tc>
        <w:tc>
          <w:tcPr>
            <w:tcW w:w="1134" w:type="dxa"/>
            <w:noWrap/>
            <w:hideMark/>
          </w:tcPr>
          <w:p w14:paraId="6926FA40"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276" w:type="dxa"/>
            <w:noWrap/>
            <w:hideMark/>
          </w:tcPr>
          <w:p w14:paraId="175B5DFE"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0-7</w:t>
            </w:r>
          </w:p>
        </w:tc>
        <w:tc>
          <w:tcPr>
            <w:tcW w:w="992" w:type="dxa"/>
            <w:noWrap/>
            <w:hideMark/>
          </w:tcPr>
          <w:p w14:paraId="27318C9A"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43" w:type="dxa"/>
            <w:noWrap/>
            <w:hideMark/>
          </w:tcPr>
          <w:p w14:paraId="32EBB3AE"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13.51</w:t>
            </w:r>
          </w:p>
        </w:tc>
      </w:tr>
      <w:tr w:rsidR="00E47CD1" w:rsidRPr="00A94C3B" w14:paraId="140BCF0B" w14:textId="77777777" w:rsidTr="00EB22E5">
        <w:trPr>
          <w:trHeight w:val="600"/>
        </w:trPr>
        <w:tc>
          <w:tcPr>
            <w:cnfStyle w:val="001000000000" w:firstRow="0" w:lastRow="0" w:firstColumn="1" w:lastColumn="0" w:oddVBand="0" w:evenVBand="0" w:oddHBand="0" w:evenHBand="0" w:firstRowFirstColumn="0" w:firstRowLastColumn="0" w:lastRowFirstColumn="0" w:lastRowLastColumn="0"/>
            <w:tcW w:w="2547" w:type="dxa"/>
            <w:hideMark/>
          </w:tcPr>
          <w:p w14:paraId="4BC25AF2"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701" w:type="dxa"/>
            <w:noWrap/>
            <w:hideMark/>
          </w:tcPr>
          <w:p w14:paraId="7A27C8B5"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F. Novak, 2021</w:t>
            </w:r>
          </w:p>
        </w:tc>
        <w:tc>
          <w:tcPr>
            <w:tcW w:w="709" w:type="dxa"/>
            <w:noWrap/>
            <w:hideMark/>
          </w:tcPr>
          <w:p w14:paraId="634BBCF1"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37</w:t>
            </w:r>
          </w:p>
        </w:tc>
        <w:tc>
          <w:tcPr>
            <w:tcW w:w="1134" w:type="dxa"/>
            <w:noWrap/>
            <w:hideMark/>
          </w:tcPr>
          <w:p w14:paraId="6B9C46AF"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Denmark</w:t>
            </w:r>
          </w:p>
        </w:tc>
        <w:tc>
          <w:tcPr>
            <w:tcW w:w="2835" w:type="dxa"/>
            <w:noWrap/>
            <w:hideMark/>
          </w:tcPr>
          <w:p w14:paraId="65509F4F"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Median (Range) 47 (24-62)</w:t>
            </w:r>
          </w:p>
        </w:tc>
        <w:tc>
          <w:tcPr>
            <w:tcW w:w="1417" w:type="dxa"/>
            <w:noWrap/>
            <w:hideMark/>
          </w:tcPr>
          <w:p w14:paraId="60FC7DBA"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78.4</w:t>
            </w:r>
          </w:p>
        </w:tc>
        <w:tc>
          <w:tcPr>
            <w:tcW w:w="1134" w:type="dxa"/>
            <w:noWrap/>
            <w:hideMark/>
          </w:tcPr>
          <w:p w14:paraId="51703537"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276" w:type="dxa"/>
            <w:noWrap/>
            <w:hideMark/>
          </w:tcPr>
          <w:p w14:paraId="58B6675B"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14-28</w:t>
            </w:r>
          </w:p>
        </w:tc>
        <w:tc>
          <w:tcPr>
            <w:tcW w:w="992" w:type="dxa"/>
            <w:noWrap/>
            <w:hideMark/>
          </w:tcPr>
          <w:p w14:paraId="68A7E8DF"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43" w:type="dxa"/>
            <w:noWrap/>
            <w:hideMark/>
          </w:tcPr>
          <w:p w14:paraId="0C9D928C"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35.14</w:t>
            </w:r>
          </w:p>
        </w:tc>
      </w:tr>
      <w:tr w:rsidR="00E47CD1" w:rsidRPr="00A94C3B" w14:paraId="2D7025EA"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547" w:type="dxa"/>
            <w:hideMark/>
          </w:tcPr>
          <w:p w14:paraId="241285BB"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701" w:type="dxa"/>
            <w:noWrap/>
            <w:hideMark/>
          </w:tcPr>
          <w:p w14:paraId="75A11B44"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709" w:type="dxa"/>
            <w:noWrap/>
            <w:hideMark/>
          </w:tcPr>
          <w:p w14:paraId="409FF2B8" w14:textId="77777777" w:rsidR="00E47CD1" w:rsidRPr="00A94C3B"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532F4FCA" w14:textId="77777777" w:rsidR="00E47CD1" w:rsidRPr="00A94C3B"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2835" w:type="dxa"/>
            <w:noWrap/>
            <w:hideMark/>
          </w:tcPr>
          <w:p w14:paraId="5914D525"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417" w:type="dxa"/>
            <w:noWrap/>
            <w:hideMark/>
          </w:tcPr>
          <w:p w14:paraId="0F41C157" w14:textId="77777777" w:rsidR="00E47CD1" w:rsidRPr="00A94C3B"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68A2D25D"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276" w:type="dxa"/>
            <w:noWrap/>
            <w:hideMark/>
          </w:tcPr>
          <w:p w14:paraId="496D169F"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992" w:type="dxa"/>
            <w:noWrap/>
            <w:hideMark/>
          </w:tcPr>
          <w:p w14:paraId="7909AD9F"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643" w:type="dxa"/>
            <w:noWrap/>
            <w:hideMark/>
          </w:tcPr>
          <w:p w14:paraId="0356A121" w14:textId="77777777" w:rsidR="00E47CD1" w:rsidRPr="00A94C3B" w:rsidRDefault="00E47CD1" w:rsidP="00EB22E5">
            <w:pPr>
              <w:widowControl/>
              <w:wordWrap/>
              <w:autoSpaceDE/>
              <w:autoSpaceDN/>
              <w:jc w:val="lef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 xml:space="preserve">　</w:t>
            </w:r>
          </w:p>
        </w:tc>
      </w:tr>
      <w:tr w:rsidR="00E47CD1" w:rsidRPr="00A94C3B" w14:paraId="54D2FB4B"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2547" w:type="dxa"/>
            <w:noWrap/>
            <w:hideMark/>
          </w:tcPr>
          <w:p w14:paraId="426B3AF4"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Other</w:t>
            </w:r>
          </w:p>
        </w:tc>
        <w:tc>
          <w:tcPr>
            <w:tcW w:w="1701" w:type="dxa"/>
            <w:noWrap/>
            <w:hideMark/>
          </w:tcPr>
          <w:p w14:paraId="26C17E48"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V. Furer, 2021</w:t>
            </w:r>
          </w:p>
        </w:tc>
        <w:tc>
          <w:tcPr>
            <w:tcW w:w="709" w:type="dxa"/>
            <w:noWrap/>
            <w:hideMark/>
          </w:tcPr>
          <w:p w14:paraId="68164940"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23</w:t>
            </w:r>
          </w:p>
        </w:tc>
        <w:tc>
          <w:tcPr>
            <w:tcW w:w="1134" w:type="dxa"/>
            <w:noWrap/>
            <w:hideMark/>
          </w:tcPr>
          <w:p w14:paraId="3A0505D3"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Israel</w:t>
            </w:r>
          </w:p>
        </w:tc>
        <w:tc>
          <w:tcPr>
            <w:tcW w:w="2835" w:type="dxa"/>
            <w:noWrap/>
            <w:hideMark/>
          </w:tcPr>
          <w:p w14:paraId="6DBD46DE"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Median (Range) 56 (19-77)</w:t>
            </w:r>
          </w:p>
        </w:tc>
        <w:tc>
          <w:tcPr>
            <w:tcW w:w="1417" w:type="dxa"/>
            <w:noWrap/>
            <w:hideMark/>
          </w:tcPr>
          <w:p w14:paraId="11549CFA"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52.17</w:t>
            </w:r>
          </w:p>
        </w:tc>
        <w:tc>
          <w:tcPr>
            <w:tcW w:w="1134" w:type="dxa"/>
            <w:noWrap/>
            <w:hideMark/>
          </w:tcPr>
          <w:p w14:paraId="7616CCB4"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276" w:type="dxa"/>
            <w:noWrap/>
            <w:hideMark/>
          </w:tcPr>
          <w:p w14:paraId="63B803D5"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14-42</w:t>
            </w:r>
          </w:p>
        </w:tc>
        <w:tc>
          <w:tcPr>
            <w:tcW w:w="992" w:type="dxa"/>
            <w:noWrap/>
            <w:hideMark/>
          </w:tcPr>
          <w:p w14:paraId="2577F8B1"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43" w:type="dxa"/>
            <w:noWrap/>
            <w:hideMark/>
          </w:tcPr>
          <w:p w14:paraId="068C70E0"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86.6</w:t>
            </w:r>
          </w:p>
        </w:tc>
      </w:tr>
    </w:tbl>
    <w:p w14:paraId="68FF34DA" w14:textId="77777777" w:rsidR="00E47CD1" w:rsidRDefault="00E47CD1" w:rsidP="00E47CD1">
      <w:pPr>
        <w:widowControl/>
        <w:wordWrap/>
        <w:autoSpaceDE/>
        <w:autoSpaceDN/>
        <w:rPr>
          <w:rFonts w:ascii="Times New Roman" w:hAnsi="Times New Roman" w:cs="Times New Roman"/>
          <w:b/>
          <w:bCs/>
        </w:rPr>
      </w:pPr>
      <w:r>
        <w:rPr>
          <w:rFonts w:ascii="Times New Roman" w:hAnsi="Times New Roman" w:cs="Times New Roman"/>
          <w:b/>
          <w:bCs/>
        </w:rPr>
        <w:lastRenderedPageBreak/>
        <w:t>Supplement</w:t>
      </w:r>
      <w:r w:rsidRPr="00804210">
        <w:rPr>
          <w:rFonts w:ascii="Times New Roman" w:hAnsi="Times New Roman" w:cs="Times New Roman"/>
          <w:b/>
          <w:bCs/>
        </w:rPr>
        <w:t xml:space="preserve"> </w:t>
      </w:r>
      <w:r>
        <w:rPr>
          <w:rFonts w:ascii="Times New Roman" w:hAnsi="Times New Roman" w:cs="Times New Roman" w:hint="eastAsia"/>
          <w:b/>
          <w:bCs/>
        </w:rPr>
        <w:t>6</w:t>
      </w:r>
      <w:r w:rsidRPr="00804210">
        <w:rPr>
          <w:rFonts w:ascii="Times New Roman" w:hAnsi="Times New Roman" w:cs="Times New Roman"/>
          <w:b/>
          <w:bCs/>
        </w:rPr>
        <w:t>. SARS-CoV-2 seropositivity among dialysis or transplant patients</w:t>
      </w:r>
      <w:r>
        <w:rPr>
          <w:rFonts w:ascii="Times New Roman" w:hAnsi="Times New Roman" w:cs="Times New Roman"/>
          <w:b/>
          <w:bCs/>
        </w:rPr>
        <w:t xml:space="preserve"> </w:t>
      </w:r>
    </w:p>
    <w:p w14:paraId="219B7EC4" w14:textId="77777777" w:rsidR="00E47CD1" w:rsidRDefault="00E47CD1" w:rsidP="00E47CD1">
      <w:pPr>
        <w:widowControl/>
        <w:wordWrap/>
        <w:autoSpaceDE/>
        <w:autoSpaceDN/>
        <w:rPr>
          <w:rFonts w:ascii="Times New Roman" w:hAnsi="Times New Roman" w:cs="Times New Roman"/>
          <w:b/>
          <w:bCs/>
        </w:rPr>
      </w:pPr>
      <w:r w:rsidRPr="00A94C3B">
        <w:rPr>
          <w:rFonts w:ascii="Times New Roman" w:eastAsia="Malgun Gothic" w:hAnsi="Times New Roman" w:cs="Times New Roman"/>
          <w:b/>
          <w:bCs/>
          <w:color w:val="000000"/>
          <w:kern w:val="0"/>
          <w:sz w:val="22"/>
        </w:rPr>
        <w:t>†</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Vaccination</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was</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performed</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at</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least</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30</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days</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before</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transplantation,</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and</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seropositivity</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was</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measured</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at</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least</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30</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days</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after</w:t>
      </w:r>
      <w:r>
        <w:rPr>
          <w:rFonts w:ascii="Times New Roman" w:eastAsia="Malgun Gothic" w:hAnsi="Times New Roman" w:cs="Times New Roman"/>
          <w:color w:val="000000"/>
          <w:kern w:val="0"/>
          <w:sz w:val="22"/>
        </w:rPr>
        <w:t xml:space="preserve"> </w:t>
      </w:r>
      <w:r>
        <w:rPr>
          <w:rFonts w:ascii="Times New Roman" w:eastAsia="Malgun Gothic" w:hAnsi="Times New Roman" w:cs="Times New Roman" w:hint="eastAsia"/>
          <w:color w:val="000000"/>
          <w:kern w:val="0"/>
          <w:sz w:val="22"/>
        </w:rPr>
        <w:t>transplantation.)</w:t>
      </w:r>
    </w:p>
    <w:tbl>
      <w:tblPr>
        <w:tblStyle w:val="GridTable2-Accent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2"/>
        <w:gridCol w:w="1701"/>
        <w:gridCol w:w="851"/>
        <w:gridCol w:w="1417"/>
        <w:gridCol w:w="1701"/>
        <w:gridCol w:w="1276"/>
        <w:gridCol w:w="1559"/>
        <w:gridCol w:w="1134"/>
        <w:gridCol w:w="1134"/>
        <w:gridCol w:w="1633"/>
      </w:tblGrid>
      <w:tr w:rsidR="00E47CD1" w:rsidRPr="00A94C3B" w14:paraId="1491D440" w14:textId="77777777" w:rsidTr="00EB22E5">
        <w:trPr>
          <w:cnfStyle w:val="100000000000" w:firstRow="1" w:lastRow="0" w:firstColumn="0" w:lastColumn="0" w:oddVBand="0" w:evenVBand="0" w:oddHBand="0" w:evenHBand="0" w:firstRowFirstColumn="0" w:firstRowLastColumn="0" w:lastRowFirstColumn="0" w:lastRowLastColumn="0"/>
          <w:trHeight w:val="1056"/>
        </w:trPr>
        <w:tc>
          <w:tcPr>
            <w:cnfStyle w:val="001000000000" w:firstRow="0" w:lastRow="0" w:firstColumn="1" w:lastColumn="0" w:oddVBand="0" w:evenVBand="0" w:oddHBand="0" w:evenHBand="0" w:firstRowFirstColumn="0" w:firstRowLastColumn="0" w:lastRowFirstColumn="0" w:lastRowLastColumn="0"/>
            <w:tcW w:w="2972" w:type="dxa"/>
            <w:noWrap/>
            <w:hideMark/>
          </w:tcPr>
          <w:p w14:paraId="655AEA6F"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Population</w:t>
            </w:r>
          </w:p>
        </w:tc>
        <w:tc>
          <w:tcPr>
            <w:tcW w:w="1701" w:type="dxa"/>
            <w:noWrap/>
            <w:hideMark/>
          </w:tcPr>
          <w:p w14:paraId="6BE09E3B"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Author, year</w:t>
            </w:r>
          </w:p>
        </w:tc>
        <w:tc>
          <w:tcPr>
            <w:tcW w:w="851" w:type="dxa"/>
            <w:noWrap/>
            <w:hideMark/>
          </w:tcPr>
          <w:p w14:paraId="23232B95"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n</w:t>
            </w:r>
          </w:p>
        </w:tc>
        <w:tc>
          <w:tcPr>
            <w:tcW w:w="1417" w:type="dxa"/>
            <w:noWrap/>
            <w:hideMark/>
          </w:tcPr>
          <w:p w14:paraId="174BA735"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Country</w:t>
            </w:r>
          </w:p>
        </w:tc>
        <w:tc>
          <w:tcPr>
            <w:tcW w:w="1701" w:type="dxa"/>
            <w:noWrap/>
            <w:hideMark/>
          </w:tcPr>
          <w:p w14:paraId="4C5A58F2"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Age</w:t>
            </w:r>
          </w:p>
        </w:tc>
        <w:tc>
          <w:tcPr>
            <w:tcW w:w="1276" w:type="dxa"/>
            <w:hideMark/>
          </w:tcPr>
          <w:p w14:paraId="41131AB3"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Sex </w:t>
            </w:r>
            <w:r w:rsidRPr="00A94C3B">
              <w:rPr>
                <w:rFonts w:ascii="Times New Roman" w:eastAsia="Malgun Gothic" w:hAnsi="Times New Roman" w:cs="Times New Roman"/>
                <w:color w:val="000000"/>
                <w:kern w:val="0"/>
                <w:sz w:val="22"/>
              </w:rPr>
              <w:br/>
              <w:t>(female %)</w:t>
            </w:r>
          </w:p>
        </w:tc>
        <w:tc>
          <w:tcPr>
            <w:tcW w:w="1559" w:type="dxa"/>
            <w:noWrap/>
            <w:hideMark/>
          </w:tcPr>
          <w:p w14:paraId="14F41641"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Vaccine</w:t>
            </w:r>
          </w:p>
        </w:tc>
        <w:tc>
          <w:tcPr>
            <w:tcW w:w="1134" w:type="dxa"/>
            <w:hideMark/>
          </w:tcPr>
          <w:p w14:paraId="73066B31"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Test Date </w:t>
            </w:r>
            <w:r w:rsidRPr="00A94C3B">
              <w:rPr>
                <w:rFonts w:ascii="Times New Roman" w:eastAsia="Malgun Gothic" w:hAnsi="Times New Roman" w:cs="Times New Roman"/>
                <w:color w:val="000000"/>
                <w:kern w:val="0"/>
                <w:sz w:val="22"/>
              </w:rPr>
              <w:br/>
              <w:t>(day)</w:t>
            </w:r>
          </w:p>
        </w:tc>
        <w:tc>
          <w:tcPr>
            <w:tcW w:w="1134" w:type="dxa"/>
            <w:noWrap/>
            <w:hideMark/>
          </w:tcPr>
          <w:p w14:paraId="584B1DC0"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Dose</w:t>
            </w:r>
          </w:p>
        </w:tc>
        <w:tc>
          <w:tcPr>
            <w:tcW w:w="1633" w:type="dxa"/>
            <w:hideMark/>
          </w:tcPr>
          <w:p w14:paraId="54C13EC4" w14:textId="77777777" w:rsidR="00E47CD1" w:rsidRPr="00A94C3B"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Seropositivity </w:t>
            </w:r>
            <w:r w:rsidRPr="00A94C3B">
              <w:rPr>
                <w:rFonts w:ascii="Times New Roman" w:eastAsia="Malgun Gothic" w:hAnsi="Times New Roman" w:cs="Times New Roman"/>
                <w:color w:val="000000"/>
                <w:kern w:val="0"/>
                <w:sz w:val="22"/>
              </w:rPr>
              <w:br/>
              <w:t>(%)</w:t>
            </w:r>
          </w:p>
        </w:tc>
      </w:tr>
      <w:tr w:rsidR="00E47CD1" w:rsidRPr="00A94C3B" w14:paraId="4F400353"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972" w:type="dxa"/>
            <w:noWrap/>
            <w:hideMark/>
          </w:tcPr>
          <w:p w14:paraId="39885612"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Hemodialysis</w:t>
            </w:r>
          </w:p>
        </w:tc>
        <w:tc>
          <w:tcPr>
            <w:tcW w:w="1701" w:type="dxa"/>
            <w:noWrap/>
            <w:hideMark/>
          </w:tcPr>
          <w:p w14:paraId="3E5ABA92"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E. Lacson, 2021</w:t>
            </w:r>
          </w:p>
        </w:tc>
        <w:tc>
          <w:tcPr>
            <w:tcW w:w="851" w:type="dxa"/>
            <w:noWrap/>
            <w:hideMark/>
          </w:tcPr>
          <w:p w14:paraId="39B43833"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133</w:t>
            </w:r>
          </w:p>
        </w:tc>
        <w:tc>
          <w:tcPr>
            <w:tcW w:w="1417" w:type="dxa"/>
            <w:noWrap/>
            <w:hideMark/>
          </w:tcPr>
          <w:p w14:paraId="51DCC91A"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US</w:t>
            </w:r>
          </w:p>
        </w:tc>
        <w:tc>
          <w:tcPr>
            <w:tcW w:w="1701" w:type="dxa"/>
            <w:noWrap/>
            <w:hideMark/>
          </w:tcPr>
          <w:p w14:paraId="1E1BDCB7" w14:textId="77777777" w:rsidR="00E47CD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Mean (SD) </w:t>
            </w:r>
          </w:p>
          <w:p w14:paraId="2DEF0C08"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71.2 (10.6)</w:t>
            </w:r>
          </w:p>
        </w:tc>
        <w:tc>
          <w:tcPr>
            <w:tcW w:w="1276" w:type="dxa"/>
            <w:noWrap/>
            <w:hideMark/>
          </w:tcPr>
          <w:p w14:paraId="46AD678C"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45.8</w:t>
            </w:r>
          </w:p>
        </w:tc>
        <w:tc>
          <w:tcPr>
            <w:tcW w:w="1559" w:type="dxa"/>
            <w:noWrap/>
            <w:hideMark/>
          </w:tcPr>
          <w:p w14:paraId="056A3B22"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134" w:type="dxa"/>
            <w:noWrap/>
            <w:hideMark/>
          </w:tcPr>
          <w:p w14:paraId="576B2F96"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15-30</w:t>
            </w:r>
          </w:p>
        </w:tc>
        <w:tc>
          <w:tcPr>
            <w:tcW w:w="1134" w:type="dxa"/>
            <w:noWrap/>
            <w:hideMark/>
          </w:tcPr>
          <w:p w14:paraId="460D7C16"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33" w:type="dxa"/>
            <w:noWrap/>
            <w:hideMark/>
          </w:tcPr>
          <w:p w14:paraId="0E5E35BB"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84.96</w:t>
            </w:r>
          </w:p>
        </w:tc>
      </w:tr>
      <w:tr w:rsidR="00E47CD1" w:rsidRPr="00A94C3B" w14:paraId="08952788"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2972" w:type="dxa"/>
            <w:noWrap/>
            <w:hideMark/>
          </w:tcPr>
          <w:p w14:paraId="65CC706D"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701" w:type="dxa"/>
            <w:noWrap/>
            <w:hideMark/>
          </w:tcPr>
          <w:p w14:paraId="6F01E74D"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E. Lacson, 2021</w:t>
            </w:r>
          </w:p>
        </w:tc>
        <w:tc>
          <w:tcPr>
            <w:tcW w:w="851" w:type="dxa"/>
            <w:noWrap/>
            <w:hideMark/>
          </w:tcPr>
          <w:p w14:paraId="37136FC8"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15</w:t>
            </w:r>
          </w:p>
        </w:tc>
        <w:tc>
          <w:tcPr>
            <w:tcW w:w="1417" w:type="dxa"/>
            <w:noWrap/>
            <w:hideMark/>
          </w:tcPr>
          <w:p w14:paraId="7FB41A67"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US</w:t>
            </w:r>
          </w:p>
        </w:tc>
        <w:tc>
          <w:tcPr>
            <w:tcW w:w="1701" w:type="dxa"/>
            <w:noWrap/>
            <w:hideMark/>
          </w:tcPr>
          <w:p w14:paraId="3B65DDF3" w14:textId="77777777" w:rsidR="00E47CD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Mean (SD) </w:t>
            </w:r>
          </w:p>
          <w:p w14:paraId="4E0088EB"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67.9 (12.2)</w:t>
            </w:r>
          </w:p>
        </w:tc>
        <w:tc>
          <w:tcPr>
            <w:tcW w:w="1276" w:type="dxa"/>
            <w:noWrap/>
            <w:hideMark/>
          </w:tcPr>
          <w:p w14:paraId="059190D1"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61.1</w:t>
            </w:r>
          </w:p>
        </w:tc>
        <w:tc>
          <w:tcPr>
            <w:tcW w:w="1559" w:type="dxa"/>
            <w:noWrap/>
            <w:hideMark/>
          </w:tcPr>
          <w:p w14:paraId="3C6D558D"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Moderna</w:t>
            </w:r>
          </w:p>
        </w:tc>
        <w:tc>
          <w:tcPr>
            <w:tcW w:w="1134" w:type="dxa"/>
            <w:noWrap/>
            <w:hideMark/>
          </w:tcPr>
          <w:p w14:paraId="4977E1D5"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15-30</w:t>
            </w:r>
          </w:p>
        </w:tc>
        <w:tc>
          <w:tcPr>
            <w:tcW w:w="1134" w:type="dxa"/>
            <w:noWrap/>
            <w:hideMark/>
          </w:tcPr>
          <w:p w14:paraId="171F7987"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33" w:type="dxa"/>
            <w:noWrap/>
            <w:hideMark/>
          </w:tcPr>
          <w:p w14:paraId="2D85FF05"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93.33</w:t>
            </w:r>
          </w:p>
        </w:tc>
      </w:tr>
      <w:tr w:rsidR="00E47CD1" w:rsidRPr="00A94C3B" w14:paraId="552AFF35"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972" w:type="dxa"/>
            <w:noWrap/>
            <w:hideMark/>
          </w:tcPr>
          <w:p w14:paraId="5D1A2F2C"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701" w:type="dxa"/>
            <w:noWrap/>
            <w:hideMark/>
          </w:tcPr>
          <w:p w14:paraId="50908F9D"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A. Murt, 2021</w:t>
            </w:r>
          </w:p>
        </w:tc>
        <w:tc>
          <w:tcPr>
            <w:tcW w:w="851" w:type="dxa"/>
            <w:noWrap/>
            <w:hideMark/>
          </w:tcPr>
          <w:p w14:paraId="54E251B3"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50</w:t>
            </w:r>
          </w:p>
        </w:tc>
        <w:tc>
          <w:tcPr>
            <w:tcW w:w="1417" w:type="dxa"/>
            <w:noWrap/>
            <w:hideMark/>
          </w:tcPr>
          <w:p w14:paraId="09652DCD"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Turkey</w:t>
            </w:r>
          </w:p>
        </w:tc>
        <w:tc>
          <w:tcPr>
            <w:tcW w:w="1701" w:type="dxa"/>
            <w:noWrap/>
            <w:hideMark/>
          </w:tcPr>
          <w:p w14:paraId="099AC8EC" w14:textId="77777777" w:rsidR="00E47CD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Mean (SD) </w:t>
            </w:r>
          </w:p>
          <w:p w14:paraId="121AC919"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61.3 (15.1)</w:t>
            </w:r>
          </w:p>
        </w:tc>
        <w:tc>
          <w:tcPr>
            <w:tcW w:w="1276" w:type="dxa"/>
            <w:noWrap/>
            <w:hideMark/>
          </w:tcPr>
          <w:p w14:paraId="28A182E0"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42</w:t>
            </w:r>
          </w:p>
        </w:tc>
        <w:tc>
          <w:tcPr>
            <w:tcW w:w="1559" w:type="dxa"/>
            <w:noWrap/>
            <w:hideMark/>
          </w:tcPr>
          <w:p w14:paraId="57268717"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CoronaVac</w:t>
            </w:r>
          </w:p>
        </w:tc>
        <w:tc>
          <w:tcPr>
            <w:tcW w:w="1134" w:type="dxa"/>
            <w:noWrap/>
            <w:hideMark/>
          </w:tcPr>
          <w:p w14:paraId="7C1974A3"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21-28</w:t>
            </w:r>
          </w:p>
        </w:tc>
        <w:tc>
          <w:tcPr>
            <w:tcW w:w="1134" w:type="dxa"/>
            <w:noWrap/>
            <w:hideMark/>
          </w:tcPr>
          <w:p w14:paraId="779C9802"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33" w:type="dxa"/>
            <w:noWrap/>
            <w:hideMark/>
          </w:tcPr>
          <w:p w14:paraId="4D807C3D"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80</w:t>
            </w:r>
          </w:p>
        </w:tc>
      </w:tr>
      <w:tr w:rsidR="00E47CD1" w:rsidRPr="00A94C3B" w14:paraId="607513A1"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2972" w:type="dxa"/>
            <w:noWrap/>
            <w:hideMark/>
          </w:tcPr>
          <w:p w14:paraId="6D8D864B"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701" w:type="dxa"/>
            <w:noWrap/>
            <w:hideMark/>
          </w:tcPr>
          <w:p w14:paraId="6965D69E"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851" w:type="dxa"/>
            <w:noWrap/>
            <w:hideMark/>
          </w:tcPr>
          <w:p w14:paraId="02E7507B"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417" w:type="dxa"/>
            <w:noWrap/>
            <w:hideMark/>
          </w:tcPr>
          <w:p w14:paraId="7F07336E"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701" w:type="dxa"/>
            <w:noWrap/>
            <w:hideMark/>
          </w:tcPr>
          <w:p w14:paraId="524CFE5F"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276" w:type="dxa"/>
            <w:noWrap/>
            <w:hideMark/>
          </w:tcPr>
          <w:p w14:paraId="6EC75335"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559" w:type="dxa"/>
            <w:noWrap/>
            <w:hideMark/>
          </w:tcPr>
          <w:p w14:paraId="6FD00A24"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1B220AE1"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040820B3"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633" w:type="dxa"/>
            <w:noWrap/>
            <w:hideMark/>
          </w:tcPr>
          <w:p w14:paraId="46DB2707"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 xml:space="preserve">　</w:t>
            </w:r>
          </w:p>
        </w:tc>
      </w:tr>
      <w:tr w:rsidR="00E47CD1" w:rsidRPr="00A94C3B" w14:paraId="5FDF3B0E"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972" w:type="dxa"/>
            <w:noWrap/>
            <w:hideMark/>
          </w:tcPr>
          <w:p w14:paraId="067EEA66"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Heart transplant</w:t>
            </w:r>
          </w:p>
        </w:tc>
        <w:tc>
          <w:tcPr>
            <w:tcW w:w="1701" w:type="dxa"/>
            <w:noWrap/>
            <w:hideMark/>
          </w:tcPr>
          <w:p w14:paraId="4DF2F58A"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O. Itzhaki, 2021</w:t>
            </w:r>
          </w:p>
        </w:tc>
        <w:tc>
          <w:tcPr>
            <w:tcW w:w="851" w:type="dxa"/>
            <w:noWrap/>
            <w:hideMark/>
          </w:tcPr>
          <w:p w14:paraId="7CC28898"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39</w:t>
            </w:r>
          </w:p>
        </w:tc>
        <w:tc>
          <w:tcPr>
            <w:tcW w:w="1417" w:type="dxa"/>
            <w:noWrap/>
            <w:hideMark/>
          </w:tcPr>
          <w:p w14:paraId="4DFF2AC6"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Israel</w:t>
            </w:r>
          </w:p>
        </w:tc>
        <w:tc>
          <w:tcPr>
            <w:tcW w:w="1701" w:type="dxa"/>
            <w:noWrap/>
            <w:hideMark/>
          </w:tcPr>
          <w:p w14:paraId="5118DC00" w14:textId="77777777" w:rsidR="00E47CD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Median (IQR) </w:t>
            </w:r>
          </w:p>
          <w:p w14:paraId="41BCBF52"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61 (64-69)</w:t>
            </w:r>
          </w:p>
        </w:tc>
        <w:tc>
          <w:tcPr>
            <w:tcW w:w="1276" w:type="dxa"/>
            <w:noWrap/>
            <w:hideMark/>
          </w:tcPr>
          <w:p w14:paraId="01048608"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17</w:t>
            </w:r>
          </w:p>
        </w:tc>
        <w:tc>
          <w:tcPr>
            <w:tcW w:w="1559" w:type="dxa"/>
            <w:noWrap/>
            <w:hideMark/>
          </w:tcPr>
          <w:p w14:paraId="2596A132"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134" w:type="dxa"/>
            <w:noWrap/>
            <w:hideMark/>
          </w:tcPr>
          <w:p w14:paraId="1EB2CF2A"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0-5</w:t>
            </w:r>
          </w:p>
        </w:tc>
        <w:tc>
          <w:tcPr>
            <w:tcW w:w="1134" w:type="dxa"/>
            <w:noWrap/>
            <w:hideMark/>
          </w:tcPr>
          <w:p w14:paraId="4CC22EA0"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33" w:type="dxa"/>
            <w:noWrap/>
            <w:hideMark/>
          </w:tcPr>
          <w:p w14:paraId="50838056"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15</w:t>
            </w:r>
          </w:p>
        </w:tc>
      </w:tr>
      <w:tr w:rsidR="00E47CD1" w:rsidRPr="00A94C3B" w14:paraId="4E5A5502"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2972" w:type="dxa"/>
            <w:noWrap/>
            <w:hideMark/>
          </w:tcPr>
          <w:p w14:paraId="11E983CC"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701" w:type="dxa"/>
            <w:noWrap/>
            <w:hideMark/>
          </w:tcPr>
          <w:p w14:paraId="4671D850"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O. Itzhaki, 2021</w:t>
            </w:r>
          </w:p>
        </w:tc>
        <w:tc>
          <w:tcPr>
            <w:tcW w:w="851" w:type="dxa"/>
            <w:noWrap/>
            <w:hideMark/>
          </w:tcPr>
          <w:p w14:paraId="18845F8A"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37</w:t>
            </w:r>
          </w:p>
        </w:tc>
        <w:tc>
          <w:tcPr>
            <w:tcW w:w="1417" w:type="dxa"/>
            <w:noWrap/>
            <w:hideMark/>
          </w:tcPr>
          <w:p w14:paraId="2951E8E2"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Israel</w:t>
            </w:r>
          </w:p>
        </w:tc>
        <w:tc>
          <w:tcPr>
            <w:tcW w:w="1701" w:type="dxa"/>
            <w:noWrap/>
            <w:hideMark/>
          </w:tcPr>
          <w:p w14:paraId="465FDEF9" w14:textId="77777777" w:rsidR="00E47CD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Median (IQR) </w:t>
            </w:r>
          </w:p>
          <w:p w14:paraId="66F9CB20"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61 (64-69)</w:t>
            </w:r>
          </w:p>
        </w:tc>
        <w:tc>
          <w:tcPr>
            <w:tcW w:w="1276" w:type="dxa"/>
            <w:noWrap/>
            <w:hideMark/>
          </w:tcPr>
          <w:p w14:paraId="17F26E35"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17</w:t>
            </w:r>
          </w:p>
        </w:tc>
        <w:tc>
          <w:tcPr>
            <w:tcW w:w="1559" w:type="dxa"/>
            <w:noWrap/>
            <w:hideMark/>
          </w:tcPr>
          <w:p w14:paraId="4A7AAA17"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134" w:type="dxa"/>
            <w:noWrap/>
            <w:hideMark/>
          </w:tcPr>
          <w:p w14:paraId="5EDC0F18"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14-19</w:t>
            </w:r>
          </w:p>
        </w:tc>
        <w:tc>
          <w:tcPr>
            <w:tcW w:w="1134" w:type="dxa"/>
            <w:noWrap/>
            <w:hideMark/>
          </w:tcPr>
          <w:p w14:paraId="3B3BE449"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33" w:type="dxa"/>
            <w:noWrap/>
            <w:hideMark/>
          </w:tcPr>
          <w:p w14:paraId="03B192D3"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49</w:t>
            </w:r>
          </w:p>
        </w:tc>
      </w:tr>
      <w:tr w:rsidR="00E47CD1" w:rsidRPr="00A94C3B" w14:paraId="51144572"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972" w:type="dxa"/>
            <w:noWrap/>
            <w:hideMark/>
          </w:tcPr>
          <w:p w14:paraId="7A7C1BF1"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701" w:type="dxa"/>
            <w:noWrap/>
            <w:hideMark/>
          </w:tcPr>
          <w:p w14:paraId="0648F42D"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851" w:type="dxa"/>
            <w:noWrap/>
            <w:hideMark/>
          </w:tcPr>
          <w:p w14:paraId="37CC0D22"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417" w:type="dxa"/>
            <w:noWrap/>
            <w:hideMark/>
          </w:tcPr>
          <w:p w14:paraId="2A20A054"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701" w:type="dxa"/>
            <w:noWrap/>
            <w:hideMark/>
          </w:tcPr>
          <w:p w14:paraId="40B37B3A"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276" w:type="dxa"/>
            <w:noWrap/>
            <w:hideMark/>
          </w:tcPr>
          <w:p w14:paraId="408B2933"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559" w:type="dxa"/>
            <w:noWrap/>
            <w:hideMark/>
          </w:tcPr>
          <w:p w14:paraId="35B86E28"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7F66CC32"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25B487F0"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633" w:type="dxa"/>
            <w:noWrap/>
            <w:hideMark/>
          </w:tcPr>
          <w:p w14:paraId="19CFB9B6"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 xml:space="preserve">　</w:t>
            </w:r>
          </w:p>
        </w:tc>
      </w:tr>
      <w:tr w:rsidR="00E47CD1" w:rsidRPr="00A94C3B" w14:paraId="244D7D99"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2972" w:type="dxa"/>
            <w:noWrap/>
            <w:hideMark/>
          </w:tcPr>
          <w:p w14:paraId="11B90773"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Kidney transplant</w:t>
            </w:r>
          </w:p>
        </w:tc>
        <w:tc>
          <w:tcPr>
            <w:tcW w:w="1701" w:type="dxa"/>
            <w:noWrap/>
            <w:hideMark/>
          </w:tcPr>
          <w:p w14:paraId="025F82E0"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B. Rozen-Zvi, 2021</w:t>
            </w:r>
          </w:p>
        </w:tc>
        <w:tc>
          <w:tcPr>
            <w:tcW w:w="851" w:type="dxa"/>
            <w:noWrap/>
            <w:hideMark/>
          </w:tcPr>
          <w:p w14:paraId="252C726A"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308</w:t>
            </w:r>
          </w:p>
        </w:tc>
        <w:tc>
          <w:tcPr>
            <w:tcW w:w="1417" w:type="dxa"/>
            <w:noWrap/>
            <w:hideMark/>
          </w:tcPr>
          <w:p w14:paraId="352E1857"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Israel</w:t>
            </w:r>
          </w:p>
        </w:tc>
        <w:tc>
          <w:tcPr>
            <w:tcW w:w="1701" w:type="dxa"/>
            <w:noWrap/>
            <w:hideMark/>
          </w:tcPr>
          <w:p w14:paraId="44688531" w14:textId="77777777" w:rsidR="00E47CD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Mean (SD) </w:t>
            </w:r>
          </w:p>
          <w:p w14:paraId="78CA7C7E"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57.51 (13.84)</w:t>
            </w:r>
          </w:p>
        </w:tc>
        <w:tc>
          <w:tcPr>
            <w:tcW w:w="1276" w:type="dxa"/>
            <w:noWrap/>
            <w:hideMark/>
          </w:tcPr>
          <w:p w14:paraId="0B16E9DC"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36</w:t>
            </w:r>
          </w:p>
        </w:tc>
        <w:tc>
          <w:tcPr>
            <w:tcW w:w="1559" w:type="dxa"/>
            <w:noWrap/>
            <w:hideMark/>
          </w:tcPr>
          <w:p w14:paraId="0916489C"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134" w:type="dxa"/>
            <w:noWrap/>
            <w:hideMark/>
          </w:tcPr>
          <w:p w14:paraId="36EC382D"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28</w:t>
            </w:r>
          </w:p>
        </w:tc>
        <w:tc>
          <w:tcPr>
            <w:tcW w:w="1134" w:type="dxa"/>
            <w:noWrap/>
            <w:hideMark/>
          </w:tcPr>
          <w:p w14:paraId="1F33F655"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33" w:type="dxa"/>
            <w:noWrap/>
            <w:hideMark/>
          </w:tcPr>
          <w:p w14:paraId="277DE882"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36.36</w:t>
            </w:r>
          </w:p>
        </w:tc>
      </w:tr>
      <w:tr w:rsidR="00E47CD1" w:rsidRPr="00A94C3B" w14:paraId="5383E813"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972" w:type="dxa"/>
            <w:noWrap/>
            <w:hideMark/>
          </w:tcPr>
          <w:p w14:paraId="4BD81D2A"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701" w:type="dxa"/>
            <w:noWrap/>
            <w:hideMark/>
          </w:tcPr>
          <w:p w14:paraId="3CE3B225"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O. Haskin, 2021</w:t>
            </w:r>
          </w:p>
        </w:tc>
        <w:tc>
          <w:tcPr>
            <w:tcW w:w="851" w:type="dxa"/>
            <w:noWrap/>
            <w:hideMark/>
          </w:tcPr>
          <w:p w14:paraId="0635FFC6"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38</w:t>
            </w:r>
          </w:p>
        </w:tc>
        <w:tc>
          <w:tcPr>
            <w:tcW w:w="1417" w:type="dxa"/>
            <w:noWrap/>
            <w:hideMark/>
          </w:tcPr>
          <w:p w14:paraId="60A20999"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Israel</w:t>
            </w:r>
          </w:p>
        </w:tc>
        <w:tc>
          <w:tcPr>
            <w:tcW w:w="1701" w:type="dxa"/>
            <w:noWrap/>
            <w:hideMark/>
          </w:tcPr>
          <w:p w14:paraId="4357150A" w14:textId="77777777" w:rsidR="00E47CD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Mean (SD) </w:t>
            </w:r>
          </w:p>
          <w:p w14:paraId="7ECEEE08"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16.8 (2.8)</w:t>
            </w:r>
          </w:p>
        </w:tc>
        <w:tc>
          <w:tcPr>
            <w:tcW w:w="1276" w:type="dxa"/>
            <w:noWrap/>
            <w:hideMark/>
          </w:tcPr>
          <w:p w14:paraId="638E9B18"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34</w:t>
            </w:r>
          </w:p>
        </w:tc>
        <w:tc>
          <w:tcPr>
            <w:tcW w:w="1559" w:type="dxa"/>
            <w:noWrap/>
            <w:hideMark/>
          </w:tcPr>
          <w:p w14:paraId="70E0E106"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134" w:type="dxa"/>
            <w:noWrap/>
            <w:hideMark/>
          </w:tcPr>
          <w:p w14:paraId="7E25A64D"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20.5-50</w:t>
            </w:r>
          </w:p>
        </w:tc>
        <w:tc>
          <w:tcPr>
            <w:tcW w:w="1134" w:type="dxa"/>
            <w:noWrap/>
            <w:hideMark/>
          </w:tcPr>
          <w:p w14:paraId="0569D362"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33" w:type="dxa"/>
            <w:noWrap/>
            <w:hideMark/>
          </w:tcPr>
          <w:p w14:paraId="47DF105F"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63.2</w:t>
            </w:r>
          </w:p>
        </w:tc>
      </w:tr>
      <w:tr w:rsidR="00E47CD1" w:rsidRPr="00A94C3B" w14:paraId="3909EA78"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2972" w:type="dxa"/>
            <w:noWrap/>
            <w:hideMark/>
          </w:tcPr>
          <w:p w14:paraId="066AF966" w14:textId="77777777" w:rsidR="00E47CD1" w:rsidRPr="00A94C3B" w:rsidRDefault="00E47CD1" w:rsidP="00EB22E5">
            <w:pPr>
              <w:widowControl/>
              <w:wordWrap/>
              <w:autoSpaceDE/>
              <w:autoSpaceDN/>
              <w:jc w:val="center"/>
              <w:rPr>
                <w:rFonts w:ascii="Times New Roman" w:eastAsia="Malgun Gothic" w:hAnsi="Times New Roman" w:cs="Times New Roman"/>
                <w:b w:val="0"/>
                <w:bCs w:val="0"/>
                <w:color w:val="000000"/>
                <w:kern w:val="0"/>
                <w:szCs w:val="20"/>
              </w:rPr>
            </w:pPr>
            <w:r w:rsidRPr="00A94C3B">
              <w:rPr>
                <w:rFonts w:ascii="Times New Roman" w:eastAsia="Malgun Gothic" w:hAnsi="Times New Roman" w:cs="Times New Roman"/>
                <w:b w:val="0"/>
                <w:bCs w:val="0"/>
                <w:color w:val="000000"/>
                <w:kern w:val="0"/>
                <w:szCs w:val="20"/>
              </w:rPr>
              <w:t xml:space="preserve">vaccinated before </w:t>
            </w:r>
            <w:r>
              <w:rPr>
                <w:rFonts w:ascii="Times New Roman" w:eastAsia="Malgun Gothic" w:hAnsi="Times New Roman" w:cs="Times New Roman" w:hint="eastAsia"/>
                <w:b w:val="0"/>
                <w:bCs w:val="0"/>
                <w:color w:val="000000"/>
                <w:kern w:val="0"/>
                <w:szCs w:val="20"/>
              </w:rPr>
              <w:t>transplantation</w:t>
            </w:r>
          </w:p>
        </w:tc>
        <w:tc>
          <w:tcPr>
            <w:tcW w:w="1701" w:type="dxa"/>
            <w:noWrap/>
            <w:hideMark/>
          </w:tcPr>
          <w:p w14:paraId="50EE5F06"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A. Grupper, 2021</w:t>
            </w:r>
          </w:p>
        </w:tc>
        <w:tc>
          <w:tcPr>
            <w:tcW w:w="851" w:type="dxa"/>
            <w:noWrap/>
            <w:hideMark/>
          </w:tcPr>
          <w:p w14:paraId="63C04005"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19</w:t>
            </w:r>
          </w:p>
        </w:tc>
        <w:tc>
          <w:tcPr>
            <w:tcW w:w="1417" w:type="dxa"/>
            <w:noWrap/>
            <w:hideMark/>
          </w:tcPr>
          <w:p w14:paraId="6164EDA9"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Turkey</w:t>
            </w:r>
          </w:p>
        </w:tc>
        <w:tc>
          <w:tcPr>
            <w:tcW w:w="1701" w:type="dxa"/>
            <w:noWrap/>
            <w:hideMark/>
          </w:tcPr>
          <w:p w14:paraId="77FE512C" w14:textId="77777777" w:rsidR="00E47CD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Mean (SD) </w:t>
            </w:r>
          </w:p>
          <w:p w14:paraId="727CEA96"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54 (3.6)</w:t>
            </w:r>
          </w:p>
        </w:tc>
        <w:tc>
          <w:tcPr>
            <w:tcW w:w="1276" w:type="dxa"/>
            <w:noWrap/>
            <w:hideMark/>
          </w:tcPr>
          <w:p w14:paraId="3D406205"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42</w:t>
            </w:r>
          </w:p>
        </w:tc>
        <w:tc>
          <w:tcPr>
            <w:tcW w:w="1559" w:type="dxa"/>
            <w:noWrap/>
            <w:hideMark/>
          </w:tcPr>
          <w:p w14:paraId="69FD3873"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134" w:type="dxa"/>
            <w:noWrap/>
            <w:hideMark/>
          </w:tcPr>
          <w:p w14:paraId="326B7D6D"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&gt;60</w:t>
            </w:r>
            <w:r w:rsidRPr="00A94C3B">
              <w:rPr>
                <w:rFonts w:ascii="Times New Roman" w:eastAsia="Malgun Gothic" w:hAnsi="Times New Roman" w:cs="Times New Roman"/>
                <w:b/>
                <w:bCs/>
                <w:color w:val="000000"/>
                <w:kern w:val="0"/>
                <w:sz w:val="22"/>
              </w:rPr>
              <w:t>†</w:t>
            </w:r>
          </w:p>
        </w:tc>
        <w:tc>
          <w:tcPr>
            <w:tcW w:w="1134" w:type="dxa"/>
            <w:noWrap/>
            <w:hideMark/>
          </w:tcPr>
          <w:p w14:paraId="60B79CC8"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33" w:type="dxa"/>
            <w:noWrap/>
            <w:hideMark/>
          </w:tcPr>
          <w:p w14:paraId="7F068ADB"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44.95</w:t>
            </w:r>
          </w:p>
        </w:tc>
      </w:tr>
      <w:tr w:rsidR="00E47CD1" w:rsidRPr="00A94C3B" w14:paraId="45C7769E"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972" w:type="dxa"/>
            <w:noWrap/>
            <w:hideMark/>
          </w:tcPr>
          <w:p w14:paraId="4C74E19F" w14:textId="77777777" w:rsidR="00E47CD1" w:rsidRPr="00A94C3B" w:rsidRDefault="00E47CD1" w:rsidP="00EB22E5">
            <w:pPr>
              <w:widowControl/>
              <w:wordWrap/>
              <w:autoSpaceDE/>
              <w:autoSpaceDN/>
              <w:jc w:val="center"/>
              <w:rPr>
                <w:rFonts w:ascii="Times New Roman" w:eastAsia="Malgun Gothic" w:hAnsi="Times New Roman" w:cs="Times New Roman"/>
                <w:b w:val="0"/>
                <w:bCs w:val="0"/>
                <w:color w:val="000000"/>
                <w:kern w:val="0"/>
                <w:szCs w:val="20"/>
              </w:rPr>
            </w:pPr>
            <w:r w:rsidRPr="00A94C3B">
              <w:rPr>
                <w:rFonts w:ascii="Times New Roman" w:eastAsia="Malgun Gothic" w:hAnsi="Times New Roman" w:cs="Times New Roman"/>
                <w:b w:val="0"/>
                <w:bCs w:val="0"/>
                <w:color w:val="000000"/>
                <w:kern w:val="0"/>
                <w:szCs w:val="20"/>
              </w:rPr>
              <w:t>vaccinated after transplantation</w:t>
            </w:r>
          </w:p>
        </w:tc>
        <w:tc>
          <w:tcPr>
            <w:tcW w:w="1701" w:type="dxa"/>
            <w:noWrap/>
            <w:hideMark/>
          </w:tcPr>
          <w:p w14:paraId="3B007D69"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A. Grupper, 2021</w:t>
            </w:r>
          </w:p>
        </w:tc>
        <w:tc>
          <w:tcPr>
            <w:tcW w:w="851" w:type="dxa"/>
            <w:noWrap/>
            <w:hideMark/>
          </w:tcPr>
          <w:p w14:paraId="1CD7E729"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109</w:t>
            </w:r>
          </w:p>
        </w:tc>
        <w:tc>
          <w:tcPr>
            <w:tcW w:w="1417" w:type="dxa"/>
            <w:noWrap/>
            <w:hideMark/>
          </w:tcPr>
          <w:p w14:paraId="21CBC459"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Turkey</w:t>
            </w:r>
          </w:p>
        </w:tc>
        <w:tc>
          <w:tcPr>
            <w:tcW w:w="1701" w:type="dxa"/>
            <w:noWrap/>
            <w:hideMark/>
          </w:tcPr>
          <w:p w14:paraId="21384381" w14:textId="77777777" w:rsidR="00E47CD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Mean (SD) </w:t>
            </w:r>
          </w:p>
          <w:p w14:paraId="0682760C"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57 (12.9)</w:t>
            </w:r>
          </w:p>
        </w:tc>
        <w:tc>
          <w:tcPr>
            <w:tcW w:w="1276" w:type="dxa"/>
            <w:noWrap/>
            <w:hideMark/>
          </w:tcPr>
          <w:p w14:paraId="55F75717"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37</w:t>
            </w:r>
          </w:p>
        </w:tc>
        <w:tc>
          <w:tcPr>
            <w:tcW w:w="1559" w:type="dxa"/>
            <w:noWrap/>
            <w:hideMark/>
          </w:tcPr>
          <w:p w14:paraId="0CD4F80F"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134" w:type="dxa"/>
            <w:noWrap/>
            <w:hideMark/>
          </w:tcPr>
          <w:p w14:paraId="613CFDBC"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30</w:t>
            </w:r>
          </w:p>
        </w:tc>
        <w:tc>
          <w:tcPr>
            <w:tcW w:w="1134" w:type="dxa"/>
            <w:noWrap/>
            <w:hideMark/>
          </w:tcPr>
          <w:p w14:paraId="7BDF0E87"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33" w:type="dxa"/>
            <w:noWrap/>
            <w:hideMark/>
          </w:tcPr>
          <w:p w14:paraId="373D4D33"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89.47</w:t>
            </w:r>
          </w:p>
        </w:tc>
      </w:tr>
      <w:tr w:rsidR="00E47CD1" w:rsidRPr="00A94C3B" w14:paraId="23F7F4AD"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2972" w:type="dxa"/>
            <w:noWrap/>
            <w:hideMark/>
          </w:tcPr>
          <w:p w14:paraId="101E641E"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701" w:type="dxa"/>
            <w:noWrap/>
            <w:hideMark/>
          </w:tcPr>
          <w:p w14:paraId="78F388C5"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851" w:type="dxa"/>
            <w:noWrap/>
            <w:hideMark/>
          </w:tcPr>
          <w:p w14:paraId="31D2DE69"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417" w:type="dxa"/>
            <w:noWrap/>
            <w:hideMark/>
          </w:tcPr>
          <w:p w14:paraId="01AB2AE7"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701" w:type="dxa"/>
            <w:noWrap/>
            <w:hideMark/>
          </w:tcPr>
          <w:p w14:paraId="1E99A1B5"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276" w:type="dxa"/>
            <w:noWrap/>
            <w:hideMark/>
          </w:tcPr>
          <w:p w14:paraId="06DD62AB"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559" w:type="dxa"/>
            <w:noWrap/>
            <w:hideMark/>
          </w:tcPr>
          <w:p w14:paraId="761EF04B"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1BF5539A"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134" w:type="dxa"/>
            <w:noWrap/>
            <w:hideMark/>
          </w:tcPr>
          <w:p w14:paraId="2D94F338"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w:t>
            </w:r>
          </w:p>
        </w:tc>
        <w:tc>
          <w:tcPr>
            <w:tcW w:w="1633" w:type="dxa"/>
            <w:noWrap/>
            <w:hideMark/>
          </w:tcPr>
          <w:p w14:paraId="46436EA1"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 xml:space="preserve">　</w:t>
            </w:r>
          </w:p>
        </w:tc>
      </w:tr>
      <w:tr w:rsidR="00E47CD1" w:rsidRPr="00A94C3B" w14:paraId="100203DD"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972" w:type="dxa"/>
            <w:noWrap/>
            <w:hideMark/>
          </w:tcPr>
          <w:p w14:paraId="7A7250AF"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Lung transplant</w:t>
            </w:r>
          </w:p>
        </w:tc>
        <w:tc>
          <w:tcPr>
            <w:tcW w:w="1701" w:type="dxa"/>
            <w:noWrap/>
            <w:hideMark/>
          </w:tcPr>
          <w:p w14:paraId="0E8E407D" w14:textId="77777777" w:rsidR="00E47CD1" w:rsidRPr="00A94C3B"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M. Narasimhan, 2021</w:t>
            </w:r>
          </w:p>
        </w:tc>
        <w:tc>
          <w:tcPr>
            <w:tcW w:w="851" w:type="dxa"/>
            <w:noWrap/>
            <w:hideMark/>
          </w:tcPr>
          <w:p w14:paraId="024CB915"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48</w:t>
            </w:r>
          </w:p>
        </w:tc>
        <w:tc>
          <w:tcPr>
            <w:tcW w:w="1417" w:type="dxa"/>
            <w:noWrap/>
            <w:hideMark/>
          </w:tcPr>
          <w:p w14:paraId="5464FA8C"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US</w:t>
            </w:r>
          </w:p>
        </w:tc>
        <w:tc>
          <w:tcPr>
            <w:tcW w:w="1701" w:type="dxa"/>
            <w:noWrap/>
            <w:hideMark/>
          </w:tcPr>
          <w:p w14:paraId="40ECB53D"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NR</w:t>
            </w:r>
          </w:p>
        </w:tc>
        <w:tc>
          <w:tcPr>
            <w:tcW w:w="1276" w:type="dxa"/>
            <w:noWrap/>
            <w:hideMark/>
          </w:tcPr>
          <w:p w14:paraId="53F1B09D"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Pr>
                <w:rFonts w:ascii="Times New Roman" w:eastAsia="Malgun Gothic" w:hAnsi="Times New Roman" w:cs="Times New Roman" w:hint="eastAsia"/>
                <w:color w:val="000000"/>
                <w:kern w:val="0"/>
                <w:sz w:val="22"/>
              </w:rPr>
              <w:t>1</w:t>
            </w:r>
            <w:r>
              <w:rPr>
                <w:rFonts w:ascii="Times New Roman" w:eastAsia="Malgun Gothic" w:hAnsi="Times New Roman" w:cs="Times New Roman"/>
                <w:color w:val="000000"/>
                <w:kern w:val="0"/>
                <w:sz w:val="22"/>
              </w:rPr>
              <w:t>7.5 (median)</w:t>
            </w:r>
          </w:p>
        </w:tc>
        <w:tc>
          <w:tcPr>
            <w:tcW w:w="1559" w:type="dxa"/>
            <w:noWrap/>
            <w:hideMark/>
          </w:tcPr>
          <w:p w14:paraId="7A114D80"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Pfizer</w:t>
            </w:r>
          </w:p>
        </w:tc>
        <w:tc>
          <w:tcPr>
            <w:tcW w:w="1134" w:type="dxa"/>
            <w:noWrap/>
            <w:hideMark/>
          </w:tcPr>
          <w:p w14:paraId="04D718DF"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NR</w:t>
            </w:r>
          </w:p>
        </w:tc>
        <w:tc>
          <w:tcPr>
            <w:tcW w:w="1134" w:type="dxa"/>
            <w:noWrap/>
            <w:hideMark/>
          </w:tcPr>
          <w:p w14:paraId="4AE1CFBE"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33" w:type="dxa"/>
            <w:noWrap/>
            <w:hideMark/>
          </w:tcPr>
          <w:p w14:paraId="53EB96B8" w14:textId="77777777" w:rsidR="00E47CD1" w:rsidRPr="00A94C3B"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 xml:space="preserve">18.75 </w:t>
            </w:r>
          </w:p>
        </w:tc>
      </w:tr>
      <w:tr w:rsidR="00E47CD1" w:rsidRPr="00A94C3B" w14:paraId="0270F608"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2972" w:type="dxa"/>
            <w:noWrap/>
            <w:hideMark/>
          </w:tcPr>
          <w:p w14:paraId="385AE1CB" w14:textId="77777777" w:rsidR="00E47CD1" w:rsidRPr="00A94C3B"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1701" w:type="dxa"/>
            <w:noWrap/>
            <w:hideMark/>
          </w:tcPr>
          <w:p w14:paraId="1194FE8B" w14:textId="77777777" w:rsidR="00E47CD1" w:rsidRPr="00A94C3B"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M. Narasimhan, 2021</w:t>
            </w:r>
          </w:p>
        </w:tc>
        <w:tc>
          <w:tcPr>
            <w:tcW w:w="851" w:type="dxa"/>
            <w:noWrap/>
            <w:hideMark/>
          </w:tcPr>
          <w:p w14:paraId="1BF5CD26"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25</w:t>
            </w:r>
          </w:p>
        </w:tc>
        <w:tc>
          <w:tcPr>
            <w:tcW w:w="1417" w:type="dxa"/>
            <w:noWrap/>
            <w:hideMark/>
          </w:tcPr>
          <w:p w14:paraId="3FCBFC8D"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US</w:t>
            </w:r>
          </w:p>
        </w:tc>
        <w:tc>
          <w:tcPr>
            <w:tcW w:w="1701" w:type="dxa"/>
            <w:noWrap/>
            <w:hideMark/>
          </w:tcPr>
          <w:p w14:paraId="0FA48D95"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 xml:space="preserve"> NR</w:t>
            </w:r>
          </w:p>
        </w:tc>
        <w:tc>
          <w:tcPr>
            <w:tcW w:w="1276" w:type="dxa"/>
            <w:noWrap/>
            <w:hideMark/>
          </w:tcPr>
          <w:p w14:paraId="36D8573C" w14:textId="77777777" w:rsidR="00E47CD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Pr>
                <w:rFonts w:ascii="Times New Roman" w:eastAsia="Malgun Gothic" w:hAnsi="Times New Roman" w:cs="Times New Roman"/>
                <w:color w:val="000000"/>
                <w:kern w:val="0"/>
                <w:sz w:val="22"/>
              </w:rPr>
              <w:t>19</w:t>
            </w:r>
          </w:p>
          <w:p w14:paraId="249764ED"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Pr>
                <w:rFonts w:ascii="Times New Roman" w:eastAsia="Malgun Gothic" w:hAnsi="Times New Roman" w:cs="Times New Roman" w:hint="eastAsia"/>
                <w:color w:val="000000"/>
                <w:kern w:val="0"/>
                <w:sz w:val="22"/>
              </w:rPr>
              <w:t>(</w:t>
            </w:r>
            <w:r>
              <w:rPr>
                <w:rFonts w:ascii="Times New Roman" w:eastAsia="Malgun Gothic" w:hAnsi="Times New Roman" w:cs="Times New Roman"/>
                <w:color w:val="000000"/>
                <w:kern w:val="0"/>
                <w:sz w:val="22"/>
              </w:rPr>
              <w:t>median)</w:t>
            </w:r>
          </w:p>
        </w:tc>
        <w:tc>
          <w:tcPr>
            <w:tcW w:w="1559" w:type="dxa"/>
            <w:noWrap/>
            <w:hideMark/>
          </w:tcPr>
          <w:p w14:paraId="5F07A08D"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Moderna</w:t>
            </w:r>
          </w:p>
        </w:tc>
        <w:tc>
          <w:tcPr>
            <w:tcW w:w="1134" w:type="dxa"/>
            <w:noWrap/>
            <w:hideMark/>
          </w:tcPr>
          <w:p w14:paraId="42A733DD"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NR</w:t>
            </w:r>
          </w:p>
        </w:tc>
        <w:tc>
          <w:tcPr>
            <w:tcW w:w="1134" w:type="dxa"/>
            <w:noWrap/>
            <w:hideMark/>
          </w:tcPr>
          <w:p w14:paraId="237D7BAE"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A94C3B">
              <w:rPr>
                <w:rFonts w:ascii="Times New Roman" w:eastAsia="Malgun Gothic" w:hAnsi="Times New Roman" w:cs="Times New Roman"/>
                <w:color w:val="000000"/>
                <w:kern w:val="0"/>
                <w:sz w:val="22"/>
              </w:rPr>
              <w:t>Second</w:t>
            </w:r>
          </w:p>
        </w:tc>
        <w:tc>
          <w:tcPr>
            <w:tcW w:w="1633" w:type="dxa"/>
            <w:noWrap/>
            <w:hideMark/>
          </w:tcPr>
          <w:p w14:paraId="1FFE8640" w14:textId="77777777" w:rsidR="00E47CD1" w:rsidRPr="00A94C3B"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A94C3B">
              <w:rPr>
                <w:rFonts w:ascii="Times New Roman" w:eastAsia="Malgun Gothic" w:hAnsi="Times New Roman" w:cs="Times New Roman"/>
                <w:b/>
                <w:bCs/>
                <w:color w:val="000000"/>
                <w:kern w:val="0"/>
                <w:sz w:val="22"/>
              </w:rPr>
              <w:t xml:space="preserve">36 </w:t>
            </w:r>
          </w:p>
        </w:tc>
      </w:tr>
    </w:tbl>
    <w:p w14:paraId="429B4DE6" w14:textId="77777777" w:rsidR="00E47CD1" w:rsidRDefault="00E47CD1" w:rsidP="00E47CD1">
      <w:pPr>
        <w:widowControl/>
        <w:wordWrap/>
        <w:autoSpaceDE/>
        <w:autoSpaceDN/>
        <w:rPr>
          <w:rFonts w:ascii="Times New Roman" w:hAnsi="Times New Roman" w:cs="Times New Roman"/>
          <w:b/>
          <w:bCs/>
        </w:rPr>
      </w:pPr>
    </w:p>
    <w:p w14:paraId="6F166500" w14:textId="77777777" w:rsidR="00E47CD1" w:rsidRPr="000A1015" w:rsidRDefault="00E47CD1" w:rsidP="00E47CD1">
      <w:pPr>
        <w:widowControl/>
        <w:wordWrap/>
        <w:autoSpaceDE/>
        <w:autoSpaceDN/>
        <w:rPr>
          <w:rFonts w:ascii="Times New Roman" w:hAnsi="Times New Roman" w:cs="Times New Roman"/>
          <w:b/>
          <w:bCs/>
        </w:rPr>
      </w:pPr>
      <w:r>
        <w:rPr>
          <w:rFonts w:ascii="Times New Roman" w:hAnsi="Times New Roman" w:cs="Times New Roman"/>
          <w:b/>
          <w:bCs/>
        </w:rPr>
        <w:br w:type="page"/>
      </w:r>
      <w:r>
        <w:rPr>
          <w:rFonts w:ascii="Times New Roman" w:hAnsi="Times New Roman" w:cs="Times New Roman" w:hint="eastAsia"/>
          <w:b/>
          <w:bCs/>
        </w:rPr>
        <w:lastRenderedPageBreak/>
        <w:t>Supplement</w:t>
      </w:r>
      <w:r>
        <w:rPr>
          <w:rFonts w:ascii="Times New Roman" w:hAnsi="Times New Roman" w:cs="Times New Roman"/>
          <w:b/>
          <w:bCs/>
        </w:rPr>
        <w:t xml:space="preserve"> </w:t>
      </w:r>
      <w:r>
        <w:rPr>
          <w:rFonts w:ascii="Times New Roman" w:hAnsi="Times New Roman" w:cs="Times New Roman" w:hint="eastAsia"/>
          <w:b/>
          <w:bCs/>
        </w:rPr>
        <w:t>7.</w:t>
      </w:r>
      <w:r>
        <w:rPr>
          <w:rFonts w:ascii="Times New Roman" w:hAnsi="Times New Roman" w:cs="Times New Roman"/>
          <w:b/>
          <w:bCs/>
        </w:rPr>
        <w:t xml:space="preserve"> </w:t>
      </w:r>
      <w:r w:rsidRPr="00804210">
        <w:rPr>
          <w:rFonts w:ascii="Times New Roman" w:hAnsi="Times New Roman" w:cs="Times New Roman"/>
          <w:b/>
          <w:bCs/>
        </w:rPr>
        <w:t xml:space="preserve">SARS-CoV-2 seropositivity among </w:t>
      </w:r>
      <w:r>
        <w:rPr>
          <w:rFonts w:ascii="Times New Roman" w:hAnsi="Times New Roman" w:cs="Times New Roman" w:hint="eastAsia"/>
          <w:b/>
          <w:bCs/>
        </w:rPr>
        <w:t>inflammatory</w:t>
      </w:r>
      <w:r>
        <w:rPr>
          <w:rFonts w:ascii="Times New Roman" w:hAnsi="Times New Roman" w:cs="Times New Roman"/>
          <w:b/>
          <w:bCs/>
        </w:rPr>
        <w:t xml:space="preserve"> </w:t>
      </w:r>
      <w:r>
        <w:rPr>
          <w:rFonts w:ascii="Times New Roman" w:hAnsi="Times New Roman" w:cs="Times New Roman" w:hint="eastAsia"/>
          <w:b/>
          <w:bCs/>
        </w:rPr>
        <w:t>bowel</w:t>
      </w:r>
      <w:r>
        <w:rPr>
          <w:rFonts w:ascii="Times New Roman" w:hAnsi="Times New Roman" w:cs="Times New Roman"/>
          <w:b/>
          <w:bCs/>
        </w:rPr>
        <w:t xml:space="preserve"> disease </w:t>
      </w:r>
      <w:r w:rsidRPr="00896AE8">
        <w:rPr>
          <w:rFonts w:ascii="Times New Roman" w:hAnsi="Times New Roman" w:cs="Times New Roman"/>
          <w:b/>
          <w:bCs/>
        </w:rPr>
        <w:t>patients who received anti-TNF-</w:t>
      </w:r>
      <w:r w:rsidRPr="00896AE8">
        <w:rPr>
          <w:rFonts w:ascii="Times New Roman" w:eastAsia="Malgun Gothic" w:hAnsi="Times New Roman" w:cs="Times New Roman"/>
          <w:b/>
          <w:bCs/>
          <w:kern w:val="0"/>
          <w:sz w:val="22"/>
        </w:rPr>
        <w:t>α treatment</w:t>
      </w:r>
    </w:p>
    <w:tbl>
      <w:tblPr>
        <w:tblStyle w:val="GridTable2-Accent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2"/>
        <w:gridCol w:w="2268"/>
        <w:gridCol w:w="992"/>
        <w:gridCol w:w="1134"/>
        <w:gridCol w:w="1418"/>
        <w:gridCol w:w="1276"/>
        <w:gridCol w:w="1134"/>
        <w:gridCol w:w="1302"/>
        <w:gridCol w:w="1107"/>
        <w:gridCol w:w="1775"/>
      </w:tblGrid>
      <w:tr w:rsidR="00E47CD1" w:rsidRPr="009D5CC1" w14:paraId="0C6EDDF2" w14:textId="77777777" w:rsidTr="00EB22E5">
        <w:trPr>
          <w:cnfStyle w:val="100000000000" w:firstRow="1" w:lastRow="0" w:firstColumn="0" w:lastColumn="0" w:oddVBand="0" w:evenVBand="0" w:oddHBand="0" w:evenHBand="0" w:firstRowFirstColumn="0" w:firstRowLastColumn="0" w:lastRowFirstColumn="0" w:lastRowLastColumn="0"/>
          <w:trHeight w:val="1056"/>
        </w:trPr>
        <w:tc>
          <w:tcPr>
            <w:cnfStyle w:val="001000000000" w:firstRow="0" w:lastRow="0" w:firstColumn="1" w:lastColumn="0" w:oddVBand="0" w:evenVBand="0" w:oddHBand="0" w:evenHBand="0" w:firstRowFirstColumn="0" w:firstRowLastColumn="0" w:lastRowFirstColumn="0" w:lastRowLastColumn="0"/>
            <w:tcW w:w="2972" w:type="dxa"/>
            <w:noWrap/>
            <w:hideMark/>
          </w:tcPr>
          <w:p w14:paraId="492D9B19" w14:textId="77777777" w:rsidR="00E47CD1" w:rsidRPr="009D5CC1" w:rsidRDefault="00E47CD1" w:rsidP="00EB22E5">
            <w:pPr>
              <w:widowControl/>
              <w:wordWrap/>
              <w:autoSpaceDE/>
              <w:autoSpaceDN/>
              <w:jc w:val="center"/>
              <w:rPr>
                <w:rFonts w:ascii="Times New Roman" w:eastAsia="Malgun Gothic" w:hAnsi="Times New Roman" w:cs="Times New Roman"/>
                <w:color w:val="000000"/>
                <w:kern w:val="0"/>
                <w:sz w:val="22"/>
              </w:rPr>
            </w:pPr>
            <w:r w:rsidRPr="009D5CC1">
              <w:rPr>
                <w:rFonts w:ascii="Times New Roman" w:eastAsia="Malgun Gothic" w:hAnsi="Times New Roman" w:cs="Times New Roman"/>
                <w:color w:val="000000"/>
                <w:kern w:val="0"/>
                <w:sz w:val="22"/>
              </w:rPr>
              <w:t>Population</w:t>
            </w:r>
          </w:p>
        </w:tc>
        <w:tc>
          <w:tcPr>
            <w:tcW w:w="2268" w:type="dxa"/>
            <w:noWrap/>
            <w:hideMark/>
          </w:tcPr>
          <w:p w14:paraId="75A3EFB6" w14:textId="77777777" w:rsidR="00E47CD1" w:rsidRPr="009D5CC1"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D5CC1">
              <w:rPr>
                <w:rFonts w:ascii="Times New Roman" w:eastAsia="Malgun Gothic" w:hAnsi="Times New Roman" w:cs="Times New Roman"/>
                <w:color w:val="000000"/>
                <w:kern w:val="0"/>
                <w:sz w:val="22"/>
              </w:rPr>
              <w:t>Author, year</w:t>
            </w:r>
          </w:p>
        </w:tc>
        <w:tc>
          <w:tcPr>
            <w:tcW w:w="992" w:type="dxa"/>
            <w:noWrap/>
            <w:hideMark/>
          </w:tcPr>
          <w:p w14:paraId="2D300CF5" w14:textId="77777777" w:rsidR="00E47CD1" w:rsidRPr="009D5CC1"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D5CC1">
              <w:rPr>
                <w:rFonts w:ascii="Times New Roman" w:eastAsia="Malgun Gothic" w:hAnsi="Times New Roman" w:cs="Times New Roman"/>
                <w:color w:val="000000"/>
                <w:kern w:val="0"/>
                <w:sz w:val="22"/>
              </w:rPr>
              <w:t>n</w:t>
            </w:r>
          </w:p>
        </w:tc>
        <w:tc>
          <w:tcPr>
            <w:tcW w:w="1134" w:type="dxa"/>
            <w:noWrap/>
            <w:hideMark/>
          </w:tcPr>
          <w:p w14:paraId="276DE5F4" w14:textId="77777777" w:rsidR="00E47CD1" w:rsidRPr="009D5CC1"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D5CC1">
              <w:rPr>
                <w:rFonts w:ascii="Times New Roman" w:eastAsia="Malgun Gothic" w:hAnsi="Times New Roman" w:cs="Times New Roman"/>
                <w:color w:val="000000"/>
                <w:kern w:val="0"/>
                <w:sz w:val="22"/>
              </w:rPr>
              <w:t>Country</w:t>
            </w:r>
          </w:p>
        </w:tc>
        <w:tc>
          <w:tcPr>
            <w:tcW w:w="1418" w:type="dxa"/>
            <w:noWrap/>
            <w:hideMark/>
          </w:tcPr>
          <w:p w14:paraId="3E1B780A" w14:textId="77777777" w:rsidR="00E47CD1" w:rsidRPr="009D5CC1"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D5CC1">
              <w:rPr>
                <w:rFonts w:ascii="Times New Roman" w:eastAsia="Malgun Gothic" w:hAnsi="Times New Roman" w:cs="Times New Roman"/>
                <w:color w:val="000000"/>
                <w:kern w:val="0"/>
                <w:sz w:val="22"/>
              </w:rPr>
              <w:t>Age</w:t>
            </w:r>
          </w:p>
        </w:tc>
        <w:tc>
          <w:tcPr>
            <w:tcW w:w="1276" w:type="dxa"/>
            <w:hideMark/>
          </w:tcPr>
          <w:p w14:paraId="3ED8EC87" w14:textId="77777777" w:rsidR="00E47CD1" w:rsidRPr="009D5CC1"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D5CC1">
              <w:rPr>
                <w:rFonts w:ascii="Times New Roman" w:eastAsia="Malgun Gothic" w:hAnsi="Times New Roman" w:cs="Times New Roman"/>
                <w:color w:val="000000"/>
                <w:kern w:val="0"/>
                <w:sz w:val="22"/>
              </w:rPr>
              <w:t xml:space="preserve">Sex </w:t>
            </w:r>
            <w:r w:rsidRPr="009D5CC1">
              <w:rPr>
                <w:rFonts w:ascii="Times New Roman" w:eastAsia="Malgun Gothic" w:hAnsi="Times New Roman" w:cs="Times New Roman"/>
                <w:color w:val="000000"/>
                <w:kern w:val="0"/>
                <w:sz w:val="22"/>
              </w:rPr>
              <w:br/>
              <w:t>(female %)</w:t>
            </w:r>
          </w:p>
        </w:tc>
        <w:tc>
          <w:tcPr>
            <w:tcW w:w="1134" w:type="dxa"/>
            <w:noWrap/>
            <w:hideMark/>
          </w:tcPr>
          <w:p w14:paraId="22F6C92B" w14:textId="77777777" w:rsidR="00E47CD1" w:rsidRPr="009D5CC1"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D5CC1">
              <w:rPr>
                <w:rFonts w:ascii="Times New Roman" w:eastAsia="Malgun Gothic" w:hAnsi="Times New Roman" w:cs="Times New Roman"/>
                <w:color w:val="000000"/>
                <w:kern w:val="0"/>
                <w:sz w:val="22"/>
              </w:rPr>
              <w:t>Vaccine</w:t>
            </w:r>
          </w:p>
        </w:tc>
        <w:tc>
          <w:tcPr>
            <w:tcW w:w="1302" w:type="dxa"/>
            <w:hideMark/>
          </w:tcPr>
          <w:p w14:paraId="70902D17" w14:textId="77777777" w:rsidR="00E47CD1" w:rsidRPr="009D5CC1"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D5CC1">
              <w:rPr>
                <w:rFonts w:ascii="Times New Roman" w:eastAsia="Malgun Gothic" w:hAnsi="Times New Roman" w:cs="Times New Roman"/>
                <w:color w:val="000000"/>
                <w:kern w:val="0"/>
                <w:sz w:val="22"/>
              </w:rPr>
              <w:t xml:space="preserve">Test Date </w:t>
            </w:r>
            <w:r w:rsidRPr="009D5CC1">
              <w:rPr>
                <w:rFonts w:ascii="Times New Roman" w:eastAsia="Malgun Gothic" w:hAnsi="Times New Roman" w:cs="Times New Roman"/>
                <w:color w:val="000000"/>
                <w:kern w:val="0"/>
                <w:sz w:val="22"/>
              </w:rPr>
              <w:br/>
              <w:t>(day)</w:t>
            </w:r>
          </w:p>
        </w:tc>
        <w:tc>
          <w:tcPr>
            <w:tcW w:w="1107" w:type="dxa"/>
            <w:noWrap/>
            <w:hideMark/>
          </w:tcPr>
          <w:p w14:paraId="661ECD94" w14:textId="77777777" w:rsidR="00E47CD1" w:rsidRPr="009D5CC1"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D5CC1">
              <w:rPr>
                <w:rFonts w:ascii="Times New Roman" w:eastAsia="Malgun Gothic" w:hAnsi="Times New Roman" w:cs="Times New Roman"/>
                <w:color w:val="000000"/>
                <w:kern w:val="0"/>
                <w:sz w:val="22"/>
              </w:rPr>
              <w:t>Dose</w:t>
            </w:r>
          </w:p>
        </w:tc>
        <w:tc>
          <w:tcPr>
            <w:tcW w:w="1775" w:type="dxa"/>
            <w:hideMark/>
          </w:tcPr>
          <w:p w14:paraId="46C19B47" w14:textId="77777777" w:rsidR="00E47CD1" w:rsidRPr="009D5CC1"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D5CC1">
              <w:rPr>
                <w:rFonts w:ascii="Times New Roman" w:eastAsia="Malgun Gothic" w:hAnsi="Times New Roman" w:cs="Times New Roman"/>
                <w:color w:val="000000"/>
                <w:kern w:val="0"/>
                <w:sz w:val="22"/>
              </w:rPr>
              <w:t xml:space="preserve">Seropositivity </w:t>
            </w:r>
            <w:r w:rsidRPr="009D5CC1">
              <w:rPr>
                <w:rFonts w:ascii="Times New Roman" w:eastAsia="Malgun Gothic" w:hAnsi="Times New Roman" w:cs="Times New Roman"/>
                <w:color w:val="000000"/>
                <w:kern w:val="0"/>
                <w:sz w:val="22"/>
              </w:rPr>
              <w:br/>
              <w:t>(%)</w:t>
            </w:r>
          </w:p>
        </w:tc>
      </w:tr>
      <w:tr w:rsidR="00E47CD1" w:rsidRPr="009D5CC1" w14:paraId="00DCAFF7" w14:textId="77777777" w:rsidTr="00EB22E5">
        <w:trPr>
          <w:cnfStyle w:val="000000100000" w:firstRow="0" w:lastRow="0" w:firstColumn="0" w:lastColumn="0" w:oddVBand="0" w:evenVBand="0" w:oddHBand="1" w:evenHBand="0" w:firstRowFirstColumn="0" w:firstRowLastColumn="0" w:lastRowFirstColumn="0" w:lastRowLastColumn="0"/>
          <w:trHeight w:val="492"/>
        </w:trPr>
        <w:tc>
          <w:tcPr>
            <w:cnfStyle w:val="001000000000" w:firstRow="0" w:lastRow="0" w:firstColumn="1" w:lastColumn="0" w:oddVBand="0" w:evenVBand="0" w:oddHBand="0" w:evenHBand="0" w:firstRowFirstColumn="0" w:firstRowLastColumn="0" w:lastRowFirstColumn="0" w:lastRowLastColumn="0"/>
            <w:tcW w:w="2972" w:type="dxa"/>
            <w:noWrap/>
          </w:tcPr>
          <w:p w14:paraId="144536A7" w14:textId="77777777" w:rsidR="00E47CD1" w:rsidRPr="00162C69" w:rsidRDefault="00E47CD1" w:rsidP="00EB22E5">
            <w:pPr>
              <w:widowControl/>
              <w:wordWrap/>
              <w:autoSpaceDE/>
              <w:autoSpaceDN/>
              <w:jc w:val="center"/>
              <w:rPr>
                <w:rFonts w:ascii="Times New Roman" w:eastAsia="Malgun Gothic" w:hAnsi="Times New Roman" w:cs="Times New Roman"/>
                <w:b w:val="0"/>
                <w:bCs w:val="0"/>
                <w:kern w:val="0"/>
                <w:sz w:val="22"/>
              </w:rPr>
            </w:pPr>
            <w:r w:rsidRPr="009D5CC1">
              <w:rPr>
                <w:rFonts w:ascii="Times New Roman" w:eastAsia="Malgun Gothic" w:hAnsi="Times New Roman" w:cs="Times New Roman"/>
                <w:kern w:val="0"/>
                <w:sz w:val="22"/>
              </w:rPr>
              <w:t>Inflammatory Bowel Disease</w:t>
            </w:r>
          </w:p>
        </w:tc>
        <w:tc>
          <w:tcPr>
            <w:tcW w:w="2268" w:type="dxa"/>
            <w:noWrap/>
          </w:tcPr>
          <w:p w14:paraId="3E4E5ED0" w14:textId="77777777" w:rsidR="00E47CD1" w:rsidRPr="009D5CC1"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p>
        </w:tc>
        <w:tc>
          <w:tcPr>
            <w:tcW w:w="992" w:type="dxa"/>
            <w:noWrap/>
          </w:tcPr>
          <w:p w14:paraId="5F98299A"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p>
        </w:tc>
        <w:tc>
          <w:tcPr>
            <w:tcW w:w="1134" w:type="dxa"/>
            <w:noWrap/>
          </w:tcPr>
          <w:p w14:paraId="6B80E331"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p>
        </w:tc>
        <w:tc>
          <w:tcPr>
            <w:tcW w:w="1418" w:type="dxa"/>
            <w:noWrap/>
          </w:tcPr>
          <w:p w14:paraId="4A98BE5E" w14:textId="77777777" w:rsidR="00E47CD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p>
        </w:tc>
        <w:tc>
          <w:tcPr>
            <w:tcW w:w="1276" w:type="dxa"/>
            <w:noWrap/>
          </w:tcPr>
          <w:p w14:paraId="60CC07D2"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p>
        </w:tc>
        <w:tc>
          <w:tcPr>
            <w:tcW w:w="1134" w:type="dxa"/>
            <w:noWrap/>
          </w:tcPr>
          <w:p w14:paraId="0E54DDCE"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p>
        </w:tc>
        <w:tc>
          <w:tcPr>
            <w:tcW w:w="1302" w:type="dxa"/>
            <w:noWrap/>
          </w:tcPr>
          <w:p w14:paraId="68CDEB7E"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p>
        </w:tc>
        <w:tc>
          <w:tcPr>
            <w:tcW w:w="1107" w:type="dxa"/>
            <w:noWrap/>
          </w:tcPr>
          <w:p w14:paraId="3ED041CD"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p>
        </w:tc>
        <w:tc>
          <w:tcPr>
            <w:tcW w:w="1775" w:type="dxa"/>
            <w:noWrap/>
          </w:tcPr>
          <w:p w14:paraId="56792712"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kern w:val="0"/>
                <w:sz w:val="22"/>
              </w:rPr>
            </w:pPr>
          </w:p>
        </w:tc>
      </w:tr>
      <w:tr w:rsidR="00E47CD1" w:rsidRPr="009D5CC1" w14:paraId="0119E357"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2972" w:type="dxa"/>
            <w:noWrap/>
            <w:hideMark/>
          </w:tcPr>
          <w:p w14:paraId="2D5742B7" w14:textId="77777777" w:rsidR="00E47CD1" w:rsidRPr="009D5CC1" w:rsidRDefault="00E47CD1" w:rsidP="00EB22E5">
            <w:pPr>
              <w:widowControl/>
              <w:wordWrap/>
              <w:autoSpaceDE/>
              <w:autoSpaceDN/>
              <w:jc w:val="center"/>
              <w:rPr>
                <w:rFonts w:ascii="Times New Roman" w:eastAsia="Malgun Gothic" w:hAnsi="Times New Roman" w:cs="Times New Roman"/>
                <w:kern w:val="0"/>
                <w:sz w:val="22"/>
              </w:rPr>
            </w:pPr>
            <w:r w:rsidRPr="009D5CC1">
              <w:rPr>
                <w:rFonts w:ascii="Times New Roman" w:eastAsia="Malgun Gothic" w:hAnsi="Times New Roman" w:cs="Times New Roman"/>
                <w:b w:val="0"/>
                <w:bCs w:val="0"/>
                <w:kern w:val="0"/>
                <w:sz w:val="22"/>
              </w:rPr>
              <w:t>anti TNF</w:t>
            </w:r>
            <w:r w:rsidRPr="00896AE8">
              <w:rPr>
                <w:rFonts w:ascii="Times New Roman" w:eastAsia="Malgun Gothic" w:hAnsi="Times New Roman" w:cs="Times New Roman"/>
                <w:b w:val="0"/>
                <w:bCs w:val="0"/>
                <w:kern w:val="0"/>
                <w:sz w:val="22"/>
              </w:rPr>
              <w:t>-α</w:t>
            </w:r>
            <w:r w:rsidRPr="009D5CC1">
              <w:rPr>
                <w:rFonts w:ascii="Times New Roman" w:eastAsia="Malgun Gothic" w:hAnsi="Times New Roman" w:cs="Times New Roman"/>
                <w:b w:val="0"/>
                <w:bCs w:val="0"/>
                <w:kern w:val="0"/>
                <w:sz w:val="22"/>
              </w:rPr>
              <w:t xml:space="preserve"> treated</w:t>
            </w:r>
          </w:p>
        </w:tc>
        <w:tc>
          <w:tcPr>
            <w:tcW w:w="2268" w:type="dxa"/>
            <w:noWrap/>
            <w:hideMark/>
          </w:tcPr>
          <w:p w14:paraId="07A731DD" w14:textId="77777777" w:rsidR="00E47CD1" w:rsidRPr="009D5CC1"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H. Edelman-Klapper</w:t>
            </w:r>
            <w:r>
              <w:rPr>
                <w:rFonts w:ascii="Times New Roman" w:eastAsia="Malgun Gothic" w:hAnsi="Times New Roman" w:cs="Times New Roman" w:hint="eastAsia"/>
                <w:kern w:val="0"/>
                <w:sz w:val="22"/>
              </w:rPr>
              <w:t>,</w:t>
            </w:r>
            <w:r>
              <w:rPr>
                <w:rFonts w:ascii="Times New Roman" w:eastAsia="Malgun Gothic" w:hAnsi="Times New Roman" w:cs="Times New Roman"/>
                <w:kern w:val="0"/>
                <w:sz w:val="22"/>
              </w:rPr>
              <w:t xml:space="preserve"> </w:t>
            </w:r>
            <w:r>
              <w:rPr>
                <w:rFonts w:ascii="Times New Roman" w:eastAsia="Malgun Gothic" w:hAnsi="Times New Roman" w:cs="Times New Roman" w:hint="eastAsia"/>
                <w:kern w:val="0"/>
                <w:sz w:val="22"/>
              </w:rPr>
              <w:t>2021</w:t>
            </w:r>
          </w:p>
        </w:tc>
        <w:tc>
          <w:tcPr>
            <w:tcW w:w="992" w:type="dxa"/>
            <w:noWrap/>
            <w:hideMark/>
          </w:tcPr>
          <w:p w14:paraId="34309FEC" w14:textId="77777777" w:rsidR="00E47CD1" w:rsidRPr="009D5CC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67</w:t>
            </w:r>
          </w:p>
        </w:tc>
        <w:tc>
          <w:tcPr>
            <w:tcW w:w="1134" w:type="dxa"/>
            <w:noWrap/>
            <w:hideMark/>
          </w:tcPr>
          <w:p w14:paraId="4873FE82" w14:textId="77777777" w:rsidR="00E47CD1" w:rsidRPr="009D5CC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Israel</w:t>
            </w:r>
          </w:p>
        </w:tc>
        <w:tc>
          <w:tcPr>
            <w:tcW w:w="1418" w:type="dxa"/>
            <w:noWrap/>
            <w:hideMark/>
          </w:tcPr>
          <w:p w14:paraId="24F79449" w14:textId="77777777" w:rsidR="00E47CD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Pr>
                <w:rFonts w:ascii="Times New Roman" w:eastAsia="Malgun Gothic" w:hAnsi="Times New Roman" w:cs="Times New Roman" w:hint="eastAsia"/>
                <w:kern w:val="0"/>
                <w:sz w:val="22"/>
              </w:rPr>
              <w:t>Mean</w:t>
            </w:r>
            <w:r>
              <w:rPr>
                <w:rFonts w:ascii="Times New Roman" w:eastAsia="Malgun Gothic" w:hAnsi="Times New Roman" w:cs="Times New Roman"/>
                <w:kern w:val="0"/>
                <w:sz w:val="22"/>
              </w:rPr>
              <w:t xml:space="preserve"> </w:t>
            </w:r>
            <w:r>
              <w:rPr>
                <w:rFonts w:ascii="Times New Roman" w:eastAsia="Malgun Gothic" w:hAnsi="Times New Roman" w:cs="Times New Roman" w:hint="eastAsia"/>
                <w:kern w:val="0"/>
                <w:sz w:val="22"/>
              </w:rPr>
              <w:t>(SD)</w:t>
            </w:r>
            <w:r>
              <w:rPr>
                <w:rFonts w:ascii="Times New Roman" w:eastAsia="Malgun Gothic" w:hAnsi="Times New Roman" w:cs="Times New Roman"/>
                <w:kern w:val="0"/>
                <w:sz w:val="22"/>
              </w:rPr>
              <w:t xml:space="preserve"> </w:t>
            </w:r>
          </w:p>
          <w:p w14:paraId="49008897" w14:textId="77777777" w:rsidR="00E47CD1" w:rsidRPr="009D5CC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37.8 (14.3</w:t>
            </w:r>
            <w:r>
              <w:rPr>
                <w:rFonts w:ascii="Times New Roman" w:eastAsia="Malgun Gothic" w:hAnsi="Times New Roman" w:cs="Times New Roman" w:hint="eastAsia"/>
                <w:kern w:val="0"/>
                <w:sz w:val="22"/>
              </w:rPr>
              <w:t>)</w:t>
            </w:r>
          </w:p>
        </w:tc>
        <w:tc>
          <w:tcPr>
            <w:tcW w:w="1276" w:type="dxa"/>
            <w:noWrap/>
            <w:hideMark/>
          </w:tcPr>
          <w:p w14:paraId="3484DB0E" w14:textId="77777777" w:rsidR="00E47CD1" w:rsidRPr="009D5CC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35.8</w:t>
            </w:r>
          </w:p>
        </w:tc>
        <w:tc>
          <w:tcPr>
            <w:tcW w:w="1134" w:type="dxa"/>
            <w:noWrap/>
            <w:hideMark/>
          </w:tcPr>
          <w:p w14:paraId="67D46586" w14:textId="77777777" w:rsidR="00E47CD1" w:rsidRPr="009D5CC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Pfizer</w:t>
            </w:r>
          </w:p>
        </w:tc>
        <w:tc>
          <w:tcPr>
            <w:tcW w:w="1302" w:type="dxa"/>
            <w:noWrap/>
            <w:hideMark/>
          </w:tcPr>
          <w:p w14:paraId="5A47C3C8" w14:textId="77777777" w:rsidR="00E47CD1" w:rsidRPr="009D5CC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14-21</w:t>
            </w:r>
          </w:p>
        </w:tc>
        <w:tc>
          <w:tcPr>
            <w:tcW w:w="1107" w:type="dxa"/>
            <w:noWrap/>
            <w:hideMark/>
          </w:tcPr>
          <w:p w14:paraId="0E2EC466" w14:textId="77777777" w:rsidR="00E47CD1" w:rsidRPr="009D5CC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First</w:t>
            </w:r>
          </w:p>
        </w:tc>
        <w:tc>
          <w:tcPr>
            <w:tcW w:w="1775" w:type="dxa"/>
            <w:noWrap/>
            <w:hideMark/>
          </w:tcPr>
          <w:p w14:paraId="33313062" w14:textId="77777777" w:rsidR="00E47CD1" w:rsidRPr="009D5CC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kern w:val="0"/>
                <w:sz w:val="22"/>
              </w:rPr>
            </w:pPr>
            <w:r w:rsidRPr="009D5CC1">
              <w:rPr>
                <w:rFonts w:ascii="Times New Roman" w:eastAsia="Malgun Gothic" w:hAnsi="Times New Roman" w:cs="Times New Roman"/>
                <w:b/>
                <w:bCs/>
                <w:kern w:val="0"/>
                <w:sz w:val="22"/>
              </w:rPr>
              <w:t>91.04</w:t>
            </w:r>
          </w:p>
        </w:tc>
      </w:tr>
      <w:tr w:rsidR="00E47CD1" w:rsidRPr="009D5CC1" w14:paraId="3A77D71F"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972" w:type="dxa"/>
            <w:noWrap/>
            <w:hideMark/>
          </w:tcPr>
          <w:p w14:paraId="59333BDF" w14:textId="77777777" w:rsidR="00E47CD1" w:rsidRPr="009D5CC1" w:rsidRDefault="00E47CD1" w:rsidP="00EB22E5">
            <w:pPr>
              <w:widowControl/>
              <w:wordWrap/>
              <w:autoSpaceDE/>
              <w:autoSpaceDN/>
              <w:jc w:val="center"/>
              <w:rPr>
                <w:rFonts w:ascii="Times New Roman" w:eastAsia="Malgun Gothic" w:hAnsi="Times New Roman" w:cs="Times New Roman"/>
                <w:b w:val="0"/>
                <w:bCs w:val="0"/>
                <w:kern w:val="0"/>
                <w:sz w:val="22"/>
              </w:rPr>
            </w:pPr>
            <w:r w:rsidRPr="009D5CC1">
              <w:rPr>
                <w:rFonts w:ascii="Times New Roman" w:eastAsia="Malgun Gothic" w:hAnsi="Times New Roman" w:cs="Times New Roman"/>
                <w:b w:val="0"/>
                <w:bCs w:val="0"/>
                <w:kern w:val="0"/>
                <w:sz w:val="22"/>
              </w:rPr>
              <w:t>anti TNF</w:t>
            </w:r>
            <w:r w:rsidRPr="00896AE8">
              <w:rPr>
                <w:rFonts w:ascii="Times New Roman" w:eastAsia="Malgun Gothic" w:hAnsi="Times New Roman" w:cs="Times New Roman"/>
                <w:b w:val="0"/>
                <w:bCs w:val="0"/>
                <w:kern w:val="0"/>
                <w:sz w:val="22"/>
              </w:rPr>
              <w:t>-α</w:t>
            </w:r>
            <w:r>
              <w:rPr>
                <w:rFonts w:ascii="Times New Roman" w:eastAsia="Malgun Gothic" w:hAnsi="Times New Roman" w:cs="Times New Roman"/>
                <w:b w:val="0"/>
                <w:bCs w:val="0"/>
                <w:kern w:val="0"/>
                <w:sz w:val="22"/>
              </w:rPr>
              <w:t xml:space="preserve"> not </w:t>
            </w:r>
            <w:r w:rsidRPr="009D5CC1">
              <w:rPr>
                <w:rFonts w:ascii="Times New Roman" w:eastAsia="Malgun Gothic" w:hAnsi="Times New Roman" w:cs="Times New Roman"/>
                <w:b w:val="0"/>
                <w:bCs w:val="0"/>
                <w:kern w:val="0"/>
                <w:sz w:val="22"/>
              </w:rPr>
              <w:t>treated</w:t>
            </w:r>
          </w:p>
        </w:tc>
        <w:tc>
          <w:tcPr>
            <w:tcW w:w="2268" w:type="dxa"/>
            <w:noWrap/>
            <w:hideMark/>
          </w:tcPr>
          <w:p w14:paraId="1D8CCDDB" w14:textId="77777777" w:rsidR="00E47CD1" w:rsidRPr="009D5CC1"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H. Edelman-Klapper</w:t>
            </w:r>
            <w:r>
              <w:rPr>
                <w:rFonts w:ascii="Times New Roman" w:eastAsia="Malgun Gothic" w:hAnsi="Times New Roman" w:cs="Times New Roman" w:hint="eastAsia"/>
                <w:kern w:val="0"/>
                <w:sz w:val="22"/>
              </w:rPr>
              <w:t>,</w:t>
            </w:r>
            <w:r>
              <w:rPr>
                <w:rFonts w:ascii="Times New Roman" w:eastAsia="Malgun Gothic" w:hAnsi="Times New Roman" w:cs="Times New Roman"/>
                <w:kern w:val="0"/>
                <w:sz w:val="22"/>
              </w:rPr>
              <w:t xml:space="preserve"> </w:t>
            </w:r>
            <w:r>
              <w:rPr>
                <w:rFonts w:ascii="Times New Roman" w:eastAsia="Malgun Gothic" w:hAnsi="Times New Roman" w:cs="Times New Roman" w:hint="eastAsia"/>
                <w:kern w:val="0"/>
                <w:sz w:val="22"/>
              </w:rPr>
              <w:t>2021</w:t>
            </w:r>
          </w:p>
        </w:tc>
        <w:tc>
          <w:tcPr>
            <w:tcW w:w="992" w:type="dxa"/>
            <w:noWrap/>
            <w:hideMark/>
          </w:tcPr>
          <w:p w14:paraId="3DC20275"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118</w:t>
            </w:r>
          </w:p>
        </w:tc>
        <w:tc>
          <w:tcPr>
            <w:tcW w:w="1134" w:type="dxa"/>
            <w:noWrap/>
            <w:hideMark/>
          </w:tcPr>
          <w:p w14:paraId="56E5094F"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Israel</w:t>
            </w:r>
          </w:p>
        </w:tc>
        <w:tc>
          <w:tcPr>
            <w:tcW w:w="1418" w:type="dxa"/>
            <w:noWrap/>
            <w:hideMark/>
          </w:tcPr>
          <w:p w14:paraId="2BA30E7E" w14:textId="77777777" w:rsidR="00E47CD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Pr>
                <w:rFonts w:ascii="Times New Roman" w:eastAsia="Malgun Gothic" w:hAnsi="Times New Roman" w:cs="Times New Roman" w:hint="eastAsia"/>
                <w:kern w:val="0"/>
                <w:sz w:val="22"/>
              </w:rPr>
              <w:t>Mean</w:t>
            </w:r>
            <w:r>
              <w:rPr>
                <w:rFonts w:ascii="Times New Roman" w:eastAsia="Malgun Gothic" w:hAnsi="Times New Roman" w:cs="Times New Roman"/>
                <w:kern w:val="0"/>
                <w:sz w:val="22"/>
              </w:rPr>
              <w:t xml:space="preserve"> </w:t>
            </w:r>
            <w:r>
              <w:rPr>
                <w:rFonts w:ascii="Times New Roman" w:eastAsia="Malgun Gothic" w:hAnsi="Times New Roman" w:cs="Times New Roman" w:hint="eastAsia"/>
                <w:kern w:val="0"/>
                <w:sz w:val="22"/>
              </w:rPr>
              <w:t>(SD)</w:t>
            </w:r>
            <w:r>
              <w:rPr>
                <w:rFonts w:ascii="Times New Roman" w:eastAsia="Malgun Gothic" w:hAnsi="Times New Roman" w:cs="Times New Roman"/>
                <w:kern w:val="0"/>
                <w:sz w:val="22"/>
              </w:rPr>
              <w:t xml:space="preserve"> </w:t>
            </w:r>
          </w:p>
          <w:p w14:paraId="296FB5BE"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38.2 (14.3)</w:t>
            </w:r>
          </w:p>
        </w:tc>
        <w:tc>
          <w:tcPr>
            <w:tcW w:w="1276" w:type="dxa"/>
            <w:noWrap/>
            <w:hideMark/>
          </w:tcPr>
          <w:p w14:paraId="3D9BF5D1"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41.5</w:t>
            </w:r>
          </w:p>
        </w:tc>
        <w:tc>
          <w:tcPr>
            <w:tcW w:w="1134" w:type="dxa"/>
            <w:noWrap/>
            <w:hideMark/>
          </w:tcPr>
          <w:p w14:paraId="23322AD2"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Pfizer</w:t>
            </w:r>
          </w:p>
        </w:tc>
        <w:tc>
          <w:tcPr>
            <w:tcW w:w="1302" w:type="dxa"/>
            <w:noWrap/>
            <w:hideMark/>
          </w:tcPr>
          <w:p w14:paraId="56A1703D"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14-21</w:t>
            </w:r>
          </w:p>
        </w:tc>
        <w:tc>
          <w:tcPr>
            <w:tcW w:w="1107" w:type="dxa"/>
            <w:noWrap/>
            <w:hideMark/>
          </w:tcPr>
          <w:p w14:paraId="0A5BA59C"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First</w:t>
            </w:r>
          </w:p>
        </w:tc>
        <w:tc>
          <w:tcPr>
            <w:tcW w:w="1775" w:type="dxa"/>
            <w:noWrap/>
            <w:hideMark/>
          </w:tcPr>
          <w:p w14:paraId="78ED1627"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kern w:val="0"/>
                <w:sz w:val="22"/>
              </w:rPr>
            </w:pPr>
            <w:r w:rsidRPr="009D5CC1">
              <w:rPr>
                <w:rFonts w:ascii="Times New Roman" w:eastAsia="Malgun Gothic" w:hAnsi="Times New Roman" w:cs="Times New Roman"/>
                <w:b/>
                <w:bCs/>
                <w:kern w:val="0"/>
                <w:sz w:val="22"/>
              </w:rPr>
              <w:t>93.22</w:t>
            </w:r>
          </w:p>
        </w:tc>
      </w:tr>
      <w:tr w:rsidR="00E47CD1" w:rsidRPr="009D5CC1" w14:paraId="4C4B5D80"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2972" w:type="dxa"/>
            <w:noWrap/>
            <w:hideMark/>
          </w:tcPr>
          <w:p w14:paraId="22848AF8" w14:textId="77777777" w:rsidR="00E47CD1" w:rsidRPr="009D5CC1" w:rsidRDefault="00E47CD1" w:rsidP="00EB22E5">
            <w:pPr>
              <w:widowControl/>
              <w:wordWrap/>
              <w:autoSpaceDE/>
              <w:autoSpaceDN/>
              <w:jc w:val="center"/>
              <w:rPr>
                <w:rFonts w:ascii="Times New Roman" w:eastAsia="Malgun Gothic" w:hAnsi="Times New Roman" w:cs="Times New Roman"/>
                <w:kern w:val="0"/>
                <w:sz w:val="22"/>
              </w:rPr>
            </w:pPr>
            <w:r w:rsidRPr="009D5CC1">
              <w:rPr>
                <w:rFonts w:ascii="Times New Roman" w:eastAsia="Malgun Gothic" w:hAnsi="Times New Roman" w:cs="Times New Roman"/>
                <w:b w:val="0"/>
                <w:bCs w:val="0"/>
                <w:kern w:val="0"/>
                <w:sz w:val="22"/>
              </w:rPr>
              <w:t>anti TNF</w:t>
            </w:r>
            <w:r w:rsidRPr="00896AE8">
              <w:rPr>
                <w:rFonts w:ascii="Times New Roman" w:eastAsia="Malgun Gothic" w:hAnsi="Times New Roman" w:cs="Times New Roman"/>
                <w:b w:val="0"/>
                <w:bCs w:val="0"/>
                <w:kern w:val="0"/>
                <w:sz w:val="22"/>
              </w:rPr>
              <w:t>-α</w:t>
            </w:r>
            <w:r w:rsidRPr="009D5CC1">
              <w:rPr>
                <w:rFonts w:ascii="Times New Roman" w:eastAsia="Malgun Gothic" w:hAnsi="Times New Roman" w:cs="Times New Roman"/>
                <w:b w:val="0"/>
                <w:bCs w:val="0"/>
                <w:kern w:val="0"/>
                <w:sz w:val="22"/>
              </w:rPr>
              <w:t xml:space="preserve"> treated</w:t>
            </w:r>
          </w:p>
        </w:tc>
        <w:tc>
          <w:tcPr>
            <w:tcW w:w="2268" w:type="dxa"/>
            <w:noWrap/>
            <w:hideMark/>
          </w:tcPr>
          <w:p w14:paraId="51D4033D" w14:textId="77777777" w:rsidR="00E47CD1" w:rsidRPr="009D5CC1"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H. Edelman-Klapper</w:t>
            </w:r>
            <w:r>
              <w:rPr>
                <w:rFonts w:ascii="Times New Roman" w:eastAsia="Malgun Gothic" w:hAnsi="Times New Roman" w:cs="Times New Roman" w:hint="eastAsia"/>
                <w:kern w:val="0"/>
                <w:sz w:val="22"/>
              </w:rPr>
              <w:t>,</w:t>
            </w:r>
            <w:r>
              <w:rPr>
                <w:rFonts w:ascii="Times New Roman" w:eastAsia="Malgun Gothic" w:hAnsi="Times New Roman" w:cs="Times New Roman"/>
                <w:kern w:val="0"/>
                <w:sz w:val="22"/>
              </w:rPr>
              <w:t xml:space="preserve"> </w:t>
            </w:r>
            <w:r>
              <w:rPr>
                <w:rFonts w:ascii="Times New Roman" w:eastAsia="Malgun Gothic" w:hAnsi="Times New Roman" w:cs="Times New Roman" w:hint="eastAsia"/>
                <w:kern w:val="0"/>
                <w:sz w:val="22"/>
              </w:rPr>
              <w:t>2021</w:t>
            </w:r>
          </w:p>
        </w:tc>
        <w:tc>
          <w:tcPr>
            <w:tcW w:w="992" w:type="dxa"/>
            <w:noWrap/>
            <w:hideMark/>
          </w:tcPr>
          <w:p w14:paraId="4D8D2F60" w14:textId="77777777" w:rsidR="00E47CD1" w:rsidRPr="009D5CC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67</w:t>
            </w:r>
          </w:p>
        </w:tc>
        <w:tc>
          <w:tcPr>
            <w:tcW w:w="1134" w:type="dxa"/>
            <w:noWrap/>
            <w:hideMark/>
          </w:tcPr>
          <w:p w14:paraId="3C5F4526" w14:textId="77777777" w:rsidR="00E47CD1" w:rsidRPr="009D5CC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Israel</w:t>
            </w:r>
          </w:p>
        </w:tc>
        <w:tc>
          <w:tcPr>
            <w:tcW w:w="1418" w:type="dxa"/>
            <w:noWrap/>
            <w:hideMark/>
          </w:tcPr>
          <w:p w14:paraId="2DECA364" w14:textId="77777777" w:rsidR="00E47CD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Pr>
                <w:rFonts w:ascii="Times New Roman" w:eastAsia="Malgun Gothic" w:hAnsi="Times New Roman" w:cs="Times New Roman" w:hint="eastAsia"/>
                <w:kern w:val="0"/>
                <w:sz w:val="22"/>
              </w:rPr>
              <w:t>Mean</w:t>
            </w:r>
            <w:r>
              <w:rPr>
                <w:rFonts w:ascii="Times New Roman" w:eastAsia="Malgun Gothic" w:hAnsi="Times New Roman" w:cs="Times New Roman"/>
                <w:kern w:val="0"/>
                <w:sz w:val="22"/>
              </w:rPr>
              <w:t xml:space="preserve"> </w:t>
            </w:r>
            <w:r>
              <w:rPr>
                <w:rFonts w:ascii="Times New Roman" w:eastAsia="Malgun Gothic" w:hAnsi="Times New Roman" w:cs="Times New Roman" w:hint="eastAsia"/>
                <w:kern w:val="0"/>
                <w:sz w:val="22"/>
              </w:rPr>
              <w:t>(SD)</w:t>
            </w:r>
            <w:r>
              <w:rPr>
                <w:rFonts w:ascii="Times New Roman" w:eastAsia="Malgun Gothic" w:hAnsi="Times New Roman" w:cs="Times New Roman"/>
                <w:kern w:val="0"/>
                <w:sz w:val="22"/>
              </w:rPr>
              <w:t xml:space="preserve"> </w:t>
            </w:r>
          </w:p>
          <w:p w14:paraId="6A44EBF9" w14:textId="77777777" w:rsidR="00E47CD1" w:rsidRPr="009D5CC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37.8 (14.3)</w:t>
            </w:r>
          </w:p>
        </w:tc>
        <w:tc>
          <w:tcPr>
            <w:tcW w:w="1276" w:type="dxa"/>
            <w:noWrap/>
            <w:hideMark/>
          </w:tcPr>
          <w:p w14:paraId="711D9595" w14:textId="77777777" w:rsidR="00E47CD1" w:rsidRPr="009D5CC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35.8</w:t>
            </w:r>
          </w:p>
        </w:tc>
        <w:tc>
          <w:tcPr>
            <w:tcW w:w="1134" w:type="dxa"/>
            <w:noWrap/>
            <w:hideMark/>
          </w:tcPr>
          <w:p w14:paraId="17006513" w14:textId="77777777" w:rsidR="00E47CD1" w:rsidRPr="009D5CC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Pfizer</w:t>
            </w:r>
          </w:p>
        </w:tc>
        <w:tc>
          <w:tcPr>
            <w:tcW w:w="1302" w:type="dxa"/>
            <w:noWrap/>
            <w:hideMark/>
          </w:tcPr>
          <w:p w14:paraId="05324BC5" w14:textId="77777777" w:rsidR="00E47CD1" w:rsidRPr="009D5CC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21-35</w:t>
            </w:r>
          </w:p>
        </w:tc>
        <w:tc>
          <w:tcPr>
            <w:tcW w:w="1107" w:type="dxa"/>
            <w:noWrap/>
            <w:hideMark/>
          </w:tcPr>
          <w:p w14:paraId="75916B14" w14:textId="77777777" w:rsidR="00E47CD1" w:rsidRPr="009D5CC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Second</w:t>
            </w:r>
          </w:p>
        </w:tc>
        <w:tc>
          <w:tcPr>
            <w:tcW w:w="1775" w:type="dxa"/>
            <w:noWrap/>
            <w:hideMark/>
          </w:tcPr>
          <w:p w14:paraId="66C5C60A" w14:textId="77777777" w:rsidR="00E47CD1" w:rsidRPr="009D5CC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kern w:val="0"/>
                <w:sz w:val="22"/>
              </w:rPr>
            </w:pPr>
            <w:r w:rsidRPr="009D5CC1">
              <w:rPr>
                <w:rFonts w:ascii="Times New Roman" w:eastAsia="Malgun Gothic" w:hAnsi="Times New Roman" w:cs="Times New Roman"/>
                <w:b/>
                <w:bCs/>
                <w:kern w:val="0"/>
                <w:sz w:val="22"/>
              </w:rPr>
              <w:t>100</w:t>
            </w:r>
          </w:p>
        </w:tc>
      </w:tr>
      <w:tr w:rsidR="00E47CD1" w:rsidRPr="009D5CC1" w14:paraId="7B0F2D0C" w14:textId="77777777" w:rsidTr="00EB22E5">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2972" w:type="dxa"/>
            <w:noWrap/>
            <w:hideMark/>
          </w:tcPr>
          <w:p w14:paraId="024ED89C" w14:textId="77777777" w:rsidR="00E47CD1" w:rsidRPr="009D5CC1" w:rsidRDefault="00E47CD1" w:rsidP="00EB22E5">
            <w:pPr>
              <w:widowControl/>
              <w:wordWrap/>
              <w:autoSpaceDE/>
              <w:autoSpaceDN/>
              <w:jc w:val="center"/>
              <w:rPr>
                <w:rFonts w:ascii="Times New Roman" w:eastAsia="Malgun Gothic" w:hAnsi="Times New Roman" w:cs="Times New Roman"/>
                <w:kern w:val="0"/>
                <w:sz w:val="22"/>
              </w:rPr>
            </w:pPr>
            <w:r w:rsidRPr="009D5CC1">
              <w:rPr>
                <w:rFonts w:ascii="Times New Roman" w:eastAsia="Malgun Gothic" w:hAnsi="Times New Roman" w:cs="Times New Roman"/>
                <w:b w:val="0"/>
                <w:bCs w:val="0"/>
                <w:kern w:val="0"/>
                <w:sz w:val="22"/>
              </w:rPr>
              <w:t>anti TNF</w:t>
            </w:r>
            <w:r w:rsidRPr="00896AE8">
              <w:rPr>
                <w:rFonts w:ascii="Times New Roman" w:eastAsia="Malgun Gothic" w:hAnsi="Times New Roman" w:cs="Times New Roman"/>
                <w:b w:val="0"/>
                <w:bCs w:val="0"/>
                <w:kern w:val="0"/>
                <w:sz w:val="22"/>
              </w:rPr>
              <w:t>-α</w:t>
            </w:r>
            <w:r>
              <w:rPr>
                <w:rFonts w:ascii="Times New Roman" w:eastAsia="Malgun Gothic" w:hAnsi="Times New Roman" w:cs="Times New Roman"/>
                <w:b w:val="0"/>
                <w:bCs w:val="0"/>
                <w:kern w:val="0"/>
                <w:sz w:val="22"/>
              </w:rPr>
              <w:t xml:space="preserve"> not </w:t>
            </w:r>
            <w:r w:rsidRPr="009D5CC1">
              <w:rPr>
                <w:rFonts w:ascii="Times New Roman" w:eastAsia="Malgun Gothic" w:hAnsi="Times New Roman" w:cs="Times New Roman"/>
                <w:b w:val="0"/>
                <w:bCs w:val="0"/>
                <w:kern w:val="0"/>
                <w:sz w:val="22"/>
              </w:rPr>
              <w:t>treated</w:t>
            </w:r>
          </w:p>
        </w:tc>
        <w:tc>
          <w:tcPr>
            <w:tcW w:w="2268" w:type="dxa"/>
            <w:noWrap/>
            <w:hideMark/>
          </w:tcPr>
          <w:p w14:paraId="25D89BBC" w14:textId="77777777" w:rsidR="00E47CD1" w:rsidRPr="009D5CC1"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H. Edelman-Klapper</w:t>
            </w:r>
            <w:r>
              <w:rPr>
                <w:rFonts w:ascii="Times New Roman" w:eastAsia="Malgun Gothic" w:hAnsi="Times New Roman" w:cs="Times New Roman" w:hint="eastAsia"/>
                <w:kern w:val="0"/>
                <w:sz w:val="22"/>
              </w:rPr>
              <w:t>,</w:t>
            </w:r>
            <w:r>
              <w:rPr>
                <w:rFonts w:ascii="Times New Roman" w:eastAsia="Malgun Gothic" w:hAnsi="Times New Roman" w:cs="Times New Roman"/>
                <w:kern w:val="0"/>
                <w:sz w:val="22"/>
              </w:rPr>
              <w:t xml:space="preserve"> </w:t>
            </w:r>
            <w:r>
              <w:rPr>
                <w:rFonts w:ascii="Times New Roman" w:eastAsia="Malgun Gothic" w:hAnsi="Times New Roman" w:cs="Times New Roman" w:hint="eastAsia"/>
                <w:kern w:val="0"/>
                <w:sz w:val="22"/>
              </w:rPr>
              <w:t>2021</w:t>
            </w:r>
          </w:p>
        </w:tc>
        <w:tc>
          <w:tcPr>
            <w:tcW w:w="992" w:type="dxa"/>
            <w:noWrap/>
            <w:hideMark/>
          </w:tcPr>
          <w:p w14:paraId="01DB4495"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118</w:t>
            </w:r>
          </w:p>
        </w:tc>
        <w:tc>
          <w:tcPr>
            <w:tcW w:w="1134" w:type="dxa"/>
            <w:noWrap/>
            <w:hideMark/>
          </w:tcPr>
          <w:p w14:paraId="53E2C4F8"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Israel</w:t>
            </w:r>
          </w:p>
        </w:tc>
        <w:tc>
          <w:tcPr>
            <w:tcW w:w="1418" w:type="dxa"/>
            <w:noWrap/>
            <w:hideMark/>
          </w:tcPr>
          <w:p w14:paraId="3DAB4AD1" w14:textId="77777777" w:rsidR="00E47CD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Pr>
                <w:rFonts w:ascii="Times New Roman" w:eastAsia="Malgun Gothic" w:hAnsi="Times New Roman" w:cs="Times New Roman" w:hint="eastAsia"/>
                <w:kern w:val="0"/>
                <w:sz w:val="22"/>
              </w:rPr>
              <w:t>Mean</w:t>
            </w:r>
            <w:r>
              <w:rPr>
                <w:rFonts w:ascii="Times New Roman" w:eastAsia="Malgun Gothic" w:hAnsi="Times New Roman" w:cs="Times New Roman"/>
                <w:kern w:val="0"/>
                <w:sz w:val="22"/>
              </w:rPr>
              <w:t xml:space="preserve"> </w:t>
            </w:r>
            <w:r>
              <w:rPr>
                <w:rFonts w:ascii="Times New Roman" w:eastAsia="Malgun Gothic" w:hAnsi="Times New Roman" w:cs="Times New Roman" w:hint="eastAsia"/>
                <w:kern w:val="0"/>
                <w:sz w:val="22"/>
              </w:rPr>
              <w:t>(SD)</w:t>
            </w:r>
            <w:r>
              <w:rPr>
                <w:rFonts w:ascii="Times New Roman" w:eastAsia="Malgun Gothic" w:hAnsi="Times New Roman" w:cs="Times New Roman"/>
                <w:kern w:val="0"/>
                <w:sz w:val="22"/>
              </w:rPr>
              <w:t xml:space="preserve"> </w:t>
            </w:r>
          </w:p>
          <w:p w14:paraId="6F6213E8"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38.2 (14.3)</w:t>
            </w:r>
          </w:p>
        </w:tc>
        <w:tc>
          <w:tcPr>
            <w:tcW w:w="1276" w:type="dxa"/>
            <w:noWrap/>
            <w:hideMark/>
          </w:tcPr>
          <w:p w14:paraId="20A29F46"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41.5</w:t>
            </w:r>
          </w:p>
        </w:tc>
        <w:tc>
          <w:tcPr>
            <w:tcW w:w="1134" w:type="dxa"/>
            <w:noWrap/>
            <w:hideMark/>
          </w:tcPr>
          <w:p w14:paraId="19C4FACD"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Pfizer</w:t>
            </w:r>
          </w:p>
        </w:tc>
        <w:tc>
          <w:tcPr>
            <w:tcW w:w="1302" w:type="dxa"/>
            <w:noWrap/>
            <w:hideMark/>
          </w:tcPr>
          <w:p w14:paraId="34D6510E"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21-35</w:t>
            </w:r>
          </w:p>
        </w:tc>
        <w:tc>
          <w:tcPr>
            <w:tcW w:w="1107" w:type="dxa"/>
            <w:noWrap/>
            <w:hideMark/>
          </w:tcPr>
          <w:p w14:paraId="1CF063F9"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kern w:val="0"/>
                <w:sz w:val="22"/>
              </w:rPr>
            </w:pPr>
            <w:r w:rsidRPr="009D5CC1">
              <w:rPr>
                <w:rFonts w:ascii="Times New Roman" w:eastAsia="Malgun Gothic" w:hAnsi="Times New Roman" w:cs="Times New Roman"/>
                <w:kern w:val="0"/>
                <w:sz w:val="22"/>
              </w:rPr>
              <w:t>Second</w:t>
            </w:r>
          </w:p>
        </w:tc>
        <w:tc>
          <w:tcPr>
            <w:tcW w:w="1775" w:type="dxa"/>
            <w:noWrap/>
            <w:hideMark/>
          </w:tcPr>
          <w:p w14:paraId="4D3811C9" w14:textId="77777777" w:rsidR="00E47CD1" w:rsidRPr="009D5CC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kern w:val="0"/>
                <w:sz w:val="22"/>
              </w:rPr>
            </w:pPr>
            <w:r w:rsidRPr="009D5CC1">
              <w:rPr>
                <w:rFonts w:ascii="Times New Roman" w:eastAsia="Malgun Gothic" w:hAnsi="Times New Roman" w:cs="Times New Roman"/>
                <w:b/>
                <w:bCs/>
                <w:kern w:val="0"/>
                <w:sz w:val="22"/>
              </w:rPr>
              <w:t>100</w:t>
            </w:r>
          </w:p>
        </w:tc>
      </w:tr>
    </w:tbl>
    <w:p w14:paraId="10402E2F" w14:textId="77777777" w:rsidR="00E47CD1" w:rsidRDefault="00E47CD1" w:rsidP="00E47CD1">
      <w:pPr>
        <w:widowControl/>
        <w:wordWrap/>
        <w:autoSpaceDE/>
        <w:autoSpaceDN/>
        <w:rPr>
          <w:rFonts w:ascii="Times New Roman" w:hAnsi="Times New Roman" w:cs="Times New Roman"/>
          <w:b/>
          <w:bCs/>
        </w:rPr>
      </w:pPr>
      <w:r>
        <w:rPr>
          <w:rFonts w:ascii="Times New Roman" w:hAnsi="Times New Roman" w:cs="Times New Roman"/>
          <w:b/>
          <w:bCs/>
        </w:rPr>
        <w:br w:type="page"/>
      </w:r>
    </w:p>
    <w:p w14:paraId="09386844" w14:textId="77777777" w:rsidR="00E47CD1" w:rsidRDefault="00E47CD1" w:rsidP="00E47CD1">
      <w:pPr>
        <w:widowControl/>
        <w:wordWrap/>
        <w:autoSpaceDE/>
        <w:autoSpaceDN/>
        <w:rPr>
          <w:rFonts w:ascii="Times New Roman" w:hAnsi="Times New Roman" w:cs="Times New Roman"/>
          <w:b/>
          <w:bCs/>
        </w:rPr>
      </w:pPr>
      <w:r>
        <w:rPr>
          <w:rFonts w:ascii="Times New Roman" w:hAnsi="Times New Roman" w:cs="Times New Roman"/>
          <w:b/>
          <w:bCs/>
        </w:rPr>
        <w:lastRenderedPageBreak/>
        <w:t>Supplement</w:t>
      </w:r>
      <w:r w:rsidRPr="00804210">
        <w:rPr>
          <w:rFonts w:ascii="Times New Roman" w:hAnsi="Times New Roman" w:cs="Times New Roman"/>
          <w:b/>
          <w:bCs/>
        </w:rPr>
        <w:t xml:space="preserve"> </w:t>
      </w:r>
      <w:r>
        <w:rPr>
          <w:rFonts w:ascii="Times New Roman" w:hAnsi="Times New Roman" w:cs="Times New Roman" w:hint="eastAsia"/>
          <w:b/>
          <w:bCs/>
        </w:rPr>
        <w:t>8</w:t>
      </w:r>
      <w:r w:rsidRPr="00804210">
        <w:rPr>
          <w:rFonts w:ascii="Times New Roman" w:hAnsi="Times New Roman" w:cs="Times New Roman"/>
          <w:b/>
          <w:bCs/>
        </w:rPr>
        <w:t xml:space="preserve">. SARS-CoV-2 seropositivity among </w:t>
      </w:r>
      <w:r>
        <w:rPr>
          <w:rFonts w:ascii="Times New Roman" w:hAnsi="Times New Roman" w:cs="Times New Roman"/>
          <w:b/>
          <w:bCs/>
        </w:rPr>
        <w:t>participants who were seropositive at baseline, or had COVID-19, or were infected during study</w:t>
      </w:r>
    </w:p>
    <w:tbl>
      <w:tblPr>
        <w:tblStyle w:val="PlainTable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2410"/>
        <w:gridCol w:w="708"/>
        <w:gridCol w:w="1276"/>
        <w:gridCol w:w="2126"/>
        <w:gridCol w:w="1418"/>
        <w:gridCol w:w="1417"/>
        <w:gridCol w:w="1276"/>
        <w:gridCol w:w="992"/>
        <w:gridCol w:w="1785"/>
      </w:tblGrid>
      <w:tr w:rsidR="00E47CD1" w:rsidRPr="00843CC3" w14:paraId="26D05B6A" w14:textId="77777777" w:rsidTr="00EB22E5">
        <w:trPr>
          <w:cnfStyle w:val="100000000000" w:firstRow="1" w:lastRow="0" w:firstColumn="0" w:lastColumn="0" w:oddVBand="0" w:evenVBand="0" w:oddHBand="0" w:evenHBand="0" w:firstRowFirstColumn="0" w:firstRowLastColumn="0" w:lastRowFirstColumn="0" w:lastRowLastColumn="0"/>
          <w:trHeight w:val="841"/>
        </w:trPr>
        <w:tc>
          <w:tcPr>
            <w:cnfStyle w:val="001000000000" w:firstRow="0" w:lastRow="0" w:firstColumn="1" w:lastColumn="0" w:oddVBand="0" w:evenVBand="0" w:oddHBand="0" w:evenHBand="0" w:firstRowFirstColumn="0" w:firstRowLastColumn="0" w:lastRowFirstColumn="0" w:lastRowLastColumn="0"/>
            <w:tcW w:w="1980" w:type="dxa"/>
            <w:noWrap/>
            <w:hideMark/>
          </w:tcPr>
          <w:p w14:paraId="5404AC1A"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Population</w:t>
            </w:r>
          </w:p>
        </w:tc>
        <w:tc>
          <w:tcPr>
            <w:tcW w:w="2410" w:type="dxa"/>
            <w:noWrap/>
            <w:hideMark/>
          </w:tcPr>
          <w:p w14:paraId="524B5283" w14:textId="77777777" w:rsidR="00E47CD1" w:rsidRPr="00843CC3"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Author, year</w:t>
            </w:r>
          </w:p>
        </w:tc>
        <w:tc>
          <w:tcPr>
            <w:tcW w:w="708" w:type="dxa"/>
            <w:noWrap/>
            <w:hideMark/>
          </w:tcPr>
          <w:p w14:paraId="2EA9491A" w14:textId="77777777" w:rsidR="00E47CD1" w:rsidRPr="00843CC3"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n</w:t>
            </w:r>
          </w:p>
        </w:tc>
        <w:tc>
          <w:tcPr>
            <w:tcW w:w="1276" w:type="dxa"/>
            <w:noWrap/>
            <w:hideMark/>
          </w:tcPr>
          <w:p w14:paraId="2F66384C" w14:textId="77777777" w:rsidR="00E47CD1" w:rsidRPr="00843CC3"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Country</w:t>
            </w:r>
          </w:p>
        </w:tc>
        <w:tc>
          <w:tcPr>
            <w:tcW w:w="2126" w:type="dxa"/>
            <w:noWrap/>
            <w:hideMark/>
          </w:tcPr>
          <w:p w14:paraId="7F8A8AE1" w14:textId="77777777" w:rsidR="00E47CD1" w:rsidRPr="00843CC3"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Age</w:t>
            </w:r>
          </w:p>
        </w:tc>
        <w:tc>
          <w:tcPr>
            <w:tcW w:w="1418" w:type="dxa"/>
            <w:hideMark/>
          </w:tcPr>
          <w:p w14:paraId="00FEE0B0" w14:textId="77777777" w:rsidR="00E47CD1" w:rsidRPr="00843CC3"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Sex </w:t>
            </w:r>
            <w:r w:rsidRPr="00843CC3">
              <w:rPr>
                <w:rFonts w:ascii="Times New Roman" w:eastAsia="Malgun Gothic" w:hAnsi="Times New Roman" w:cs="Times New Roman"/>
                <w:color w:val="000000"/>
                <w:kern w:val="0"/>
                <w:sz w:val="22"/>
              </w:rPr>
              <w:br/>
              <w:t>(female %)</w:t>
            </w:r>
          </w:p>
        </w:tc>
        <w:tc>
          <w:tcPr>
            <w:tcW w:w="1417" w:type="dxa"/>
            <w:noWrap/>
            <w:hideMark/>
          </w:tcPr>
          <w:p w14:paraId="4CFE78A8" w14:textId="77777777" w:rsidR="00E47CD1" w:rsidRPr="00843CC3"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Vaccine</w:t>
            </w:r>
          </w:p>
        </w:tc>
        <w:tc>
          <w:tcPr>
            <w:tcW w:w="1276" w:type="dxa"/>
            <w:hideMark/>
          </w:tcPr>
          <w:p w14:paraId="5967B220" w14:textId="77777777" w:rsidR="00E47CD1" w:rsidRPr="00843CC3"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Test Date </w:t>
            </w:r>
            <w:r w:rsidRPr="00843CC3">
              <w:rPr>
                <w:rFonts w:ascii="Times New Roman" w:eastAsia="Malgun Gothic" w:hAnsi="Times New Roman" w:cs="Times New Roman"/>
                <w:color w:val="000000"/>
                <w:kern w:val="0"/>
                <w:sz w:val="22"/>
              </w:rPr>
              <w:br/>
              <w:t>(day)</w:t>
            </w:r>
          </w:p>
        </w:tc>
        <w:tc>
          <w:tcPr>
            <w:tcW w:w="992" w:type="dxa"/>
            <w:noWrap/>
            <w:hideMark/>
          </w:tcPr>
          <w:p w14:paraId="7A296CE8" w14:textId="77777777" w:rsidR="00E47CD1" w:rsidRPr="00843CC3"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Dose</w:t>
            </w:r>
          </w:p>
        </w:tc>
        <w:tc>
          <w:tcPr>
            <w:tcW w:w="1785" w:type="dxa"/>
            <w:hideMark/>
          </w:tcPr>
          <w:p w14:paraId="22440714" w14:textId="77777777" w:rsidR="00E47CD1" w:rsidRPr="00843CC3" w:rsidRDefault="00E47CD1" w:rsidP="00EB22E5">
            <w:pPr>
              <w:widowControl/>
              <w:wordWrap/>
              <w:autoSpaceDE/>
              <w:autoSpaceDN/>
              <w:jc w:val="center"/>
              <w:cnfStyle w:val="100000000000" w:firstRow="1"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Seropositivity </w:t>
            </w:r>
            <w:r w:rsidRPr="00843CC3">
              <w:rPr>
                <w:rFonts w:ascii="Times New Roman" w:eastAsia="Malgun Gothic" w:hAnsi="Times New Roman" w:cs="Times New Roman"/>
                <w:color w:val="000000"/>
                <w:kern w:val="0"/>
                <w:sz w:val="22"/>
              </w:rPr>
              <w:br/>
              <w:t>(%)</w:t>
            </w:r>
          </w:p>
        </w:tc>
      </w:tr>
      <w:tr w:rsidR="00E47CD1" w:rsidRPr="00843CC3" w14:paraId="7D6BC39F"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224FC07C" w14:textId="77777777" w:rsidR="00E47CD1" w:rsidRDefault="00E47CD1" w:rsidP="00EB22E5">
            <w:pPr>
              <w:widowControl/>
              <w:wordWrap/>
              <w:autoSpaceDE/>
              <w:autoSpaceDN/>
              <w:jc w:val="center"/>
              <w:rPr>
                <w:rFonts w:ascii="Times New Roman" w:eastAsia="Malgun Gothic" w:hAnsi="Times New Roman" w:cs="Times New Roman"/>
                <w:b w:val="0"/>
                <w:bCs w:val="0"/>
                <w:color w:val="000000"/>
                <w:kern w:val="0"/>
                <w:sz w:val="22"/>
              </w:rPr>
            </w:pPr>
            <w:r w:rsidRPr="00843CC3">
              <w:rPr>
                <w:rFonts w:ascii="Times New Roman" w:eastAsia="Malgun Gothic" w:hAnsi="Times New Roman" w:cs="Times New Roman"/>
                <w:color w:val="000000"/>
                <w:kern w:val="0"/>
                <w:sz w:val="22"/>
              </w:rPr>
              <w:t>Seropositive</w:t>
            </w:r>
          </w:p>
          <w:p w14:paraId="689819C1"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at baseline</w:t>
            </w:r>
          </w:p>
        </w:tc>
        <w:tc>
          <w:tcPr>
            <w:tcW w:w="2410" w:type="dxa"/>
            <w:noWrap/>
            <w:hideMark/>
          </w:tcPr>
          <w:p w14:paraId="2E20F09C" w14:textId="77777777" w:rsidR="00E47CD1" w:rsidRPr="00843CC3"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G. L. Salvagano, 2021</w:t>
            </w:r>
          </w:p>
        </w:tc>
        <w:tc>
          <w:tcPr>
            <w:tcW w:w="708" w:type="dxa"/>
            <w:noWrap/>
            <w:hideMark/>
          </w:tcPr>
          <w:p w14:paraId="40BB4EF0"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206</w:t>
            </w:r>
          </w:p>
        </w:tc>
        <w:tc>
          <w:tcPr>
            <w:tcW w:w="1276" w:type="dxa"/>
            <w:noWrap/>
            <w:hideMark/>
          </w:tcPr>
          <w:p w14:paraId="6CD024DA"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Italy</w:t>
            </w:r>
          </w:p>
        </w:tc>
        <w:tc>
          <w:tcPr>
            <w:tcW w:w="2126" w:type="dxa"/>
            <w:noWrap/>
            <w:hideMark/>
          </w:tcPr>
          <w:p w14:paraId="0822ACF8" w14:textId="77777777" w:rsidR="00E47CD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Mean (SD) </w:t>
            </w:r>
          </w:p>
          <w:p w14:paraId="35525D9E"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43 (13)</w:t>
            </w:r>
          </w:p>
        </w:tc>
        <w:tc>
          <w:tcPr>
            <w:tcW w:w="1418" w:type="dxa"/>
            <w:noWrap/>
            <w:hideMark/>
          </w:tcPr>
          <w:p w14:paraId="33DE40BA"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70</w:t>
            </w:r>
          </w:p>
        </w:tc>
        <w:tc>
          <w:tcPr>
            <w:tcW w:w="1417" w:type="dxa"/>
            <w:noWrap/>
            <w:hideMark/>
          </w:tcPr>
          <w:p w14:paraId="7066009A"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Pfizer</w:t>
            </w:r>
          </w:p>
        </w:tc>
        <w:tc>
          <w:tcPr>
            <w:tcW w:w="1276" w:type="dxa"/>
            <w:noWrap/>
            <w:hideMark/>
          </w:tcPr>
          <w:p w14:paraId="1431F667"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w:t>
            </w:r>
          </w:p>
        </w:tc>
        <w:tc>
          <w:tcPr>
            <w:tcW w:w="992" w:type="dxa"/>
            <w:noWrap/>
            <w:hideMark/>
          </w:tcPr>
          <w:p w14:paraId="5BC69AF8"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Before</w:t>
            </w:r>
          </w:p>
        </w:tc>
        <w:tc>
          <w:tcPr>
            <w:tcW w:w="1785" w:type="dxa"/>
            <w:noWrap/>
            <w:hideMark/>
          </w:tcPr>
          <w:p w14:paraId="6D33F5DB"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100</w:t>
            </w:r>
          </w:p>
        </w:tc>
      </w:tr>
      <w:tr w:rsidR="00E47CD1" w:rsidRPr="00843CC3" w14:paraId="647828EB"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2A3CAEB6"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75075102" w14:textId="77777777" w:rsidR="00E47CD1" w:rsidRPr="00843CC3"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G. L. Salvagano, 2021</w:t>
            </w:r>
          </w:p>
        </w:tc>
        <w:tc>
          <w:tcPr>
            <w:tcW w:w="708" w:type="dxa"/>
            <w:noWrap/>
            <w:hideMark/>
          </w:tcPr>
          <w:p w14:paraId="34BBB236"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206</w:t>
            </w:r>
          </w:p>
        </w:tc>
        <w:tc>
          <w:tcPr>
            <w:tcW w:w="1276" w:type="dxa"/>
            <w:noWrap/>
            <w:hideMark/>
          </w:tcPr>
          <w:p w14:paraId="1FB09E75"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Italy</w:t>
            </w:r>
          </w:p>
        </w:tc>
        <w:tc>
          <w:tcPr>
            <w:tcW w:w="2126" w:type="dxa"/>
            <w:noWrap/>
            <w:hideMark/>
          </w:tcPr>
          <w:p w14:paraId="55BBA400" w14:textId="77777777" w:rsidR="00E47CD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Mean (SD) </w:t>
            </w:r>
          </w:p>
          <w:p w14:paraId="1A8F885E"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43 (13)</w:t>
            </w:r>
          </w:p>
        </w:tc>
        <w:tc>
          <w:tcPr>
            <w:tcW w:w="1418" w:type="dxa"/>
            <w:noWrap/>
            <w:hideMark/>
          </w:tcPr>
          <w:p w14:paraId="0F6F3500"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70</w:t>
            </w:r>
          </w:p>
        </w:tc>
        <w:tc>
          <w:tcPr>
            <w:tcW w:w="1417" w:type="dxa"/>
            <w:noWrap/>
            <w:hideMark/>
          </w:tcPr>
          <w:p w14:paraId="3850F2FA"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Pfizer</w:t>
            </w:r>
          </w:p>
        </w:tc>
        <w:tc>
          <w:tcPr>
            <w:tcW w:w="1276" w:type="dxa"/>
            <w:noWrap/>
            <w:hideMark/>
          </w:tcPr>
          <w:p w14:paraId="14864095"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21</w:t>
            </w:r>
          </w:p>
        </w:tc>
        <w:tc>
          <w:tcPr>
            <w:tcW w:w="992" w:type="dxa"/>
            <w:noWrap/>
            <w:hideMark/>
          </w:tcPr>
          <w:p w14:paraId="7D684CD9"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Second</w:t>
            </w:r>
          </w:p>
        </w:tc>
        <w:tc>
          <w:tcPr>
            <w:tcW w:w="1785" w:type="dxa"/>
            <w:noWrap/>
            <w:hideMark/>
          </w:tcPr>
          <w:p w14:paraId="25590DEE"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100</w:t>
            </w:r>
          </w:p>
        </w:tc>
      </w:tr>
      <w:tr w:rsidR="00E47CD1" w:rsidRPr="00843CC3" w14:paraId="0C281780"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70C6A7D2"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10210513" w14:textId="77777777" w:rsidR="00E47CD1" w:rsidRPr="00843CC3"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G. L. Salvagano, 2021</w:t>
            </w:r>
          </w:p>
        </w:tc>
        <w:tc>
          <w:tcPr>
            <w:tcW w:w="708" w:type="dxa"/>
            <w:noWrap/>
            <w:hideMark/>
          </w:tcPr>
          <w:p w14:paraId="5DCC5F06"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206</w:t>
            </w:r>
          </w:p>
        </w:tc>
        <w:tc>
          <w:tcPr>
            <w:tcW w:w="1276" w:type="dxa"/>
            <w:noWrap/>
            <w:hideMark/>
          </w:tcPr>
          <w:p w14:paraId="04666112"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Italy</w:t>
            </w:r>
          </w:p>
        </w:tc>
        <w:tc>
          <w:tcPr>
            <w:tcW w:w="2126" w:type="dxa"/>
            <w:noWrap/>
            <w:hideMark/>
          </w:tcPr>
          <w:p w14:paraId="66A694A0" w14:textId="77777777" w:rsidR="00E47CD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Mean (SD) </w:t>
            </w:r>
          </w:p>
          <w:p w14:paraId="1FA0BAF5"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43 (13)</w:t>
            </w:r>
          </w:p>
        </w:tc>
        <w:tc>
          <w:tcPr>
            <w:tcW w:w="1418" w:type="dxa"/>
            <w:noWrap/>
            <w:hideMark/>
          </w:tcPr>
          <w:p w14:paraId="74311401"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70</w:t>
            </w:r>
          </w:p>
        </w:tc>
        <w:tc>
          <w:tcPr>
            <w:tcW w:w="1417" w:type="dxa"/>
            <w:noWrap/>
            <w:hideMark/>
          </w:tcPr>
          <w:p w14:paraId="19D963C0"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Pfizer</w:t>
            </w:r>
          </w:p>
        </w:tc>
        <w:tc>
          <w:tcPr>
            <w:tcW w:w="1276" w:type="dxa"/>
            <w:noWrap/>
            <w:hideMark/>
          </w:tcPr>
          <w:p w14:paraId="43D47A1E"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50</w:t>
            </w:r>
          </w:p>
        </w:tc>
        <w:tc>
          <w:tcPr>
            <w:tcW w:w="992" w:type="dxa"/>
            <w:noWrap/>
            <w:hideMark/>
          </w:tcPr>
          <w:p w14:paraId="495DA1AC"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Second</w:t>
            </w:r>
          </w:p>
        </w:tc>
        <w:tc>
          <w:tcPr>
            <w:tcW w:w="1785" w:type="dxa"/>
            <w:noWrap/>
            <w:hideMark/>
          </w:tcPr>
          <w:p w14:paraId="281015FB"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100</w:t>
            </w:r>
          </w:p>
        </w:tc>
      </w:tr>
      <w:tr w:rsidR="00E47CD1" w:rsidRPr="00843CC3" w14:paraId="07CC083A"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791A50C1"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0198F25B" w14:textId="77777777" w:rsidR="00E47CD1" w:rsidRPr="00843CC3"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 Claro, 2021</w:t>
            </w:r>
          </w:p>
        </w:tc>
        <w:tc>
          <w:tcPr>
            <w:tcW w:w="708" w:type="dxa"/>
            <w:noWrap/>
            <w:hideMark/>
          </w:tcPr>
          <w:p w14:paraId="63963272"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27</w:t>
            </w:r>
          </w:p>
        </w:tc>
        <w:tc>
          <w:tcPr>
            <w:tcW w:w="1276" w:type="dxa"/>
            <w:noWrap/>
            <w:hideMark/>
          </w:tcPr>
          <w:p w14:paraId="141A31C2"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Venezuela</w:t>
            </w:r>
          </w:p>
        </w:tc>
        <w:tc>
          <w:tcPr>
            <w:tcW w:w="2126" w:type="dxa"/>
            <w:noWrap/>
            <w:hideMark/>
          </w:tcPr>
          <w:p w14:paraId="4BF3A576"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NR</w:t>
            </w:r>
          </w:p>
        </w:tc>
        <w:tc>
          <w:tcPr>
            <w:tcW w:w="1418" w:type="dxa"/>
            <w:noWrap/>
            <w:hideMark/>
          </w:tcPr>
          <w:p w14:paraId="5D1F6C5E"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NR</w:t>
            </w:r>
          </w:p>
        </w:tc>
        <w:tc>
          <w:tcPr>
            <w:tcW w:w="1417" w:type="dxa"/>
            <w:noWrap/>
            <w:hideMark/>
          </w:tcPr>
          <w:p w14:paraId="198D3D73"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Sputnik V</w:t>
            </w:r>
          </w:p>
        </w:tc>
        <w:tc>
          <w:tcPr>
            <w:tcW w:w="1276" w:type="dxa"/>
            <w:noWrap/>
            <w:hideMark/>
          </w:tcPr>
          <w:p w14:paraId="5A7B1C73"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0</w:t>
            </w:r>
          </w:p>
        </w:tc>
        <w:tc>
          <w:tcPr>
            <w:tcW w:w="992" w:type="dxa"/>
            <w:noWrap/>
            <w:hideMark/>
          </w:tcPr>
          <w:p w14:paraId="3FFF400B"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Before</w:t>
            </w:r>
          </w:p>
        </w:tc>
        <w:tc>
          <w:tcPr>
            <w:tcW w:w="1785" w:type="dxa"/>
            <w:noWrap/>
            <w:hideMark/>
          </w:tcPr>
          <w:p w14:paraId="3E48BEC9"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70</w:t>
            </w:r>
          </w:p>
        </w:tc>
      </w:tr>
      <w:tr w:rsidR="00E47CD1" w:rsidRPr="00843CC3" w14:paraId="3C678202"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39645F6E"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5AADC7F1" w14:textId="77777777" w:rsidR="00E47CD1" w:rsidRPr="00843CC3"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 Claro, 2021</w:t>
            </w:r>
          </w:p>
        </w:tc>
        <w:tc>
          <w:tcPr>
            <w:tcW w:w="708" w:type="dxa"/>
            <w:noWrap/>
            <w:hideMark/>
          </w:tcPr>
          <w:p w14:paraId="57DC3F3E"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27</w:t>
            </w:r>
          </w:p>
        </w:tc>
        <w:tc>
          <w:tcPr>
            <w:tcW w:w="1276" w:type="dxa"/>
            <w:noWrap/>
            <w:hideMark/>
          </w:tcPr>
          <w:p w14:paraId="37730D6F"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Venezuela</w:t>
            </w:r>
          </w:p>
        </w:tc>
        <w:tc>
          <w:tcPr>
            <w:tcW w:w="2126" w:type="dxa"/>
            <w:noWrap/>
            <w:hideMark/>
          </w:tcPr>
          <w:p w14:paraId="53D721FB"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NR</w:t>
            </w:r>
          </w:p>
        </w:tc>
        <w:tc>
          <w:tcPr>
            <w:tcW w:w="1418" w:type="dxa"/>
            <w:noWrap/>
            <w:hideMark/>
          </w:tcPr>
          <w:p w14:paraId="7F3F7F09"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NR</w:t>
            </w:r>
          </w:p>
        </w:tc>
        <w:tc>
          <w:tcPr>
            <w:tcW w:w="1417" w:type="dxa"/>
            <w:noWrap/>
            <w:hideMark/>
          </w:tcPr>
          <w:p w14:paraId="41F968D7"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Sputnik V</w:t>
            </w:r>
          </w:p>
        </w:tc>
        <w:tc>
          <w:tcPr>
            <w:tcW w:w="1276" w:type="dxa"/>
            <w:noWrap/>
            <w:hideMark/>
          </w:tcPr>
          <w:p w14:paraId="1837E197"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21</w:t>
            </w:r>
          </w:p>
        </w:tc>
        <w:tc>
          <w:tcPr>
            <w:tcW w:w="992" w:type="dxa"/>
            <w:noWrap/>
            <w:hideMark/>
          </w:tcPr>
          <w:p w14:paraId="32D61D65"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First</w:t>
            </w:r>
          </w:p>
        </w:tc>
        <w:tc>
          <w:tcPr>
            <w:tcW w:w="1785" w:type="dxa"/>
            <w:noWrap/>
            <w:hideMark/>
          </w:tcPr>
          <w:p w14:paraId="5B3286BA"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100</w:t>
            </w:r>
          </w:p>
        </w:tc>
      </w:tr>
      <w:tr w:rsidR="00E47CD1" w:rsidRPr="00843CC3" w14:paraId="74E58427"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69F36AE7"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3A591A80" w14:textId="77777777" w:rsidR="00E47CD1" w:rsidRPr="00843CC3"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 Claro, 2021</w:t>
            </w:r>
          </w:p>
        </w:tc>
        <w:tc>
          <w:tcPr>
            <w:tcW w:w="708" w:type="dxa"/>
            <w:noWrap/>
            <w:hideMark/>
          </w:tcPr>
          <w:p w14:paraId="075A80A3"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27</w:t>
            </w:r>
          </w:p>
        </w:tc>
        <w:tc>
          <w:tcPr>
            <w:tcW w:w="1276" w:type="dxa"/>
            <w:noWrap/>
            <w:hideMark/>
          </w:tcPr>
          <w:p w14:paraId="3605A26A"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Venezuela</w:t>
            </w:r>
          </w:p>
        </w:tc>
        <w:tc>
          <w:tcPr>
            <w:tcW w:w="2126" w:type="dxa"/>
            <w:noWrap/>
            <w:hideMark/>
          </w:tcPr>
          <w:p w14:paraId="11349500"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NR</w:t>
            </w:r>
          </w:p>
        </w:tc>
        <w:tc>
          <w:tcPr>
            <w:tcW w:w="1418" w:type="dxa"/>
            <w:noWrap/>
            <w:hideMark/>
          </w:tcPr>
          <w:p w14:paraId="2944E855"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NR</w:t>
            </w:r>
          </w:p>
        </w:tc>
        <w:tc>
          <w:tcPr>
            <w:tcW w:w="1417" w:type="dxa"/>
            <w:noWrap/>
            <w:hideMark/>
          </w:tcPr>
          <w:p w14:paraId="5391DBB8"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Sputnik V</w:t>
            </w:r>
          </w:p>
        </w:tc>
        <w:tc>
          <w:tcPr>
            <w:tcW w:w="1276" w:type="dxa"/>
            <w:noWrap/>
            <w:hideMark/>
          </w:tcPr>
          <w:p w14:paraId="1DA70FB1"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21</w:t>
            </w:r>
          </w:p>
        </w:tc>
        <w:tc>
          <w:tcPr>
            <w:tcW w:w="992" w:type="dxa"/>
            <w:noWrap/>
            <w:hideMark/>
          </w:tcPr>
          <w:p w14:paraId="2D11B7B8"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Second</w:t>
            </w:r>
          </w:p>
        </w:tc>
        <w:tc>
          <w:tcPr>
            <w:tcW w:w="1785" w:type="dxa"/>
            <w:noWrap/>
            <w:hideMark/>
          </w:tcPr>
          <w:p w14:paraId="1BC1CD16"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100</w:t>
            </w:r>
          </w:p>
        </w:tc>
      </w:tr>
      <w:tr w:rsidR="00E47CD1" w:rsidRPr="00843CC3" w14:paraId="1D5A24FD"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240BD118"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7461422F" w14:textId="77777777" w:rsidR="00E47CD1" w:rsidRPr="00843CC3"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708" w:type="dxa"/>
            <w:noWrap/>
            <w:hideMark/>
          </w:tcPr>
          <w:p w14:paraId="5234F551"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　</w:t>
            </w:r>
          </w:p>
        </w:tc>
        <w:tc>
          <w:tcPr>
            <w:tcW w:w="1276" w:type="dxa"/>
            <w:noWrap/>
            <w:hideMark/>
          </w:tcPr>
          <w:p w14:paraId="54B40229"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　</w:t>
            </w:r>
          </w:p>
        </w:tc>
        <w:tc>
          <w:tcPr>
            <w:tcW w:w="2126" w:type="dxa"/>
            <w:noWrap/>
            <w:hideMark/>
          </w:tcPr>
          <w:p w14:paraId="18C3C1A7"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　</w:t>
            </w:r>
          </w:p>
        </w:tc>
        <w:tc>
          <w:tcPr>
            <w:tcW w:w="1418" w:type="dxa"/>
            <w:noWrap/>
            <w:hideMark/>
          </w:tcPr>
          <w:p w14:paraId="28E8E695"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　</w:t>
            </w:r>
          </w:p>
        </w:tc>
        <w:tc>
          <w:tcPr>
            <w:tcW w:w="1417" w:type="dxa"/>
            <w:noWrap/>
            <w:hideMark/>
          </w:tcPr>
          <w:p w14:paraId="09E29D7A"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　</w:t>
            </w:r>
          </w:p>
        </w:tc>
        <w:tc>
          <w:tcPr>
            <w:tcW w:w="1276" w:type="dxa"/>
            <w:noWrap/>
            <w:hideMark/>
          </w:tcPr>
          <w:p w14:paraId="55BFFF66"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　</w:t>
            </w:r>
          </w:p>
        </w:tc>
        <w:tc>
          <w:tcPr>
            <w:tcW w:w="992" w:type="dxa"/>
            <w:noWrap/>
            <w:hideMark/>
          </w:tcPr>
          <w:p w14:paraId="41B5E118"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　</w:t>
            </w:r>
          </w:p>
        </w:tc>
        <w:tc>
          <w:tcPr>
            <w:tcW w:w="1785" w:type="dxa"/>
            <w:noWrap/>
            <w:hideMark/>
          </w:tcPr>
          <w:p w14:paraId="798924EA"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 xml:space="preserve">　</w:t>
            </w:r>
          </w:p>
        </w:tc>
      </w:tr>
      <w:tr w:rsidR="00E47CD1" w:rsidRPr="00843CC3" w14:paraId="5F098F48"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2649BAAE"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Had COVID-19</w:t>
            </w:r>
          </w:p>
        </w:tc>
        <w:tc>
          <w:tcPr>
            <w:tcW w:w="2410" w:type="dxa"/>
            <w:noWrap/>
            <w:hideMark/>
          </w:tcPr>
          <w:p w14:paraId="758B6499" w14:textId="77777777" w:rsidR="00E47CD1" w:rsidRPr="00843CC3"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p>
        </w:tc>
        <w:tc>
          <w:tcPr>
            <w:tcW w:w="708" w:type="dxa"/>
            <w:noWrap/>
            <w:hideMark/>
          </w:tcPr>
          <w:p w14:paraId="7F9F350B"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　</w:t>
            </w:r>
          </w:p>
        </w:tc>
        <w:tc>
          <w:tcPr>
            <w:tcW w:w="1276" w:type="dxa"/>
            <w:noWrap/>
            <w:hideMark/>
          </w:tcPr>
          <w:p w14:paraId="19C2E3C1"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　</w:t>
            </w:r>
          </w:p>
        </w:tc>
        <w:tc>
          <w:tcPr>
            <w:tcW w:w="2126" w:type="dxa"/>
            <w:noWrap/>
            <w:hideMark/>
          </w:tcPr>
          <w:p w14:paraId="64A82739"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　</w:t>
            </w:r>
          </w:p>
        </w:tc>
        <w:tc>
          <w:tcPr>
            <w:tcW w:w="1418" w:type="dxa"/>
            <w:noWrap/>
            <w:hideMark/>
          </w:tcPr>
          <w:p w14:paraId="21F593D2"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　</w:t>
            </w:r>
          </w:p>
        </w:tc>
        <w:tc>
          <w:tcPr>
            <w:tcW w:w="1417" w:type="dxa"/>
            <w:noWrap/>
            <w:hideMark/>
          </w:tcPr>
          <w:p w14:paraId="65349828"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　</w:t>
            </w:r>
          </w:p>
        </w:tc>
        <w:tc>
          <w:tcPr>
            <w:tcW w:w="1276" w:type="dxa"/>
            <w:noWrap/>
            <w:hideMark/>
          </w:tcPr>
          <w:p w14:paraId="2DBE3191"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　</w:t>
            </w:r>
          </w:p>
        </w:tc>
        <w:tc>
          <w:tcPr>
            <w:tcW w:w="992" w:type="dxa"/>
            <w:noWrap/>
            <w:hideMark/>
          </w:tcPr>
          <w:p w14:paraId="748044E4"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　</w:t>
            </w:r>
          </w:p>
        </w:tc>
        <w:tc>
          <w:tcPr>
            <w:tcW w:w="1785" w:type="dxa"/>
            <w:noWrap/>
            <w:hideMark/>
          </w:tcPr>
          <w:p w14:paraId="77DFC806"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 xml:space="preserve">　</w:t>
            </w:r>
          </w:p>
        </w:tc>
      </w:tr>
      <w:tr w:rsidR="00E47CD1" w:rsidRPr="00843CC3" w14:paraId="5450B12B"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0CCA95CD" w14:textId="77777777" w:rsidR="00E47CD1" w:rsidRPr="00843CC3" w:rsidRDefault="00E47CD1" w:rsidP="00EB22E5">
            <w:pPr>
              <w:widowControl/>
              <w:wordWrap/>
              <w:autoSpaceDE/>
              <w:autoSpaceDN/>
              <w:jc w:val="center"/>
              <w:rPr>
                <w:rFonts w:ascii="Times New Roman" w:eastAsia="Malgun Gothic" w:hAnsi="Times New Roman" w:cs="Times New Roman"/>
                <w:b w:val="0"/>
                <w:bCs w:val="0"/>
                <w:color w:val="000000"/>
                <w:kern w:val="0"/>
                <w:sz w:val="22"/>
              </w:rPr>
            </w:pPr>
            <w:r w:rsidRPr="00843CC3">
              <w:rPr>
                <w:rFonts w:ascii="Times New Roman" w:eastAsia="Malgun Gothic" w:hAnsi="Times New Roman" w:cs="Times New Roman"/>
                <w:b w:val="0"/>
                <w:bCs w:val="0"/>
                <w:color w:val="000000"/>
                <w:kern w:val="0"/>
                <w:sz w:val="22"/>
              </w:rPr>
              <w:t>RT-PCR positive</w:t>
            </w:r>
          </w:p>
          <w:p w14:paraId="52E18860"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r w:rsidRPr="00843CC3">
              <w:rPr>
                <w:rFonts w:ascii="Times New Roman" w:eastAsia="Malgun Gothic" w:hAnsi="Times New Roman" w:cs="Times New Roman"/>
                <w:b w:val="0"/>
                <w:bCs w:val="0"/>
                <w:color w:val="000000"/>
                <w:kern w:val="0"/>
                <w:sz w:val="22"/>
              </w:rPr>
              <w:t>3-7 months ago</w:t>
            </w:r>
          </w:p>
        </w:tc>
        <w:tc>
          <w:tcPr>
            <w:tcW w:w="2410" w:type="dxa"/>
            <w:noWrap/>
            <w:hideMark/>
          </w:tcPr>
          <w:p w14:paraId="3139BFD7" w14:textId="77777777" w:rsidR="00E47CD1" w:rsidRPr="00843CC3"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H. Blain, 2021</w:t>
            </w:r>
          </w:p>
        </w:tc>
        <w:tc>
          <w:tcPr>
            <w:tcW w:w="708" w:type="dxa"/>
            <w:noWrap/>
            <w:hideMark/>
          </w:tcPr>
          <w:p w14:paraId="0F816357"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94</w:t>
            </w:r>
          </w:p>
        </w:tc>
        <w:tc>
          <w:tcPr>
            <w:tcW w:w="1276" w:type="dxa"/>
            <w:noWrap/>
            <w:hideMark/>
          </w:tcPr>
          <w:p w14:paraId="71CCB7FA"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France</w:t>
            </w:r>
          </w:p>
        </w:tc>
        <w:tc>
          <w:tcPr>
            <w:tcW w:w="2126" w:type="dxa"/>
            <w:noWrap/>
            <w:hideMark/>
          </w:tcPr>
          <w:p w14:paraId="55BAD493" w14:textId="77777777" w:rsidR="00E47CD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Mean (Range) </w:t>
            </w:r>
          </w:p>
          <w:p w14:paraId="7B79F4D3"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86.6 (54-100)</w:t>
            </w:r>
          </w:p>
        </w:tc>
        <w:tc>
          <w:tcPr>
            <w:tcW w:w="1418" w:type="dxa"/>
            <w:noWrap/>
            <w:hideMark/>
          </w:tcPr>
          <w:p w14:paraId="10B2324C"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70.2</w:t>
            </w:r>
          </w:p>
        </w:tc>
        <w:tc>
          <w:tcPr>
            <w:tcW w:w="1417" w:type="dxa"/>
            <w:noWrap/>
            <w:hideMark/>
          </w:tcPr>
          <w:p w14:paraId="1F4059F7"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Pfizer</w:t>
            </w:r>
          </w:p>
        </w:tc>
        <w:tc>
          <w:tcPr>
            <w:tcW w:w="1276" w:type="dxa"/>
            <w:noWrap/>
            <w:hideMark/>
          </w:tcPr>
          <w:p w14:paraId="02C80FBB"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21</w:t>
            </w:r>
          </w:p>
        </w:tc>
        <w:tc>
          <w:tcPr>
            <w:tcW w:w="992" w:type="dxa"/>
            <w:noWrap/>
            <w:hideMark/>
          </w:tcPr>
          <w:p w14:paraId="501038D9"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First</w:t>
            </w:r>
          </w:p>
        </w:tc>
        <w:tc>
          <w:tcPr>
            <w:tcW w:w="1785" w:type="dxa"/>
            <w:noWrap/>
            <w:hideMark/>
          </w:tcPr>
          <w:p w14:paraId="1961B45A"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95.4</w:t>
            </w:r>
          </w:p>
        </w:tc>
      </w:tr>
      <w:tr w:rsidR="00E47CD1" w:rsidRPr="00843CC3" w14:paraId="2BCDED1A"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36A99B9C"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23C3731C" w14:textId="77777777" w:rsidR="00E47CD1" w:rsidRPr="00843CC3"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H. Blain, 2021</w:t>
            </w:r>
          </w:p>
        </w:tc>
        <w:tc>
          <w:tcPr>
            <w:tcW w:w="708" w:type="dxa"/>
            <w:noWrap/>
            <w:hideMark/>
          </w:tcPr>
          <w:p w14:paraId="1C23BEEF"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72</w:t>
            </w:r>
          </w:p>
        </w:tc>
        <w:tc>
          <w:tcPr>
            <w:tcW w:w="1276" w:type="dxa"/>
            <w:noWrap/>
            <w:hideMark/>
          </w:tcPr>
          <w:p w14:paraId="22608E6C"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France</w:t>
            </w:r>
          </w:p>
        </w:tc>
        <w:tc>
          <w:tcPr>
            <w:tcW w:w="2126" w:type="dxa"/>
            <w:noWrap/>
            <w:hideMark/>
          </w:tcPr>
          <w:p w14:paraId="6D449687" w14:textId="77777777" w:rsidR="00E47CD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Mean (Range) </w:t>
            </w:r>
          </w:p>
          <w:p w14:paraId="7B4FBC50"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86.6 (54-100)</w:t>
            </w:r>
          </w:p>
        </w:tc>
        <w:tc>
          <w:tcPr>
            <w:tcW w:w="1418" w:type="dxa"/>
            <w:noWrap/>
            <w:hideMark/>
          </w:tcPr>
          <w:p w14:paraId="3CF85242"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72.2</w:t>
            </w:r>
          </w:p>
        </w:tc>
        <w:tc>
          <w:tcPr>
            <w:tcW w:w="1417" w:type="dxa"/>
            <w:noWrap/>
            <w:hideMark/>
          </w:tcPr>
          <w:p w14:paraId="1D7877EF"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Pfizer</w:t>
            </w:r>
          </w:p>
        </w:tc>
        <w:tc>
          <w:tcPr>
            <w:tcW w:w="1276" w:type="dxa"/>
            <w:noWrap/>
            <w:hideMark/>
          </w:tcPr>
          <w:p w14:paraId="319DCA04"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42</w:t>
            </w:r>
          </w:p>
        </w:tc>
        <w:tc>
          <w:tcPr>
            <w:tcW w:w="992" w:type="dxa"/>
            <w:noWrap/>
            <w:hideMark/>
          </w:tcPr>
          <w:p w14:paraId="0D5BCC28"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Second</w:t>
            </w:r>
          </w:p>
        </w:tc>
        <w:tc>
          <w:tcPr>
            <w:tcW w:w="1785" w:type="dxa"/>
            <w:noWrap/>
            <w:hideMark/>
          </w:tcPr>
          <w:p w14:paraId="15B3BFB3"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100</w:t>
            </w:r>
          </w:p>
        </w:tc>
      </w:tr>
      <w:tr w:rsidR="00E47CD1" w:rsidRPr="00843CC3" w14:paraId="6AF7CEE9"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160DC555" w14:textId="77777777" w:rsidR="00E47CD1" w:rsidRPr="00843CC3" w:rsidRDefault="00E47CD1" w:rsidP="00EB22E5">
            <w:pPr>
              <w:widowControl/>
              <w:wordWrap/>
              <w:autoSpaceDE/>
              <w:autoSpaceDN/>
              <w:jc w:val="center"/>
              <w:rPr>
                <w:rFonts w:ascii="Times New Roman" w:eastAsia="Malgun Gothic" w:hAnsi="Times New Roman" w:cs="Times New Roman"/>
                <w:b w:val="0"/>
                <w:bCs w:val="0"/>
                <w:color w:val="000000"/>
                <w:kern w:val="0"/>
                <w:sz w:val="22"/>
              </w:rPr>
            </w:pPr>
            <w:r w:rsidRPr="00843CC3">
              <w:rPr>
                <w:rFonts w:ascii="Times New Roman" w:eastAsia="Malgun Gothic" w:hAnsi="Times New Roman" w:cs="Times New Roman"/>
                <w:b w:val="0"/>
                <w:bCs w:val="0"/>
                <w:color w:val="000000"/>
                <w:kern w:val="0"/>
                <w:sz w:val="22"/>
              </w:rPr>
              <w:t>RT-PCR positive</w:t>
            </w:r>
          </w:p>
          <w:p w14:paraId="2957FAEA"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r w:rsidRPr="00843CC3">
              <w:rPr>
                <w:rFonts w:ascii="Times New Roman" w:eastAsia="Malgun Gothic" w:hAnsi="Times New Roman" w:cs="Times New Roman"/>
                <w:b w:val="0"/>
                <w:bCs w:val="0"/>
                <w:color w:val="000000"/>
                <w:kern w:val="0"/>
                <w:sz w:val="22"/>
              </w:rPr>
              <w:t>9-12 months ago</w:t>
            </w:r>
          </w:p>
        </w:tc>
        <w:tc>
          <w:tcPr>
            <w:tcW w:w="2410" w:type="dxa"/>
            <w:noWrap/>
            <w:hideMark/>
          </w:tcPr>
          <w:p w14:paraId="2F419CDB" w14:textId="77777777" w:rsidR="00E47CD1" w:rsidRPr="00843CC3"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H. Blain, 2021</w:t>
            </w:r>
          </w:p>
        </w:tc>
        <w:tc>
          <w:tcPr>
            <w:tcW w:w="708" w:type="dxa"/>
            <w:noWrap/>
            <w:hideMark/>
          </w:tcPr>
          <w:p w14:paraId="032B39BB"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176</w:t>
            </w:r>
          </w:p>
        </w:tc>
        <w:tc>
          <w:tcPr>
            <w:tcW w:w="1276" w:type="dxa"/>
            <w:noWrap/>
            <w:hideMark/>
          </w:tcPr>
          <w:p w14:paraId="2C5268F1"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France</w:t>
            </w:r>
          </w:p>
        </w:tc>
        <w:tc>
          <w:tcPr>
            <w:tcW w:w="2126" w:type="dxa"/>
            <w:noWrap/>
            <w:hideMark/>
          </w:tcPr>
          <w:p w14:paraId="7090AD42" w14:textId="77777777" w:rsidR="00E47CD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Mean (Range) </w:t>
            </w:r>
          </w:p>
          <w:p w14:paraId="7953A74C"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87.8 (54-100)</w:t>
            </w:r>
          </w:p>
        </w:tc>
        <w:tc>
          <w:tcPr>
            <w:tcW w:w="1418" w:type="dxa"/>
            <w:noWrap/>
            <w:hideMark/>
          </w:tcPr>
          <w:p w14:paraId="19460539"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78</w:t>
            </w:r>
          </w:p>
        </w:tc>
        <w:tc>
          <w:tcPr>
            <w:tcW w:w="1417" w:type="dxa"/>
            <w:noWrap/>
            <w:hideMark/>
          </w:tcPr>
          <w:p w14:paraId="2E4323DD"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Pfizer</w:t>
            </w:r>
          </w:p>
        </w:tc>
        <w:tc>
          <w:tcPr>
            <w:tcW w:w="1276" w:type="dxa"/>
            <w:noWrap/>
            <w:hideMark/>
          </w:tcPr>
          <w:p w14:paraId="60C3AC0D"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21</w:t>
            </w:r>
          </w:p>
        </w:tc>
        <w:tc>
          <w:tcPr>
            <w:tcW w:w="992" w:type="dxa"/>
            <w:noWrap/>
            <w:hideMark/>
          </w:tcPr>
          <w:p w14:paraId="4DAC5599"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First</w:t>
            </w:r>
          </w:p>
        </w:tc>
        <w:tc>
          <w:tcPr>
            <w:tcW w:w="1785" w:type="dxa"/>
            <w:noWrap/>
            <w:hideMark/>
          </w:tcPr>
          <w:p w14:paraId="675CB77B"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97.9</w:t>
            </w:r>
          </w:p>
        </w:tc>
      </w:tr>
      <w:tr w:rsidR="00E47CD1" w:rsidRPr="00843CC3" w14:paraId="694C87A1"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3FC9A9B2"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367FDE9E" w14:textId="77777777" w:rsidR="00E47CD1" w:rsidRPr="00843CC3"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H. Blain, 2021</w:t>
            </w:r>
          </w:p>
        </w:tc>
        <w:tc>
          <w:tcPr>
            <w:tcW w:w="708" w:type="dxa"/>
            <w:noWrap/>
            <w:hideMark/>
          </w:tcPr>
          <w:p w14:paraId="628C1BC7"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150</w:t>
            </w:r>
          </w:p>
        </w:tc>
        <w:tc>
          <w:tcPr>
            <w:tcW w:w="1276" w:type="dxa"/>
            <w:noWrap/>
            <w:hideMark/>
          </w:tcPr>
          <w:p w14:paraId="34128CF7"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France</w:t>
            </w:r>
          </w:p>
        </w:tc>
        <w:tc>
          <w:tcPr>
            <w:tcW w:w="2126" w:type="dxa"/>
            <w:noWrap/>
            <w:hideMark/>
          </w:tcPr>
          <w:p w14:paraId="46B6BA3E" w14:textId="77777777" w:rsidR="00E47CD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Mean (Range) </w:t>
            </w:r>
          </w:p>
          <w:p w14:paraId="6B13C68B"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87.8 (54-100)</w:t>
            </w:r>
          </w:p>
        </w:tc>
        <w:tc>
          <w:tcPr>
            <w:tcW w:w="1418" w:type="dxa"/>
            <w:noWrap/>
            <w:hideMark/>
          </w:tcPr>
          <w:p w14:paraId="70B4C385"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80.7</w:t>
            </w:r>
          </w:p>
        </w:tc>
        <w:tc>
          <w:tcPr>
            <w:tcW w:w="1417" w:type="dxa"/>
            <w:noWrap/>
            <w:hideMark/>
          </w:tcPr>
          <w:p w14:paraId="61BDBD6D"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Pfizer</w:t>
            </w:r>
          </w:p>
        </w:tc>
        <w:tc>
          <w:tcPr>
            <w:tcW w:w="1276" w:type="dxa"/>
            <w:noWrap/>
            <w:hideMark/>
          </w:tcPr>
          <w:p w14:paraId="4718DF08"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42</w:t>
            </w:r>
          </w:p>
        </w:tc>
        <w:tc>
          <w:tcPr>
            <w:tcW w:w="992" w:type="dxa"/>
            <w:noWrap/>
            <w:hideMark/>
          </w:tcPr>
          <w:p w14:paraId="203106FB"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Second</w:t>
            </w:r>
          </w:p>
        </w:tc>
        <w:tc>
          <w:tcPr>
            <w:tcW w:w="1785" w:type="dxa"/>
            <w:noWrap/>
            <w:hideMark/>
          </w:tcPr>
          <w:p w14:paraId="13E59331"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99.3</w:t>
            </w:r>
          </w:p>
        </w:tc>
      </w:tr>
      <w:tr w:rsidR="00E47CD1" w:rsidRPr="00843CC3" w14:paraId="3D2CCA99"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37FC1A9C" w14:textId="77777777" w:rsidR="00E47CD1" w:rsidRPr="00843CC3" w:rsidRDefault="00E47CD1" w:rsidP="00EB22E5">
            <w:pPr>
              <w:widowControl/>
              <w:wordWrap/>
              <w:autoSpaceDE/>
              <w:autoSpaceDN/>
              <w:jc w:val="center"/>
              <w:rPr>
                <w:rFonts w:ascii="Times New Roman" w:eastAsia="Malgun Gothic" w:hAnsi="Times New Roman" w:cs="Times New Roman"/>
                <w:b w:val="0"/>
                <w:bCs w:val="0"/>
                <w:color w:val="000000"/>
                <w:kern w:val="0"/>
                <w:sz w:val="22"/>
              </w:rPr>
            </w:pPr>
            <w:r w:rsidRPr="00843CC3">
              <w:rPr>
                <w:rFonts w:ascii="Times New Roman" w:eastAsia="Malgun Gothic" w:hAnsi="Times New Roman" w:cs="Times New Roman"/>
                <w:b w:val="0"/>
                <w:bCs w:val="0"/>
                <w:color w:val="000000"/>
                <w:kern w:val="0"/>
                <w:sz w:val="22"/>
              </w:rPr>
              <w:t>RT-PCR date</w:t>
            </w:r>
          </w:p>
          <w:p w14:paraId="5D959475"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r w:rsidRPr="00843CC3">
              <w:rPr>
                <w:rFonts w:ascii="Times New Roman" w:eastAsia="Malgun Gothic" w:hAnsi="Times New Roman" w:cs="Times New Roman"/>
                <w:b w:val="0"/>
                <w:bCs w:val="0"/>
                <w:color w:val="000000"/>
                <w:kern w:val="0"/>
                <w:sz w:val="22"/>
              </w:rPr>
              <w:t>not reported</w:t>
            </w:r>
          </w:p>
        </w:tc>
        <w:tc>
          <w:tcPr>
            <w:tcW w:w="2410" w:type="dxa"/>
            <w:noWrap/>
            <w:hideMark/>
          </w:tcPr>
          <w:p w14:paraId="4E6D38C6" w14:textId="77777777" w:rsidR="00E47CD1" w:rsidRPr="00843CC3"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A. Bayram, 2021</w:t>
            </w:r>
          </w:p>
        </w:tc>
        <w:tc>
          <w:tcPr>
            <w:tcW w:w="708" w:type="dxa"/>
            <w:noWrap/>
            <w:hideMark/>
          </w:tcPr>
          <w:p w14:paraId="4F27EFD3"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50</w:t>
            </w:r>
          </w:p>
        </w:tc>
        <w:tc>
          <w:tcPr>
            <w:tcW w:w="1276" w:type="dxa"/>
            <w:noWrap/>
            <w:hideMark/>
          </w:tcPr>
          <w:p w14:paraId="4A286112"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Turkey</w:t>
            </w:r>
          </w:p>
        </w:tc>
        <w:tc>
          <w:tcPr>
            <w:tcW w:w="2126" w:type="dxa"/>
            <w:noWrap/>
            <w:hideMark/>
          </w:tcPr>
          <w:p w14:paraId="0A20CD34"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Range 18-34</w:t>
            </w:r>
          </w:p>
        </w:tc>
        <w:tc>
          <w:tcPr>
            <w:tcW w:w="1418" w:type="dxa"/>
            <w:noWrap/>
            <w:hideMark/>
          </w:tcPr>
          <w:p w14:paraId="276CF951"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Male</w:t>
            </w:r>
          </w:p>
        </w:tc>
        <w:tc>
          <w:tcPr>
            <w:tcW w:w="1417" w:type="dxa"/>
            <w:noWrap/>
            <w:hideMark/>
          </w:tcPr>
          <w:p w14:paraId="1AA55F76"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Sinovac</w:t>
            </w:r>
          </w:p>
        </w:tc>
        <w:tc>
          <w:tcPr>
            <w:tcW w:w="1276" w:type="dxa"/>
            <w:noWrap/>
            <w:hideMark/>
          </w:tcPr>
          <w:p w14:paraId="554BECD6"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28</w:t>
            </w:r>
          </w:p>
        </w:tc>
        <w:tc>
          <w:tcPr>
            <w:tcW w:w="992" w:type="dxa"/>
            <w:noWrap/>
            <w:hideMark/>
          </w:tcPr>
          <w:p w14:paraId="5CC9A5B5"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First</w:t>
            </w:r>
          </w:p>
        </w:tc>
        <w:tc>
          <w:tcPr>
            <w:tcW w:w="1785" w:type="dxa"/>
            <w:noWrap/>
            <w:hideMark/>
          </w:tcPr>
          <w:p w14:paraId="3EE6F409"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100</w:t>
            </w:r>
          </w:p>
        </w:tc>
      </w:tr>
      <w:tr w:rsidR="00E47CD1" w:rsidRPr="00843CC3" w14:paraId="33233E03"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7A651470"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12CE0A1F" w14:textId="77777777" w:rsidR="00E47CD1" w:rsidRPr="00843CC3"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A. Bayram, 2021</w:t>
            </w:r>
          </w:p>
        </w:tc>
        <w:tc>
          <w:tcPr>
            <w:tcW w:w="708" w:type="dxa"/>
            <w:noWrap/>
            <w:hideMark/>
          </w:tcPr>
          <w:p w14:paraId="0566FD70"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46</w:t>
            </w:r>
          </w:p>
        </w:tc>
        <w:tc>
          <w:tcPr>
            <w:tcW w:w="1276" w:type="dxa"/>
            <w:noWrap/>
            <w:hideMark/>
          </w:tcPr>
          <w:p w14:paraId="5B1571AD"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Turkey</w:t>
            </w:r>
          </w:p>
        </w:tc>
        <w:tc>
          <w:tcPr>
            <w:tcW w:w="2126" w:type="dxa"/>
            <w:noWrap/>
            <w:hideMark/>
          </w:tcPr>
          <w:p w14:paraId="60B6D855"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Range 18-34</w:t>
            </w:r>
          </w:p>
        </w:tc>
        <w:tc>
          <w:tcPr>
            <w:tcW w:w="1418" w:type="dxa"/>
            <w:noWrap/>
            <w:hideMark/>
          </w:tcPr>
          <w:p w14:paraId="61961097"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Male</w:t>
            </w:r>
          </w:p>
        </w:tc>
        <w:tc>
          <w:tcPr>
            <w:tcW w:w="1417" w:type="dxa"/>
            <w:noWrap/>
            <w:hideMark/>
          </w:tcPr>
          <w:p w14:paraId="55075748"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Sinovac</w:t>
            </w:r>
          </w:p>
        </w:tc>
        <w:tc>
          <w:tcPr>
            <w:tcW w:w="1276" w:type="dxa"/>
            <w:noWrap/>
            <w:hideMark/>
          </w:tcPr>
          <w:p w14:paraId="15AC4A9D"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21</w:t>
            </w:r>
          </w:p>
        </w:tc>
        <w:tc>
          <w:tcPr>
            <w:tcW w:w="992" w:type="dxa"/>
            <w:noWrap/>
            <w:hideMark/>
          </w:tcPr>
          <w:p w14:paraId="0DB71A44"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Second</w:t>
            </w:r>
          </w:p>
        </w:tc>
        <w:tc>
          <w:tcPr>
            <w:tcW w:w="1785" w:type="dxa"/>
            <w:noWrap/>
            <w:hideMark/>
          </w:tcPr>
          <w:p w14:paraId="44776324"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100</w:t>
            </w:r>
          </w:p>
        </w:tc>
      </w:tr>
      <w:tr w:rsidR="00E47CD1" w:rsidRPr="00843CC3" w14:paraId="23FFD528"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6A0EBC13"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52520D94" w14:textId="77777777" w:rsidR="00E47CD1" w:rsidRPr="00843CC3"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A. Bayram, 2021</w:t>
            </w:r>
          </w:p>
        </w:tc>
        <w:tc>
          <w:tcPr>
            <w:tcW w:w="708" w:type="dxa"/>
            <w:noWrap/>
            <w:hideMark/>
          </w:tcPr>
          <w:p w14:paraId="30DFB717"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107</w:t>
            </w:r>
          </w:p>
        </w:tc>
        <w:tc>
          <w:tcPr>
            <w:tcW w:w="1276" w:type="dxa"/>
            <w:noWrap/>
            <w:hideMark/>
          </w:tcPr>
          <w:p w14:paraId="117FBC68"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Turkey</w:t>
            </w:r>
          </w:p>
        </w:tc>
        <w:tc>
          <w:tcPr>
            <w:tcW w:w="2126" w:type="dxa"/>
            <w:noWrap/>
            <w:hideMark/>
          </w:tcPr>
          <w:p w14:paraId="6C6BAD75"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Range 18-34</w:t>
            </w:r>
          </w:p>
        </w:tc>
        <w:tc>
          <w:tcPr>
            <w:tcW w:w="1418" w:type="dxa"/>
            <w:noWrap/>
            <w:hideMark/>
          </w:tcPr>
          <w:p w14:paraId="79EA4CDF"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Female</w:t>
            </w:r>
          </w:p>
        </w:tc>
        <w:tc>
          <w:tcPr>
            <w:tcW w:w="1417" w:type="dxa"/>
            <w:noWrap/>
            <w:hideMark/>
          </w:tcPr>
          <w:p w14:paraId="2C941274"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Sinovac</w:t>
            </w:r>
          </w:p>
        </w:tc>
        <w:tc>
          <w:tcPr>
            <w:tcW w:w="1276" w:type="dxa"/>
            <w:noWrap/>
            <w:hideMark/>
          </w:tcPr>
          <w:p w14:paraId="4794C754"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28</w:t>
            </w:r>
          </w:p>
        </w:tc>
        <w:tc>
          <w:tcPr>
            <w:tcW w:w="992" w:type="dxa"/>
            <w:noWrap/>
            <w:hideMark/>
          </w:tcPr>
          <w:p w14:paraId="31AFBD87"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First</w:t>
            </w:r>
          </w:p>
        </w:tc>
        <w:tc>
          <w:tcPr>
            <w:tcW w:w="1785" w:type="dxa"/>
            <w:noWrap/>
            <w:hideMark/>
          </w:tcPr>
          <w:p w14:paraId="3E06BFFB"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99.1</w:t>
            </w:r>
          </w:p>
        </w:tc>
      </w:tr>
      <w:tr w:rsidR="00E47CD1" w:rsidRPr="00843CC3" w14:paraId="1AED8299"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28A11242"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464646B1" w14:textId="77777777" w:rsidR="00E47CD1" w:rsidRPr="00843CC3"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A. Bayram, 2021</w:t>
            </w:r>
          </w:p>
        </w:tc>
        <w:tc>
          <w:tcPr>
            <w:tcW w:w="708" w:type="dxa"/>
            <w:noWrap/>
            <w:hideMark/>
          </w:tcPr>
          <w:p w14:paraId="1112D08A"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97</w:t>
            </w:r>
          </w:p>
        </w:tc>
        <w:tc>
          <w:tcPr>
            <w:tcW w:w="1276" w:type="dxa"/>
            <w:noWrap/>
            <w:hideMark/>
          </w:tcPr>
          <w:p w14:paraId="19D7089D"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Turkey</w:t>
            </w:r>
          </w:p>
        </w:tc>
        <w:tc>
          <w:tcPr>
            <w:tcW w:w="2126" w:type="dxa"/>
            <w:noWrap/>
            <w:hideMark/>
          </w:tcPr>
          <w:p w14:paraId="697237A3"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Range 18-34</w:t>
            </w:r>
          </w:p>
        </w:tc>
        <w:tc>
          <w:tcPr>
            <w:tcW w:w="1418" w:type="dxa"/>
            <w:noWrap/>
            <w:hideMark/>
          </w:tcPr>
          <w:p w14:paraId="5DCD68CA"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Female</w:t>
            </w:r>
          </w:p>
        </w:tc>
        <w:tc>
          <w:tcPr>
            <w:tcW w:w="1417" w:type="dxa"/>
            <w:noWrap/>
            <w:hideMark/>
          </w:tcPr>
          <w:p w14:paraId="2C3A01E6"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Sinovac</w:t>
            </w:r>
          </w:p>
        </w:tc>
        <w:tc>
          <w:tcPr>
            <w:tcW w:w="1276" w:type="dxa"/>
            <w:noWrap/>
            <w:hideMark/>
          </w:tcPr>
          <w:p w14:paraId="48679957"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21</w:t>
            </w:r>
          </w:p>
        </w:tc>
        <w:tc>
          <w:tcPr>
            <w:tcW w:w="992" w:type="dxa"/>
            <w:noWrap/>
            <w:hideMark/>
          </w:tcPr>
          <w:p w14:paraId="49726EB4"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Second</w:t>
            </w:r>
          </w:p>
        </w:tc>
        <w:tc>
          <w:tcPr>
            <w:tcW w:w="1785" w:type="dxa"/>
            <w:noWrap/>
            <w:hideMark/>
          </w:tcPr>
          <w:p w14:paraId="460DCFE6"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100</w:t>
            </w:r>
          </w:p>
        </w:tc>
      </w:tr>
      <w:tr w:rsidR="00E47CD1" w:rsidRPr="00843CC3" w14:paraId="7D5641FE"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24B7EB78"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3ED123CD" w14:textId="77777777" w:rsidR="00E47CD1" w:rsidRPr="00843CC3"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A. Bayram, 2021</w:t>
            </w:r>
          </w:p>
        </w:tc>
        <w:tc>
          <w:tcPr>
            <w:tcW w:w="708" w:type="dxa"/>
            <w:noWrap/>
            <w:hideMark/>
          </w:tcPr>
          <w:p w14:paraId="785734B4"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73</w:t>
            </w:r>
          </w:p>
        </w:tc>
        <w:tc>
          <w:tcPr>
            <w:tcW w:w="1276" w:type="dxa"/>
            <w:noWrap/>
            <w:hideMark/>
          </w:tcPr>
          <w:p w14:paraId="448DD74D"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Turkey</w:t>
            </w:r>
          </w:p>
        </w:tc>
        <w:tc>
          <w:tcPr>
            <w:tcW w:w="2126" w:type="dxa"/>
            <w:noWrap/>
            <w:hideMark/>
          </w:tcPr>
          <w:p w14:paraId="10896CD5"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Range 35-59</w:t>
            </w:r>
          </w:p>
        </w:tc>
        <w:tc>
          <w:tcPr>
            <w:tcW w:w="1418" w:type="dxa"/>
            <w:noWrap/>
            <w:hideMark/>
          </w:tcPr>
          <w:p w14:paraId="0320E247"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Male</w:t>
            </w:r>
          </w:p>
        </w:tc>
        <w:tc>
          <w:tcPr>
            <w:tcW w:w="1417" w:type="dxa"/>
            <w:noWrap/>
            <w:hideMark/>
          </w:tcPr>
          <w:p w14:paraId="1F95686E"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Sinovac</w:t>
            </w:r>
          </w:p>
        </w:tc>
        <w:tc>
          <w:tcPr>
            <w:tcW w:w="1276" w:type="dxa"/>
            <w:noWrap/>
            <w:hideMark/>
          </w:tcPr>
          <w:p w14:paraId="41D40500"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28</w:t>
            </w:r>
          </w:p>
        </w:tc>
        <w:tc>
          <w:tcPr>
            <w:tcW w:w="992" w:type="dxa"/>
            <w:noWrap/>
            <w:hideMark/>
          </w:tcPr>
          <w:p w14:paraId="7DD0B4F3"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First</w:t>
            </w:r>
          </w:p>
        </w:tc>
        <w:tc>
          <w:tcPr>
            <w:tcW w:w="1785" w:type="dxa"/>
            <w:noWrap/>
            <w:hideMark/>
          </w:tcPr>
          <w:p w14:paraId="4ABADA51"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97.2</w:t>
            </w:r>
          </w:p>
        </w:tc>
      </w:tr>
      <w:tr w:rsidR="00E47CD1" w:rsidRPr="00843CC3" w14:paraId="53ABC39A"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712EB50A"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27E445EF" w14:textId="77777777" w:rsidR="00E47CD1" w:rsidRPr="00843CC3"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A. Bayram, 2021</w:t>
            </w:r>
          </w:p>
        </w:tc>
        <w:tc>
          <w:tcPr>
            <w:tcW w:w="708" w:type="dxa"/>
            <w:noWrap/>
            <w:hideMark/>
          </w:tcPr>
          <w:p w14:paraId="7B5B9AB1"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69</w:t>
            </w:r>
          </w:p>
        </w:tc>
        <w:tc>
          <w:tcPr>
            <w:tcW w:w="1276" w:type="dxa"/>
            <w:noWrap/>
            <w:hideMark/>
          </w:tcPr>
          <w:p w14:paraId="044A7356"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Turkey</w:t>
            </w:r>
          </w:p>
        </w:tc>
        <w:tc>
          <w:tcPr>
            <w:tcW w:w="2126" w:type="dxa"/>
            <w:noWrap/>
            <w:hideMark/>
          </w:tcPr>
          <w:p w14:paraId="3737679C"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Range 35-59</w:t>
            </w:r>
          </w:p>
        </w:tc>
        <w:tc>
          <w:tcPr>
            <w:tcW w:w="1418" w:type="dxa"/>
            <w:noWrap/>
            <w:hideMark/>
          </w:tcPr>
          <w:p w14:paraId="638E9C71"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Male</w:t>
            </w:r>
          </w:p>
        </w:tc>
        <w:tc>
          <w:tcPr>
            <w:tcW w:w="1417" w:type="dxa"/>
            <w:noWrap/>
            <w:hideMark/>
          </w:tcPr>
          <w:p w14:paraId="711493E8"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Sinovac</w:t>
            </w:r>
          </w:p>
        </w:tc>
        <w:tc>
          <w:tcPr>
            <w:tcW w:w="1276" w:type="dxa"/>
            <w:noWrap/>
            <w:hideMark/>
          </w:tcPr>
          <w:p w14:paraId="3D7B2AF6"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21</w:t>
            </w:r>
          </w:p>
        </w:tc>
        <w:tc>
          <w:tcPr>
            <w:tcW w:w="992" w:type="dxa"/>
            <w:noWrap/>
            <w:hideMark/>
          </w:tcPr>
          <w:p w14:paraId="392BE6A0"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Second</w:t>
            </w:r>
          </w:p>
        </w:tc>
        <w:tc>
          <w:tcPr>
            <w:tcW w:w="1785" w:type="dxa"/>
            <w:noWrap/>
            <w:hideMark/>
          </w:tcPr>
          <w:p w14:paraId="643B57FF"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100</w:t>
            </w:r>
          </w:p>
        </w:tc>
      </w:tr>
      <w:tr w:rsidR="00E47CD1" w:rsidRPr="00843CC3" w14:paraId="2A82226C"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7F7BCF58"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4BCE7275" w14:textId="77777777" w:rsidR="00E47CD1" w:rsidRPr="00843CC3"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A. Bayram, 2021</w:t>
            </w:r>
          </w:p>
        </w:tc>
        <w:tc>
          <w:tcPr>
            <w:tcW w:w="708" w:type="dxa"/>
            <w:noWrap/>
            <w:hideMark/>
          </w:tcPr>
          <w:p w14:paraId="4A09C659"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40</w:t>
            </w:r>
          </w:p>
        </w:tc>
        <w:tc>
          <w:tcPr>
            <w:tcW w:w="1276" w:type="dxa"/>
            <w:noWrap/>
            <w:hideMark/>
          </w:tcPr>
          <w:p w14:paraId="740B27FC"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Turkey</w:t>
            </w:r>
          </w:p>
        </w:tc>
        <w:tc>
          <w:tcPr>
            <w:tcW w:w="2126" w:type="dxa"/>
            <w:noWrap/>
            <w:hideMark/>
          </w:tcPr>
          <w:p w14:paraId="6B09DEB6"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Range 35-59</w:t>
            </w:r>
          </w:p>
        </w:tc>
        <w:tc>
          <w:tcPr>
            <w:tcW w:w="1418" w:type="dxa"/>
            <w:noWrap/>
            <w:hideMark/>
          </w:tcPr>
          <w:p w14:paraId="74B1E92B"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Female</w:t>
            </w:r>
          </w:p>
        </w:tc>
        <w:tc>
          <w:tcPr>
            <w:tcW w:w="1417" w:type="dxa"/>
            <w:noWrap/>
            <w:hideMark/>
          </w:tcPr>
          <w:p w14:paraId="684B1CF7"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Sinovac</w:t>
            </w:r>
          </w:p>
        </w:tc>
        <w:tc>
          <w:tcPr>
            <w:tcW w:w="1276" w:type="dxa"/>
            <w:noWrap/>
            <w:hideMark/>
          </w:tcPr>
          <w:p w14:paraId="24A323CC"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28</w:t>
            </w:r>
          </w:p>
        </w:tc>
        <w:tc>
          <w:tcPr>
            <w:tcW w:w="992" w:type="dxa"/>
            <w:noWrap/>
            <w:hideMark/>
          </w:tcPr>
          <w:p w14:paraId="21A10A73"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First</w:t>
            </w:r>
          </w:p>
        </w:tc>
        <w:tc>
          <w:tcPr>
            <w:tcW w:w="1785" w:type="dxa"/>
            <w:noWrap/>
            <w:hideMark/>
          </w:tcPr>
          <w:p w14:paraId="3A1AA03D"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97.5</w:t>
            </w:r>
          </w:p>
        </w:tc>
      </w:tr>
      <w:tr w:rsidR="00E47CD1" w:rsidRPr="00843CC3" w14:paraId="361FA9B8"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5D6F500A"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125E826D" w14:textId="77777777" w:rsidR="00E47CD1" w:rsidRPr="00843CC3"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A. Bayram, 2021</w:t>
            </w:r>
          </w:p>
        </w:tc>
        <w:tc>
          <w:tcPr>
            <w:tcW w:w="708" w:type="dxa"/>
            <w:noWrap/>
            <w:hideMark/>
          </w:tcPr>
          <w:p w14:paraId="4EBE4D90"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40</w:t>
            </w:r>
          </w:p>
        </w:tc>
        <w:tc>
          <w:tcPr>
            <w:tcW w:w="1276" w:type="dxa"/>
            <w:noWrap/>
            <w:hideMark/>
          </w:tcPr>
          <w:p w14:paraId="75B26F77"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Turkey</w:t>
            </w:r>
          </w:p>
        </w:tc>
        <w:tc>
          <w:tcPr>
            <w:tcW w:w="2126" w:type="dxa"/>
            <w:noWrap/>
            <w:hideMark/>
          </w:tcPr>
          <w:p w14:paraId="596B267C"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Range 35-59</w:t>
            </w:r>
          </w:p>
        </w:tc>
        <w:tc>
          <w:tcPr>
            <w:tcW w:w="1418" w:type="dxa"/>
            <w:noWrap/>
            <w:hideMark/>
          </w:tcPr>
          <w:p w14:paraId="7EB03F6E"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Female</w:t>
            </w:r>
          </w:p>
        </w:tc>
        <w:tc>
          <w:tcPr>
            <w:tcW w:w="1417" w:type="dxa"/>
            <w:noWrap/>
            <w:hideMark/>
          </w:tcPr>
          <w:p w14:paraId="4A7E5DBD"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Sinovac</w:t>
            </w:r>
          </w:p>
        </w:tc>
        <w:tc>
          <w:tcPr>
            <w:tcW w:w="1276" w:type="dxa"/>
            <w:noWrap/>
            <w:hideMark/>
          </w:tcPr>
          <w:p w14:paraId="6CDF0262"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21</w:t>
            </w:r>
          </w:p>
        </w:tc>
        <w:tc>
          <w:tcPr>
            <w:tcW w:w="992" w:type="dxa"/>
            <w:noWrap/>
            <w:hideMark/>
          </w:tcPr>
          <w:p w14:paraId="426B6AEE"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Second</w:t>
            </w:r>
          </w:p>
        </w:tc>
        <w:tc>
          <w:tcPr>
            <w:tcW w:w="1785" w:type="dxa"/>
            <w:noWrap/>
            <w:hideMark/>
          </w:tcPr>
          <w:p w14:paraId="2DF1F3B8"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100</w:t>
            </w:r>
          </w:p>
        </w:tc>
      </w:tr>
      <w:tr w:rsidR="00E47CD1" w:rsidRPr="00843CC3" w14:paraId="2B6E236D"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77BEC371"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6C5CD0D1" w14:textId="77777777" w:rsidR="00E47CD1" w:rsidRPr="00843CC3"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A. Bayram, 2021</w:t>
            </w:r>
          </w:p>
        </w:tc>
        <w:tc>
          <w:tcPr>
            <w:tcW w:w="708" w:type="dxa"/>
            <w:noWrap/>
            <w:hideMark/>
          </w:tcPr>
          <w:p w14:paraId="3FC3CB0D"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5</w:t>
            </w:r>
          </w:p>
        </w:tc>
        <w:tc>
          <w:tcPr>
            <w:tcW w:w="1276" w:type="dxa"/>
            <w:noWrap/>
            <w:hideMark/>
          </w:tcPr>
          <w:p w14:paraId="55518591"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Turkey</w:t>
            </w:r>
          </w:p>
        </w:tc>
        <w:tc>
          <w:tcPr>
            <w:tcW w:w="2126" w:type="dxa"/>
            <w:noWrap/>
            <w:hideMark/>
          </w:tcPr>
          <w:p w14:paraId="337DEF55"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Range ≥60</w:t>
            </w:r>
          </w:p>
        </w:tc>
        <w:tc>
          <w:tcPr>
            <w:tcW w:w="1418" w:type="dxa"/>
            <w:noWrap/>
            <w:hideMark/>
          </w:tcPr>
          <w:p w14:paraId="015359B0"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Male</w:t>
            </w:r>
          </w:p>
        </w:tc>
        <w:tc>
          <w:tcPr>
            <w:tcW w:w="1417" w:type="dxa"/>
            <w:noWrap/>
            <w:hideMark/>
          </w:tcPr>
          <w:p w14:paraId="75A46530"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Sinovac</w:t>
            </w:r>
          </w:p>
        </w:tc>
        <w:tc>
          <w:tcPr>
            <w:tcW w:w="1276" w:type="dxa"/>
            <w:noWrap/>
            <w:hideMark/>
          </w:tcPr>
          <w:p w14:paraId="3ECAE1BE"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28</w:t>
            </w:r>
          </w:p>
        </w:tc>
        <w:tc>
          <w:tcPr>
            <w:tcW w:w="992" w:type="dxa"/>
            <w:noWrap/>
            <w:hideMark/>
          </w:tcPr>
          <w:p w14:paraId="08430C6B"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First</w:t>
            </w:r>
          </w:p>
        </w:tc>
        <w:tc>
          <w:tcPr>
            <w:tcW w:w="1785" w:type="dxa"/>
            <w:noWrap/>
            <w:hideMark/>
          </w:tcPr>
          <w:p w14:paraId="0F4028E9"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100</w:t>
            </w:r>
          </w:p>
        </w:tc>
      </w:tr>
      <w:tr w:rsidR="00E47CD1" w:rsidRPr="00843CC3" w14:paraId="5D3E4368"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3B51C997"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4BAF7A26" w14:textId="77777777" w:rsidR="00E47CD1" w:rsidRPr="00843CC3"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A. Bayram, 2021</w:t>
            </w:r>
          </w:p>
        </w:tc>
        <w:tc>
          <w:tcPr>
            <w:tcW w:w="708" w:type="dxa"/>
            <w:noWrap/>
            <w:hideMark/>
          </w:tcPr>
          <w:p w14:paraId="25EDEAE8"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5</w:t>
            </w:r>
          </w:p>
        </w:tc>
        <w:tc>
          <w:tcPr>
            <w:tcW w:w="1276" w:type="dxa"/>
            <w:noWrap/>
            <w:hideMark/>
          </w:tcPr>
          <w:p w14:paraId="33599DB9"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Turkey</w:t>
            </w:r>
          </w:p>
        </w:tc>
        <w:tc>
          <w:tcPr>
            <w:tcW w:w="2126" w:type="dxa"/>
            <w:noWrap/>
            <w:hideMark/>
          </w:tcPr>
          <w:p w14:paraId="10049B13"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Range ≥60</w:t>
            </w:r>
          </w:p>
        </w:tc>
        <w:tc>
          <w:tcPr>
            <w:tcW w:w="1418" w:type="dxa"/>
            <w:noWrap/>
            <w:hideMark/>
          </w:tcPr>
          <w:p w14:paraId="1BBDEBB7"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Male</w:t>
            </w:r>
          </w:p>
        </w:tc>
        <w:tc>
          <w:tcPr>
            <w:tcW w:w="1417" w:type="dxa"/>
            <w:noWrap/>
            <w:hideMark/>
          </w:tcPr>
          <w:p w14:paraId="60088DB7"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Sinovac</w:t>
            </w:r>
          </w:p>
        </w:tc>
        <w:tc>
          <w:tcPr>
            <w:tcW w:w="1276" w:type="dxa"/>
            <w:noWrap/>
            <w:hideMark/>
          </w:tcPr>
          <w:p w14:paraId="43319533"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21</w:t>
            </w:r>
          </w:p>
        </w:tc>
        <w:tc>
          <w:tcPr>
            <w:tcW w:w="992" w:type="dxa"/>
            <w:noWrap/>
            <w:hideMark/>
          </w:tcPr>
          <w:p w14:paraId="603598B2"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Second</w:t>
            </w:r>
          </w:p>
        </w:tc>
        <w:tc>
          <w:tcPr>
            <w:tcW w:w="1785" w:type="dxa"/>
            <w:noWrap/>
            <w:hideMark/>
          </w:tcPr>
          <w:p w14:paraId="032FD656"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100</w:t>
            </w:r>
          </w:p>
        </w:tc>
      </w:tr>
      <w:tr w:rsidR="00E47CD1" w:rsidRPr="00843CC3" w14:paraId="21134F9C"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38ACE665"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5C0F739A" w14:textId="77777777" w:rsidR="00E47CD1" w:rsidRPr="00843CC3"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A. Bayram, 2021</w:t>
            </w:r>
          </w:p>
        </w:tc>
        <w:tc>
          <w:tcPr>
            <w:tcW w:w="708" w:type="dxa"/>
            <w:noWrap/>
            <w:hideMark/>
          </w:tcPr>
          <w:p w14:paraId="57D2BCA7"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w:t>
            </w:r>
          </w:p>
        </w:tc>
        <w:tc>
          <w:tcPr>
            <w:tcW w:w="1276" w:type="dxa"/>
            <w:noWrap/>
            <w:hideMark/>
          </w:tcPr>
          <w:p w14:paraId="4A9C271D"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Turkey</w:t>
            </w:r>
          </w:p>
        </w:tc>
        <w:tc>
          <w:tcPr>
            <w:tcW w:w="2126" w:type="dxa"/>
            <w:noWrap/>
            <w:hideMark/>
          </w:tcPr>
          <w:p w14:paraId="63955235"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Range ≥60</w:t>
            </w:r>
          </w:p>
        </w:tc>
        <w:tc>
          <w:tcPr>
            <w:tcW w:w="1418" w:type="dxa"/>
            <w:noWrap/>
            <w:hideMark/>
          </w:tcPr>
          <w:p w14:paraId="727FB0D0"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Female</w:t>
            </w:r>
          </w:p>
        </w:tc>
        <w:tc>
          <w:tcPr>
            <w:tcW w:w="1417" w:type="dxa"/>
            <w:noWrap/>
            <w:hideMark/>
          </w:tcPr>
          <w:p w14:paraId="27AF1B8B"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Sinovac</w:t>
            </w:r>
          </w:p>
        </w:tc>
        <w:tc>
          <w:tcPr>
            <w:tcW w:w="1276" w:type="dxa"/>
            <w:noWrap/>
            <w:hideMark/>
          </w:tcPr>
          <w:p w14:paraId="03C06044"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28</w:t>
            </w:r>
          </w:p>
        </w:tc>
        <w:tc>
          <w:tcPr>
            <w:tcW w:w="992" w:type="dxa"/>
            <w:noWrap/>
            <w:hideMark/>
          </w:tcPr>
          <w:p w14:paraId="0639D019"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First</w:t>
            </w:r>
          </w:p>
        </w:tc>
        <w:tc>
          <w:tcPr>
            <w:tcW w:w="1785" w:type="dxa"/>
            <w:noWrap/>
            <w:hideMark/>
          </w:tcPr>
          <w:p w14:paraId="72F0F5D1"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100</w:t>
            </w:r>
          </w:p>
        </w:tc>
      </w:tr>
      <w:tr w:rsidR="00E47CD1" w:rsidRPr="00843CC3" w14:paraId="634D04BA"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7CE1D0BC"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7E11BDEB" w14:textId="77777777" w:rsidR="00E47CD1" w:rsidRPr="00843CC3"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A. Bayram, 2021</w:t>
            </w:r>
          </w:p>
        </w:tc>
        <w:tc>
          <w:tcPr>
            <w:tcW w:w="708" w:type="dxa"/>
            <w:noWrap/>
            <w:hideMark/>
          </w:tcPr>
          <w:p w14:paraId="09AFE9DE"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w:t>
            </w:r>
          </w:p>
        </w:tc>
        <w:tc>
          <w:tcPr>
            <w:tcW w:w="1276" w:type="dxa"/>
            <w:noWrap/>
            <w:hideMark/>
          </w:tcPr>
          <w:p w14:paraId="3CABA91D"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Turkey</w:t>
            </w:r>
          </w:p>
        </w:tc>
        <w:tc>
          <w:tcPr>
            <w:tcW w:w="2126" w:type="dxa"/>
            <w:noWrap/>
            <w:hideMark/>
          </w:tcPr>
          <w:p w14:paraId="2083919B"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Range ≥60</w:t>
            </w:r>
          </w:p>
        </w:tc>
        <w:tc>
          <w:tcPr>
            <w:tcW w:w="1418" w:type="dxa"/>
            <w:noWrap/>
            <w:hideMark/>
          </w:tcPr>
          <w:p w14:paraId="7275B981"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Female</w:t>
            </w:r>
          </w:p>
        </w:tc>
        <w:tc>
          <w:tcPr>
            <w:tcW w:w="1417" w:type="dxa"/>
            <w:noWrap/>
            <w:hideMark/>
          </w:tcPr>
          <w:p w14:paraId="295A6DAB"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Sinovac</w:t>
            </w:r>
          </w:p>
        </w:tc>
        <w:tc>
          <w:tcPr>
            <w:tcW w:w="1276" w:type="dxa"/>
            <w:noWrap/>
            <w:hideMark/>
          </w:tcPr>
          <w:p w14:paraId="0D2E10DE"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21</w:t>
            </w:r>
          </w:p>
        </w:tc>
        <w:tc>
          <w:tcPr>
            <w:tcW w:w="992" w:type="dxa"/>
            <w:noWrap/>
            <w:hideMark/>
          </w:tcPr>
          <w:p w14:paraId="3B49BCA9"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Second</w:t>
            </w:r>
          </w:p>
        </w:tc>
        <w:tc>
          <w:tcPr>
            <w:tcW w:w="1785" w:type="dxa"/>
            <w:noWrap/>
            <w:hideMark/>
          </w:tcPr>
          <w:p w14:paraId="16D77916"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100</w:t>
            </w:r>
          </w:p>
        </w:tc>
      </w:tr>
      <w:tr w:rsidR="00E47CD1" w:rsidRPr="00843CC3" w14:paraId="43BA9E6A"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hideMark/>
          </w:tcPr>
          <w:p w14:paraId="1CBB3534"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hideMark/>
          </w:tcPr>
          <w:p w14:paraId="54F4D95E" w14:textId="77777777" w:rsidR="00E47CD1" w:rsidRPr="00974411"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D.W. Eyre, 2021</w:t>
            </w:r>
          </w:p>
        </w:tc>
        <w:tc>
          <w:tcPr>
            <w:tcW w:w="708" w:type="dxa"/>
            <w:noWrap/>
            <w:hideMark/>
          </w:tcPr>
          <w:p w14:paraId="5043BDF2"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37</w:t>
            </w:r>
          </w:p>
        </w:tc>
        <w:tc>
          <w:tcPr>
            <w:tcW w:w="1276" w:type="dxa"/>
            <w:noWrap/>
            <w:hideMark/>
          </w:tcPr>
          <w:p w14:paraId="51DABBBD"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UK</w:t>
            </w:r>
          </w:p>
        </w:tc>
        <w:tc>
          <w:tcPr>
            <w:tcW w:w="2126" w:type="dxa"/>
            <w:noWrap/>
            <w:hideMark/>
          </w:tcPr>
          <w:p w14:paraId="4F611ECC"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NR</w:t>
            </w:r>
          </w:p>
        </w:tc>
        <w:tc>
          <w:tcPr>
            <w:tcW w:w="1418" w:type="dxa"/>
            <w:noWrap/>
            <w:hideMark/>
          </w:tcPr>
          <w:p w14:paraId="5BE7497B"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NR</w:t>
            </w:r>
          </w:p>
        </w:tc>
        <w:tc>
          <w:tcPr>
            <w:tcW w:w="1417" w:type="dxa"/>
            <w:noWrap/>
            <w:hideMark/>
          </w:tcPr>
          <w:p w14:paraId="52FAD790"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Astrazeneca</w:t>
            </w:r>
          </w:p>
        </w:tc>
        <w:tc>
          <w:tcPr>
            <w:tcW w:w="1276" w:type="dxa"/>
            <w:noWrap/>
            <w:hideMark/>
          </w:tcPr>
          <w:p w14:paraId="7C2C8E05"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0</w:t>
            </w:r>
          </w:p>
        </w:tc>
        <w:tc>
          <w:tcPr>
            <w:tcW w:w="992" w:type="dxa"/>
            <w:noWrap/>
            <w:hideMark/>
          </w:tcPr>
          <w:p w14:paraId="5451466F"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Before</w:t>
            </w:r>
          </w:p>
        </w:tc>
        <w:tc>
          <w:tcPr>
            <w:tcW w:w="1785" w:type="dxa"/>
            <w:noWrap/>
            <w:hideMark/>
          </w:tcPr>
          <w:p w14:paraId="4D07EA76"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sz w:val="22"/>
              </w:rPr>
              <w:t>84</w:t>
            </w:r>
          </w:p>
        </w:tc>
      </w:tr>
      <w:tr w:rsidR="00E47CD1" w:rsidRPr="00843CC3" w14:paraId="2737F5C0"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tcPr>
          <w:p w14:paraId="695C1169"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tcPr>
          <w:p w14:paraId="0C14DF3C" w14:textId="77777777" w:rsidR="00E47CD1" w:rsidRPr="00974411"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D.W. Eyre, 2021</w:t>
            </w:r>
          </w:p>
        </w:tc>
        <w:tc>
          <w:tcPr>
            <w:tcW w:w="708" w:type="dxa"/>
            <w:noWrap/>
          </w:tcPr>
          <w:p w14:paraId="17C4BE77"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21</w:t>
            </w:r>
          </w:p>
        </w:tc>
        <w:tc>
          <w:tcPr>
            <w:tcW w:w="1276" w:type="dxa"/>
            <w:noWrap/>
          </w:tcPr>
          <w:p w14:paraId="71CBA183"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UK</w:t>
            </w:r>
          </w:p>
        </w:tc>
        <w:tc>
          <w:tcPr>
            <w:tcW w:w="2126" w:type="dxa"/>
            <w:noWrap/>
          </w:tcPr>
          <w:p w14:paraId="2C0006F7"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NR</w:t>
            </w:r>
          </w:p>
        </w:tc>
        <w:tc>
          <w:tcPr>
            <w:tcW w:w="1418" w:type="dxa"/>
            <w:noWrap/>
          </w:tcPr>
          <w:p w14:paraId="18180C9F"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NR</w:t>
            </w:r>
          </w:p>
        </w:tc>
        <w:tc>
          <w:tcPr>
            <w:tcW w:w="1417" w:type="dxa"/>
            <w:noWrap/>
          </w:tcPr>
          <w:p w14:paraId="6DA8EFE6"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Astrazeneca</w:t>
            </w:r>
          </w:p>
        </w:tc>
        <w:tc>
          <w:tcPr>
            <w:tcW w:w="1276" w:type="dxa"/>
            <w:noWrap/>
          </w:tcPr>
          <w:p w14:paraId="050836FB"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1-7</w:t>
            </w:r>
          </w:p>
        </w:tc>
        <w:tc>
          <w:tcPr>
            <w:tcW w:w="992" w:type="dxa"/>
            <w:noWrap/>
          </w:tcPr>
          <w:p w14:paraId="2731E85E"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First</w:t>
            </w:r>
          </w:p>
        </w:tc>
        <w:tc>
          <w:tcPr>
            <w:tcW w:w="1785" w:type="dxa"/>
            <w:noWrap/>
          </w:tcPr>
          <w:p w14:paraId="40AC25EE"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sz w:val="22"/>
              </w:rPr>
              <w:t>100</w:t>
            </w:r>
          </w:p>
        </w:tc>
      </w:tr>
      <w:tr w:rsidR="00E47CD1" w:rsidRPr="00843CC3" w14:paraId="3D2C9662"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tcPr>
          <w:p w14:paraId="28DB9BDF"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tcPr>
          <w:p w14:paraId="0BF77AAE" w14:textId="77777777" w:rsidR="00E47CD1" w:rsidRPr="00974411"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D.W. Eyre, 2021</w:t>
            </w:r>
          </w:p>
        </w:tc>
        <w:tc>
          <w:tcPr>
            <w:tcW w:w="708" w:type="dxa"/>
            <w:noWrap/>
          </w:tcPr>
          <w:p w14:paraId="302A0F52"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16</w:t>
            </w:r>
          </w:p>
        </w:tc>
        <w:tc>
          <w:tcPr>
            <w:tcW w:w="1276" w:type="dxa"/>
            <w:noWrap/>
          </w:tcPr>
          <w:p w14:paraId="589A99C6"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UK</w:t>
            </w:r>
          </w:p>
        </w:tc>
        <w:tc>
          <w:tcPr>
            <w:tcW w:w="2126" w:type="dxa"/>
            <w:noWrap/>
          </w:tcPr>
          <w:p w14:paraId="3E0A2ABB"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NR</w:t>
            </w:r>
          </w:p>
        </w:tc>
        <w:tc>
          <w:tcPr>
            <w:tcW w:w="1418" w:type="dxa"/>
            <w:noWrap/>
          </w:tcPr>
          <w:p w14:paraId="27160DB2"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NR</w:t>
            </w:r>
          </w:p>
        </w:tc>
        <w:tc>
          <w:tcPr>
            <w:tcW w:w="1417" w:type="dxa"/>
            <w:noWrap/>
          </w:tcPr>
          <w:p w14:paraId="14181D44"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Astrazeneca</w:t>
            </w:r>
          </w:p>
        </w:tc>
        <w:tc>
          <w:tcPr>
            <w:tcW w:w="1276" w:type="dxa"/>
            <w:noWrap/>
          </w:tcPr>
          <w:p w14:paraId="7C2764A2"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8-14</w:t>
            </w:r>
          </w:p>
        </w:tc>
        <w:tc>
          <w:tcPr>
            <w:tcW w:w="992" w:type="dxa"/>
            <w:noWrap/>
          </w:tcPr>
          <w:p w14:paraId="0E4C9E21"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First</w:t>
            </w:r>
          </w:p>
        </w:tc>
        <w:tc>
          <w:tcPr>
            <w:tcW w:w="1785" w:type="dxa"/>
            <w:noWrap/>
          </w:tcPr>
          <w:p w14:paraId="2C5B1475"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sz w:val="22"/>
              </w:rPr>
              <w:t>88</w:t>
            </w:r>
          </w:p>
        </w:tc>
      </w:tr>
      <w:tr w:rsidR="00E47CD1" w:rsidRPr="00843CC3" w14:paraId="2E44D146"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tcPr>
          <w:p w14:paraId="72920B2F"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tcPr>
          <w:p w14:paraId="67C40541" w14:textId="77777777" w:rsidR="00E47CD1" w:rsidRPr="00974411"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D.W. Eyre, 2021</w:t>
            </w:r>
          </w:p>
        </w:tc>
        <w:tc>
          <w:tcPr>
            <w:tcW w:w="708" w:type="dxa"/>
            <w:noWrap/>
          </w:tcPr>
          <w:p w14:paraId="660A8021"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26</w:t>
            </w:r>
          </w:p>
        </w:tc>
        <w:tc>
          <w:tcPr>
            <w:tcW w:w="1276" w:type="dxa"/>
            <w:noWrap/>
          </w:tcPr>
          <w:p w14:paraId="3BE252F2"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UK</w:t>
            </w:r>
          </w:p>
        </w:tc>
        <w:tc>
          <w:tcPr>
            <w:tcW w:w="2126" w:type="dxa"/>
            <w:noWrap/>
          </w:tcPr>
          <w:p w14:paraId="7494E966"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NR</w:t>
            </w:r>
          </w:p>
        </w:tc>
        <w:tc>
          <w:tcPr>
            <w:tcW w:w="1418" w:type="dxa"/>
            <w:noWrap/>
          </w:tcPr>
          <w:p w14:paraId="0FCAE5F1"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NR</w:t>
            </w:r>
          </w:p>
        </w:tc>
        <w:tc>
          <w:tcPr>
            <w:tcW w:w="1417" w:type="dxa"/>
            <w:noWrap/>
          </w:tcPr>
          <w:p w14:paraId="75E41A00"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Astrazeneca</w:t>
            </w:r>
          </w:p>
        </w:tc>
        <w:tc>
          <w:tcPr>
            <w:tcW w:w="1276" w:type="dxa"/>
            <w:noWrap/>
          </w:tcPr>
          <w:p w14:paraId="4AC66ED5"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15-21</w:t>
            </w:r>
          </w:p>
        </w:tc>
        <w:tc>
          <w:tcPr>
            <w:tcW w:w="992" w:type="dxa"/>
            <w:noWrap/>
          </w:tcPr>
          <w:p w14:paraId="3996AC88"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First</w:t>
            </w:r>
          </w:p>
        </w:tc>
        <w:tc>
          <w:tcPr>
            <w:tcW w:w="1785" w:type="dxa"/>
            <w:noWrap/>
          </w:tcPr>
          <w:p w14:paraId="6465BE5D"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sz w:val="22"/>
              </w:rPr>
              <w:t>100</w:t>
            </w:r>
          </w:p>
        </w:tc>
      </w:tr>
      <w:tr w:rsidR="00E47CD1" w:rsidRPr="00843CC3" w14:paraId="3D12121D"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tcPr>
          <w:p w14:paraId="211D3BF4"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tcPr>
          <w:p w14:paraId="7991CB17" w14:textId="77777777" w:rsidR="00E47CD1" w:rsidRPr="00974411"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D.W. Eyre, 2021</w:t>
            </w:r>
          </w:p>
        </w:tc>
        <w:tc>
          <w:tcPr>
            <w:tcW w:w="708" w:type="dxa"/>
            <w:noWrap/>
          </w:tcPr>
          <w:p w14:paraId="69292E2F"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59</w:t>
            </w:r>
          </w:p>
        </w:tc>
        <w:tc>
          <w:tcPr>
            <w:tcW w:w="1276" w:type="dxa"/>
            <w:noWrap/>
          </w:tcPr>
          <w:p w14:paraId="6BDDB297"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UK</w:t>
            </w:r>
          </w:p>
        </w:tc>
        <w:tc>
          <w:tcPr>
            <w:tcW w:w="2126" w:type="dxa"/>
            <w:noWrap/>
          </w:tcPr>
          <w:p w14:paraId="33192BD0"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NR</w:t>
            </w:r>
          </w:p>
        </w:tc>
        <w:tc>
          <w:tcPr>
            <w:tcW w:w="1418" w:type="dxa"/>
            <w:noWrap/>
          </w:tcPr>
          <w:p w14:paraId="67B2A633"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NR</w:t>
            </w:r>
          </w:p>
        </w:tc>
        <w:tc>
          <w:tcPr>
            <w:tcW w:w="1417" w:type="dxa"/>
            <w:noWrap/>
          </w:tcPr>
          <w:p w14:paraId="4B9ED1FC"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Astrazeneca</w:t>
            </w:r>
          </w:p>
        </w:tc>
        <w:tc>
          <w:tcPr>
            <w:tcW w:w="1276" w:type="dxa"/>
            <w:noWrap/>
          </w:tcPr>
          <w:p w14:paraId="26EA9A1F"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1-7</w:t>
            </w:r>
          </w:p>
        </w:tc>
        <w:tc>
          <w:tcPr>
            <w:tcW w:w="992" w:type="dxa"/>
            <w:noWrap/>
          </w:tcPr>
          <w:p w14:paraId="11276E7B"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Second</w:t>
            </w:r>
          </w:p>
        </w:tc>
        <w:tc>
          <w:tcPr>
            <w:tcW w:w="1785" w:type="dxa"/>
            <w:noWrap/>
          </w:tcPr>
          <w:p w14:paraId="30C628A5"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sz w:val="22"/>
              </w:rPr>
              <w:t>98</w:t>
            </w:r>
          </w:p>
        </w:tc>
      </w:tr>
      <w:tr w:rsidR="00E47CD1" w:rsidRPr="00843CC3" w14:paraId="3ED5F554"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tcPr>
          <w:p w14:paraId="794DCA02"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tcPr>
          <w:p w14:paraId="384BA903" w14:textId="77777777" w:rsidR="00E47CD1" w:rsidRPr="00974411"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D.W. Eyre, 2021</w:t>
            </w:r>
          </w:p>
        </w:tc>
        <w:tc>
          <w:tcPr>
            <w:tcW w:w="708" w:type="dxa"/>
            <w:noWrap/>
          </w:tcPr>
          <w:p w14:paraId="499F9C59"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53</w:t>
            </w:r>
          </w:p>
        </w:tc>
        <w:tc>
          <w:tcPr>
            <w:tcW w:w="1276" w:type="dxa"/>
            <w:noWrap/>
          </w:tcPr>
          <w:p w14:paraId="0B3DEE62"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UK</w:t>
            </w:r>
          </w:p>
        </w:tc>
        <w:tc>
          <w:tcPr>
            <w:tcW w:w="2126" w:type="dxa"/>
            <w:noWrap/>
          </w:tcPr>
          <w:p w14:paraId="61EED63A"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NR</w:t>
            </w:r>
          </w:p>
        </w:tc>
        <w:tc>
          <w:tcPr>
            <w:tcW w:w="1418" w:type="dxa"/>
            <w:noWrap/>
          </w:tcPr>
          <w:p w14:paraId="229D6ADB"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NR</w:t>
            </w:r>
          </w:p>
        </w:tc>
        <w:tc>
          <w:tcPr>
            <w:tcW w:w="1417" w:type="dxa"/>
            <w:noWrap/>
          </w:tcPr>
          <w:p w14:paraId="0C1909BC"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Astrazeneca</w:t>
            </w:r>
          </w:p>
        </w:tc>
        <w:tc>
          <w:tcPr>
            <w:tcW w:w="1276" w:type="dxa"/>
            <w:noWrap/>
          </w:tcPr>
          <w:p w14:paraId="37973149"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8-14</w:t>
            </w:r>
          </w:p>
        </w:tc>
        <w:tc>
          <w:tcPr>
            <w:tcW w:w="992" w:type="dxa"/>
            <w:noWrap/>
          </w:tcPr>
          <w:p w14:paraId="3E4A9C01"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Second</w:t>
            </w:r>
          </w:p>
        </w:tc>
        <w:tc>
          <w:tcPr>
            <w:tcW w:w="1785" w:type="dxa"/>
            <w:noWrap/>
          </w:tcPr>
          <w:p w14:paraId="4F4FAE13"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sz w:val="22"/>
              </w:rPr>
              <w:t>100</w:t>
            </w:r>
          </w:p>
        </w:tc>
      </w:tr>
      <w:tr w:rsidR="00E47CD1" w:rsidRPr="00843CC3" w14:paraId="0FA30E1E"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tcPr>
          <w:p w14:paraId="31317CF8"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tcPr>
          <w:p w14:paraId="52940DAF" w14:textId="77777777" w:rsidR="00E47CD1" w:rsidRPr="00974411"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D.W. Eyre, 2021</w:t>
            </w:r>
          </w:p>
        </w:tc>
        <w:tc>
          <w:tcPr>
            <w:tcW w:w="708" w:type="dxa"/>
            <w:noWrap/>
          </w:tcPr>
          <w:p w14:paraId="14DDD961"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14</w:t>
            </w:r>
          </w:p>
        </w:tc>
        <w:tc>
          <w:tcPr>
            <w:tcW w:w="1276" w:type="dxa"/>
            <w:noWrap/>
          </w:tcPr>
          <w:p w14:paraId="1DE919CF"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UK</w:t>
            </w:r>
          </w:p>
        </w:tc>
        <w:tc>
          <w:tcPr>
            <w:tcW w:w="2126" w:type="dxa"/>
            <w:noWrap/>
          </w:tcPr>
          <w:p w14:paraId="128FDD30"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NR</w:t>
            </w:r>
          </w:p>
        </w:tc>
        <w:tc>
          <w:tcPr>
            <w:tcW w:w="1418" w:type="dxa"/>
            <w:noWrap/>
          </w:tcPr>
          <w:p w14:paraId="34253CC0"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NR</w:t>
            </w:r>
          </w:p>
        </w:tc>
        <w:tc>
          <w:tcPr>
            <w:tcW w:w="1417" w:type="dxa"/>
            <w:noWrap/>
          </w:tcPr>
          <w:p w14:paraId="13986213"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Astrazeneca</w:t>
            </w:r>
          </w:p>
        </w:tc>
        <w:tc>
          <w:tcPr>
            <w:tcW w:w="1276" w:type="dxa"/>
            <w:noWrap/>
          </w:tcPr>
          <w:p w14:paraId="57F741F3"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15-21</w:t>
            </w:r>
          </w:p>
        </w:tc>
        <w:tc>
          <w:tcPr>
            <w:tcW w:w="992" w:type="dxa"/>
            <w:noWrap/>
          </w:tcPr>
          <w:p w14:paraId="43A9F951" w14:textId="77777777" w:rsidR="00E47CD1" w:rsidRPr="00974411"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Second</w:t>
            </w:r>
          </w:p>
        </w:tc>
        <w:tc>
          <w:tcPr>
            <w:tcW w:w="1785" w:type="dxa"/>
            <w:noWrap/>
          </w:tcPr>
          <w:p w14:paraId="6ACE83CC"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sz w:val="22"/>
              </w:rPr>
              <w:t>100</w:t>
            </w:r>
          </w:p>
        </w:tc>
      </w:tr>
      <w:tr w:rsidR="00E47CD1" w:rsidRPr="00843CC3" w14:paraId="10247BFE"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tcPr>
          <w:p w14:paraId="7D6142AD"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tcPr>
          <w:p w14:paraId="1747E661" w14:textId="77777777" w:rsidR="00E47CD1" w:rsidRPr="00974411"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D.W. Eyre, 2021</w:t>
            </w:r>
          </w:p>
        </w:tc>
        <w:tc>
          <w:tcPr>
            <w:tcW w:w="708" w:type="dxa"/>
            <w:noWrap/>
          </w:tcPr>
          <w:p w14:paraId="3C5DD0B5"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20</w:t>
            </w:r>
          </w:p>
        </w:tc>
        <w:tc>
          <w:tcPr>
            <w:tcW w:w="1276" w:type="dxa"/>
            <w:noWrap/>
          </w:tcPr>
          <w:p w14:paraId="761C95CE"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UK</w:t>
            </w:r>
          </w:p>
        </w:tc>
        <w:tc>
          <w:tcPr>
            <w:tcW w:w="2126" w:type="dxa"/>
            <w:noWrap/>
          </w:tcPr>
          <w:p w14:paraId="41ABE8D0"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NR</w:t>
            </w:r>
          </w:p>
        </w:tc>
        <w:tc>
          <w:tcPr>
            <w:tcW w:w="1418" w:type="dxa"/>
            <w:noWrap/>
          </w:tcPr>
          <w:p w14:paraId="7B0F3978"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NR</w:t>
            </w:r>
          </w:p>
        </w:tc>
        <w:tc>
          <w:tcPr>
            <w:tcW w:w="1417" w:type="dxa"/>
            <w:noWrap/>
          </w:tcPr>
          <w:p w14:paraId="121C9C7E"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Astrazeneca</w:t>
            </w:r>
          </w:p>
        </w:tc>
        <w:tc>
          <w:tcPr>
            <w:tcW w:w="1276" w:type="dxa"/>
            <w:noWrap/>
          </w:tcPr>
          <w:p w14:paraId="6EAC56D3"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&gt;21</w:t>
            </w:r>
          </w:p>
        </w:tc>
        <w:tc>
          <w:tcPr>
            <w:tcW w:w="992" w:type="dxa"/>
            <w:noWrap/>
          </w:tcPr>
          <w:p w14:paraId="648BE0AD" w14:textId="77777777" w:rsidR="00E47CD1" w:rsidRPr="00974411"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974411">
              <w:rPr>
                <w:rFonts w:ascii="Times New Roman" w:eastAsia="Malgun Gothic" w:hAnsi="Times New Roman" w:cs="Times New Roman"/>
                <w:color w:val="000000"/>
                <w:sz w:val="22"/>
              </w:rPr>
              <w:t>Second</w:t>
            </w:r>
          </w:p>
        </w:tc>
        <w:tc>
          <w:tcPr>
            <w:tcW w:w="1785" w:type="dxa"/>
            <w:noWrap/>
          </w:tcPr>
          <w:p w14:paraId="653728C8"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sz w:val="22"/>
              </w:rPr>
              <w:t>100</w:t>
            </w:r>
          </w:p>
        </w:tc>
      </w:tr>
      <w:tr w:rsidR="00E47CD1" w:rsidRPr="00843CC3" w14:paraId="3760646F"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tcPr>
          <w:p w14:paraId="62B57200"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tcPr>
          <w:p w14:paraId="65E342B7" w14:textId="77777777" w:rsidR="00E47CD1" w:rsidRPr="00843CC3"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708" w:type="dxa"/>
            <w:noWrap/>
          </w:tcPr>
          <w:p w14:paraId="5A8342B7"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1276" w:type="dxa"/>
            <w:noWrap/>
          </w:tcPr>
          <w:p w14:paraId="78A35752"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2126" w:type="dxa"/>
            <w:noWrap/>
          </w:tcPr>
          <w:p w14:paraId="2D59D3C2"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1418" w:type="dxa"/>
            <w:noWrap/>
          </w:tcPr>
          <w:p w14:paraId="6A1D93C3"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1417" w:type="dxa"/>
            <w:noWrap/>
          </w:tcPr>
          <w:p w14:paraId="0BBA9B53"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1276" w:type="dxa"/>
            <w:noWrap/>
          </w:tcPr>
          <w:p w14:paraId="10E57FD2"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992" w:type="dxa"/>
            <w:noWrap/>
          </w:tcPr>
          <w:p w14:paraId="4F654566"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p>
        </w:tc>
        <w:tc>
          <w:tcPr>
            <w:tcW w:w="1785" w:type="dxa"/>
            <w:noWrap/>
          </w:tcPr>
          <w:p w14:paraId="7B24370A"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p>
        </w:tc>
      </w:tr>
      <w:tr w:rsidR="00E47CD1" w:rsidRPr="00843CC3" w14:paraId="55464664"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tcPr>
          <w:p w14:paraId="07F9BC16" w14:textId="77777777" w:rsidR="00E47CD1" w:rsidRDefault="00E47CD1" w:rsidP="00EB22E5">
            <w:pPr>
              <w:widowControl/>
              <w:wordWrap/>
              <w:autoSpaceDE/>
              <w:autoSpaceDN/>
              <w:jc w:val="center"/>
              <w:rPr>
                <w:rFonts w:ascii="Times New Roman" w:eastAsia="Malgun Gothic" w:hAnsi="Times New Roman" w:cs="Times New Roman"/>
                <w:b w:val="0"/>
                <w:bCs w:val="0"/>
                <w:color w:val="000000"/>
                <w:kern w:val="0"/>
                <w:sz w:val="22"/>
              </w:rPr>
            </w:pPr>
            <w:r w:rsidRPr="00843CC3">
              <w:rPr>
                <w:rFonts w:ascii="Times New Roman" w:eastAsia="Malgun Gothic" w:hAnsi="Times New Roman" w:cs="Times New Roman"/>
                <w:color w:val="000000"/>
                <w:kern w:val="0"/>
                <w:sz w:val="22"/>
              </w:rPr>
              <w:t>Infected</w:t>
            </w:r>
          </w:p>
          <w:p w14:paraId="12B14F98"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during study</w:t>
            </w:r>
          </w:p>
        </w:tc>
        <w:tc>
          <w:tcPr>
            <w:tcW w:w="2410" w:type="dxa"/>
            <w:noWrap/>
          </w:tcPr>
          <w:p w14:paraId="37472527" w14:textId="77777777" w:rsidR="00E47CD1" w:rsidRPr="00843CC3"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 Claro, 2021</w:t>
            </w:r>
          </w:p>
        </w:tc>
        <w:tc>
          <w:tcPr>
            <w:tcW w:w="708" w:type="dxa"/>
            <w:noWrap/>
          </w:tcPr>
          <w:p w14:paraId="3F692614"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4</w:t>
            </w:r>
          </w:p>
        </w:tc>
        <w:tc>
          <w:tcPr>
            <w:tcW w:w="1276" w:type="dxa"/>
            <w:noWrap/>
          </w:tcPr>
          <w:p w14:paraId="3FE6B019"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Venezuela</w:t>
            </w:r>
          </w:p>
        </w:tc>
        <w:tc>
          <w:tcPr>
            <w:tcW w:w="2126" w:type="dxa"/>
            <w:noWrap/>
          </w:tcPr>
          <w:p w14:paraId="0FFE78F7"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NR</w:t>
            </w:r>
          </w:p>
        </w:tc>
        <w:tc>
          <w:tcPr>
            <w:tcW w:w="1418" w:type="dxa"/>
            <w:noWrap/>
          </w:tcPr>
          <w:p w14:paraId="307352F4"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NR</w:t>
            </w:r>
          </w:p>
        </w:tc>
        <w:tc>
          <w:tcPr>
            <w:tcW w:w="1417" w:type="dxa"/>
            <w:noWrap/>
          </w:tcPr>
          <w:p w14:paraId="53422F75"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Sputanik V</w:t>
            </w:r>
          </w:p>
        </w:tc>
        <w:tc>
          <w:tcPr>
            <w:tcW w:w="1276" w:type="dxa"/>
            <w:noWrap/>
          </w:tcPr>
          <w:p w14:paraId="2D238D06"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w:t>
            </w:r>
          </w:p>
        </w:tc>
        <w:tc>
          <w:tcPr>
            <w:tcW w:w="992" w:type="dxa"/>
            <w:noWrap/>
          </w:tcPr>
          <w:p w14:paraId="47E5D9C6"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Before</w:t>
            </w:r>
          </w:p>
        </w:tc>
        <w:tc>
          <w:tcPr>
            <w:tcW w:w="1785" w:type="dxa"/>
            <w:noWrap/>
          </w:tcPr>
          <w:p w14:paraId="57E05C6A"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0</w:t>
            </w:r>
          </w:p>
        </w:tc>
      </w:tr>
      <w:tr w:rsidR="00E47CD1" w:rsidRPr="00843CC3" w14:paraId="22323AC3" w14:textId="77777777" w:rsidTr="00EB22E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980" w:type="dxa"/>
            <w:noWrap/>
          </w:tcPr>
          <w:p w14:paraId="04075C26" w14:textId="77777777" w:rsidR="00E47CD1" w:rsidRPr="00843CC3" w:rsidRDefault="00E47CD1" w:rsidP="00EB22E5">
            <w:pPr>
              <w:widowControl/>
              <w:wordWrap/>
              <w:autoSpaceDE/>
              <w:autoSpaceDN/>
              <w:jc w:val="center"/>
              <w:rPr>
                <w:rFonts w:ascii="Times New Roman" w:eastAsia="Malgun Gothic" w:hAnsi="Times New Roman" w:cs="Times New Roman"/>
                <w:color w:val="000000"/>
                <w:kern w:val="0"/>
                <w:sz w:val="22"/>
              </w:rPr>
            </w:pPr>
          </w:p>
        </w:tc>
        <w:tc>
          <w:tcPr>
            <w:tcW w:w="2410" w:type="dxa"/>
            <w:noWrap/>
          </w:tcPr>
          <w:p w14:paraId="2966CDE9" w14:textId="77777777" w:rsidR="00E47CD1" w:rsidRPr="00843CC3" w:rsidRDefault="00E47CD1" w:rsidP="00EB22E5">
            <w:pPr>
              <w:widowControl/>
              <w:wordWrap/>
              <w:autoSpaceDE/>
              <w:autoSpaceDN/>
              <w:jc w:val="center"/>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 Claro, 2021</w:t>
            </w:r>
          </w:p>
        </w:tc>
        <w:tc>
          <w:tcPr>
            <w:tcW w:w="708" w:type="dxa"/>
            <w:noWrap/>
          </w:tcPr>
          <w:p w14:paraId="67F62EA5"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4</w:t>
            </w:r>
          </w:p>
        </w:tc>
        <w:tc>
          <w:tcPr>
            <w:tcW w:w="1276" w:type="dxa"/>
            <w:noWrap/>
          </w:tcPr>
          <w:p w14:paraId="6A686953"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Venezuela</w:t>
            </w:r>
          </w:p>
        </w:tc>
        <w:tc>
          <w:tcPr>
            <w:tcW w:w="2126" w:type="dxa"/>
            <w:noWrap/>
          </w:tcPr>
          <w:p w14:paraId="429D78E2"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NR</w:t>
            </w:r>
          </w:p>
        </w:tc>
        <w:tc>
          <w:tcPr>
            <w:tcW w:w="1418" w:type="dxa"/>
            <w:noWrap/>
          </w:tcPr>
          <w:p w14:paraId="2E3346E0"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NR</w:t>
            </w:r>
          </w:p>
        </w:tc>
        <w:tc>
          <w:tcPr>
            <w:tcW w:w="1417" w:type="dxa"/>
            <w:noWrap/>
          </w:tcPr>
          <w:p w14:paraId="0032D1E0"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Sputanik V</w:t>
            </w:r>
          </w:p>
        </w:tc>
        <w:tc>
          <w:tcPr>
            <w:tcW w:w="1276" w:type="dxa"/>
            <w:noWrap/>
          </w:tcPr>
          <w:p w14:paraId="38AA3154"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21</w:t>
            </w:r>
          </w:p>
        </w:tc>
        <w:tc>
          <w:tcPr>
            <w:tcW w:w="992" w:type="dxa"/>
            <w:noWrap/>
          </w:tcPr>
          <w:p w14:paraId="74332AC5" w14:textId="77777777" w:rsidR="00E47CD1" w:rsidRPr="00843CC3"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First</w:t>
            </w:r>
          </w:p>
        </w:tc>
        <w:tc>
          <w:tcPr>
            <w:tcW w:w="1785" w:type="dxa"/>
            <w:noWrap/>
          </w:tcPr>
          <w:p w14:paraId="69FCCC30" w14:textId="77777777" w:rsidR="00E47CD1" w:rsidRPr="00896AE8" w:rsidRDefault="00E47CD1" w:rsidP="00EB22E5">
            <w:pPr>
              <w:widowControl/>
              <w:wordWrap/>
              <w:autoSpaceDE/>
              <w:autoSpaceDN/>
              <w:jc w:val="right"/>
              <w:cnfStyle w:val="000000100000" w:firstRow="0" w:lastRow="0" w:firstColumn="0" w:lastColumn="0" w:oddVBand="0" w:evenVBand="0" w:oddHBand="1"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0</w:t>
            </w:r>
          </w:p>
        </w:tc>
      </w:tr>
      <w:tr w:rsidR="00E47CD1" w:rsidRPr="00843CC3" w14:paraId="09F2D1E8" w14:textId="77777777" w:rsidTr="00EB22E5">
        <w:trPr>
          <w:trHeight w:val="348"/>
        </w:trPr>
        <w:tc>
          <w:tcPr>
            <w:cnfStyle w:val="001000000000" w:firstRow="0" w:lastRow="0" w:firstColumn="1" w:lastColumn="0" w:oddVBand="0" w:evenVBand="0" w:oddHBand="0" w:evenHBand="0" w:firstRowFirstColumn="0" w:firstRowLastColumn="0" w:lastRowFirstColumn="0" w:lastRowLastColumn="0"/>
            <w:tcW w:w="1980" w:type="dxa"/>
            <w:noWrap/>
          </w:tcPr>
          <w:p w14:paraId="7C04FED6" w14:textId="77777777" w:rsidR="00E47CD1" w:rsidRPr="00843CC3" w:rsidRDefault="00E47CD1" w:rsidP="00EB22E5">
            <w:pPr>
              <w:widowControl/>
              <w:wordWrap/>
              <w:autoSpaceDE/>
              <w:autoSpaceDN/>
              <w:jc w:val="left"/>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 xml:space="preserve">　</w:t>
            </w:r>
          </w:p>
        </w:tc>
        <w:tc>
          <w:tcPr>
            <w:tcW w:w="2410" w:type="dxa"/>
            <w:noWrap/>
          </w:tcPr>
          <w:p w14:paraId="66B15A31" w14:textId="77777777" w:rsidR="00E47CD1" w:rsidRPr="00843CC3" w:rsidRDefault="00E47CD1" w:rsidP="00EB22E5">
            <w:pPr>
              <w:widowControl/>
              <w:wordWrap/>
              <w:autoSpaceDE/>
              <w:autoSpaceDN/>
              <w:jc w:val="center"/>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F. Claro, 2021</w:t>
            </w:r>
          </w:p>
        </w:tc>
        <w:tc>
          <w:tcPr>
            <w:tcW w:w="708" w:type="dxa"/>
            <w:noWrap/>
          </w:tcPr>
          <w:p w14:paraId="3CDDECC8"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4</w:t>
            </w:r>
          </w:p>
        </w:tc>
        <w:tc>
          <w:tcPr>
            <w:tcW w:w="1276" w:type="dxa"/>
            <w:noWrap/>
          </w:tcPr>
          <w:p w14:paraId="28D18C79"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Venezuela</w:t>
            </w:r>
          </w:p>
        </w:tc>
        <w:tc>
          <w:tcPr>
            <w:tcW w:w="2126" w:type="dxa"/>
            <w:noWrap/>
          </w:tcPr>
          <w:p w14:paraId="0A06D34E"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NR</w:t>
            </w:r>
          </w:p>
        </w:tc>
        <w:tc>
          <w:tcPr>
            <w:tcW w:w="1418" w:type="dxa"/>
            <w:noWrap/>
          </w:tcPr>
          <w:p w14:paraId="42E5068A"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NR</w:t>
            </w:r>
          </w:p>
        </w:tc>
        <w:tc>
          <w:tcPr>
            <w:tcW w:w="1417" w:type="dxa"/>
            <w:noWrap/>
          </w:tcPr>
          <w:p w14:paraId="6738C69B"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Sputanik V</w:t>
            </w:r>
          </w:p>
        </w:tc>
        <w:tc>
          <w:tcPr>
            <w:tcW w:w="1276" w:type="dxa"/>
            <w:noWrap/>
          </w:tcPr>
          <w:p w14:paraId="0828066C"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21</w:t>
            </w:r>
          </w:p>
        </w:tc>
        <w:tc>
          <w:tcPr>
            <w:tcW w:w="992" w:type="dxa"/>
            <w:noWrap/>
          </w:tcPr>
          <w:p w14:paraId="028B161C" w14:textId="77777777" w:rsidR="00E47CD1" w:rsidRPr="00843CC3"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color w:val="000000"/>
                <w:kern w:val="0"/>
                <w:sz w:val="22"/>
              </w:rPr>
            </w:pPr>
            <w:r w:rsidRPr="00843CC3">
              <w:rPr>
                <w:rFonts w:ascii="Times New Roman" w:eastAsia="Malgun Gothic" w:hAnsi="Times New Roman" w:cs="Times New Roman"/>
                <w:color w:val="000000"/>
                <w:kern w:val="0"/>
                <w:sz w:val="22"/>
              </w:rPr>
              <w:t>Second</w:t>
            </w:r>
          </w:p>
        </w:tc>
        <w:tc>
          <w:tcPr>
            <w:tcW w:w="1785" w:type="dxa"/>
            <w:noWrap/>
          </w:tcPr>
          <w:p w14:paraId="2CDBDE7B" w14:textId="77777777" w:rsidR="00E47CD1" w:rsidRPr="00896AE8" w:rsidRDefault="00E47CD1" w:rsidP="00EB22E5">
            <w:pPr>
              <w:widowControl/>
              <w:wordWrap/>
              <w:autoSpaceDE/>
              <w:autoSpaceDN/>
              <w:jc w:val="right"/>
              <w:cnfStyle w:val="000000000000" w:firstRow="0" w:lastRow="0" w:firstColumn="0" w:lastColumn="0" w:oddVBand="0" w:evenVBand="0" w:oddHBand="0" w:evenHBand="0" w:firstRowFirstColumn="0" w:firstRowLastColumn="0" w:lastRowFirstColumn="0" w:lastRowLastColumn="0"/>
              <w:rPr>
                <w:rFonts w:ascii="Times New Roman" w:eastAsia="Malgun Gothic" w:hAnsi="Times New Roman" w:cs="Times New Roman"/>
                <w:b/>
                <w:bCs/>
                <w:color w:val="000000"/>
                <w:kern w:val="0"/>
                <w:sz w:val="22"/>
              </w:rPr>
            </w:pPr>
            <w:r w:rsidRPr="00896AE8">
              <w:rPr>
                <w:rFonts w:ascii="Times New Roman" w:eastAsia="Malgun Gothic" w:hAnsi="Times New Roman" w:cs="Times New Roman"/>
                <w:b/>
                <w:bCs/>
                <w:color w:val="000000"/>
                <w:kern w:val="0"/>
                <w:sz w:val="22"/>
              </w:rPr>
              <w:t>100</w:t>
            </w:r>
          </w:p>
        </w:tc>
      </w:tr>
    </w:tbl>
    <w:p w14:paraId="436B64C2" w14:textId="77777777" w:rsidR="00E47CD1" w:rsidRPr="00843CC3" w:rsidRDefault="00E47CD1" w:rsidP="00E47CD1">
      <w:pPr>
        <w:widowControl/>
        <w:wordWrap/>
        <w:autoSpaceDE/>
        <w:autoSpaceDN/>
        <w:rPr>
          <w:rFonts w:ascii="Times New Roman" w:hAnsi="Times New Roman" w:cs="Times New Roman"/>
          <w:b/>
          <w:bCs/>
        </w:rPr>
      </w:pPr>
    </w:p>
    <w:p w14:paraId="0A053827" w14:textId="77777777" w:rsidR="00E47CD1" w:rsidRPr="00843CC3" w:rsidRDefault="00E47CD1" w:rsidP="00D4555D"/>
    <w:p w14:paraId="1FA37E20" w14:textId="2C5426F2" w:rsidR="00E47CD1" w:rsidRDefault="00E47CD1" w:rsidP="00D4555D"/>
    <w:p w14:paraId="3366D26E" w14:textId="596D8091" w:rsidR="00E47CD1" w:rsidRDefault="0013392A" w:rsidP="00D4555D">
      <w:r w:rsidRPr="0013392A">
        <w:rPr>
          <w:noProof/>
        </w:rPr>
        <w:lastRenderedPageBreak/>
        <w:drawing>
          <wp:inline distT="0" distB="0" distL="0" distR="0" wp14:anchorId="350C77ED" wp14:editId="26A66B42">
            <wp:extent cx="8697595" cy="4328795"/>
            <wp:effectExtent l="0" t="0" r="8255" b="0"/>
            <wp:docPr id="11" name="Picture 11" descr="P2438#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P2438#yIS1"/>
                    <pic:cNvPicPr/>
                  </pic:nvPicPr>
                  <pic:blipFill>
                    <a:blip r:embed="rId18"/>
                    <a:stretch>
                      <a:fillRect/>
                    </a:stretch>
                  </pic:blipFill>
                  <pic:spPr>
                    <a:xfrm>
                      <a:off x="0" y="0"/>
                      <a:ext cx="8697595" cy="4328795"/>
                    </a:xfrm>
                    <a:prstGeom prst="rect">
                      <a:avLst/>
                    </a:prstGeom>
                  </pic:spPr>
                </pic:pic>
              </a:graphicData>
            </a:graphic>
          </wp:inline>
        </w:drawing>
      </w:r>
    </w:p>
    <w:p w14:paraId="58EA205A" w14:textId="28E80931" w:rsidR="0013392A" w:rsidRDefault="0013392A" w:rsidP="00D4555D"/>
    <w:p w14:paraId="68B5773D" w14:textId="14AC4238" w:rsidR="0013392A" w:rsidRDefault="0013392A" w:rsidP="00D4555D"/>
    <w:p w14:paraId="2F7516C4" w14:textId="254D78BD" w:rsidR="0013392A" w:rsidRDefault="0013392A" w:rsidP="00D4555D">
      <w:r w:rsidRPr="0013392A">
        <w:rPr>
          <w:noProof/>
        </w:rPr>
        <w:lastRenderedPageBreak/>
        <w:drawing>
          <wp:inline distT="0" distB="0" distL="0" distR="0" wp14:anchorId="2289F03A" wp14:editId="20D1A256">
            <wp:extent cx="7727315" cy="5731510"/>
            <wp:effectExtent l="0" t="0" r="6985" b="2540"/>
            <wp:docPr id="13" name="Picture 13" descr="P2441#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P2441#yIS1"/>
                    <pic:cNvPicPr/>
                  </pic:nvPicPr>
                  <pic:blipFill>
                    <a:blip r:embed="rId19"/>
                    <a:stretch>
                      <a:fillRect/>
                    </a:stretch>
                  </pic:blipFill>
                  <pic:spPr>
                    <a:xfrm>
                      <a:off x="0" y="0"/>
                      <a:ext cx="7727315" cy="5731510"/>
                    </a:xfrm>
                    <a:prstGeom prst="rect">
                      <a:avLst/>
                    </a:prstGeom>
                  </pic:spPr>
                </pic:pic>
              </a:graphicData>
            </a:graphic>
          </wp:inline>
        </w:drawing>
      </w:r>
    </w:p>
    <w:p w14:paraId="281DA6AE" w14:textId="6B69CD9A" w:rsidR="0013392A" w:rsidRDefault="0013392A" w:rsidP="00D4555D">
      <w:r w:rsidRPr="0013392A">
        <w:rPr>
          <w:noProof/>
        </w:rPr>
        <w:lastRenderedPageBreak/>
        <w:drawing>
          <wp:inline distT="0" distB="0" distL="0" distR="0" wp14:anchorId="594ED9E1" wp14:editId="4DE0828E">
            <wp:extent cx="8697595" cy="4114165"/>
            <wp:effectExtent l="0" t="0" r="8255" b="635"/>
            <wp:docPr id="14" name="Picture 14" descr="P244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P2442#yIS1"/>
                    <pic:cNvPicPr/>
                  </pic:nvPicPr>
                  <pic:blipFill>
                    <a:blip r:embed="rId20"/>
                    <a:stretch>
                      <a:fillRect/>
                    </a:stretch>
                  </pic:blipFill>
                  <pic:spPr>
                    <a:xfrm>
                      <a:off x="0" y="0"/>
                      <a:ext cx="8697595" cy="4114165"/>
                    </a:xfrm>
                    <a:prstGeom prst="rect">
                      <a:avLst/>
                    </a:prstGeom>
                  </pic:spPr>
                </pic:pic>
              </a:graphicData>
            </a:graphic>
          </wp:inline>
        </w:drawing>
      </w:r>
    </w:p>
    <w:p w14:paraId="55018521" w14:textId="365D2A51" w:rsidR="0013392A" w:rsidRDefault="0013392A" w:rsidP="00D4555D"/>
    <w:p w14:paraId="2F2D2B69" w14:textId="72E727A5" w:rsidR="0013392A" w:rsidRDefault="0013392A" w:rsidP="00AE33CC"/>
    <w:p w14:paraId="28E8D03E" w14:textId="708F5B1D" w:rsidR="0013392A" w:rsidRDefault="0013392A" w:rsidP="00AE33CC">
      <w:r w:rsidRPr="0013392A">
        <w:rPr>
          <w:noProof/>
        </w:rPr>
        <w:lastRenderedPageBreak/>
        <w:drawing>
          <wp:inline distT="0" distB="0" distL="0" distR="0" wp14:anchorId="3C1E61BC" wp14:editId="280F5DD4">
            <wp:extent cx="8697595" cy="4081780"/>
            <wp:effectExtent l="0" t="0" r="8255" b="0"/>
            <wp:docPr id="15" name="Picture 15" descr="P2445#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P2445#yIS1"/>
                    <pic:cNvPicPr/>
                  </pic:nvPicPr>
                  <pic:blipFill>
                    <a:blip r:embed="rId21"/>
                    <a:stretch>
                      <a:fillRect/>
                    </a:stretch>
                  </pic:blipFill>
                  <pic:spPr>
                    <a:xfrm>
                      <a:off x="0" y="0"/>
                      <a:ext cx="8697595" cy="4081780"/>
                    </a:xfrm>
                    <a:prstGeom prst="rect">
                      <a:avLst/>
                    </a:prstGeom>
                  </pic:spPr>
                </pic:pic>
              </a:graphicData>
            </a:graphic>
          </wp:inline>
        </w:drawing>
      </w:r>
    </w:p>
    <w:p w14:paraId="46A76437" w14:textId="1EBC756A" w:rsidR="0013392A" w:rsidRDefault="0013392A" w:rsidP="00AE33CC"/>
    <w:p w14:paraId="3EF11868" w14:textId="424230C3" w:rsidR="0013392A" w:rsidRDefault="0013392A" w:rsidP="00AE33CC"/>
    <w:p w14:paraId="7ED77271" w14:textId="6F5A7389" w:rsidR="0013392A" w:rsidRDefault="0013392A" w:rsidP="00AE33CC">
      <w:r w:rsidRPr="0013392A">
        <w:rPr>
          <w:noProof/>
        </w:rPr>
        <w:lastRenderedPageBreak/>
        <w:drawing>
          <wp:inline distT="0" distB="0" distL="0" distR="0" wp14:anchorId="04969BE9" wp14:editId="1056DC9F">
            <wp:extent cx="8697595" cy="3491230"/>
            <wp:effectExtent l="0" t="0" r="8255" b="0"/>
            <wp:docPr id="16" name="Picture 16" descr="P2448#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P2448#yIS1"/>
                    <pic:cNvPicPr/>
                  </pic:nvPicPr>
                  <pic:blipFill>
                    <a:blip r:embed="rId22"/>
                    <a:stretch>
                      <a:fillRect/>
                    </a:stretch>
                  </pic:blipFill>
                  <pic:spPr>
                    <a:xfrm>
                      <a:off x="0" y="0"/>
                      <a:ext cx="8697595" cy="3491230"/>
                    </a:xfrm>
                    <a:prstGeom prst="rect">
                      <a:avLst/>
                    </a:prstGeom>
                  </pic:spPr>
                </pic:pic>
              </a:graphicData>
            </a:graphic>
          </wp:inline>
        </w:drawing>
      </w:r>
    </w:p>
    <w:p w14:paraId="7C0F3C50" w14:textId="6F89B87A" w:rsidR="0013392A" w:rsidRDefault="0013392A" w:rsidP="00AE33CC"/>
    <w:p w14:paraId="1177246C" w14:textId="22BCFFB4" w:rsidR="0013392A" w:rsidRDefault="0013392A" w:rsidP="00AE33CC"/>
    <w:p w14:paraId="47AA6645" w14:textId="6F2242A6" w:rsidR="0013392A" w:rsidRDefault="0013392A" w:rsidP="00AE33CC"/>
    <w:p w14:paraId="1063D57D" w14:textId="3D4F7DE2" w:rsidR="0013392A" w:rsidRDefault="0013392A" w:rsidP="00AE33CC">
      <w:r w:rsidRPr="0013392A">
        <w:rPr>
          <w:noProof/>
        </w:rPr>
        <w:lastRenderedPageBreak/>
        <w:drawing>
          <wp:inline distT="0" distB="0" distL="0" distR="0" wp14:anchorId="7CEA34AB" wp14:editId="3026030B">
            <wp:extent cx="8697595" cy="4125595"/>
            <wp:effectExtent l="0" t="0" r="8255" b="8255"/>
            <wp:docPr id="17" name="Picture 17" descr="P245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P2452#yIS1"/>
                    <pic:cNvPicPr/>
                  </pic:nvPicPr>
                  <pic:blipFill>
                    <a:blip r:embed="rId23"/>
                    <a:stretch>
                      <a:fillRect/>
                    </a:stretch>
                  </pic:blipFill>
                  <pic:spPr>
                    <a:xfrm>
                      <a:off x="0" y="0"/>
                      <a:ext cx="8697595" cy="4125595"/>
                    </a:xfrm>
                    <a:prstGeom prst="rect">
                      <a:avLst/>
                    </a:prstGeom>
                  </pic:spPr>
                </pic:pic>
              </a:graphicData>
            </a:graphic>
          </wp:inline>
        </w:drawing>
      </w:r>
    </w:p>
    <w:p w14:paraId="2D9D2C7B" w14:textId="01C03B50" w:rsidR="0013392A" w:rsidRDefault="0013392A" w:rsidP="00AE33CC"/>
    <w:p w14:paraId="46B00A42" w14:textId="6A866789" w:rsidR="0013392A" w:rsidRDefault="0013392A" w:rsidP="00AE33CC"/>
    <w:p w14:paraId="413ED048" w14:textId="77777777" w:rsidR="0013392A" w:rsidRDefault="0013392A" w:rsidP="00AE33CC"/>
    <w:sectPr w:rsidR="0013392A" w:rsidSect="00365473">
      <w:pgSz w:w="16838" w:h="11906" w:orient="landscape"/>
      <w:pgMar w:top="1440" w:right="1701" w:bottom="1440" w:left="144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3AAB07" w14:textId="77777777" w:rsidR="00AC1192" w:rsidRDefault="00AC1192" w:rsidP="00B06D46">
      <w:pPr>
        <w:spacing w:after="0" w:line="240" w:lineRule="auto"/>
      </w:pPr>
      <w:r>
        <w:separator/>
      </w:r>
    </w:p>
  </w:endnote>
  <w:endnote w:type="continuationSeparator" w:id="0">
    <w:p w14:paraId="0E31A51A" w14:textId="77777777" w:rsidR="00AC1192" w:rsidRDefault="00AC1192" w:rsidP="00B06D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Gulim">
    <w:altName w:val="Gulim"/>
    <w:panose1 w:val="020B0600000101010101"/>
    <w:charset w:val="81"/>
    <w:family w:val="swiss"/>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8F3FC9" w14:textId="77777777" w:rsidR="00AC1192" w:rsidRDefault="00AC1192" w:rsidP="00B06D46">
      <w:pPr>
        <w:spacing w:after="0" w:line="240" w:lineRule="auto"/>
      </w:pPr>
      <w:r>
        <w:separator/>
      </w:r>
    </w:p>
  </w:footnote>
  <w:footnote w:type="continuationSeparator" w:id="0">
    <w:p w14:paraId="5E67B1AE" w14:textId="77777777" w:rsidR="00AC1192" w:rsidRDefault="00AC1192" w:rsidP="00B06D4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86E6D12"/>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F648D9F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7032B50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2C6A59D8"/>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4CFA934E"/>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D48AC6C"/>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40068E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66AFC8A"/>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7DA5EBA"/>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09E873A4"/>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5721949"/>
    <w:multiLevelType w:val="hybridMultilevel"/>
    <w:tmpl w:val="7A16FF52"/>
    <w:lvl w:ilvl="0" w:tplc="B59213EA">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1" w15:restartNumberingAfterBreak="0">
    <w:nsid w:val="1B0D7FB8"/>
    <w:multiLevelType w:val="multilevel"/>
    <w:tmpl w:val="F40AB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40E673F"/>
    <w:multiLevelType w:val="hybridMultilevel"/>
    <w:tmpl w:val="4A88C6B4"/>
    <w:lvl w:ilvl="0" w:tplc="0E263B94">
      <w:start w:val="1"/>
      <w:numFmt w:val="decimal"/>
      <w:suff w:val="space"/>
      <w:lvlText w:val="%1."/>
      <w:lvlJc w:val="left"/>
      <w:pPr>
        <w:ind w:left="340" w:hanging="340"/>
      </w:pPr>
      <w:rPr>
        <w:rFonts w:hint="eastAsia"/>
      </w:rPr>
    </w:lvl>
    <w:lvl w:ilvl="1" w:tplc="2DD83ED4" w:tentative="1">
      <w:start w:val="1"/>
      <w:numFmt w:val="lowerLetter"/>
      <w:lvlText w:val="%2."/>
      <w:lvlJc w:val="left"/>
      <w:pPr>
        <w:ind w:left="1800" w:hanging="360"/>
      </w:pPr>
    </w:lvl>
    <w:lvl w:ilvl="2" w:tplc="B6627D78" w:tentative="1">
      <w:start w:val="1"/>
      <w:numFmt w:val="lowerRoman"/>
      <w:lvlText w:val="%3."/>
      <w:lvlJc w:val="right"/>
      <w:pPr>
        <w:ind w:left="2520" w:hanging="180"/>
      </w:pPr>
    </w:lvl>
    <w:lvl w:ilvl="3" w:tplc="E0B2C344" w:tentative="1">
      <w:start w:val="1"/>
      <w:numFmt w:val="decimal"/>
      <w:lvlText w:val="%4."/>
      <w:lvlJc w:val="left"/>
      <w:pPr>
        <w:ind w:left="3240" w:hanging="360"/>
      </w:pPr>
    </w:lvl>
    <w:lvl w:ilvl="4" w:tplc="AB70557A" w:tentative="1">
      <w:start w:val="1"/>
      <w:numFmt w:val="lowerLetter"/>
      <w:lvlText w:val="%5."/>
      <w:lvlJc w:val="left"/>
      <w:pPr>
        <w:ind w:left="3960" w:hanging="360"/>
      </w:pPr>
    </w:lvl>
    <w:lvl w:ilvl="5" w:tplc="967CB10E" w:tentative="1">
      <w:start w:val="1"/>
      <w:numFmt w:val="lowerRoman"/>
      <w:lvlText w:val="%6."/>
      <w:lvlJc w:val="right"/>
      <w:pPr>
        <w:ind w:left="4680" w:hanging="180"/>
      </w:pPr>
    </w:lvl>
    <w:lvl w:ilvl="6" w:tplc="0C38419E" w:tentative="1">
      <w:start w:val="1"/>
      <w:numFmt w:val="decimal"/>
      <w:lvlText w:val="%7."/>
      <w:lvlJc w:val="left"/>
      <w:pPr>
        <w:ind w:left="5400" w:hanging="360"/>
      </w:pPr>
    </w:lvl>
    <w:lvl w:ilvl="7" w:tplc="C576BBBE" w:tentative="1">
      <w:start w:val="1"/>
      <w:numFmt w:val="lowerLetter"/>
      <w:lvlText w:val="%8."/>
      <w:lvlJc w:val="left"/>
      <w:pPr>
        <w:ind w:left="6120" w:hanging="360"/>
      </w:pPr>
    </w:lvl>
    <w:lvl w:ilvl="8" w:tplc="F8D6EC76" w:tentative="1">
      <w:start w:val="1"/>
      <w:numFmt w:val="lowerRoman"/>
      <w:lvlText w:val="%9."/>
      <w:lvlJc w:val="right"/>
      <w:pPr>
        <w:ind w:left="6840" w:hanging="180"/>
      </w:pPr>
    </w:lvl>
  </w:abstractNum>
  <w:abstractNum w:abstractNumId="13" w15:restartNumberingAfterBreak="0">
    <w:nsid w:val="38D333E2"/>
    <w:multiLevelType w:val="multilevel"/>
    <w:tmpl w:val="26DACE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A1515F7"/>
    <w:multiLevelType w:val="hybridMultilevel"/>
    <w:tmpl w:val="D3CAA978"/>
    <w:lvl w:ilvl="0" w:tplc="6768A008">
      <w:numFmt w:val="bullet"/>
      <w:lvlText w:val="-"/>
      <w:lvlJc w:val="left"/>
      <w:pPr>
        <w:ind w:left="760" w:hanging="360"/>
      </w:pPr>
      <w:rPr>
        <w:rFonts w:ascii="Times New Roman" w:eastAsiaTheme="minorEastAsia" w:hAnsi="Times New Roman"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5" w15:restartNumberingAfterBreak="0">
    <w:nsid w:val="66BF0028"/>
    <w:multiLevelType w:val="multilevel"/>
    <w:tmpl w:val="3E1ADC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2"/>
  </w:num>
  <w:num w:numId="2">
    <w:abstractNumId w:val="11"/>
  </w:num>
  <w:num w:numId="3">
    <w:abstractNumId w:val="13"/>
  </w:num>
  <w:num w:numId="4">
    <w:abstractNumId w:val="10"/>
  </w:num>
  <w:num w:numId="5">
    <w:abstractNumId w:val="14"/>
  </w:num>
  <w:num w:numId="6">
    <w:abstractNumId w:val="15"/>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800"/>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04B"/>
    <w:rsid w:val="00105F9B"/>
    <w:rsid w:val="0011400E"/>
    <w:rsid w:val="0013392A"/>
    <w:rsid w:val="001D506E"/>
    <w:rsid w:val="00274400"/>
    <w:rsid w:val="002C1976"/>
    <w:rsid w:val="00320033"/>
    <w:rsid w:val="0036534E"/>
    <w:rsid w:val="00365473"/>
    <w:rsid w:val="003C1CE6"/>
    <w:rsid w:val="003F737B"/>
    <w:rsid w:val="00412566"/>
    <w:rsid w:val="00476C3D"/>
    <w:rsid w:val="0049304B"/>
    <w:rsid w:val="004A22E0"/>
    <w:rsid w:val="004B0E2E"/>
    <w:rsid w:val="004B4CFB"/>
    <w:rsid w:val="00640BA6"/>
    <w:rsid w:val="00671257"/>
    <w:rsid w:val="006B1877"/>
    <w:rsid w:val="007A28C2"/>
    <w:rsid w:val="00805F14"/>
    <w:rsid w:val="00840735"/>
    <w:rsid w:val="008A33CC"/>
    <w:rsid w:val="00915590"/>
    <w:rsid w:val="00AC1192"/>
    <w:rsid w:val="00AC3A9E"/>
    <w:rsid w:val="00AE33CC"/>
    <w:rsid w:val="00B06D46"/>
    <w:rsid w:val="00B14C45"/>
    <w:rsid w:val="00B4335B"/>
    <w:rsid w:val="00D42DAC"/>
    <w:rsid w:val="00D4555D"/>
    <w:rsid w:val="00DA4749"/>
    <w:rsid w:val="00DE1143"/>
    <w:rsid w:val="00E47CD1"/>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0F07F42"/>
  <w15:chartTrackingRefBased/>
  <w15:docId w15:val="{375473FD-B8F3-427D-826B-320AD0A7A0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9304B"/>
    <w:pPr>
      <w:widowControl w:val="0"/>
      <w:wordWrap w:val="0"/>
      <w:autoSpaceDE w:val="0"/>
      <w:autoSpaceDN w:val="0"/>
    </w:pPr>
  </w:style>
  <w:style w:type="paragraph" w:styleId="Heading1">
    <w:name w:val="heading 1"/>
    <w:basedOn w:val="Normal"/>
    <w:link w:val="Heading1Char"/>
    <w:uiPriority w:val="9"/>
    <w:qFormat/>
    <w:rsid w:val="00D4555D"/>
    <w:pPr>
      <w:spacing w:line="480" w:lineRule="auto"/>
      <w:jc w:val="left"/>
      <w:outlineLvl w:val="0"/>
    </w:pPr>
    <w:rPr>
      <w:rFonts w:ascii="Times New Roman" w:hAnsi="Times New Roman"/>
      <w:b/>
      <w:bCs/>
      <w:sz w:val="24"/>
      <w:szCs w:val="24"/>
    </w:rPr>
  </w:style>
  <w:style w:type="paragraph" w:styleId="Heading2">
    <w:name w:val="heading 2"/>
    <w:basedOn w:val="Normal"/>
    <w:next w:val="Normal"/>
    <w:link w:val="Heading2Char"/>
    <w:uiPriority w:val="9"/>
    <w:unhideWhenUsed/>
    <w:qFormat/>
    <w:rsid w:val="00D4555D"/>
    <w:pPr>
      <w:spacing w:line="480" w:lineRule="auto"/>
      <w:outlineLvl w:val="1"/>
    </w:pPr>
    <w:rPr>
      <w:rFonts w:ascii="Times New Roman" w:hAnsi="Times New Roman" w:cs="Times New Roman"/>
      <w:b/>
      <w:bCs/>
      <w:i/>
      <w:iCs/>
      <w:sz w:val="24"/>
      <w:szCs w:val="24"/>
    </w:rPr>
  </w:style>
  <w:style w:type="paragraph" w:styleId="Heading3">
    <w:name w:val="heading 3"/>
    <w:basedOn w:val="Normal"/>
    <w:next w:val="Normal"/>
    <w:link w:val="Heading3Char"/>
    <w:uiPriority w:val="9"/>
    <w:semiHidden/>
    <w:unhideWhenUsed/>
    <w:qFormat/>
    <w:rsid w:val="0032003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320033"/>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20033"/>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20033"/>
    <w:pPr>
      <w:keepNext/>
      <w:keepLines/>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20033"/>
    <w:pPr>
      <w:keepNext/>
      <w:keepLines/>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20033"/>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20033"/>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9304B"/>
    <w:pPr>
      <w:ind w:leftChars="400" w:left="800"/>
    </w:pPr>
  </w:style>
  <w:style w:type="character" w:styleId="CommentReference">
    <w:name w:val="annotation reference"/>
    <w:basedOn w:val="DefaultParagraphFont"/>
    <w:uiPriority w:val="99"/>
    <w:semiHidden/>
    <w:unhideWhenUsed/>
    <w:rsid w:val="0049304B"/>
    <w:rPr>
      <w:sz w:val="18"/>
      <w:szCs w:val="18"/>
    </w:rPr>
  </w:style>
  <w:style w:type="paragraph" w:styleId="CommentText">
    <w:name w:val="annotation text"/>
    <w:basedOn w:val="Normal"/>
    <w:link w:val="CommentTextChar"/>
    <w:uiPriority w:val="99"/>
    <w:semiHidden/>
    <w:unhideWhenUsed/>
    <w:rsid w:val="0049304B"/>
    <w:pPr>
      <w:jc w:val="left"/>
    </w:pPr>
  </w:style>
  <w:style w:type="character" w:customStyle="1" w:styleId="CommentTextChar">
    <w:name w:val="Comment Text Char"/>
    <w:basedOn w:val="DefaultParagraphFont"/>
    <w:link w:val="CommentText"/>
    <w:uiPriority w:val="99"/>
    <w:semiHidden/>
    <w:rsid w:val="0049304B"/>
  </w:style>
  <w:style w:type="character" w:styleId="Hyperlink">
    <w:name w:val="Hyperlink"/>
    <w:basedOn w:val="DefaultParagraphFont"/>
    <w:uiPriority w:val="99"/>
    <w:unhideWhenUsed/>
    <w:rsid w:val="0049304B"/>
    <w:rPr>
      <w:color w:val="0000FF"/>
      <w:u w:val="single"/>
    </w:rPr>
  </w:style>
  <w:style w:type="character" w:customStyle="1" w:styleId="Heading1Char">
    <w:name w:val="Heading 1 Char"/>
    <w:basedOn w:val="DefaultParagraphFont"/>
    <w:link w:val="Heading1"/>
    <w:uiPriority w:val="9"/>
    <w:rsid w:val="00D4555D"/>
    <w:rPr>
      <w:rFonts w:ascii="Times New Roman" w:hAnsi="Times New Roman"/>
      <w:b/>
      <w:bCs/>
      <w:sz w:val="24"/>
      <w:szCs w:val="24"/>
    </w:rPr>
  </w:style>
  <w:style w:type="paragraph" w:customStyle="1" w:styleId="active">
    <w:name w:val="active"/>
    <w:basedOn w:val="Normal"/>
    <w:rsid w:val="0049304B"/>
    <w:pPr>
      <w:widowControl/>
      <w:wordWrap/>
      <w:autoSpaceDE/>
      <w:autoSpaceDN/>
      <w:spacing w:before="100" w:beforeAutospacing="1" w:after="100" w:afterAutospacing="1" w:line="240" w:lineRule="auto"/>
      <w:jc w:val="left"/>
    </w:pPr>
    <w:rPr>
      <w:rFonts w:ascii="Gulim" w:eastAsia="Gulim" w:hAnsi="Gulim" w:cs="Gulim"/>
      <w:kern w:val="0"/>
      <w:sz w:val="24"/>
      <w:szCs w:val="24"/>
    </w:rPr>
  </w:style>
  <w:style w:type="character" w:customStyle="1" w:styleId="author-sup-separator">
    <w:name w:val="author-sup-separator"/>
    <w:basedOn w:val="DefaultParagraphFont"/>
    <w:rsid w:val="0049304B"/>
  </w:style>
  <w:style w:type="character" w:customStyle="1" w:styleId="comma">
    <w:name w:val="comma"/>
    <w:basedOn w:val="DefaultParagraphFont"/>
    <w:rsid w:val="0049304B"/>
  </w:style>
  <w:style w:type="paragraph" w:styleId="Header">
    <w:name w:val="header"/>
    <w:basedOn w:val="Normal"/>
    <w:link w:val="HeaderChar"/>
    <w:uiPriority w:val="99"/>
    <w:unhideWhenUsed/>
    <w:rsid w:val="0049304B"/>
    <w:pPr>
      <w:tabs>
        <w:tab w:val="center" w:pos="4513"/>
        <w:tab w:val="right" w:pos="9026"/>
      </w:tabs>
      <w:snapToGrid w:val="0"/>
    </w:pPr>
  </w:style>
  <w:style w:type="character" w:customStyle="1" w:styleId="HeaderChar">
    <w:name w:val="Header Char"/>
    <w:basedOn w:val="DefaultParagraphFont"/>
    <w:link w:val="Header"/>
    <w:uiPriority w:val="99"/>
    <w:rsid w:val="0049304B"/>
  </w:style>
  <w:style w:type="paragraph" w:styleId="Footer">
    <w:name w:val="footer"/>
    <w:basedOn w:val="Normal"/>
    <w:link w:val="FooterChar"/>
    <w:uiPriority w:val="99"/>
    <w:unhideWhenUsed/>
    <w:rsid w:val="0049304B"/>
    <w:pPr>
      <w:tabs>
        <w:tab w:val="center" w:pos="4513"/>
        <w:tab w:val="right" w:pos="9026"/>
      </w:tabs>
      <w:snapToGrid w:val="0"/>
    </w:pPr>
  </w:style>
  <w:style w:type="character" w:customStyle="1" w:styleId="FooterChar">
    <w:name w:val="Footer Char"/>
    <w:basedOn w:val="DefaultParagraphFont"/>
    <w:link w:val="Footer"/>
    <w:uiPriority w:val="99"/>
    <w:rsid w:val="0049304B"/>
  </w:style>
  <w:style w:type="character" w:styleId="UnresolvedMention">
    <w:name w:val="Unresolved Mention"/>
    <w:basedOn w:val="DefaultParagraphFont"/>
    <w:uiPriority w:val="99"/>
    <w:semiHidden/>
    <w:unhideWhenUsed/>
    <w:rsid w:val="0049304B"/>
    <w:rPr>
      <w:color w:val="605E5C"/>
      <w:shd w:val="clear" w:color="auto" w:fill="E1DFDD"/>
    </w:rPr>
  </w:style>
  <w:style w:type="paragraph" w:styleId="Revision">
    <w:name w:val="Revision"/>
    <w:hidden/>
    <w:uiPriority w:val="99"/>
    <w:semiHidden/>
    <w:rsid w:val="0049304B"/>
    <w:pPr>
      <w:spacing w:after="0" w:line="240" w:lineRule="auto"/>
      <w:jc w:val="left"/>
    </w:pPr>
  </w:style>
  <w:style w:type="paragraph" w:styleId="CommentSubject">
    <w:name w:val="annotation subject"/>
    <w:basedOn w:val="CommentText"/>
    <w:next w:val="CommentText"/>
    <w:link w:val="CommentSubjectChar"/>
    <w:uiPriority w:val="99"/>
    <w:semiHidden/>
    <w:unhideWhenUsed/>
    <w:rsid w:val="0049304B"/>
    <w:pPr>
      <w:spacing w:line="240" w:lineRule="auto"/>
      <w:jc w:val="both"/>
    </w:pPr>
    <w:rPr>
      <w:b/>
      <w:bCs/>
      <w:szCs w:val="20"/>
    </w:rPr>
  </w:style>
  <w:style w:type="character" w:customStyle="1" w:styleId="CommentSubjectChar">
    <w:name w:val="Comment Subject Char"/>
    <w:basedOn w:val="CommentTextChar"/>
    <w:link w:val="CommentSubject"/>
    <w:uiPriority w:val="99"/>
    <w:semiHidden/>
    <w:rsid w:val="0049304B"/>
    <w:rPr>
      <w:b/>
      <w:bCs/>
      <w:szCs w:val="20"/>
    </w:rPr>
  </w:style>
  <w:style w:type="character" w:customStyle="1" w:styleId="Heading2Char">
    <w:name w:val="Heading 2 Char"/>
    <w:basedOn w:val="DefaultParagraphFont"/>
    <w:link w:val="Heading2"/>
    <w:uiPriority w:val="9"/>
    <w:rsid w:val="00D4555D"/>
    <w:rPr>
      <w:rFonts w:ascii="Times New Roman" w:hAnsi="Times New Roman" w:cs="Times New Roman"/>
      <w:b/>
      <w:bCs/>
      <w:i/>
      <w:iCs/>
      <w:sz w:val="24"/>
      <w:szCs w:val="24"/>
    </w:rPr>
  </w:style>
  <w:style w:type="character" w:styleId="FollowedHyperlink">
    <w:name w:val="FollowedHyperlink"/>
    <w:basedOn w:val="DefaultParagraphFont"/>
    <w:uiPriority w:val="99"/>
    <w:semiHidden/>
    <w:unhideWhenUsed/>
    <w:rsid w:val="006B1877"/>
    <w:rPr>
      <w:color w:val="954F72" w:themeColor="followedHyperlink"/>
      <w:u w:val="single"/>
    </w:rPr>
  </w:style>
  <w:style w:type="table" w:styleId="TableGrid">
    <w:name w:val="Table Grid"/>
    <w:basedOn w:val="TableNormal"/>
    <w:uiPriority w:val="39"/>
    <w:rsid w:val="00E47CD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5">
    <w:name w:val="Plain Table 5"/>
    <w:basedOn w:val="TableNormal"/>
    <w:uiPriority w:val="45"/>
    <w:rsid w:val="00E47CD1"/>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2">
    <w:name w:val="Plain Table 2"/>
    <w:basedOn w:val="TableNormal"/>
    <w:uiPriority w:val="42"/>
    <w:rsid w:val="00E47CD1"/>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4">
    <w:name w:val="Plain Table 4"/>
    <w:basedOn w:val="TableNormal"/>
    <w:uiPriority w:val="44"/>
    <w:rsid w:val="00E47CD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Default">
    <w:name w:val="Default"/>
    <w:rsid w:val="00E47CD1"/>
    <w:pPr>
      <w:widowControl w:val="0"/>
      <w:autoSpaceDE w:val="0"/>
      <w:autoSpaceDN w:val="0"/>
      <w:adjustRightInd w:val="0"/>
      <w:spacing w:after="0" w:line="240" w:lineRule="auto"/>
      <w:jc w:val="left"/>
    </w:pPr>
    <w:rPr>
      <w:rFonts w:ascii="Calibri" w:hAnsi="Calibri" w:cs="Calibri"/>
      <w:color w:val="000000"/>
      <w:kern w:val="0"/>
      <w:sz w:val="24"/>
      <w:szCs w:val="24"/>
      <w:lang w:val="en-CA" w:eastAsia="en-CA"/>
    </w:rPr>
  </w:style>
  <w:style w:type="table" w:styleId="GridTable2-Accent3">
    <w:name w:val="Grid Table 2 Accent 3"/>
    <w:basedOn w:val="TableNormal"/>
    <w:uiPriority w:val="47"/>
    <w:rsid w:val="00E47CD1"/>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Title">
    <w:name w:val="Title"/>
    <w:basedOn w:val="Normal"/>
    <w:next w:val="Normal"/>
    <w:link w:val="TitleChar"/>
    <w:uiPriority w:val="10"/>
    <w:qFormat/>
    <w:rsid w:val="00D4555D"/>
    <w:pPr>
      <w:widowControl/>
      <w:wordWrap/>
      <w:autoSpaceDE/>
      <w:autoSpaceDN/>
      <w:spacing w:line="480" w:lineRule="auto"/>
    </w:pPr>
    <w:rPr>
      <w:rFonts w:ascii="Times New Roman" w:hAnsi="Times New Roman" w:cs="Times New Roman"/>
      <w:b/>
      <w:bCs/>
      <w:sz w:val="24"/>
      <w:szCs w:val="24"/>
    </w:rPr>
  </w:style>
  <w:style w:type="character" w:customStyle="1" w:styleId="TitleChar">
    <w:name w:val="Title Char"/>
    <w:basedOn w:val="DefaultParagraphFont"/>
    <w:link w:val="Title"/>
    <w:uiPriority w:val="10"/>
    <w:rsid w:val="00D4555D"/>
    <w:rPr>
      <w:rFonts w:ascii="Times New Roman" w:hAnsi="Times New Roman" w:cs="Times New Roman"/>
      <w:b/>
      <w:bCs/>
      <w:sz w:val="24"/>
      <w:szCs w:val="24"/>
    </w:rPr>
  </w:style>
  <w:style w:type="paragraph" w:styleId="BalloonText">
    <w:name w:val="Balloon Text"/>
    <w:basedOn w:val="Normal"/>
    <w:link w:val="BalloonTextChar"/>
    <w:uiPriority w:val="99"/>
    <w:semiHidden/>
    <w:unhideWhenUsed/>
    <w:rsid w:val="0032003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20033"/>
    <w:rPr>
      <w:rFonts w:ascii="Segoe UI" w:hAnsi="Segoe UI" w:cs="Segoe UI"/>
      <w:sz w:val="18"/>
      <w:szCs w:val="18"/>
    </w:rPr>
  </w:style>
  <w:style w:type="paragraph" w:styleId="Bibliography">
    <w:name w:val="Bibliography"/>
    <w:basedOn w:val="Normal"/>
    <w:next w:val="Normal"/>
    <w:uiPriority w:val="37"/>
    <w:semiHidden/>
    <w:unhideWhenUsed/>
    <w:rsid w:val="00320033"/>
  </w:style>
  <w:style w:type="paragraph" w:styleId="BlockText">
    <w:name w:val="Block Text"/>
    <w:basedOn w:val="Normal"/>
    <w:uiPriority w:val="99"/>
    <w:semiHidden/>
    <w:unhideWhenUsed/>
    <w:rsid w:val="00320033"/>
    <w:pPr>
      <w:pBdr>
        <w:top w:val="single" w:sz="2" w:space="10" w:color="4472C4" w:themeColor="accent1"/>
        <w:left w:val="single" w:sz="2" w:space="10" w:color="4472C4" w:themeColor="accent1"/>
        <w:bottom w:val="single" w:sz="2" w:space="10" w:color="4472C4" w:themeColor="accent1"/>
        <w:right w:val="single" w:sz="2" w:space="10" w:color="4472C4" w:themeColor="accent1"/>
      </w:pBdr>
      <w:ind w:left="1152" w:right="1152"/>
    </w:pPr>
    <w:rPr>
      <w:i/>
      <w:iCs/>
      <w:color w:val="4472C4" w:themeColor="accent1"/>
    </w:rPr>
  </w:style>
  <w:style w:type="paragraph" w:styleId="BodyText">
    <w:name w:val="Body Text"/>
    <w:basedOn w:val="Normal"/>
    <w:link w:val="BodyTextChar"/>
    <w:uiPriority w:val="99"/>
    <w:semiHidden/>
    <w:unhideWhenUsed/>
    <w:rsid w:val="00320033"/>
    <w:pPr>
      <w:spacing w:after="120"/>
    </w:pPr>
  </w:style>
  <w:style w:type="character" w:customStyle="1" w:styleId="BodyTextChar">
    <w:name w:val="Body Text Char"/>
    <w:basedOn w:val="DefaultParagraphFont"/>
    <w:link w:val="BodyText"/>
    <w:uiPriority w:val="99"/>
    <w:semiHidden/>
    <w:rsid w:val="00320033"/>
  </w:style>
  <w:style w:type="paragraph" w:styleId="BodyText2">
    <w:name w:val="Body Text 2"/>
    <w:basedOn w:val="Normal"/>
    <w:link w:val="BodyText2Char"/>
    <w:uiPriority w:val="99"/>
    <w:semiHidden/>
    <w:unhideWhenUsed/>
    <w:rsid w:val="00320033"/>
    <w:pPr>
      <w:spacing w:after="120" w:line="480" w:lineRule="auto"/>
    </w:pPr>
  </w:style>
  <w:style w:type="character" w:customStyle="1" w:styleId="BodyText2Char">
    <w:name w:val="Body Text 2 Char"/>
    <w:basedOn w:val="DefaultParagraphFont"/>
    <w:link w:val="BodyText2"/>
    <w:uiPriority w:val="99"/>
    <w:semiHidden/>
    <w:rsid w:val="00320033"/>
  </w:style>
  <w:style w:type="paragraph" w:styleId="BodyText3">
    <w:name w:val="Body Text 3"/>
    <w:basedOn w:val="Normal"/>
    <w:link w:val="BodyText3Char"/>
    <w:uiPriority w:val="99"/>
    <w:semiHidden/>
    <w:unhideWhenUsed/>
    <w:rsid w:val="00320033"/>
    <w:pPr>
      <w:spacing w:after="120"/>
    </w:pPr>
    <w:rPr>
      <w:sz w:val="16"/>
      <w:szCs w:val="16"/>
    </w:rPr>
  </w:style>
  <w:style w:type="character" w:customStyle="1" w:styleId="BodyText3Char">
    <w:name w:val="Body Text 3 Char"/>
    <w:basedOn w:val="DefaultParagraphFont"/>
    <w:link w:val="BodyText3"/>
    <w:uiPriority w:val="99"/>
    <w:semiHidden/>
    <w:rsid w:val="00320033"/>
    <w:rPr>
      <w:sz w:val="16"/>
      <w:szCs w:val="16"/>
    </w:rPr>
  </w:style>
  <w:style w:type="paragraph" w:styleId="BodyTextFirstIndent">
    <w:name w:val="Body Text First Indent"/>
    <w:basedOn w:val="BodyText"/>
    <w:link w:val="BodyTextFirstIndentChar"/>
    <w:uiPriority w:val="99"/>
    <w:semiHidden/>
    <w:unhideWhenUsed/>
    <w:rsid w:val="00320033"/>
    <w:pPr>
      <w:spacing w:after="160"/>
      <w:ind w:firstLine="360"/>
    </w:pPr>
  </w:style>
  <w:style w:type="character" w:customStyle="1" w:styleId="BodyTextFirstIndentChar">
    <w:name w:val="Body Text First Indent Char"/>
    <w:basedOn w:val="BodyTextChar"/>
    <w:link w:val="BodyTextFirstIndent"/>
    <w:uiPriority w:val="99"/>
    <w:semiHidden/>
    <w:rsid w:val="00320033"/>
  </w:style>
  <w:style w:type="paragraph" w:styleId="BodyTextIndent">
    <w:name w:val="Body Text Indent"/>
    <w:basedOn w:val="Normal"/>
    <w:link w:val="BodyTextIndentChar"/>
    <w:uiPriority w:val="99"/>
    <w:semiHidden/>
    <w:unhideWhenUsed/>
    <w:rsid w:val="00320033"/>
    <w:pPr>
      <w:spacing w:after="120"/>
      <w:ind w:left="283"/>
    </w:pPr>
  </w:style>
  <w:style w:type="character" w:customStyle="1" w:styleId="BodyTextIndentChar">
    <w:name w:val="Body Text Indent Char"/>
    <w:basedOn w:val="DefaultParagraphFont"/>
    <w:link w:val="BodyTextIndent"/>
    <w:uiPriority w:val="99"/>
    <w:semiHidden/>
    <w:rsid w:val="00320033"/>
  </w:style>
  <w:style w:type="paragraph" w:styleId="BodyTextFirstIndent2">
    <w:name w:val="Body Text First Indent 2"/>
    <w:basedOn w:val="BodyTextIndent"/>
    <w:link w:val="BodyTextFirstIndent2Char"/>
    <w:uiPriority w:val="99"/>
    <w:semiHidden/>
    <w:unhideWhenUsed/>
    <w:rsid w:val="00320033"/>
    <w:pPr>
      <w:spacing w:after="160"/>
      <w:ind w:left="360" w:firstLine="360"/>
    </w:pPr>
  </w:style>
  <w:style w:type="character" w:customStyle="1" w:styleId="BodyTextFirstIndent2Char">
    <w:name w:val="Body Text First Indent 2 Char"/>
    <w:basedOn w:val="BodyTextIndentChar"/>
    <w:link w:val="BodyTextFirstIndent2"/>
    <w:uiPriority w:val="99"/>
    <w:semiHidden/>
    <w:rsid w:val="00320033"/>
  </w:style>
  <w:style w:type="paragraph" w:styleId="BodyTextIndent2">
    <w:name w:val="Body Text Indent 2"/>
    <w:basedOn w:val="Normal"/>
    <w:link w:val="BodyTextIndent2Char"/>
    <w:uiPriority w:val="99"/>
    <w:semiHidden/>
    <w:unhideWhenUsed/>
    <w:rsid w:val="00320033"/>
    <w:pPr>
      <w:spacing w:after="120" w:line="480" w:lineRule="auto"/>
      <w:ind w:left="283"/>
    </w:pPr>
  </w:style>
  <w:style w:type="character" w:customStyle="1" w:styleId="BodyTextIndent2Char">
    <w:name w:val="Body Text Indent 2 Char"/>
    <w:basedOn w:val="DefaultParagraphFont"/>
    <w:link w:val="BodyTextIndent2"/>
    <w:uiPriority w:val="99"/>
    <w:semiHidden/>
    <w:rsid w:val="00320033"/>
  </w:style>
  <w:style w:type="paragraph" w:styleId="BodyTextIndent3">
    <w:name w:val="Body Text Indent 3"/>
    <w:basedOn w:val="Normal"/>
    <w:link w:val="BodyTextIndent3Char"/>
    <w:uiPriority w:val="99"/>
    <w:semiHidden/>
    <w:unhideWhenUsed/>
    <w:rsid w:val="00320033"/>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320033"/>
    <w:rPr>
      <w:sz w:val="16"/>
      <w:szCs w:val="16"/>
    </w:rPr>
  </w:style>
  <w:style w:type="paragraph" w:styleId="Caption">
    <w:name w:val="caption"/>
    <w:basedOn w:val="Normal"/>
    <w:next w:val="Normal"/>
    <w:uiPriority w:val="35"/>
    <w:semiHidden/>
    <w:unhideWhenUsed/>
    <w:qFormat/>
    <w:rsid w:val="00320033"/>
    <w:pPr>
      <w:spacing w:after="200" w:line="240" w:lineRule="auto"/>
    </w:pPr>
    <w:rPr>
      <w:i/>
      <w:iCs/>
      <w:color w:val="44546A" w:themeColor="text2"/>
      <w:sz w:val="18"/>
      <w:szCs w:val="18"/>
    </w:rPr>
  </w:style>
  <w:style w:type="paragraph" w:styleId="Closing">
    <w:name w:val="Closing"/>
    <w:basedOn w:val="Normal"/>
    <w:link w:val="ClosingChar"/>
    <w:uiPriority w:val="99"/>
    <w:semiHidden/>
    <w:unhideWhenUsed/>
    <w:rsid w:val="00320033"/>
    <w:pPr>
      <w:spacing w:after="0" w:line="240" w:lineRule="auto"/>
      <w:ind w:left="4252"/>
    </w:pPr>
  </w:style>
  <w:style w:type="character" w:customStyle="1" w:styleId="ClosingChar">
    <w:name w:val="Closing Char"/>
    <w:basedOn w:val="DefaultParagraphFont"/>
    <w:link w:val="Closing"/>
    <w:uiPriority w:val="99"/>
    <w:semiHidden/>
    <w:rsid w:val="00320033"/>
  </w:style>
  <w:style w:type="paragraph" w:styleId="Date">
    <w:name w:val="Date"/>
    <w:basedOn w:val="Normal"/>
    <w:next w:val="Normal"/>
    <w:link w:val="DateChar"/>
    <w:uiPriority w:val="99"/>
    <w:semiHidden/>
    <w:unhideWhenUsed/>
    <w:rsid w:val="00320033"/>
  </w:style>
  <w:style w:type="character" w:customStyle="1" w:styleId="DateChar">
    <w:name w:val="Date Char"/>
    <w:basedOn w:val="DefaultParagraphFont"/>
    <w:link w:val="Date"/>
    <w:uiPriority w:val="99"/>
    <w:semiHidden/>
    <w:rsid w:val="00320033"/>
  </w:style>
  <w:style w:type="paragraph" w:styleId="DocumentMap">
    <w:name w:val="Document Map"/>
    <w:basedOn w:val="Normal"/>
    <w:link w:val="DocumentMapChar"/>
    <w:uiPriority w:val="99"/>
    <w:semiHidden/>
    <w:unhideWhenUsed/>
    <w:rsid w:val="00320033"/>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320033"/>
    <w:rPr>
      <w:rFonts w:ascii="Segoe UI" w:hAnsi="Segoe UI" w:cs="Segoe UI"/>
      <w:sz w:val="16"/>
      <w:szCs w:val="16"/>
    </w:rPr>
  </w:style>
  <w:style w:type="paragraph" w:styleId="E-mailSignature">
    <w:name w:val="E-mail Signature"/>
    <w:basedOn w:val="Normal"/>
    <w:link w:val="E-mailSignatureChar"/>
    <w:uiPriority w:val="99"/>
    <w:semiHidden/>
    <w:unhideWhenUsed/>
    <w:rsid w:val="00320033"/>
    <w:pPr>
      <w:spacing w:after="0" w:line="240" w:lineRule="auto"/>
    </w:pPr>
  </w:style>
  <w:style w:type="character" w:customStyle="1" w:styleId="E-mailSignatureChar">
    <w:name w:val="E-mail Signature Char"/>
    <w:basedOn w:val="DefaultParagraphFont"/>
    <w:link w:val="E-mailSignature"/>
    <w:uiPriority w:val="99"/>
    <w:semiHidden/>
    <w:rsid w:val="00320033"/>
  </w:style>
  <w:style w:type="paragraph" w:styleId="EndnoteText">
    <w:name w:val="endnote text"/>
    <w:basedOn w:val="Normal"/>
    <w:link w:val="EndnoteTextChar"/>
    <w:uiPriority w:val="99"/>
    <w:semiHidden/>
    <w:unhideWhenUsed/>
    <w:rsid w:val="00320033"/>
    <w:pPr>
      <w:spacing w:after="0" w:line="240" w:lineRule="auto"/>
    </w:pPr>
    <w:rPr>
      <w:szCs w:val="20"/>
    </w:rPr>
  </w:style>
  <w:style w:type="character" w:customStyle="1" w:styleId="EndnoteTextChar">
    <w:name w:val="Endnote Text Char"/>
    <w:basedOn w:val="DefaultParagraphFont"/>
    <w:link w:val="EndnoteText"/>
    <w:uiPriority w:val="99"/>
    <w:semiHidden/>
    <w:rsid w:val="00320033"/>
    <w:rPr>
      <w:szCs w:val="20"/>
    </w:rPr>
  </w:style>
  <w:style w:type="paragraph" w:styleId="EnvelopeAddress">
    <w:name w:val="envelope address"/>
    <w:basedOn w:val="Normal"/>
    <w:uiPriority w:val="99"/>
    <w:semiHidden/>
    <w:unhideWhenUsed/>
    <w:rsid w:val="00320033"/>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320033"/>
    <w:pPr>
      <w:spacing w:after="0" w:line="240" w:lineRule="auto"/>
    </w:pPr>
    <w:rPr>
      <w:rFonts w:asciiTheme="majorHAnsi" w:eastAsiaTheme="majorEastAsia" w:hAnsiTheme="majorHAnsi" w:cstheme="majorBidi"/>
      <w:szCs w:val="20"/>
    </w:rPr>
  </w:style>
  <w:style w:type="paragraph" w:styleId="FootnoteText">
    <w:name w:val="footnote text"/>
    <w:basedOn w:val="Normal"/>
    <w:link w:val="FootnoteTextChar"/>
    <w:uiPriority w:val="99"/>
    <w:semiHidden/>
    <w:unhideWhenUsed/>
    <w:rsid w:val="00320033"/>
    <w:pPr>
      <w:spacing w:after="0" w:line="240" w:lineRule="auto"/>
    </w:pPr>
    <w:rPr>
      <w:szCs w:val="20"/>
    </w:rPr>
  </w:style>
  <w:style w:type="character" w:customStyle="1" w:styleId="FootnoteTextChar">
    <w:name w:val="Footnote Text Char"/>
    <w:basedOn w:val="DefaultParagraphFont"/>
    <w:link w:val="FootnoteText"/>
    <w:uiPriority w:val="99"/>
    <w:semiHidden/>
    <w:rsid w:val="00320033"/>
    <w:rPr>
      <w:szCs w:val="20"/>
    </w:rPr>
  </w:style>
  <w:style w:type="character" w:customStyle="1" w:styleId="Heading3Char">
    <w:name w:val="Heading 3 Char"/>
    <w:basedOn w:val="DefaultParagraphFont"/>
    <w:link w:val="Heading3"/>
    <w:uiPriority w:val="9"/>
    <w:semiHidden/>
    <w:rsid w:val="00320033"/>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200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3200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3200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3200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320033"/>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20033"/>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uiPriority w:val="99"/>
    <w:semiHidden/>
    <w:unhideWhenUsed/>
    <w:rsid w:val="00320033"/>
    <w:pPr>
      <w:spacing w:after="0" w:line="240" w:lineRule="auto"/>
    </w:pPr>
    <w:rPr>
      <w:i/>
      <w:iCs/>
    </w:rPr>
  </w:style>
  <w:style w:type="character" w:customStyle="1" w:styleId="HTMLAddressChar">
    <w:name w:val="HTML Address Char"/>
    <w:basedOn w:val="DefaultParagraphFont"/>
    <w:link w:val="HTMLAddress"/>
    <w:uiPriority w:val="99"/>
    <w:semiHidden/>
    <w:rsid w:val="00320033"/>
    <w:rPr>
      <w:i/>
      <w:iCs/>
    </w:rPr>
  </w:style>
  <w:style w:type="paragraph" w:styleId="HTMLPreformatted">
    <w:name w:val="HTML Preformatted"/>
    <w:basedOn w:val="Normal"/>
    <w:link w:val="HTMLPreformattedChar"/>
    <w:uiPriority w:val="99"/>
    <w:semiHidden/>
    <w:unhideWhenUsed/>
    <w:rsid w:val="00320033"/>
    <w:pPr>
      <w:spacing w:after="0" w:line="240" w:lineRule="auto"/>
    </w:pPr>
    <w:rPr>
      <w:rFonts w:ascii="Consolas" w:hAnsi="Consolas"/>
      <w:szCs w:val="20"/>
    </w:rPr>
  </w:style>
  <w:style w:type="character" w:customStyle="1" w:styleId="HTMLPreformattedChar">
    <w:name w:val="HTML Preformatted Char"/>
    <w:basedOn w:val="DefaultParagraphFont"/>
    <w:link w:val="HTMLPreformatted"/>
    <w:uiPriority w:val="99"/>
    <w:semiHidden/>
    <w:rsid w:val="00320033"/>
    <w:rPr>
      <w:rFonts w:ascii="Consolas" w:hAnsi="Consolas"/>
      <w:szCs w:val="20"/>
    </w:rPr>
  </w:style>
  <w:style w:type="paragraph" w:styleId="Index1">
    <w:name w:val="index 1"/>
    <w:basedOn w:val="Normal"/>
    <w:next w:val="Normal"/>
    <w:autoRedefine/>
    <w:uiPriority w:val="99"/>
    <w:semiHidden/>
    <w:unhideWhenUsed/>
    <w:rsid w:val="00320033"/>
    <w:pPr>
      <w:spacing w:after="0" w:line="240" w:lineRule="auto"/>
      <w:ind w:left="200" w:hanging="200"/>
    </w:pPr>
  </w:style>
  <w:style w:type="paragraph" w:styleId="Index2">
    <w:name w:val="index 2"/>
    <w:basedOn w:val="Normal"/>
    <w:next w:val="Normal"/>
    <w:autoRedefine/>
    <w:uiPriority w:val="99"/>
    <w:semiHidden/>
    <w:unhideWhenUsed/>
    <w:rsid w:val="00320033"/>
    <w:pPr>
      <w:spacing w:after="0" w:line="240" w:lineRule="auto"/>
      <w:ind w:left="400" w:hanging="200"/>
    </w:pPr>
  </w:style>
  <w:style w:type="paragraph" w:styleId="Index3">
    <w:name w:val="index 3"/>
    <w:basedOn w:val="Normal"/>
    <w:next w:val="Normal"/>
    <w:autoRedefine/>
    <w:uiPriority w:val="99"/>
    <w:semiHidden/>
    <w:unhideWhenUsed/>
    <w:rsid w:val="00320033"/>
    <w:pPr>
      <w:spacing w:after="0" w:line="240" w:lineRule="auto"/>
      <w:ind w:left="600" w:hanging="200"/>
    </w:pPr>
  </w:style>
  <w:style w:type="paragraph" w:styleId="Index4">
    <w:name w:val="index 4"/>
    <w:basedOn w:val="Normal"/>
    <w:next w:val="Normal"/>
    <w:autoRedefine/>
    <w:uiPriority w:val="99"/>
    <w:semiHidden/>
    <w:unhideWhenUsed/>
    <w:rsid w:val="00320033"/>
    <w:pPr>
      <w:spacing w:after="0" w:line="240" w:lineRule="auto"/>
      <w:ind w:left="800" w:hanging="200"/>
    </w:pPr>
  </w:style>
  <w:style w:type="paragraph" w:styleId="Index5">
    <w:name w:val="index 5"/>
    <w:basedOn w:val="Normal"/>
    <w:next w:val="Normal"/>
    <w:autoRedefine/>
    <w:uiPriority w:val="99"/>
    <w:semiHidden/>
    <w:unhideWhenUsed/>
    <w:rsid w:val="00320033"/>
    <w:pPr>
      <w:spacing w:after="0" w:line="240" w:lineRule="auto"/>
      <w:ind w:left="1000" w:hanging="200"/>
    </w:pPr>
  </w:style>
  <w:style w:type="paragraph" w:styleId="Index6">
    <w:name w:val="index 6"/>
    <w:basedOn w:val="Normal"/>
    <w:next w:val="Normal"/>
    <w:autoRedefine/>
    <w:uiPriority w:val="99"/>
    <w:semiHidden/>
    <w:unhideWhenUsed/>
    <w:rsid w:val="00320033"/>
    <w:pPr>
      <w:spacing w:after="0" w:line="240" w:lineRule="auto"/>
      <w:ind w:left="1200" w:hanging="200"/>
    </w:pPr>
  </w:style>
  <w:style w:type="paragraph" w:styleId="Index7">
    <w:name w:val="index 7"/>
    <w:basedOn w:val="Normal"/>
    <w:next w:val="Normal"/>
    <w:autoRedefine/>
    <w:uiPriority w:val="99"/>
    <w:semiHidden/>
    <w:unhideWhenUsed/>
    <w:rsid w:val="00320033"/>
    <w:pPr>
      <w:spacing w:after="0" w:line="240" w:lineRule="auto"/>
      <w:ind w:left="1400" w:hanging="200"/>
    </w:pPr>
  </w:style>
  <w:style w:type="paragraph" w:styleId="Index8">
    <w:name w:val="index 8"/>
    <w:basedOn w:val="Normal"/>
    <w:next w:val="Normal"/>
    <w:autoRedefine/>
    <w:uiPriority w:val="99"/>
    <w:semiHidden/>
    <w:unhideWhenUsed/>
    <w:rsid w:val="00320033"/>
    <w:pPr>
      <w:spacing w:after="0" w:line="240" w:lineRule="auto"/>
      <w:ind w:left="1600" w:hanging="200"/>
    </w:pPr>
  </w:style>
  <w:style w:type="paragraph" w:styleId="Index9">
    <w:name w:val="index 9"/>
    <w:basedOn w:val="Normal"/>
    <w:next w:val="Normal"/>
    <w:autoRedefine/>
    <w:uiPriority w:val="99"/>
    <w:semiHidden/>
    <w:unhideWhenUsed/>
    <w:rsid w:val="00320033"/>
    <w:pPr>
      <w:spacing w:after="0" w:line="240" w:lineRule="auto"/>
      <w:ind w:left="1800" w:hanging="200"/>
    </w:pPr>
  </w:style>
  <w:style w:type="paragraph" w:styleId="IndexHeading">
    <w:name w:val="index heading"/>
    <w:basedOn w:val="Normal"/>
    <w:next w:val="Index1"/>
    <w:uiPriority w:val="99"/>
    <w:semiHidden/>
    <w:unhideWhenUsed/>
    <w:rsid w:val="00320033"/>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320033"/>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20033"/>
    <w:rPr>
      <w:i/>
      <w:iCs/>
      <w:color w:val="4472C4" w:themeColor="accent1"/>
    </w:rPr>
  </w:style>
  <w:style w:type="paragraph" w:styleId="List">
    <w:name w:val="List"/>
    <w:basedOn w:val="Normal"/>
    <w:uiPriority w:val="99"/>
    <w:semiHidden/>
    <w:unhideWhenUsed/>
    <w:rsid w:val="00320033"/>
    <w:pPr>
      <w:ind w:left="283" w:hanging="283"/>
      <w:contextualSpacing/>
    </w:pPr>
  </w:style>
  <w:style w:type="paragraph" w:styleId="List2">
    <w:name w:val="List 2"/>
    <w:basedOn w:val="Normal"/>
    <w:uiPriority w:val="99"/>
    <w:semiHidden/>
    <w:unhideWhenUsed/>
    <w:rsid w:val="00320033"/>
    <w:pPr>
      <w:ind w:left="566" w:hanging="283"/>
      <w:contextualSpacing/>
    </w:pPr>
  </w:style>
  <w:style w:type="paragraph" w:styleId="List3">
    <w:name w:val="List 3"/>
    <w:basedOn w:val="Normal"/>
    <w:uiPriority w:val="99"/>
    <w:semiHidden/>
    <w:unhideWhenUsed/>
    <w:rsid w:val="00320033"/>
    <w:pPr>
      <w:ind w:left="849" w:hanging="283"/>
      <w:contextualSpacing/>
    </w:pPr>
  </w:style>
  <w:style w:type="paragraph" w:styleId="List4">
    <w:name w:val="List 4"/>
    <w:basedOn w:val="Normal"/>
    <w:uiPriority w:val="99"/>
    <w:semiHidden/>
    <w:unhideWhenUsed/>
    <w:rsid w:val="00320033"/>
    <w:pPr>
      <w:ind w:left="1132" w:hanging="283"/>
      <w:contextualSpacing/>
    </w:pPr>
  </w:style>
  <w:style w:type="paragraph" w:styleId="List5">
    <w:name w:val="List 5"/>
    <w:basedOn w:val="Normal"/>
    <w:uiPriority w:val="99"/>
    <w:semiHidden/>
    <w:unhideWhenUsed/>
    <w:rsid w:val="00320033"/>
    <w:pPr>
      <w:ind w:left="1415" w:hanging="283"/>
      <w:contextualSpacing/>
    </w:pPr>
  </w:style>
  <w:style w:type="paragraph" w:styleId="ListBullet">
    <w:name w:val="List Bullet"/>
    <w:basedOn w:val="Normal"/>
    <w:uiPriority w:val="99"/>
    <w:semiHidden/>
    <w:unhideWhenUsed/>
    <w:rsid w:val="00320033"/>
    <w:pPr>
      <w:numPr>
        <w:numId w:val="7"/>
      </w:numPr>
      <w:contextualSpacing/>
    </w:pPr>
  </w:style>
  <w:style w:type="paragraph" w:styleId="ListBullet2">
    <w:name w:val="List Bullet 2"/>
    <w:basedOn w:val="Normal"/>
    <w:uiPriority w:val="99"/>
    <w:semiHidden/>
    <w:unhideWhenUsed/>
    <w:rsid w:val="00320033"/>
    <w:pPr>
      <w:numPr>
        <w:numId w:val="8"/>
      </w:numPr>
      <w:contextualSpacing/>
    </w:pPr>
  </w:style>
  <w:style w:type="paragraph" w:styleId="ListBullet3">
    <w:name w:val="List Bullet 3"/>
    <w:basedOn w:val="Normal"/>
    <w:uiPriority w:val="99"/>
    <w:semiHidden/>
    <w:unhideWhenUsed/>
    <w:rsid w:val="00320033"/>
    <w:pPr>
      <w:numPr>
        <w:numId w:val="9"/>
      </w:numPr>
      <w:contextualSpacing/>
    </w:pPr>
  </w:style>
  <w:style w:type="paragraph" w:styleId="ListBullet4">
    <w:name w:val="List Bullet 4"/>
    <w:basedOn w:val="Normal"/>
    <w:uiPriority w:val="99"/>
    <w:semiHidden/>
    <w:unhideWhenUsed/>
    <w:rsid w:val="00320033"/>
    <w:pPr>
      <w:numPr>
        <w:numId w:val="10"/>
      </w:numPr>
      <w:contextualSpacing/>
    </w:pPr>
  </w:style>
  <w:style w:type="paragraph" w:styleId="ListBullet5">
    <w:name w:val="List Bullet 5"/>
    <w:basedOn w:val="Normal"/>
    <w:uiPriority w:val="99"/>
    <w:semiHidden/>
    <w:unhideWhenUsed/>
    <w:rsid w:val="00320033"/>
    <w:pPr>
      <w:numPr>
        <w:numId w:val="11"/>
      </w:numPr>
      <w:contextualSpacing/>
    </w:pPr>
  </w:style>
  <w:style w:type="paragraph" w:styleId="ListContinue">
    <w:name w:val="List Continue"/>
    <w:basedOn w:val="Normal"/>
    <w:uiPriority w:val="99"/>
    <w:semiHidden/>
    <w:unhideWhenUsed/>
    <w:rsid w:val="00320033"/>
    <w:pPr>
      <w:spacing w:after="120"/>
      <w:ind w:left="283"/>
      <w:contextualSpacing/>
    </w:pPr>
  </w:style>
  <w:style w:type="paragraph" w:styleId="ListContinue2">
    <w:name w:val="List Continue 2"/>
    <w:basedOn w:val="Normal"/>
    <w:uiPriority w:val="99"/>
    <w:semiHidden/>
    <w:unhideWhenUsed/>
    <w:rsid w:val="00320033"/>
    <w:pPr>
      <w:spacing w:after="120"/>
      <w:ind w:left="566"/>
      <w:contextualSpacing/>
    </w:pPr>
  </w:style>
  <w:style w:type="paragraph" w:styleId="ListContinue3">
    <w:name w:val="List Continue 3"/>
    <w:basedOn w:val="Normal"/>
    <w:uiPriority w:val="99"/>
    <w:semiHidden/>
    <w:unhideWhenUsed/>
    <w:rsid w:val="00320033"/>
    <w:pPr>
      <w:spacing w:after="120"/>
      <w:ind w:left="849"/>
      <w:contextualSpacing/>
    </w:pPr>
  </w:style>
  <w:style w:type="paragraph" w:styleId="ListContinue4">
    <w:name w:val="List Continue 4"/>
    <w:basedOn w:val="Normal"/>
    <w:uiPriority w:val="99"/>
    <w:semiHidden/>
    <w:unhideWhenUsed/>
    <w:rsid w:val="00320033"/>
    <w:pPr>
      <w:spacing w:after="120"/>
      <w:ind w:left="1132"/>
      <w:contextualSpacing/>
    </w:pPr>
  </w:style>
  <w:style w:type="paragraph" w:styleId="ListContinue5">
    <w:name w:val="List Continue 5"/>
    <w:basedOn w:val="Normal"/>
    <w:uiPriority w:val="99"/>
    <w:semiHidden/>
    <w:unhideWhenUsed/>
    <w:rsid w:val="00320033"/>
    <w:pPr>
      <w:spacing w:after="120"/>
      <w:ind w:left="1415"/>
      <w:contextualSpacing/>
    </w:pPr>
  </w:style>
  <w:style w:type="paragraph" w:styleId="ListNumber">
    <w:name w:val="List Number"/>
    <w:basedOn w:val="Normal"/>
    <w:uiPriority w:val="99"/>
    <w:semiHidden/>
    <w:unhideWhenUsed/>
    <w:rsid w:val="00320033"/>
    <w:pPr>
      <w:numPr>
        <w:numId w:val="12"/>
      </w:numPr>
      <w:contextualSpacing/>
    </w:pPr>
  </w:style>
  <w:style w:type="paragraph" w:styleId="ListNumber2">
    <w:name w:val="List Number 2"/>
    <w:basedOn w:val="Normal"/>
    <w:uiPriority w:val="99"/>
    <w:semiHidden/>
    <w:unhideWhenUsed/>
    <w:rsid w:val="00320033"/>
    <w:pPr>
      <w:numPr>
        <w:numId w:val="13"/>
      </w:numPr>
      <w:contextualSpacing/>
    </w:pPr>
  </w:style>
  <w:style w:type="paragraph" w:styleId="ListNumber3">
    <w:name w:val="List Number 3"/>
    <w:basedOn w:val="Normal"/>
    <w:uiPriority w:val="99"/>
    <w:semiHidden/>
    <w:unhideWhenUsed/>
    <w:rsid w:val="00320033"/>
    <w:pPr>
      <w:numPr>
        <w:numId w:val="14"/>
      </w:numPr>
      <w:contextualSpacing/>
    </w:pPr>
  </w:style>
  <w:style w:type="paragraph" w:styleId="ListNumber4">
    <w:name w:val="List Number 4"/>
    <w:basedOn w:val="Normal"/>
    <w:uiPriority w:val="99"/>
    <w:semiHidden/>
    <w:unhideWhenUsed/>
    <w:rsid w:val="00320033"/>
    <w:pPr>
      <w:numPr>
        <w:numId w:val="15"/>
      </w:numPr>
      <w:contextualSpacing/>
    </w:pPr>
  </w:style>
  <w:style w:type="paragraph" w:styleId="ListNumber5">
    <w:name w:val="List Number 5"/>
    <w:basedOn w:val="Normal"/>
    <w:uiPriority w:val="99"/>
    <w:semiHidden/>
    <w:unhideWhenUsed/>
    <w:rsid w:val="00320033"/>
    <w:pPr>
      <w:numPr>
        <w:numId w:val="16"/>
      </w:numPr>
      <w:contextualSpacing/>
    </w:pPr>
  </w:style>
  <w:style w:type="paragraph" w:styleId="MacroText">
    <w:name w:val="macro"/>
    <w:link w:val="MacroTextChar"/>
    <w:uiPriority w:val="99"/>
    <w:semiHidden/>
    <w:unhideWhenUsed/>
    <w:rsid w:val="00320033"/>
    <w:pPr>
      <w:widowControl w:val="0"/>
      <w:tabs>
        <w:tab w:val="left" w:pos="480"/>
        <w:tab w:val="left" w:pos="960"/>
        <w:tab w:val="left" w:pos="1440"/>
        <w:tab w:val="left" w:pos="1920"/>
        <w:tab w:val="left" w:pos="2400"/>
        <w:tab w:val="left" w:pos="2880"/>
        <w:tab w:val="left" w:pos="3360"/>
        <w:tab w:val="left" w:pos="3840"/>
        <w:tab w:val="left" w:pos="4320"/>
      </w:tabs>
      <w:wordWrap w:val="0"/>
      <w:autoSpaceDE w:val="0"/>
      <w:autoSpaceDN w:val="0"/>
      <w:spacing w:after="0"/>
    </w:pPr>
    <w:rPr>
      <w:rFonts w:ascii="Consolas" w:hAnsi="Consolas"/>
      <w:szCs w:val="20"/>
    </w:rPr>
  </w:style>
  <w:style w:type="character" w:customStyle="1" w:styleId="MacroTextChar">
    <w:name w:val="Macro Text Char"/>
    <w:basedOn w:val="DefaultParagraphFont"/>
    <w:link w:val="MacroText"/>
    <w:uiPriority w:val="99"/>
    <w:semiHidden/>
    <w:rsid w:val="00320033"/>
    <w:rPr>
      <w:rFonts w:ascii="Consolas" w:hAnsi="Consolas"/>
      <w:szCs w:val="20"/>
    </w:rPr>
  </w:style>
  <w:style w:type="paragraph" w:styleId="MessageHeader">
    <w:name w:val="Message Header"/>
    <w:basedOn w:val="Normal"/>
    <w:link w:val="MessageHeaderChar"/>
    <w:uiPriority w:val="99"/>
    <w:semiHidden/>
    <w:unhideWhenUsed/>
    <w:rsid w:val="00320033"/>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320033"/>
    <w:rPr>
      <w:rFonts w:asciiTheme="majorHAnsi" w:eastAsiaTheme="majorEastAsia" w:hAnsiTheme="majorHAnsi" w:cstheme="majorBidi"/>
      <w:sz w:val="24"/>
      <w:szCs w:val="24"/>
      <w:shd w:val="pct20" w:color="auto" w:fill="auto"/>
    </w:rPr>
  </w:style>
  <w:style w:type="paragraph" w:styleId="NoSpacing">
    <w:name w:val="No Spacing"/>
    <w:uiPriority w:val="1"/>
    <w:rsid w:val="00320033"/>
    <w:pPr>
      <w:widowControl w:val="0"/>
      <w:wordWrap w:val="0"/>
      <w:autoSpaceDE w:val="0"/>
      <w:autoSpaceDN w:val="0"/>
      <w:spacing w:after="0" w:line="240" w:lineRule="auto"/>
    </w:pPr>
  </w:style>
  <w:style w:type="paragraph" w:styleId="NormalWeb">
    <w:name w:val="Normal (Web)"/>
    <w:basedOn w:val="Normal"/>
    <w:uiPriority w:val="99"/>
    <w:semiHidden/>
    <w:unhideWhenUsed/>
    <w:rsid w:val="00320033"/>
    <w:rPr>
      <w:rFonts w:ascii="Times New Roman" w:hAnsi="Times New Roman" w:cs="Times New Roman"/>
      <w:sz w:val="24"/>
      <w:szCs w:val="24"/>
    </w:rPr>
  </w:style>
  <w:style w:type="paragraph" w:styleId="NormalIndent">
    <w:name w:val="Normal Indent"/>
    <w:basedOn w:val="Normal"/>
    <w:uiPriority w:val="99"/>
    <w:semiHidden/>
    <w:unhideWhenUsed/>
    <w:rsid w:val="00320033"/>
    <w:pPr>
      <w:ind w:left="720"/>
    </w:pPr>
  </w:style>
  <w:style w:type="paragraph" w:styleId="NoteHeading">
    <w:name w:val="Note Heading"/>
    <w:basedOn w:val="Normal"/>
    <w:next w:val="Normal"/>
    <w:link w:val="NoteHeadingChar"/>
    <w:uiPriority w:val="99"/>
    <w:semiHidden/>
    <w:unhideWhenUsed/>
    <w:rsid w:val="00320033"/>
    <w:pPr>
      <w:spacing w:after="0" w:line="240" w:lineRule="auto"/>
    </w:pPr>
  </w:style>
  <w:style w:type="character" w:customStyle="1" w:styleId="NoteHeadingChar">
    <w:name w:val="Note Heading Char"/>
    <w:basedOn w:val="DefaultParagraphFont"/>
    <w:link w:val="NoteHeading"/>
    <w:uiPriority w:val="99"/>
    <w:semiHidden/>
    <w:rsid w:val="00320033"/>
  </w:style>
  <w:style w:type="paragraph" w:styleId="PlainText">
    <w:name w:val="Plain Text"/>
    <w:basedOn w:val="Normal"/>
    <w:link w:val="PlainTextChar"/>
    <w:uiPriority w:val="99"/>
    <w:semiHidden/>
    <w:unhideWhenUsed/>
    <w:rsid w:val="00320033"/>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320033"/>
    <w:rPr>
      <w:rFonts w:ascii="Consolas" w:hAnsi="Consolas"/>
      <w:sz w:val="21"/>
      <w:szCs w:val="21"/>
    </w:rPr>
  </w:style>
  <w:style w:type="paragraph" w:styleId="Quote">
    <w:name w:val="Quote"/>
    <w:basedOn w:val="Normal"/>
    <w:next w:val="Normal"/>
    <w:link w:val="QuoteChar"/>
    <w:uiPriority w:val="29"/>
    <w:qFormat/>
    <w:rsid w:val="00320033"/>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320033"/>
    <w:rPr>
      <w:i/>
      <w:iCs/>
      <w:color w:val="404040" w:themeColor="text1" w:themeTint="BF"/>
    </w:rPr>
  </w:style>
  <w:style w:type="paragraph" w:styleId="Salutation">
    <w:name w:val="Salutation"/>
    <w:basedOn w:val="Normal"/>
    <w:next w:val="Normal"/>
    <w:link w:val="SalutationChar"/>
    <w:uiPriority w:val="99"/>
    <w:semiHidden/>
    <w:unhideWhenUsed/>
    <w:rsid w:val="00320033"/>
  </w:style>
  <w:style w:type="character" w:customStyle="1" w:styleId="SalutationChar">
    <w:name w:val="Salutation Char"/>
    <w:basedOn w:val="DefaultParagraphFont"/>
    <w:link w:val="Salutation"/>
    <w:uiPriority w:val="99"/>
    <w:semiHidden/>
    <w:rsid w:val="00320033"/>
  </w:style>
  <w:style w:type="paragraph" w:styleId="Signature">
    <w:name w:val="Signature"/>
    <w:basedOn w:val="Normal"/>
    <w:link w:val="SignatureChar"/>
    <w:uiPriority w:val="99"/>
    <w:semiHidden/>
    <w:unhideWhenUsed/>
    <w:rsid w:val="00320033"/>
    <w:pPr>
      <w:spacing w:after="0" w:line="240" w:lineRule="auto"/>
      <w:ind w:left="4252"/>
    </w:pPr>
  </w:style>
  <w:style w:type="character" w:customStyle="1" w:styleId="SignatureChar">
    <w:name w:val="Signature Char"/>
    <w:basedOn w:val="DefaultParagraphFont"/>
    <w:link w:val="Signature"/>
    <w:uiPriority w:val="99"/>
    <w:semiHidden/>
    <w:rsid w:val="00320033"/>
  </w:style>
  <w:style w:type="paragraph" w:styleId="Subtitle">
    <w:name w:val="Subtitle"/>
    <w:basedOn w:val="Normal"/>
    <w:next w:val="Normal"/>
    <w:link w:val="SubtitleChar"/>
    <w:uiPriority w:val="11"/>
    <w:qFormat/>
    <w:rsid w:val="00320033"/>
    <w:pPr>
      <w:numPr>
        <w:ilvl w:val="1"/>
      </w:numPr>
    </w:pPr>
    <w:rPr>
      <w:color w:val="5A5A5A" w:themeColor="text1" w:themeTint="A5"/>
      <w:spacing w:val="15"/>
      <w:sz w:val="22"/>
    </w:rPr>
  </w:style>
  <w:style w:type="character" w:customStyle="1" w:styleId="SubtitleChar">
    <w:name w:val="Subtitle Char"/>
    <w:basedOn w:val="DefaultParagraphFont"/>
    <w:link w:val="Subtitle"/>
    <w:uiPriority w:val="11"/>
    <w:rsid w:val="00320033"/>
    <w:rPr>
      <w:color w:val="5A5A5A" w:themeColor="text1" w:themeTint="A5"/>
      <w:spacing w:val="15"/>
      <w:sz w:val="22"/>
    </w:rPr>
  </w:style>
  <w:style w:type="paragraph" w:styleId="TableofAuthorities">
    <w:name w:val="table of authorities"/>
    <w:basedOn w:val="Normal"/>
    <w:next w:val="Normal"/>
    <w:uiPriority w:val="99"/>
    <w:semiHidden/>
    <w:unhideWhenUsed/>
    <w:rsid w:val="00320033"/>
    <w:pPr>
      <w:spacing w:after="0"/>
      <w:ind w:left="200" w:hanging="200"/>
    </w:pPr>
  </w:style>
  <w:style w:type="paragraph" w:styleId="TableofFigures">
    <w:name w:val="table of figures"/>
    <w:basedOn w:val="Normal"/>
    <w:next w:val="Normal"/>
    <w:uiPriority w:val="99"/>
    <w:semiHidden/>
    <w:unhideWhenUsed/>
    <w:rsid w:val="00320033"/>
    <w:pPr>
      <w:spacing w:after="0"/>
    </w:pPr>
  </w:style>
  <w:style w:type="paragraph" w:styleId="TOAHeading">
    <w:name w:val="toa heading"/>
    <w:basedOn w:val="Normal"/>
    <w:next w:val="Normal"/>
    <w:uiPriority w:val="99"/>
    <w:semiHidden/>
    <w:unhideWhenUsed/>
    <w:rsid w:val="00320033"/>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uiPriority w:val="39"/>
    <w:semiHidden/>
    <w:unhideWhenUsed/>
    <w:rsid w:val="00320033"/>
    <w:pPr>
      <w:spacing w:after="100"/>
    </w:pPr>
  </w:style>
  <w:style w:type="paragraph" w:styleId="TOC2">
    <w:name w:val="toc 2"/>
    <w:basedOn w:val="Normal"/>
    <w:next w:val="Normal"/>
    <w:autoRedefine/>
    <w:uiPriority w:val="39"/>
    <w:semiHidden/>
    <w:unhideWhenUsed/>
    <w:rsid w:val="00320033"/>
    <w:pPr>
      <w:spacing w:after="100"/>
      <w:ind w:left="200"/>
    </w:pPr>
  </w:style>
  <w:style w:type="paragraph" w:styleId="TOC3">
    <w:name w:val="toc 3"/>
    <w:basedOn w:val="Normal"/>
    <w:next w:val="Normal"/>
    <w:autoRedefine/>
    <w:uiPriority w:val="39"/>
    <w:semiHidden/>
    <w:unhideWhenUsed/>
    <w:rsid w:val="00320033"/>
    <w:pPr>
      <w:spacing w:after="100"/>
      <w:ind w:left="400"/>
    </w:pPr>
  </w:style>
  <w:style w:type="paragraph" w:styleId="TOC4">
    <w:name w:val="toc 4"/>
    <w:basedOn w:val="Normal"/>
    <w:next w:val="Normal"/>
    <w:autoRedefine/>
    <w:uiPriority w:val="39"/>
    <w:semiHidden/>
    <w:unhideWhenUsed/>
    <w:rsid w:val="00320033"/>
    <w:pPr>
      <w:spacing w:after="100"/>
      <w:ind w:left="600"/>
    </w:pPr>
  </w:style>
  <w:style w:type="paragraph" w:styleId="TOC5">
    <w:name w:val="toc 5"/>
    <w:basedOn w:val="Normal"/>
    <w:next w:val="Normal"/>
    <w:autoRedefine/>
    <w:uiPriority w:val="39"/>
    <w:semiHidden/>
    <w:unhideWhenUsed/>
    <w:rsid w:val="00320033"/>
    <w:pPr>
      <w:spacing w:after="100"/>
      <w:ind w:left="800"/>
    </w:pPr>
  </w:style>
  <w:style w:type="paragraph" w:styleId="TOC6">
    <w:name w:val="toc 6"/>
    <w:basedOn w:val="Normal"/>
    <w:next w:val="Normal"/>
    <w:autoRedefine/>
    <w:uiPriority w:val="39"/>
    <w:semiHidden/>
    <w:unhideWhenUsed/>
    <w:rsid w:val="00320033"/>
    <w:pPr>
      <w:spacing w:after="100"/>
      <w:ind w:left="1000"/>
    </w:pPr>
  </w:style>
  <w:style w:type="paragraph" w:styleId="TOC7">
    <w:name w:val="toc 7"/>
    <w:basedOn w:val="Normal"/>
    <w:next w:val="Normal"/>
    <w:autoRedefine/>
    <w:uiPriority w:val="39"/>
    <w:semiHidden/>
    <w:unhideWhenUsed/>
    <w:rsid w:val="00320033"/>
    <w:pPr>
      <w:spacing w:after="100"/>
      <w:ind w:left="1200"/>
    </w:pPr>
  </w:style>
  <w:style w:type="paragraph" w:styleId="TOC8">
    <w:name w:val="toc 8"/>
    <w:basedOn w:val="Normal"/>
    <w:next w:val="Normal"/>
    <w:autoRedefine/>
    <w:uiPriority w:val="39"/>
    <w:semiHidden/>
    <w:unhideWhenUsed/>
    <w:rsid w:val="00320033"/>
    <w:pPr>
      <w:spacing w:after="100"/>
      <w:ind w:left="1400"/>
    </w:pPr>
  </w:style>
  <w:style w:type="paragraph" w:styleId="TOC9">
    <w:name w:val="toc 9"/>
    <w:basedOn w:val="Normal"/>
    <w:next w:val="Normal"/>
    <w:autoRedefine/>
    <w:uiPriority w:val="39"/>
    <w:semiHidden/>
    <w:unhideWhenUsed/>
    <w:rsid w:val="00320033"/>
    <w:pPr>
      <w:spacing w:after="100"/>
      <w:ind w:left="1600"/>
    </w:pPr>
  </w:style>
  <w:style w:type="paragraph" w:styleId="TOCHeading">
    <w:name w:val="TOC Heading"/>
    <w:basedOn w:val="Heading1"/>
    <w:next w:val="Normal"/>
    <w:uiPriority w:val="39"/>
    <w:semiHidden/>
    <w:unhideWhenUsed/>
    <w:qFormat/>
    <w:rsid w:val="00320033"/>
    <w:pPr>
      <w:keepNext/>
      <w:keepLines/>
      <w:spacing w:before="240" w:after="0" w:line="259" w:lineRule="auto"/>
      <w:jc w:val="both"/>
      <w:outlineLvl w:val="9"/>
    </w:pPr>
    <w:rPr>
      <w:rFonts w:asciiTheme="majorHAnsi" w:eastAsiaTheme="majorEastAsia" w:hAnsiTheme="majorHAnsi" w:cstheme="majorBidi"/>
      <w:b w:val="0"/>
      <w:bCs w:val="0"/>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5410050">
      <w:bodyDiv w:val="1"/>
      <w:marLeft w:val="0"/>
      <w:marRight w:val="0"/>
      <w:marTop w:val="0"/>
      <w:marBottom w:val="0"/>
      <w:divBdr>
        <w:top w:val="none" w:sz="0" w:space="0" w:color="auto"/>
        <w:left w:val="none" w:sz="0" w:space="0" w:color="auto"/>
        <w:bottom w:val="none" w:sz="0" w:space="0" w:color="auto"/>
        <w:right w:val="none" w:sz="0" w:space="0" w:color="auto"/>
      </w:divBdr>
    </w:div>
    <w:div w:id="1802503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vid19.trackvaccines.org/agency/who/" TargetMode="Externa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hyperlink" Target="mailto:shinji@yuhs.ac" TargetMode="Externa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10" Type="http://schemas.openxmlformats.org/officeDocument/2006/relationships/image" Target="media/image1.emf"/><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hyperlink" Target="https://covid19.trackvaccines.org/agency/who/" TargetMode="External"/><Relationship Id="rId14" Type="http://schemas.openxmlformats.org/officeDocument/2006/relationships/image" Target="media/image5.png"/><Relationship Id="rId22" Type="http://schemas.openxmlformats.org/officeDocument/2006/relationships/image" Target="media/image13.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58</Pages>
  <Words>10067</Words>
  <Characters>56866</Characters>
  <Application>Microsoft Office Word</Application>
  <DocSecurity>0</DocSecurity>
  <Lines>3077</Lines>
  <Paragraphs>1590</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65778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조규연</dc:creator>
  <cp:keywords/>
  <dc:description/>
  <cp:lastModifiedBy>Blanshard, Lisa</cp:lastModifiedBy>
  <cp:revision>5</cp:revision>
  <cp:lastPrinted>2022-05-05T07:23:00Z</cp:lastPrinted>
  <dcterms:created xsi:type="dcterms:W3CDTF">2022-05-04T06:47:00Z</dcterms:created>
  <dcterms:modified xsi:type="dcterms:W3CDTF">2022-05-05T07:25:00Z</dcterms:modified>
</cp:coreProperties>
</file>