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03DE4" w14:textId="072CDFF3" w:rsidR="0044206C" w:rsidRPr="00675E88" w:rsidRDefault="00057941" w:rsidP="00675E88">
      <w:pPr>
        <w:rPr>
          <w:rFonts w:ascii="Garamond" w:eastAsia="Times New Roman" w:hAnsi="Garamond" w:cs="Courier New"/>
          <w:color w:val="000000"/>
        </w:rPr>
      </w:pPr>
      <w:bookmarkStart w:id="0" w:name="_GoBack"/>
      <w:bookmarkEnd w:id="0"/>
      <w:r w:rsidRPr="00675E88">
        <w:rPr>
          <w:rFonts w:ascii="Garamond" w:eastAsia="Times New Roman" w:hAnsi="Garamond" w:cs="Courier New"/>
          <w:color w:val="000000"/>
        </w:rPr>
        <w:br/>
      </w:r>
      <w:r w:rsidRPr="00675E88">
        <w:rPr>
          <w:rFonts w:ascii="Garamond" w:eastAsia="Times New Roman" w:hAnsi="Garamond" w:cs="Courier New"/>
          <w:color w:val="000000"/>
        </w:rPr>
        <w:br/>
      </w:r>
      <w:r w:rsidR="00DF0DDE" w:rsidRPr="00675E88">
        <w:rPr>
          <w:rFonts w:ascii="Garamond" w:eastAsia="Times New Roman" w:hAnsi="Garamond" w:cs="Courier New"/>
          <w:b/>
          <w:color w:val="000000"/>
        </w:rPr>
        <w:t xml:space="preserve">Rejection </w:t>
      </w:r>
      <w:r w:rsidR="00881537" w:rsidRPr="00675E88">
        <w:rPr>
          <w:rFonts w:ascii="Garamond" w:eastAsia="Times New Roman" w:hAnsi="Garamond" w:cs="Courier New"/>
          <w:b/>
          <w:color w:val="000000"/>
        </w:rPr>
        <w:t xml:space="preserve">and Suicide </w:t>
      </w:r>
      <w:r w:rsidR="00DF0DDE" w:rsidRPr="00675E88">
        <w:rPr>
          <w:rFonts w:ascii="Garamond" w:eastAsia="Times New Roman" w:hAnsi="Garamond" w:cs="Courier New"/>
          <w:b/>
          <w:color w:val="000000"/>
        </w:rPr>
        <w:t xml:space="preserve">in Byron’s </w:t>
      </w:r>
      <w:r w:rsidR="00DF0DDE" w:rsidRPr="00675E88">
        <w:rPr>
          <w:rFonts w:ascii="Garamond" w:eastAsia="Times New Roman" w:hAnsi="Garamond" w:cs="Courier New"/>
          <w:b/>
          <w:i/>
          <w:color w:val="000000"/>
        </w:rPr>
        <w:t xml:space="preserve">Deformed Transformed </w:t>
      </w:r>
      <w:r w:rsidR="00DF0DDE" w:rsidRPr="00675E88">
        <w:rPr>
          <w:rFonts w:ascii="Garamond" w:eastAsia="Times New Roman" w:hAnsi="Garamond" w:cs="Courier New"/>
          <w:b/>
          <w:color w:val="000000"/>
        </w:rPr>
        <w:t xml:space="preserve">and Hogg’s </w:t>
      </w:r>
      <w:r w:rsidR="00DF0DDE" w:rsidRPr="00675E88">
        <w:rPr>
          <w:rFonts w:ascii="Garamond" w:eastAsia="Times New Roman" w:hAnsi="Garamond" w:cs="Courier New"/>
          <w:b/>
          <w:i/>
          <w:color w:val="000000"/>
        </w:rPr>
        <w:t>Confessions</w:t>
      </w:r>
    </w:p>
    <w:p w14:paraId="000C9C42" w14:textId="77777777" w:rsidR="00DF0DDE" w:rsidRPr="00675E88" w:rsidRDefault="00DF0DDE" w:rsidP="00057941">
      <w:pPr>
        <w:rPr>
          <w:rFonts w:ascii="Garamond" w:hAnsi="Garamond"/>
        </w:rPr>
      </w:pPr>
    </w:p>
    <w:p w14:paraId="356C53A1" w14:textId="53933C06" w:rsidR="00675E88" w:rsidRPr="00675E88" w:rsidRDefault="00DF0DDE" w:rsidP="00057941">
      <w:pPr>
        <w:rPr>
          <w:rFonts w:ascii="Garamond" w:hAnsi="Garamond"/>
        </w:rPr>
      </w:pPr>
      <w:r w:rsidRPr="00675E88">
        <w:rPr>
          <w:rFonts w:ascii="Garamond" w:hAnsi="Garamond"/>
        </w:rPr>
        <w:t xml:space="preserve">As Oscar Wilde states: </w:t>
      </w:r>
      <w:r w:rsidR="00881537" w:rsidRPr="00675E88">
        <w:rPr>
          <w:rFonts w:ascii="Garamond" w:hAnsi="Garamond"/>
        </w:rPr>
        <w:t>‘</w:t>
      </w:r>
      <w:r w:rsidR="00C751DF" w:rsidRPr="00675E88">
        <w:rPr>
          <w:rFonts w:ascii="Garamond" w:hAnsi="Garamond"/>
        </w:rPr>
        <w:t>Poets, you know, are always ahead of science</w:t>
      </w:r>
      <w:r w:rsidR="00881537" w:rsidRPr="00675E88">
        <w:rPr>
          <w:rFonts w:ascii="Garamond" w:hAnsi="Garamond"/>
        </w:rPr>
        <w:t>’.</w:t>
      </w:r>
      <w:r w:rsidR="00867A08">
        <w:rPr>
          <w:rStyle w:val="FootnoteReference"/>
          <w:rFonts w:ascii="Garamond" w:hAnsi="Garamond"/>
        </w:rPr>
        <w:footnoteReference w:id="1"/>
      </w:r>
      <w:r w:rsidRPr="00675E88">
        <w:rPr>
          <w:rFonts w:ascii="Garamond" w:hAnsi="Garamond"/>
        </w:rPr>
        <w:t xml:space="preserve"> </w:t>
      </w:r>
      <w:r w:rsidR="00C751DF" w:rsidRPr="00675E88">
        <w:rPr>
          <w:rFonts w:ascii="Garamond" w:hAnsi="Garamond" w:cs="Times New Roman"/>
        </w:rPr>
        <w:t xml:space="preserve">Recent </w:t>
      </w:r>
      <w:r w:rsidRPr="00675E88">
        <w:rPr>
          <w:rFonts w:ascii="Garamond" w:hAnsi="Garamond" w:cs="Times New Roman"/>
        </w:rPr>
        <w:t xml:space="preserve">scientific </w:t>
      </w:r>
      <w:r w:rsidR="00C751DF" w:rsidRPr="00675E88">
        <w:rPr>
          <w:rFonts w:ascii="Garamond" w:hAnsi="Garamond" w:cs="Times New Roman"/>
        </w:rPr>
        <w:t xml:space="preserve">research </w:t>
      </w:r>
      <w:r w:rsidRPr="00675E88">
        <w:rPr>
          <w:rFonts w:ascii="Garamond" w:hAnsi="Garamond" w:cs="Times New Roman"/>
        </w:rPr>
        <w:t xml:space="preserve">concurs with behaviours that </w:t>
      </w:r>
      <w:r w:rsidR="00867A08">
        <w:rPr>
          <w:rFonts w:ascii="Garamond" w:hAnsi="Garamond" w:cs="Times New Roman"/>
        </w:rPr>
        <w:t xml:space="preserve">Lord </w:t>
      </w:r>
      <w:r w:rsidR="00C751DF" w:rsidRPr="00675E88">
        <w:rPr>
          <w:rFonts w:ascii="Garamond" w:hAnsi="Garamond" w:cs="Times New Roman"/>
        </w:rPr>
        <w:t xml:space="preserve">Byron’s and </w:t>
      </w:r>
      <w:r w:rsidR="00867A08">
        <w:rPr>
          <w:rFonts w:ascii="Garamond" w:hAnsi="Garamond" w:cs="Times New Roman"/>
        </w:rPr>
        <w:t xml:space="preserve">James </w:t>
      </w:r>
      <w:r w:rsidR="00C751DF" w:rsidRPr="00675E88">
        <w:rPr>
          <w:rFonts w:ascii="Garamond" w:hAnsi="Garamond" w:cs="Times New Roman"/>
        </w:rPr>
        <w:t>Hogg’s characters portray after suffering parental rejection and abuse. Martin H. Teicher</w:t>
      </w:r>
      <w:r w:rsidR="00881537" w:rsidRPr="00675E88">
        <w:rPr>
          <w:rFonts w:ascii="Garamond" w:hAnsi="Garamond" w:cs="Times New Roman"/>
        </w:rPr>
        <w:t>,</w:t>
      </w:r>
      <w:r w:rsidR="00C751DF" w:rsidRPr="00675E88">
        <w:rPr>
          <w:rFonts w:ascii="Garamond" w:hAnsi="Garamond" w:cs="Times New Roman"/>
        </w:rPr>
        <w:t xml:space="preserve"> Carl M. Anderson and Ann Polcari write that </w:t>
      </w:r>
      <w:r w:rsidR="00675E88">
        <w:rPr>
          <w:rFonts w:ascii="Garamond" w:hAnsi="Garamond" w:cs="Times New Roman"/>
        </w:rPr>
        <w:t>‘</w:t>
      </w:r>
      <w:r w:rsidR="00C751DF" w:rsidRPr="00675E88">
        <w:rPr>
          <w:rFonts w:ascii="Garamond" w:hAnsi="Garamond"/>
        </w:rPr>
        <w:t>the Adverse Childhood Experience (ACE) study identified maltreatment as the leading preventable cause of major mental illness […] episodes of depression, addiction to illicit drugs, and suicide attempts</w:t>
      </w:r>
      <w:r w:rsidR="00675E88">
        <w:rPr>
          <w:rFonts w:ascii="Garamond" w:hAnsi="Garamond"/>
        </w:rPr>
        <w:t>’</w:t>
      </w:r>
      <w:r w:rsidRPr="00675E88">
        <w:rPr>
          <w:rFonts w:ascii="Garamond" w:hAnsi="Garamond"/>
        </w:rPr>
        <w:t>.</w:t>
      </w:r>
      <w:r w:rsidRPr="00675E88">
        <w:rPr>
          <w:rStyle w:val="FootnoteReference"/>
          <w:rFonts w:ascii="Garamond" w:hAnsi="Garamond"/>
        </w:rPr>
        <w:footnoteReference w:id="2"/>
      </w:r>
      <w:r w:rsidR="00675E88">
        <w:rPr>
          <w:rFonts w:ascii="Garamond" w:hAnsi="Garamond"/>
        </w:rPr>
        <w:t xml:space="preserve"> </w:t>
      </w:r>
      <w:r w:rsidR="00C751DF" w:rsidRPr="00675E88">
        <w:rPr>
          <w:rFonts w:ascii="Garamond" w:hAnsi="Garamond" w:cs="Times New Roman"/>
          <w:i/>
        </w:rPr>
        <w:t xml:space="preserve">The Lancet </w:t>
      </w:r>
      <w:r w:rsidR="00C751DF" w:rsidRPr="00675E88">
        <w:rPr>
          <w:rFonts w:ascii="Garamond" w:hAnsi="Garamond" w:cs="Times New Roman"/>
        </w:rPr>
        <w:t>states that “severe psychological abuse in childhood” might lead to “social difficulties, aggression, mental health problems, self-harm, and attempted suicide.”</w:t>
      </w:r>
      <w:r w:rsidR="00867A08">
        <w:rPr>
          <w:rStyle w:val="FootnoteReference"/>
          <w:rFonts w:ascii="Garamond" w:hAnsi="Garamond" w:cs="Times New Roman"/>
        </w:rPr>
        <w:footnoteReference w:id="3"/>
      </w:r>
      <w:r w:rsidR="00C751DF" w:rsidRPr="00675E88">
        <w:rPr>
          <w:rFonts w:ascii="Garamond" w:hAnsi="Garamond" w:cs="Times New Roman"/>
        </w:rPr>
        <w:t xml:space="preserve"> The notion that </w:t>
      </w:r>
      <w:r w:rsidR="00881537" w:rsidRPr="00675E88">
        <w:rPr>
          <w:rFonts w:ascii="Garamond" w:hAnsi="Garamond"/>
        </w:rPr>
        <w:t>rejection and abuse</w:t>
      </w:r>
      <w:r w:rsidR="00675E88">
        <w:rPr>
          <w:rFonts w:ascii="Garamond" w:hAnsi="Garamond"/>
        </w:rPr>
        <w:t xml:space="preserve"> </w:t>
      </w:r>
      <w:r w:rsidR="00881537" w:rsidRPr="00675E88">
        <w:rPr>
          <w:rFonts w:ascii="Garamond" w:hAnsi="Garamond"/>
        </w:rPr>
        <w:t>can cause mental illness, self-hatred</w:t>
      </w:r>
      <w:r w:rsidR="00867A08">
        <w:rPr>
          <w:rFonts w:ascii="Garamond" w:hAnsi="Garamond"/>
        </w:rPr>
        <w:t>,</w:t>
      </w:r>
      <w:r w:rsidR="00881537" w:rsidRPr="00675E88">
        <w:rPr>
          <w:rFonts w:ascii="Garamond" w:hAnsi="Garamond"/>
        </w:rPr>
        <w:t xml:space="preserve"> and suicide</w:t>
      </w:r>
      <w:r w:rsidR="00867A08">
        <w:rPr>
          <w:rFonts w:ascii="Garamond" w:hAnsi="Garamond"/>
        </w:rPr>
        <w:t>,</w:t>
      </w:r>
      <w:r w:rsidR="00881537" w:rsidRPr="00675E88">
        <w:rPr>
          <w:rFonts w:ascii="Garamond" w:eastAsia="Times New Roman" w:hAnsi="Garamond" w:cs="Courier New"/>
          <w:color w:val="000000"/>
        </w:rPr>
        <w:t xml:space="preserve"> </w:t>
      </w:r>
      <w:r w:rsidR="00881537" w:rsidRPr="00675E88">
        <w:rPr>
          <w:rFonts w:ascii="Garamond" w:hAnsi="Garamond" w:cs="Times New Roman"/>
        </w:rPr>
        <w:t xml:space="preserve">was something </w:t>
      </w:r>
      <w:r w:rsidR="00C751DF" w:rsidRPr="00675E88">
        <w:rPr>
          <w:rFonts w:ascii="Garamond" w:hAnsi="Garamond" w:cs="Times New Roman"/>
        </w:rPr>
        <w:t xml:space="preserve">realized </w:t>
      </w:r>
      <w:r w:rsidR="00675E88" w:rsidRPr="00675E88">
        <w:rPr>
          <w:rFonts w:ascii="Garamond" w:hAnsi="Garamond" w:cs="Times New Roman"/>
        </w:rPr>
        <w:t xml:space="preserve">by Hogg and Byron </w:t>
      </w:r>
      <w:r w:rsidR="00C751DF" w:rsidRPr="00675E88">
        <w:rPr>
          <w:rFonts w:ascii="Garamond" w:hAnsi="Garamond" w:cs="Times New Roman"/>
        </w:rPr>
        <w:t xml:space="preserve">200 years </w:t>
      </w:r>
      <w:r w:rsidR="00675E88">
        <w:rPr>
          <w:rFonts w:ascii="Garamond" w:hAnsi="Garamond" w:cs="Times New Roman"/>
        </w:rPr>
        <w:t>earlier.</w:t>
      </w:r>
    </w:p>
    <w:p w14:paraId="5D3374D8" w14:textId="22691C38" w:rsidR="00C751DF" w:rsidRPr="00675E88" w:rsidRDefault="00C751DF" w:rsidP="00057941">
      <w:pPr>
        <w:rPr>
          <w:rFonts w:ascii="Garamond" w:eastAsia="Times New Roman" w:hAnsi="Garamond" w:cs="Courier New"/>
          <w:color w:val="000000"/>
        </w:rPr>
      </w:pPr>
      <w:r w:rsidRPr="00675E88">
        <w:rPr>
          <w:rFonts w:ascii="Garamond" w:hAnsi="Garamond" w:cs="Times New Roman"/>
        </w:rPr>
        <w:t xml:space="preserve"> </w:t>
      </w:r>
    </w:p>
    <w:p w14:paraId="0E97DB2E" w14:textId="77777777" w:rsidR="00867A08" w:rsidRDefault="0044206C" w:rsidP="00675E88">
      <w:pPr>
        <w:pStyle w:val="BodyText"/>
        <w:spacing w:line="240" w:lineRule="auto"/>
        <w:ind w:left="0"/>
        <w:rPr>
          <w:rFonts w:ascii="Garamond" w:hAnsi="Garamond"/>
          <w:sz w:val="24"/>
          <w:szCs w:val="24"/>
        </w:rPr>
      </w:pPr>
      <w:r w:rsidRPr="00675E88">
        <w:rPr>
          <w:rFonts w:ascii="Garamond" w:hAnsi="Garamond" w:cs="Courier New"/>
          <w:color w:val="000000"/>
          <w:sz w:val="24"/>
          <w:szCs w:val="24"/>
        </w:rPr>
        <w:t xml:space="preserve">In a letter to </w:t>
      </w:r>
      <w:r w:rsidR="00675E88">
        <w:rPr>
          <w:rFonts w:ascii="Garamond" w:hAnsi="Garamond" w:cs="Courier New"/>
          <w:color w:val="000000"/>
          <w:sz w:val="24"/>
          <w:szCs w:val="24"/>
        </w:rPr>
        <w:t>L</w:t>
      </w:r>
      <w:r w:rsidRPr="00675E88">
        <w:rPr>
          <w:rFonts w:ascii="Garamond" w:hAnsi="Garamond" w:cs="Courier New"/>
          <w:color w:val="000000"/>
          <w:sz w:val="24"/>
          <w:szCs w:val="24"/>
        </w:rPr>
        <w:t xml:space="preserve">ady Byron on the ‘shocking’ abuse of Byron by his nurse May Gray, </w:t>
      </w:r>
      <w:r w:rsidR="00867A08">
        <w:rPr>
          <w:rFonts w:ascii="Garamond" w:hAnsi="Garamond" w:cs="Courier New"/>
          <w:color w:val="000000"/>
          <w:sz w:val="24"/>
          <w:szCs w:val="24"/>
        </w:rPr>
        <w:t xml:space="preserve">her solicitor, </w:t>
      </w:r>
      <w:r w:rsidRPr="00675E88">
        <w:rPr>
          <w:rFonts w:ascii="Garamond" w:hAnsi="Garamond" w:cs="Courier New"/>
          <w:color w:val="000000"/>
          <w:sz w:val="24"/>
          <w:szCs w:val="24"/>
        </w:rPr>
        <w:t>John Hanson</w:t>
      </w:r>
      <w:r w:rsidR="00867A08">
        <w:rPr>
          <w:rFonts w:ascii="Garamond" w:hAnsi="Garamond" w:cs="Courier New"/>
          <w:color w:val="000000"/>
          <w:sz w:val="24"/>
          <w:szCs w:val="24"/>
        </w:rPr>
        <w:t xml:space="preserve">, </w:t>
      </w:r>
      <w:r w:rsidRPr="00675E88">
        <w:rPr>
          <w:rFonts w:ascii="Garamond" w:hAnsi="Garamond" w:cs="Courier New"/>
          <w:color w:val="000000"/>
          <w:sz w:val="24"/>
          <w:szCs w:val="24"/>
        </w:rPr>
        <w:t xml:space="preserve">remarks that </w:t>
      </w:r>
      <w:r w:rsidRPr="00675E88">
        <w:rPr>
          <w:rFonts w:ascii="Garamond" w:hAnsi="Garamond"/>
          <w:sz w:val="24"/>
          <w:szCs w:val="24"/>
        </w:rPr>
        <w:t xml:space="preserve">this ‘honourable’ child would ‘forgo the satisfaction of seeing’ his mother again if it meant meeting Gray another time. </w:t>
      </w:r>
      <w:r w:rsidR="00675E88" w:rsidRPr="00675E88">
        <w:rPr>
          <w:rFonts w:ascii="Garamond" w:hAnsi="Garamond"/>
          <w:sz w:val="24"/>
          <w:szCs w:val="24"/>
        </w:rPr>
        <w:t>Byron</w:t>
      </w:r>
      <w:r w:rsidRPr="00675E88">
        <w:rPr>
          <w:rFonts w:ascii="Garamond" w:hAnsi="Garamond"/>
          <w:sz w:val="24"/>
          <w:szCs w:val="24"/>
        </w:rPr>
        <w:t xml:space="preserve"> link</w:t>
      </w:r>
      <w:r w:rsidR="00675E88" w:rsidRPr="00675E88">
        <w:rPr>
          <w:rFonts w:ascii="Garamond" w:hAnsi="Garamond"/>
          <w:sz w:val="24"/>
          <w:szCs w:val="24"/>
        </w:rPr>
        <w:t>s</w:t>
      </w:r>
      <w:r w:rsidRPr="00675E88">
        <w:rPr>
          <w:rFonts w:ascii="Garamond" w:hAnsi="Garamond"/>
          <w:sz w:val="24"/>
          <w:szCs w:val="24"/>
        </w:rPr>
        <w:t xml:space="preserve"> </w:t>
      </w:r>
      <w:r w:rsidR="00867A08">
        <w:rPr>
          <w:rFonts w:ascii="Garamond" w:hAnsi="Garamond"/>
          <w:sz w:val="24"/>
          <w:szCs w:val="24"/>
        </w:rPr>
        <w:t xml:space="preserve">his </w:t>
      </w:r>
      <w:r w:rsidRPr="00675E88">
        <w:rPr>
          <w:rFonts w:ascii="Garamond" w:hAnsi="Garamond"/>
          <w:sz w:val="24"/>
          <w:szCs w:val="24"/>
        </w:rPr>
        <w:t xml:space="preserve">two </w:t>
      </w:r>
      <w:r w:rsidR="00867A08">
        <w:rPr>
          <w:rFonts w:ascii="Garamond" w:hAnsi="Garamond"/>
          <w:sz w:val="24"/>
          <w:szCs w:val="24"/>
        </w:rPr>
        <w:t>guardians</w:t>
      </w:r>
      <w:r w:rsidRPr="00675E88">
        <w:rPr>
          <w:rFonts w:ascii="Garamond" w:hAnsi="Garamond"/>
          <w:sz w:val="24"/>
          <w:szCs w:val="24"/>
        </w:rPr>
        <w:t xml:space="preserve"> as abusers</w:t>
      </w:r>
      <w:r w:rsidR="00867A08">
        <w:rPr>
          <w:rFonts w:ascii="Garamond" w:hAnsi="Garamond"/>
          <w:sz w:val="24"/>
          <w:szCs w:val="24"/>
        </w:rPr>
        <w:t>. T</w:t>
      </w:r>
      <w:r w:rsidR="00675E88">
        <w:rPr>
          <w:rFonts w:ascii="Garamond" w:hAnsi="Garamond"/>
          <w:sz w:val="24"/>
          <w:szCs w:val="24"/>
        </w:rPr>
        <w:t xml:space="preserve">he </w:t>
      </w:r>
      <w:r w:rsidRPr="00675E88">
        <w:rPr>
          <w:rFonts w:ascii="Garamond" w:hAnsi="Garamond"/>
          <w:sz w:val="24"/>
          <w:szCs w:val="24"/>
        </w:rPr>
        <w:t>theme of parent</w:t>
      </w:r>
      <w:r w:rsidR="00867A08">
        <w:rPr>
          <w:rFonts w:ascii="Garamond" w:hAnsi="Garamond"/>
          <w:sz w:val="24"/>
          <w:szCs w:val="24"/>
        </w:rPr>
        <w:t>s</w:t>
      </w:r>
      <w:r w:rsidRPr="00675E88">
        <w:rPr>
          <w:rFonts w:ascii="Garamond" w:hAnsi="Garamond"/>
          <w:sz w:val="24"/>
          <w:szCs w:val="24"/>
        </w:rPr>
        <w:t xml:space="preserve"> abusing </w:t>
      </w:r>
      <w:r w:rsidR="00867A08">
        <w:rPr>
          <w:rFonts w:ascii="Garamond" w:hAnsi="Garamond"/>
          <w:sz w:val="24"/>
          <w:szCs w:val="24"/>
        </w:rPr>
        <w:t>children</w:t>
      </w:r>
      <w:r w:rsidRPr="00675E88">
        <w:rPr>
          <w:rFonts w:ascii="Garamond" w:hAnsi="Garamond"/>
          <w:sz w:val="24"/>
          <w:szCs w:val="24"/>
        </w:rPr>
        <w:t xml:space="preserve"> is something that Byron would return to in his work. </w:t>
      </w:r>
    </w:p>
    <w:p w14:paraId="52303CA6" w14:textId="77777777" w:rsidR="00867A08" w:rsidRDefault="00867A08" w:rsidP="00675E88">
      <w:pPr>
        <w:pStyle w:val="BodyText"/>
        <w:spacing w:line="240" w:lineRule="auto"/>
        <w:ind w:left="0"/>
        <w:rPr>
          <w:rFonts w:ascii="Garamond" w:hAnsi="Garamond"/>
          <w:sz w:val="24"/>
          <w:szCs w:val="24"/>
        </w:rPr>
      </w:pPr>
    </w:p>
    <w:p w14:paraId="7048CDDF" w14:textId="0A109998" w:rsidR="0044206C" w:rsidRDefault="00DF0DDE" w:rsidP="00675E88">
      <w:pPr>
        <w:pStyle w:val="BodyText"/>
        <w:spacing w:line="240" w:lineRule="auto"/>
        <w:ind w:left="0"/>
        <w:rPr>
          <w:rFonts w:ascii="Garamond" w:hAnsi="Garamond"/>
          <w:sz w:val="24"/>
          <w:szCs w:val="24"/>
        </w:rPr>
      </w:pPr>
      <w:r w:rsidRPr="00675E88">
        <w:rPr>
          <w:rFonts w:ascii="Garamond" w:hAnsi="Garamond"/>
          <w:sz w:val="24"/>
          <w:szCs w:val="24"/>
        </w:rPr>
        <w:t xml:space="preserve">This paper </w:t>
      </w:r>
      <w:r w:rsidR="00881537" w:rsidRPr="00675E88">
        <w:rPr>
          <w:rFonts w:ascii="Garamond" w:hAnsi="Garamond"/>
          <w:sz w:val="24"/>
          <w:szCs w:val="24"/>
        </w:rPr>
        <w:t xml:space="preserve">mainly </w:t>
      </w:r>
      <w:r w:rsidR="0044206C" w:rsidRPr="00675E88">
        <w:rPr>
          <w:rFonts w:ascii="Garamond" w:hAnsi="Garamond"/>
          <w:sz w:val="24"/>
          <w:szCs w:val="24"/>
        </w:rPr>
        <w:t xml:space="preserve">concentrates on Byron’s unfinished, and least studied drama, </w:t>
      </w:r>
      <w:r w:rsidR="0044206C" w:rsidRPr="00675E88">
        <w:rPr>
          <w:rFonts w:ascii="Garamond" w:hAnsi="Garamond"/>
          <w:i/>
          <w:sz w:val="24"/>
          <w:szCs w:val="24"/>
        </w:rPr>
        <w:t>The Deformed Transformed</w:t>
      </w:r>
      <w:r w:rsidR="00881537" w:rsidRPr="00675E88">
        <w:rPr>
          <w:rFonts w:ascii="Garamond" w:hAnsi="Garamond"/>
          <w:sz w:val="24"/>
          <w:szCs w:val="24"/>
        </w:rPr>
        <w:t>. I argue that</w:t>
      </w:r>
      <w:r w:rsidR="0044206C" w:rsidRPr="00675E88">
        <w:rPr>
          <w:rFonts w:ascii="Garamond" w:hAnsi="Garamond"/>
          <w:sz w:val="24"/>
          <w:szCs w:val="24"/>
        </w:rPr>
        <w:t xml:space="preserve"> Byron’s maltreated children suffer consequences that affect their entire lives, particularly suicide ideation. Wishing for death is found throughout Byron’s work from </w:t>
      </w:r>
      <w:r w:rsidR="0044206C" w:rsidRPr="00675E88">
        <w:rPr>
          <w:rFonts w:ascii="Garamond" w:hAnsi="Garamond"/>
          <w:i/>
          <w:sz w:val="24"/>
          <w:szCs w:val="24"/>
        </w:rPr>
        <w:t xml:space="preserve">Childe Harold </w:t>
      </w:r>
      <w:r w:rsidR="0044206C" w:rsidRPr="00675E88">
        <w:rPr>
          <w:rFonts w:ascii="Garamond" w:hAnsi="Garamond"/>
          <w:sz w:val="24"/>
          <w:szCs w:val="24"/>
        </w:rPr>
        <w:t xml:space="preserve">to </w:t>
      </w:r>
      <w:r w:rsidR="0044206C" w:rsidRPr="00675E88">
        <w:rPr>
          <w:rFonts w:ascii="Garamond" w:hAnsi="Garamond"/>
          <w:i/>
          <w:sz w:val="24"/>
          <w:szCs w:val="24"/>
        </w:rPr>
        <w:t>Manfred</w:t>
      </w:r>
      <w:r w:rsidR="0044206C" w:rsidRPr="00675E88">
        <w:rPr>
          <w:rFonts w:ascii="Garamond" w:hAnsi="Garamond"/>
          <w:sz w:val="24"/>
          <w:szCs w:val="24"/>
        </w:rPr>
        <w:t xml:space="preserve">. I will argue that Byron chimes with fellow Scot James Hogg, whose </w:t>
      </w:r>
      <w:r w:rsidR="0044206C" w:rsidRPr="00675E88">
        <w:rPr>
          <w:rFonts w:ascii="Garamond" w:hAnsi="Garamond"/>
          <w:i/>
          <w:sz w:val="24"/>
          <w:szCs w:val="24"/>
        </w:rPr>
        <w:t xml:space="preserve">The Private Memoirs and Confessions of a Justified Sinner </w:t>
      </w:r>
      <w:r w:rsidR="0044206C" w:rsidRPr="00675E88">
        <w:rPr>
          <w:rFonts w:ascii="Garamond" w:hAnsi="Garamond"/>
          <w:sz w:val="24"/>
          <w:szCs w:val="24"/>
        </w:rPr>
        <w:t xml:space="preserve">also shows that maltreatment of children, and particularly parental rejection, can lead to reckless behaviour and suicide. </w:t>
      </w:r>
    </w:p>
    <w:p w14:paraId="39E11517" w14:textId="7EF17DD3" w:rsidR="00867A08" w:rsidRDefault="00867A08" w:rsidP="00675E88">
      <w:pPr>
        <w:pStyle w:val="BodyText"/>
        <w:spacing w:line="240" w:lineRule="auto"/>
        <w:ind w:left="0"/>
        <w:rPr>
          <w:rFonts w:ascii="Garamond" w:hAnsi="Garamond"/>
          <w:sz w:val="24"/>
          <w:szCs w:val="24"/>
        </w:rPr>
      </w:pPr>
    </w:p>
    <w:p w14:paraId="1174F3A1" w14:textId="7ECDD263" w:rsidR="00867A08" w:rsidRDefault="00867A08" w:rsidP="00675E88">
      <w:pPr>
        <w:pStyle w:val="BodyText"/>
        <w:spacing w:line="240" w:lineRule="auto"/>
        <w:ind w:left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John Gardner</w:t>
      </w:r>
    </w:p>
    <w:p w14:paraId="390D1048" w14:textId="77777777" w:rsidR="00867A08" w:rsidRPr="00675E88" w:rsidRDefault="00867A08" w:rsidP="00675E88">
      <w:pPr>
        <w:pStyle w:val="BodyText"/>
        <w:spacing w:line="240" w:lineRule="auto"/>
        <w:ind w:left="0"/>
        <w:rPr>
          <w:rFonts w:ascii="Garamond" w:hAnsi="Garamond"/>
          <w:sz w:val="24"/>
          <w:szCs w:val="24"/>
        </w:rPr>
      </w:pPr>
    </w:p>
    <w:p w14:paraId="68C60DF3" w14:textId="0F2C092B" w:rsidR="00675E88" w:rsidRPr="00675E88" w:rsidRDefault="00675E88" w:rsidP="0044206C">
      <w:pPr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John.gardner@anglia.ac.uk</w:t>
      </w:r>
    </w:p>
    <w:p w14:paraId="3F47A83A" w14:textId="77777777" w:rsidR="004117D0" w:rsidRPr="00675E88" w:rsidRDefault="003C75DD">
      <w:pPr>
        <w:rPr>
          <w:rFonts w:ascii="Garamond" w:hAnsi="Garamond"/>
        </w:rPr>
      </w:pPr>
    </w:p>
    <w:sectPr w:rsidR="004117D0" w:rsidRPr="00675E88" w:rsidSect="007D40B3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5DFC50" w14:textId="77777777" w:rsidR="004D3DCB" w:rsidRDefault="004D3DCB" w:rsidP="0044206C">
      <w:r>
        <w:separator/>
      </w:r>
    </w:p>
  </w:endnote>
  <w:endnote w:type="continuationSeparator" w:id="0">
    <w:p w14:paraId="5E4386F2" w14:textId="77777777" w:rsidR="004D3DCB" w:rsidRDefault="004D3DCB" w:rsidP="00442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80"/>
    <w:family w:val="roman"/>
    <w:pitch w:val="variable"/>
    <w:sig w:usb0="00000287" w:usb1="08070000" w:usb2="00000010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8AA263" w14:textId="77777777" w:rsidR="004D3DCB" w:rsidRDefault="004D3DCB" w:rsidP="0044206C">
      <w:r>
        <w:separator/>
      </w:r>
    </w:p>
  </w:footnote>
  <w:footnote w:type="continuationSeparator" w:id="0">
    <w:p w14:paraId="501122AF" w14:textId="77777777" w:rsidR="004D3DCB" w:rsidRDefault="004D3DCB" w:rsidP="0044206C">
      <w:r>
        <w:continuationSeparator/>
      </w:r>
    </w:p>
  </w:footnote>
  <w:footnote w:id="1">
    <w:p w14:paraId="00123EE8" w14:textId="4B8E6EE6" w:rsidR="00867A08" w:rsidRPr="00867A08" w:rsidRDefault="00867A08">
      <w:pPr>
        <w:pStyle w:val="FootnoteText"/>
        <w:rPr>
          <w:rFonts w:ascii="Garamond" w:hAnsi="Garamond"/>
        </w:rPr>
      </w:pPr>
      <w:r w:rsidRPr="00867A08">
        <w:rPr>
          <w:rStyle w:val="FootnoteReference"/>
          <w:rFonts w:ascii="Garamond" w:hAnsi="Garamond"/>
        </w:rPr>
        <w:footnoteRef/>
      </w:r>
      <w:r w:rsidRPr="00867A08">
        <w:rPr>
          <w:rFonts w:ascii="Garamond" w:hAnsi="Garamond"/>
        </w:rPr>
        <w:t xml:space="preserve"> </w:t>
      </w:r>
      <w:r w:rsidRPr="00867A08">
        <w:rPr>
          <w:rFonts w:ascii="Garamond" w:hAnsi="Garamond" w:cs="Times New Roman"/>
          <w:i/>
          <w:sz w:val="18"/>
          <w:szCs w:val="18"/>
        </w:rPr>
        <w:t>Oscar Wilde in America</w:t>
      </w:r>
      <w:r w:rsidRPr="00867A08">
        <w:rPr>
          <w:rFonts w:ascii="Garamond" w:hAnsi="Garamond" w:cs="Times New Roman"/>
          <w:sz w:val="18"/>
          <w:szCs w:val="18"/>
        </w:rPr>
        <w:t>,</w:t>
      </w:r>
      <w:r w:rsidRPr="00867A08">
        <w:rPr>
          <w:rFonts w:ascii="Garamond" w:hAnsi="Garamond" w:cs="Times New Roman"/>
          <w:i/>
          <w:sz w:val="18"/>
          <w:szCs w:val="18"/>
        </w:rPr>
        <w:t xml:space="preserve"> </w:t>
      </w:r>
      <w:r w:rsidRPr="00867A08">
        <w:rPr>
          <w:rFonts w:ascii="Garamond" w:hAnsi="Garamond" w:cs="Times New Roman"/>
          <w:sz w:val="18"/>
          <w:szCs w:val="18"/>
        </w:rPr>
        <w:t>ed. Matthew Hofer and Gary Scharnhorst (Chicago: University of Illinois, 2010), p. 29.</w:t>
      </w:r>
    </w:p>
  </w:footnote>
  <w:footnote w:id="2">
    <w:p w14:paraId="2DFE1637" w14:textId="7B3B582D" w:rsidR="00DF0DDE" w:rsidRPr="00867A08" w:rsidRDefault="00DF0DDE">
      <w:pPr>
        <w:pStyle w:val="FootnoteText"/>
        <w:rPr>
          <w:rFonts w:ascii="Garamond" w:hAnsi="Garamond"/>
        </w:rPr>
      </w:pPr>
      <w:r w:rsidRPr="00867A08">
        <w:rPr>
          <w:rStyle w:val="FootnoteReference"/>
          <w:rFonts w:ascii="Garamond" w:hAnsi="Garamond"/>
        </w:rPr>
        <w:footnoteRef/>
      </w:r>
      <w:r w:rsidRPr="00867A08">
        <w:rPr>
          <w:rFonts w:ascii="Garamond" w:hAnsi="Garamond"/>
        </w:rPr>
        <w:t xml:space="preserve"> </w:t>
      </w:r>
      <w:r w:rsidRPr="00867A08">
        <w:rPr>
          <w:rFonts w:ascii="Garamond" w:hAnsi="Garamond" w:cs="Times New Roman"/>
          <w:sz w:val="18"/>
          <w:szCs w:val="18"/>
        </w:rPr>
        <w:t xml:space="preserve">‘Childhood Maltreatment is associated with reduced volume in the hippocampal subfields CA3, dentate gyrus and subiculum’, </w:t>
      </w:r>
      <w:r w:rsidRPr="00867A08">
        <w:rPr>
          <w:rFonts w:ascii="Garamond" w:hAnsi="Garamond" w:cs="Times New Roman"/>
          <w:i/>
          <w:sz w:val="18"/>
          <w:szCs w:val="18"/>
        </w:rPr>
        <w:t xml:space="preserve">Proceedings of the National Academy of Sciences of the Unites States of America </w:t>
      </w:r>
      <w:r w:rsidRPr="00867A08">
        <w:rPr>
          <w:rFonts w:ascii="Garamond" w:hAnsi="Garamond" w:cs="Times New Roman"/>
          <w:sz w:val="18"/>
          <w:szCs w:val="18"/>
        </w:rPr>
        <w:t>(</w:t>
      </w:r>
      <w:r w:rsidRPr="00867A08">
        <w:rPr>
          <w:rFonts w:ascii="Garamond" w:hAnsi="Garamond" w:cs="Times New Roman"/>
          <w:i/>
          <w:sz w:val="18"/>
          <w:szCs w:val="18"/>
        </w:rPr>
        <w:t>PNAS</w:t>
      </w:r>
      <w:r w:rsidRPr="00867A08">
        <w:rPr>
          <w:rFonts w:ascii="Garamond" w:hAnsi="Garamond" w:cs="Times New Roman"/>
          <w:sz w:val="18"/>
          <w:szCs w:val="18"/>
        </w:rPr>
        <w:t>) 109.9 (2012)</w:t>
      </w:r>
    </w:p>
  </w:footnote>
  <w:footnote w:id="3">
    <w:p w14:paraId="52728919" w14:textId="134CA7CB" w:rsidR="00867A08" w:rsidRDefault="00867A08">
      <w:pPr>
        <w:pStyle w:val="FootnoteText"/>
      </w:pPr>
      <w:r w:rsidRPr="00867A08">
        <w:rPr>
          <w:rStyle w:val="FootnoteReference"/>
          <w:rFonts w:ascii="Garamond" w:hAnsi="Garamond"/>
        </w:rPr>
        <w:footnoteRef/>
      </w:r>
      <w:r w:rsidRPr="00867A08">
        <w:rPr>
          <w:rFonts w:ascii="Garamond" w:hAnsi="Garamond"/>
        </w:rPr>
        <w:t xml:space="preserve"> </w:t>
      </w:r>
      <w:r w:rsidRPr="00867A08">
        <w:rPr>
          <w:rFonts w:ascii="Garamond" w:hAnsi="Garamond" w:cs="Times New Roman"/>
          <w:i/>
          <w:sz w:val="18"/>
          <w:szCs w:val="18"/>
        </w:rPr>
        <w:t>The Lancet</w:t>
      </w:r>
      <w:r w:rsidRPr="00867A08">
        <w:rPr>
          <w:rFonts w:ascii="Garamond" w:hAnsi="Garamond" w:cs="Times New Roman"/>
          <w:sz w:val="18"/>
          <w:szCs w:val="18"/>
        </w:rPr>
        <w:t xml:space="preserve"> 380:9841 (11 August, 2012).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941"/>
    <w:rsid w:val="00057941"/>
    <w:rsid w:val="002F4F20"/>
    <w:rsid w:val="003C75DD"/>
    <w:rsid w:val="0044206C"/>
    <w:rsid w:val="004D3DCB"/>
    <w:rsid w:val="00675E88"/>
    <w:rsid w:val="007D40B3"/>
    <w:rsid w:val="00867A08"/>
    <w:rsid w:val="00881537"/>
    <w:rsid w:val="008A2595"/>
    <w:rsid w:val="00BA6F0D"/>
    <w:rsid w:val="00C751DF"/>
    <w:rsid w:val="00CC486E"/>
    <w:rsid w:val="00DF0DDE"/>
    <w:rsid w:val="00ED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652AD9"/>
  <w14:defaultImageDpi w14:val="32767"/>
  <w15:chartTrackingRefBased/>
  <w15:docId w15:val="{93EC261D-5231-724E-B081-3F24460D9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206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4206C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nhideWhenUsed/>
    <w:rsid w:val="0044206C"/>
    <w:rPr>
      <w:rFonts w:ascii="Times" w:hAnsi="Times"/>
      <w:sz w:val="20"/>
      <w:lang w:val="en-US"/>
    </w:rPr>
  </w:style>
  <w:style w:type="character" w:customStyle="1" w:styleId="EndnoteTextChar">
    <w:name w:val="Endnote Text Char"/>
    <w:basedOn w:val="DefaultParagraphFont"/>
    <w:link w:val="EndnoteText"/>
    <w:rsid w:val="0044206C"/>
    <w:rPr>
      <w:rFonts w:ascii="Times" w:hAnsi="Times"/>
      <w:sz w:val="20"/>
      <w:lang w:val="en-US"/>
    </w:rPr>
  </w:style>
  <w:style w:type="character" w:styleId="EndnoteReference">
    <w:name w:val="endnote reference"/>
    <w:basedOn w:val="DefaultParagraphFont"/>
    <w:unhideWhenUsed/>
    <w:rsid w:val="0044206C"/>
    <w:rPr>
      <w:vertAlign w:val="superscript"/>
    </w:rPr>
  </w:style>
  <w:style w:type="paragraph" w:styleId="BodyText">
    <w:name w:val="Body Text"/>
    <w:basedOn w:val="Normal"/>
    <w:link w:val="BodyTextChar"/>
    <w:rsid w:val="00C751DF"/>
    <w:pPr>
      <w:spacing w:line="480" w:lineRule="auto"/>
      <w:ind w:left="-426"/>
      <w:jc w:val="both"/>
    </w:pPr>
    <w:rPr>
      <w:rFonts w:ascii="Times" w:eastAsia="Times New Roman" w:hAnsi="Times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751DF"/>
    <w:rPr>
      <w:rFonts w:ascii="Times" w:eastAsia="Times New Roman" w:hAnsi="Times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751D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751DF"/>
  </w:style>
  <w:style w:type="paragraph" w:styleId="FootnoteText">
    <w:name w:val="footnote text"/>
    <w:basedOn w:val="Normal"/>
    <w:link w:val="FootnoteTextChar"/>
    <w:uiPriority w:val="99"/>
    <w:semiHidden/>
    <w:unhideWhenUsed/>
    <w:rsid w:val="00DF0DD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F0DD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F0D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846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1558</Characters>
  <Application>Microsoft Office Word</Application>
  <DocSecurity>0</DocSecurity>
  <Lines>24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Gardner, John</cp:lastModifiedBy>
  <cp:revision>2</cp:revision>
  <dcterms:created xsi:type="dcterms:W3CDTF">2020-02-02T22:41:00Z</dcterms:created>
  <dcterms:modified xsi:type="dcterms:W3CDTF">2020-02-02T22:41:00Z</dcterms:modified>
</cp:coreProperties>
</file>