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63FCE" w14:textId="09E89643" w:rsidR="00EB34FC" w:rsidRPr="001E1099" w:rsidRDefault="00EB34FC" w:rsidP="001E1099">
      <w:pPr>
        <w:pStyle w:val="Title"/>
      </w:pPr>
      <w:r w:rsidRPr="001E1099">
        <w:t>INCONCLUSIVE AND CONTRADICTORY EVIDENCE FOR OUTCOMES FOLLOWING HIP ARTHROSCOPY IN PATIENTS WITH FEMOROACETABULAR IMPINGEMENT AND TÖNNIS GRADE 2 OSTEOARTHRITIS OR GREATER</w:t>
      </w:r>
      <w:r w:rsidR="00C7596F" w:rsidRPr="001E1099">
        <w:t>: A SYSTEMATIC REVIEW</w:t>
      </w:r>
    </w:p>
    <w:p w14:paraId="1850ABF3" w14:textId="04031588" w:rsidR="008A7186" w:rsidRPr="00CF225D" w:rsidRDefault="008A7186" w:rsidP="00EE1BD7">
      <w:pPr>
        <w:spacing w:after="120" w:line="480" w:lineRule="auto"/>
        <w:jc w:val="both"/>
        <w:rPr>
          <w:rFonts w:ascii="Verdana" w:hAnsi="Verdana"/>
          <w:b/>
          <w:lang w:val="en-GB"/>
        </w:rPr>
      </w:pPr>
      <w:r w:rsidRPr="00CF225D">
        <w:rPr>
          <w:rFonts w:ascii="Verdana" w:hAnsi="Verdana"/>
          <w:b/>
          <w:lang w:val="en-GB"/>
        </w:rPr>
        <w:t xml:space="preserve">Running Title: Hip Arthroscopy in </w:t>
      </w:r>
      <w:proofErr w:type="spellStart"/>
      <w:r w:rsidRPr="00CF225D">
        <w:rPr>
          <w:rFonts w:ascii="Verdana" w:hAnsi="Verdana"/>
          <w:b/>
          <w:lang w:val="en-GB"/>
        </w:rPr>
        <w:t>Tönnis</w:t>
      </w:r>
      <w:proofErr w:type="spellEnd"/>
      <w:r w:rsidRPr="00CF225D">
        <w:rPr>
          <w:rFonts w:ascii="Verdana" w:hAnsi="Verdana"/>
          <w:b/>
          <w:lang w:val="en-GB"/>
        </w:rPr>
        <w:t xml:space="preserve"> Grade 2 or greater OA</w:t>
      </w:r>
    </w:p>
    <w:p w14:paraId="055DACF8" w14:textId="77777777" w:rsidR="008A7186" w:rsidRPr="007A114B" w:rsidRDefault="008A7186" w:rsidP="00EE1BD7">
      <w:pPr>
        <w:spacing w:after="120" w:line="480" w:lineRule="auto"/>
        <w:jc w:val="both"/>
        <w:rPr>
          <w:rFonts w:eastAsia="Calibri" w:cstheme="minorHAnsi"/>
          <w:b/>
          <w:lang w:val="en-GB"/>
        </w:rPr>
      </w:pPr>
    </w:p>
    <w:p w14:paraId="5B230C79" w14:textId="75F5F789" w:rsidR="002876D9" w:rsidRPr="001E1099" w:rsidRDefault="002876D9" w:rsidP="001E1099">
      <w:pPr>
        <w:pStyle w:val="Heading1"/>
      </w:pPr>
      <w:r w:rsidRPr="001E1099">
        <w:t>ABSTRACT</w:t>
      </w:r>
    </w:p>
    <w:p w14:paraId="4AF05BD3" w14:textId="57A66738" w:rsidR="00B4401E" w:rsidRPr="00CF225D" w:rsidRDefault="00CF225D" w:rsidP="00CF225D">
      <w:pPr>
        <w:keepLines/>
        <w:spacing w:after="120" w:line="480" w:lineRule="auto"/>
        <w:jc w:val="both"/>
        <w:rPr>
          <w:rFonts w:cstheme="minorHAnsi"/>
          <w:bCs/>
          <w:lang w:val="en-GB" w:eastAsia="en-GB"/>
        </w:rPr>
      </w:pPr>
      <w:r>
        <w:rPr>
          <w:rFonts w:eastAsia="Calibri" w:cstheme="minorHAnsi"/>
          <w:b/>
          <w:bCs/>
          <w:lang w:val="en-GB"/>
        </w:rPr>
        <w:t>Purpose</w:t>
      </w:r>
      <w:r w:rsidR="00B4401E" w:rsidRPr="007A114B">
        <w:rPr>
          <w:rFonts w:eastAsia="Calibri" w:cstheme="minorHAnsi"/>
          <w:b/>
          <w:bCs/>
          <w:lang w:val="en-GB"/>
        </w:rPr>
        <w:t>: </w:t>
      </w:r>
      <w:r w:rsidR="000D254C" w:rsidRPr="007A114B">
        <w:rPr>
          <w:rFonts w:eastAsia="Calibri" w:cstheme="minorHAnsi"/>
          <w:lang w:val="en-GB"/>
        </w:rPr>
        <w:t xml:space="preserve"> </w:t>
      </w:r>
      <w:r w:rsidR="00564FD1" w:rsidRPr="00564FD1">
        <w:rPr>
          <w:rFonts w:eastAsia="Calibri" w:cstheme="minorHAnsi"/>
          <w:lang w:val="en-GB"/>
        </w:rPr>
        <w:t xml:space="preserve">To investigate whether hip arthroscopy (HA) is effective in patients with </w:t>
      </w:r>
      <w:proofErr w:type="spellStart"/>
      <w:r w:rsidR="00564FD1" w:rsidRPr="00564FD1">
        <w:rPr>
          <w:rFonts w:eastAsia="Calibri" w:cstheme="minorHAnsi"/>
          <w:lang w:val="en-GB"/>
        </w:rPr>
        <w:t>femoroacetabular</w:t>
      </w:r>
      <w:proofErr w:type="spellEnd"/>
      <w:r w:rsidR="00564FD1" w:rsidRPr="00564FD1">
        <w:rPr>
          <w:rFonts w:eastAsia="Calibri" w:cstheme="minorHAnsi"/>
          <w:lang w:val="en-GB"/>
        </w:rPr>
        <w:t xml:space="preserve"> impingement (FAI) and concomitant </w:t>
      </w:r>
      <w:proofErr w:type="spellStart"/>
      <w:r w:rsidR="00564FD1" w:rsidRPr="00564FD1">
        <w:rPr>
          <w:rFonts w:eastAsia="Calibri" w:cstheme="minorHAnsi"/>
          <w:lang w:val="en-GB"/>
        </w:rPr>
        <w:t>Tönnis</w:t>
      </w:r>
      <w:proofErr w:type="spellEnd"/>
      <w:r w:rsidR="00564FD1" w:rsidRPr="00564FD1">
        <w:rPr>
          <w:rFonts w:eastAsia="Calibri" w:cstheme="minorHAnsi"/>
          <w:lang w:val="en-GB"/>
        </w:rPr>
        <w:t xml:space="preserve"> Grade 2 or greater hip osteoarthritis (OA). We hypothesised that HA would result in high rates of conversion to total hip arthroplasty (THA).</w:t>
      </w:r>
    </w:p>
    <w:p w14:paraId="01FF79A2" w14:textId="2BB5E835" w:rsidR="00B4401E" w:rsidRPr="007A114B" w:rsidRDefault="00B4401E" w:rsidP="00B4401E">
      <w:pPr>
        <w:spacing w:after="120" w:line="480" w:lineRule="auto"/>
        <w:jc w:val="both"/>
        <w:rPr>
          <w:rFonts w:eastAsia="Calibri" w:cstheme="minorHAnsi"/>
          <w:b/>
          <w:bCs/>
          <w:lang w:val="en-GB"/>
        </w:rPr>
      </w:pPr>
      <w:r w:rsidRPr="007A114B">
        <w:rPr>
          <w:rFonts w:eastAsia="Calibri" w:cstheme="minorHAnsi"/>
          <w:b/>
          <w:bCs/>
          <w:lang w:val="en-GB"/>
        </w:rPr>
        <w:t>Methods: </w:t>
      </w:r>
      <w:r w:rsidRPr="007A114B">
        <w:rPr>
          <w:rFonts w:eastAsia="Calibri" w:cstheme="minorHAnsi"/>
          <w:lang w:val="en-GB"/>
        </w:rPr>
        <w:t>The review was registered in the International Prospective Register for Systematic Reviews and Meta-analysis (PROSPERO): CRD</w:t>
      </w:r>
      <w:r w:rsidRPr="00CF225D">
        <w:rPr>
          <w:rFonts w:eastAsia="Calibri" w:cstheme="minorHAnsi"/>
          <w:color w:val="000000" w:themeColor="text1"/>
          <w:lang w:val="en-GB"/>
        </w:rPr>
        <w:t>42020210936</w:t>
      </w:r>
      <w:r w:rsidRPr="007A114B">
        <w:rPr>
          <w:rFonts w:eastAsia="Calibri" w:cstheme="minorHAnsi"/>
          <w:lang w:val="en-GB"/>
        </w:rPr>
        <w:t xml:space="preserve">. </w:t>
      </w:r>
      <w:r w:rsidR="00955BB7" w:rsidRPr="007A114B">
        <w:rPr>
          <w:rFonts w:eastAsia="Calibri" w:cstheme="minorHAnsi"/>
          <w:lang w:val="en-GB"/>
        </w:rPr>
        <w:t>It</w:t>
      </w:r>
      <w:r w:rsidRPr="007A114B">
        <w:rPr>
          <w:rFonts w:eastAsia="Calibri" w:cstheme="minorHAnsi"/>
          <w:lang w:val="en-GB"/>
        </w:rPr>
        <w:t xml:space="preserve"> followed the PRISMA guidelines and included multiple databases: MEDLINE, EMBASE, Web of Science Core Collection</w:t>
      </w:r>
      <w:r w:rsidR="00955BB7" w:rsidRPr="007A114B">
        <w:rPr>
          <w:rFonts w:eastAsia="Calibri" w:cstheme="minorHAnsi"/>
          <w:lang w:val="en-GB"/>
        </w:rPr>
        <w:t>,</w:t>
      </w:r>
      <w:r w:rsidRPr="007A114B">
        <w:rPr>
          <w:rFonts w:eastAsia="Calibri" w:cstheme="minorHAnsi"/>
          <w:lang w:val="en-GB"/>
        </w:rPr>
        <w:t xml:space="preserve"> Cochrane library.  All studies in English or German from inception to 1</w:t>
      </w:r>
      <w:r w:rsidRPr="007A114B">
        <w:rPr>
          <w:rFonts w:eastAsia="Calibri" w:cstheme="minorHAnsi"/>
          <w:vertAlign w:val="superscript"/>
          <w:lang w:val="en-GB"/>
        </w:rPr>
        <w:t>st</w:t>
      </w:r>
      <w:r w:rsidRPr="007A114B">
        <w:rPr>
          <w:rFonts w:eastAsia="Calibri" w:cstheme="minorHAnsi"/>
          <w:lang w:val="en-GB"/>
        </w:rPr>
        <w:t xml:space="preserve"> of December 2020 that investigated outcomes of HA in patients with </w:t>
      </w:r>
      <w:proofErr w:type="spellStart"/>
      <w:r w:rsidRPr="007A114B">
        <w:rPr>
          <w:rFonts w:eastAsia="Calibri" w:cstheme="minorHAnsi"/>
          <w:lang w:val="en-GB"/>
        </w:rPr>
        <w:t>Tönnis</w:t>
      </w:r>
      <w:proofErr w:type="spellEnd"/>
      <w:r w:rsidRPr="007A114B">
        <w:rPr>
          <w:rFonts w:eastAsia="Calibri" w:cstheme="minorHAnsi"/>
          <w:lang w:val="en-GB"/>
        </w:rPr>
        <w:t xml:space="preserve"> grade 2 or greater</w:t>
      </w:r>
      <w:r w:rsidR="007221CC">
        <w:rPr>
          <w:rFonts w:eastAsia="Calibri" w:cstheme="minorHAnsi"/>
          <w:lang w:val="en-GB"/>
        </w:rPr>
        <w:t xml:space="preserve"> </w:t>
      </w:r>
      <w:r w:rsidRPr="007A114B">
        <w:rPr>
          <w:rFonts w:eastAsia="Calibri" w:cstheme="minorHAnsi"/>
          <w:lang w:val="en-GB"/>
        </w:rPr>
        <w:t xml:space="preserve">were considered eligible. The risk of bias was assessed using the MINORS tool. </w:t>
      </w:r>
      <w:r w:rsidR="00955BB7" w:rsidRPr="007A114B">
        <w:rPr>
          <w:rFonts w:eastAsia="Calibri" w:cstheme="minorHAnsi"/>
          <w:lang w:val="en-GB"/>
        </w:rPr>
        <w:t>Data</w:t>
      </w:r>
      <w:r w:rsidRPr="007A114B">
        <w:rPr>
          <w:rFonts w:eastAsia="Calibri" w:cstheme="minorHAnsi"/>
          <w:lang w:val="en-GB"/>
        </w:rPr>
        <w:t xml:space="preserve"> heterogeneity </w:t>
      </w:r>
      <w:r w:rsidR="00955BB7" w:rsidRPr="007A114B">
        <w:rPr>
          <w:rFonts w:eastAsia="Calibri" w:cstheme="minorHAnsi"/>
          <w:lang w:val="en-GB"/>
        </w:rPr>
        <w:t xml:space="preserve">was </w:t>
      </w:r>
      <w:r w:rsidRPr="007A114B">
        <w:rPr>
          <w:rFonts w:eastAsia="Calibri" w:cstheme="minorHAnsi"/>
          <w:lang w:val="en-GB"/>
        </w:rPr>
        <w:t>explored using the I² test in a random-effects-model.</w:t>
      </w:r>
    </w:p>
    <w:p w14:paraId="40E9F65F" w14:textId="29F6F2D1" w:rsidR="00B4401E" w:rsidRPr="007A114B" w:rsidRDefault="00B4401E" w:rsidP="00B4401E">
      <w:pPr>
        <w:spacing w:after="120" w:line="480" w:lineRule="auto"/>
        <w:jc w:val="both"/>
        <w:rPr>
          <w:rFonts w:eastAsia="Calibri" w:cstheme="minorHAnsi"/>
          <w:b/>
          <w:bCs/>
          <w:lang w:val="en-GB"/>
        </w:rPr>
      </w:pPr>
      <w:r w:rsidRPr="007A114B">
        <w:rPr>
          <w:rFonts w:eastAsia="Calibri" w:cstheme="minorHAnsi"/>
          <w:b/>
          <w:bCs/>
          <w:lang w:val="en-GB"/>
        </w:rPr>
        <w:t xml:space="preserve">Results: </w:t>
      </w:r>
      <w:r w:rsidRPr="007A114B">
        <w:rPr>
          <w:rFonts w:eastAsia="Calibri" w:cstheme="minorHAnsi"/>
          <w:lang w:val="en-GB"/>
        </w:rPr>
        <w:t>Eleven studies met the eligibility criteria. The MINORS score averaged 68 % (range 46 to 81%). A total of 616 hips, consisting of 247 hips of interest (</w:t>
      </w:r>
      <w:proofErr w:type="spellStart"/>
      <w:r w:rsidRPr="007A114B">
        <w:rPr>
          <w:rFonts w:eastAsia="Calibri" w:cstheme="minorHAnsi"/>
          <w:lang w:val="en-GB"/>
        </w:rPr>
        <w:t>Tönnis</w:t>
      </w:r>
      <w:proofErr w:type="spellEnd"/>
      <w:r w:rsidRPr="007A114B">
        <w:rPr>
          <w:rFonts w:eastAsia="Calibri" w:cstheme="minorHAnsi"/>
          <w:lang w:val="en-GB"/>
        </w:rPr>
        <w:t xml:space="preserve"> Grade 2 or greater) and 369 controls, were included. The weighted estimated follow-up averaged 29.1 months (range 12 – 84 months). Data on PROMs could be extracted for 6/11 studies, and for 8/11 on conversion to </w:t>
      </w:r>
      <w:r w:rsidR="00166648">
        <w:rPr>
          <w:rFonts w:eastAsia="Calibri" w:cstheme="minorHAnsi"/>
          <w:lang w:val="en-GB"/>
        </w:rPr>
        <w:t>THA</w:t>
      </w:r>
      <w:r w:rsidRPr="007A114B">
        <w:rPr>
          <w:rFonts w:eastAsia="Calibri" w:cstheme="minorHAnsi"/>
          <w:lang w:val="en-GB"/>
        </w:rPr>
        <w:t xml:space="preserve">. Four studies reported an overall improvement in PROMs after HA and two highlighted a </w:t>
      </w:r>
      <w:r w:rsidR="007221CC">
        <w:rPr>
          <w:rFonts w:eastAsia="Calibri" w:cstheme="minorHAnsi"/>
          <w:lang w:val="en-GB"/>
        </w:rPr>
        <w:t>failure</w:t>
      </w:r>
      <w:r w:rsidRPr="007A114B">
        <w:rPr>
          <w:rFonts w:eastAsia="Calibri" w:cstheme="minorHAnsi"/>
          <w:lang w:val="en-GB"/>
        </w:rPr>
        <w:t xml:space="preserve"> of improvement in PROMs. </w:t>
      </w:r>
      <w:r w:rsidR="007221CC">
        <w:rPr>
          <w:rFonts w:eastAsia="Calibri" w:cstheme="minorHAnsi"/>
          <w:lang w:val="en-GB"/>
        </w:rPr>
        <w:t>Failure of HA with</w:t>
      </w:r>
      <w:r w:rsidRPr="007A114B">
        <w:rPr>
          <w:rFonts w:eastAsia="Calibri" w:cstheme="minorHAnsi"/>
          <w:lang w:val="en-GB"/>
        </w:rPr>
        <w:t xml:space="preserve"> conversion to THA w</w:t>
      </w:r>
      <w:r w:rsidR="00DC7E71">
        <w:rPr>
          <w:rFonts w:eastAsia="Calibri" w:cstheme="minorHAnsi"/>
          <w:lang w:val="en-GB"/>
        </w:rPr>
        <w:t>as</w:t>
      </w:r>
      <w:r w:rsidR="00E53FC8">
        <w:rPr>
          <w:rFonts w:eastAsia="Calibri" w:cstheme="minorHAnsi"/>
          <w:lang w:val="en-GB"/>
        </w:rPr>
        <w:t xml:space="preserve"> </w:t>
      </w:r>
      <w:r w:rsidRPr="007A114B">
        <w:rPr>
          <w:rFonts w:eastAsia="Calibri" w:cstheme="minorHAnsi"/>
          <w:lang w:val="en-GB"/>
        </w:rPr>
        <w:t xml:space="preserve">observed from 0-9% in 4 studies, as opposed to proportions as high as 35-70% in </w:t>
      </w:r>
      <w:r w:rsidR="00DC7E71">
        <w:rPr>
          <w:rFonts w:eastAsia="Calibri" w:cstheme="minorHAnsi"/>
          <w:lang w:val="en-GB"/>
        </w:rPr>
        <w:t xml:space="preserve">the </w:t>
      </w:r>
      <w:r w:rsidRPr="007A114B">
        <w:rPr>
          <w:rFonts w:eastAsia="Calibri" w:cstheme="minorHAnsi"/>
          <w:lang w:val="en-GB"/>
        </w:rPr>
        <w:t>other 4 studies. There was a high level of heterogeneity with a calculated I² value of 89%.</w:t>
      </w:r>
    </w:p>
    <w:p w14:paraId="67704D8E" w14:textId="58B3028F" w:rsidR="00192B8E" w:rsidRPr="007A114B" w:rsidRDefault="00B4401E" w:rsidP="00EE1BD7">
      <w:pPr>
        <w:spacing w:after="120" w:line="480" w:lineRule="auto"/>
        <w:jc w:val="both"/>
        <w:rPr>
          <w:rFonts w:eastAsia="Calibri" w:cstheme="minorHAnsi"/>
          <w:lang w:val="en-GB"/>
        </w:rPr>
      </w:pPr>
      <w:r w:rsidRPr="007A114B">
        <w:rPr>
          <w:rFonts w:eastAsia="Calibri" w:cstheme="minorHAnsi"/>
          <w:b/>
          <w:bCs/>
          <w:lang w:val="en-GB"/>
        </w:rPr>
        <w:lastRenderedPageBreak/>
        <w:t>Conclusion: </w:t>
      </w:r>
      <w:r w:rsidR="00DA3E74" w:rsidRPr="007A114B">
        <w:rPr>
          <w:rFonts w:eastAsia="Calibri" w:cstheme="minorHAnsi"/>
          <w:lang w:val="en-GB"/>
        </w:rPr>
        <w:t xml:space="preserve">There is currently contradictory </w:t>
      </w:r>
      <w:r w:rsidR="00DC7E71">
        <w:rPr>
          <w:rFonts w:eastAsia="Calibri" w:cstheme="minorHAnsi"/>
          <w:lang w:val="en-GB"/>
        </w:rPr>
        <w:t xml:space="preserve">and insufficient </w:t>
      </w:r>
      <w:r w:rsidR="00DA3E74" w:rsidRPr="007A114B">
        <w:rPr>
          <w:rFonts w:eastAsia="Calibri" w:cstheme="minorHAnsi"/>
          <w:lang w:val="en-GB"/>
        </w:rPr>
        <w:t xml:space="preserve">evidence regarding the efficacy of HA for hips with FAI and concomitant OA </w:t>
      </w:r>
      <w:proofErr w:type="spellStart"/>
      <w:r w:rsidR="00DA3E74" w:rsidRPr="007A114B">
        <w:rPr>
          <w:rFonts w:eastAsia="Calibri" w:cstheme="minorHAnsi"/>
          <w:lang w:val="en-GB"/>
        </w:rPr>
        <w:t>Tönnis</w:t>
      </w:r>
      <w:proofErr w:type="spellEnd"/>
      <w:r w:rsidR="00DA3E74" w:rsidRPr="007A114B">
        <w:rPr>
          <w:rFonts w:eastAsia="Calibri" w:cstheme="minorHAnsi"/>
          <w:lang w:val="en-GB"/>
        </w:rPr>
        <w:t xml:space="preserve"> 2 or greater. This </w:t>
      </w:r>
      <w:r w:rsidR="007221CC">
        <w:rPr>
          <w:rFonts w:eastAsia="Calibri" w:cstheme="minorHAnsi"/>
          <w:lang w:val="en-GB"/>
        </w:rPr>
        <w:t xml:space="preserve">is </w:t>
      </w:r>
      <w:r w:rsidR="00DA3E74" w:rsidRPr="007A114B">
        <w:rPr>
          <w:rFonts w:eastAsia="Calibri" w:cstheme="minorHAnsi"/>
          <w:lang w:val="en-GB"/>
        </w:rPr>
        <w:t>in the context of data</w:t>
      </w:r>
      <w:r w:rsidR="00DC7E71">
        <w:rPr>
          <w:rFonts w:eastAsia="Calibri" w:cstheme="minorHAnsi"/>
          <w:lang w:val="en-GB"/>
        </w:rPr>
        <w:t xml:space="preserve"> with </w:t>
      </w:r>
      <w:proofErr w:type="gramStart"/>
      <w:r w:rsidR="00DC7E71">
        <w:rPr>
          <w:rFonts w:eastAsia="Calibri" w:cstheme="minorHAnsi"/>
          <w:lang w:val="en-GB"/>
        </w:rPr>
        <w:t>low-evidence</w:t>
      </w:r>
      <w:proofErr w:type="gramEnd"/>
      <w:r w:rsidR="00D15C93" w:rsidRPr="007A114B">
        <w:rPr>
          <w:rFonts w:eastAsia="Calibri" w:cstheme="minorHAnsi"/>
          <w:lang w:val="en-GB"/>
        </w:rPr>
        <w:t xml:space="preserve">, </w:t>
      </w:r>
      <w:r w:rsidR="00DA3E74" w:rsidRPr="007A114B">
        <w:rPr>
          <w:rFonts w:eastAsia="Calibri" w:cstheme="minorHAnsi"/>
          <w:lang w:val="en-GB"/>
        </w:rPr>
        <w:t xml:space="preserve">consisting of retrospective case series with </w:t>
      </w:r>
      <w:r w:rsidR="00DC7E71">
        <w:rPr>
          <w:rFonts w:eastAsia="Calibri" w:cstheme="minorHAnsi"/>
          <w:lang w:val="en-GB"/>
        </w:rPr>
        <w:t xml:space="preserve">a </w:t>
      </w:r>
      <w:r w:rsidR="00DA3E74" w:rsidRPr="007A114B">
        <w:rPr>
          <w:rFonts w:eastAsia="Calibri" w:cstheme="minorHAnsi"/>
          <w:lang w:val="en-GB"/>
        </w:rPr>
        <w:t>high risk of bias and high heterogeneity (</w:t>
      </w:r>
      <w:r w:rsidR="00DA3E74" w:rsidRPr="007A114B">
        <w:rPr>
          <w:rFonts w:cstheme="minorHAnsi"/>
          <w:lang w:val="en-GB" w:eastAsia="en-GB"/>
        </w:rPr>
        <w:t>I²~90%).</w:t>
      </w:r>
    </w:p>
    <w:p w14:paraId="3ED9C851" w14:textId="2FE4D6DB" w:rsidR="0041646B" w:rsidRPr="007A114B" w:rsidRDefault="0041646B" w:rsidP="00EE1BD7">
      <w:pPr>
        <w:spacing w:after="120" w:line="480" w:lineRule="auto"/>
        <w:jc w:val="both"/>
        <w:rPr>
          <w:rFonts w:eastAsia="Calibri" w:cstheme="minorHAnsi"/>
          <w:lang w:val="en-GB"/>
        </w:rPr>
      </w:pPr>
      <w:r w:rsidRPr="007A114B">
        <w:rPr>
          <w:rFonts w:cstheme="minorHAnsi"/>
          <w:b/>
          <w:bCs/>
          <w:lang w:val="en-GB" w:eastAsia="en-GB"/>
        </w:rPr>
        <w:t xml:space="preserve">Level of Evidence: </w:t>
      </w:r>
      <w:r w:rsidR="00FC262B" w:rsidRPr="00E27D10">
        <w:rPr>
          <w:rFonts w:cstheme="minorHAnsi"/>
          <w:lang w:val="en-GB" w:eastAsia="en-GB"/>
        </w:rPr>
        <w:t xml:space="preserve">Level </w:t>
      </w:r>
      <w:r w:rsidR="00CF225D" w:rsidRPr="00E27D10">
        <w:rPr>
          <w:rFonts w:cstheme="minorHAnsi"/>
          <w:lang w:val="en-GB" w:eastAsia="en-GB"/>
        </w:rPr>
        <w:t>IV (</w:t>
      </w:r>
      <w:r w:rsidRPr="007A114B">
        <w:rPr>
          <w:rFonts w:cstheme="minorHAnsi"/>
          <w:lang w:val="en-GB" w:eastAsia="en-GB"/>
        </w:rPr>
        <w:t>Systematic Review of Level III and IV studies</w:t>
      </w:r>
      <w:r w:rsidR="00CF225D">
        <w:rPr>
          <w:rFonts w:cstheme="minorHAnsi"/>
          <w:lang w:val="en-GB" w:eastAsia="en-GB"/>
        </w:rPr>
        <w:t>)</w:t>
      </w:r>
      <w:r w:rsidRPr="007A114B">
        <w:rPr>
          <w:rFonts w:cstheme="minorHAnsi"/>
          <w:lang w:val="en-GB" w:eastAsia="en-GB"/>
        </w:rPr>
        <w:t>.</w:t>
      </w:r>
    </w:p>
    <w:p w14:paraId="6EF13481" w14:textId="6E900650" w:rsidR="002876D9" w:rsidRPr="007A114B" w:rsidRDefault="002876D9" w:rsidP="00EE1BD7">
      <w:pPr>
        <w:spacing w:after="120" w:line="480" w:lineRule="auto"/>
        <w:jc w:val="both"/>
        <w:rPr>
          <w:rFonts w:cstheme="minorHAnsi"/>
          <w:bCs/>
          <w:lang w:val="en-GB" w:eastAsia="en-GB"/>
        </w:rPr>
      </w:pPr>
      <w:r w:rsidRPr="007A114B">
        <w:rPr>
          <w:rFonts w:cstheme="minorHAnsi"/>
          <w:b/>
          <w:bCs/>
          <w:lang w:val="en-GB" w:eastAsia="en-GB"/>
        </w:rPr>
        <w:t>Keywords:</w:t>
      </w:r>
      <w:r w:rsidR="00ED4E79" w:rsidRPr="007A114B">
        <w:rPr>
          <w:rFonts w:eastAsia="Calibri" w:cstheme="minorHAnsi"/>
          <w:lang w:val="en-GB"/>
        </w:rPr>
        <w:t xml:space="preserve"> </w:t>
      </w:r>
      <w:r w:rsidR="003204F5" w:rsidRPr="007A114B">
        <w:rPr>
          <w:rFonts w:eastAsia="Calibri" w:cstheme="minorHAnsi"/>
          <w:lang w:val="en-GB"/>
        </w:rPr>
        <w:t xml:space="preserve">hip arthroscopy; </w:t>
      </w:r>
      <w:proofErr w:type="spellStart"/>
      <w:r w:rsidR="003204F5" w:rsidRPr="007A114B">
        <w:rPr>
          <w:rFonts w:eastAsia="Calibri" w:cstheme="minorHAnsi"/>
          <w:lang w:val="en-GB"/>
        </w:rPr>
        <w:t>femoroacetabular</w:t>
      </w:r>
      <w:proofErr w:type="spellEnd"/>
      <w:r w:rsidR="003204F5" w:rsidRPr="007A114B">
        <w:rPr>
          <w:rFonts w:eastAsia="Calibri" w:cstheme="minorHAnsi"/>
          <w:lang w:val="en-GB"/>
        </w:rPr>
        <w:t xml:space="preserve"> impingement; FAI; </w:t>
      </w:r>
      <w:r w:rsidR="003204F5" w:rsidRPr="007A114B">
        <w:rPr>
          <w:rFonts w:cstheme="minorHAnsi"/>
          <w:bCs/>
          <w:lang w:val="en-GB" w:eastAsia="en-GB"/>
        </w:rPr>
        <w:t>Hip Osteoarthritis; hip preservation</w:t>
      </w:r>
    </w:p>
    <w:p w14:paraId="5767C694" w14:textId="77777777" w:rsidR="001E1099" w:rsidRDefault="001E1099">
      <w:pPr>
        <w:rPr>
          <w:rFonts w:eastAsia="Calibri" w:cstheme="minorHAnsi"/>
          <w:b/>
          <w:bCs/>
          <w:lang w:val="en-GB"/>
        </w:rPr>
      </w:pPr>
      <w:r>
        <w:br w:type="page"/>
      </w:r>
    </w:p>
    <w:p w14:paraId="475FB08C" w14:textId="32468BA3" w:rsidR="00053382" w:rsidRPr="007A114B" w:rsidRDefault="007F2927" w:rsidP="001E1099">
      <w:pPr>
        <w:pStyle w:val="Heading1"/>
      </w:pPr>
      <w:r w:rsidRPr="007A114B">
        <w:lastRenderedPageBreak/>
        <w:t>INTRODUCTION</w:t>
      </w:r>
    </w:p>
    <w:p w14:paraId="017FDD37" w14:textId="3D789ADB" w:rsidR="008F728D" w:rsidRPr="007A114B" w:rsidRDefault="0028373C" w:rsidP="00C22CCE">
      <w:pPr>
        <w:keepLines/>
        <w:spacing w:after="120" w:line="480" w:lineRule="auto"/>
        <w:jc w:val="both"/>
        <w:rPr>
          <w:rFonts w:cstheme="minorHAnsi"/>
          <w:bCs/>
          <w:lang w:val="en-GB" w:eastAsia="en-GB"/>
        </w:rPr>
      </w:pPr>
      <w:proofErr w:type="spellStart"/>
      <w:r w:rsidRPr="007A114B">
        <w:rPr>
          <w:rFonts w:cstheme="minorHAnsi"/>
          <w:bCs/>
          <w:lang w:val="en-GB" w:eastAsia="en-GB"/>
        </w:rPr>
        <w:t>Femoroacetabular</w:t>
      </w:r>
      <w:proofErr w:type="spellEnd"/>
      <w:r w:rsidRPr="007A114B">
        <w:rPr>
          <w:rFonts w:cstheme="minorHAnsi"/>
          <w:bCs/>
          <w:lang w:val="en-GB" w:eastAsia="en-GB"/>
        </w:rPr>
        <w:t xml:space="preserve"> impingement (FAI) </w:t>
      </w:r>
      <w:r w:rsidR="00DD1153" w:rsidRPr="007A114B">
        <w:rPr>
          <w:rFonts w:cstheme="minorHAnsi"/>
          <w:bCs/>
          <w:lang w:val="en-GB" w:eastAsia="en-GB"/>
        </w:rPr>
        <w:t>represents</w:t>
      </w:r>
      <w:r w:rsidRPr="007A114B">
        <w:rPr>
          <w:rFonts w:cstheme="minorHAnsi"/>
          <w:bCs/>
          <w:lang w:val="en-GB" w:eastAsia="en-GB"/>
        </w:rPr>
        <w:t xml:space="preserve"> an abnormal hip morphology and </w:t>
      </w:r>
      <w:r w:rsidR="003E384D" w:rsidRPr="007A114B">
        <w:rPr>
          <w:rFonts w:cstheme="minorHAnsi"/>
          <w:bCs/>
          <w:lang w:val="en-GB" w:eastAsia="en-GB"/>
        </w:rPr>
        <w:t xml:space="preserve">has become an </w:t>
      </w:r>
      <w:r w:rsidRPr="007A114B">
        <w:rPr>
          <w:rFonts w:cstheme="minorHAnsi"/>
          <w:bCs/>
          <w:lang w:val="en-GB" w:eastAsia="en-GB"/>
        </w:rPr>
        <w:t>important cause of hip pain in young adults</w:t>
      </w:r>
      <w:r w:rsidR="003E384D" w:rsidRPr="007A114B">
        <w:rPr>
          <w:rFonts w:cstheme="minorHAnsi"/>
          <w:bCs/>
          <w:lang w:val="en-GB" w:eastAsia="en-GB"/>
        </w:rPr>
        <w:t xml:space="preserve"> in recent times</w:t>
      </w:r>
      <w:r w:rsidRPr="007A114B">
        <w:rPr>
          <w:rFonts w:cstheme="minorHAnsi"/>
          <w:bCs/>
          <w:lang w:val="en-GB" w:eastAsia="en-GB"/>
        </w:rPr>
        <w:t>.</w:t>
      </w:r>
      <w:r w:rsidR="004369B9"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{"citationItems":[{"id":"ITEM-1","itemData":{"DOI":"10.1302/2046-3758.99.BJR-2020-0003","ISSN":"2046-3758","abstract":"AIMS: Femoroacetabular impingement (FAI) describes abnormal bony contact of the proximal femur against the acetabulum. The term was first coined in 1999; however what is often overlooked is that descriptions of the morphology have existed in the literature for centuries. The aim of this paper is to delineate its origins and provide further clarity on FAI to shape future research. METHODS: A non-systematic search on PubMed was performed using keywords such as \"impingement\" or \"tilt deformity\" to find early anatomical descriptions of FAI. Relevant references from these primary studies were then followed up. RESULTS: Although FAI has existed for almost 5,000 years, the anatomical study by Henle in 1855 was the first to describe it in the literature. The relevance of the deformity was not appreciated at the time but this triggered the development of further anatomical studies. Parallel to this, Poland performed the first surgical correction of FAI in 1898 and subsequently, descriptions of similar procedures followed. In 1965, Murray outlined radiological evidence of idiopathic cam-type deformities and highlighted its significance. This led to a renewed focus on FAI and eventually, Ganz et al released their seminal paper that has become the foundation of our current understanding of FAI. Since then, there has been an exponential rise in published literature but finding a consensus, especially in the diagnosis of FAI, has proven to be difficult. CONCLUSION: Current research on FAI heavily focuses on new data, but old evidence does exist and studying it could be equally as important in clarifying the aetiology and classification of FAI.Cite this article: Bone Joint Res 2020;9(9):572-577.","author":[{"dropping-particle":"","family":"Matsumoto","given":"Kenki","non-dropping-particle":"","parse-names":false,"suffix":""},{"dropping-particle":"","family":"Ganz","given":"Reinhold","non-dropping-particle":"","parse-names":false,"suffix":""},{"dropping-particle":"","family":"Khanduja","given":"Vikas","non-dropping-particle":"","parse-names":false,"suffix":""}],"container-title":"Bone &amp; joint research","id":"ITEM-1","issue":"9","issued":{"date-parts":[["2020","9"]]},"language":"eng","page":"572-577","publisher":"The British Editorial Society of Bone and Joint Surgery","title":"The history of femoroacetabular impingement","type":"article-journal","volume":"9"},"uris":["http://www.mendeley.com/documents/?uuid=3c829e6e-c0b0-468a-9bfe-ad7706eb1f32"]}],"mendeley":{"formattedCitation":"&lt;sup&gt;1&lt;/sup&gt;","plainTextFormattedCitation":"1","previouslyFormattedCitation":"&lt;sup&gt;1&lt;/sup&gt;"},"properties":{"noteIndex":0},"schema":"https://github.com/citation-style-language/schema/raw/master/csl-citation.json"}</w:instrText>
      </w:r>
      <w:r w:rsidR="004369B9" w:rsidRPr="007221CC">
        <w:rPr>
          <w:rFonts w:cstheme="minorHAnsi"/>
          <w:bCs/>
          <w:lang w:val="en-GB" w:eastAsia="en-GB"/>
        </w:rPr>
        <w:fldChar w:fldCharType="separate"/>
      </w:r>
      <w:r w:rsidR="00434AC4" w:rsidRPr="007A114B">
        <w:rPr>
          <w:rFonts w:cstheme="minorHAnsi"/>
          <w:bCs/>
          <w:noProof/>
          <w:vertAlign w:val="superscript"/>
          <w:lang w:val="en-GB" w:eastAsia="en-GB"/>
        </w:rPr>
        <w:t>1</w:t>
      </w:r>
      <w:r w:rsidR="004369B9" w:rsidRPr="007221CC">
        <w:rPr>
          <w:rFonts w:cstheme="minorHAnsi"/>
          <w:bCs/>
          <w:lang w:val="en-GB" w:eastAsia="en-GB"/>
        </w:rPr>
        <w:fldChar w:fldCharType="end"/>
      </w:r>
      <w:r w:rsidRPr="007A114B">
        <w:rPr>
          <w:rFonts w:cstheme="minorHAnsi"/>
          <w:bCs/>
          <w:lang w:val="en-GB" w:eastAsia="en-GB"/>
        </w:rPr>
        <w:t xml:space="preserve"> </w:t>
      </w:r>
      <w:r w:rsidR="0042006E" w:rsidRPr="007A114B">
        <w:rPr>
          <w:rFonts w:cstheme="minorHAnsi"/>
          <w:bCs/>
          <w:lang w:val="en-GB" w:eastAsia="en-GB"/>
        </w:rPr>
        <w:t xml:space="preserve">It </w:t>
      </w:r>
      <w:r w:rsidRPr="007A114B">
        <w:rPr>
          <w:rFonts w:cstheme="minorHAnsi"/>
          <w:bCs/>
          <w:lang w:val="en-GB" w:eastAsia="en-GB"/>
        </w:rPr>
        <w:t xml:space="preserve">may lead to </w:t>
      </w:r>
      <w:r w:rsidR="0042006E" w:rsidRPr="007A114B">
        <w:rPr>
          <w:rFonts w:cstheme="minorHAnsi"/>
          <w:bCs/>
          <w:lang w:val="en-GB" w:eastAsia="en-GB"/>
        </w:rPr>
        <w:t xml:space="preserve">early </w:t>
      </w:r>
      <w:r w:rsidRPr="007A114B">
        <w:rPr>
          <w:rFonts w:cstheme="minorHAnsi"/>
          <w:bCs/>
          <w:lang w:val="en-GB" w:eastAsia="en-GB"/>
        </w:rPr>
        <w:t>development of hip osteoarthritis (OA)</w:t>
      </w:r>
      <w:r w:rsidR="00DD1153" w:rsidRPr="007A114B">
        <w:rPr>
          <w:rFonts w:cstheme="minorHAnsi"/>
          <w:bCs/>
          <w:lang w:val="en-GB" w:eastAsia="en-GB"/>
        </w:rPr>
        <w:t xml:space="preserve"> </w:t>
      </w:r>
      <w:r w:rsidR="00197B3B" w:rsidRPr="007A114B">
        <w:rPr>
          <w:rFonts w:cstheme="minorHAnsi"/>
          <w:bCs/>
          <w:lang w:val="en-GB" w:eastAsia="en-GB"/>
        </w:rPr>
        <w:t>in view of the abnormal stresses being placed on the joint</w:t>
      </w:r>
      <w:r w:rsidR="00DD1153" w:rsidRPr="007A114B">
        <w:rPr>
          <w:rFonts w:cstheme="minorHAnsi"/>
          <w:bCs/>
          <w:lang w:val="en-GB" w:eastAsia="en-GB"/>
        </w:rPr>
        <w:t xml:space="preserve">. </w:t>
      </w:r>
      <w:r w:rsidR="004369B9"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{"citationItems":[{"id":"ITEM-1","itemData":{"DOI":"10.1097/01.blo.0000096804.78689.c2","ISSN":"0009-921X (Print)","PMID":"14646708","abstract":"A multitude of factors including biochemical, genetic, and acquired abnormalities  may contribute to osteoarthritis of the hip. Although the pathomechanism of degenerative process affecting the dysplastic hip is well understood, the exact pathogenesis for idiopathic osteoarthritis has not been established. Based on clinical experience, with more than 600 surgical dislocations of the hip, allowing in situ inspection of the damage pattern and the dynamic proof of its origin, we propose femoroacetabular impingement as a mechanism for the development of early osteoarthritis for most nondysplastic hips. The concept focuses more on motion than on axial loading of the hip. Distinct clinical, radiographic, and intraoperative parameters can be used to confirm the diagnosis of this entity with timely delivery of treatment. Surgical treatment of femoroacetabular impingement focuses on improving the clearance for hip motion and alleviation of femoral abutment against the acetabular rim. It is proposed that early surgical intervention for treatment of femoroacetabular impingement, besides providing relief of symptoms, may decelerate the progression of the degenerative process for this group of young patients.","author":[{"dropping-particle":"","family":"Ganz","given":"Reinhold","non-dropping-particle":"","parse-names":false,"suffix":""},{"dropping-particle":"","family":"Parvizi","given":"Javad","non-dropping-particle":"","parse-names":false,"suffix":""},{"dropping-particle":"","family":"Beck","given":"Martin","non-dropping-particle":"","parse-names":false,"suffix":""},{"dropping-particle":"","family":"Leunig","given":"Michael","non-dropping-particle":"","parse-names":false,"suffix":""},{"dropping-particle":"","family":"Nötzli","given":"Hubert","non-dropping-particle":"","parse-names":false,"suffix":""},{"dropping-particle":"","family":"Siebenrock","given":"Klaus A","non-dropping-particle":"","parse-names":false,"suffix":""}],"container-title":"Clinical orthopaedics and related research","id":"ITEM-1","issue":"417","issued":{"date-parts":[["2003","12"]]},"language":"eng","page":"112-120","publisher-place":"United States","title":"Femoroacetabular impingement: a cause for osteoarthritis of the hip.","type":"article-journal"},"uris":["http://www.mendeley.com/documents/?uuid=fbbcbef8-5f50-41d2-8c65-e1c6efc72ab7"]}],"mendeley":{"formattedCitation":"&lt;sup&gt;2&lt;/sup&gt;","plainTextFormattedCitation":"2","previouslyFormattedCitation":"&lt;sup&gt;2&lt;/sup&gt;"},"properties":{"noteIndex":0},"schema":"https://github.com/citation-style-language/schema/raw/master/csl-citation.json"}</w:instrText>
      </w:r>
      <w:r w:rsidR="004369B9" w:rsidRPr="007221CC">
        <w:rPr>
          <w:rFonts w:cstheme="minorHAnsi"/>
          <w:bCs/>
          <w:lang w:val="en-GB" w:eastAsia="en-GB"/>
        </w:rPr>
        <w:fldChar w:fldCharType="separate"/>
      </w:r>
      <w:r w:rsidR="00434AC4" w:rsidRPr="007A114B">
        <w:rPr>
          <w:rFonts w:cstheme="minorHAnsi"/>
          <w:bCs/>
          <w:noProof/>
          <w:vertAlign w:val="superscript"/>
          <w:lang w:val="en-GB" w:eastAsia="en-GB"/>
        </w:rPr>
        <w:t>2</w:t>
      </w:r>
      <w:r w:rsidR="004369B9" w:rsidRPr="007221CC">
        <w:rPr>
          <w:rFonts w:cstheme="minorHAnsi"/>
          <w:bCs/>
          <w:lang w:val="en-GB" w:eastAsia="en-GB"/>
        </w:rPr>
        <w:fldChar w:fldCharType="end"/>
      </w:r>
      <w:r w:rsidR="00CF65DF" w:rsidRPr="007A114B">
        <w:rPr>
          <w:rFonts w:cstheme="minorHAnsi"/>
          <w:bCs/>
          <w:lang w:val="en-GB" w:eastAsia="en-GB"/>
        </w:rPr>
        <w:t xml:space="preserve"> </w:t>
      </w:r>
      <w:r w:rsidR="00DD1153" w:rsidRPr="007A114B">
        <w:rPr>
          <w:rFonts w:cstheme="minorHAnsi"/>
          <w:bCs/>
          <w:lang w:val="en-GB" w:eastAsia="en-GB"/>
        </w:rPr>
        <w:t xml:space="preserve">Initial treatment focuses on conservative </w:t>
      </w:r>
      <w:r w:rsidR="0042006E" w:rsidRPr="007A114B">
        <w:rPr>
          <w:rFonts w:cstheme="minorHAnsi"/>
          <w:bCs/>
          <w:lang w:val="en-GB" w:eastAsia="en-GB"/>
        </w:rPr>
        <w:t xml:space="preserve">measures </w:t>
      </w:r>
      <w:r w:rsidR="00DD1153" w:rsidRPr="007A114B">
        <w:rPr>
          <w:rFonts w:cstheme="minorHAnsi"/>
          <w:bCs/>
          <w:lang w:val="en-GB" w:eastAsia="en-GB"/>
        </w:rPr>
        <w:t>which include</w:t>
      </w:r>
      <w:r w:rsidRPr="007A114B">
        <w:rPr>
          <w:rFonts w:cstheme="minorHAnsi"/>
          <w:bCs/>
          <w:lang w:val="en-GB" w:eastAsia="en-GB"/>
        </w:rPr>
        <w:t xml:space="preserve"> activity-modification and physiotherapy</w:t>
      </w:r>
      <w:r w:rsidR="00DD1153" w:rsidRPr="007A114B">
        <w:rPr>
          <w:rFonts w:cstheme="minorHAnsi"/>
          <w:bCs/>
          <w:lang w:val="en-GB" w:eastAsia="en-GB"/>
        </w:rPr>
        <w:t>.</w:t>
      </w:r>
      <w:r w:rsidR="004369B9"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{"citationItems":[{"id":"ITEM-1","itemData":{"DOI":"10.1097/JSM.0000000000000516","ISSN":"15363724","PMID":"31241527","abstract":"Objective:To assess the efficacy of conservative management of women with femoroacetabular impingement (FAI) using trunk stabilization.Design:Randomized controlled trial (level of evidence: I).Subjects:Twenty FAI female patients who met the inclusion FAI criteria.Methods:A prospective, randomized, controlled study was performed on 20 female patients with symptomatic FAI comprising 2 groups (10 hips in trunk stabilization exercise group vs 10 hips in control group). We evaluated hip range of motion, isometric muscle strength using a handheld dynamometer (-TasMF-01; Anima, Co), and patient-reported outcome measures, including modified Harris hip score, Vail hip score, and international hip outcome tool 12 (iHOT12) before and at 4 weeks and 8 weeks after the intervention.Results:There was a significant improvement in the range of motion of hip flexion in the trunk training group detected as early as 4 weeks after the intervention compared with the control group (P &lt; 0.05). Hip abductor strength significantly improved in the trunk training group at 4 weeks after the intervention, whereas it did not improve in the control group (P &lt; 0.05). Vail hip score and iHOT12 were significantly increased at 8 weeks after the intervention in the trunk training group compared with the control group (iHOT12: 78.7 ± 22.4 vs 53.0 ± 22.3; P &lt; 0.01, Vail hip score: 81.6 ± 18.5 vs 61.1 ± 11.6; P &lt; 0.05). There was no significant difference in the modified Harris hip score between both the groups at 4 and 8 weeks after the intervention.Conclusions:The addition of trunk stabilization exercise to a typical hip rehabilitation protocol improves short-term clinical outcomes and may augment nonoperative and postoperative rehabilitation.","author":[{"dropping-particle":"","family":"Aoyama","given":"Michihisa","non-dropping-particle":"","parse-names":false,"suffix":""},{"dropping-particle":"","family":"Ohnishi","given":"Yasuo","non-dropping-particle":"","parse-names":false,"suffix":""},{"dropping-particle":"","family":"Utsunomiya","given":"Hajime","non-dropping-particle":"","parse-names":false,"suffix":""},{"dropping-particle":"","family":"Kanezaki","given":"Shiho","non-dropping-particle":"","parse-names":false,"suffix":""},{"dropping-particle":"","family":"Takeuchi","given":"Hiroki","non-dropping-particle":"","parse-names":false,"suffix":""},{"dropping-particle":"","family":"Watanuki","given":"Makoto","non-dropping-particle":"","parse-names":false,"suffix":""},{"dropping-particle":"","family":"Matsuda","given":"Dean K","non-dropping-particle":"","parse-names":false,"suffix":""},{"dropping-particle":"","family":"Uchida","given":"Soshi","non-dropping-particle":"","parse-names":false,"suffix":""}],"container-title":"Clinical Journal of Sport Medicine","id":"ITEM-1","issue":"4","issued":{"date-parts":[["2019","7"]]},"language":"eng","page":"267-275","publisher":"Clinical Journal of Sport Medicine","title":"A Prospective, Randomized, Controlled Trial Comparing Conservative Treatment with Trunk Stabilization Exercise to Standard Hip Muscle Exercise for Treating Femoroacetabular Impingement: A Pilot Study","type":"article-journal","volume":"29"},"uris":["http://www.mendeley.com/documents/?uuid=60e23705-66bc-4103-8d83-6d66d948a3bf"]}],"mendeley":{"formattedCitation":"&lt;sup&gt;3&lt;/sup&gt;","plainTextFormattedCitation":"3","previouslyFormattedCitation":"&lt;sup&gt;3&lt;/sup&gt;"},"properties":{"noteIndex":0},"schema":"https://github.com/citation-style-language/schema/raw/master/csl-citation.json"}</w:instrText>
      </w:r>
      <w:r w:rsidR="004369B9" w:rsidRPr="007221CC">
        <w:rPr>
          <w:rFonts w:cstheme="minorHAnsi"/>
          <w:bCs/>
          <w:lang w:val="en-GB" w:eastAsia="en-GB"/>
        </w:rPr>
        <w:fldChar w:fldCharType="separate"/>
      </w:r>
      <w:r w:rsidR="00434AC4" w:rsidRPr="007A114B">
        <w:rPr>
          <w:rFonts w:cstheme="minorHAnsi"/>
          <w:bCs/>
          <w:noProof/>
          <w:vertAlign w:val="superscript"/>
          <w:lang w:val="en-GB" w:eastAsia="en-GB"/>
        </w:rPr>
        <w:t>3</w:t>
      </w:r>
      <w:r w:rsidR="004369B9" w:rsidRPr="007221CC">
        <w:rPr>
          <w:rFonts w:cstheme="minorHAnsi"/>
          <w:bCs/>
          <w:lang w:val="en-GB" w:eastAsia="en-GB"/>
        </w:rPr>
        <w:fldChar w:fldCharType="end"/>
      </w:r>
      <w:r w:rsidRPr="007A114B">
        <w:rPr>
          <w:rFonts w:cstheme="minorHAnsi"/>
          <w:bCs/>
          <w:lang w:val="en-GB" w:eastAsia="en-GB"/>
        </w:rPr>
        <w:t xml:space="preserve"> </w:t>
      </w:r>
      <w:r w:rsidR="00DD1153" w:rsidRPr="007A114B">
        <w:rPr>
          <w:rFonts w:cstheme="minorHAnsi"/>
          <w:bCs/>
          <w:lang w:val="en-GB" w:eastAsia="en-GB"/>
        </w:rPr>
        <w:t>In cases where the conservative treatment is unsuccessful,</w:t>
      </w:r>
      <w:r w:rsidRPr="007A114B">
        <w:rPr>
          <w:rFonts w:cstheme="minorHAnsi"/>
          <w:bCs/>
          <w:lang w:val="en-GB" w:eastAsia="en-GB"/>
        </w:rPr>
        <w:t xml:space="preserve"> joint-preservation surgery</w:t>
      </w:r>
      <w:r w:rsidR="00DD1153" w:rsidRPr="007A114B">
        <w:rPr>
          <w:rFonts w:cstheme="minorHAnsi"/>
          <w:bCs/>
          <w:lang w:val="en-GB" w:eastAsia="en-GB"/>
        </w:rPr>
        <w:t xml:space="preserve"> can be considered: mainly hip arthroscopy (HA) or in specific cases, surgical hip dislocation</w:t>
      </w:r>
      <w:r w:rsidR="00197B3B" w:rsidRPr="007A114B">
        <w:rPr>
          <w:rFonts w:cstheme="minorHAnsi"/>
          <w:bCs/>
          <w:lang w:val="en-GB" w:eastAsia="en-GB"/>
        </w:rPr>
        <w:t xml:space="preserve"> or a periacetabular osteotomy (PAO)</w:t>
      </w:r>
      <w:r w:rsidRPr="007A114B">
        <w:rPr>
          <w:rFonts w:cstheme="minorHAnsi"/>
          <w:bCs/>
          <w:lang w:val="en-GB" w:eastAsia="en-GB"/>
        </w:rPr>
        <w:t>.</w:t>
      </w:r>
      <w:r w:rsidR="004369B9"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{"citationItems":[{"id":"ITEM-1","itemData":{"DOI":"10.1093/jhps/hnaa022","ISSN":"2054-8397","abstract":"Hip arthroscopic surgery for femoroacetabular impingement and periacetabular osteotomy (PAO) for dysplasia is the most commonly used contemporary treatment for these conditions and has been shown to provide pain relief and restore function. What is less understood and perhaps of more interest to health economists, is the role of these procedures in preserving the hip joint and avoiding hip arthroplasty. The aim of this systematic review was to determine whether hip joint preservation surgery, indeed, preserves the hip joint by looking at conversion rates to total hip arthroplasty (THA). Two separate searches were undertaken, using PRISMA guidelines and utilizing PubMed and Open Athens search engines, identifying manuscripts that looked at conversion to THA following either hip arthroscopy (HA) or PAO. When considering HA, we found 64 eligible papers. Out of these studies, there were 59 430 hips with 5627 undergoing conversion to THA (9.47% [95% CI 9.23-9.71%]) with a mean conversion time of 24.42 months. Regarding PAO, there were 46 eligible papers including 4862 patients who underwent PAO with subsequent conversion to THA in 404 patients (8.31% [95% CI 7.54-9.12%]). with a mean conversion time of 70.11 months. Certain features were associated with increased conversion rates, including increasing age, worsening arthritis and joint space &lt;2 mm. This study demonstrates that the mean conversion rates to be &lt;10% for HA and PAO, during the mean follow-up periods of included manuscripts. Joint preserving surgery appears to defer or at least delay the need for THA.","author":[{"dropping-particle":"","family":"Sohatee","given":"Mark Andrew","non-dropping-particle":"","parse-names":false,"suffix":""},{"dropping-particle":"","family":"Ali","given":"Mohammed","non-dropping-particle":"","parse-names":false,"suffix":""},{"dropping-particle":"","family":"Khanduja","given":"Vikas","non-dropping-particle":"","parse-names":false,"suffix":""},{"dropping-particle":"","family":"Malviya","given":"Ajay","non-dropping-particle":"","parse-names":false,"suffix":""}],"container-title":"Journal of hip preservation surgery","id":"ITEM-1","issue":"2","issued":{"date-parts":[["2020","6"]]},"language":"eng","page":"168-182","publisher":"Oxford University Press","title":"Does hip preservation surgery prevent arthroplasty? Quantifying the rate of conversion to arthroplasty following hip preservation surgery","type":"article-journal","volume":"7"},"uris":["http://www.mendeley.com/documents/?uuid=4c6e9a91-0c85-46ef-9f1f-6087a437d270"]}],"mendeley":{"formattedCitation":"&lt;sup&gt;4&lt;/sup&gt;","plainTextFormattedCitation":"4","previouslyFormattedCitation":"&lt;sup&gt;4&lt;/sup&gt;"},"properties":{"noteIndex":0},"schema":"https://github.com/citation-style-language/schema/raw/master/csl-citation.json"}</w:instrText>
      </w:r>
      <w:r w:rsidR="004369B9" w:rsidRPr="007221CC">
        <w:rPr>
          <w:rFonts w:cstheme="minorHAnsi"/>
          <w:bCs/>
          <w:lang w:val="en-GB" w:eastAsia="en-GB"/>
        </w:rPr>
        <w:fldChar w:fldCharType="separate"/>
      </w:r>
      <w:r w:rsidR="00434AC4" w:rsidRPr="007A114B">
        <w:rPr>
          <w:rFonts w:cstheme="minorHAnsi"/>
          <w:bCs/>
          <w:noProof/>
          <w:vertAlign w:val="superscript"/>
          <w:lang w:val="en-GB" w:eastAsia="en-GB"/>
        </w:rPr>
        <w:t>4</w:t>
      </w:r>
      <w:r w:rsidR="004369B9" w:rsidRPr="007221CC">
        <w:rPr>
          <w:rFonts w:cstheme="minorHAnsi"/>
          <w:bCs/>
          <w:lang w:val="en-GB" w:eastAsia="en-GB"/>
        </w:rPr>
        <w:fldChar w:fldCharType="end"/>
      </w:r>
      <w:r w:rsidRPr="007A114B">
        <w:rPr>
          <w:rFonts w:cstheme="minorHAnsi"/>
          <w:bCs/>
          <w:lang w:val="en-GB" w:eastAsia="en-GB"/>
        </w:rPr>
        <w:t xml:space="preserve"> The aim of such surgery is to reshape the hip joint to prevent </w:t>
      </w:r>
      <w:r w:rsidR="00197B3B" w:rsidRPr="007A114B">
        <w:rPr>
          <w:rFonts w:cstheme="minorHAnsi"/>
          <w:bCs/>
          <w:lang w:val="en-GB" w:eastAsia="en-GB"/>
        </w:rPr>
        <w:t xml:space="preserve">further </w:t>
      </w:r>
      <w:r w:rsidRPr="007A114B">
        <w:rPr>
          <w:rFonts w:cstheme="minorHAnsi"/>
          <w:bCs/>
          <w:lang w:val="en-GB" w:eastAsia="en-GB"/>
        </w:rPr>
        <w:t>impingement</w:t>
      </w:r>
      <w:r w:rsidR="007D7ECA"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{"citationItems":[{"id":"ITEM-1","itemData":{"DOI":"10.1007/s00264-014-2302-5","ISSN":"1432-5195","abstract":"Gait analysis is an objective tool that has been used to assess and monitor treatment for many musculoskeletal conditions. Recently, it has been used to assess the impact of femoro-acetabular impingement (FAI) on the hip and lower limb movements. There have been a fairly limited number of studies published so far reporting unexpected and inconsistent results, which calls for more research to be conducted in this arena. In the light of the limited data available, it has been challenging to reconcile the contradictions in some of these results, and therefore no coherent conclusions could be drawn. In this short article, we attempt to explain some of the abnormal kinematic and kinetic patterns associated with FAI by highlighting similarities between the gait seen in early osteoarthritis (OA) and that of FAI. We also propose an approach for future research in this field and emphasise the importance of quantifying early OA in FAI based on magnetic resonance imaging (MRI) scans and the amount of chondral damage seen during open or arthroscopic surgery.","author":[{"dropping-particle":"","family":"Alshameeri","given":"Zeiad","non-dropping-particle":"","parse-names":false,"suffix":""},{"dropping-particle":"","family":"Khanduja","given":"Vikas","non-dropping-particle":"","parse-names":false,"suffix":""}],"container-title":"International orthopaedics","edition":"2014/04/01","id":"ITEM-1","issue":"8","issued":{"date-parts":[["2014","8"]]},"language":"eng","page":"1615-1620","publisher":"Springer Berlin Heidelberg","title":"The effect of femoro-acetabular impingement on the kinematics and kinetics of the hip joint","type":"article-journal","volume":"38"},"uris":["http://www.mendeley.com/documents/?uuid=9d4bfc34-1d57-4687-9521-24edbb42c8a7"]}],"mendeley":{"formattedCitation":"&lt;sup&gt;5&lt;/sup&gt;","plainTextFormattedCitation":"5","previouslyFormattedCitation":"&lt;sup&gt;5&lt;/sup&gt;"},"properties":{"noteIndex":0},"schema":"https://github.com/citation-style-language/schema/raw/master/csl-citation.json"}</w:instrText>
      </w:r>
      <w:r w:rsidR="007D7ECA" w:rsidRPr="007221CC">
        <w:rPr>
          <w:rFonts w:cstheme="minorHAnsi"/>
          <w:bCs/>
          <w:lang w:val="en-GB" w:eastAsia="en-GB"/>
        </w:rPr>
        <w:fldChar w:fldCharType="separate"/>
      </w:r>
      <w:r w:rsidR="00434AC4" w:rsidRPr="007A114B">
        <w:rPr>
          <w:rFonts w:cstheme="minorHAnsi"/>
          <w:bCs/>
          <w:noProof/>
          <w:vertAlign w:val="superscript"/>
          <w:lang w:val="en-GB" w:eastAsia="en-GB"/>
        </w:rPr>
        <w:t>5</w:t>
      </w:r>
      <w:r w:rsidR="007D7ECA" w:rsidRPr="007221CC">
        <w:rPr>
          <w:rFonts w:cstheme="minorHAnsi"/>
          <w:bCs/>
          <w:lang w:val="en-GB" w:eastAsia="en-GB"/>
        </w:rPr>
        <w:fldChar w:fldCharType="end"/>
      </w:r>
      <w:r w:rsidR="00197B3B" w:rsidRPr="007A114B">
        <w:rPr>
          <w:rFonts w:cstheme="minorHAnsi"/>
          <w:bCs/>
          <w:lang w:val="en-GB" w:eastAsia="en-GB"/>
        </w:rPr>
        <w:t>, address labral and articular cartilage damage and finally resolve</w:t>
      </w:r>
      <w:r w:rsidR="007D7ECA" w:rsidRPr="007A114B">
        <w:rPr>
          <w:rFonts w:cstheme="minorHAnsi"/>
          <w:bCs/>
          <w:lang w:val="en-GB" w:eastAsia="en-GB"/>
        </w:rPr>
        <w:t xml:space="preserve"> any concomitant extra-articular causes if present.</w:t>
      </w:r>
      <w:r w:rsidR="007D7ECA"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{"citationItems":[{"id":"ITEM-1","itemData":{"DOI":"10.1177/1120700019831945","ISSN":"11207000","abstract":"© The Author(s) 2019. Introduction: Iliopsoas impingement occurs secondary to a tight iliopsoas tendon that causes impingement during movement. This review presents current aspects regarding the diagnosis of iliopsoas impingement and also exposes the readers to the possible anatomic and clinical variations together with the available treatment options. Methods: We conducted a narrative literature review with regard to non-arthroplasty iliopsoas impingement. Results: Iliopsoas impingement is characterised by a distinct pattern of labral pathology, with anteriorly localised labral damage, that does not extend to the anterosuperior portion of the acetabulum. Anterior groin pain and intermittent catching, snapping or popping of the hip are common symptoms. Non-specific focal tenderness is often found over the iliopsoas tendon at the level of the anterior aspect of the joint. The ‘C-sign’ and Impingment test are usually positive. Dynamic ultrasonography is also useful for confirming the diagnosis. Initial management of painful iliopsoas impingement should be conservative. When patients continue to have pain, an ultrasound-guided injection can provide relief and predict the response to the surgical release. For patients who have recurrent pain after local injection of steroids, arthroscopic release has shown to achieve effective results. Conclusions: Although different treatment options for iliopsoas impingement are emerging, the current standard of therapy is conservative followed by an arthroscopic tenotomy if necessary. Young adult hip surgeons should always keep this differential in mind in a patient presenting with groin pain and mechanical symptoms.","author":[{"dropping-particle":"","family":"Andronic","given":"O.","non-dropping-particle":"","parse-names":false,"suffix":""},{"dropping-particle":"","family":"Nakano","given":"N.","non-dropping-particle":"","parse-names":false,"suffix":""},{"dropping-particle":"","family":"Daivajna","given":"S.","non-dropping-particle":"","parse-names":false,"suffix":""},{"dropping-particle":"","family":"Board","given":"T.N.","non-dropping-particle":"","parse-names":false,"suffix":""},{"dropping-particle":"","family":"Khanduja","given":"V.","non-dropping-particle":"","parse-names":false,"suffix":""}],"container-title":"HIP International","id":"ITEM-1","issue":"5","issued":{"date-parts":[["2019"]]},"title":"non-arthroplasty iliopsoas impingement in athletes: a narrative literature review","type":"article-journal","volume":"29"},"uris":["http://www.mendeley.com/documents/?uuid=14b1b7cf-c65c-32ea-8ca8-46147fcc6c65"]}],"mendeley":{"formattedCitation":"&lt;sup&gt;6&lt;/sup&gt;","plainTextFormattedCitation":"6","previouslyFormattedCitation":"&lt;sup&gt;6&lt;/sup&gt;"},"properties":{"noteIndex":0},"schema":"https://github.com/citation-style-language/schema/raw/master/csl-citation.json"}</w:instrText>
      </w:r>
      <w:r w:rsidR="007D7ECA" w:rsidRPr="007221CC">
        <w:rPr>
          <w:rFonts w:cstheme="minorHAnsi"/>
          <w:bCs/>
          <w:lang w:val="en-GB" w:eastAsia="en-GB"/>
        </w:rPr>
        <w:fldChar w:fldCharType="separate"/>
      </w:r>
      <w:r w:rsidR="00434AC4" w:rsidRPr="007A114B">
        <w:rPr>
          <w:rFonts w:cstheme="minorHAnsi"/>
          <w:bCs/>
          <w:noProof/>
          <w:vertAlign w:val="superscript"/>
          <w:lang w:val="en-GB" w:eastAsia="en-GB"/>
        </w:rPr>
        <w:t>6</w:t>
      </w:r>
      <w:r w:rsidR="007D7ECA" w:rsidRPr="007221CC">
        <w:rPr>
          <w:rFonts w:cstheme="minorHAnsi"/>
          <w:bCs/>
          <w:lang w:val="en-GB" w:eastAsia="en-GB"/>
        </w:rPr>
        <w:fldChar w:fldCharType="end"/>
      </w:r>
      <w:r w:rsidR="008F728D" w:rsidRPr="007A114B">
        <w:rPr>
          <w:rFonts w:cstheme="minorHAnsi"/>
          <w:bCs/>
          <w:lang w:val="en-GB" w:eastAsia="en-GB"/>
        </w:rPr>
        <w:t xml:space="preserve"> </w:t>
      </w:r>
      <w:r w:rsidR="00197B3B" w:rsidRPr="007A114B">
        <w:rPr>
          <w:rFonts w:cstheme="minorHAnsi"/>
          <w:bCs/>
          <w:lang w:val="en-GB" w:eastAsia="en-GB"/>
        </w:rPr>
        <w:t>There is e</w:t>
      </w:r>
      <w:r w:rsidR="00B65ECD" w:rsidRPr="007A114B">
        <w:rPr>
          <w:rFonts w:cstheme="minorHAnsi"/>
          <w:bCs/>
          <w:lang w:val="en-GB" w:eastAsia="en-GB"/>
        </w:rPr>
        <w:t xml:space="preserve">vidence </w:t>
      </w:r>
      <w:r w:rsidR="00197B3B" w:rsidRPr="007A114B">
        <w:rPr>
          <w:rFonts w:cstheme="minorHAnsi"/>
          <w:bCs/>
          <w:lang w:val="en-GB" w:eastAsia="en-GB"/>
        </w:rPr>
        <w:t xml:space="preserve">to support </w:t>
      </w:r>
      <w:r w:rsidR="00B65ECD" w:rsidRPr="007A114B">
        <w:rPr>
          <w:rFonts w:cstheme="minorHAnsi"/>
          <w:bCs/>
          <w:lang w:val="en-GB" w:eastAsia="en-GB"/>
        </w:rPr>
        <w:t>that i</w:t>
      </w:r>
      <w:r w:rsidRPr="007A114B">
        <w:rPr>
          <w:rFonts w:cstheme="minorHAnsi"/>
          <w:bCs/>
          <w:lang w:val="en-GB" w:eastAsia="en-GB"/>
        </w:rPr>
        <w:t xml:space="preserve">ntra-articular </w:t>
      </w:r>
      <w:r w:rsidR="007D7ECA" w:rsidRPr="007A114B">
        <w:rPr>
          <w:rFonts w:cstheme="minorHAnsi"/>
          <w:bCs/>
          <w:lang w:val="en-GB" w:eastAsia="en-GB"/>
        </w:rPr>
        <w:t xml:space="preserve">damage </w:t>
      </w:r>
      <w:r w:rsidR="00197B3B" w:rsidRPr="007A114B">
        <w:rPr>
          <w:rFonts w:cstheme="minorHAnsi"/>
          <w:bCs/>
          <w:lang w:val="en-GB" w:eastAsia="en-GB"/>
        </w:rPr>
        <w:t xml:space="preserve">in the form of labral tears </w:t>
      </w:r>
      <w:r w:rsidR="00B65ECD" w:rsidRPr="007A114B">
        <w:rPr>
          <w:rFonts w:cstheme="minorHAnsi"/>
          <w:bCs/>
          <w:lang w:val="en-GB" w:eastAsia="en-GB"/>
        </w:rPr>
        <w:t>should be</w:t>
      </w:r>
      <w:r w:rsidR="007D7ECA" w:rsidRPr="007A114B">
        <w:rPr>
          <w:rFonts w:cstheme="minorHAnsi"/>
          <w:bCs/>
          <w:lang w:val="en-GB" w:eastAsia="en-GB"/>
        </w:rPr>
        <w:t xml:space="preserve"> addressed with </w:t>
      </w:r>
      <w:r w:rsidR="00197B3B" w:rsidRPr="007A114B">
        <w:rPr>
          <w:rFonts w:cstheme="minorHAnsi"/>
          <w:bCs/>
          <w:lang w:val="en-GB" w:eastAsia="en-GB"/>
        </w:rPr>
        <w:t xml:space="preserve">a </w:t>
      </w:r>
      <w:r w:rsidR="007D7ECA" w:rsidRPr="007A114B">
        <w:rPr>
          <w:rFonts w:cstheme="minorHAnsi"/>
          <w:bCs/>
          <w:lang w:val="en-GB" w:eastAsia="en-GB"/>
        </w:rPr>
        <w:t xml:space="preserve">repair or </w:t>
      </w:r>
      <w:r w:rsidR="00197B3B" w:rsidRPr="007A114B">
        <w:rPr>
          <w:rFonts w:cstheme="minorHAnsi"/>
          <w:bCs/>
          <w:lang w:val="en-GB" w:eastAsia="en-GB"/>
        </w:rPr>
        <w:t>reconstruction for optimal outcomes</w:t>
      </w:r>
      <w:r w:rsidR="00B65ECD" w:rsidRPr="007A114B">
        <w:rPr>
          <w:rFonts w:cstheme="minorHAnsi"/>
          <w:bCs/>
          <w:lang w:val="en-GB" w:eastAsia="en-GB"/>
        </w:rPr>
        <w:t>.</w:t>
      </w:r>
      <w:r w:rsidR="00FB701B" w:rsidRPr="007221CC">
        <w:rPr>
          <w:rFonts w:cstheme="minorHAnsi"/>
          <w:bCs/>
          <w:lang w:val="en-GB" w:eastAsia="en-GB"/>
        </w:rPr>
        <w:fldChar w:fldCharType="begin" w:fldLock="1"/>
      </w:r>
      <w:r w:rsidR="00F67506" w:rsidRPr="007A114B">
        <w:rPr>
          <w:rFonts w:cstheme="minorHAnsi"/>
          <w:bCs/>
          <w:lang w:val="en-GB" w:eastAsia="en-GB"/>
        </w:rPr>
        <w:instrText>ADDIN CSL_CITATION {"citationItems":[{"id":"ITEM-1","itemData":{"DOI":"10.1097/JSA.0000000000000282","ISSN":"1538-1951 (Electronic)","PMID":"33395227","abstract":"Advances in hip preservation surgery have to lead to increased utilization of hip  arthroscopy. With this, there has also been a growth in the understanding of various hip conditions, therefore, leading to an increase in hip conditions amenable to arthroscopic intervention. The acetabular hip labrum has been at the forefront of arthroscopic advances in the hip. The labrum is important for hip stability, provision of the suction seal, and joint proprioception. Given the labrum's central role in hip biomechanics, there is increasing emphasis on labral preservation in the form of debridement and repair. In revision settings, advanced techniques such as labral augmentation and reconstruction may play a role in the management of labral pathology. Appropriate management of the hip labrum at the time of surgery can be an important mediator of the outcome. As such, an understanding of the evolving evidence base and surgical indications and techniques are integral to the treatment and management of labral pathology.","author":[{"dropping-particle":"","family":"Nwachukwu","given":"Benedict","non-dropping-particle":"","parse-names":false,"suffix":""},{"dropping-particle":"","family":"Rasio","given":"Jonathan","non-dropping-particle":"","parse-names":false,"suffix":""},{"dropping-particle":"","family":"Sullivan","given":"Spencer","non-dropping-particle":"","parse-names":false,"suffix":""},{"dropping-particle":"","family":"Okoroha","given":"Kelechi","non-dropping-particle":"","parse-names":false,"suffix":""},{"dropping-particle":"","family":"Mather","given":"Richard C","non-dropping-particle":"","parse-names":false,"suffix":""},{"dropping-particle":"","family":"Nho","given":"Shane J","non-dropping-particle":"","parse-names":false,"suffix":""}],"container-title":"Sports medicine and arthroscopy review","id":"ITEM-1","issue":"1","issued":{"date-parts":[["2021","3"]]},"language":"eng","page":"e1-e8","publisher-place":"United States","title":"Surgical Treatment of Labral Tears: Debridement, Repair, and Reconstruction.","type":"article-journal","volume":"29"},"uris":["http://www.mendeley.com/documents/?uuid=e3780728-4ad7-44a9-987f-f139f21c347e"]},{"id":"ITEM-2","itemData":{"DOI":"10.1016/j.arthro.2020.08.018","ISSN":"1526-3231 (Electronic)","PMID":"33039034","abstract":"In the field of hip preservation, arthroscopic labral reconstruction is indicated  for acetabular labral deficiency. Controversies regarding hip labral reconstruction abound, including primary versus revision indications, and circumferential versus segmental reconstruction. The goal of hip preservation surgery is to correct bony cam and pincer lesions associated with femoroacetabular impingement, and to restore the soft tissue, including cartilage and the labrum. Ideally, restoration of the chondrolabral junction reestablishes a suction seal, enhancing synovial fluid pressurization, resisting distraction, and enhancing stability. Labral reconstruction incorporating the transverse acetabular ligament may better restore a seal. Both hip labral repair and reconstruction result in excellent, evidence-based short-term outcomes including pain relief, function, and return to sport.","author":[{"dropping-particle":"","family":"Harris","given":"Joshua D","non-dropping-particle":"","parse-names":false,"suffix":""},{"dropping-particle":"","family":"Brand","given":"Jefferson C","non-dropping-particle":"","parse-names":false,"suffix":""},{"dropping-particle":"","family":"Rossi","given":"Michael J","non-dropping-particle":"","parse-names":false,"suffix":""},{"dropping-particle":"","family":"Lubowitz","given":"James H","non-dropping-particle":"","parse-names":false,"suffix":""}],"container-title":"Arthroscopy : the journal of arthroscopic &amp; related surgery : official publication  of the Arthroscopy Association of North America and the International Arthroscopy Association","id":"ITEM-2","issue":"10","issued":{"date-parts":[["2020","10"]]},"language":"eng","page":"2573-2577","publisher-place":"United States","title":"Irreparable Hip Labral Tears and Femoroacetabular Impingement Syndrome: Labral  Reconstruction Incorporating the Transverse Acetabular Ligament May Restore the Suction Seal.","type":"article","volume":"36"},"uris":["http://www.mendeley.com/documents/?uuid=c2347eb9-8bb3-427b-bc8e-900180d07a07"]},{"id":"ITEM-3","itemData":{"DOI":"10.1177/1120700020965162","ISSN":"1724-6067 (Electronic)","PMID":"33090881","abstract":"PURPOSE: To perform a systematic review comparing patient-reported outcomes (PROs)  in patients who underwent hip arthroscopy with labral repair versus labral reconstruction in the setting of femoroacetabular impingement syndrome (FAIS) and labral tears. METHODS: A systematic review of the PubMed, Embase, and Cochrane databases was performed in May 2020 using the Preferred Reporting Items for Systematic Reviews and Meta-Analyses guidelines and checklist. Articles were included in the analysis if they compared PROs between a labral repair and labral reconstruction cohort. For all PROs, the standardised mean difference (SMD) was calculated to compare the effect size of labral repair and labral reconstruction. RESULTS: 10 comparative studies, with 582 reconstruction cases and 631 repair cases, were included in this analysis. The mean age for the reconstruction and the repair groups ranged from 27.0 years to 52.6 years and 27.5 years to 47.0 years, respectively. The mean follow-up for the reconstruction and the repair groups ranged from 24.0 months to 66.0 months and 24.0 months to 71.0 months, respectively. The modified Harris Hip Scores (mHHS) was favourable in 8 reconstruction studies (range 80.4-95.0) and 9 repair studies (range 84.1-93.0). Average NAHS scores for the repair and reconstruction cohorts ranged from 77.9-88.6 and 73.9-92.4, respectively. Additionally, the effect sizes regarding NAHS and mHHS scores were large (SMD &gt; 0.8) in both the reconstruction and repair groups for the majority of studies. Finally, reconstruction patients underwent a subsequent total hip arthroplasty (THA) at a slightly higher rate. CONCLUSIONS: In the setting of FAIS and labral tears, patients who underwent hip arthroscopy may expect significant improvement in PROs at short-term follow-up with either labral repair or labral reconstruction. Although, not statistically significant, the repair group trended towards higher scores and exhibited a lower risk of conversion to THA.","author":[{"dropping-particle":"","family":"Maldonado","given":"David R","non-dropping-particle":"","parse-names":false,"suffix":""},{"dropping-particle":"","family":"Kyin","given":"Cynthia","non-dropping-particle":"","parse-names":false,"suffix":""},{"dropping-particle":"","family":"Chen","given":"Sarah L","non-dropping-particle":"","parse-names":false,"suffix":""},{"dropping-particle":"","family":"Rosinksy","given":"Philip J","non-dropping-particle":"","parse-names":false,"suffix":""},{"dropping-particle":"","family":"Shapira","given":"Jacob","non-dropping-particle":"","parse-names":false,"suffix":""},{"dropping-particle":"","family":"Meghpara","given":"Mitchell B","non-dropping-particle":"","parse-names":false,"suffix":""},{"dropping-particle":"","family":"Lall","given":"Ajay C","non-dropping-particle":"","parse-names":false,"suffix":""},{"dropping-particle":"","family":"Domb","given":"Benjamin G","non-dropping-particle":"","parse-names":false,"suffix":""}],"container-title":"Hip international : the journal of clinical and experimental research on hip  pathology and therapy","id":"ITEM-3","issued":{"date-parts":[["2020","10"]]},"language":"eng","page":"1120700020965162","publisher-place":"United States","title":"In search of labral restoration function with hip arthroscopy: outcomes of hip  labral reconstruction versus labral repair: a systematic review.","type":"article-journal"},"uris":["http://www.mendeley.com/documents/?uuid=2237fae8-f988-406f-884f-879617f526a4"]}],"mendeley":{"formattedCitation":"&lt;sup&gt;7–9&lt;/sup&gt;","plainTextFormattedCitation":"7–9","previouslyFormattedCitation":"&lt;sup&gt;7–9&lt;/sup&gt;"},"properties":{"noteIndex":0},"schema":"https://github.com/citation-style-language/schema/raw/master/csl-citation.json"}</w:instrText>
      </w:r>
      <w:r w:rsidR="00FB701B" w:rsidRPr="007221CC">
        <w:rPr>
          <w:rFonts w:cstheme="minorHAnsi"/>
          <w:bCs/>
          <w:lang w:val="en-GB" w:eastAsia="en-GB"/>
        </w:rPr>
        <w:fldChar w:fldCharType="separate"/>
      </w:r>
      <w:r w:rsidR="00434AC4" w:rsidRPr="007A114B">
        <w:rPr>
          <w:rFonts w:cstheme="minorHAnsi"/>
          <w:bCs/>
          <w:noProof/>
          <w:vertAlign w:val="superscript"/>
          <w:lang w:val="en-GB" w:eastAsia="en-GB"/>
        </w:rPr>
        <w:t>7–9</w:t>
      </w:r>
      <w:r w:rsidR="00FB701B" w:rsidRPr="007221CC">
        <w:rPr>
          <w:rFonts w:cstheme="minorHAnsi"/>
          <w:bCs/>
          <w:lang w:val="en-GB" w:eastAsia="en-GB"/>
        </w:rPr>
        <w:fldChar w:fldCharType="end"/>
      </w:r>
      <w:r w:rsidR="00B65ECD" w:rsidRPr="007A114B">
        <w:rPr>
          <w:rFonts w:cstheme="minorHAnsi"/>
          <w:bCs/>
          <w:lang w:val="en-GB" w:eastAsia="en-GB"/>
        </w:rPr>
        <w:t xml:space="preserve"> </w:t>
      </w:r>
      <w:r w:rsidR="00197B3B" w:rsidRPr="007A114B">
        <w:rPr>
          <w:rFonts w:cstheme="minorHAnsi"/>
          <w:bCs/>
          <w:lang w:val="en-GB" w:eastAsia="en-GB"/>
        </w:rPr>
        <w:t>Furthermore</w:t>
      </w:r>
      <w:r w:rsidR="00B65ECD" w:rsidRPr="007A114B">
        <w:rPr>
          <w:rFonts w:cstheme="minorHAnsi"/>
          <w:bCs/>
          <w:lang w:val="en-GB" w:eastAsia="en-GB"/>
        </w:rPr>
        <w:t xml:space="preserve">, </w:t>
      </w:r>
      <w:r w:rsidR="00197B3B" w:rsidRPr="007A114B">
        <w:rPr>
          <w:rFonts w:cstheme="minorHAnsi"/>
          <w:bCs/>
          <w:lang w:val="en-GB" w:eastAsia="en-GB"/>
        </w:rPr>
        <w:t xml:space="preserve">along with debridement and microfracture, there are </w:t>
      </w:r>
      <w:r w:rsidR="00B65ECD" w:rsidRPr="007A114B">
        <w:rPr>
          <w:rFonts w:cstheme="minorHAnsi"/>
          <w:bCs/>
          <w:lang w:val="en-GB" w:eastAsia="en-GB"/>
        </w:rPr>
        <w:t>different</w:t>
      </w:r>
      <w:r w:rsidR="007D7ECA" w:rsidRPr="007A114B">
        <w:rPr>
          <w:rFonts w:cstheme="minorHAnsi"/>
          <w:bCs/>
          <w:lang w:val="en-GB" w:eastAsia="en-GB"/>
        </w:rPr>
        <w:t xml:space="preserve"> biological regenerative techniques </w:t>
      </w:r>
      <w:r w:rsidR="00B65ECD" w:rsidRPr="007A114B">
        <w:rPr>
          <w:rFonts w:cstheme="minorHAnsi"/>
          <w:bCs/>
          <w:lang w:val="en-GB" w:eastAsia="en-GB"/>
        </w:rPr>
        <w:t xml:space="preserve">being </w:t>
      </w:r>
      <w:r w:rsidR="00FB701B" w:rsidRPr="007A114B">
        <w:rPr>
          <w:rFonts w:cstheme="minorHAnsi"/>
          <w:bCs/>
          <w:lang w:val="en-GB" w:eastAsia="en-GB"/>
        </w:rPr>
        <w:t xml:space="preserve">continuously </w:t>
      </w:r>
      <w:r w:rsidR="00B65ECD" w:rsidRPr="007A114B">
        <w:rPr>
          <w:rFonts w:cstheme="minorHAnsi"/>
          <w:bCs/>
          <w:lang w:val="en-GB" w:eastAsia="en-GB"/>
        </w:rPr>
        <w:t>developed</w:t>
      </w:r>
      <w:r w:rsidR="00197B3B" w:rsidRPr="007A114B">
        <w:rPr>
          <w:rFonts w:cstheme="minorHAnsi"/>
          <w:bCs/>
          <w:lang w:val="en-GB" w:eastAsia="en-GB"/>
        </w:rPr>
        <w:t xml:space="preserve"> for addressing articular cartilage injury in patients with FAI.</w:t>
      </w:r>
      <w:r w:rsidR="00FB701B" w:rsidRPr="007221CC">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{"citationItems":[{"id":"ITEM-1","itemData":{"DOI":"10.1007/s00264-018-3862-6","ISSN":"1432-5195 (Electronic)","PMID":"29536127","abstract":"OBJECTIVE/PURPOSE: The aim of the study was to assess the options of treatment and  their related outcomes for chondral injuries in the hip based on the available evidence whilst highlighting new and innovative techniques. METHODS: A systematic review of the literature from PubMed (Medline), EMBASE, Google Scholar, British Nursing Index (BNI), Cumulative Index to Nursing and Allied Health Literature (CINAHL) and Allied and Complementary Medicine Database (AMED) was undertaken from their inception to March 2017 using the Preferred Reporting Items for Systematic Reviews and Meta-Analyses (PRISMA) guidelines. Clinical outcome studies, prospective/retrospective case series and case reports that described the outcome of cartilage repair technique for the chondral injury in the hip were included. Studies on total hip replacement, animal studies, basic studies, trial protocols and review articles were excluded. RESULTS: The systematic review found 21 relevant papers with 596 hips. Over 80% of the included studies were published in or after 2010. Most studies were case series or case reports (18 studies, 85.7%). Arthroscopy was used in 11 studies (52.4%). The minimum follow-up period was six months. Mean age of the participants was 37.2 years; 93.5% of patients had cartilage injuries of the acetabulum and 6.5% of them had injuries of the femoral head. Amongst the 11 techniques described in the systematic review, autologous matrix-induced chondrogenesis, osteochondral autograft transplantation and microfracture were the three frequently reported techniques. CONCLUSION: Over ten different techniques are available for cartilage repair in the hip, and most of them have good short- to medium-term outcomes. However, there are no robust comparative studies to assess superiority of one technique over another, and further research is required in this arena.","author":[{"dropping-particle":"","family":"Nakano","given":"Naoki","non-dropping-particle":"","parse-names":false,"suffix":""},{"dropping-particle":"","family":"Gohal","given":"Chetan","non-dropping-particle":"","parse-names":false,"suffix":""},{"dropping-particle":"","family":"Duong","given":"Andrew","non-dropping-particle":"","parse-names":false,"suffix":""},{"dropping-particle":"","family":"Ayeni","given":"Olufemi R","non-dropping-particle":"","parse-names":false,"suffix":""},{"dropping-particle":"","family":"Khanduja","given":"Vikas","non-dropping-particle":"","parse-names":false,"suffix":""}],"container-title":"International orthopaedics","id":"ITEM-1","issue":"10","issued":{"date-parts":[["2018","10"]]},"language":"eng","page":"2309-2322","publisher-place":"Germany","title":"Outcomes of cartilage repair techniques for chondral injury in the hip-a systematic  review.","type":"article-journal","volume":"42"},"uris":["http://www.mendeley.com/documents/?uuid=45895bdf-1588-444f-90de-a858e44ca3f8"]},{"id":"ITEM-2","itemData":{"DOI":"10.1007/s00264-011-1278-7","ISSN":"1432-5195 (Electronic)","PMID":"21755334","abstract":"Femoroacetabular impingement is becoming increasingly recognised as a cause of hip  pain in the young adult. It is thought that the condition may lead to acetabular labral tears, chondro-labral separation, chondral delamination and eventually predispose to osteoarthritis of the hip. Efforts have thus been directed to diagnosing and treating the underlying pathology and subsequent sequelae. This article presents the relevant literature with regards to the aetiology of femoroacetabular impingement, its clinical features, investigations and options of management. Finally outcomes relating to both open and arthroscopic approaches to treatment are discussed.","author":[{"dropping-particle":"","family":"Imam","given":"Samirul","non-dropping-particle":"","parse-names":false,"suffix":""},{"dropping-particle":"","family":"Khanduja","given":"Vikas","non-dropping-particle":"","parse-names":false,"suffix":""}],"container-title":"International orthopaedics","id":"ITEM-2","issue":"10","issued":{"date-parts":[["2011","10"]]},"language":"eng","page":"1427-1435","title":"Current concepts in the diagnosis and management of femoroacetabular impingement.","type":"article-journal","volume":"35"},"uris":["http://www.mendeley.com/documents/?uuid=c7c32f46-9dbe-4310-9404-ba736239f783"]},{"id":"ITEM-3","itemData":{"DOI":"10.1177/0363546520974378","ISSN":"1552-3365 (Electronic)","PMID":"33237821","abstract":"BACKGROUND: Femoroacetabular impingement (FAI) is increasingly recognized as a cause  of hip pain in young adults. The condition leads to chondrolabral separation and chondral delamination and eventually predisposes to osteoarthritis of the hip. FAI that inflicts cartilage damage has been observed in hips with abnormal morphological characteristics and is related to a long-term evolution toward osteoarthritis. Arthroscopic surgery, which allows for correction of morphological characteristics and restores impingement-free motions, is the current standard of treatment. HYPOTHESIS: Arthroscopic cam resection can restore the normal mechanical environment of the hip joint in cam-type FAI. STUDY DESIGN: Descriptive laboratory study. METHODS: Patient-specific discrete element models from 10 patients with cam-type FAI (all male; age, 18-40 years) were defined based on preoperative computed tomography scans and postoperative magnetic resonance imaging (MRI) scans. Complete cam resection postoperatively on MRI was confirmed with alpha angles &lt;55°. The preoperative and postoperative peak contact stress findings during impingement testing were compared against a matched control group. RESULTS: Peak contact stress was significantly elevated in patients with cam-type FAI during impingement testing, with increasing amounts of internal hip rotation (26.6 ± 11.64 MPa in cam patients preoperatively, 12.1 ± 4.62 MPa in those same patients postoperatively, and 11.4 ± 1.72 MPa in the virtual control group during impingement testing at 20° of internal hip rotation; P &lt; .01). This effect was normalized after arthroscopic cam resection and loading patterns matched those of the control group. CONCLUSION: Accurate arthroscopic cam resection restored the normal peak joint contact stresses in the hip joint. This highlights the importance of early and complete cam resections in the face of a positive diagnosis of cam-type FAI. CLINICAL RELEVANCE: Treatment of cam-type FAI effectively normalizes hip joint contact mechanics.","author":[{"dropping-particle":"","family":"Houcke","given":"Jan","non-dropping-particle":"Van","parse-names":false,"suffix":""},{"dropping-particle":"","family":"Khanduja","given":"Vikas","non-dropping-particle":"","parse-names":false,"suffix":""},{"dropping-particle":"","family":"Audenaert","given":"Emmanuel A","non-dropping-particle":"","parse-names":false,"suffix":""}],"container-title":"The American journal of sports medicine","id":"ITEM-3","issue":"1","issued":{"date-parts":[["2021","1"]]},"language":"eng","page":"42-48","publisher-place":"United States","title":"Accurate Arthroscopic Cam Resection Normalizes Contact Stresses in Patients With  Femoroacetabular Impingement.","type":"article-journal","volume":"49"},"uris":["http://www.mendeley.com/documents/?uuid=6cf5c051-3ac7-429b-9c20-2d5cc0798b6f"]}],"mendeley":{"formattedCitation":"&lt;sup&gt;10–12&lt;/sup&gt;","plainTextFormattedCitation":"10–12","previouslyFormattedCitation":"&lt;sup&gt;10–12&lt;/sup&gt;"},"properties":{"noteIndex":0},"schema":"https://github.com/citation-style-language/schema/raw/master/csl-citation.json"}</w:instrText>
      </w:r>
      <w:r w:rsidR="00FB701B" w:rsidRPr="007221CC">
        <w:rPr>
          <w:rFonts w:cstheme="minorHAnsi"/>
          <w:bCs/>
          <w:lang w:val="en-GB" w:eastAsia="en-GB"/>
        </w:rPr>
        <w:fldChar w:fldCharType="separate"/>
      </w:r>
      <w:r w:rsidR="00FD0FF3" w:rsidRPr="007A114B">
        <w:rPr>
          <w:rFonts w:cstheme="minorHAnsi"/>
          <w:bCs/>
          <w:noProof/>
          <w:vertAlign w:val="superscript"/>
          <w:lang w:val="en-GB" w:eastAsia="en-GB"/>
        </w:rPr>
        <w:t>10–12</w:t>
      </w:r>
      <w:r w:rsidR="00FB701B" w:rsidRPr="007221CC">
        <w:rPr>
          <w:rFonts w:cstheme="minorHAnsi"/>
          <w:bCs/>
          <w:lang w:val="en-GB" w:eastAsia="en-GB"/>
        </w:rPr>
        <w:fldChar w:fldCharType="end"/>
      </w:r>
    </w:p>
    <w:p w14:paraId="516FBB47" w14:textId="49F8708B" w:rsidR="0028373C" w:rsidRPr="007A114B" w:rsidRDefault="004C1059" w:rsidP="00C22CCE">
      <w:pPr>
        <w:keepLines/>
        <w:spacing w:after="120" w:line="480" w:lineRule="auto"/>
        <w:jc w:val="both"/>
        <w:rPr>
          <w:rFonts w:cstheme="minorHAnsi"/>
          <w:bCs/>
          <w:lang w:val="en-GB" w:eastAsia="en-GB"/>
        </w:rPr>
      </w:pPr>
      <w:r w:rsidRPr="007A114B">
        <w:rPr>
          <w:rFonts w:cstheme="minorHAnsi"/>
          <w:bCs/>
          <w:lang w:val="en-GB" w:eastAsia="en-GB"/>
        </w:rPr>
        <w:t>H</w:t>
      </w:r>
      <w:r w:rsidR="008F728D" w:rsidRPr="007A114B">
        <w:rPr>
          <w:rFonts w:cstheme="minorHAnsi"/>
          <w:bCs/>
          <w:lang w:val="en-GB" w:eastAsia="en-GB"/>
        </w:rPr>
        <w:t>igh quality RCTs</w:t>
      </w:r>
      <w:r w:rsidR="00FB701B" w:rsidRPr="007A114B">
        <w:rPr>
          <w:rFonts w:cstheme="minorHAnsi"/>
          <w:bCs/>
          <w:lang w:val="en-GB" w:eastAsia="en-GB"/>
        </w:rPr>
        <w:t>,</w:t>
      </w:r>
      <w:r w:rsidR="008F728D" w:rsidRPr="007A114B">
        <w:rPr>
          <w:rFonts w:cstheme="minorHAnsi"/>
          <w:bCs/>
          <w:lang w:val="en-GB" w:eastAsia="en-GB"/>
        </w:rPr>
        <w:t xml:space="preserve"> </w:t>
      </w:r>
      <w:r w:rsidR="00FB701B" w:rsidRPr="007221CC">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{"citationItems":[{"id":"ITEM-1","itemData":{"DOI":"10.1136/bmj.l185","ISSN":"1756-1833 (Electronic)","PMID":"30733197","abstract":"OBJECTIVE: To compare arthroscopic hip surgery with physiotherapy and activity  modification for improving patient reported outcome measures in patients with symptomatic femoroacetabular impingement (FAI). DESIGN: Two group parallel, assessor blinded, pragmatic randomised controlled trial. SETTING: Secondary and tertiary care centres across seven NHS England sites. PARTICIPANTS: 222 participants aged 18 to 60 years with symptomatic FAI confirmed clinically and with imaging (radiography or magnetic resonance imaging) were randomised (1:1) to receive arthroscopic hip surgery (n=112) or a programme of physiotherapy and activity modification (n=110). Exclusion criteria included previous surgery, completion of a physiotherapy programme targeting FAI within the preceding 12 months, established osteoarthritis (Kellgren-Lawrence grade ≥2), and hip dysplasia (centre-edge angle &lt;20 degrees). INTERVENTIONS: Participants in the physiotherapy group received a goal based programme tailored to individual patient needs, with emphasis on improving core stability and movement control. A maximum of eight physiotherapy sessions were delivered over five months. Participants in the arthroscopic surgery group received surgery to excise the bone that impinged during hip movements, followed by routine postoperative care. MAIN OUTCOME MEASURES: The primary outcome measure was the hip outcome score activities of daily living subscale (HOS ADL) at eight months post-randomisation, with a minimum clinically important difference between groups of 9 points. Secondary outcome measures included additional patient reported outcome measures and clinical assessment. RESULTS: At eight months post-randomisation, data were available for 100 patients in the arthroscopic hip surgery group (89%) and 88 patients in the physiotherapy programme group (80%). Mean HOS ADL was 78.4 (95% confidence interval 74.4 to 82.3) for patients randomised to arthroscopic hip surgery and 69.2 (65.2 to 73.3) for patients randomised to the physiotherapy programme. After adjusting for baseline HOS ADL, age, sex, and study site, the mean HOS ADL was 10.0 points higher (6.4 to 13.6) in the arthroscopic hip surgery group compared with the physiotherapy programme group (P&lt;0.001)). No serious adverse events were reported in either group. CONCLUSIONS: Patients with symptomatic FAI referred to secondary or tertiary care achieve superior outcomes with arthroscopic hip surgery than with physiotherapy and activity modification…","author":[{"dropping-particle":"","family":"Palmer","given":"Antony J R","non-dropping-particle":"","parse-names":false,"suffix":""},{"dropping-particle":"","family":"Ayyar Gupta","given":"Vandana","non-dropping-particle":"","parse-names":false,"suffix":""},{"dropping-particle":"","family":"Fernquest","given":"Scott","non-dropping-particle":"","parse-names":false,"suffix":""},{"dropping-particle":"","family":"Rombach","given":"Ines","non-dropping-particle":"","parse-names":false,"suffix":""},{"dropping-particle":"","family":"Dutton","given":"Susan J","non-dropping-particle":"","parse-names":false,"suffix":""},{"dropping-particle":"","family":"Mansour","given":"Ramy","non-dropping-particle":"","parse-names":false,"suffix":""},{"dropping-particle":"","family":"Wood","given":"Simon","non-dropping-particle":"","parse-names":false,"suffix":""},{"dropping-particle":"","family":"Khanduja","given":"Vikas","non-dropping-particle":"","parse-names":false,"suffix":""},{"dropping-particle":"","family":"Pollard","given":"Tom C B","non-dropping-particle":"","parse-names":false,"suffix":""},{"dropping-particle":"","family":"McCaskie","given":"Andrew W","non-dropping-particle":"","parse-names":false,"suffix":""},{"dropping-particle":"","family":"Barker","given":"Karen L","non-dropping-particle":"","parse-names":false,"suffix":""},{"dropping-particle":"","family":"Andrade","given":"Tony J M D","non-dropping-particle":"","parse-names":false,"suffix":""},{"dropping-particle":"","family":"Carr","given":"Andrew J","non-dropping-particle":"","parse-names":false,"suffix":""},{"dropping-particle":"","family":"Beard","given":"David J","non-dropping-particle":"","parse-names":false,"suffix":""},{"dropping-particle":"","family":"Glyn-Jones","given":"Sion","non-dropping-particle":"","parse-names":false,"suffix":""}],"container-title":"BMJ (Clinical research ed.)","id":"ITEM-1","issued":{"date-parts":[["2019","2"]]},"language":"eng","page":"l185","title":"Arthroscopic hip surgery compared with physiotherapy and activity modification for  the treatment of symptomatic femoroacetabular impingement: multicentre randomised controlled trial.","type":"article-journal","volume":"364"},"uris":["http://www.mendeley.com/documents/?uuid=fb7ed3d5-5092-4b88-94a8-d66235299404"]},{"id":"ITEM-2","itemData":{"DOI":"10.1016/S0140-6736(18)31202-9","ISSN":"1474-547X (Electronic)","PMID":"29893223","abstract":"BACKGROUND: Femoroacetabular impingement syndrome is an important cause of hip pain  in young adults. It can be treated by arthroscopic hip surgery, including reshaping the hip, or with physiotherapist-led conservative care. We aimed to compare the clinical effectiveness of hip arthroscopy with best conservative care. METHODS: UK FASHIoN is a pragmatic, multicentre, assessor-blinded randomised controlled trial, done at 23 National Health Service hospitals in the UK. We enrolled patients with femoroacetabular impingement syndrome who presented at these hospitals. Eligible patients were at least 16 years old, had hip pain with radiographic features of cam or pincer morphology but no osteoarthritis, and were believed to be likely to benefit from hip arthroscopy. Patients with bilateral femoroacetabular impingement syndrome were eligible; only the most symptomatic hip was randomly assigned to treatment and followed-up. Participants were randomly allocated (1:1) to receive hip arthroscopy or personalised hip therapy (an individualised, supervised, and progressive physiotherapist-led programme of conservative care). Randomisation was stratified by impingement type and recruiting centre and was done by research staff at each hospital, using a central telephone randomisation service. Patients and treating clinicians were not masked to treatment allocation, but researchers who collected the outcome assessments and analysed the results were masked. The primary outcome was hip-related quality of life, as measured by the patient-reported International Hip Outcome Tool (iHOT-33) 12 months after randomisation, and analysed in all eligible participants who were allocated to treatment (the intention-to-treat population). This trial is registered as an International Standard Randomised Controlled Trial, number ISRCTN64081839, and is closed to recruitment. FINDINGS: Between July 20, 2012, and July 15, 2016, we identified 648 eligible patients and recruited 348 participants: 171 participants were allocated to receive hip arthroscopy and 177 to receive personalised hip therapy. Three further patients were excluded from the trial after randomisation because they did not meet the eligibility criteria. Follow-up at the primary outcome assessment was 92% (319 of 348 participants). At 12 months after randomisation, mean iHOT-33 scores had improved from 39·2 (SD 20·9) to 58·8 (27·2) for participants in the hip arthroscopy group, and from 35·6 (18·2) to 49·7 (25·5) in the persona…","author":[{"dropping-particle":"","family":"Griffin","given":"Damian R","non-dropping-particle":"","parse-names":false,"suffix":""},{"dropping-particle":"","family":"Dickenson","given":"Edward J","non-dropping-particle":"","parse-names":false,"suffix":""},{"dropping-particle":"","family":"Wall","given":"Peter D H","non-dropping-particle":"","parse-names":false,"suffix":""},{"dropping-particle":"","family":"Achana","given":"Felix","non-dropping-particle":"","parse-names":false,"suffix":""},{"dropping-particle":"","family":"Donovan","given":"Jenny L","non-dropping-particle":"","parse-names":false,"suffix":""},{"dropping-particle":"","family":"Griffin","given":"James","non-dropping-particle":"","parse-names":false,"suffix":""},{"dropping-particle":"","family":"Hobson","given":"Rachel","non-dropping-particle":"","parse-names":false,"suffix":""},{"dropping-particle":"","family":"Hutchinson","given":"Charles E","non-dropping-particle":"","parse-names":false,"suffix":""},{"dropping-particle":"","family":"Jepson","given":"Marcus","non-dropping-particle":"","parse-names":false,"suffix":""},{"dropping-particle":"","family":"Parsons","given":"Nick R","non-dropping-particle":"","parse-names":false,"suffix":""},{"dropping-particle":"","family":"Petrou","given":"Stavros","non-dropping-particle":"","parse-names":false,"suffix":""},{"dropping-particle":"","family":"Realpe","given":"Alba","non-dropping-particle":"","parse-names":false,"suffix":""},{"dropping-particle":"","family":"Smith","given":"Joanna","non-dropping-particle":"","parse-names":false,"suffix":""},{"dropping-particle":"","family":"Foster","given":"Nadine E","non-dropping-particle":"","parse-names":false,"suffix":""}],"container-title":"Lancet (London, England)","id":"ITEM-2","issue":"10136","issued":{"date-parts":[["2018","6"]]},"language":"eng","page":"2225-2235","title":"Hip arthroscopy versus best conservative care for the treatment of femoroacetabular  impingement syndrome (UK FASHIoN): a multicentre randomised controlled trial.","type":"article-journal","volume":"391"},"uris":["http://www.mendeley.com/documents/?uuid=c9d6aaa2-e0bc-4ca2-acee-ae13fd6497fb"]}],"mendeley":{"formattedCitation":"&lt;sup&gt;13,14&lt;/sup&gt;","plainTextFormattedCitation":"13,14","previouslyFormattedCitation":"&lt;sup&gt;13,14&lt;/sup&gt;"},"properties":{"noteIndex":0},"schema":"https://github.com/citation-style-language/schema/raw/master/csl-citation.json"}</w:instrText>
      </w:r>
      <w:r w:rsidR="00FB701B" w:rsidRPr="007221CC">
        <w:rPr>
          <w:rFonts w:cstheme="minorHAnsi"/>
          <w:bCs/>
          <w:lang w:val="en-GB" w:eastAsia="en-GB"/>
        </w:rPr>
        <w:fldChar w:fldCharType="separate"/>
      </w:r>
      <w:r w:rsidR="00FD0FF3" w:rsidRPr="007A114B">
        <w:rPr>
          <w:rFonts w:cstheme="minorHAnsi"/>
          <w:bCs/>
          <w:noProof/>
          <w:vertAlign w:val="superscript"/>
          <w:lang w:val="en-GB" w:eastAsia="en-GB"/>
        </w:rPr>
        <w:t>13,14</w:t>
      </w:r>
      <w:r w:rsidR="00FB701B" w:rsidRPr="007221CC">
        <w:rPr>
          <w:rFonts w:cstheme="minorHAnsi"/>
          <w:bCs/>
          <w:lang w:val="en-GB" w:eastAsia="en-GB"/>
        </w:rPr>
        <w:fldChar w:fldCharType="end"/>
      </w:r>
      <w:r w:rsidR="00FB701B" w:rsidRPr="007A114B">
        <w:rPr>
          <w:rFonts w:cstheme="minorHAnsi"/>
          <w:bCs/>
          <w:lang w:val="en-GB" w:eastAsia="en-GB"/>
        </w:rPr>
        <w:t xml:space="preserve"> </w:t>
      </w:r>
      <w:r w:rsidRPr="007A114B">
        <w:rPr>
          <w:rFonts w:cstheme="minorHAnsi"/>
          <w:bCs/>
          <w:lang w:val="en-GB" w:eastAsia="en-GB"/>
        </w:rPr>
        <w:t xml:space="preserve">have shown </w:t>
      </w:r>
      <w:r w:rsidR="008F728D" w:rsidRPr="007A114B">
        <w:rPr>
          <w:rFonts w:cstheme="minorHAnsi"/>
          <w:bCs/>
          <w:lang w:val="en-GB" w:eastAsia="en-GB"/>
        </w:rPr>
        <w:t xml:space="preserve">that HA </w:t>
      </w:r>
      <w:r w:rsidR="007D7ECA" w:rsidRPr="007A114B">
        <w:rPr>
          <w:rFonts w:cstheme="minorHAnsi"/>
          <w:bCs/>
          <w:lang w:val="en-GB" w:eastAsia="en-GB"/>
        </w:rPr>
        <w:t xml:space="preserve">is effective </w:t>
      </w:r>
      <w:r w:rsidR="008F728D" w:rsidRPr="007A114B">
        <w:rPr>
          <w:rFonts w:cstheme="minorHAnsi"/>
          <w:bCs/>
          <w:lang w:val="en-GB" w:eastAsia="en-GB"/>
        </w:rPr>
        <w:t>in achieving</w:t>
      </w:r>
      <w:r w:rsidR="007D7ECA" w:rsidRPr="007A114B">
        <w:rPr>
          <w:rFonts w:cstheme="minorHAnsi"/>
          <w:bCs/>
          <w:lang w:val="en-GB" w:eastAsia="en-GB"/>
        </w:rPr>
        <w:t xml:space="preserve"> </w:t>
      </w:r>
      <w:r w:rsidR="008D7054" w:rsidRPr="007A114B">
        <w:rPr>
          <w:rFonts w:cstheme="minorHAnsi"/>
          <w:bCs/>
          <w:lang w:val="en-GB" w:eastAsia="en-GB"/>
        </w:rPr>
        <w:t xml:space="preserve">improved hip-related quality of life </w:t>
      </w:r>
      <w:r w:rsidR="007D7ECA" w:rsidRPr="007A114B">
        <w:rPr>
          <w:rFonts w:cstheme="minorHAnsi"/>
          <w:bCs/>
          <w:lang w:val="en-GB" w:eastAsia="en-GB"/>
        </w:rPr>
        <w:t xml:space="preserve">in patients with </w:t>
      </w:r>
      <w:r w:rsidR="008F728D" w:rsidRPr="007A114B">
        <w:rPr>
          <w:rFonts w:cstheme="minorHAnsi"/>
          <w:bCs/>
          <w:lang w:val="en-GB" w:eastAsia="en-GB"/>
        </w:rPr>
        <w:t>FAI</w:t>
      </w:r>
      <w:r w:rsidR="00197B3B" w:rsidRPr="007A114B">
        <w:rPr>
          <w:rFonts w:cstheme="minorHAnsi"/>
          <w:bCs/>
          <w:lang w:val="en-GB" w:eastAsia="en-GB"/>
        </w:rPr>
        <w:t xml:space="preserve"> and</w:t>
      </w:r>
      <w:r w:rsidR="007D7ECA" w:rsidRPr="007A114B">
        <w:rPr>
          <w:rFonts w:cstheme="minorHAnsi"/>
          <w:bCs/>
          <w:lang w:val="en-GB" w:eastAsia="en-GB"/>
        </w:rPr>
        <w:t xml:space="preserve"> a maximum concomitant joint degeneration of </w:t>
      </w:r>
      <w:proofErr w:type="spellStart"/>
      <w:r w:rsidR="007D7ECA" w:rsidRPr="007A114B">
        <w:rPr>
          <w:rFonts w:cstheme="minorHAnsi"/>
          <w:bCs/>
          <w:lang w:val="en-GB" w:eastAsia="en-GB"/>
        </w:rPr>
        <w:t>Tönnis</w:t>
      </w:r>
      <w:proofErr w:type="spellEnd"/>
      <w:r w:rsidR="007D7ECA" w:rsidRPr="007A114B">
        <w:rPr>
          <w:rFonts w:cstheme="minorHAnsi"/>
          <w:bCs/>
          <w:lang w:val="en-GB" w:eastAsia="en-GB"/>
        </w:rPr>
        <w:t xml:space="preserve"> Grade 1 Hip O</w:t>
      </w:r>
      <w:r w:rsidR="005A6FBC" w:rsidRPr="007A114B">
        <w:rPr>
          <w:rFonts w:cstheme="minorHAnsi"/>
          <w:bCs/>
          <w:lang w:val="en-GB" w:eastAsia="en-GB"/>
        </w:rPr>
        <w:t>A</w:t>
      </w:r>
      <w:r w:rsidR="00FB701B" w:rsidRPr="007A114B">
        <w:rPr>
          <w:rFonts w:cstheme="minorHAnsi"/>
          <w:bCs/>
          <w:lang w:val="en-GB" w:eastAsia="en-GB"/>
        </w:rPr>
        <w:t xml:space="preserve">. </w:t>
      </w:r>
      <w:r w:rsidR="0028373C" w:rsidRPr="007A114B">
        <w:rPr>
          <w:rFonts w:cstheme="minorHAnsi"/>
          <w:bCs/>
          <w:lang w:val="en-GB" w:eastAsia="en-GB"/>
        </w:rPr>
        <w:t xml:space="preserve">Outcomes for </w:t>
      </w:r>
      <w:r w:rsidRPr="007A114B">
        <w:rPr>
          <w:rFonts w:cstheme="minorHAnsi"/>
          <w:bCs/>
          <w:lang w:val="en-GB" w:eastAsia="en-GB"/>
        </w:rPr>
        <w:t xml:space="preserve">FAI </w:t>
      </w:r>
      <w:r w:rsidR="0028373C" w:rsidRPr="007A114B">
        <w:rPr>
          <w:rFonts w:cstheme="minorHAnsi"/>
          <w:bCs/>
          <w:lang w:val="en-GB" w:eastAsia="en-GB"/>
        </w:rPr>
        <w:t xml:space="preserve">and concomitant moderate- to advanced hip </w:t>
      </w:r>
      <w:r w:rsidR="005A6FBC" w:rsidRPr="007A114B">
        <w:rPr>
          <w:rFonts w:cstheme="minorHAnsi"/>
          <w:bCs/>
          <w:lang w:val="en-GB" w:eastAsia="en-GB"/>
        </w:rPr>
        <w:t>OA</w:t>
      </w:r>
      <w:r w:rsidR="009002AD" w:rsidRPr="007A114B">
        <w:rPr>
          <w:rFonts w:cstheme="minorHAnsi"/>
          <w:bCs/>
          <w:lang w:val="en-GB" w:eastAsia="en-GB"/>
        </w:rPr>
        <w:t xml:space="preserve"> (</w:t>
      </w:r>
      <w:proofErr w:type="spellStart"/>
      <w:r w:rsidR="009002AD" w:rsidRPr="007A114B">
        <w:rPr>
          <w:rFonts w:cstheme="minorHAnsi"/>
          <w:bCs/>
          <w:lang w:val="en-GB" w:eastAsia="en-GB"/>
        </w:rPr>
        <w:t>Tönnis</w:t>
      </w:r>
      <w:proofErr w:type="spellEnd"/>
      <w:r w:rsidR="009002AD" w:rsidRPr="007A114B">
        <w:rPr>
          <w:rFonts w:cstheme="minorHAnsi"/>
          <w:bCs/>
          <w:lang w:val="en-GB" w:eastAsia="en-GB"/>
        </w:rPr>
        <w:t xml:space="preserve"> Grade 2 or greater)</w:t>
      </w:r>
      <w:r w:rsidR="0028373C" w:rsidRPr="007A114B">
        <w:rPr>
          <w:rFonts w:cstheme="minorHAnsi"/>
          <w:bCs/>
          <w:lang w:val="en-GB" w:eastAsia="en-GB"/>
        </w:rPr>
        <w:t>, for both hip arthroscopy</w:t>
      </w:r>
      <w:r w:rsidR="00BD3760" w:rsidRPr="007A114B">
        <w:rPr>
          <w:rFonts w:cstheme="minorHAnsi"/>
          <w:bCs/>
          <w:lang w:val="en-GB" w:eastAsia="en-GB"/>
        </w:rPr>
        <w:t xml:space="preserve"> and other </w:t>
      </w:r>
      <w:r w:rsidR="0028373C" w:rsidRPr="007A114B">
        <w:rPr>
          <w:rFonts w:cstheme="minorHAnsi"/>
          <w:bCs/>
          <w:lang w:val="en-GB" w:eastAsia="en-GB"/>
        </w:rPr>
        <w:t>conservative regimens</w:t>
      </w:r>
      <w:r w:rsidR="00BD3760" w:rsidRPr="007A114B">
        <w:rPr>
          <w:rFonts w:cstheme="minorHAnsi"/>
          <w:bCs/>
          <w:lang w:val="en-GB" w:eastAsia="en-GB"/>
        </w:rPr>
        <w:t xml:space="preserve"> or preservation techniques</w:t>
      </w:r>
      <w:r w:rsidR="0028373C" w:rsidRPr="007A114B">
        <w:rPr>
          <w:rFonts w:cstheme="minorHAnsi"/>
          <w:bCs/>
          <w:lang w:val="en-GB" w:eastAsia="en-GB"/>
        </w:rPr>
        <w:t xml:space="preserve">, </w:t>
      </w:r>
      <w:r w:rsidR="009002AD" w:rsidRPr="007A114B">
        <w:rPr>
          <w:rFonts w:cstheme="minorHAnsi"/>
          <w:bCs/>
          <w:lang w:val="en-GB" w:eastAsia="en-GB"/>
        </w:rPr>
        <w:t xml:space="preserve">is </w:t>
      </w:r>
      <w:r w:rsidR="00EB4B97" w:rsidRPr="007A114B">
        <w:rPr>
          <w:rFonts w:cstheme="minorHAnsi"/>
          <w:bCs/>
          <w:lang w:val="en-GB" w:eastAsia="en-GB"/>
        </w:rPr>
        <w:t>still a matter of debate</w:t>
      </w:r>
      <w:r w:rsidR="009002AD" w:rsidRPr="007A114B">
        <w:rPr>
          <w:rFonts w:cstheme="minorHAnsi"/>
          <w:bCs/>
          <w:lang w:val="en-GB" w:eastAsia="en-GB"/>
        </w:rPr>
        <w:t xml:space="preserve"> a</w:t>
      </w:r>
      <w:r w:rsidR="00F05F83" w:rsidRPr="007A114B">
        <w:rPr>
          <w:rFonts w:cstheme="minorHAnsi"/>
          <w:bCs/>
          <w:lang w:val="en-GB" w:eastAsia="en-GB"/>
        </w:rPr>
        <w:t>nd the literature</w:t>
      </w:r>
      <w:r w:rsidR="00421C0D" w:rsidRPr="007A114B">
        <w:rPr>
          <w:rFonts w:cstheme="minorHAnsi"/>
          <w:bCs/>
          <w:lang w:val="en-GB" w:eastAsia="en-GB"/>
        </w:rPr>
        <w:t xml:space="preserve"> is at</w:t>
      </w:r>
      <w:r w:rsidR="00F05F83" w:rsidRPr="007A114B">
        <w:rPr>
          <w:rFonts w:cstheme="minorHAnsi"/>
          <w:bCs/>
          <w:lang w:val="en-GB" w:eastAsia="en-GB"/>
        </w:rPr>
        <w:t xml:space="preserve"> </w:t>
      </w:r>
      <w:r w:rsidR="0028373C" w:rsidRPr="007A114B">
        <w:rPr>
          <w:rFonts w:cstheme="minorHAnsi"/>
          <w:bCs/>
          <w:lang w:val="en-GB" w:eastAsia="en-GB"/>
        </w:rPr>
        <w:t>best</w:t>
      </w:r>
      <w:r w:rsidR="00421C0D" w:rsidRPr="007A114B">
        <w:rPr>
          <w:rFonts w:cstheme="minorHAnsi"/>
          <w:bCs/>
          <w:lang w:val="en-GB" w:eastAsia="en-GB"/>
        </w:rPr>
        <w:t xml:space="preserve"> sparse in this arena</w:t>
      </w:r>
      <w:r w:rsidR="0028373C" w:rsidRPr="007A114B">
        <w:rPr>
          <w:rFonts w:cstheme="minorHAnsi"/>
          <w:bCs/>
          <w:lang w:val="en-GB" w:eastAsia="en-GB"/>
        </w:rPr>
        <w:t>.</w:t>
      </w:r>
      <w:r w:rsidR="009002AD" w:rsidRPr="007221CC">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mendeley":{"formattedCitation":"&lt;sup&gt;15&lt;/sup&gt;","plainTextFormattedCitation":"15","previouslyFormattedCitation":"&lt;sup&gt;15&lt;/sup&gt;"},"properties":{"noteIndex":0},"schema":"https://github.com/citation-style-language/schema/raw/master/csl-citation.json"}</w:instrText>
      </w:r>
      <w:r w:rsidR="009002AD" w:rsidRPr="007221CC">
        <w:rPr>
          <w:rFonts w:cstheme="minorHAnsi"/>
          <w:bCs/>
          <w:lang w:val="en-GB" w:eastAsia="en-GB"/>
        </w:rPr>
        <w:fldChar w:fldCharType="separate"/>
      </w:r>
      <w:r w:rsidR="00FD0FF3" w:rsidRPr="007A114B">
        <w:rPr>
          <w:rFonts w:cstheme="minorHAnsi"/>
          <w:bCs/>
          <w:noProof/>
          <w:vertAlign w:val="superscript"/>
          <w:lang w:val="en-GB" w:eastAsia="en-GB"/>
        </w:rPr>
        <w:t>15</w:t>
      </w:r>
      <w:r w:rsidR="009002AD" w:rsidRPr="007221CC">
        <w:rPr>
          <w:rFonts w:cstheme="minorHAnsi"/>
          <w:bCs/>
          <w:lang w:val="en-GB" w:eastAsia="en-GB"/>
        </w:rPr>
        <w:fldChar w:fldCharType="end"/>
      </w:r>
      <w:r w:rsidR="009002AD" w:rsidRPr="007221CC">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{"citationItems":[{"id":"ITEM-1","itemData":{"DOI":"10.1007/s11999-012-2779-4","ISSN":"1528-1132","abstract":"BACKGROUND: All patients considering joint-preserving hip arthroscopy should be educated on the risk of THA after arthroscopy. The degree of radiographic osteoarthritis predicts subsequent THA. To provide patients with the best information, the best radiographic measure that predicts THA after hip arthroscopy should be identified. QUESTIONS/PURPOSES: We therefore determined if Tönnis grade, Kellgren-Lawrence grade, or joint space narrowing was superior in predicting THA after hip arthroscopy. METHODS: We retrospectively reviewed 203 patients 50 years of age or older treated with hip arthroscopy between March 2007 and October 2010. Of these, 96 patients met the study inclusion criteria. Sixty-five did not undergo THAs during the followup time (non-THA group) and 31 patients did (THA group). We determined Tönnis grade, Kellgren-Lawrence grade, and/or joint space narrowing before arthroscopy. The median followup for the non-THA group was 54 months (95% confidence interval, 49.9-58.9 months). RESULTS: In 81% of the patients, joint space accurately predicted THA or non-THA, whereas Kellgren-Lawrence was accurate in 73% and Tönnis grade was accurate in 65%. On binary logistic regression, the only predictor (r(2) = 0.45) of THA was joint space of 2 mm or less. CONCLUSIONS: Measuring joint space by determining if any measurement is 2 mm or less predicts patients progressing to THA after hip arthroscopy approximately 80% of the time. At this early time point, joint space measurements were the most accurate predictor of THA and should be used in patient education to define the risk of early failure from hip arthroscopy.","author":[{"dropping-particle":"","family":"Philippon","given":"Marc J","non-dropping-particle":"","parse-names":false,"suffix":""},{"dropping-particle":"","family":"Briggs","given":"Karen K","non-dropping-particle":"","parse-names":false,"suffix":""},{"dropping-particle":"","family":"Carlisle","given":"John C","non-dropping-particle":"","parse-names":false,"suffix":""},{"dropping-particle":"","family":"Patterson","given":"Diana C","non-dropping-particle":"","parse-names":false,"suffix":""}],"container-title":"Clinical orthopaedics and related research","id":"ITEM-1","issue":"8","issued":{"date-parts":[["2013","8"]]},"language":"eng","page":"2492-2496","publisher":"Springer US","title":"Joint space predicts THA after hip arthroscopy in patients 50 years and older","type":"article-journal","volume":"471"},"uris":["http://www.mendeley.com/documents/?uuid=84a8c148-05d2-4e3f-af7d-dabf9d90845e"]}],"mendeley":{"formattedCitation":"&lt;sup&gt;16&lt;/sup&gt;","plainTextFormattedCitation":"16","previouslyFormattedCitation":"&lt;sup&gt;16&lt;/sup&gt;"},"properties":{"noteIndex":0},"schema":"https://github.com/citation-style-language/schema/raw/master/csl-citation.json"}</w:instrText>
      </w:r>
      <w:r w:rsidR="009002AD" w:rsidRPr="007221CC">
        <w:rPr>
          <w:rFonts w:cstheme="minorHAnsi"/>
          <w:bCs/>
          <w:lang w:val="en-GB" w:eastAsia="en-GB"/>
        </w:rPr>
        <w:fldChar w:fldCharType="separate"/>
      </w:r>
      <w:r w:rsidR="00FD0FF3" w:rsidRPr="007A114B">
        <w:rPr>
          <w:rFonts w:cstheme="minorHAnsi"/>
          <w:bCs/>
          <w:noProof/>
          <w:vertAlign w:val="superscript"/>
          <w:lang w:val="en-GB" w:eastAsia="en-GB"/>
        </w:rPr>
        <w:t>16</w:t>
      </w:r>
      <w:r w:rsidR="009002AD" w:rsidRPr="007221CC">
        <w:rPr>
          <w:rFonts w:cstheme="minorHAnsi"/>
          <w:bCs/>
          <w:lang w:val="en-GB" w:eastAsia="en-GB"/>
        </w:rPr>
        <w:fldChar w:fldCharType="end"/>
      </w:r>
      <w:r w:rsidR="00A44786" w:rsidRPr="007A114B">
        <w:rPr>
          <w:rFonts w:cstheme="minorHAnsi"/>
          <w:bCs/>
          <w:lang w:val="en-GB" w:eastAsia="en-GB"/>
        </w:rPr>
        <w:t xml:space="preserve"> </w:t>
      </w:r>
      <w:r w:rsidR="005A2934" w:rsidRPr="007A114B">
        <w:rPr>
          <w:rFonts w:cstheme="minorHAnsi"/>
          <w:bCs/>
          <w:lang w:val="en-GB" w:eastAsia="en-GB"/>
        </w:rPr>
        <w:t>Nakano et al suggested judicious patient selection prior to any surgical intervention, especially exercising caution in the presence of OA and obesity.</w:t>
      </w:r>
      <w:r w:rsidR="005A2934" w:rsidRPr="007221CC">
        <w:rPr>
          <w:rFonts w:cstheme="minorHAnsi"/>
          <w:bCs/>
          <w:lang w:val="en-GB" w:eastAsia="en-GB"/>
        </w:rPr>
        <w:fldChar w:fldCharType="begin" w:fldLock="1"/>
      </w:r>
      <w:r w:rsidR="006A1D58" w:rsidRPr="007A114B">
        <w:rPr>
          <w:rFonts w:cstheme="minorHAnsi"/>
          <w:bCs/>
          <w:lang w:val="en-GB" w:eastAsia="en-GB"/>
        </w:rPr>
        <w:instrText>ADDIN CSL_CITATION {"citationItems":[{"id":"ITEM-1","itemData":{"DOI":"10.1080/00913847.2018.1478151","ISSN":"2326-3660 (Electronic)","PMID":"29772952","author":[{"dropping-particle":"","family":"Nakano","given":"Naoki","non-dropping-particle":"","parse-names":false,"suffix":""},{"dropping-particle":"","family":"Khanduja","given":"Vikas","non-dropping-particle":"","parse-names":false,"suffix":""}],"container-title":"The Physician and sportsmedicine","id":"ITEM-1","issue":"3","issued":{"date-parts":[["2018","9"]]},"language":"eng","page":"270-272","publisher-place":"England","title":"Femoroacetabular impingement: the past, current controversies and future  perspectives.","type":"article","volume":"46"},"uris":["http://www.mendeley.com/documents/?uuid=a6464997-a3e3-4bdc-bbc5-8aac45b86495"]}],"mendeley":{"formattedCitation":"&lt;sup&gt;17&lt;/sup&gt;","plainTextFormattedCitation":"17","previouslyFormattedCitation":"&lt;sup&gt;17&lt;/sup&gt;"},"properties":{"noteIndex":0},"schema":"https://github.com/citation-style-language/schema/raw/master/csl-citation.json"}</w:instrText>
      </w:r>
      <w:r w:rsidR="005A2934" w:rsidRPr="007221CC">
        <w:rPr>
          <w:rFonts w:cstheme="minorHAnsi"/>
          <w:bCs/>
          <w:lang w:val="en-GB" w:eastAsia="en-GB"/>
        </w:rPr>
        <w:fldChar w:fldCharType="separate"/>
      </w:r>
      <w:r w:rsidR="005A2934" w:rsidRPr="007A114B">
        <w:rPr>
          <w:rFonts w:cstheme="minorHAnsi"/>
          <w:bCs/>
          <w:noProof/>
          <w:vertAlign w:val="superscript"/>
          <w:lang w:val="en-GB" w:eastAsia="en-GB"/>
        </w:rPr>
        <w:t>17</w:t>
      </w:r>
      <w:r w:rsidR="005A2934" w:rsidRPr="007221CC">
        <w:rPr>
          <w:rFonts w:cstheme="minorHAnsi"/>
          <w:bCs/>
          <w:lang w:val="en-GB" w:eastAsia="en-GB"/>
        </w:rPr>
        <w:fldChar w:fldCharType="end"/>
      </w:r>
      <w:r w:rsidR="005A2934" w:rsidRPr="007A114B">
        <w:rPr>
          <w:rFonts w:cstheme="minorHAnsi"/>
          <w:bCs/>
          <w:lang w:val="en-GB" w:eastAsia="en-GB"/>
        </w:rPr>
        <w:t xml:space="preserve"> </w:t>
      </w:r>
      <w:r w:rsidR="0028373C" w:rsidRPr="007A114B">
        <w:rPr>
          <w:rFonts w:cstheme="minorHAnsi"/>
          <w:bCs/>
          <w:lang w:val="en-GB" w:eastAsia="en-GB"/>
        </w:rPr>
        <w:t xml:space="preserve">As such, it is still unclear whether patients with </w:t>
      </w:r>
      <w:r w:rsidR="005A6FBC" w:rsidRPr="007A114B">
        <w:rPr>
          <w:rFonts w:cstheme="minorHAnsi"/>
          <w:bCs/>
          <w:lang w:val="en-GB" w:eastAsia="en-GB"/>
        </w:rPr>
        <w:t xml:space="preserve">FAI </w:t>
      </w:r>
      <w:r w:rsidR="00421C0D" w:rsidRPr="007A114B">
        <w:rPr>
          <w:rFonts w:cstheme="minorHAnsi"/>
          <w:bCs/>
          <w:lang w:val="en-GB" w:eastAsia="en-GB"/>
        </w:rPr>
        <w:t xml:space="preserve">and concomitant </w:t>
      </w:r>
      <w:proofErr w:type="spellStart"/>
      <w:r w:rsidR="005A2934" w:rsidRPr="007A114B">
        <w:rPr>
          <w:rFonts w:cstheme="minorHAnsi"/>
          <w:bCs/>
          <w:lang w:val="en-GB" w:eastAsia="en-GB"/>
        </w:rPr>
        <w:t>Tönnis</w:t>
      </w:r>
      <w:proofErr w:type="spellEnd"/>
      <w:r w:rsidR="005A2934" w:rsidRPr="007A114B">
        <w:rPr>
          <w:rFonts w:cstheme="minorHAnsi"/>
          <w:bCs/>
          <w:lang w:val="en-GB" w:eastAsia="en-GB"/>
        </w:rPr>
        <w:t xml:space="preserve"> Grade</w:t>
      </w:r>
      <w:r w:rsidR="00421C0D" w:rsidRPr="007A114B">
        <w:rPr>
          <w:rFonts w:cstheme="minorHAnsi"/>
          <w:bCs/>
          <w:lang w:val="en-GB" w:eastAsia="en-GB"/>
        </w:rPr>
        <w:t xml:space="preserve"> II or above OA would benefit from </w:t>
      </w:r>
      <w:r w:rsidR="00A44786" w:rsidRPr="007A114B">
        <w:rPr>
          <w:rFonts w:cstheme="minorHAnsi"/>
          <w:bCs/>
          <w:lang w:val="en-GB" w:eastAsia="en-GB"/>
        </w:rPr>
        <w:t>HA</w:t>
      </w:r>
      <w:r w:rsidR="0028373C" w:rsidRPr="007A114B">
        <w:rPr>
          <w:rFonts w:cstheme="minorHAnsi"/>
          <w:bCs/>
          <w:lang w:val="en-GB" w:eastAsia="en-GB"/>
        </w:rPr>
        <w:t xml:space="preserve">. </w:t>
      </w:r>
    </w:p>
    <w:p w14:paraId="23D8405E" w14:textId="0EB6711C" w:rsidR="001E1099" w:rsidRPr="007A114B" w:rsidRDefault="00F82460" w:rsidP="00EE1BD7">
      <w:pPr>
        <w:keepLines/>
        <w:spacing w:after="120" w:line="480" w:lineRule="auto"/>
        <w:jc w:val="both"/>
        <w:rPr>
          <w:rFonts w:cstheme="minorHAnsi"/>
          <w:bCs/>
          <w:lang w:val="en-GB" w:eastAsia="en-GB"/>
        </w:rPr>
      </w:pPr>
      <w:r w:rsidRPr="007A114B">
        <w:rPr>
          <w:rFonts w:cstheme="minorHAnsi"/>
          <w:bCs/>
          <w:lang w:val="en-GB" w:eastAsia="en-GB"/>
        </w:rPr>
        <w:t xml:space="preserve">This study aims to </w:t>
      </w:r>
      <w:r w:rsidR="00564FD1" w:rsidRPr="00564FD1">
        <w:rPr>
          <w:rFonts w:eastAsia="Calibri" w:cstheme="minorHAnsi"/>
          <w:lang w:val="en-GB"/>
        </w:rPr>
        <w:t xml:space="preserve">investigate whether </w:t>
      </w:r>
      <w:r w:rsidR="00564FD1">
        <w:rPr>
          <w:rFonts w:eastAsia="Calibri" w:cstheme="minorHAnsi"/>
          <w:lang w:val="en-GB"/>
        </w:rPr>
        <w:t>HA</w:t>
      </w:r>
      <w:r w:rsidR="00564FD1" w:rsidRPr="00564FD1">
        <w:rPr>
          <w:rFonts w:eastAsia="Calibri" w:cstheme="minorHAnsi"/>
          <w:lang w:val="en-GB"/>
        </w:rPr>
        <w:t xml:space="preserve"> is effective in patients with </w:t>
      </w:r>
      <w:r w:rsidR="00564FD1">
        <w:rPr>
          <w:rFonts w:eastAsia="Calibri" w:cstheme="minorHAnsi"/>
          <w:lang w:val="en-GB"/>
        </w:rPr>
        <w:t>FAI</w:t>
      </w:r>
      <w:r w:rsidR="00564FD1" w:rsidRPr="00564FD1">
        <w:rPr>
          <w:rFonts w:eastAsia="Calibri" w:cstheme="minorHAnsi"/>
          <w:lang w:val="en-GB"/>
        </w:rPr>
        <w:t xml:space="preserve"> and concomitant </w:t>
      </w:r>
      <w:proofErr w:type="spellStart"/>
      <w:r w:rsidR="00564FD1" w:rsidRPr="00564FD1">
        <w:rPr>
          <w:rFonts w:eastAsia="Calibri" w:cstheme="minorHAnsi"/>
          <w:lang w:val="en-GB"/>
        </w:rPr>
        <w:t>Tönnis</w:t>
      </w:r>
      <w:proofErr w:type="spellEnd"/>
      <w:r w:rsidR="00564FD1" w:rsidRPr="00564FD1">
        <w:rPr>
          <w:rFonts w:eastAsia="Calibri" w:cstheme="minorHAnsi"/>
          <w:lang w:val="en-GB"/>
        </w:rPr>
        <w:t xml:space="preserve"> Grade 2 or greater hip </w:t>
      </w:r>
      <w:r w:rsidR="00564FD1">
        <w:rPr>
          <w:rFonts w:eastAsia="Calibri" w:cstheme="minorHAnsi"/>
          <w:lang w:val="en-GB"/>
        </w:rPr>
        <w:t>OA.</w:t>
      </w:r>
      <w:r w:rsidR="00564FD1" w:rsidRPr="00564FD1">
        <w:rPr>
          <w:rFonts w:eastAsia="Calibri" w:cstheme="minorHAnsi"/>
          <w:lang w:val="en-GB"/>
        </w:rPr>
        <w:t xml:space="preserve"> We hypothesised that HA would result in high rates of conversion to </w:t>
      </w:r>
      <w:r w:rsidR="00564FD1">
        <w:rPr>
          <w:rFonts w:eastAsia="Calibri" w:cstheme="minorHAnsi"/>
          <w:lang w:val="en-GB"/>
        </w:rPr>
        <w:t>THA.</w:t>
      </w:r>
    </w:p>
    <w:p w14:paraId="4937290C" w14:textId="77777777" w:rsidR="001E1099" w:rsidRDefault="001E1099">
      <w:pPr>
        <w:rPr>
          <w:rFonts w:eastAsia="Calibri" w:cstheme="minorHAnsi"/>
          <w:b/>
          <w:bCs/>
          <w:lang w:val="en-GB" w:eastAsia="en-GB"/>
        </w:rPr>
      </w:pPr>
      <w:r>
        <w:rPr>
          <w:lang w:eastAsia="en-GB"/>
        </w:rPr>
        <w:br w:type="page"/>
      </w:r>
    </w:p>
    <w:p w14:paraId="475FB09F" w14:textId="270D6DB9" w:rsidR="009E71FE" w:rsidRPr="007A114B" w:rsidRDefault="0012431E" w:rsidP="001E1099">
      <w:pPr>
        <w:pStyle w:val="Heading1"/>
        <w:rPr>
          <w:lang w:eastAsia="en-GB"/>
        </w:rPr>
      </w:pPr>
      <w:r w:rsidRPr="007A114B">
        <w:rPr>
          <w:lang w:eastAsia="en-GB"/>
        </w:rPr>
        <w:lastRenderedPageBreak/>
        <w:t>METHODS</w:t>
      </w:r>
    </w:p>
    <w:p w14:paraId="246B9DA0" w14:textId="0BFA96CC" w:rsidR="00B931A0" w:rsidRPr="001E1099" w:rsidRDefault="00B931A0" w:rsidP="001E1099">
      <w:pPr>
        <w:pStyle w:val="Heading2"/>
      </w:pPr>
      <w:r w:rsidRPr="001E1099">
        <w:t xml:space="preserve">Strategy of the Systematic Search </w:t>
      </w:r>
    </w:p>
    <w:p w14:paraId="3B674D2C" w14:textId="10C784F4" w:rsidR="001E1099" w:rsidRDefault="00ED2C02" w:rsidP="00B931A0">
      <w:pPr>
        <w:spacing w:after="120" w:line="480" w:lineRule="auto"/>
        <w:jc w:val="both"/>
        <w:rPr>
          <w:lang w:val="en-GB"/>
        </w:rPr>
      </w:pPr>
      <w:r w:rsidRPr="007A114B">
        <w:rPr>
          <w:rFonts w:cstheme="minorHAnsi"/>
          <w:lang w:val="en-GB" w:eastAsia="en-GB"/>
        </w:rPr>
        <w:t xml:space="preserve">The systematic review </w:t>
      </w:r>
      <w:r w:rsidR="00944909" w:rsidRPr="007A114B">
        <w:rPr>
          <w:rFonts w:cstheme="minorHAnsi"/>
          <w:lang w:val="en-GB" w:eastAsia="en-GB"/>
        </w:rPr>
        <w:t>followed</w:t>
      </w:r>
      <w:r w:rsidRPr="007A114B">
        <w:rPr>
          <w:rFonts w:cstheme="minorHAnsi"/>
          <w:lang w:val="en-GB" w:eastAsia="en-GB"/>
        </w:rPr>
        <w:t xml:space="preserve"> </w:t>
      </w:r>
      <w:r w:rsidR="009A1FC4" w:rsidRPr="007A114B">
        <w:rPr>
          <w:rFonts w:cstheme="minorHAnsi"/>
          <w:lang w:val="en-GB" w:eastAsia="en-GB"/>
        </w:rPr>
        <w:t>The Preferred Reporting Items for Systematic Reviews and Meta-analysis (PRISMA) guidelines</w:t>
      </w:r>
      <w:r w:rsidR="00FB194F" w:rsidRPr="007221CC">
        <w:rPr>
          <w:rFonts w:cstheme="minorHAnsi"/>
          <w:lang w:val="en-GB" w:eastAsia="en-GB"/>
        </w:rPr>
        <w:fldChar w:fldCharType="begin" w:fldLock="1"/>
      </w:r>
      <w:r w:rsidR="006A1D58" w:rsidRPr="007A114B">
        <w:rPr>
          <w:rFonts w:cstheme="minorHAnsi"/>
          <w:lang w:val="en-GB" w:eastAsia="en-GB"/>
        </w:rPr>
        <w:instrText>ADDIN CSL_CITATION {"citationItems":[{"id":"ITEM-1","itemData":{"DOI":"10.1136/bmj.n71","author":[{"dropping-particle":"","family":"Page","given":"Matthew J","non-dropping-particle":"","parse-names":false,"suffix":""},{"dropping-particle":"","family":"McKenzie","given":"Joanne E","non-dropping-particle":"","parse-names":false,"suffix":""},{"dropping-particle":"","family":"Bossuyt","given":"Patrick M","non-dropping-particle":"","parse-names":false,"suffix":""},{"dropping-particle":"","family":"Boutron","given":"Isabelle","non-dropping-particle":"","parse-names":false,"suffix":""},{"dropping-particle":"","family":"Hoffmann","given":"Tammy C","non-dropping-particle":"","parse-names":false,"suffix":""},{"dropping-particle":"","family":"Mulrow","given":"Cynthia D","non-dropping-particle":"","parse-names":false,"suffix":""},{"dropping-particle":"","family":"Shamseer","given":"Larissa","non-dropping-particle":"","parse-names":false,"suffix":""},{"dropping-particle":"","family":"Tetzlaff","given":"Jennifer M","non-dropping-particle":"","parse-names":false,"suffix":""},{"dropping-particle":"","family":"Akl","given":"Elie A","non-dropping-particle":"","parse-names":false,"suffix":""},{"dropping-particle":"","family":"Brennan","given":"Sue E","non-dropping-particle":"","parse-names":false,"suffix":""},{"dropping-particle":"","family":"Chou","given":"Roger","non-dropping-particle":"","parse-names":false,"suffix":""},{"dropping-particle":"","family":"Glanville","given":"Julie","non-dropping-particle":"","parse-names":false,"suffix":""},{"dropping-particle":"","family":"Grimshaw","given":"Jeremy M","non-dropping-particle":"","parse-names":false,"suffix":""},{"dropping-particle":"","family":"Hróbjartsson","given":"Asbjørn","non-dropping-particle":"","parse-names":false,"suffix":""},{"dropping-particle":"","family":"Lalu","given":"Manoj M","non-dropping-particle":"","parse-names":false,"suffix":""},{"dropping-particle":"","family":"Li","given":"Tianjing","non-dropping-particle":"","parse-names":false,"suffix":""},{"dropping-particle":"","family":"Loder","given":"Elizabeth W","non-dropping-particle":"","parse-names":false,"suffix":""},{"dropping-particle":"","family":"Mayo-Wilson","given":"Evan","non-dropping-particle":"","parse-names":false,"suffix":""},{"dropping-particle":"","family":"McDonald","given":"Steve","non-dropping-particle":"","parse-names":false,"suffix":""},{"dropping-particle":"","family":"McGuinness","given":"Luke A","non-dropping-particle":"","parse-names":false,"suffix":""},{"dropping-particle":"","family":"Stewart","given":"Lesley A","non-dropping-particle":"","parse-names":false,"suffix":""},{"dropping-particle":"","family":"Thomas","given":"James","non-dropping-particle":"","parse-names":false,"suffix":""},{"dropping-particle":"","family":"Tricco","given":"Andrea C","non-dropping-particle":"","parse-names":false,"suffix":""},{"dropping-particle":"","family":"Welch","given":"Vivian A","non-dropping-particle":"","parse-names":false,"suffix":""},{"dropping-particle":"","family":"Whiting","given":"Penny","non-dropping-particle":"","parse-names":false,"suffix":""},{"dropping-particle":"","family":"Moher","given":"David","non-dropping-particle":"","parse-names":false,"suffix":""}],"container-title":"BMJ","id":"ITEM-1","issued":{"date-parts":[["2021"]]},"publisher":"BMJ Publishing Group Ltd","title":"The PRISMA 2020 statement: an updated guideline for reporting systematic reviews","type":"article-journal","volume":"372"},"uris":["http://www.mendeley.com/documents/?uuid=8269ae26-1f3c-4a19-b06c-94da07fde4bc"]}],"mendeley":{"formattedCitation":"&lt;sup&gt;18&lt;/sup&gt;","plainTextFormattedCitation":"18","previouslyFormattedCitation":"&lt;sup&gt;18&lt;/sup&gt;"},"properties":{"noteIndex":0},"schema":"https://github.com/citation-style-language/schema/raw/master/csl-citation.json"}</w:instrText>
      </w:r>
      <w:r w:rsidR="00FB194F" w:rsidRPr="007221CC">
        <w:rPr>
          <w:rFonts w:cstheme="minorHAnsi"/>
          <w:lang w:val="en-GB" w:eastAsia="en-GB"/>
        </w:rPr>
        <w:fldChar w:fldCharType="separate"/>
      </w:r>
      <w:r w:rsidR="005A2934" w:rsidRPr="007A114B">
        <w:rPr>
          <w:rFonts w:cstheme="minorHAnsi"/>
          <w:noProof/>
          <w:vertAlign w:val="superscript"/>
          <w:lang w:val="en-GB" w:eastAsia="en-GB"/>
        </w:rPr>
        <w:t>18</w:t>
      </w:r>
      <w:r w:rsidR="00FB194F" w:rsidRPr="007221CC">
        <w:rPr>
          <w:rFonts w:cstheme="minorHAnsi"/>
          <w:lang w:val="en-GB" w:eastAsia="en-GB"/>
        </w:rPr>
        <w:fldChar w:fldCharType="end"/>
      </w:r>
      <w:r w:rsidRPr="007A114B">
        <w:rPr>
          <w:rFonts w:cstheme="minorHAnsi"/>
          <w:lang w:val="en-GB" w:eastAsia="en-GB"/>
        </w:rPr>
        <w:t xml:space="preserve">. </w:t>
      </w:r>
      <w:r w:rsidR="00944909" w:rsidRPr="007A114B">
        <w:rPr>
          <w:rFonts w:cstheme="minorHAnsi"/>
          <w:lang w:val="en-GB" w:eastAsia="en-GB"/>
        </w:rPr>
        <w:t>It</w:t>
      </w:r>
      <w:r w:rsidR="00B036B1" w:rsidRPr="007A114B">
        <w:rPr>
          <w:rFonts w:cstheme="minorHAnsi"/>
          <w:lang w:val="en-GB" w:eastAsia="en-GB"/>
        </w:rPr>
        <w:t xml:space="preserve"> </w:t>
      </w:r>
      <w:r w:rsidR="00944909" w:rsidRPr="007A114B">
        <w:rPr>
          <w:rFonts w:cstheme="minorHAnsi"/>
          <w:lang w:val="en-GB" w:eastAsia="en-GB"/>
        </w:rPr>
        <w:t>was</w:t>
      </w:r>
      <w:r w:rsidR="00B036B1" w:rsidRPr="007A114B">
        <w:rPr>
          <w:rFonts w:cstheme="minorHAnsi"/>
          <w:lang w:val="en-GB" w:eastAsia="en-GB"/>
        </w:rPr>
        <w:t xml:space="preserve"> registered in the International </w:t>
      </w:r>
      <w:r w:rsidR="00B036B1" w:rsidRPr="007A114B">
        <w:rPr>
          <w:rFonts w:ascii="Calibri" w:hAnsi="Calibri" w:cs="Calibri"/>
          <w:lang w:val="en-GB" w:eastAsia="en-GB"/>
        </w:rPr>
        <w:t>Prospective Register for Systematic Reviews and Meta-analysis (PROSPERO) under the registration number:</w:t>
      </w:r>
      <w:r w:rsidRPr="007A114B">
        <w:rPr>
          <w:rFonts w:ascii="Calibri" w:hAnsi="Calibri" w:cs="Calibri"/>
          <w:lang w:val="en-GB" w:eastAsia="en-GB"/>
        </w:rPr>
        <w:t xml:space="preserve"> </w:t>
      </w:r>
      <w:r w:rsidR="00D47859" w:rsidRPr="007A114B">
        <w:rPr>
          <w:rFonts w:ascii="Calibri" w:hAnsi="Calibri" w:cs="Calibri"/>
          <w:lang w:val="en-GB"/>
        </w:rPr>
        <w:t>CRD</w:t>
      </w:r>
      <w:r w:rsidR="00D47859" w:rsidRPr="00CF225D">
        <w:rPr>
          <w:rFonts w:ascii="Calibri" w:hAnsi="Calibri" w:cs="Calibri"/>
          <w:lang w:val="en-GB"/>
        </w:rPr>
        <w:t>42020210936</w:t>
      </w:r>
      <w:r w:rsidR="00D47859" w:rsidRPr="007A114B">
        <w:rPr>
          <w:rFonts w:ascii="Calibri" w:hAnsi="Calibri" w:cs="Calibri"/>
          <w:lang w:val="en-GB"/>
        </w:rPr>
        <w:t>.</w:t>
      </w:r>
      <w:r w:rsidR="00AA1C7C" w:rsidRPr="007A114B">
        <w:rPr>
          <w:rFonts w:ascii="Calibri" w:hAnsi="Calibri" w:cs="Calibri"/>
          <w:lang w:val="en-GB"/>
        </w:rPr>
        <w:t xml:space="preserve"> The study protocol was published after peer-review.</w:t>
      </w:r>
      <w:r w:rsidR="00AA1C7C" w:rsidRPr="007221CC">
        <w:rPr>
          <w:rFonts w:ascii="Calibri" w:hAnsi="Calibri" w:cs="Calibri"/>
          <w:lang w:val="en-GB"/>
        </w:rPr>
        <w:fldChar w:fldCharType="begin" w:fldLock="1"/>
      </w:r>
      <w:r w:rsidR="006A1D58" w:rsidRPr="007A114B">
        <w:rPr>
          <w:rFonts w:ascii="Calibri" w:hAnsi="Calibri" w:cs="Calibri"/>
          <w:lang w:val="en-GB"/>
        </w:rPr>
        <w:instrText>ADDIN CSL_CITATION {"citationItems":[{"id":"ITEM-1","itemData":{"DOI":"10.29337/ijsp.26","ISSN":"2468-3574","author":[{"dropping-particle":"","family":"Andronic","given":"Octavian","non-dropping-particle":"","parse-names":false,"suffix":""},{"dropping-particle":"","family":"Claydon","given":"Leica","non-dropping-particle":"","parse-names":false,"suffix":""},{"dropping-particle":"","family":"Cubberley","given":"Rachael","non-dropping-particle":"","parse-names":false,"suffix":""},{"dropping-particle":"","family":"Sunil-Kumar","given":"Karadi Hari","non-dropping-particle":"","parse-names":false,"suffix":""},{"dropping-particle":"","family":"Khanduja","given":"Vikas","non-dropping-particle":"","parse-names":false,"suffix":""}],"container-title":"International Journal of Surgery: Protocols","id":"ITEM-1","issue":"1","issued":{"date-parts":[["2021"]]},"page":"1-6","title":"Outcomes of Hip Arthroscopy in Patients with Femoroacetabular Impingement and Concomitant Tönnis Grade II Osteoarthritis or Greater: Protocol for a Systematic Review","type":"article-journal","volume":"25"},"uris":["http://www.mendeley.com/documents/?uuid=cb3b51b6-0b2f-4ba4-b2e4-74265533c332"]}],"mendeley":{"formattedCitation":"&lt;sup&gt;19&lt;/sup&gt;","plainTextFormattedCitation":"19","previouslyFormattedCitation":"&lt;sup&gt;19&lt;/sup&gt;"},"properties":{"noteIndex":0},"schema":"https://github.com/citation-style-language/schema/raw/master/csl-citation.json"}</w:instrText>
      </w:r>
      <w:r w:rsidR="00AA1C7C" w:rsidRPr="007221CC">
        <w:rPr>
          <w:rFonts w:ascii="Calibri" w:hAnsi="Calibri" w:cs="Calibri"/>
          <w:lang w:val="en-GB"/>
        </w:rPr>
        <w:fldChar w:fldCharType="separate"/>
      </w:r>
      <w:r w:rsidR="005A2934" w:rsidRPr="007A114B">
        <w:rPr>
          <w:rFonts w:ascii="Calibri" w:hAnsi="Calibri" w:cs="Calibri"/>
          <w:noProof/>
          <w:vertAlign w:val="superscript"/>
          <w:lang w:val="en-GB"/>
        </w:rPr>
        <w:t>19</w:t>
      </w:r>
      <w:r w:rsidR="00AA1C7C" w:rsidRPr="007221CC">
        <w:rPr>
          <w:rFonts w:ascii="Calibri" w:hAnsi="Calibri" w:cs="Calibri"/>
          <w:lang w:val="en-GB"/>
        </w:rPr>
        <w:fldChar w:fldCharType="end"/>
      </w:r>
      <w:r w:rsidR="006268EA" w:rsidRPr="007A114B">
        <w:rPr>
          <w:rFonts w:ascii="Calibri" w:hAnsi="Calibri" w:cs="Calibri"/>
          <w:lang w:val="en-GB" w:eastAsia="en-GB"/>
        </w:rPr>
        <w:t xml:space="preserve"> </w:t>
      </w:r>
      <w:r w:rsidR="004B0E75" w:rsidRPr="007A114B">
        <w:rPr>
          <w:rFonts w:ascii="Calibri" w:hAnsi="Calibri" w:cs="Calibri"/>
          <w:lang w:val="en-GB" w:eastAsia="en-GB"/>
        </w:rPr>
        <w:t xml:space="preserve">The following databases: </w:t>
      </w:r>
      <w:r w:rsidR="004B0E75" w:rsidRPr="007A114B">
        <w:rPr>
          <w:rFonts w:cstheme="minorHAnsi"/>
          <w:lang w:val="en-GB" w:eastAsia="en-GB"/>
        </w:rPr>
        <w:t xml:space="preserve">MEDLINE, EMBASE, Web of Science Core Collection, and the Cochrane library </w:t>
      </w:r>
      <w:r w:rsidR="006268EA" w:rsidRPr="007A114B">
        <w:rPr>
          <w:rFonts w:cstheme="minorHAnsi"/>
          <w:lang w:val="en-GB" w:eastAsia="en-GB"/>
        </w:rPr>
        <w:t>were</w:t>
      </w:r>
      <w:r w:rsidR="00CD31FE" w:rsidRPr="007A114B">
        <w:rPr>
          <w:rFonts w:cstheme="minorHAnsi"/>
          <w:lang w:val="en-GB" w:eastAsia="en-GB"/>
        </w:rPr>
        <w:t xml:space="preserve"> </w:t>
      </w:r>
      <w:r w:rsidR="005A6FBC" w:rsidRPr="007A114B">
        <w:rPr>
          <w:rFonts w:cstheme="minorHAnsi"/>
          <w:lang w:val="en-GB" w:eastAsia="en-GB"/>
        </w:rPr>
        <w:t>searched from database inception to December 1</w:t>
      </w:r>
      <w:r w:rsidR="005A6FBC" w:rsidRPr="007A114B">
        <w:rPr>
          <w:rFonts w:cstheme="minorHAnsi"/>
          <w:vertAlign w:val="superscript"/>
          <w:lang w:val="en-GB" w:eastAsia="en-GB"/>
        </w:rPr>
        <w:t>st</w:t>
      </w:r>
      <w:r w:rsidR="005A6FBC" w:rsidRPr="007A114B">
        <w:rPr>
          <w:rFonts w:cstheme="minorHAnsi"/>
          <w:lang w:val="en-GB" w:eastAsia="en-GB"/>
        </w:rPr>
        <w:t xml:space="preserve"> 2020</w:t>
      </w:r>
      <w:r w:rsidR="009A1FC4" w:rsidRPr="007A114B">
        <w:rPr>
          <w:rFonts w:cstheme="minorHAnsi"/>
          <w:lang w:val="en-GB" w:eastAsia="en-GB"/>
        </w:rPr>
        <w:t xml:space="preserve">. </w:t>
      </w:r>
      <w:r w:rsidR="00CD31FE" w:rsidRPr="007A114B">
        <w:rPr>
          <w:rFonts w:cstheme="minorHAnsi"/>
          <w:lang w:val="en-GB" w:eastAsia="en-GB"/>
        </w:rPr>
        <w:t>Articles published in English</w:t>
      </w:r>
      <w:r w:rsidR="006F2E3F" w:rsidRPr="007A114B">
        <w:rPr>
          <w:rFonts w:cstheme="minorHAnsi"/>
          <w:lang w:val="en-GB" w:eastAsia="en-GB"/>
        </w:rPr>
        <w:t xml:space="preserve"> or German</w:t>
      </w:r>
      <w:r w:rsidR="00CD31FE" w:rsidRPr="007A114B">
        <w:rPr>
          <w:rFonts w:cstheme="minorHAnsi"/>
          <w:lang w:val="en-GB" w:eastAsia="en-GB"/>
        </w:rPr>
        <w:t xml:space="preserve"> language </w:t>
      </w:r>
      <w:r w:rsidR="00AA1C7C" w:rsidRPr="007A114B">
        <w:rPr>
          <w:rFonts w:cstheme="minorHAnsi"/>
          <w:lang w:val="en-GB" w:eastAsia="en-GB"/>
        </w:rPr>
        <w:t xml:space="preserve">were </w:t>
      </w:r>
      <w:r w:rsidR="00CD31FE" w:rsidRPr="007A114B">
        <w:rPr>
          <w:rFonts w:cstheme="minorHAnsi"/>
          <w:lang w:val="en-GB" w:eastAsia="en-GB"/>
        </w:rPr>
        <w:t>included</w:t>
      </w:r>
      <w:r w:rsidR="009A1FC4" w:rsidRPr="007A114B">
        <w:rPr>
          <w:rFonts w:cstheme="minorHAnsi"/>
          <w:lang w:val="en-GB" w:eastAsia="en-GB"/>
        </w:rPr>
        <w:t>. The search</w:t>
      </w:r>
      <w:r w:rsidR="00AA1C7C" w:rsidRPr="007A114B">
        <w:rPr>
          <w:rFonts w:cstheme="minorHAnsi"/>
          <w:lang w:val="en-GB" w:eastAsia="en-GB"/>
        </w:rPr>
        <w:t xml:space="preserve"> included</w:t>
      </w:r>
      <w:r w:rsidR="009A1FC4" w:rsidRPr="007A114B">
        <w:rPr>
          <w:rFonts w:cstheme="minorHAnsi"/>
          <w:lang w:val="en-GB" w:eastAsia="en-GB"/>
        </w:rPr>
        <w:t xml:space="preserve"> </w:t>
      </w:r>
      <w:r w:rsidR="00CD31FE" w:rsidRPr="007A114B">
        <w:rPr>
          <w:rFonts w:cstheme="minorHAnsi"/>
          <w:lang w:val="en-GB" w:eastAsia="en-GB"/>
        </w:rPr>
        <w:t>studies</w:t>
      </w:r>
      <w:r w:rsidR="009A1FC4" w:rsidRPr="007A114B">
        <w:rPr>
          <w:rFonts w:cstheme="minorHAnsi"/>
          <w:lang w:val="en-GB" w:eastAsia="en-GB"/>
        </w:rPr>
        <w:t xml:space="preserve"> </w:t>
      </w:r>
      <w:r w:rsidR="00AA1C7C" w:rsidRPr="007A114B">
        <w:rPr>
          <w:rFonts w:cstheme="minorHAnsi"/>
          <w:lang w:val="en-GB" w:eastAsia="en-GB"/>
        </w:rPr>
        <w:t>reporting on</w:t>
      </w:r>
      <w:r w:rsidR="009A1FC4" w:rsidRPr="007A114B">
        <w:rPr>
          <w:rFonts w:cstheme="minorHAnsi"/>
          <w:lang w:val="en-GB" w:eastAsia="en-GB"/>
        </w:rPr>
        <w:t xml:space="preserve"> patients </w:t>
      </w:r>
      <w:r w:rsidR="00CD31FE" w:rsidRPr="007A114B">
        <w:rPr>
          <w:rFonts w:cstheme="minorHAnsi"/>
          <w:lang w:val="en-GB" w:eastAsia="en-GB"/>
        </w:rPr>
        <w:t xml:space="preserve">that underwent </w:t>
      </w:r>
      <w:r w:rsidR="005A6FBC" w:rsidRPr="007A114B">
        <w:rPr>
          <w:rFonts w:cstheme="minorHAnsi"/>
          <w:lang w:val="en-GB" w:eastAsia="en-GB"/>
        </w:rPr>
        <w:t>HA</w:t>
      </w:r>
      <w:r w:rsidR="00CD31FE" w:rsidRPr="007A114B">
        <w:rPr>
          <w:rFonts w:cstheme="minorHAnsi"/>
          <w:lang w:val="en-GB" w:eastAsia="en-GB"/>
        </w:rPr>
        <w:t xml:space="preserve"> for the treatment of </w:t>
      </w:r>
      <w:r w:rsidR="00AA1C7C" w:rsidRPr="007A114B">
        <w:rPr>
          <w:rFonts w:cstheme="minorHAnsi"/>
          <w:lang w:val="en-GB" w:eastAsia="en-GB"/>
        </w:rPr>
        <w:t>FAI</w:t>
      </w:r>
      <w:r w:rsidR="00CD31FE" w:rsidRPr="007A114B">
        <w:rPr>
          <w:rFonts w:cstheme="minorHAnsi"/>
          <w:lang w:val="en-GB" w:eastAsia="en-GB"/>
        </w:rPr>
        <w:t xml:space="preserve"> </w:t>
      </w:r>
      <w:r w:rsidR="00F14DC2" w:rsidRPr="007A114B">
        <w:rPr>
          <w:rFonts w:cstheme="minorHAnsi"/>
          <w:lang w:val="en-GB" w:eastAsia="en-GB"/>
        </w:rPr>
        <w:t xml:space="preserve">and concomitant </w:t>
      </w:r>
      <w:proofErr w:type="spellStart"/>
      <w:r w:rsidR="001E4324" w:rsidRPr="007A114B">
        <w:rPr>
          <w:rFonts w:cstheme="minorHAnsi"/>
          <w:lang w:val="en-GB" w:eastAsia="en-GB"/>
        </w:rPr>
        <w:t>Tönnis</w:t>
      </w:r>
      <w:proofErr w:type="spellEnd"/>
      <w:r w:rsidR="00F14DC2" w:rsidRPr="007A114B">
        <w:rPr>
          <w:rFonts w:cstheme="minorHAnsi"/>
          <w:lang w:val="en-GB" w:eastAsia="en-GB"/>
        </w:rPr>
        <w:t xml:space="preserve"> Grade 2 or greater</w:t>
      </w:r>
      <w:r w:rsidR="004B0E75" w:rsidRPr="007A114B">
        <w:rPr>
          <w:rFonts w:cstheme="minorHAnsi"/>
          <w:lang w:val="en-GB" w:eastAsia="en-GB"/>
        </w:rPr>
        <w:t xml:space="preserve"> hip OA</w:t>
      </w:r>
      <w:r w:rsidR="00AA1C7C" w:rsidRPr="007A114B">
        <w:rPr>
          <w:rFonts w:cstheme="minorHAnsi"/>
          <w:lang w:val="en-GB" w:eastAsia="en-GB"/>
        </w:rPr>
        <w:t xml:space="preserve">. </w:t>
      </w:r>
      <w:r w:rsidR="009A1FC4" w:rsidRPr="007A114B">
        <w:rPr>
          <w:rFonts w:cstheme="minorHAnsi"/>
          <w:lang w:val="en-GB" w:eastAsia="en-GB"/>
        </w:rPr>
        <w:t xml:space="preserve"> </w:t>
      </w:r>
      <w:r w:rsidR="0066015B" w:rsidRPr="007A114B">
        <w:rPr>
          <w:lang w:val="en-GB"/>
        </w:rPr>
        <w:t xml:space="preserve">A total of 9 combinations </w:t>
      </w:r>
      <w:r w:rsidR="00EB5FC0" w:rsidRPr="007A114B">
        <w:rPr>
          <w:lang w:val="en-GB"/>
        </w:rPr>
        <w:t xml:space="preserve">using the following </w:t>
      </w:r>
      <w:proofErr w:type="gramStart"/>
      <w:r w:rsidR="00EB5FC0" w:rsidRPr="007A114B">
        <w:rPr>
          <w:lang w:val="en-GB"/>
        </w:rPr>
        <w:t>key-words</w:t>
      </w:r>
      <w:proofErr w:type="gramEnd"/>
      <w:r w:rsidR="004B0E75" w:rsidRPr="007A114B">
        <w:rPr>
          <w:lang w:val="en-GB"/>
        </w:rPr>
        <w:t xml:space="preserve"> </w:t>
      </w:r>
      <w:r w:rsidR="00AA1C7C" w:rsidRPr="007A114B">
        <w:rPr>
          <w:rFonts w:cstheme="minorHAnsi"/>
          <w:lang w:val="en-GB" w:eastAsia="en-GB"/>
        </w:rPr>
        <w:t xml:space="preserve">combined </w:t>
      </w:r>
      <w:r w:rsidR="0066015B" w:rsidRPr="007A114B">
        <w:rPr>
          <w:rFonts w:cstheme="minorHAnsi"/>
          <w:lang w:val="en-GB" w:eastAsia="en-GB"/>
        </w:rPr>
        <w:t xml:space="preserve">with </w:t>
      </w:r>
      <w:r w:rsidR="00AA1C7C" w:rsidRPr="007A114B">
        <w:rPr>
          <w:rFonts w:cstheme="minorHAnsi"/>
          <w:lang w:val="en-GB" w:eastAsia="en-GB"/>
        </w:rPr>
        <w:t xml:space="preserve">the Boolean term AND, </w:t>
      </w:r>
      <w:r w:rsidR="00AA1C7C" w:rsidRPr="007A114B">
        <w:rPr>
          <w:lang w:val="en-GB"/>
        </w:rPr>
        <w:t>were used</w:t>
      </w:r>
      <w:r w:rsidR="00EB5FC0" w:rsidRPr="007A114B">
        <w:rPr>
          <w:lang w:val="en-GB"/>
        </w:rPr>
        <w:t xml:space="preserve">: </w:t>
      </w:r>
      <w:r w:rsidR="0066015B" w:rsidRPr="007A114B">
        <w:rPr>
          <w:lang w:val="en-GB"/>
        </w:rPr>
        <w:t>(</w:t>
      </w:r>
      <w:r w:rsidR="00EB5FC0" w:rsidRPr="007A114B">
        <w:rPr>
          <w:lang w:val="en-GB"/>
        </w:rPr>
        <w:t>“hip arthroscopy”, "FAI", "</w:t>
      </w:r>
      <w:proofErr w:type="spellStart"/>
      <w:r w:rsidR="00EB5FC0" w:rsidRPr="007A114B">
        <w:rPr>
          <w:lang w:val="en-GB"/>
        </w:rPr>
        <w:t>femoroacetabular</w:t>
      </w:r>
      <w:proofErr w:type="spellEnd"/>
      <w:r w:rsidR="00EB5FC0" w:rsidRPr="007A114B">
        <w:rPr>
          <w:lang w:val="en-GB"/>
        </w:rPr>
        <w:t xml:space="preserve"> impingement"</w:t>
      </w:r>
      <w:r w:rsidR="0066015B" w:rsidRPr="007A114B">
        <w:rPr>
          <w:lang w:val="en-GB"/>
        </w:rPr>
        <w:t>)</w:t>
      </w:r>
      <w:r w:rsidR="00EB5FC0" w:rsidRPr="007A114B">
        <w:rPr>
          <w:lang w:val="en-GB"/>
        </w:rPr>
        <w:t xml:space="preserve"> </w:t>
      </w:r>
      <w:r w:rsidR="0066015B" w:rsidRPr="007A114B">
        <w:rPr>
          <w:lang w:val="en-GB"/>
        </w:rPr>
        <w:t>AND</w:t>
      </w:r>
      <w:r w:rsidR="00EB5FC0" w:rsidRPr="007A114B">
        <w:rPr>
          <w:lang w:val="en-GB"/>
        </w:rPr>
        <w:t xml:space="preserve"> </w:t>
      </w:r>
      <w:r w:rsidR="0066015B" w:rsidRPr="007A114B">
        <w:rPr>
          <w:lang w:val="en-GB"/>
        </w:rPr>
        <w:t>(</w:t>
      </w:r>
      <w:r w:rsidR="00EB5FC0" w:rsidRPr="007A114B">
        <w:rPr>
          <w:lang w:val="en-GB"/>
        </w:rPr>
        <w:t>“outcome”, “failure”, “results”</w:t>
      </w:r>
      <w:r w:rsidR="0066015B" w:rsidRPr="007A114B">
        <w:rPr>
          <w:lang w:val="en-GB"/>
        </w:rPr>
        <w:t>)</w:t>
      </w:r>
      <w:r w:rsidR="00EB5FC0" w:rsidRPr="007A114B">
        <w:rPr>
          <w:lang w:val="en-GB"/>
        </w:rPr>
        <w:t>.</w:t>
      </w:r>
      <w:r w:rsidR="0066015B" w:rsidRPr="007A114B">
        <w:rPr>
          <w:lang w:val="en-GB"/>
        </w:rPr>
        <w:t xml:space="preserve"> This search strategy was adapted as appropriate for all databases.</w:t>
      </w:r>
    </w:p>
    <w:p w14:paraId="514446A7" w14:textId="77777777" w:rsidR="001E1099" w:rsidRDefault="001E1099" w:rsidP="00B931A0">
      <w:pPr>
        <w:spacing w:after="120" w:line="480" w:lineRule="auto"/>
        <w:jc w:val="both"/>
        <w:rPr>
          <w:lang w:val="en-GB"/>
        </w:rPr>
      </w:pPr>
    </w:p>
    <w:p w14:paraId="368F5DCA" w14:textId="64BBE2CE" w:rsidR="00B931A0" w:rsidRPr="007A114B" w:rsidRDefault="00B931A0" w:rsidP="001E1099">
      <w:pPr>
        <w:pStyle w:val="Heading2"/>
      </w:pPr>
      <w:r w:rsidRPr="007A114B">
        <w:t>Selection Process and Data Extraction</w:t>
      </w:r>
    </w:p>
    <w:p w14:paraId="412BA891" w14:textId="46337223" w:rsidR="001E1099" w:rsidRDefault="005A6FBC" w:rsidP="00B931A0">
      <w:pPr>
        <w:spacing w:after="120" w:line="480" w:lineRule="auto"/>
        <w:jc w:val="both"/>
        <w:rPr>
          <w:rFonts w:cstheme="minorHAnsi"/>
          <w:lang w:val="en-GB" w:eastAsia="en-GB"/>
        </w:rPr>
      </w:pPr>
      <w:r w:rsidRPr="007A114B">
        <w:rPr>
          <w:rFonts w:cstheme="minorHAnsi"/>
          <w:lang w:val="en-GB" w:eastAsia="en-GB"/>
        </w:rPr>
        <w:t>Two authors</w:t>
      </w:r>
      <w:r w:rsidR="00045046" w:rsidRPr="007A114B">
        <w:rPr>
          <w:rFonts w:cstheme="minorHAnsi"/>
          <w:lang w:val="en-GB" w:eastAsia="en-GB"/>
        </w:rPr>
        <w:t xml:space="preserve"> </w:t>
      </w:r>
      <w:r w:rsidRPr="007A114B">
        <w:rPr>
          <w:rFonts w:cstheme="minorHAnsi"/>
          <w:lang w:val="en-GB" w:eastAsia="en-GB"/>
        </w:rPr>
        <w:t>(</w:t>
      </w:r>
      <w:r w:rsidR="00B27D98" w:rsidRPr="00CF225D">
        <w:rPr>
          <w:rFonts w:cstheme="minorHAnsi"/>
          <w:lang w:val="en-GB" w:eastAsia="en-GB"/>
        </w:rPr>
        <w:t>(OA</w:t>
      </w:r>
      <w:r w:rsidR="00B27D98" w:rsidRPr="007A114B">
        <w:rPr>
          <w:rFonts w:cstheme="minorHAnsi"/>
          <w:lang w:val="en-GB" w:eastAsia="en-GB"/>
        </w:rPr>
        <w:t xml:space="preserve"> and </w:t>
      </w:r>
      <w:r w:rsidR="009742BF" w:rsidRPr="00CF225D">
        <w:rPr>
          <w:rFonts w:cstheme="minorHAnsi"/>
          <w:lang w:val="en-GB" w:eastAsia="en-GB"/>
        </w:rPr>
        <w:t>SK</w:t>
      </w:r>
      <w:r w:rsidR="00B27D98" w:rsidRPr="007A114B">
        <w:rPr>
          <w:rFonts w:cstheme="minorHAnsi"/>
          <w:lang w:val="en-GB" w:eastAsia="en-GB"/>
        </w:rPr>
        <w:t>)</w:t>
      </w:r>
      <w:r w:rsidRPr="007A114B">
        <w:rPr>
          <w:rFonts w:cstheme="minorHAnsi"/>
          <w:lang w:val="en-GB" w:eastAsia="en-GB"/>
        </w:rPr>
        <w:t xml:space="preserve"> performed blind and independent study selection by applying the eligibility criteria </w:t>
      </w:r>
      <w:r w:rsidR="00D25DFB" w:rsidRPr="007A114B">
        <w:rPr>
          <w:rFonts w:cstheme="minorHAnsi"/>
          <w:lang w:val="en-GB" w:eastAsia="en-GB"/>
        </w:rPr>
        <w:t>(</w:t>
      </w:r>
      <w:r w:rsidR="00D25DFB" w:rsidRPr="007A114B">
        <w:rPr>
          <w:rFonts w:cstheme="minorHAnsi"/>
          <w:b/>
          <w:lang w:val="en-GB" w:eastAsia="en-GB"/>
        </w:rPr>
        <w:t>Table 1</w:t>
      </w:r>
      <w:r w:rsidR="00D25DFB" w:rsidRPr="007A114B">
        <w:rPr>
          <w:rFonts w:cstheme="minorHAnsi"/>
          <w:lang w:val="en-GB" w:eastAsia="en-GB"/>
        </w:rPr>
        <w:t>)</w:t>
      </w:r>
      <w:r w:rsidR="005063E5" w:rsidRPr="007A114B">
        <w:rPr>
          <w:rFonts w:cstheme="minorHAnsi"/>
          <w:lang w:val="en-GB" w:eastAsia="en-GB"/>
        </w:rPr>
        <w:t xml:space="preserve">. </w:t>
      </w:r>
      <w:r w:rsidR="004C1FD4" w:rsidRPr="007A114B">
        <w:rPr>
          <w:rFonts w:cstheme="minorHAnsi"/>
          <w:lang w:val="en-GB" w:eastAsia="en-GB"/>
        </w:rPr>
        <w:t>In cases where consensus could not be reached, the senior author (</w:t>
      </w:r>
      <w:r w:rsidR="004C1FD4" w:rsidRPr="00CF225D">
        <w:rPr>
          <w:rFonts w:cstheme="minorHAnsi"/>
          <w:lang w:val="en-GB" w:eastAsia="en-GB"/>
        </w:rPr>
        <w:t>VK</w:t>
      </w:r>
      <w:r w:rsidR="004C1FD4" w:rsidRPr="007A114B">
        <w:rPr>
          <w:rFonts w:cstheme="minorHAnsi"/>
          <w:lang w:val="en-GB" w:eastAsia="en-GB"/>
        </w:rPr>
        <w:t xml:space="preserve">) was consulted. </w:t>
      </w:r>
      <w:r w:rsidR="008D4F8C" w:rsidRPr="007A114B">
        <w:rPr>
          <w:rFonts w:cstheme="minorHAnsi"/>
          <w:lang w:val="en-GB" w:eastAsia="en-GB"/>
        </w:rPr>
        <w:t xml:space="preserve">Review articles, surgical techniques, oral presentations, experimental or animal studies, </w:t>
      </w:r>
      <w:r w:rsidR="00600CBC" w:rsidRPr="007A114B">
        <w:rPr>
          <w:rFonts w:cstheme="minorHAnsi"/>
          <w:lang w:val="en-GB" w:eastAsia="en-GB"/>
        </w:rPr>
        <w:t xml:space="preserve">as well as </w:t>
      </w:r>
      <w:r w:rsidR="008D4F8C" w:rsidRPr="007A114B">
        <w:rPr>
          <w:rFonts w:cstheme="minorHAnsi"/>
          <w:lang w:val="en-GB" w:eastAsia="en-GB"/>
        </w:rPr>
        <w:t>studies mixing and overlapping patient populations</w:t>
      </w:r>
      <w:r w:rsidR="005063E5" w:rsidRPr="007A114B">
        <w:rPr>
          <w:rFonts w:cstheme="minorHAnsi"/>
          <w:lang w:val="en-GB" w:eastAsia="en-GB"/>
        </w:rPr>
        <w:t xml:space="preserve"> </w:t>
      </w:r>
      <w:r w:rsidR="00600CBC" w:rsidRPr="007A114B">
        <w:rPr>
          <w:rFonts w:cstheme="minorHAnsi"/>
          <w:lang w:val="en-GB" w:eastAsia="en-GB"/>
        </w:rPr>
        <w:t>were</w:t>
      </w:r>
      <w:r w:rsidR="005063E5" w:rsidRPr="007A114B">
        <w:rPr>
          <w:rFonts w:cstheme="minorHAnsi"/>
          <w:lang w:val="en-GB" w:eastAsia="en-GB"/>
        </w:rPr>
        <w:t xml:space="preserve"> excluded. </w:t>
      </w:r>
      <w:r w:rsidR="00600CBC" w:rsidRPr="007A114B">
        <w:rPr>
          <w:rFonts w:cstheme="minorHAnsi"/>
          <w:lang w:val="en-GB" w:eastAsia="en-GB"/>
        </w:rPr>
        <w:t>Furthermore, studies including p</w:t>
      </w:r>
      <w:r w:rsidR="00230028" w:rsidRPr="007A114B">
        <w:rPr>
          <w:rFonts w:cstheme="minorHAnsi"/>
          <w:lang w:val="en-GB" w:eastAsia="en-GB"/>
        </w:rPr>
        <w:t xml:space="preserve">articipants with </w:t>
      </w:r>
      <w:r w:rsidR="00087128" w:rsidRPr="007A114B">
        <w:rPr>
          <w:rFonts w:cstheme="minorHAnsi"/>
          <w:lang w:val="en-GB" w:eastAsia="en-GB"/>
        </w:rPr>
        <w:t>active inflammatory disease, neurologic condition</w:t>
      </w:r>
      <w:r w:rsidR="004B0E75" w:rsidRPr="007A114B">
        <w:rPr>
          <w:rFonts w:cstheme="minorHAnsi"/>
          <w:lang w:val="en-GB" w:eastAsia="en-GB"/>
        </w:rPr>
        <w:t>s</w:t>
      </w:r>
      <w:r w:rsidR="00087128" w:rsidRPr="007A114B">
        <w:rPr>
          <w:rFonts w:cstheme="minorHAnsi"/>
          <w:lang w:val="en-GB" w:eastAsia="en-GB"/>
        </w:rPr>
        <w:t>, previous ipsilateral surgeries of the hip</w:t>
      </w:r>
      <w:r w:rsidR="00230028" w:rsidRPr="007A114B">
        <w:rPr>
          <w:rFonts w:cstheme="minorHAnsi"/>
          <w:lang w:val="en-GB" w:eastAsia="en-GB"/>
        </w:rPr>
        <w:t xml:space="preserve"> or </w:t>
      </w:r>
      <w:r w:rsidR="00087128" w:rsidRPr="007A114B">
        <w:rPr>
          <w:rFonts w:cstheme="minorHAnsi"/>
          <w:lang w:val="en-GB" w:eastAsia="en-GB"/>
        </w:rPr>
        <w:t>osteonecrosi</w:t>
      </w:r>
      <w:r w:rsidR="00230028" w:rsidRPr="007A114B">
        <w:rPr>
          <w:rFonts w:cstheme="minorHAnsi"/>
          <w:lang w:val="en-GB" w:eastAsia="en-GB"/>
        </w:rPr>
        <w:t xml:space="preserve">s </w:t>
      </w:r>
      <w:r w:rsidR="00600CBC" w:rsidRPr="007A114B">
        <w:rPr>
          <w:rFonts w:cstheme="minorHAnsi"/>
          <w:lang w:val="en-GB" w:eastAsia="en-GB"/>
        </w:rPr>
        <w:t>were also</w:t>
      </w:r>
      <w:r w:rsidR="00230028" w:rsidRPr="007A114B">
        <w:rPr>
          <w:rFonts w:cstheme="minorHAnsi"/>
          <w:lang w:val="en-GB" w:eastAsia="en-GB"/>
        </w:rPr>
        <w:t xml:space="preserve"> excluded.</w:t>
      </w:r>
      <w:r w:rsidR="00600CBC" w:rsidRPr="007A114B">
        <w:rPr>
          <w:rFonts w:cstheme="minorHAnsi"/>
          <w:lang w:val="en-GB" w:eastAsia="en-GB"/>
        </w:rPr>
        <w:t xml:space="preserve"> </w:t>
      </w:r>
      <w:r w:rsidRPr="007A114B">
        <w:rPr>
          <w:rFonts w:cstheme="minorHAnsi"/>
          <w:lang w:val="en-GB" w:eastAsia="en-GB"/>
        </w:rPr>
        <w:t xml:space="preserve">Where data were not available, authors were contacted </w:t>
      </w:r>
      <w:r w:rsidR="00901989" w:rsidRPr="007A114B">
        <w:rPr>
          <w:rFonts w:cstheme="minorHAnsi"/>
          <w:lang w:val="en-GB" w:eastAsia="en-GB"/>
        </w:rPr>
        <w:t xml:space="preserve">by </w:t>
      </w:r>
      <w:r w:rsidRPr="007A114B">
        <w:rPr>
          <w:rFonts w:cstheme="minorHAnsi"/>
          <w:lang w:val="en-GB" w:eastAsia="en-GB"/>
        </w:rPr>
        <w:t>e</w:t>
      </w:r>
      <w:r w:rsidR="00901989" w:rsidRPr="007A114B">
        <w:rPr>
          <w:rFonts w:cstheme="minorHAnsi"/>
          <w:lang w:val="en-GB" w:eastAsia="en-GB"/>
        </w:rPr>
        <w:t>mail</w:t>
      </w:r>
      <w:r w:rsidRPr="007A114B">
        <w:rPr>
          <w:rFonts w:cstheme="minorHAnsi"/>
          <w:lang w:val="en-GB" w:eastAsia="en-GB"/>
        </w:rPr>
        <w:t>.</w:t>
      </w:r>
    </w:p>
    <w:p w14:paraId="3EAE930A" w14:textId="77777777" w:rsidR="001E1099" w:rsidRPr="007A114B" w:rsidRDefault="001E1099" w:rsidP="00B931A0">
      <w:pPr>
        <w:spacing w:after="120" w:line="480" w:lineRule="auto"/>
        <w:jc w:val="both"/>
        <w:rPr>
          <w:rFonts w:cstheme="minorHAnsi"/>
          <w:lang w:val="en-GB" w:eastAsia="en-GB"/>
        </w:rPr>
      </w:pPr>
    </w:p>
    <w:p w14:paraId="68078315" w14:textId="77777777" w:rsidR="00B931A0" w:rsidRPr="007A114B" w:rsidRDefault="00B931A0" w:rsidP="001E1099">
      <w:pPr>
        <w:pStyle w:val="Heading2"/>
      </w:pPr>
      <w:r w:rsidRPr="007A114B">
        <w:t>Risk of Bias Assessment</w:t>
      </w:r>
    </w:p>
    <w:p w14:paraId="44D16959" w14:textId="2ABC0839" w:rsidR="00B931A0" w:rsidRDefault="005063E5" w:rsidP="00B931A0">
      <w:pPr>
        <w:spacing w:after="120" w:line="480" w:lineRule="auto"/>
        <w:jc w:val="both"/>
        <w:rPr>
          <w:rFonts w:cstheme="minorHAnsi"/>
          <w:lang w:val="en-GB" w:eastAsia="en-GB"/>
        </w:rPr>
      </w:pPr>
      <w:r w:rsidRPr="007A114B">
        <w:rPr>
          <w:rFonts w:cstheme="minorHAnsi"/>
          <w:lang w:val="en-GB" w:eastAsia="en-GB"/>
        </w:rPr>
        <w:lastRenderedPageBreak/>
        <w:t xml:space="preserve">The risk of bias </w:t>
      </w:r>
      <w:r w:rsidR="00600CBC" w:rsidRPr="007A114B">
        <w:rPr>
          <w:rFonts w:cstheme="minorHAnsi"/>
          <w:lang w:val="en-GB" w:eastAsia="en-GB"/>
        </w:rPr>
        <w:t xml:space="preserve">assessment was performed </w:t>
      </w:r>
      <w:r w:rsidRPr="007A114B">
        <w:rPr>
          <w:rFonts w:cstheme="minorHAnsi"/>
          <w:lang w:val="en-GB" w:eastAsia="en-GB"/>
        </w:rPr>
        <w:t xml:space="preserve">using </w:t>
      </w:r>
      <w:r w:rsidR="00B210A6" w:rsidRPr="007A114B">
        <w:rPr>
          <w:rFonts w:cstheme="minorHAnsi"/>
          <w:lang w:val="en-GB" w:eastAsia="en-GB"/>
        </w:rPr>
        <w:t xml:space="preserve">the </w:t>
      </w:r>
      <w:r w:rsidR="00600CBC" w:rsidRPr="007A114B">
        <w:rPr>
          <w:rFonts w:cstheme="minorHAnsi"/>
          <w:lang w:val="en-GB" w:eastAsia="en-GB"/>
        </w:rPr>
        <w:t>Methodological index for non-randomized studies (</w:t>
      </w:r>
      <w:r w:rsidR="00B210A6" w:rsidRPr="007A114B">
        <w:rPr>
          <w:rFonts w:cstheme="minorHAnsi"/>
          <w:lang w:val="en-GB" w:eastAsia="en-GB"/>
        </w:rPr>
        <w:t>MINORS</w:t>
      </w:r>
      <w:r w:rsidR="00600CBC" w:rsidRPr="007A114B">
        <w:rPr>
          <w:rFonts w:cstheme="minorHAnsi"/>
          <w:lang w:val="en-GB" w:eastAsia="en-GB"/>
        </w:rPr>
        <w:t>)</w:t>
      </w:r>
      <w:r w:rsidR="00B210A6" w:rsidRPr="007A114B">
        <w:rPr>
          <w:rFonts w:cstheme="minorHAnsi"/>
          <w:lang w:val="en-GB" w:eastAsia="en-GB"/>
        </w:rPr>
        <w:t xml:space="preserve"> criteria</w:t>
      </w:r>
      <w:r w:rsidR="00E629F5" w:rsidRPr="007A114B">
        <w:rPr>
          <w:rFonts w:cstheme="minorHAnsi"/>
          <w:lang w:val="en-GB" w:eastAsia="en-GB"/>
        </w:rPr>
        <w:fldChar w:fldCharType="begin" w:fldLock="1"/>
      </w:r>
      <w:r w:rsidR="006A1D58" w:rsidRPr="007A114B">
        <w:rPr>
          <w:rFonts w:cstheme="minorHAnsi"/>
          <w:lang w:val="en-GB" w:eastAsia="en-GB"/>
        </w:rPr>
        <w:instrText>ADDIN CSL_CITATION {"citationItems":[{"id":"ITEM-1","itemData":{"DOI":"10.1046/j.1445-2197.2003.02748.x","ISSN":"14451433","PMID":"12956787","abstract":"Background: Because of specific methodological difficulties in conducting randomized trials, surgical research remains dependent predominantly on observational or non-randomized studies. Few validated instruments are available to determine the methodological quality of such studies either from the reader's perspective or for the purpose of meta-analysis. The aim of the present study was to develop and validate such an instrument. Methods: After an initial conceptualization phase of a methodological index for non-randomized studies (MINORS), a list of 12 potential items was sent to 100 experts from different surgical specialities for evaluation and was also assessed by 10 clinical methodologists. Subsequent testing involved the assessment of inter-reviewer agreement, test-retest reliability at 2 months, internal consistency reliability and external validity. Results: The final version of MINORS contained 12 items, the first eight being specifically for non-comparative studies. Reliability was established on the basis of good inter-reviewer agreement, high test-retest reliability by the κ-coefficient and good internal consistency by a high Cronbach's α-coefficient. External validity was established in terms of the ability of MINORS to identify excellent trials. Conclusions: MINORS is a valid instrument designed to assess the methodological quality of non-randomized surgical studies, whether comparative or non-comparative. The next step will be to determine its external validity when used in a large number of studies and to compare it with other existing instruments.","author":[{"dropping-particle":"","family":"Slim","given":"Karem","non-dropping-particle":"","parse-names":false,"suffix":""},{"dropping-particle":"","family":"Nini","given":"Emile","non-dropping-particle":"","parse-names":false,"suffix":""},{"dropping-particle":"","family":"Forestier","given":"Damien","non-dropping-particle":"","parse-names":false,"suffix":""},{"dropping-particle":"","family":"Kwiatkowski","given":"Fabrice","non-dropping-particle":"","parse-names":false,"suffix":""},{"dropping-particle":"","family":"Panis","given":"Yves","non-dropping-particle":"","parse-names":false,"suffix":""},{"dropping-particle":"","family":"Chipponi","given":"Jacques","non-dropping-particle":"","parse-names":false,"suffix":""}],"container-title":"ANZ Journal of Surgery","id":"ITEM-1","issued":{"date-parts":[["2003"]]},"title":"Methodological index for non-randomized studies (Minors): Development and validation of a new instrument","type":"article-journal"},"uris":["http://www.mendeley.com/documents/?uuid=6f6e5d11-657e-4f5c-8fe5-0dcba446af95"]}],"mendeley":{"formattedCitation":"&lt;sup&gt;20&lt;/sup&gt;","plainTextFormattedCitation":"20","previouslyFormattedCitation":"&lt;sup&gt;20&lt;/sup&gt;"},"properties":{"noteIndex":0},"schema":"https://github.com/citation-style-language/schema/raw/master/csl-citation.json"}</w:instrText>
      </w:r>
      <w:r w:rsidR="00E629F5" w:rsidRPr="007A114B">
        <w:rPr>
          <w:rFonts w:cstheme="minorHAnsi"/>
          <w:lang w:val="en-GB" w:eastAsia="en-GB"/>
        </w:rPr>
        <w:fldChar w:fldCharType="separate"/>
      </w:r>
      <w:r w:rsidR="005A2934" w:rsidRPr="007A114B">
        <w:rPr>
          <w:rFonts w:cstheme="minorHAnsi"/>
          <w:noProof/>
          <w:vertAlign w:val="superscript"/>
          <w:lang w:val="en-GB" w:eastAsia="en-GB"/>
        </w:rPr>
        <w:t>20</w:t>
      </w:r>
      <w:r w:rsidR="00E629F5" w:rsidRPr="007A114B">
        <w:rPr>
          <w:rFonts w:cstheme="minorHAnsi"/>
          <w:lang w:val="en-GB" w:eastAsia="en-GB"/>
        </w:rPr>
        <w:fldChar w:fldCharType="end"/>
      </w:r>
      <w:r w:rsidR="00E629F5" w:rsidRPr="007A114B">
        <w:rPr>
          <w:rFonts w:cstheme="minorHAnsi"/>
          <w:lang w:val="en-GB" w:eastAsia="en-GB"/>
        </w:rPr>
        <w:t xml:space="preserve"> </w:t>
      </w:r>
      <w:r w:rsidRPr="007A114B">
        <w:rPr>
          <w:rFonts w:cstheme="minorHAnsi"/>
          <w:lang w:val="en-GB" w:eastAsia="en-GB"/>
        </w:rPr>
        <w:t xml:space="preserve">for each </w:t>
      </w:r>
      <w:r w:rsidR="00600CBC" w:rsidRPr="007A114B">
        <w:rPr>
          <w:rFonts w:cstheme="minorHAnsi"/>
          <w:lang w:val="en-GB" w:eastAsia="en-GB"/>
        </w:rPr>
        <w:t xml:space="preserve">type of </w:t>
      </w:r>
      <w:r w:rsidRPr="007A114B">
        <w:rPr>
          <w:rFonts w:cstheme="minorHAnsi"/>
          <w:lang w:val="en-GB" w:eastAsia="en-GB"/>
        </w:rPr>
        <w:t>study desig</w:t>
      </w:r>
      <w:r w:rsidR="00600CBC" w:rsidRPr="007A114B">
        <w:rPr>
          <w:rFonts w:cstheme="minorHAnsi"/>
          <w:lang w:val="en-GB" w:eastAsia="en-GB"/>
        </w:rPr>
        <w:t>n</w:t>
      </w:r>
      <w:r w:rsidRPr="007A114B">
        <w:rPr>
          <w:rFonts w:cstheme="minorHAnsi"/>
          <w:lang w:val="en-GB" w:eastAsia="en-GB"/>
        </w:rPr>
        <w:t xml:space="preserve">. </w:t>
      </w:r>
      <w:r w:rsidR="00930D5F" w:rsidRPr="007A114B">
        <w:rPr>
          <w:rFonts w:cstheme="minorHAnsi"/>
          <w:lang w:val="en-GB" w:eastAsia="en-GB"/>
        </w:rPr>
        <w:t xml:space="preserve">MINORS criteria assess eight critical aspects of study design for non-comparative clinical studies and an additional four aspects of study design for comparative clinical studies. Each item is </w:t>
      </w:r>
      <w:r w:rsidR="004A43DB" w:rsidRPr="007A114B">
        <w:rPr>
          <w:rFonts w:cstheme="minorHAnsi"/>
          <w:lang w:val="en-GB" w:eastAsia="en-GB"/>
        </w:rPr>
        <w:t>scored zero</w:t>
      </w:r>
      <w:r w:rsidR="00930D5F" w:rsidRPr="007A114B">
        <w:rPr>
          <w:rFonts w:cstheme="minorHAnsi"/>
          <w:lang w:val="en-GB" w:eastAsia="en-GB"/>
        </w:rPr>
        <w:t xml:space="preserve"> if information is not reported, one if information is reported but inadequate, and two if information is reported and adequate. Therefore, the maximum possible score is 16 for comparative studies and 24 for non-comparative studies. Furthermore, an additional assessment </w:t>
      </w:r>
      <w:r w:rsidR="0097272B" w:rsidRPr="007A114B">
        <w:rPr>
          <w:rFonts w:cstheme="minorHAnsi"/>
          <w:lang w:val="en-GB" w:eastAsia="en-GB"/>
        </w:rPr>
        <w:t>of</w:t>
      </w:r>
      <w:r w:rsidR="00930D5F" w:rsidRPr="007A114B">
        <w:rPr>
          <w:rFonts w:cstheme="minorHAnsi"/>
          <w:lang w:val="en-GB" w:eastAsia="en-GB"/>
        </w:rPr>
        <w:t xml:space="preserve"> reporting </w:t>
      </w:r>
      <w:r w:rsidR="0097272B" w:rsidRPr="007A114B">
        <w:rPr>
          <w:rFonts w:cstheme="minorHAnsi"/>
          <w:lang w:val="en-GB" w:eastAsia="en-GB"/>
        </w:rPr>
        <w:t xml:space="preserve">quality </w:t>
      </w:r>
      <w:r w:rsidR="00930D5F" w:rsidRPr="007A114B">
        <w:rPr>
          <w:rFonts w:cstheme="minorHAnsi"/>
          <w:lang w:val="en-GB" w:eastAsia="en-GB"/>
        </w:rPr>
        <w:t>on biological augmentation</w:t>
      </w:r>
      <w:r w:rsidR="0097272B" w:rsidRPr="007A114B">
        <w:rPr>
          <w:rFonts w:cstheme="minorHAnsi"/>
          <w:lang w:val="en-GB" w:eastAsia="en-GB"/>
        </w:rPr>
        <w:t xml:space="preserve"> techniques</w:t>
      </w:r>
      <w:r w:rsidR="00930D5F" w:rsidRPr="007A114B">
        <w:rPr>
          <w:rFonts w:cstheme="minorHAnsi"/>
          <w:lang w:val="en-GB" w:eastAsia="en-GB"/>
        </w:rPr>
        <w:t xml:space="preserve">, mainly with MSCs (mesenchymal stem cells) </w:t>
      </w:r>
      <w:r w:rsidR="0097272B" w:rsidRPr="007A114B">
        <w:rPr>
          <w:rFonts w:cstheme="minorHAnsi"/>
          <w:lang w:val="en-GB" w:eastAsia="en-GB"/>
        </w:rPr>
        <w:t>was</w:t>
      </w:r>
      <w:r w:rsidR="00930D5F" w:rsidRPr="007A114B">
        <w:rPr>
          <w:rFonts w:cstheme="minorHAnsi"/>
          <w:lang w:val="en-GB" w:eastAsia="en-GB"/>
        </w:rPr>
        <w:t xml:space="preserve"> performed using the </w:t>
      </w:r>
      <w:r w:rsidR="0097272B" w:rsidRPr="007A114B">
        <w:rPr>
          <w:rFonts w:cstheme="minorHAnsi"/>
          <w:lang w:val="en-GB" w:eastAsia="en-GB"/>
        </w:rPr>
        <w:t xml:space="preserve">recently introduced </w:t>
      </w:r>
      <w:r w:rsidR="00930D5F" w:rsidRPr="007A114B">
        <w:rPr>
          <w:rFonts w:cstheme="minorHAnsi"/>
          <w:lang w:val="en-GB" w:eastAsia="en-GB"/>
        </w:rPr>
        <w:t>MIBO tool</w:t>
      </w:r>
      <w:r w:rsidR="00E629F5" w:rsidRPr="007A114B">
        <w:rPr>
          <w:rFonts w:cstheme="minorHAnsi"/>
          <w:lang w:val="en-GB" w:eastAsia="en-GB"/>
        </w:rPr>
        <w:fldChar w:fldCharType="begin" w:fldLock="1"/>
      </w:r>
      <w:r w:rsidR="006A1D58" w:rsidRPr="007A114B">
        <w:rPr>
          <w:rFonts w:cstheme="minorHAnsi"/>
          <w:lang w:val="en-GB" w:eastAsia="en-GB"/>
        </w:rPr>
        <w:instrText>ADDIN CSL_CITATION {"citationItems":[{"id":"ITEM-1","itemData":{"ISSN":"0021-9355","abstract":"Background: \nA comprehensive approach to the evaluation of biologic therapies for musculoskeletal conditions is required to guide appropriate future use. Clinical studies evaluating platelet-rich plasma (PRP) and mesenchymal stem cells (MSCs) are limited by inadequate reporting of scientific details critical to outcome. We developed minimum reporting requirements for clinical studies evaluating PRP and MSCs using Delphi consensus methods.\nMethods:\nThe need for consensus on the minimum reporting requirements for studies evaluating biologics was identified at the American Academy of Orthopaedic Surgeons/Orthopaedic Research Society (AAOS/ORS) Biologic Treatments for Orthopaedic Injuries Symposium in 2015 and the American Orthopaedic Society for Sports Medicine (AOSSM) Biologic Treatments for Sports Injuries II Think Tank in 2015. A working group facilitated the development of 2 expert consensus statements for PRP and MSCs using Delphi techniques. Exhaustive lists of items that could be reported on by clinical studies evaluating PRP or MSCs were generated by searching the published literature and protocols. PRP and MSC expert groups, each made up of 24 invited speakers at the AAOS and AOSSM symposia, were surveyed on 3 occasions to establish consensus on the inclusion of each item within minimum reporting guidelines. In addition to rating their agreement, the experts were encouraged to propose further items or modifications. Predefined criteria were used to refine item lists after each survey. Final lists were compiled into checklist statements by the working group.\nResults:\nFor PRP, the working group identified 93 experimental information items from the literature. Twenty-three experts (96%) completed 3 rounds of surveys. After 3 rounds, 58 items generated consensus with &gt;75% agreement and &lt;5% disagreement. These items were compiled into a 23-statement checklist. For MSCs, 103 items were identified from the published literature. Twenty-three experts (96%) completed 3 rounds of surveys. After 3 rounds, the 61 items for which consensus was reached were compiled into a 25-statement checklist.\nConclusions:\nThis study has established expert consensus on the minimum reporting requirements for clinical studies evaluating PRP and MSCs.\nClinical Relevance:\nThese checklists provide specifications for the minimum information that should be reported by clinical studies evaluating PRP or MSCs.","author":[{"dropping-particle":"","family":"Murray","given":"Iain R","non-dropping-particle":"","parse-names":false,"suffix":""},{"dropping-particle":"","family":"Geeslin","given":"Andrew G","non-dropping-particle":"","parse-names":false,"suffix":""},{"dropping-particle":"","family":"Goudie","given":"Ewan B","non-dropping-particle":"","parse-names":false,"suffix":""},{"dropping-particle":"","family":"Petrigliano","given":"Frank A","non-dropping-particle":"","parse-names":false,"suffix":""},{"dropping-particle":"","family":"LaPrade","given":"Robert F","non-dropping-particle":"","parse-names":false,"suffix":""}],"container-title":"JBJS","id":"ITEM-1","issue":"10","issued":{"date-parts":[["2017"]]},"title":"Minimum Information for Studies Evaluating Biologics in Orthopaedics (MIBO): Platelet-Rich Plasma and Mesenchymal Stem Cells","type":"article-journal","volume":"99"},"uris":["http://www.mendeley.com/documents/?uuid=fb0e64f5-ab30-445b-98ad-cafd1af33797"]}],"mendeley":{"formattedCitation":"&lt;sup&gt;21&lt;/sup&gt;","plainTextFormattedCitation":"21","previouslyFormattedCitation":"&lt;sup&gt;21&lt;/sup&gt;"},"properties":{"noteIndex":0},"schema":"https://github.com/citation-style-language/schema/raw/master/csl-citation.json"}</w:instrText>
      </w:r>
      <w:r w:rsidR="00E629F5" w:rsidRPr="007A114B">
        <w:rPr>
          <w:rFonts w:cstheme="minorHAnsi"/>
          <w:lang w:val="en-GB" w:eastAsia="en-GB"/>
        </w:rPr>
        <w:fldChar w:fldCharType="separate"/>
      </w:r>
      <w:r w:rsidR="005A2934" w:rsidRPr="007A114B">
        <w:rPr>
          <w:rFonts w:cstheme="minorHAnsi"/>
          <w:noProof/>
          <w:vertAlign w:val="superscript"/>
          <w:lang w:val="en-GB" w:eastAsia="en-GB"/>
        </w:rPr>
        <w:t>21</w:t>
      </w:r>
      <w:r w:rsidR="00E629F5" w:rsidRPr="007A114B">
        <w:rPr>
          <w:rFonts w:cstheme="minorHAnsi"/>
          <w:lang w:val="en-GB" w:eastAsia="en-GB"/>
        </w:rPr>
        <w:fldChar w:fldCharType="end"/>
      </w:r>
      <w:r w:rsidR="00930D5F" w:rsidRPr="007A114B">
        <w:rPr>
          <w:rFonts w:cstheme="minorHAnsi"/>
          <w:lang w:val="en-GB" w:eastAsia="en-GB"/>
        </w:rPr>
        <w:t xml:space="preserve"> (Minimum Information for Studies Evaluating Biologics in Orthopaedics). A scoring system was then used per study such as studies that answered yes to a question from the checklist scored 2, not clear scored 1 and no scored 0. Each score was then converted into a percentage</w:t>
      </w:r>
      <w:r w:rsidR="00101DDD" w:rsidRPr="007A114B">
        <w:rPr>
          <w:rFonts w:cstheme="minorHAnsi"/>
          <w:lang w:val="en-GB" w:eastAsia="en-GB"/>
        </w:rPr>
        <w:t>.</w:t>
      </w:r>
    </w:p>
    <w:p w14:paraId="0A943985" w14:textId="77777777" w:rsidR="001E1099" w:rsidRPr="007A114B" w:rsidRDefault="001E1099" w:rsidP="00B931A0">
      <w:pPr>
        <w:spacing w:after="120" w:line="480" w:lineRule="auto"/>
        <w:jc w:val="both"/>
        <w:rPr>
          <w:rFonts w:cstheme="minorHAnsi"/>
          <w:lang w:val="en-GB" w:eastAsia="en-GB"/>
        </w:rPr>
      </w:pPr>
    </w:p>
    <w:p w14:paraId="680B226F" w14:textId="77777777" w:rsidR="00B931A0" w:rsidRPr="007A114B" w:rsidRDefault="00B931A0" w:rsidP="001E1099">
      <w:pPr>
        <w:pStyle w:val="Heading2"/>
      </w:pPr>
      <w:r w:rsidRPr="007A114B">
        <w:t>Data synthesis and statistical analysis</w:t>
      </w:r>
    </w:p>
    <w:p w14:paraId="514CED6F" w14:textId="70255B10" w:rsidR="00F071F7" w:rsidRPr="007A114B" w:rsidRDefault="0008078C" w:rsidP="00EE1BD7">
      <w:pPr>
        <w:spacing w:after="120" w:line="480" w:lineRule="auto"/>
        <w:jc w:val="both"/>
        <w:rPr>
          <w:rFonts w:cstheme="minorHAnsi"/>
          <w:lang w:val="en-GB" w:eastAsia="en-GB"/>
        </w:rPr>
      </w:pPr>
      <w:r w:rsidRPr="007A114B">
        <w:rPr>
          <w:rFonts w:cstheme="minorHAnsi"/>
          <w:lang w:val="en-GB" w:eastAsia="en-GB"/>
        </w:rPr>
        <w:t xml:space="preserve">The statistical analysis </w:t>
      </w:r>
      <w:r w:rsidR="0097272B" w:rsidRPr="007A114B">
        <w:rPr>
          <w:rFonts w:cstheme="minorHAnsi"/>
          <w:lang w:val="en-GB" w:eastAsia="en-GB"/>
        </w:rPr>
        <w:t>was</w:t>
      </w:r>
      <w:r w:rsidRPr="007A114B">
        <w:rPr>
          <w:rFonts w:cstheme="minorHAnsi"/>
          <w:lang w:val="en-GB" w:eastAsia="en-GB"/>
        </w:rPr>
        <w:t xml:space="preserve"> performed using SPSS (IBM SPSS Statistics, Version 24.0; Chicago, Illinois) and R Software. </w:t>
      </w:r>
      <w:r w:rsidR="008F2350" w:rsidRPr="007A114B">
        <w:rPr>
          <w:rFonts w:cstheme="minorHAnsi"/>
          <w:lang w:val="en-GB" w:eastAsia="en-GB"/>
        </w:rPr>
        <w:t>Two authors (</w:t>
      </w:r>
      <w:r w:rsidR="008F2350" w:rsidRPr="00CF225D">
        <w:rPr>
          <w:rFonts w:cstheme="minorHAnsi"/>
          <w:lang w:val="en-GB" w:eastAsia="en-GB"/>
        </w:rPr>
        <w:t>OA, SK</w:t>
      </w:r>
      <w:r w:rsidR="008F2350" w:rsidRPr="007A114B">
        <w:rPr>
          <w:rFonts w:cstheme="minorHAnsi"/>
          <w:lang w:val="en-GB" w:eastAsia="en-GB"/>
        </w:rPr>
        <w:t>) blindly and independently extracted c</w:t>
      </w:r>
      <w:r w:rsidRPr="007A114B">
        <w:rPr>
          <w:rFonts w:cstheme="minorHAnsi"/>
          <w:lang w:val="en-GB" w:eastAsia="en-GB"/>
        </w:rPr>
        <w:t>linical scores, diseases stages, radiographic outcome and comparative results from the included studies</w:t>
      </w:r>
      <w:r w:rsidR="008F2350" w:rsidRPr="007A114B">
        <w:rPr>
          <w:rFonts w:cstheme="minorHAnsi"/>
          <w:lang w:val="en-GB" w:eastAsia="en-GB"/>
        </w:rPr>
        <w:t xml:space="preserve"> and performed comparisons</w:t>
      </w:r>
      <w:r w:rsidRPr="007A114B">
        <w:rPr>
          <w:rFonts w:cstheme="minorHAnsi"/>
          <w:lang w:val="en-GB" w:eastAsia="en-GB"/>
        </w:rPr>
        <w:t xml:space="preserve">. </w:t>
      </w:r>
      <w:r w:rsidR="008F2350" w:rsidRPr="007A114B">
        <w:rPr>
          <w:rFonts w:cstheme="minorHAnsi"/>
          <w:lang w:val="en-GB" w:eastAsia="en-GB"/>
        </w:rPr>
        <w:t>Author (</w:t>
      </w:r>
      <w:r w:rsidR="007654F5" w:rsidRPr="00CF225D">
        <w:rPr>
          <w:rFonts w:cstheme="minorHAnsi"/>
          <w:lang w:val="en-GB" w:eastAsia="en-GB"/>
        </w:rPr>
        <w:t>VK</w:t>
      </w:r>
      <w:r w:rsidR="008F2350" w:rsidRPr="007A114B">
        <w:rPr>
          <w:rFonts w:cstheme="minorHAnsi"/>
          <w:lang w:val="en-GB" w:eastAsia="en-GB"/>
        </w:rPr>
        <w:t xml:space="preserve">) was consulted in instances of discrepancy. </w:t>
      </w:r>
      <w:r w:rsidRPr="007A114B">
        <w:rPr>
          <w:rFonts w:cstheme="minorHAnsi"/>
          <w:lang w:val="en-GB" w:eastAsia="en-GB"/>
        </w:rPr>
        <w:t xml:space="preserve">In these cases, a confidence interval of p&lt;0.05 </w:t>
      </w:r>
      <w:r w:rsidR="0097272B" w:rsidRPr="007A114B">
        <w:rPr>
          <w:rFonts w:cstheme="minorHAnsi"/>
          <w:lang w:val="en-GB" w:eastAsia="en-GB"/>
        </w:rPr>
        <w:t>was</w:t>
      </w:r>
      <w:r w:rsidRPr="007A114B">
        <w:rPr>
          <w:rFonts w:cstheme="minorHAnsi"/>
          <w:lang w:val="en-GB" w:eastAsia="en-GB"/>
        </w:rPr>
        <w:t xml:space="preserve"> considered statistically significant. </w:t>
      </w:r>
      <w:r w:rsidR="00F071F7" w:rsidRPr="007A114B">
        <w:rPr>
          <w:rFonts w:cstheme="minorHAnsi"/>
          <w:lang w:val="en-GB" w:eastAsia="en-GB"/>
        </w:rPr>
        <w:t xml:space="preserve"> </w:t>
      </w:r>
      <w:r w:rsidR="009A25EC" w:rsidRPr="007A114B">
        <w:rPr>
          <w:rFonts w:cstheme="minorHAnsi"/>
          <w:lang w:val="en-GB" w:eastAsia="en-GB"/>
        </w:rPr>
        <w:t>A</w:t>
      </w:r>
      <w:r w:rsidRPr="007A114B">
        <w:rPr>
          <w:rFonts w:cstheme="minorHAnsi"/>
          <w:lang w:val="en-GB" w:eastAsia="en-GB"/>
        </w:rPr>
        <w:t xml:space="preserve"> random-effects-model </w:t>
      </w:r>
      <w:r w:rsidR="0097272B" w:rsidRPr="007A114B">
        <w:rPr>
          <w:rFonts w:cstheme="minorHAnsi"/>
          <w:lang w:val="en-GB" w:eastAsia="en-GB"/>
        </w:rPr>
        <w:t>of meta-analysis was</w:t>
      </w:r>
      <w:r w:rsidRPr="007A114B">
        <w:rPr>
          <w:rFonts w:cstheme="minorHAnsi"/>
          <w:lang w:val="en-GB" w:eastAsia="en-GB"/>
        </w:rPr>
        <w:t xml:space="preserve"> used</w:t>
      </w:r>
      <w:r w:rsidR="0097272B" w:rsidRPr="007A114B">
        <w:rPr>
          <w:rFonts w:cstheme="minorHAnsi"/>
          <w:lang w:val="en-GB" w:eastAsia="en-GB"/>
        </w:rPr>
        <w:t xml:space="preserve">. The </w:t>
      </w:r>
      <w:r w:rsidRPr="007A114B">
        <w:rPr>
          <w:rFonts w:cstheme="minorHAnsi"/>
          <w:lang w:val="en-GB" w:eastAsia="en-GB"/>
        </w:rPr>
        <w:t xml:space="preserve">methodological inconsistency and heterogeneity </w:t>
      </w:r>
      <w:r w:rsidR="0097272B" w:rsidRPr="007A114B">
        <w:rPr>
          <w:rFonts w:cstheme="minorHAnsi"/>
          <w:lang w:val="en-GB" w:eastAsia="en-GB"/>
        </w:rPr>
        <w:t>were quantified using</w:t>
      </w:r>
      <w:r w:rsidRPr="007A114B">
        <w:rPr>
          <w:rFonts w:cstheme="minorHAnsi"/>
          <w:lang w:val="en-GB" w:eastAsia="en-GB"/>
        </w:rPr>
        <w:t xml:space="preserve"> a </w:t>
      </w:r>
      <w:r w:rsidR="005143A8" w:rsidRPr="007A114B">
        <w:rPr>
          <w:rFonts w:cstheme="minorHAnsi"/>
          <w:lang w:val="en-GB" w:eastAsia="en-GB"/>
        </w:rPr>
        <w:t>I</w:t>
      </w:r>
      <w:r w:rsidRPr="007A114B">
        <w:rPr>
          <w:rFonts w:cstheme="minorHAnsi"/>
          <w:lang w:val="en-GB" w:eastAsia="en-GB"/>
        </w:rPr>
        <w:t xml:space="preserve">² test, with a p-value of p=0.10. Values more than 40% </w:t>
      </w:r>
      <w:r w:rsidR="0097272B" w:rsidRPr="007A114B">
        <w:rPr>
          <w:rFonts w:cstheme="minorHAnsi"/>
          <w:lang w:val="en-GB" w:eastAsia="en-GB"/>
        </w:rPr>
        <w:t>were</w:t>
      </w:r>
      <w:r w:rsidRPr="007A114B">
        <w:rPr>
          <w:rFonts w:cstheme="minorHAnsi"/>
          <w:lang w:val="en-GB" w:eastAsia="en-GB"/>
        </w:rPr>
        <w:t xml:space="preserve"> considered significant for moderate heterogeneity and over 75% </w:t>
      </w:r>
      <w:r w:rsidR="0097272B" w:rsidRPr="007A114B">
        <w:rPr>
          <w:rFonts w:cstheme="minorHAnsi"/>
          <w:lang w:val="en-GB" w:eastAsia="en-GB"/>
        </w:rPr>
        <w:t>were</w:t>
      </w:r>
      <w:r w:rsidRPr="007A114B">
        <w:rPr>
          <w:rFonts w:cstheme="minorHAnsi"/>
          <w:lang w:val="en-GB" w:eastAsia="en-GB"/>
        </w:rPr>
        <w:t xml:space="preserve"> considered to be highly heterogenous.</w:t>
      </w:r>
      <w:r w:rsidR="001E0BD4" w:rsidRPr="007A114B">
        <w:rPr>
          <w:rFonts w:cstheme="minorHAnsi"/>
          <w:lang w:val="en-GB" w:eastAsia="en-GB"/>
        </w:rPr>
        <w:fldChar w:fldCharType="begin" w:fldLock="1"/>
      </w:r>
      <w:r w:rsidR="006A1D58" w:rsidRPr="007A114B">
        <w:rPr>
          <w:rFonts w:cstheme="minorHAnsi"/>
          <w:lang w:val="en-GB" w:eastAsia="en-GB"/>
        </w:rPr>
        <w:instrText>ADDIN CSL_CITATION {"citationItems":[{"id":"ITEM-1","itemData":{"DOI":"10.1016/j.arthro.2021.04.062","ISSN":"1526-3231 (Electronic)","PMID":"33964392","abstract":"PURPOSE: To assess whether biologic augmentation in addition to core decompression  (CD), compared with CD alone, improves clinical and radiographic outcomes in the treatment of nontraumatic osteonecrosis of the femoral head (ONFH). Our hypothesis was that biologic augmentation would reduce the progression of osteonecrosis and therefore also the rate of conversion to total hip arthroplasty (THA). METHODS: A systematic review was performed in accordance with the Preferred Reporting Items of Systematic Reviews and Meta-analysis (PRISMA) statement. Six databases were searched: Central, MEDLINE, Embase, Scopus, AMED, and Web of Science. Studies comparing outcomes of CD versus CD plus biologic augmentation (with or without structural augmentation), with a reported minimum level of evidence of III and ≥24 months of follow-up, were eligible. Procedural success was conceptualized as (1) avoidance of conversion to THA and (2) absence of radiographic disease progression. Risk of bias was assessed using the Joanna Briggs Institute critical appraisal checklists. A quantitative analysis of heterogeneity was undertaken. RESULTS: We included studies reporting on 560 hips in 484 patients. Biologic augmentation consisted of bone marrow stem cells in 10 studies, bone morphogenic protein in 2, and platelet-rich plasma in 1. Three studies used additional structural augmentation. The median maximum follow-up time was 45 months. Only 4 studies reported improvement in all clinical scores in the augmentation group. Seven studies observed a reduction in the rate of radiographic progression, and only 5 found reduced rates of conversion to THA when using augmentation. A high risk of bias and marked heterogeneity was found, with uncertainty about the study designs implemented, analytical approaches, and quality of reporting. CONCLUSION: Current evidence is inconclusive regarding the benefit of biologic augmentation in CD for nontraumatic ONFH, because of inconsistent results with substantial heterogeneity and high risk of bias. LEVEL OF EVIDENCE: III, systematic review of level I, II, and III studies.","author":[{"dropping-particle":"","family":"Andronic","given":"Octavian","non-dropping-particle":"","parse-names":false,"suffix":""},{"dropping-particle":"","family":"Hincapié","given":"Cesar A","non-dropping-particle":"","parse-names":false,"suffix":""},{"dropping-particle":"","family":"Burkhard","given":"Marco D","non-dropping-particle":"","parse-names":false,"suffix":""},{"dropping-particle":"","family":"Loucas","given":"Rafael","non-dropping-particle":"","parse-names":false,"suffix":""},{"dropping-particle":"","family":"Loucas","given":"Marios","non-dropping-particle":"","parse-names":false,"suffix":""},{"dropping-particle":"","family":"Ried","given":"Emanuel","non-dropping-particle":"","parse-names":false,"suffix":""},{"dropping-particle":"","family":"Rahm","given":"Stefan","non-dropping-particle":"","parse-names":false,"suffix":""},{"dropping-particle":"","family":"Zingg","given":"Patrick O","non-dropping-particle":"","parse-names":false,"suffix":""}],"container-title":"Arthroscopy : the journal of arthroscopic &amp; related surgery : official publication  of the Arthroscopy Association of North America and the International Arthroscopy Association","id":"ITEM-1","issued":{"date-parts":[["2021","5"]]},"language":"eng","publisher-place":"United States","title":"Lack of Conclusive Evidence of the Benefit of Biologic Augmentation in Core  Decompression for Nontraumatic Osteonecrosis of the Femoral Head: A Systematic Review.","type":"article-journal"},"uris":["http://www.mendeley.com/documents/?uuid=0ce6acfd-824c-4d01-b345-1a0709755781"]}],"mendeley":{"formattedCitation":"&lt;sup&gt;22&lt;/sup&gt;","plainTextFormattedCitation":"22","previouslyFormattedCitation":"&lt;sup&gt;22&lt;/sup&gt;"},"properties":{"noteIndex":0},"schema":"https://github.com/citation-style-language/schema/raw/master/csl-citation.json"}</w:instrText>
      </w:r>
      <w:r w:rsidR="001E0BD4" w:rsidRPr="007A114B">
        <w:rPr>
          <w:rFonts w:cstheme="minorHAnsi"/>
          <w:lang w:val="en-GB" w:eastAsia="en-GB"/>
        </w:rPr>
        <w:fldChar w:fldCharType="separate"/>
      </w:r>
      <w:r w:rsidR="005A2934" w:rsidRPr="007A114B">
        <w:rPr>
          <w:rFonts w:cstheme="minorHAnsi"/>
          <w:noProof/>
          <w:vertAlign w:val="superscript"/>
          <w:lang w:val="en-GB" w:eastAsia="en-GB"/>
        </w:rPr>
        <w:t>22</w:t>
      </w:r>
      <w:r w:rsidR="001E0BD4" w:rsidRPr="007A114B">
        <w:rPr>
          <w:rFonts w:cstheme="minorHAnsi"/>
          <w:lang w:val="en-GB" w:eastAsia="en-GB"/>
        </w:rPr>
        <w:fldChar w:fldCharType="end"/>
      </w:r>
      <w:r w:rsidRPr="007A114B">
        <w:rPr>
          <w:rFonts w:cstheme="minorHAnsi"/>
          <w:lang w:val="en-GB" w:eastAsia="en-GB"/>
        </w:rPr>
        <w:t xml:space="preserve"> This </w:t>
      </w:r>
      <w:r w:rsidR="0097272B" w:rsidRPr="007A114B">
        <w:rPr>
          <w:rFonts w:cstheme="minorHAnsi"/>
          <w:lang w:val="en-GB" w:eastAsia="en-GB"/>
        </w:rPr>
        <w:t>evaluated</w:t>
      </w:r>
      <w:r w:rsidRPr="007A114B">
        <w:rPr>
          <w:rFonts w:cstheme="minorHAnsi"/>
          <w:lang w:val="en-GB" w:eastAsia="en-GB"/>
        </w:rPr>
        <w:t xml:space="preserve"> whether observed differences in results are compatible with chance alone.</w:t>
      </w:r>
    </w:p>
    <w:p w14:paraId="6AD5FB17" w14:textId="039AF9DA" w:rsidR="007221CC" w:rsidRPr="007A114B" w:rsidRDefault="002726AC" w:rsidP="00EE1BD7">
      <w:pPr>
        <w:spacing w:after="120" w:line="480" w:lineRule="auto"/>
        <w:jc w:val="both"/>
        <w:rPr>
          <w:rFonts w:cstheme="minorHAnsi"/>
          <w:lang w:val="en-GB" w:eastAsia="en-GB"/>
        </w:rPr>
      </w:pPr>
      <w:r w:rsidRPr="007A114B">
        <w:rPr>
          <w:rFonts w:cstheme="minorHAnsi"/>
          <w:lang w:val="en-GB" w:eastAsia="en-GB"/>
        </w:rPr>
        <w:t xml:space="preserve">Subgroup analysis will be performed based on the scores achieved on risk of bias assessment. Studies will be separately analysed in two groups: those that achieved more than 50% using MINORS and those that achieved 50% or less. </w:t>
      </w:r>
    </w:p>
    <w:p w14:paraId="5E820D47" w14:textId="7E2940AB" w:rsidR="004504AA" w:rsidRPr="007A114B" w:rsidRDefault="004504AA" w:rsidP="001E1099">
      <w:pPr>
        <w:pStyle w:val="Heading1"/>
        <w:rPr>
          <w:lang w:eastAsia="en-GB"/>
        </w:rPr>
      </w:pPr>
      <w:r w:rsidRPr="007A114B">
        <w:rPr>
          <w:lang w:eastAsia="en-GB"/>
        </w:rPr>
        <w:lastRenderedPageBreak/>
        <w:t>RESULTS</w:t>
      </w:r>
    </w:p>
    <w:p w14:paraId="5E2EE354" w14:textId="7229BC96" w:rsidR="008345C7" w:rsidRPr="007A114B" w:rsidRDefault="00C66E11" w:rsidP="001E1099">
      <w:pPr>
        <w:pStyle w:val="Heading2"/>
      </w:pPr>
      <w:r w:rsidRPr="007A114B">
        <w:t xml:space="preserve">Study Selection </w:t>
      </w:r>
    </w:p>
    <w:p w14:paraId="2F8CDA50" w14:textId="49F37C59" w:rsidR="00B931A0" w:rsidRPr="007A114B" w:rsidRDefault="00CF4EF6" w:rsidP="00162465">
      <w:pPr>
        <w:spacing w:after="0" w:line="480" w:lineRule="auto"/>
        <w:jc w:val="both"/>
        <w:rPr>
          <w:i/>
          <w:lang w:val="en-GB"/>
        </w:rPr>
      </w:pPr>
      <w:r w:rsidRPr="007A114B">
        <w:rPr>
          <w:lang w:val="en-GB"/>
        </w:rPr>
        <w:t>The database search yielded 14457 citations</w:t>
      </w:r>
      <w:r w:rsidR="00C66E11" w:rsidRPr="007A114B">
        <w:rPr>
          <w:lang w:val="en-GB"/>
        </w:rPr>
        <w:t>.</w:t>
      </w:r>
      <w:r w:rsidRPr="007A114B">
        <w:rPr>
          <w:lang w:val="en-GB"/>
        </w:rPr>
        <w:t xml:space="preserve"> </w:t>
      </w:r>
      <w:r w:rsidR="00C66E11" w:rsidRPr="007A114B">
        <w:rPr>
          <w:lang w:val="en-GB"/>
        </w:rPr>
        <w:t xml:space="preserve">6309 studies remained after removal of </w:t>
      </w:r>
      <w:r w:rsidRPr="007A114B">
        <w:rPr>
          <w:lang w:val="en-GB"/>
        </w:rPr>
        <w:t>duplicates</w:t>
      </w:r>
      <w:r w:rsidR="00C66E11" w:rsidRPr="007A114B">
        <w:rPr>
          <w:lang w:val="en-GB"/>
        </w:rPr>
        <w:t xml:space="preserve"> </w:t>
      </w:r>
      <w:r w:rsidRPr="007A114B">
        <w:rPr>
          <w:lang w:val="en-GB"/>
        </w:rPr>
        <w:t>(</w:t>
      </w:r>
      <w:r w:rsidRPr="007A114B">
        <w:rPr>
          <w:b/>
          <w:bCs/>
          <w:lang w:val="en-GB"/>
        </w:rPr>
        <w:t>Fig. 1</w:t>
      </w:r>
      <w:r w:rsidRPr="007A114B">
        <w:rPr>
          <w:lang w:val="en-GB"/>
        </w:rPr>
        <w:t xml:space="preserve">). </w:t>
      </w:r>
      <w:r w:rsidR="00C66E11" w:rsidRPr="007A114B">
        <w:rPr>
          <w:lang w:val="en-GB"/>
        </w:rPr>
        <w:t xml:space="preserve">6010 studies were excluded at </w:t>
      </w:r>
      <w:r w:rsidRPr="007A114B">
        <w:rPr>
          <w:lang w:val="en-GB"/>
        </w:rPr>
        <w:t>title and abstract</w:t>
      </w:r>
      <w:r w:rsidR="00C66E11" w:rsidRPr="007A114B">
        <w:rPr>
          <w:lang w:val="en-GB"/>
        </w:rPr>
        <w:t xml:space="preserve"> stage.</w:t>
      </w:r>
      <w:r w:rsidRPr="007A114B">
        <w:rPr>
          <w:lang w:val="en-GB"/>
        </w:rPr>
        <w:t xml:space="preserve"> 299 </w:t>
      </w:r>
      <w:r w:rsidR="00C66E11" w:rsidRPr="007A114B">
        <w:rPr>
          <w:lang w:val="en-GB"/>
        </w:rPr>
        <w:t xml:space="preserve">full text papers </w:t>
      </w:r>
      <w:r w:rsidRPr="007A114B">
        <w:rPr>
          <w:lang w:val="en-GB"/>
        </w:rPr>
        <w:t>were assessed for eligibility against the inclusion and exclusion criteria</w:t>
      </w:r>
      <w:r w:rsidR="00C66E11" w:rsidRPr="007A114B">
        <w:rPr>
          <w:lang w:val="en-GB"/>
        </w:rPr>
        <w:t>.</w:t>
      </w:r>
      <w:r w:rsidRPr="007A114B">
        <w:rPr>
          <w:lang w:val="en-GB"/>
        </w:rPr>
        <w:t xml:space="preserve"> Of these, 11 studies were eligible and included</w:t>
      </w:r>
      <w:r w:rsidR="007411A3" w:rsidRPr="007A114B">
        <w:rPr>
          <w:lang w:val="en-GB"/>
        </w:rPr>
        <w:t xml:space="preserve"> for final analysis</w:t>
      </w:r>
      <w:r w:rsidRPr="007A114B">
        <w:rPr>
          <w:lang w:val="en-GB"/>
        </w:rPr>
        <w:t xml:space="preserve">. </w:t>
      </w:r>
      <w:r w:rsidR="00A1062C" w:rsidRPr="007A114B">
        <w:rPr>
          <w:rFonts w:cstheme="minorHAnsi"/>
          <w:lang w:val="en-GB" w:eastAsia="en-GB"/>
        </w:rPr>
        <w:t>The included studies, as classified by the</w:t>
      </w:r>
      <w:r w:rsidR="00C66E11" w:rsidRPr="007A114B">
        <w:rPr>
          <w:rFonts w:cstheme="minorHAnsi"/>
          <w:lang w:val="en-GB" w:eastAsia="en-GB"/>
        </w:rPr>
        <w:t xml:space="preserve"> study</w:t>
      </w:r>
      <w:r w:rsidR="00A1062C" w:rsidRPr="007A114B">
        <w:rPr>
          <w:rFonts w:cstheme="minorHAnsi"/>
          <w:lang w:val="en-GB" w:eastAsia="en-GB"/>
        </w:rPr>
        <w:t xml:space="preserve"> authors, were all retrospective</w:t>
      </w:r>
      <w:r w:rsidR="00C66E11" w:rsidRPr="007A114B">
        <w:rPr>
          <w:rFonts w:cstheme="minorHAnsi"/>
          <w:lang w:val="en-GB" w:eastAsia="en-GB"/>
        </w:rPr>
        <w:t xml:space="preserve"> designs</w:t>
      </w:r>
      <w:r w:rsidR="006A1D58"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{"citationItems":[{"id":"ITEM-1","itemData":{"DOI":"10.1016/j.arthro.2018.10.002","ISSN":"1526-3231 (Electronic)","PMID":"30509436","abstract":"Evidence-based medicine (EBM) guidelines were first introduced in 1986 and were  defined as the conscientious, explicit, and judicious use of current best evidence in making decisions about the care of individual patients. The practice of EBM means integrating individual clinical expertise with the best available external clinical evidence from systematic research. Level of evidence (LOE) stratifies publications from Level I to Level V and provides the foundation for EBM. Three questions should be asked when an LOE is assigned to a scientific article: (1) What is the research question? (2) What is the study type? and (3) What is the hierarchy of evidence? In cases in which LOE is not appropriate or relevant (basic science and laboratory-based investigations), a clinical relevance statement should be used. Unfortunately, study quality is not assessed by the assigned hierarchy level. LOE and EBM have increased the number of investigations published with better levels of evidence. As authors, reviewers, editors, and publishers, we desire a system that is consistent, effective, and reliable. Fortunately, the system has proven to have all of those attributes with good interobserver and intra-observer values. The increase in investigations with higher LOEs allows for more frequent use of EBM.","author":[{"dropping-particle":"","family":"Hohmann","given":"Erik","non-dropping-particle":"","parse-names":false,"suffix":""},{"dropping-particle":"","family":"Feldman","given":"Michael","non-dropping-particle":"","parse-names":false,"suffix":""},{"dropping-particle":"","family":"Hunt","given":"Timothy J","non-dropping-particle":"","parse-names":false,"suffix":""},{"dropping-particle":"","family":"Cote","given":"Mark P","non-dropping-particle":"","parse-names":false,"suffix":""},{"dropping-particle":"","family":"Brand","given":"Jefferson C","non-dropping-particle":"","parse-names":false,"suffix":""}],"container-title":"Arthroscopy : the journal of arthroscopic &amp; related surgery : official publication  of the Arthroscopy Association of North America and the International Arthroscopy Association","id":"ITEM-1","issue":"12","issued":{"date-parts":[["2018","12"]]},"language":"eng","page":"3271-3277","publisher-place":"United States","title":"Research Pearls: How Do We Establish the Level of Evidence?","type":"article-journal","volume":"34"},"uris":["http://www.mendeley.com/documents/?uuid=79fdfd2d-9bfd-452d-866a-14f0b63cba6a"]}],"mendeley":{"formattedCitation":"&lt;sup&gt;23&lt;/sup&gt;","plainTextFormattedCitation":"23","previouslyFormattedCitation":"&lt;sup&gt;23&lt;/sup&gt;"},"properties":{"noteIndex":0},"schema":"https://github.com/citation-style-language/schema/raw/master/csl-citation.json"}</w:instrText>
      </w:r>
      <w:r w:rsidR="006A1D58" w:rsidRPr="007A114B">
        <w:rPr>
          <w:rFonts w:cstheme="minorHAnsi"/>
          <w:lang w:val="en-GB" w:eastAsia="en-GB"/>
        </w:rPr>
        <w:fldChar w:fldCharType="separate"/>
      </w:r>
      <w:r w:rsidR="006A1D58" w:rsidRPr="007A114B">
        <w:rPr>
          <w:rFonts w:cstheme="minorHAnsi"/>
          <w:noProof/>
          <w:vertAlign w:val="superscript"/>
          <w:lang w:val="en-GB" w:eastAsia="en-GB"/>
        </w:rPr>
        <w:t>23</w:t>
      </w:r>
      <w:r w:rsidR="006A1D58" w:rsidRPr="007A114B">
        <w:rPr>
          <w:rFonts w:cstheme="minorHAnsi"/>
          <w:lang w:val="en-GB" w:eastAsia="en-GB"/>
        </w:rPr>
        <w:fldChar w:fldCharType="end"/>
      </w:r>
      <w:r w:rsidR="006E19B8" w:rsidRPr="007A114B">
        <w:rPr>
          <w:rFonts w:cstheme="minorHAnsi"/>
          <w:lang w:val="en-GB" w:eastAsia="en-GB"/>
        </w:rPr>
        <w:t>: 4 case-control studies with comparators (level III evidence),</w:t>
      </w:r>
      <w:r w:rsidR="006E19B8"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Impingement.","type":"article-journal","volume":"34"},"uris":["http://www.mendeley.com/documents/?uuid=43446718-daa2-4569-b051-b492450064a2"]},{"id":"ITEM-2","itemData":{"DOI":"10.1093/jhps/hny011","ISSN":"2054-8397","abstract":"Based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surgery","id":"ITEM-2","issue":"2","issued":{"date-parts":[["2018","4","24"]]},"language":"eng","page":"162-165","publisher":"Oxford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Cohorts","type":"article-journal","volume":"98"},"uris":["http://www.mendeley.com/documents/?uuid=106846fc-f3d9-4756-ad7c-8a2fe617aeb5"]},{"id":"ITEM-4","itemData":{"DOI":"10.1097/JSM.0000000000000768","ISSN":"1536-3724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Medicine","id":"ITEM-4","issued":{"date-parts":[["2019","11"]]},"language":"eng","publisher-place":"United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15,24–26&lt;/sup&gt;","plainTextFormattedCitation":"15,24–26","previouslyFormattedCitation":"&lt;sup&gt;15,24–26&lt;/sup&gt;"},"properties":{"noteIndex":0},"schema":"https://github.com/citation-style-language/schema/raw/master/csl-citation.json"}</w:instrText>
      </w:r>
      <w:r w:rsidR="006E19B8" w:rsidRPr="007A114B">
        <w:rPr>
          <w:rFonts w:cstheme="minorHAnsi"/>
          <w:lang w:val="en-GB" w:eastAsia="en-GB"/>
        </w:rPr>
        <w:fldChar w:fldCharType="separate"/>
      </w:r>
      <w:r w:rsidR="006A1D58" w:rsidRPr="007A114B">
        <w:rPr>
          <w:rFonts w:cstheme="minorHAnsi"/>
          <w:noProof/>
          <w:vertAlign w:val="superscript"/>
          <w:lang w:val="en-GB" w:eastAsia="en-GB"/>
        </w:rPr>
        <w:t>15,24–26</w:t>
      </w:r>
      <w:r w:rsidR="006E19B8" w:rsidRPr="007A114B">
        <w:rPr>
          <w:rFonts w:cstheme="minorHAnsi"/>
          <w:lang w:val="en-GB" w:eastAsia="en-GB"/>
        </w:rPr>
        <w:fldChar w:fldCharType="end"/>
      </w:r>
      <w:r w:rsidR="006E19B8" w:rsidRPr="007A114B">
        <w:rPr>
          <w:rFonts w:cstheme="minorHAnsi"/>
          <w:lang w:val="en-GB" w:eastAsia="en-GB"/>
        </w:rPr>
        <w:t xml:space="preserve"> 2 retrospective cohort studies (level III evidence)</w:t>
      </w:r>
      <w:r w:rsidR="00BE281A"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Follow-up.","type":"article-journal","volume":"46"},"uris":["http://www.mendeley.com/documents/?uuid=307c3da5-f7af-4568-9dec-2430bf1e7ec3"]},{"id":"ITEM-2","itemData":{"DOI":"10.1177/0363546519888894","ISSN":"1552-3365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medicine","id":"ITEM-2","issue":"1","issued":{"date-parts":[["2020","1"]]},"language":"eng","page":"188-196","publisher-place":"United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ece86ad9-59e8-446d-85d8-385ebd5ebb64"]}],"mendeley":{"formattedCitation":"&lt;sup&gt;27,28&lt;/sup&gt;","plainTextFormattedCitation":"27,28","previouslyFormattedCitation":"&lt;sup&gt;27,28&lt;/sup&gt;"},"properties":{"noteIndex":0},"schema":"https://github.com/citation-style-language/schema/raw/master/csl-citation.json"}</w:instrText>
      </w:r>
      <w:r w:rsidR="00BE281A" w:rsidRPr="007A114B">
        <w:rPr>
          <w:rFonts w:cstheme="minorHAnsi"/>
          <w:lang w:val="en-GB" w:eastAsia="en-GB"/>
        </w:rPr>
        <w:fldChar w:fldCharType="separate"/>
      </w:r>
      <w:r w:rsidR="006A1D58" w:rsidRPr="007A114B">
        <w:rPr>
          <w:rFonts w:cstheme="minorHAnsi"/>
          <w:noProof/>
          <w:vertAlign w:val="superscript"/>
          <w:lang w:val="en-GB" w:eastAsia="en-GB"/>
        </w:rPr>
        <w:t>27,28</w:t>
      </w:r>
      <w:r w:rsidR="00BE281A" w:rsidRPr="007A114B">
        <w:rPr>
          <w:rFonts w:cstheme="minorHAnsi"/>
          <w:lang w:val="en-GB" w:eastAsia="en-GB"/>
        </w:rPr>
        <w:fldChar w:fldCharType="end"/>
      </w:r>
      <w:r w:rsidR="006E19B8" w:rsidRPr="007A114B">
        <w:rPr>
          <w:rFonts w:cstheme="minorHAnsi"/>
          <w:lang w:val="en-GB" w:eastAsia="en-GB"/>
        </w:rPr>
        <w:t xml:space="preserve"> and 5 retrospective case series (level IV evidence).</w:t>
      </w:r>
      <w:r w:rsidR="00BE281A"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journal","id":"ITEM-1","issue":"3","issued":{"date-parts":[["2016"]]},"language":"eng","page":"317-323","title":"Joint preservation after hip arthroscopy in patients with FAI. Prospective analysis  with a minimum follow-up of seven years.","type":"article-journal","volume":"6"},"uris":["http://www.mendeley.com/documents/?uuid=922f87ee-b229-4cc6-8b02-d3d93de59ffd"]},{"id":"ITEM-2","itemData":{"ISSN":"2531-6745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Parmensis","id":"ITEM-2","issued":{"date-parts":[["2016","4"]]},"language":"eng","page":"46-52","publisher-place":"Italy","title":"Hip arthroscopy in osteoarthritis consequent to FAI.","type":"article-journal","volume":"87 Suppl 1"},"uris":["http://www.mendeley.com/documents/?uuid=f4d39a0d-8419-442c-a089-6b3f2e7d5772"]},{"id":"ITEM-3","itemData":{"DOI":"10.11138/mltj/2016.6.3.397","ISSN":"2240-4554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journal","id":"ITEM-3","issue":"3","issued":{"date-parts":[["2016"]]},"language":"eng","page":"397-401","title":"Arthroscopic treatment of femoroacetabular impingement in patients older than 60  years.","type":"article-journal","volume":"6"},"uris":["http://www.mendeley.com/documents/?uuid=30f19238-6fdc-43d7-ad2d-e6ea8809ff58"]},{"id":"ITEM-4","itemData":{"DOI":"10.1007/s11999-009-1005-5","ISSN":"1528-1132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research","id":"ITEM-4","issue":"1","issued":{"date-parts":[["2010","1"]]},"language":"eng","page":"182-190","title":"Arthroscopic treatment of femoroacetabular impingement of the hip: a new technique  to access the joint.","type":"article-journal","volume":"468"},"uris":["http://www.mendeley.com/documents/?uuid=69c99f08-bb8f-4be9-ad7f-220ac8a7467f"]}],"mendeley":{"formattedCitation":"&lt;sup&gt;29–32&lt;/sup&gt;","plainTextFormattedCitation":"29–32","previouslyFormattedCitation":"&lt;sup&gt;29–32&lt;/sup&gt;"},"properties":{"noteIndex":0},"schema":"https://github.com/citation-style-language/schema/raw/master/csl-citation.json"}</w:instrText>
      </w:r>
      <w:r w:rsidR="00BE281A" w:rsidRPr="007A114B">
        <w:rPr>
          <w:rFonts w:cstheme="minorHAnsi"/>
          <w:lang w:val="en-GB" w:eastAsia="en-GB"/>
        </w:rPr>
        <w:fldChar w:fldCharType="separate"/>
      </w:r>
      <w:r w:rsidR="006A1D58" w:rsidRPr="007A114B">
        <w:rPr>
          <w:rFonts w:cstheme="minorHAnsi"/>
          <w:noProof/>
          <w:vertAlign w:val="superscript"/>
          <w:lang w:val="en-GB" w:eastAsia="en-GB"/>
        </w:rPr>
        <w:t>29–32</w:t>
      </w:r>
      <w:r w:rsidR="00BE281A" w:rsidRPr="007A114B">
        <w:rPr>
          <w:rFonts w:cstheme="minorHAnsi"/>
          <w:lang w:val="en-GB" w:eastAsia="en-GB"/>
        </w:rPr>
        <w:fldChar w:fldCharType="end"/>
      </w:r>
    </w:p>
    <w:p w14:paraId="2342A4D0" w14:textId="77777777" w:rsidR="00A1062C" w:rsidRPr="007A114B" w:rsidRDefault="00A1062C" w:rsidP="00EE1BD7">
      <w:pPr>
        <w:spacing w:after="120" w:line="480" w:lineRule="auto"/>
        <w:jc w:val="both"/>
        <w:rPr>
          <w:rFonts w:cstheme="minorHAnsi"/>
          <w:lang w:val="en-GB" w:eastAsia="en-GB"/>
        </w:rPr>
      </w:pPr>
    </w:p>
    <w:p w14:paraId="63001556" w14:textId="75156163" w:rsidR="00C132DF" w:rsidRPr="007A114B" w:rsidRDefault="00C132DF" w:rsidP="001E1099">
      <w:pPr>
        <w:pStyle w:val="Heading2"/>
      </w:pPr>
      <w:r w:rsidRPr="007A114B">
        <w:t>Risk of Bias Assessment</w:t>
      </w:r>
    </w:p>
    <w:p w14:paraId="5F88B93C" w14:textId="0F78F723" w:rsidR="00033AF8" w:rsidRPr="007A114B" w:rsidRDefault="00BA06C1" w:rsidP="00CC4E00">
      <w:pPr>
        <w:spacing w:after="0" w:line="480" w:lineRule="auto"/>
        <w:jc w:val="both"/>
        <w:rPr>
          <w:rFonts w:cstheme="minorHAnsi"/>
          <w:lang w:val="en-GB" w:eastAsia="en-GB"/>
        </w:rPr>
      </w:pPr>
      <w:r w:rsidRPr="007A114B">
        <w:rPr>
          <w:rFonts w:cstheme="minorHAnsi"/>
          <w:lang w:val="en-GB" w:eastAsia="en-GB"/>
        </w:rPr>
        <w:t>As expected and per study protocol,</w:t>
      </w:r>
      <w:r w:rsidRPr="007A114B">
        <w:rPr>
          <w:rFonts w:cstheme="minorHAnsi"/>
          <w:lang w:val="en-GB" w:eastAsia="en-GB"/>
        </w:rPr>
        <w:fldChar w:fldCharType="begin" w:fldLock="1"/>
      </w:r>
      <w:r w:rsidR="006A1D58" w:rsidRPr="007A114B">
        <w:rPr>
          <w:rFonts w:cstheme="minorHAnsi"/>
          <w:lang w:val="en-GB" w:eastAsia="en-GB"/>
        </w:rPr>
        <w:instrText>ADDIN CSL_CITATION {"citationItems":[{"id":"ITEM-1","itemData":{"DOI":"10.29337/ijsp.26","ISSN":"2468-3574","author":[{"dropping-particle":"","family":"Andronic","given":"Octavian","non-dropping-particle":"","parse-names":false,"suffix":""},{"dropping-particle":"","family":"Claydon","given":"Leica","non-dropping-particle":"","parse-names":false,"suffix":""},{"dropping-particle":"","family":"Cubberley","given":"Rachael","non-dropping-particle":"","parse-names":false,"suffix":""},{"dropping-particle":"","family":"Sunil-Kumar","given":"Karadi Hari","non-dropping-particle":"","parse-names":false,"suffix":""},{"dropping-particle":"","family":"Khanduja","given":"Vikas","non-dropping-particle":"","parse-names":false,"suffix":""}],"container-title":"International Journal of Surgery: Protocols","id":"ITEM-1","issue":"1","issued":{"date-parts":[["2021"]]},"page":"1-6","title":"Outcomes of Hip Arthroscopy in Patients with Femoroacetabular Impingement and Concomitant Tönnis Grade II Osteoarthritis or Greater: Protocol for a Systematic Review","type":"article-journal","volume":"25"},"uris":["http://www.mendeley.com/documents/?uuid=cb3b51b6-0b2f-4ba4-b2e4-74265533c332"]}],"mendeley":{"formattedCitation":"&lt;sup&gt;19&lt;/sup&gt;","plainTextFormattedCitation":"19","previouslyFormattedCitation":"&lt;sup&gt;19&lt;/sup&gt;"},"properties":{"noteIndex":0},"schema":"https://github.com/citation-style-language/schema/raw/master/csl-citation.json"}</w:instrText>
      </w:r>
      <w:r w:rsidRPr="007A114B">
        <w:rPr>
          <w:rFonts w:cstheme="minorHAnsi"/>
          <w:lang w:val="en-GB" w:eastAsia="en-GB"/>
        </w:rPr>
        <w:fldChar w:fldCharType="separate"/>
      </w:r>
      <w:r w:rsidR="005A2934" w:rsidRPr="007A114B">
        <w:rPr>
          <w:rFonts w:cstheme="minorHAnsi"/>
          <w:noProof/>
          <w:vertAlign w:val="superscript"/>
          <w:lang w:val="en-GB" w:eastAsia="en-GB"/>
        </w:rPr>
        <w:t>19</w:t>
      </w:r>
      <w:r w:rsidRPr="007A114B">
        <w:rPr>
          <w:rFonts w:cstheme="minorHAnsi"/>
          <w:lang w:val="en-GB" w:eastAsia="en-GB"/>
        </w:rPr>
        <w:fldChar w:fldCharType="end"/>
      </w:r>
      <w:r w:rsidRPr="007A114B">
        <w:rPr>
          <w:rFonts w:cstheme="minorHAnsi"/>
          <w:lang w:val="en-GB" w:eastAsia="en-GB"/>
        </w:rPr>
        <w:t xml:space="preserve"> the risk of bias assessment was performed individually for each study using the MINORS tool (</w:t>
      </w:r>
      <w:r w:rsidRPr="007A114B">
        <w:rPr>
          <w:rFonts w:cstheme="minorHAnsi"/>
          <w:b/>
          <w:bCs/>
          <w:lang w:val="en-GB" w:eastAsia="en-GB"/>
        </w:rPr>
        <w:t>Table 2</w:t>
      </w:r>
      <w:r w:rsidRPr="007A114B">
        <w:rPr>
          <w:rFonts w:cstheme="minorHAnsi"/>
          <w:lang w:val="en-GB" w:eastAsia="en-GB"/>
        </w:rPr>
        <w:t>)</w:t>
      </w:r>
      <w:r w:rsidR="00C66E11" w:rsidRPr="007A114B">
        <w:rPr>
          <w:rFonts w:cstheme="minorHAnsi"/>
          <w:lang w:val="en-GB" w:eastAsia="en-GB"/>
        </w:rPr>
        <w:t xml:space="preserve">. </w:t>
      </w:r>
      <w:r w:rsidR="00033AF8" w:rsidRPr="007A114B">
        <w:rPr>
          <w:rFonts w:cstheme="minorHAnsi"/>
          <w:lang w:val="en-GB" w:eastAsia="en-GB"/>
        </w:rPr>
        <w:t xml:space="preserve">The average score was </w:t>
      </w:r>
      <w:r w:rsidR="002D7B25" w:rsidRPr="007A114B">
        <w:rPr>
          <w:rFonts w:cstheme="minorHAnsi"/>
          <w:lang w:val="en-GB" w:eastAsia="en-GB"/>
        </w:rPr>
        <w:t>68</w:t>
      </w:r>
      <w:r w:rsidR="00033AF8" w:rsidRPr="007A114B">
        <w:rPr>
          <w:rFonts w:cstheme="minorHAnsi"/>
          <w:lang w:val="en-GB" w:eastAsia="en-GB"/>
        </w:rPr>
        <w:t xml:space="preserve"> % (range </w:t>
      </w:r>
      <w:r w:rsidR="002D7B25" w:rsidRPr="007A114B">
        <w:rPr>
          <w:rFonts w:cstheme="minorHAnsi"/>
          <w:lang w:val="en-GB" w:eastAsia="en-GB"/>
        </w:rPr>
        <w:t>46</w:t>
      </w:r>
      <w:r w:rsidR="00033AF8" w:rsidRPr="007A114B">
        <w:rPr>
          <w:rFonts w:cstheme="minorHAnsi"/>
          <w:lang w:val="en-GB" w:eastAsia="en-GB"/>
        </w:rPr>
        <w:t xml:space="preserve"> to </w:t>
      </w:r>
      <w:r w:rsidR="002D7B25" w:rsidRPr="007A114B">
        <w:rPr>
          <w:rFonts w:cstheme="minorHAnsi"/>
          <w:lang w:val="en-GB" w:eastAsia="en-GB"/>
        </w:rPr>
        <w:t>81</w:t>
      </w:r>
      <w:r w:rsidR="00033AF8" w:rsidRPr="007A114B">
        <w:rPr>
          <w:rFonts w:cstheme="minorHAnsi"/>
          <w:lang w:val="en-GB" w:eastAsia="en-GB"/>
        </w:rPr>
        <w:t xml:space="preserve">%). The main limitations were </w:t>
      </w:r>
      <w:r w:rsidR="002D7B25" w:rsidRPr="007A114B">
        <w:rPr>
          <w:rFonts w:cstheme="minorHAnsi"/>
          <w:lang w:val="en-GB" w:eastAsia="en-GB"/>
        </w:rPr>
        <w:t>lack of appropriate sample size, loss of follow-up, lack of blinded outcome assessment and inhomogeneous comparators that also lacked detailed demographic description.</w:t>
      </w:r>
      <w:r w:rsidR="00C66E11" w:rsidRPr="007A114B">
        <w:rPr>
          <w:rFonts w:cstheme="minorHAnsi"/>
          <w:lang w:val="en-GB" w:eastAsia="en-GB"/>
        </w:rPr>
        <w:t xml:space="preserve"> </w:t>
      </w:r>
      <w:r w:rsidR="008E0560" w:rsidRPr="007A114B">
        <w:rPr>
          <w:rFonts w:cstheme="minorHAnsi"/>
          <w:lang w:val="en-GB" w:eastAsia="en-GB"/>
        </w:rPr>
        <w:t xml:space="preserve">No studies used biologic augmentation </w:t>
      </w:r>
      <w:r w:rsidR="00C7129D" w:rsidRPr="007A114B">
        <w:rPr>
          <w:rFonts w:cstheme="minorHAnsi"/>
          <w:lang w:val="en-GB" w:eastAsia="en-GB"/>
        </w:rPr>
        <w:t xml:space="preserve">with </w:t>
      </w:r>
      <w:r w:rsidR="00704894" w:rsidRPr="007A114B">
        <w:rPr>
          <w:rFonts w:cstheme="minorHAnsi"/>
          <w:lang w:val="en-GB" w:eastAsia="en-GB"/>
        </w:rPr>
        <w:t>bone marrow stem cells (</w:t>
      </w:r>
      <w:proofErr w:type="spellStart"/>
      <w:r w:rsidR="00704894" w:rsidRPr="007A114B">
        <w:rPr>
          <w:rFonts w:cstheme="minorHAnsi"/>
          <w:lang w:val="en-GB" w:eastAsia="en-GB"/>
        </w:rPr>
        <w:t>BMSc</w:t>
      </w:r>
      <w:proofErr w:type="spellEnd"/>
      <w:r w:rsidR="00704894" w:rsidRPr="007A114B">
        <w:rPr>
          <w:rFonts w:cstheme="minorHAnsi"/>
          <w:lang w:val="en-GB" w:eastAsia="en-GB"/>
        </w:rPr>
        <w:t>)</w:t>
      </w:r>
      <w:r w:rsidR="008E0560" w:rsidRPr="007A114B">
        <w:rPr>
          <w:rFonts w:cstheme="minorHAnsi"/>
          <w:lang w:val="en-GB" w:eastAsia="en-GB"/>
        </w:rPr>
        <w:t>. Mardones</w:t>
      </w:r>
      <w:r w:rsidR="008E0560"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30f19238-6fdc-43d7-ad2d-e6ea8809ff58"]}],"mendeley":{"formattedCitation":"&lt;sup&gt;31&lt;/sup&gt;","plainTextFormattedCitation":"31","previouslyFormattedCitation":"&lt;sup&gt;31&lt;/sup&gt;"},"properties":{"noteIndex":0},"schema":"https://github.com/citation-style-language/schema/raw/master/csl-citation.json"}</w:instrText>
      </w:r>
      <w:r w:rsidR="008E0560" w:rsidRPr="007A114B">
        <w:rPr>
          <w:rFonts w:cstheme="minorHAnsi"/>
          <w:lang w:val="en-GB" w:eastAsia="en-GB"/>
        </w:rPr>
        <w:fldChar w:fldCharType="separate"/>
      </w:r>
      <w:r w:rsidR="006A1D58" w:rsidRPr="007A114B">
        <w:rPr>
          <w:rFonts w:cstheme="minorHAnsi"/>
          <w:noProof/>
          <w:vertAlign w:val="superscript"/>
          <w:lang w:val="en-GB" w:eastAsia="en-GB"/>
        </w:rPr>
        <w:t>31</w:t>
      </w:r>
      <w:r w:rsidR="008E0560" w:rsidRPr="007A114B">
        <w:rPr>
          <w:rFonts w:cstheme="minorHAnsi"/>
          <w:lang w:val="en-GB" w:eastAsia="en-GB"/>
        </w:rPr>
        <w:fldChar w:fldCharType="end"/>
      </w:r>
      <w:r w:rsidR="008E0560" w:rsidRPr="007A114B">
        <w:rPr>
          <w:rFonts w:cstheme="minorHAnsi"/>
          <w:lang w:val="en-GB" w:eastAsia="en-GB"/>
        </w:rPr>
        <w:t xml:space="preserve"> injected platelet rich plasma (PRP) at the head-neck junction of the femoral head. Description of </w:t>
      </w:r>
      <w:r w:rsidR="00C3412C" w:rsidRPr="007A114B">
        <w:rPr>
          <w:rFonts w:cstheme="minorHAnsi"/>
          <w:lang w:val="en-GB" w:eastAsia="en-GB"/>
        </w:rPr>
        <w:t>details of</w:t>
      </w:r>
      <w:r w:rsidR="008E0560" w:rsidRPr="007A114B">
        <w:rPr>
          <w:rFonts w:cstheme="minorHAnsi"/>
          <w:lang w:val="en-GB" w:eastAsia="en-GB"/>
        </w:rPr>
        <w:t xml:space="preserve"> reporting </w:t>
      </w:r>
      <w:r w:rsidR="00C3412C" w:rsidRPr="007A114B">
        <w:rPr>
          <w:rFonts w:cstheme="minorHAnsi"/>
          <w:lang w:val="en-GB" w:eastAsia="en-GB"/>
        </w:rPr>
        <w:t>for</w:t>
      </w:r>
      <w:r w:rsidR="008E0560" w:rsidRPr="007A114B">
        <w:rPr>
          <w:rFonts w:cstheme="minorHAnsi"/>
          <w:lang w:val="en-GB" w:eastAsia="en-GB"/>
        </w:rPr>
        <w:t xml:space="preserve"> the augmentation technique was performed using the MIBO tool (</w:t>
      </w:r>
      <w:r w:rsidR="008E0560" w:rsidRPr="007A114B">
        <w:rPr>
          <w:rFonts w:cstheme="minorHAnsi"/>
          <w:b/>
          <w:bCs/>
          <w:lang w:val="en-GB" w:eastAsia="en-GB"/>
        </w:rPr>
        <w:t>Suppl. Table 1</w:t>
      </w:r>
      <w:r w:rsidR="008E0560" w:rsidRPr="007A114B">
        <w:rPr>
          <w:rFonts w:cstheme="minorHAnsi"/>
          <w:lang w:val="en-GB" w:eastAsia="en-GB"/>
        </w:rPr>
        <w:t>).</w:t>
      </w:r>
    </w:p>
    <w:p w14:paraId="577F2305" w14:textId="77777777" w:rsidR="000E4CB3" w:rsidRPr="007A114B" w:rsidRDefault="000E4CB3" w:rsidP="008533E6">
      <w:pPr>
        <w:spacing w:after="120" w:line="480" w:lineRule="auto"/>
        <w:jc w:val="both"/>
        <w:rPr>
          <w:rFonts w:cstheme="minorHAnsi"/>
          <w:lang w:val="en-GB" w:eastAsia="en-GB"/>
        </w:rPr>
      </w:pPr>
    </w:p>
    <w:p w14:paraId="68BE722F" w14:textId="3C84398B" w:rsidR="008533E6" w:rsidRPr="007A114B" w:rsidRDefault="008533E6" w:rsidP="001E1099">
      <w:pPr>
        <w:pStyle w:val="Heading2"/>
      </w:pPr>
      <w:r w:rsidRPr="007A114B">
        <w:t>Demographic</w:t>
      </w:r>
      <w:r w:rsidR="00C61DFE" w:rsidRPr="007A114B">
        <w:t>s,</w:t>
      </w:r>
      <w:r w:rsidR="007713A2" w:rsidRPr="007A114B">
        <w:t xml:space="preserve"> Indications and Surgical Techniques</w:t>
      </w:r>
    </w:p>
    <w:p w14:paraId="58277530" w14:textId="5FB6E5BD" w:rsidR="001A5D14" w:rsidRPr="007A114B" w:rsidRDefault="003A06FC" w:rsidP="005E6455">
      <w:pPr>
        <w:spacing w:after="0" w:line="480" w:lineRule="auto"/>
        <w:jc w:val="both"/>
        <w:rPr>
          <w:rFonts w:cstheme="minorHAnsi"/>
          <w:lang w:val="en-GB" w:eastAsia="en-GB"/>
        </w:rPr>
      </w:pPr>
      <w:r w:rsidRPr="007A114B">
        <w:rPr>
          <w:rFonts w:cstheme="minorHAnsi"/>
          <w:lang w:val="en-GB" w:eastAsia="en-GB"/>
        </w:rPr>
        <w:t>A total of 616 hips</w:t>
      </w:r>
      <w:r w:rsidR="008417F8" w:rsidRPr="007A114B">
        <w:rPr>
          <w:rFonts w:cstheme="minorHAnsi"/>
          <w:lang w:val="en-GB" w:eastAsia="en-GB"/>
        </w:rPr>
        <w:t>, consisting of 247 of hips of interest (</w:t>
      </w:r>
      <w:proofErr w:type="spellStart"/>
      <w:r w:rsidR="008417F8" w:rsidRPr="007A114B">
        <w:rPr>
          <w:rFonts w:cstheme="minorHAnsi"/>
          <w:lang w:val="en-GB" w:eastAsia="en-GB"/>
        </w:rPr>
        <w:t>Tönnis</w:t>
      </w:r>
      <w:proofErr w:type="spellEnd"/>
      <w:r w:rsidR="008417F8" w:rsidRPr="007A114B">
        <w:rPr>
          <w:rFonts w:cstheme="minorHAnsi"/>
          <w:lang w:val="en-GB" w:eastAsia="en-GB"/>
        </w:rPr>
        <w:t xml:space="preserve"> Grade 2 or greater) and 369 controls, </w:t>
      </w:r>
      <w:r w:rsidRPr="007A114B">
        <w:rPr>
          <w:rFonts w:cstheme="minorHAnsi"/>
          <w:lang w:val="en-GB" w:eastAsia="en-GB"/>
        </w:rPr>
        <w:t>were included (</w:t>
      </w:r>
      <w:r w:rsidRPr="007A114B">
        <w:rPr>
          <w:rFonts w:cstheme="minorHAnsi"/>
          <w:b/>
          <w:bCs/>
          <w:lang w:val="en-GB" w:eastAsia="en-GB"/>
        </w:rPr>
        <w:t>Table 3</w:t>
      </w:r>
      <w:r w:rsidRPr="007A114B">
        <w:rPr>
          <w:rFonts w:cstheme="minorHAnsi"/>
          <w:lang w:val="en-GB" w:eastAsia="en-GB"/>
        </w:rPr>
        <w:t xml:space="preserve">). </w:t>
      </w:r>
      <w:r w:rsidR="00F67506" w:rsidRPr="007A114B">
        <w:rPr>
          <w:rFonts w:cstheme="minorHAnsi"/>
          <w:lang w:val="en-GB" w:eastAsia="en-GB"/>
        </w:rPr>
        <w:t xml:space="preserve">From the hips of interest, 221 of hips were classified with </w:t>
      </w:r>
      <w:proofErr w:type="spellStart"/>
      <w:r w:rsidR="00F67506" w:rsidRPr="007A114B">
        <w:rPr>
          <w:rFonts w:cstheme="minorHAnsi"/>
          <w:lang w:val="en-GB" w:eastAsia="en-GB"/>
        </w:rPr>
        <w:t>Tönnis</w:t>
      </w:r>
      <w:proofErr w:type="spellEnd"/>
      <w:r w:rsidR="00F67506" w:rsidRPr="007A114B">
        <w:rPr>
          <w:rFonts w:cstheme="minorHAnsi"/>
          <w:lang w:val="en-GB" w:eastAsia="en-GB"/>
        </w:rPr>
        <w:t xml:space="preserve"> 2, 8 hips with </w:t>
      </w:r>
      <w:proofErr w:type="spellStart"/>
      <w:r w:rsidR="00F67506" w:rsidRPr="007A114B">
        <w:rPr>
          <w:rFonts w:cstheme="minorHAnsi"/>
          <w:lang w:val="en-GB" w:eastAsia="en-GB"/>
        </w:rPr>
        <w:t>Tönnis</w:t>
      </w:r>
      <w:proofErr w:type="spellEnd"/>
      <w:r w:rsidR="00F67506" w:rsidRPr="007A114B">
        <w:rPr>
          <w:rFonts w:cstheme="minorHAnsi"/>
          <w:lang w:val="en-GB" w:eastAsia="en-GB"/>
        </w:rPr>
        <w:t xml:space="preserve"> 3, whilst one study reported outcomes cumulatively</w:t>
      </w:r>
      <w:r w:rsidR="00C9539E" w:rsidRPr="007A114B">
        <w:rPr>
          <w:rFonts w:cstheme="minorHAnsi"/>
          <w:lang w:val="en-GB" w:eastAsia="en-GB"/>
        </w:rPr>
        <w:t xml:space="preserve"> (18 </w:t>
      </w:r>
      <w:proofErr w:type="spellStart"/>
      <w:r w:rsidR="00C9539E" w:rsidRPr="007A114B">
        <w:rPr>
          <w:rFonts w:cstheme="minorHAnsi"/>
          <w:lang w:val="en-GB" w:eastAsia="en-GB"/>
        </w:rPr>
        <w:t>Tönnis</w:t>
      </w:r>
      <w:proofErr w:type="spellEnd"/>
      <w:r w:rsidR="00C9539E" w:rsidRPr="007A114B">
        <w:rPr>
          <w:rFonts w:cstheme="minorHAnsi"/>
          <w:lang w:val="en-GB" w:eastAsia="en-GB"/>
        </w:rPr>
        <w:t xml:space="preserve"> 2 and 3)</w:t>
      </w:r>
      <w:r w:rsidR="00F67506" w:rsidRPr="007A114B">
        <w:rPr>
          <w:rFonts w:cstheme="minorHAnsi"/>
          <w:lang w:val="en-GB" w:eastAsia="en-GB"/>
        </w:rPr>
        <w:t xml:space="preserve"> and did not allow stratification based on disease stage.</w:t>
      </w:r>
      <w:r w:rsidR="00F67506"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26&lt;/sup&gt;","plainTextFormattedCitation":"26","previouslyFormattedCitation":"&lt;sup&gt;26&lt;/sup&gt;"},"properties":{"noteIndex":0},"schema":"https://github.com/citation-style-language/schema/raw/master/csl-citation.json"}</w:instrText>
      </w:r>
      <w:r w:rsidR="00F67506" w:rsidRPr="007A114B">
        <w:rPr>
          <w:rFonts w:cstheme="minorHAnsi"/>
          <w:lang w:val="en-GB" w:eastAsia="en-GB"/>
        </w:rPr>
        <w:fldChar w:fldCharType="separate"/>
      </w:r>
      <w:r w:rsidR="006A1D58" w:rsidRPr="007A114B">
        <w:rPr>
          <w:rFonts w:cstheme="minorHAnsi"/>
          <w:noProof/>
          <w:vertAlign w:val="superscript"/>
          <w:lang w:val="en-GB" w:eastAsia="en-GB"/>
        </w:rPr>
        <w:t>26</w:t>
      </w:r>
      <w:r w:rsidR="00F67506" w:rsidRPr="007A114B">
        <w:rPr>
          <w:rFonts w:cstheme="minorHAnsi"/>
          <w:lang w:val="en-GB" w:eastAsia="en-GB"/>
        </w:rPr>
        <w:fldChar w:fldCharType="end"/>
      </w:r>
      <w:r w:rsidR="00422EF8" w:rsidRPr="007A114B">
        <w:rPr>
          <w:rFonts w:cstheme="minorHAnsi"/>
          <w:lang w:val="en-GB" w:eastAsia="en-GB"/>
        </w:rPr>
        <w:t xml:space="preserve"> All comparators across case-control studies</w:t>
      </w:r>
      <w:r w:rsidR="00422EF8"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analysis","type":"article-journal","volume":"5"},"uris":["http://www.mendeley.com/documents/?uuid=0a6c109d-2db0-4815-ae2a-496ca869769c"]},{"id":"ITEM-2","itemData":{"DOI":"10.1016/j.arthro.2011.05.018","ISSN":"1526-3231 (Electronic)","PMID":"21862276","abstract":"PURPOSE: We report the results of arthroscopic management of femoroacetabular  impingement with 2-year follow-up. METHODS: All patients undergoing hip arthroscopy were prospectively assessed with the modified Harris Hip Score. Arthroscopic correction of femoroacetabular impingement was first performed in 2003. The cohort of this study consists of the first 100 consecutive cases that had achieved 2-year follow-up. RESULTS: There was 100% follow-up at 2 years. The mean age was 34 years (range, 13 to 76 years), with 67 male and 33 female patients. There were 63 cam, 18 pincer, and 19 combined lesions. Acetabular articular damage was found in 97 cases, femoral damage was present in 23, and there were 92 labral tears. The median improvement was 21.5 points, with 79 good and excellent results. No patient required revision to total hip arthroplasty, but 6 patients underwent a subsequent arthroscopic procedure. There were 3 complications including a transient neurapraxia of the pudendal nerve and a transient neurapraxia of the lateral femoral cutaneous nerve, which resolved uneventfully, and 1 mild case of heterotopic ossification. CONCLUSIONS: We report favorable outcomes for the arthroscopic management of femoroacetabular impingement in our early experience in the first 100 consecutive cases. The high incidence of significant articular damage observed at the time of arthroscopic intervention is concerning.","author":[{"dropping-particle":"","family":"Byrd","given":"J W Thomas","non-dropping-particle":"","parse-names":false,"suffix":""},{"dropping-particle":"","family":"Jones","given":"Kay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Association","id":"ITEM-2","issue":"10","issued":{"date-parts":[["2011","10"]]},"language":"eng","page":"1379-1388","publisher-place":"United States","title":"Arthroscopic management of femoroacetabular impingement: minimum 2-year follow-up.","type":"article-journal","volume":"27"},"uris":["http://www.mendeley.com/documents/?uuid=8574cd3f-70e5-4108-92e6-5167d3ed66da"]},{"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Cohorts","type":"article-journal","volume":"98"},"uris":["http://www.mendeley.com/documents/?uuid=106846fc-f3d9-4756-ad7c-8a2fe617aeb5"]},{"id":"ITEM-4","itemData":{"DOI":"10.1097/JSM.0000000000000768","ISSN":"1536-3724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Medicine","id":"ITEM-4","issued":{"date-parts":[["2019","11"]]},"language":"eng","publisher-place":"United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15,25,26,33&lt;/sup&gt;","plainTextFormattedCitation":"15,25,26,33","previouslyFormattedCitation":"&lt;sup&gt;15,25,26,33&lt;/sup&gt;"},"properties":{"noteIndex":0},"schema":"https://github.com/citation-style-language/schema/raw/master/csl-citation.json"}</w:instrText>
      </w:r>
      <w:r w:rsidR="00422EF8" w:rsidRPr="007A114B">
        <w:rPr>
          <w:rFonts w:cstheme="minorHAnsi"/>
          <w:lang w:val="en-GB" w:eastAsia="en-GB"/>
        </w:rPr>
        <w:fldChar w:fldCharType="separate"/>
      </w:r>
      <w:r w:rsidR="006A1D58" w:rsidRPr="007A114B">
        <w:rPr>
          <w:rFonts w:cstheme="minorHAnsi"/>
          <w:noProof/>
          <w:vertAlign w:val="superscript"/>
          <w:lang w:val="en-GB" w:eastAsia="en-GB"/>
        </w:rPr>
        <w:t>15,25,26,33</w:t>
      </w:r>
      <w:r w:rsidR="00422EF8" w:rsidRPr="007A114B">
        <w:rPr>
          <w:rFonts w:cstheme="minorHAnsi"/>
          <w:lang w:val="en-GB" w:eastAsia="en-GB"/>
        </w:rPr>
        <w:fldChar w:fldCharType="end"/>
      </w:r>
      <w:r w:rsidR="00422EF8" w:rsidRPr="007A114B">
        <w:rPr>
          <w:rFonts w:cstheme="minorHAnsi"/>
          <w:lang w:val="en-GB" w:eastAsia="en-GB"/>
        </w:rPr>
        <w:t xml:space="preserve"> consisted of hips undergoing the same main intervention (HA), but with milder degenerative changes (</w:t>
      </w:r>
      <w:proofErr w:type="spellStart"/>
      <w:r w:rsidR="00422EF8" w:rsidRPr="007A114B">
        <w:rPr>
          <w:rFonts w:cstheme="minorHAnsi"/>
          <w:lang w:val="en-GB" w:eastAsia="en-GB"/>
        </w:rPr>
        <w:t>Tönnis</w:t>
      </w:r>
      <w:proofErr w:type="spellEnd"/>
      <w:r w:rsidR="00422EF8" w:rsidRPr="007A114B">
        <w:rPr>
          <w:rFonts w:cstheme="minorHAnsi"/>
          <w:lang w:val="en-GB" w:eastAsia="en-GB"/>
        </w:rPr>
        <w:t xml:space="preserve"> 0 or 1). </w:t>
      </w:r>
    </w:p>
    <w:p w14:paraId="296B990D" w14:textId="31D5563F" w:rsidR="001532EA" w:rsidRPr="007A114B" w:rsidRDefault="00C61DFE" w:rsidP="005E6455">
      <w:pPr>
        <w:spacing w:after="0" w:line="480" w:lineRule="auto"/>
        <w:jc w:val="both"/>
        <w:rPr>
          <w:rFonts w:cstheme="minorHAnsi"/>
          <w:lang w:val="en-GB" w:eastAsia="en-GB"/>
        </w:rPr>
      </w:pPr>
      <w:r w:rsidRPr="007A114B">
        <w:rPr>
          <w:rFonts w:cstheme="minorHAnsi"/>
          <w:lang w:val="en-GB" w:eastAsia="en-GB"/>
        </w:rPr>
        <w:lastRenderedPageBreak/>
        <w:t xml:space="preserve">Six studies </w:t>
      </w:r>
      <w:r w:rsidR="001532EA" w:rsidRPr="007A114B">
        <w:rPr>
          <w:rFonts w:cstheme="minorHAnsi"/>
          <w:lang w:val="en-GB" w:eastAsia="en-GB"/>
        </w:rPr>
        <w:t>reported the number of patients that were evaluated</w:t>
      </w:r>
      <w:r w:rsidR="001532EA"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analysis","type":"article-journal","volume":"5"},"uris":["http://www.mendeley.com/documents/?uuid=0a6c109d-2db0-4815-ae2a-496ca869769c"]},{"id":"ITEM-2","itemData":{"DOI":"10.1016/j.arthro.2011.05.018","ISSN":"1526-3231 (Electronic)","PMID":"21862276","abstract":"PURPOSE: We report the results of arthroscopic management of femoroacetabular  impingement with 2-year follow-up. METHODS: All patients undergoing hip arthroscopy were prospectively assessed with the modified Harris Hip Score. Arthroscopic correction of femoroacetabular impingement was first performed in 2003. The cohort of this study consists of the first 100 consecutive cases that had achieved 2-year follow-up. RESULTS: There was 100% follow-up at 2 years. The mean age was 34 years (range, 13 to 76 years), with 67 male and 33 female patients. There were 63 cam, 18 pincer, and 19 combined lesions. Acetabular articular damage was found in 97 cases, femoral damage was present in 23, and there were 92 labral tears. The median improvement was 21.5 points, with 79 good and excellent results. No patient required revision to total hip arthroplasty, but 6 patients underwent a subsequent arthroscopic procedure. There were 3 complications including a transient neurapraxia of the pudendal nerve and a transient neurapraxia of the lateral femoral cutaneous nerve, which resolved uneventfully, and 1 mild case of heterotopic ossification. CONCLUSIONS: We report favorable outcomes for the arthroscopic management of femoroacetabular impingement in our early experience in the first 100 consecutive cases. The high incidence of significant articular damage observed at the time of arthroscopic intervention is concerning.","author":[{"dropping-particle":"","family":"Byrd","given":"J W Thomas","non-dropping-particle":"","parse-names":false,"suffix":""},{"dropping-particle":"","family":"Jones","given":"Kay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Association","id":"ITEM-2","issue":"10","issued":{"date-parts":[["2011","10"]]},"language":"eng","page":"1379-1388","publisher-place":"United States","title":"Arthroscopic management of femoroacetabular impingement: minimum 2-year follow-up.","type":"article-journal","volume":"27"},"uris":["http://www.mendeley.com/documents/?uuid=8574cd3f-70e5-4108-92e6-5167d3ed66da"]},{"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Cohorts","type":"article-journal","volume":"98"},"uris":["http://www.mendeley.com/documents/?uuid=106846fc-f3d9-4756-ad7c-8a2fe617aeb5"]},{"id":"ITEM-4","itemData":{"DOI":"10.11138/mltj/2016.6.3.317","ISSN":"2240-4554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journal","id":"ITEM-4","issue":"3","issued":{"date-parts":[["2016"]]},"language":"eng","page":"317-323","title":"Joint preservation after hip arthroscopy in patients with FAI. Prospective analysis  with a minimum follow-up of seven years.","type":"article-journal","volume":"6"},"uris":["http://www.mendeley.com/documents/?uuid=922f87ee-b229-4cc6-8b02-d3d93de59ffd"]},{"id":"ITEM-5","itemData":{"ISSN":"2531-6745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Parmensis","id":"ITEM-5","issued":{"date-parts":[["2016","4"]]},"language":"eng","page":"46-52","publisher-place":"Italy","title":"Hip arthroscopy in osteoarthritis consequent to FAI.","type":"article-journal","volume":"87 Suppl 1"},"uris":["http://www.mendeley.com/documents/?uuid=f4d39a0d-8419-442c-a089-6b3f2e7d5772"]},{"id":"ITEM-6","itemData":{"DOI":"10.1097/JSM.0000000000000768","ISSN":"1536-3724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Medicine","id":"ITEM-6","issued":{"date-parts":[["2019","11"]]},"language":"eng","publisher-place":"United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15,25,26,29,30,33&lt;/sup&gt;","plainTextFormattedCitation":"15,25,26,29,30,33","previouslyFormattedCitation":"&lt;sup&gt;15,25,26,29,30,33&lt;/sup&gt;"},"properties":{"noteIndex":0},"schema":"https://github.com/citation-style-language/schema/raw/master/csl-citation.json"}</w:instrText>
      </w:r>
      <w:r w:rsidR="001532EA" w:rsidRPr="007A114B">
        <w:rPr>
          <w:rFonts w:cstheme="minorHAnsi"/>
          <w:lang w:val="en-GB" w:eastAsia="en-GB"/>
        </w:rPr>
        <w:fldChar w:fldCharType="separate"/>
      </w:r>
      <w:r w:rsidR="006A1D58" w:rsidRPr="007A114B">
        <w:rPr>
          <w:rFonts w:cstheme="minorHAnsi"/>
          <w:noProof/>
          <w:vertAlign w:val="superscript"/>
          <w:lang w:val="en-GB" w:eastAsia="en-GB"/>
        </w:rPr>
        <w:t>15,25,26,29,30,33</w:t>
      </w:r>
      <w:r w:rsidR="001532EA" w:rsidRPr="007A114B">
        <w:rPr>
          <w:rFonts w:cstheme="minorHAnsi"/>
          <w:lang w:val="en-GB" w:eastAsia="en-GB"/>
        </w:rPr>
        <w:fldChar w:fldCharType="end"/>
      </w:r>
      <w:r w:rsidR="00FA04BB" w:rsidRPr="007A114B">
        <w:rPr>
          <w:rFonts w:cstheme="minorHAnsi"/>
          <w:lang w:val="en-GB" w:eastAsia="en-GB"/>
        </w:rPr>
        <w:t xml:space="preserve"> It may be noted, that patients were significantly younger in two studies with an average of 27 (range 15-49)</w:t>
      </w:r>
      <w:r w:rsidR="00FA04BB" w:rsidRPr="007A114B">
        <w:rPr>
          <w:rFonts w:cstheme="minorHAnsi"/>
          <w:lang w:val="en-GB" w:eastAsia="en-GB"/>
        </w:rPr>
        <w:fldChar w:fldCharType="begin" w:fldLock="1"/>
      </w:r>
      <w:r w:rsidR="005A2934"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mendeley":{"formattedCitation":"&lt;sup&gt;15&lt;/sup&gt;","plainTextFormattedCitation":"15","previouslyFormattedCitation":"&lt;sup&gt;15&lt;/sup&gt;"},"properties":{"noteIndex":0},"schema":"https://github.com/citation-style-language/schema/raw/master/csl-citation.json"}</w:instrText>
      </w:r>
      <w:r w:rsidR="00FA04BB" w:rsidRPr="007A114B">
        <w:rPr>
          <w:rFonts w:cstheme="minorHAnsi"/>
          <w:lang w:val="en-GB" w:eastAsia="en-GB"/>
        </w:rPr>
        <w:fldChar w:fldCharType="separate"/>
      </w:r>
      <w:r w:rsidR="00FD0FF3" w:rsidRPr="007A114B">
        <w:rPr>
          <w:rFonts w:cstheme="minorHAnsi"/>
          <w:noProof/>
          <w:vertAlign w:val="superscript"/>
          <w:lang w:val="en-GB" w:eastAsia="en-GB"/>
        </w:rPr>
        <w:t>15</w:t>
      </w:r>
      <w:r w:rsidR="00FA04BB" w:rsidRPr="007A114B">
        <w:rPr>
          <w:rFonts w:cstheme="minorHAnsi"/>
          <w:lang w:val="en-GB" w:eastAsia="en-GB"/>
        </w:rPr>
        <w:fldChar w:fldCharType="end"/>
      </w:r>
      <w:r w:rsidR="00FA04BB" w:rsidRPr="007A114B">
        <w:rPr>
          <w:rFonts w:cstheme="minorHAnsi"/>
          <w:lang w:val="en-GB" w:eastAsia="en-GB"/>
        </w:rPr>
        <w:t xml:space="preserve"> and 39 (range 13-63)</w:t>
      </w:r>
      <w:r w:rsidR="00FA04BB"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{"citationItems":[{"id":"ITEM-1","itemData":{"DOI":"10.1016/j.arthro.2011.05.018","ISSN":"1526-3231 (Electronic)","PMID":"21862276","abstract":"PURPOSE: We report the results of arthroscopic management of femoroacetabular  impingement with 2-year follow-up. METHODS: All patients undergoing hip arthroscopy were prospectively assessed with the modified Harris Hip Score. Arthroscopic correction of femoroacetabular impingement was first performed in 2003. The cohort of this study consists of the first 100 consecutive cases that had achieved 2-year follow-up. RESULTS: There was 100% follow-up at 2 years. The mean age was 34 years (range, 13 to 76 years), with 67 male and 33 female patients. There were 63 cam, 18 pincer, and 19 combined lesions. Acetabular articular damage was found in 97 cases, femoral damage was present in 23, and there were 92 labral tears. The median improvement was 21.5 points, with 79 good and excellent results. No patient required revision to total hip arthroplasty, but 6 patients underwent a subsequent arthroscopic procedure. There were 3 complications including a transient neurapraxia of the pudendal nerve and a transient neurapraxia of the lateral femoral cutaneous nerve, which resolved uneventfully, and 1 mild case of heterotopic ossification. CONCLUSIONS: We report favorable outcomes for the arthroscopic management of femoroacetabular impingement in our early experience in the first 100 consecutive cases. The high incidence of significant articular damage observed at the time of arthroscopic intervention is concerning.","author":[{"dropping-particle":"","family":"Byrd","given":"J W Thomas","non-dropping-particle":"","parse-names":false,"suffix":""},{"dropping-particle":"","family":"Jones","given":"Kay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Association","id":"ITEM-1","issue":"10","issued":{"date-parts":[["2011","10"]]},"language":"eng","page":"1379-1388","publisher-place":"United States","title":"Arthroscopic management of femoroacetabular impingement: minimum 2-year follow-up.","type":"article-journal","volume":"27"},"uris":["http://www.mendeley.com/documents/?uuid=8574cd3f-70e5-4108-92e6-5167d3ed66da"]}],"mendeley":{"formattedCitation":"&lt;sup&gt;33&lt;/sup&gt;","plainTextFormattedCitation":"33","previouslyFormattedCitation":"&lt;sup&gt;33&lt;/sup&gt;"},"properties":{"noteIndex":0},"schema":"https://github.com/citation-style-language/schema/raw/master/csl-citation.json"}</w:instrText>
      </w:r>
      <w:r w:rsidR="00FA04BB" w:rsidRPr="007A114B">
        <w:rPr>
          <w:rFonts w:cstheme="minorHAnsi"/>
          <w:lang w:val="en-GB" w:eastAsia="en-GB"/>
        </w:rPr>
        <w:fldChar w:fldCharType="separate"/>
      </w:r>
      <w:r w:rsidR="006A1D58" w:rsidRPr="007A114B">
        <w:rPr>
          <w:rFonts w:cstheme="minorHAnsi"/>
          <w:noProof/>
          <w:vertAlign w:val="superscript"/>
          <w:lang w:val="en-GB" w:eastAsia="en-GB"/>
        </w:rPr>
        <w:t>33</w:t>
      </w:r>
      <w:r w:rsidR="00FA04BB" w:rsidRPr="007A114B">
        <w:rPr>
          <w:rFonts w:cstheme="minorHAnsi"/>
          <w:lang w:val="en-GB" w:eastAsia="en-GB"/>
        </w:rPr>
        <w:fldChar w:fldCharType="end"/>
      </w:r>
      <w:r w:rsidR="00FA04BB" w:rsidRPr="007A114B">
        <w:rPr>
          <w:rFonts w:cstheme="minorHAnsi"/>
          <w:lang w:val="en-GB" w:eastAsia="en-GB"/>
        </w:rPr>
        <w:t>, respectively, when compared to the rest of study populations (with averages exceeding 40 years)</w:t>
      </w:r>
      <w:r w:rsidRPr="007A114B">
        <w:rPr>
          <w:rFonts w:cstheme="minorHAnsi"/>
          <w:vertAlign w:val="superscript"/>
          <w:lang w:val="en-GB" w:eastAsia="en-GB"/>
        </w:rPr>
        <w:t>20,21,24,25</w:t>
      </w:r>
      <w:r w:rsidR="00FA04BB" w:rsidRPr="007A114B">
        <w:rPr>
          <w:rFonts w:cstheme="minorHAnsi"/>
          <w:lang w:val="en-GB" w:eastAsia="en-GB"/>
        </w:rPr>
        <w:t xml:space="preserve">. </w:t>
      </w:r>
    </w:p>
    <w:p w14:paraId="77C4E496" w14:textId="786D512E" w:rsidR="00C76D0F" w:rsidRPr="007A114B" w:rsidRDefault="00C76D0F" w:rsidP="005E6455">
      <w:pPr>
        <w:spacing w:after="0" w:line="480" w:lineRule="auto"/>
        <w:jc w:val="both"/>
        <w:rPr>
          <w:rFonts w:cstheme="minorHAnsi"/>
          <w:lang w:val="en-GB" w:eastAsia="en-GB"/>
        </w:rPr>
      </w:pPr>
      <w:r w:rsidRPr="007A114B">
        <w:rPr>
          <w:rFonts w:cstheme="minorHAnsi"/>
          <w:lang w:val="en-GB" w:eastAsia="en-GB"/>
        </w:rPr>
        <w:t xml:space="preserve">Regarding primary aetiology and surgical indication, all patients had </w:t>
      </w:r>
      <w:r w:rsidR="00C61DFE" w:rsidRPr="007A114B">
        <w:rPr>
          <w:rFonts w:cstheme="minorHAnsi"/>
          <w:lang w:val="en-GB" w:eastAsia="en-GB"/>
        </w:rPr>
        <w:t>FAI</w:t>
      </w:r>
      <w:r w:rsidRPr="007A114B">
        <w:rPr>
          <w:rFonts w:cstheme="minorHAnsi"/>
          <w:lang w:val="en-GB" w:eastAsia="en-GB"/>
        </w:rPr>
        <w:t>. Some studies</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Impingement.","type":"article-journal","volume":"48"},"uris":["http://www.mendeley.com/documents/?uuid=ece86ad9-59e8-446d-85d8-385ebd5ebb64"]},{"id":"ITEM-2","itemData":{"DOI":"10.1177/0363546517734180","ISSN":"1552-3365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medicine","id":"ITEM-2","issue":"2","issued":{"date-parts":[["2018","2"]]},"language":"eng","page":"280-287","publisher-place":"United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mendeley":{"formattedCitation":"&lt;sup&gt;25,27,28&lt;/sup&gt;","plainTextFormattedCitation":"25,27,28","previouslyFormattedCitation":"&lt;sup&gt;25,27,28&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25,27,28</w:t>
      </w:r>
      <w:r w:rsidRPr="007A114B">
        <w:rPr>
          <w:rFonts w:cstheme="minorHAnsi"/>
          <w:lang w:val="en-GB" w:eastAsia="en-GB"/>
        </w:rPr>
        <w:fldChar w:fldCharType="end"/>
      </w:r>
      <w:r w:rsidRPr="007A114B">
        <w:rPr>
          <w:rFonts w:cstheme="minorHAnsi"/>
          <w:lang w:val="en-GB" w:eastAsia="en-GB"/>
        </w:rPr>
        <w:t xml:space="preserve"> may have included patients that had concomitant borderline hip dysplasia, defined as an </w:t>
      </w:r>
      <w:proofErr w:type="spellStart"/>
      <w:r w:rsidRPr="007A114B">
        <w:rPr>
          <w:rFonts w:cstheme="minorHAnsi"/>
          <w:lang w:val="en-GB" w:eastAsia="en-GB"/>
        </w:rPr>
        <w:t>Wiberg's</w:t>
      </w:r>
      <w:proofErr w:type="spellEnd"/>
      <w:r w:rsidRPr="007A114B">
        <w:rPr>
          <w:rFonts w:cstheme="minorHAnsi"/>
          <w:lang w:val="en-GB" w:eastAsia="en-GB"/>
        </w:rPr>
        <w:t xml:space="preserve"> lateral </w:t>
      </w:r>
      <w:proofErr w:type="spellStart"/>
      <w:r w:rsidRPr="007A114B">
        <w:rPr>
          <w:rFonts w:cstheme="minorHAnsi"/>
          <w:lang w:val="en-GB" w:eastAsia="en-GB"/>
        </w:rPr>
        <w:t>center</w:t>
      </w:r>
      <w:proofErr w:type="spellEnd"/>
      <w:r w:rsidRPr="007A114B">
        <w:rPr>
          <w:rFonts w:cstheme="minorHAnsi"/>
          <w:lang w:val="en-GB" w:eastAsia="en-GB"/>
        </w:rPr>
        <w:t xml:space="preserve"> edge angle (LCE-angle) </w:t>
      </w:r>
      <w:r w:rsidR="00B86347" w:rsidRPr="007A114B">
        <w:rPr>
          <w:rFonts w:cstheme="minorHAnsi"/>
          <w:lang w:val="en-GB" w:eastAsia="en-GB"/>
        </w:rPr>
        <w:t>between 18° and</w:t>
      </w:r>
      <w:r w:rsidRPr="007A114B">
        <w:rPr>
          <w:rFonts w:cstheme="minorHAnsi"/>
          <w:lang w:val="en-GB" w:eastAsia="en-GB"/>
        </w:rPr>
        <w:t xml:space="preserve"> 25°. </w:t>
      </w:r>
    </w:p>
    <w:p w14:paraId="09EDE760" w14:textId="0B69131E" w:rsidR="00873ED2" w:rsidRPr="007A114B" w:rsidRDefault="00873ED2" w:rsidP="005E6455">
      <w:pPr>
        <w:spacing w:after="0" w:line="480" w:lineRule="auto"/>
        <w:jc w:val="both"/>
        <w:rPr>
          <w:rFonts w:cstheme="minorHAnsi"/>
          <w:lang w:val="en-GB" w:eastAsia="en-GB"/>
        </w:rPr>
      </w:pPr>
      <w:r w:rsidRPr="007A114B">
        <w:rPr>
          <w:rFonts w:cstheme="minorHAnsi"/>
          <w:lang w:val="en-GB" w:eastAsia="en-GB"/>
        </w:rPr>
        <w:t>For purposes of biologic augmentation and cartilage regeneration, in 7/11 studies microfractures were performed for full-thickness cartilage defects/</w:t>
      </w:r>
      <w:proofErr w:type="spellStart"/>
      <w:r w:rsidRPr="007A114B">
        <w:rPr>
          <w:rFonts w:cstheme="minorHAnsi"/>
          <w:lang w:val="en-GB" w:eastAsia="en-GB"/>
        </w:rPr>
        <w:t>Outerbridge</w:t>
      </w:r>
      <w:proofErr w:type="spellEnd"/>
      <w:r w:rsidRPr="007A114B">
        <w:rPr>
          <w:rFonts w:cstheme="minorHAnsi"/>
          <w:lang w:val="en-GB" w:eastAsia="en-GB"/>
        </w:rPr>
        <w:t xml:space="preserve"> 4 lesions, mostly on the acetabular side (</w:t>
      </w:r>
      <w:r w:rsidRPr="007A114B">
        <w:rPr>
          <w:rFonts w:cstheme="minorHAnsi"/>
          <w:b/>
          <w:bCs/>
          <w:lang w:val="en-GB" w:eastAsia="en-GB"/>
        </w:rPr>
        <w:t>Table 3</w:t>
      </w:r>
      <w:r w:rsidRPr="007A114B">
        <w:rPr>
          <w:rFonts w:cstheme="minorHAnsi"/>
          <w:lang w:val="en-GB" w:eastAsia="en-GB"/>
        </w:rPr>
        <w:t xml:space="preserve">). </w:t>
      </w:r>
      <w:r w:rsidRPr="00E27D10">
        <w:rPr>
          <w:rFonts w:cstheme="minorHAnsi"/>
          <w:lang w:val="de-DE" w:eastAsia="en-GB"/>
        </w:rPr>
        <w:t>Nakashima</w:t>
      </w:r>
      <w:r w:rsidRPr="007A114B">
        <w:rPr>
          <w:rFonts w:cstheme="minorHAnsi"/>
          <w:lang w:val="en-GB" w:eastAsia="en-GB"/>
        </w:rPr>
        <w:fldChar w:fldCharType="begin" w:fldLock="1"/>
      </w:r>
      <w:r w:rsidR="00223245" w:rsidRPr="00E27D10">
        <w:rPr>
          <w:rFonts w:cstheme="minorHAnsi"/>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26&lt;/sup&gt;","plainTextFormattedCitation":"26","previouslyFormattedCitation":"&lt;sup&gt;26&lt;/sup&gt;"},"properties":{"noteIndex":0},"schema":"https://github.com/citation-style-language/schema/raw/master/csl-citation.json"}</w:instrText>
      </w:r>
      <w:r w:rsidRPr="007A114B">
        <w:rPr>
          <w:rFonts w:cstheme="minorHAnsi"/>
          <w:lang w:val="en-GB" w:eastAsia="en-GB"/>
        </w:rPr>
        <w:fldChar w:fldCharType="separate"/>
      </w:r>
      <w:r w:rsidR="006A1D58" w:rsidRPr="00E27D10">
        <w:rPr>
          <w:rFonts w:cstheme="minorHAnsi"/>
          <w:noProof/>
          <w:vertAlign w:val="superscript"/>
          <w:lang w:val="de-DE" w:eastAsia="en-GB"/>
        </w:rPr>
        <w:t>26</w:t>
      </w:r>
      <w:r w:rsidRPr="007A114B">
        <w:rPr>
          <w:rFonts w:cstheme="minorHAnsi"/>
          <w:lang w:val="en-GB" w:eastAsia="en-GB"/>
        </w:rPr>
        <w:fldChar w:fldCharType="end"/>
      </w:r>
      <w:r w:rsidRPr="00E27D10">
        <w:rPr>
          <w:rFonts w:cstheme="minorHAnsi"/>
          <w:lang w:val="de-DE" w:eastAsia="en-GB"/>
        </w:rPr>
        <w:t xml:space="preserve"> </w:t>
      </w:r>
      <w:r w:rsidRPr="00E27D10">
        <w:rPr>
          <w:rFonts w:cstheme="minorHAnsi"/>
          <w:lang w:val="en-GB" w:eastAsia="en-GB"/>
        </w:rPr>
        <w:t>performed labral reconstruction using iliotibial band autograft in 29% of cases.</w:t>
      </w:r>
      <w:r w:rsidRPr="00E27D10">
        <w:rPr>
          <w:rFonts w:cstheme="minorHAnsi"/>
          <w:lang w:val="de-DE" w:eastAsia="en-GB"/>
        </w:rPr>
        <w:t xml:space="preserve"> </w:t>
      </w:r>
      <w:proofErr w:type="spellStart"/>
      <w:r w:rsidRPr="00F15579">
        <w:rPr>
          <w:rFonts w:cstheme="minorHAnsi"/>
          <w:lang w:val="en-GB" w:eastAsia="en-GB"/>
        </w:rPr>
        <w:t>Mardones</w:t>
      </w:r>
      <w:proofErr w:type="spellEnd"/>
      <w:r w:rsidRPr="00F15579">
        <w:rPr>
          <w:rFonts w:cstheme="minorHAnsi"/>
          <w:lang w:val="en-GB" w:eastAsia="en-GB"/>
        </w:rPr>
        <w:t xml:space="preserve"> </w:t>
      </w:r>
      <w:r w:rsidR="00B011E1" w:rsidRPr="00F15579">
        <w:rPr>
          <w:rFonts w:cstheme="minorHAnsi"/>
          <w:lang w:val="en-GB" w:eastAsia="en-GB"/>
        </w:rPr>
        <w:t>et</w:t>
      </w:r>
      <w:r w:rsidR="00B011E1" w:rsidRPr="007A114B">
        <w:rPr>
          <w:rFonts w:cstheme="minorHAnsi"/>
          <w:lang w:val="en-GB" w:eastAsia="en-GB"/>
        </w:rPr>
        <w:t xml:space="preserve"> al</w:t>
      </w:r>
      <w:r w:rsidR="00C61DFE" w:rsidRPr="007A114B">
        <w:rPr>
          <w:rFonts w:cstheme="minorHAnsi"/>
          <w:vertAlign w:val="superscript"/>
          <w:lang w:val="en-GB" w:eastAsia="en-GB"/>
        </w:rPr>
        <w:t>26</w:t>
      </w:r>
      <w:r w:rsidR="00B011E1" w:rsidRPr="007A114B">
        <w:rPr>
          <w:rFonts w:cstheme="minorHAnsi"/>
          <w:lang w:val="en-GB" w:eastAsia="en-GB"/>
        </w:rPr>
        <w:t>. used augmentation</w:t>
      </w:r>
      <w:r w:rsidR="00B80801" w:rsidRPr="007A114B">
        <w:rPr>
          <w:rFonts w:cstheme="minorHAnsi"/>
          <w:lang w:val="en-GB" w:eastAsia="en-GB"/>
        </w:rPr>
        <w:t xml:space="preserve"> with</w:t>
      </w:r>
      <w:r w:rsidRPr="007A114B">
        <w:rPr>
          <w:rFonts w:cstheme="minorHAnsi"/>
          <w:lang w:val="en-GB" w:eastAsia="en-GB"/>
        </w:rPr>
        <w:t xml:space="preserve"> cell therapy, injecting platelet rich plasma (PRP) at the head-neck junction of the femoral head.</w:t>
      </w:r>
      <w:r w:rsidR="00C61DFE" w:rsidRPr="007A114B" w:rsidDel="00C61DFE">
        <w:rPr>
          <w:rFonts w:cstheme="minorHAnsi"/>
          <w:lang w:val="en-GB" w:eastAsia="en-GB"/>
        </w:rPr>
        <w:t xml:space="preserve"> </w:t>
      </w:r>
    </w:p>
    <w:p w14:paraId="413409D2" w14:textId="3202B939" w:rsidR="00C132DF" w:rsidRPr="007A114B" w:rsidRDefault="003E3928" w:rsidP="00162465">
      <w:pPr>
        <w:spacing w:after="0" w:line="480" w:lineRule="auto"/>
        <w:jc w:val="both"/>
        <w:rPr>
          <w:rFonts w:cstheme="minorHAnsi"/>
          <w:lang w:val="en-GB" w:eastAsia="en-GB"/>
        </w:rPr>
      </w:pPr>
      <w:r w:rsidRPr="007A114B">
        <w:rPr>
          <w:rFonts w:cstheme="minorHAnsi"/>
          <w:lang w:val="en-GB" w:eastAsia="en-GB"/>
        </w:rPr>
        <w:t>All studies reported on a minimum follow-up of 12 months after HA. For calculation of a cumulative average follow-up, data of minimum follow-up was considered as average in cases where this information was missing (</w:t>
      </w:r>
      <w:r w:rsidRPr="007A114B">
        <w:rPr>
          <w:rFonts w:cstheme="minorHAnsi"/>
          <w:b/>
          <w:bCs/>
          <w:lang w:val="en-GB" w:eastAsia="en-GB"/>
        </w:rPr>
        <w:t>Table 3</w:t>
      </w:r>
      <w:r w:rsidRPr="007A114B">
        <w:rPr>
          <w:rFonts w:cstheme="minorHAnsi"/>
          <w:lang w:val="en-GB" w:eastAsia="en-GB"/>
        </w:rPr>
        <w:t>). As such, the weighted follow-up</w:t>
      </w:r>
      <w:r w:rsidR="00202A98" w:rsidRPr="007A114B">
        <w:rPr>
          <w:rFonts w:cstheme="minorHAnsi"/>
          <w:lang w:val="en-GB" w:eastAsia="en-GB"/>
        </w:rPr>
        <w:t xml:space="preserve"> </w:t>
      </w:r>
      <w:r w:rsidRPr="007A114B">
        <w:rPr>
          <w:rFonts w:cstheme="minorHAnsi"/>
          <w:lang w:val="en-GB" w:eastAsia="en-GB"/>
        </w:rPr>
        <w:t xml:space="preserve">averaged </w:t>
      </w:r>
      <w:r w:rsidR="00332209" w:rsidRPr="007A114B">
        <w:rPr>
          <w:rFonts w:cstheme="minorHAnsi"/>
          <w:lang w:val="en-GB" w:eastAsia="en-GB"/>
        </w:rPr>
        <w:t xml:space="preserve">29.1 months (range 12 – 84 months). </w:t>
      </w:r>
    </w:p>
    <w:p w14:paraId="2D888218" w14:textId="77777777" w:rsidR="0040702D" w:rsidRPr="007A114B" w:rsidRDefault="0040702D" w:rsidP="00EE1BD7">
      <w:pPr>
        <w:spacing w:after="120" w:line="480" w:lineRule="auto"/>
        <w:jc w:val="both"/>
        <w:rPr>
          <w:rFonts w:cstheme="minorHAnsi"/>
          <w:lang w:val="en-GB" w:eastAsia="en-GB"/>
        </w:rPr>
      </w:pPr>
    </w:p>
    <w:p w14:paraId="7E3DF891" w14:textId="73392514" w:rsidR="008533E6" w:rsidRPr="007A114B" w:rsidRDefault="00FC79E5" w:rsidP="001E1099">
      <w:pPr>
        <w:pStyle w:val="Heading2"/>
      </w:pPr>
      <w:r w:rsidRPr="007A114B">
        <w:t>Patient-reported and Radiographic</w:t>
      </w:r>
      <w:r w:rsidR="008533E6" w:rsidRPr="007A114B">
        <w:t xml:space="preserve"> Outcomes</w:t>
      </w:r>
    </w:p>
    <w:p w14:paraId="03AB873B" w14:textId="0F851FE8" w:rsidR="008533E6" w:rsidRPr="007A114B" w:rsidRDefault="0040702D" w:rsidP="00477533">
      <w:pPr>
        <w:spacing w:after="0" w:line="480" w:lineRule="auto"/>
        <w:jc w:val="both"/>
        <w:rPr>
          <w:rFonts w:cstheme="minorHAnsi"/>
          <w:lang w:val="en-GB" w:eastAsia="en-GB"/>
        </w:rPr>
      </w:pPr>
      <w:r w:rsidRPr="007A114B">
        <w:rPr>
          <w:rFonts w:cstheme="minorHAnsi"/>
          <w:lang w:val="en-GB" w:eastAsia="en-GB"/>
        </w:rPr>
        <w:t>Data on PRO</w:t>
      </w:r>
      <w:r w:rsidR="00801735" w:rsidRPr="007A114B">
        <w:rPr>
          <w:rFonts w:cstheme="minorHAnsi"/>
          <w:lang w:val="en-GB" w:eastAsia="en-GB"/>
        </w:rPr>
        <w:t>M</w:t>
      </w:r>
      <w:r w:rsidRPr="007A114B">
        <w:rPr>
          <w:rFonts w:cstheme="minorHAnsi"/>
          <w:lang w:val="en-GB" w:eastAsia="en-GB"/>
        </w:rPr>
        <w:t xml:space="preserve">s could be extracted </w:t>
      </w:r>
      <w:r w:rsidR="00C61DFE" w:rsidRPr="007A114B">
        <w:rPr>
          <w:rFonts w:cstheme="minorHAnsi"/>
          <w:lang w:val="en-GB" w:eastAsia="en-GB"/>
        </w:rPr>
        <w:t xml:space="preserve">for six </w:t>
      </w:r>
      <w:r w:rsidRPr="007A114B">
        <w:rPr>
          <w:rFonts w:cstheme="minorHAnsi"/>
          <w:lang w:val="en-GB" w:eastAsia="en-GB"/>
        </w:rPr>
        <w:t>studies</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Cohorts","type":"article-journal","volume":"98"},"uris":["http://www.mendeley.com/documents/?uuid=106846fc-f3d9-4756-ad7c-8a2fe617aeb5"]},{"id":"ITEM-4","itemData":{"ISSN":"2531-6745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Parmensis","id":"ITEM-4","issued":{"date-parts":[["2016","4"]]},"language":"eng","page":"46-52","publisher-place":"Italy","title":"Hip arthroscopy in osteoarthritis consequent to FAI.","type":"article-journal","volume":"87 Suppl 1"},"uris":["http://www.mendeley.com/documents/?uuid=f4d39a0d-8419-442c-a089-6b3f2e7d5772"]},{"id":"ITEM-5","itemData":{"DOI":"10.1177/0363546517734180","ISSN":"1552-3365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medicine","id":"ITEM-5","issue":"2","issued":{"date-parts":[["2018","2"]]},"language":"eng","page":"280-287","publisher-place":"United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Follow-up.","type":"article-journal","volume":"46"},"uris":["http://www.mendeley.com/documents/?uuid=307c3da5-f7af-4568-9dec-2430bf1e7ec3"]},{"id":"ITEM-6","itemData":{"DOI":"10.1097/JSM.0000000000000768","ISSN":"1536-3724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Medicine","id":"ITEM-6","issued":{"date-parts":[["2019","11"]]},"language":"eng","publisher-place":"United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15,24–27,30&lt;/sup&gt;","plainTextFormattedCitation":"15,24–27,30","previouslyFormattedCitation":"&lt;sup&gt;15,24–27,30&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15,24–27,30</w:t>
      </w:r>
      <w:r w:rsidRPr="007A114B">
        <w:rPr>
          <w:rFonts w:cstheme="minorHAnsi"/>
          <w:lang w:val="en-GB" w:eastAsia="en-GB"/>
        </w:rPr>
        <w:fldChar w:fldCharType="end"/>
      </w:r>
      <w:r w:rsidRPr="007A114B">
        <w:rPr>
          <w:rFonts w:cstheme="minorHAnsi"/>
          <w:lang w:val="en-GB" w:eastAsia="en-GB"/>
        </w:rPr>
        <w:t xml:space="preserve"> due to lack of stratification based on disease stage and mixed patient populations</w:t>
      </w:r>
      <w:r w:rsidR="000B1611" w:rsidRPr="007A114B">
        <w:rPr>
          <w:rFonts w:cstheme="minorHAnsi"/>
          <w:lang w:val="en-GB" w:eastAsia="en-GB"/>
        </w:rPr>
        <w:t xml:space="preserve"> (</w:t>
      </w:r>
      <w:r w:rsidR="000B1611" w:rsidRPr="007A114B">
        <w:rPr>
          <w:rFonts w:cstheme="minorHAnsi"/>
          <w:b/>
          <w:bCs/>
          <w:lang w:val="en-GB" w:eastAsia="en-GB"/>
        </w:rPr>
        <w:t>Table 4</w:t>
      </w:r>
      <w:r w:rsidR="000B1611" w:rsidRPr="007A114B">
        <w:rPr>
          <w:rFonts w:cstheme="minorHAnsi"/>
          <w:lang w:val="en-GB" w:eastAsia="en-GB"/>
        </w:rPr>
        <w:t>)</w:t>
      </w:r>
      <w:r w:rsidRPr="007A114B">
        <w:rPr>
          <w:rFonts w:cstheme="minorHAnsi"/>
          <w:lang w:val="en-GB" w:eastAsia="en-GB"/>
        </w:rPr>
        <w:t xml:space="preserve">. </w:t>
      </w:r>
      <w:r w:rsidR="000B1611" w:rsidRPr="007A114B">
        <w:rPr>
          <w:rFonts w:cstheme="minorHAnsi"/>
          <w:lang w:val="en-GB" w:eastAsia="en-GB"/>
        </w:rPr>
        <w:t xml:space="preserve">The </w:t>
      </w:r>
      <w:r w:rsidR="00C61DFE" w:rsidRPr="007A114B">
        <w:rPr>
          <w:rFonts w:cstheme="minorHAnsi"/>
          <w:lang w:val="en-GB" w:eastAsia="en-GB"/>
        </w:rPr>
        <w:t xml:space="preserve">most </w:t>
      </w:r>
      <w:r w:rsidR="000B1611" w:rsidRPr="007A114B">
        <w:rPr>
          <w:rFonts w:cstheme="minorHAnsi"/>
          <w:lang w:val="en-GB" w:eastAsia="en-GB"/>
        </w:rPr>
        <w:t>common tool of assessment was the modified Harris Hip Score (</w:t>
      </w:r>
      <w:proofErr w:type="spellStart"/>
      <w:r w:rsidR="000B1611" w:rsidRPr="007A114B">
        <w:rPr>
          <w:rFonts w:cstheme="minorHAnsi"/>
          <w:lang w:val="en-GB" w:eastAsia="en-GB"/>
        </w:rPr>
        <w:t>mHHS</w:t>
      </w:r>
      <w:proofErr w:type="spellEnd"/>
      <w:r w:rsidR="000B1611" w:rsidRPr="007A114B">
        <w:rPr>
          <w:rFonts w:cstheme="minorHAnsi"/>
          <w:lang w:val="en-GB" w:eastAsia="en-GB"/>
        </w:rPr>
        <w:t xml:space="preserve">). </w:t>
      </w:r>
      <w:r w:rsidR="00CA5652" w:rsidRPr="007A114B">
        <w:rPr>
          <w:rFonts w:cstheme="minorHAnsi"/>
          <w:lang w:val="en-GB" w:eastAsia="en-GB"/>
        </w:rPr>
        <w:t>Additionally, various scoring systems were inconsistently used across studies (</w:t>
      </w:r>
      <w:r w:rsidR="00CA5652" w:rsidRPr="007A114B">
        <w:rPr>
          <w:rFonts w:cstheme="minorHAnsi"/>
          <w:b/>
          <w:bCs/>
          <w:lang w:val="en-GB" w:eastAsia="en-GB"/>
        </w:rPr>
        <w:t>Table 4</w:t>
      </w:r>
      <w:r w:rsidR="00CA5652" w:rsidRPr="007A114B">
        <w:rPr>
          <w:rFonts w:cstheme="minorHAnsi"/>
          <w:lang w:val="en-GB" w:eastAsia="en-GB"/>
        </w:rPr>
        <w:t>): Return to Sports (%), Visual Analogue Scale (VAS), Hip Outcome Score - Activities of Daily Living (HOS-ADL), Hip Outcome Score Sports Specific Subscale (HOS-SSS), Non-arthritic Hip Score (NAHS), Lower Extremity Functional Scale (LEFS).</w:t>
      </w:r>
    </w:p>
    <w:p w14:paraId="66AE5FB2" w14:textId="384DFB6B" w:rsidR="001462AE" w:rsidRPr="007A114B" w:rsidRDefault="0045779B" w:rsidP="00EE1BD7">
      <w:pPr>
        <w:spacing w:after="120" w:line="480" w:lineRule="auto"/>
        <w:jc w:val="both"/>
        <w:rPr>
          <w:rFonts w:cstheme="minorHAnsi"/>
          <w:lang w:val="en-GB" w:eastAsia="en-GB"/>
        </w:rPr>
      </w:pPr>
      <w:r w:rsidRPr="007A114B">
        <w:rPr>
          <w:rFonts w:cstheme="minorHAnsi"/>
          <w:lang w:val="en-GB" w:eastAsia="en-GB"/>
        </w:rPr>
        <w:t>When looking at preoperative values and PRO</w:t>
      </w:r>
      <w:r w:rsidR="004F1082" w:rsidRPr="007A114B">
        <w:rPr>
          <w:rFonts w:cstheme="minorHAnsi"/>
          <w:lang w:val="en-GB" w:eastAsia="en-GB"/>
        </w:rPr>
        <w:t>M</w:t>
      </w:r>
      <w:r w:rsidRPr="007A114B">
        <w:rPr>
          <w:rFonts w:cstheme="minorHAnsi"/>
          <w:lang w:val="en-GB" w:eastAsia="en-GB"/>
        </w:rPr>
        <w:t xml:space="preserve">s at the  last follow-up, four studies reported an improvement across all measures of </w:t>
      </w:r>
      <w:r w:rsidR="004F1082" w:rsidRPr="007A114B">
        <w:rPr>
          <w:rFonts w:cstheme="minorHAnsi"/>
          <w:lang w:val="en-GB" w:eastAsia="en-GB"/>
        </w:rPr>
        <w:t>PROMs domains’</w:t>
      </w:r>
      <w:r w:rsidRPr="007A114B">
        <w:rPr>
          <w:rFonts w:cstheme="minorHAnsi"/>
          <w:lang w:val="en-GB" w:eastAsia="en-GB"/>
        </w:rPr>
        <w:t>.</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Impingement.","type":"article-journal","volume":"34"},"uris":["http://www.mendeley.com/documents/?uuid=43446718-daa2-4569-b051-b492450064a2"]},{"id":"ITEM-3","itemData":{"ISSN":"2531-6745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Parmensis","id":"ITEM-3","issued":{"date-parts":[["2016","4"]]},"language":"eng","page":"46-52","publisher-place":"Italy","title":"Hip arthroscopy in osteoarthritis consequent to FAI.","type":"article-journal","volume":"87 Suppl 1"},"uris":["http://www.mendeley.com/documents/?uuid=f4d39a0d-8419-442c-a089-6b3f2e7d5772"]},{"id":"ITEM-4","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volume","id":"ITEM-4","issue":"12","issued":{"date-parts":[["2016","6"]]},"page":"973—982","title":"Outcomes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mendeley":{"formattedCitation":"&lt;sup&gt;15,24,25,30&lt;/sup&gt;","plainTextFormattedCitation":"15,24,25,30","previouslyFormattedCitation":"&lt;sup&gt;15,24,25,30&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15,24,25,30</w:t>
      </w:r>
      <w:r w:rsidRPr="007A114B">
        <w:rPr>
          <w:rFonts w:cstheme="minorHAnsi"/>
          <w:lang w:val="en-GB" w:eastAsia="en-GB"/>
        </w:rPr>
        <w:fldChar w:fldCharType="end"/>
      </w:r>
      <w:r w:rsidRPr="007A114B">
        <w:rPr>
          <w:rFonts w:cstheme="minorHAnsi"/>
          <w:lang w:val="en-GB" w:eastAsia="en-GB"/>
        </w:rPr>
        <w:t xml:space="preserve"> Two studies clearly outline a negative </w:t>
      </w:r>
      <w:r w:rsidRPr="007A114B">
        <w:rPr>
          <w:rFonts w:cstheme="minorHAnsi"/>
          <w:lang w:val="en-GB" w:eastAsia="en-GB"/>
        </w:rPr>
        <w:lastRenderedPageBreak/>
        <w:t>development with deteriorating PRO</w:t>
      </w:r>
      <w:r w:rsidR="00D55247" w:rsidRPr="007A114B">
        <w:rPr>
          <w:rFonts w:cstheme="minorHAnsi"/>
          <w:lang w:val="en-GB" w:eastAsia="en-GB"/>
        </w:rPr>
        <w:t>M</w:t>
      </w:r>
      <w:r w:rsidRPr="007A114B">
        <w:rPr>
          <w:rFonts w:cstheme="minorHAnsi"/>
          <w:lang w:val="en-GB" w:eastAsia="en-GB"/>
        </w:rPr>
        <w:t>s.</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Follow-up.","type":"article-journal","volume":"46"},"uris":["http://www.mendeley.com/documents/?uuid=307c3da5-f7af-4568-9dec-2430bf1e7ec3"]},{"id":"ITEM-2","itemData":{"DOI":"10.1097/JSM.0000000000000768","ISSN":"1536-3724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Medicine","id":"ITEM-2","issued":{"date-parts":[["2019","11"]]},"language":"eng","publisher-place":"United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26,27&lt;/sup&gt;","plainTextFormattedCitation":"26,27","previouslyFormattedCitation":"&lt;sup&gt;26,27&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26,27</w:t>
      </w:r>
      <w:r w:rsidRPr="007A114B">
        <w:rPr>
          <w:rFonts w:cstheme="minorHAnsi"/>
          <w:lang w:val="en-GB" w:eastAsia="en-GB"/>
        </w:rPr>
        <w:fldChar w:fldCharType="end"/>
      </w:r>
      <w:r w:rsidRPr="007A114B">
        <w:rPr>
          <w:rFonts w:cstheme="minorHAnsi"/>
          <w:lang w:val="en-GB" w:eastAsia="en-GB"/>
        </w:rPr>
        <w:t xml:space="preserve"> In the cohort of Nakashima et al</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mendeley":{"formattedCitation":"&lt;sup&gt;26&lt;/sup&gt;","plainTextFormattedCitation":"26","previouslyFormattedCitation":"&lt;sup&gt;26&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26</w:t>
      </w:r>
      <w:r w:rsidRPr="007A114B">
        <w:rPr>
          <w:rFonts w:cstheme="minorHAnsi"/>
          <w:lang w:val="en-GB" w:eastAsia="en-GB"/>
        </w:rPr>
        <w:fldChar w:fldCharType="end"/>
      </w:r>
      <w:r w:rsidRPr="007A114B">
        <w:rPr>
          <w:rFonts w:cstheme="minorHAnsi"/>
          <w:lang w:val="en-GB" w:eastAsia="en-GB"/>
        </w:rPr>
        <w:t xml:space="preserve">, hips with </w:t>
      </w:r>
      <w:proofErr w:type="spellStart"/>
      <w:r w:rsidRPr="007A114B">
        <w:rPr>
          <w:rFonts w:cstheme="minorHAnsi"/>
          <w:lang w:val="en-GB" w:eastAsia="en-GB"/>
        </w:rPr>
        <w:t>Tönnis</w:t>
      </w:r>
      <w:proofErr w:type="spellEnd"/>
      <w:r w:rsidRPr="007A114B">
        <w:rPr>
          <w:rFonts w:cstheme="minorHAnsi"/>
          <w:lang w:val="en-GB" w:eastAsia="en-GB"/>
        </w:rPr>
        <w:t xml:space="preserve"> 2 and 3 scores </w:t>
      </w:r>
      <w:r w:rsidR="00FB2033" w:rsidRPr="007A114B">
        <w:rPr>
          <w:rFonts w:cstheme="minorHAnsi"/>
          <w:lang w:val="en-GB" w:eastAsia="en-GB"/>
        </w:rPr>
        <w:t xml:space="preserve">were </w:t>
      </w:r>
      <w:r w:rsidRPr="007A114B">
        <w:rPr>
          <w:rFonts w:cstheme="minorHAnsi"/>
          <w:lang w:val="en-GB" w:eastAsia="en-GB"/>
        </w:rPr>
        <w:t xml:space="preserve">worse compared to control group for both </w:t>
      </w:r>
      <w:proofErr w:type="spellStart"/>
      <w:r w:rsidRPr="007A114B">
        <w:rPr>
          <w:rFonts w:cstheme="minorHAnsi"/>
          <w:lang w:val="en-GB" w:eastAsia="en-GB"/>
        </w:rPr>
        <w:t>mHHS</w:t>
      </w:r>
      <w:proofErr w:type="spellEnd"/>
      <w:r w:rsidRPr="007A114B">
        <w:rPr>
          <w:rFonts w:cstheme="minorHAnsi"/>
          <w:lang w:val="en-GB" w:eastAsia="en-GB"/>
        </w:rPr>
        <w:t xml:space="preserve"> (p=0.011) and NAHS (p=0.047)</w:t>
      </w:r>
      <w:r w:rsidR="00FC79E5" w:rsidRPr="007A114B">
        <w:rPr>
          <w:rFonts w:cstheme="minorHAnsi"/>
          <w:lang w:val="en-GB" w:eastAsia="en-GB"/>
        </w:rPr>
        <w:t>.</w:t>
      </w:r>
    </w:p>
    <w:p w14:paraId="124AC429" w14:textId="63F824B5" w:rsidR="00243AD4" w:rsidRPr="007A114B" w:rsidRDefault="00243AD4" w:rsidP="00EE1BD7">
      <w:pPr>
        <w:spacing w:after="120" w:line="480" w:lineRule="auto"/>
        <w:jc w:val="both"/>
        <w:rPr>
          <w:rFonts w:cstheme="minorHAnsi"/>
          <w:lang w:val="en-GB" w:eastAsia="en-GB"/>
        </w:rPr>
      </w:pPr>
      <w:r w:rsidRPr="007A114B">
        <w:rPr>
          <w:rFonts w:cstheme="minorHAnsi"/>
          <w:lang w:val="en-GB" w:eastAsia="en-GB"/>
        </w:rPr>
        <w:t>Although some studies reported on radiographic outcomes with changes in the alpha angle or radiographic OA progression</w:t>
      </w:r>
      <w:r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research","id":"ITEM-1","issue":"1","issued":{"date-parts":[["2010","1"]]},"language":"eng","page":"182-190","title":"Arthroscopic treatment of femoroacetabular impingement of the hip: a new technique  to access the joint.","type":"article-journal","volume":"468"},"uris":["http://www.mendeley.com/documents/?uuid=69c99f08-bb8f-4be9-ad7f-220ac8a7467f"]},{"id":"ITEM-2","itemData":{"DOI":"10.11138/mltj/2016.6.3.397","ISSN":"2240-4554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journal","id":"ITEM-2","issue":"3","issued":{"date-parts":[["2016"]]},"language":"eng","page":"397-401","title":"Arthroscopic treatment of femoroacetabular impingement in patients older than 60  years.","type":"article-journal","volume":"6"},"uris":["http://www.mendeley.com/documents/?uuid=30f19238-6fdc-43d7-ad2d-e6ea8809ff58"]}],"mendeley":{"formattedCitation":"&lt;sup&gt;31,32&lt;/sup&gt;","plainTextFormattedCitation":"31,32","previouslyFormattedCitation":"&lt;sup&gt;31,32&lt;/sup&gt;"},"properties":{"noteIndex":0},"schema":"https://github.com/citation-style-language/schema/raw/master/csl-citation.json"}</w:instrText>
      </w:r>
      <w:r w:rsidRPr="007A114B">
        <w:rPr>
          <w:rFonts w:cstheme="minorHAnsi"/>
          <w:lang w:val="en-GB" w:eastAsia="en-GB"/>
        </w:rPr>
        <w:fldChar w:fldCharType="separate"/>
      </w:r>
      <w:r w:rsidR="006A1D58" w:rsidRPr="007A114B">
        <w:rPr>
          <w:rFonts w:cstheme="minorHAnsi"/>
          <w:noProof/>
          <w:vertAlign w:val="superscript"/>
          <w:lang w:val="en-GB" w:eastAsia="en-GB"/>
        </w:rPr>
        <w:t>31,32</w:t>
      </w:r>
      <w:r w:rsidRPr="007A114B">
        <w:rPr>
          <w:rFonts w:cstheme="minorHAnsi"/>
          <w:lang w:val="en-GB" w:eastAsia="en-GB"/>
        </w:rPr>
        <w:fldChar w:fldCharType="end"/>
      </w:r>
      <w:r w:rsidRPr="007A114B">
        <w:rPr>
          <w:rFonts w:cstheme="minorHAnsi"/>
          <w:lang w:val="en-GB" w:eastAsia="en-GB"/>
        </w:rPr>
        <w:t xml:space="preserve">, no outcomes could be extracted for the hips with </w:t>
      </w:r>
      <w:proofErr w:type="spellStart"/>
      <w:r w:rsidRPr="007A114B">
        <w:rPr>
          <w:rFonts w:cstheme="minorHAnsi"/>
          <w:lang w:val="en-GB" w:eastAsia="en-GB"/>
        </w:rPr>
        <w:t>Tönnis</w:t>
      </w:r>
      <w:proofErr w:type="spellEnd"/>
      <w:r w:rsidRPr="007A114B">
        <w:rPr>
          <w:rFonts w:cstheme="minorHAnsi"/>
          <w:lang w:val="en-GB" w:eastAsia="en-GB"/>
        </w:rPr>
        <w:t xml:space="preserve"> 2 or greater due to lack of data stratification.</w:t>
      </w:r>
      <w:r w:rsidR="00166866" w:rsidRPr="007A114B">
        <w:rPr>
          <w:rFonts w:cstheme="minorHAnsi"/>
          <w:lang w:val="en-GB" w:eastAsia="en-GB"/>
        </w:rPr>
        <w:t xml:space="preserve"> </w:t>
      </w:r>
      <w:r w:rsidR="00737146" w:rsidRPr="007A114B">
        <w:rPr>
          <w:rFonts w:cstheme="minorHAnsi"/>
          <w:lang w:val="en-GB" w:eastAsia="en-GB"/>
        </w:rPr>
        <w:t>Two studies</w:t>
      </w:r>
      <w:r w:rsidR="00C61DFE" w:rsidRPr="007A114B">
        <w:rPr>
          <w:rFonts w:cstheme="minorHAnsi"/>
          <w:lang w:val="en-GB" w:eastAsia="en-GB"/>
        </w:rPr>
        <w:t xml:space="preserve"> </w:t>
      </w:r>
      <w:r w:rsidR="00737146" w:rsidRPr="007A114B">
        <w:rPr>
          <w:rFonts w:cstheme="minorHAnsi"/>
          <w:lang w:val="en-GB" w:eastAsia="en-GB"/>
        </w:rPr>
        <w:t>reported no complications</w:t>
      </w:r>
      <w:r w:rsidR="00FB2033" w:rsidRPr="007A114B">
        <w:rPr>
          <w:rFonts w:cstheme="minorHAnsi"/>
          <w:lang w:val="en-GB" w:eastAsia="en-GB"/>
        </w:rPr>
        <w:t>.</w:t>
      </w:r>
      <w:r w:rsidR="00737146"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Impingement.","type":"article-journal","volume":"34"},"uris":["http://www.mendeley.com/documents/?uuid=43446718-daa2-4569-b051-b492450064a2"]},{"id":"ITEM-2","itemData":{"DOI":"10.1016/j.arthro.2016.10.022","ISSN":"1526-3231 (Electronic)","PMID":"28063762","abstract":"PURPOSE: To evaluate patient outcomes after isolated arthroscopic volumetric  acetabular osteoplasty and labral repair for the treatment of patients with combined femoroacetabular impingement (FAI) lesions. METHODS: A review of a prospectively collected registry identified 86 patients (106 hips) with an average age of 38.1 years (range, 17-59 years) with combined-type FAI that underwent isolated acetabular osteoplasty and labral repair. Preoperative α-angle, degree of radiographic degenerative changes, and presence of a crossover sign were recorded. Clinical outcomes were assessed with the modified Harris Hip Score (mHHS), International Hip Outcome Tool-12 (iHOT-12), Hip Outcome Score Sport-Specific Subscale (HOS-SSS), and patient satisfaction score (out of 10) at a minimum 2-year follow-up. RESULTS: Clinical follow-up was obtained at a mean follow-up of 37.2 months (range, 27.9-79.2 months). Patients with Tönnis grade 0 and I findings had significantly higher mHHS (83.5 vs 71.5, P = .01), HOS-SSS (81.3 vs 59.9, P = .02), and iHOT-12 scores (71.1 vs 58.8, P = .04) compared to patients with Tonnis grade II changes. However, patient satisfaction scores (8.0 vs 7.2, P = .45) were no different. No significant difference was noted between unilateral and bilateral hip patient outcome scores. Patient age and preoperative α-angles did not correlate with any outcome scores (all R(2) &lt;0.05). There were no cases of revision surgery or progression to arthroplasty. CONCLUSIONS: Isolated acetabular decompression may adequately address the underlying impingement in combined-type FAI while avoiding the risks associated with femoral-sided decompression. Good to excellent patient-reported outcomes and satisfaction scores were noted with significantly higher scores in patients with minimal arthritic change. Patient age and preoperative α-angle had less effect on postoperative outcomes. LEVEL OF EVIDENCE: Level IV, therapeutic case series.","author":[{"dropping-particle":"","family":"Tjong","given":"Vehniah K","non-dropping-particle":"","parse-names":false,"suffix":""},{"dropping-particle":"","family":"Gombera","given":"Mustafa M","non-dropping-particle":"","parse-names":false,"suffix":""},{"dropping-particle":"","family":"Kahlenberg","given":"Cynthia A","non-dropping-particle":"","parse-names":false,"suffix":""},{"dropping-particle":"","family":"Patel","given":"Ronak M","non-dropping-particle":"","parse-names":false,"suffix":""},{"dropping-particle":"","family":"Han","given":"Brian","non-dropping-particle":"","parse-names":false,"suffix":""},{"dropping-particle":"","family":"Deshmane","given":"Prashant","non-dropping-particle":"","parse-names":false,"suffix":""},{"dropping-particle":"","family":"Terry","given":"Michael A","non-dropping-particle":"","parse-names":false,"suffix":""}],"container-title":"Arthroscopy : the journal of arthroscopic &amp; related surgery : official publication  of the Arthroscopy Association of North America and the International Arthroscopy Association","id":"ITEM-2","issue":"4","issued":{"date-parts":[["2017","4"]]},"language":"eng","page":"773-779","publisher-place":"United States","title":"Isolated Acetabuloplasty and Labral Repair for Combined-Type Femoroacetabular  Impingement: Are We Doing Too Much?","type":"article-journal","volume":"33"},"uris":["http://www.mendeley.com/documents/?uuid=4ca73fb3-f656-4c20-b162-93346a5dd4bf"]}],"mendeley":{"formattedCitation":"&lt;sup&gt;24,34&lt;/sup&gt;","plainTextFormattedCitation":"24,34","previouslyFormattedCitation":"&lt;sup&gt;24,34&lt;/sup&gt;"},"properties":{"noteIndex":0},"schema":"https://github.com/citation-style-language/schema/raw/master/csl-citation.json"}</w:instrText>
      </w:r>
      <w:r w:rsidR="00737146" w:rsidRPr="007A114B">
        <w:rPr>
          <w:rFonts w:cstheme="minorHAnsi"/>
          <w:lang w:val="en-GB" w:eastAsia="en-GB"/>
        </w:rPr>
        <w:fldChar w:fldCharType="separate"/>
      </w:r>
      <w:r w:rsidR="006A1D58" w:rsidRPr="007A114B">
        <w:rPr>
          <w:rFonts w:cstheme="minorHAnsi"/>
          <w:noProof/>
          <w:vertAlign w:val="superscript"/>
          <w:lang w:val="en-GB" w:eastAsia="en-GB"/>
        </w:rPr>
        <w:t>24,34</w:t>
      </w:r>
      <w:r w:rsidR="00737146" w:rsidRPr="007A114B">
        <w:rPr>
          <w:rFonts w:cstheme="minorHAnsi"/>
          <w:lang w:val="en-GB" w:eastAsia="en-GB"/>
        </w:rPr>
        <w:fldChar w:fldCharType="end"/>
      </w:r>
      <w:r w:rsidR="00737146" w:rsidRPr="007A114B">
        <w:rPr>
          <w:rFonts w:cstheme="minorHAnsi"/>
          <w:lang w:val="en-GB" w:eastAsia="en-GB"/>
        </w:rPr>
        <w:t xml:space="preserve"> </w:t>
      </w:r>
      <w:r w:rsidR="00FB2033" w:rsidRPr="007A114B">
        <w:rPr>
          <w:rFonts w:cstheme="minorHAnsi"/>
          <w:lang w:val="en-GB" w:eastAsia="en-GB"/>
        </w:rPr>
        <w:t>I</w:t>
      </w:r>
      <w:r w:rsidR="00C61DFE" w:rsidRPr="007A114B">
        <w:rPr>
          <w:rFonts w:cstheme="minorHAnsi"/>
          <w:lang w:val="en-GB" w:eastAsia="en-GB"/>
        </w:rPr>
        <w:t xml:space="preserve">n other studies </w:t>
      </w:r>
      <w:r w:rsidR="00FB2033" w:rsidRPr="007A114B">
        <w:rPr>
          <w:rFonts w:cstheme="minorHAnsi"/>
          <w:lang w:val="en-GB" w:eastAsia="en-GB"/>
        </w:rPr>
        <w:t>n</w:t>
      </w:r>
      <w:r w:rsidR="00737146" w:rsidRPr="007A114B">
        <w:rPr>
          <w:rFonts w:cstheme="minorHAnsi"/>
          <w:lang w:val="en-GB" w:eastAsia="en-GB"/>
        </w:rPr>
        <w:t xml:space="preserve">either information was </w:t>
      </w:r>
      <w:r w:rsidR="00C61DFE" w:rsidRPr="007A114B">
        <w:rPr>
          <w:rFonts w:cstheme="minorHAnsi"/>
          <w:lang w:val="en-GB" w:eastAsia="en-GB"/>
        </w:rPr>
        <w:t xml:space="preserve">reported </w:t>
      </w:r>
      <w:r w:rsidR="00FB2033" w:rsidRPr="007A114B">
        <w:rPr>
          <w:rFonts w:cstheme="minorHAnsi"/>
          <w:lang w:val="en-GB" w:eastAsia="en-GB"/>
        </w:rPr>
        <w:t>nor could it get</w:t>
      </w:r>
      <w:r w:rsidR="00737146" w:rsidRPr="007A114B">
        <w:rPr>
          <w:rFonts w:cstheme="minorHAnsi"/>
          <w:lang w:val="en-GB" w:eastAsia="en-GB"/>
        </w:rPr>
        <w:t xml:space="preserve"> extracted. </w:t>
      </w:r>
    </w:p>
    <w:p w14:paraId="608B40D3" w14:textId="77777777" w:rsidR="00166866" w:rsidRPr="007A114B" w:rsidRDefault="00166866" w:rsidP="00EE1BD7">
      <w:pPr>
        <w:spacing w:after="120" w:line="480" w:lineRule="auto"/>
        <w:jc w:val="both"/>
        <w:rPr>
          <w:rFonts w:cstheme="minorHAnsi"/>
          <w:lang w:val="en-GB" w:eastAsia="en-GB"/>
        </w:rPr>
      </w:pPr>
    </w:p>
    <w:p w14:paraId="58F22C11" w14:textId="2D543EB5" w:rsidR="003938DA" w:rsidRPr="007A114B" w:rsidRDefault="00510317" w:rsidP="001E1099">
      <w:pPr>
        <w:pStyle w:val="Heading2"/>
      </w:pPr>
      <w:r w:rsidRPr="007A114B">
        <w:t xml:space="preserve">Revisions and </w:t>
      </w:r>
      <w:r w:rsidR="003938DA" w:rsidRPr="007A114B">
        <w:t>Conversion to Total Hip Arthroplasty</w:t>
      </w:r>
    </w:p>
    <w:p w14:paraId="20793787" w14:textId="41A520ED" w:rsidR="003938DA" w:rsidRPr="007A114B" w:rsidRDefault="00414C45" w:rsidP="00477533">
      <w:pPr>
        <w:spacing w:after="0" w:line="480" w:lineRule="auto"/>
        <w:jc w:val="both"/>
        <w:rPr>
          <w:rFonts w:cstheme="minorHAnsi"/>
          <w:lang w:val="en-GB" w:eastAsia="en-GB"/>
        </w:rPr>
      </w:pPr>
      <w:r w:rsidRPr="007A114B">
        <w:rPr>
          <w:rFonts w:cstheme="minorHAnsi"/>
          <w:lang w:val="en-GB" w:eastAsia="en-GB"/>
        </w:rPr>
        <w:t xml:space="preserve">8/11 </w:t>
      </w:r>
      <w:r w:rsidR="007102C4" w:rsidRPr="007A114B">
        <w:rPr>
          <w:rFonts w:cstheme="minorHAnsi"/>
          <w:lang w:val="en-GB" w:eastAsia="en-GB"/>
        </w:rPr>
        <w:t>studies</w:t>
      </w:r>
      <w:r w:rsidR="00C61DFE" w:rsidRPr="007A114B">
        <w:rPr>
          <w:rFonts w:cstheme="minorHAnsi"/>
          <w:lang w:val="en-GB" w:eastAsia="en-GB"/>
        </w:rPr>
        <w:t xml:space="preserve"> reported </w:t>
      </w:r>
      <w:r w:rsidR="007102C4" w:rsidRPr="007A114B">
        <w:rPr>
          <w:rFonts w:cstheme="minorHAnsi"/>
          <w:lang w:val="en-GB" w:eastAsia="en-GB"/>
        </w:rPr>
        <w:t>the incidence of re</w:t>
      </w:r>
      <w:r w:rsidRPr="007A114B">
        <w:rPr>
          <w:rFonts w:cstheme="minorHAnsi"/>
          <w:lang w:val="en-GB" w:eastAsia="en-GB"/>
        </w:rPr>
        <w:t>operations</w:t>
      </w:r>
      <w:r w:rsidR="007102C4" w:rsidRPr="007A114B">
        <w:rPr>
          <w:rFonts w:cstheme="minorHAnsi"/>
          <w:lang w:val="en-GB" w:eastAsia="en-GB"/>
        </w:rPr>
        <w:t xml:space="preserve"> </w:t>
      </w:r>
      <w:r w:rsidR="00752BD9" w:rsidRPr="007A114B">
        <w:rPr>
          <w:rFonts w:cstheme="minorHAnsi"/>
          <w:lang w:val="en-GB" w:eastAsia="en-GB"/>
        </w:rPr>
        <w:t>(</w:t>
      </w:r>
      <w:r w:rsidR="00752BD9" w:rsidRPr="007A114B">
        <w:rPr>
          <w:rFonts w:cstheme="minorHAnsi"/>
          <w:b/>
          <w:bCs/>
          <w:lang w:val="en-GB" w:eastAsia="en-GB"/>
        </w:rPr>
        <w:t>Table 5</w:t>
      </w:r>
      <w:r w:rsidR="00752BD9" w:rsidRPr="007A114B">
        <w:rPr>
          <w:rFonts w:cstheme="minorHAnsi"/>
          <w:lang w:val="en-GB" w:eastAsia="en-GB"/>
        </w:rPr>
        <w:t>)</w:t>
      </w:r>
      <w:r w:rsidR="007102C4" w:rsidRPr="007A114B">
        <w:rPr>
          <w:rFonts w:cstheme="minorHAnsi"/>
          <w:lang w:val="en-GB" w:eastAsia="en-GB"/>
        </w:rPr>
        <w:t xml:space="preserve">. The reoperations </w:t>
      </w:r>
      <w:r w:rsidR="00A350B1" w:rsidRPr="007A114B">
        <w:rPr>
          <w:rFonts w:cstheme="minorHAnsi"/>
          <w:lang w:val="en-GB" w:eastAsia="en-GB"/>
        </w:rPr>
        <w:t xml:space="preserve">were </w:t>
      </w:r>
      <w:r w:rsidR="007102C4" w:rsidRPr="007A114B">
        <w:rPr>
          <w:rFonts w:cstheme="minorHAnsi"/>
          <w:lang w:val="en-GB" w:eastAsia="en-GB"/>
        </w:rPr>
        <w:t xml:space="preserve">either of a revision </w:t>
      </w:r>
      <w:r w:rsidR="00C61DFE" w:rsidRPr="007A114B">
        <w:rPr>
          <w:rFonts w:cstheme="minorHAnsi"/>
          <w:lang w:val="en-GB" w:eastAsia="en-GB"/>
        </w:rPr>
        <w:t xml:space="preserve">HA </w:t>
      </w:r>
      <w:r w:rsidR="007102C4" w:rsidRPr="007A114B">
        <w:rPr>
          <w:rFonts w:cstheme="minorHAnsi"/>
          <w:lang w:val="en-GB" w:eastAsia="en-GB"/>
        </w:rPr>
        <w:t xml:space="preserve">or a conversion to primary THA. </w:t>
      </w:r>
      <w:r w:rsidR="00044855" w:rsidRPr="007A114B">
        <w:rPr>
          <w:rFonts w:cstheme="minorHAnsi"/>
          <w:lang w:val="en-GB" w:eastAsia="en-GB"/>
        </w:rPr>
        <w:t>Byrd</w:t>
      </w:r>
      <w:r w:rsidR="00044855"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mendeley":{"formattedCitation":"&lt;sup&gt;24&lt;/sup&gt;","plainTextFormattedCitation":"24","previouslyFormattedCitation":"&lt;sup&gt;24&lt;/sup&gt;"},"properties":{"noteIndex":0},"schema":"https://github.com/citation-style-language/schema/raw/master/csl-citation.json"}</w:instrText>
      </w:r>
      <w:r w:rsidR="00044855" w:rsidRPr="007A114B">
        <w:rPr>
          <w:rFonts w:cstheme="minorHAnsi"/>
          <w:lang w:val="en-GB" w:eastAsia="en-GB"/>
        </w:rPr>
        <w:fldChar w:fldCharType="separate"/>
      </w:r>
      <w:r w:rsidR="006A1D58" w:rsidRPr="007A114B">
        <w:rPr>
          <w:rFonts w:cstheme="minorHAnsi"/>
          <w:noProof/>
          <w:vertAlign w:val="superscript"/>
          <w:lang w:val="en-GB" w:eastAsia="en-GB"/>
        </w:rPr>
        <w:t>24</w:t>
      </w:r>
      <w:r w:rsidR="00044855" w:rsidRPr="007A114B">
        <w:rPr>
          <w:rFonts w:cstheme="minorHAnsi"/>
          <w:lang w:val="en-GB" w:eastAsia="en-GB"/>
        </w:rPr>
        <w:fldChar w:fldCharType="end"/>
      </w:r>
      <w:r w:rsidR="00044855" w:rsidRPr="007A114B">
        <w:rPr>
          <w:rFonts w:cstheme="minorHAnsi"/>
          <w:lang w:val="en-GB" w:eastAsia="en-GB"/>
        </w:rPr>
        <w:t xml:space="preserve"> reported on a total revision rate of 6% (2/33) with two </w:t>
      </w:r>
      <w:r w:rsidR="00A350B1" w:rsidRPr="007A114B">
        <w:rPr>
          <w:rFonts w:cstheme="minorHAnsi"/>
          <w:lang w:val="en-GB" w:eastAsia="en-GB"/>
        </w:rPr>
        <w:t xml:space="preserve">revision HA </w:t>
      </w:r>
      <w:r w:rsidR="00044855" w:rsidRPr="007A114B">
        <w:rPr>
          <w:rFonts w:cstheme="minorHAnsi"/>
          <w:lang w:val="en-GB" w:eastAsia="en-GB"/>
        </w:rPr>
        <w:t xml:space="preserve">and no conversions to THA at the last follow-up. </w:t>
      </w:r>
      <w:r w:rsidR="00FB2033" w:rsidRPr="007A114B">
        <w:rPr>
          <w:rFonts w:cstheme="minorHAnsi"/>
          <w:lang w:val="en-GB" w:eastAsia="en-GB"/>
        </w:rPr>
        <w:t xml:space="preserve">These were the same studies that included patients with an average age below 40. </w:t>
      </w:r>
      <w:r w:rsidR="00044855" w:rsidRPr="007A114B">
        <w:rPr>
          <w:rFonts w:cstheme="minorHAnsi"/>
          <w:lang w:val="en-GB" w:eastAsia="en-GB"/>
        </w:rPr>
        <w:t>In contrast, in the study by Chandrasekaran et al</w:t>
      </w:r>
      <w:r w:rsidR="00044855"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mendeley":{"formattedCitation":"&lt;sup&gt;25&lt;/sup&gt;","plainTextFormattedCitation":"25","previouslyFormattedCitation":"&lt;sup&gt;25&lt;/sup&gt;"},"properties":{"noteIndex":0},"schema":"https://github.com/citation-style-language/schema/raw/master/csl-citation.json"}</w:instrText>
      </w:r>
      <w:r w:rsidR="00044855" w:rsidRPr="007A114B">
        <w:rPr>
          <w:rFonts w:cstheme="minorHAnsi"/>
          <w:lang w:val="en-GB" w:eastAsia="en-GB"/>
        </w:rPr>
        <w:fldChar w:fldCharType="separate"/>
      </w:r>
      <w:r w:rsidR="006A1D58" w:rsidRPr="007A114B">
        <w:rPr>
          <w:rFonts w:cstheme="minorHAnsi"/>
          <w:noProof/>
          <w:vertAlign w:val="superscript"/>
          <w:lang w:val="en-GB" w:eastAsia="en-GB"/>
        </w:rPr>
        <w:t>25</w:t>
      </w:r>
      <w:r w:rsidR="00044855" w:rsidRPr="007A114B">
        <w:rPr>
          <w:rFonts w:cstheme="minorHAnsi"/>
          <w:lang w:val="en-GB" w:eastAsia="en-GB"/>
        </w:rPr>
        <w:fldChar w:fldCharType="end"/>
      </w:r>
      <w:r w:rsidR="00044855" w:rsidRPr="007A114B">
        <w:rPr>
          <w:rFonts w:cstheme="minorHAnsi"/>
          <w:lang w:val="en-GB" w:eastAsia="en-GB"/>
        </w:rPr>
        <w:t xml:space="preserve">, 54% (20/33) of hips with </w:t>
      </w:r>
      <w:proofErr w:type="spellStart"/>
      <w:r w:rsidR="00044855" w:rsidRPr="007A114B">
        <w:rPr>
          <w:rFonts w:cstheme="minorHAnsi"/>
          <w:lang w:val="en-GB" w:eastAsia="en-GB"/>
        </w:rPr>
        <w:t>Tönnis</w:t>
      </w:r>
      <w:proofErr w:type="spellEnd"/>
      <w:r w:rsidR="00044855" w:rsidRPr="007A114B">
        <w:rPr>
          <w:rFonts w:cstheme="minorHAnsi"/>
          <w:lang w:val="en-GB" w:eastAsia="en-GB"/>
        </w:rPr>
        <w:t xml:space="preserve"> 2 and 3 underwent a reoperation with 5 revision HA and 15 conversions to THA. </w:t>
      </w:r>
      <w:r w:rsidR="00A350B1" w:rsidRPr="007A114B">
        <w:rPr>
          <w:rFonts w:cstheme="minorHAnsi"/>
          <w:lang w:val="en-GB" w:eastAsia="en-GB"/>
        </w:rPr>
        <w:t>I</w:t>
      </w:r>
      <w:r w:rsidR="00044855" w:rsidRPr="007A114B">
        <w:rPr>
          <w:rFonts w:cstheme="minorHAnsi"/>
          <w:lang w:val="en-GB" w:eastAsia="en-GB"/>
        </w:rPr>
        <w:t>nconsistent rates of conversion could be observed across studies (</w:t>
      </w:r>
      <w:r w:rsidR="00044855" w:rsidRPr="007A114B">
        <w:rPr>
          <w:rFonts w:cstheme="minorHAnsi"/>
          <w:b/>
          <w:bCs/>
          <w:lang w:val="en-GB" w:eastAsia="en-GB"/>
        </w:rPr>
        <w:t>Table 5</w:t>
      </w:r>
      <w:r w:rsidR="00044855" w:rsidRPr="007A114B">
        <w:rPr>
          <w:rFonts w:cstheme="minorHAnsi"/>
          <w:lang w:val="en-GB" w:eastAsia="en-GB"/>
        </w:rPr>
        <w:t>)</w:t>
      </w:r>
      <w:r w:rsidR="00F408F8" w:rsidRPr="007A114B">
        <w:rPr>
          <w:rFonts w:cstheme="minorHAnsi"/>
          <w:lang w:val="en-GB" w:eastAsia="en-GB"/>
        </w:rPr>
        <w:t xml:space="preserve"> with conversion rates </w:t>
      </w:r>
      <w:r w:rsidR="00A350B1" w:rsidRPr="007A114B">
        <w:rPr>
          <w:rFonts w:cstheme="minorHAnsi"/>
          <w:lang w:val="en-GB" w:eastAsia="en-GB"/>
        </w:rPr>
        <w:t xml:space="preserve">of </w:t>
      </w:r>
      <w:r w:rsidR="00F408F8" w:rsidRPr="007A114B">
        <w:rPr>
          <w:rFonts w:cstheme="minorHAnsi"/>
          <w:lang w:val="en-GB" w:eastAsia="en-GB"/>
        </w:rPr>
        <w:t xml:space="preserve"> 0%</w:t>
      </w:r>
      <w:r w:rsidR="00A350B1" w:rsidRPr="007A114B">
        <w:rPr>
          <w:rFonts w:cstheme="minorHAnsi"/>
          <w:lang w:val="en-GB" w:eastAsia="en-GB"/>
        </w:rPr>
        <w:t>,</w:t>
      </w:r>
      <w:r w:rsidR="00F408F8"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Impingement.","type":"article-journal","volume":"34"},"uris":["http://www.mendeley.com/documents/?uuid=be9467cf-a870-4611-8390-10504bab417c"]},{"id":"ITEM-2","itemData":{"DOI":"10.1093/jhps/hny011","ISSN":"2054-8397","abstract":"Based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surgery","id":"ITEM-2","issue":"2","issued":{"date-parts":[["2018","4","24"]]},"language":"eng","page":"162-165","publisher":"Oxford University Press","title":"Influence of Tönnis grade on outcomes of arthroscopy for FAI in athletes: a comparative analysis","type":"article-journal","volume":"5"},"uris":["http://www.mendeley.com/documents/?uuid=96506ac1-0244-4ccb-91a5-a943df2365b5"]},{"id":"ITEM-3","itemData":{"DOI":"10.1016/j.arthro.2016.10.022","ISSN":"1526-3231 (Electronic)","PMID":"28063762","abstract":"PURPOSE: To evaluate patient outcomes after isolated arthroscopic volumetric  acetabular osteoplasty and labral repair for the treatment of patients with combined femoroacetabular impingement (FAI) lesions. METHODS: A review of a prospectively collected registry identified 86 patients (106 hips) with an average age of 38.1 years (range, 17-59 years) with combined-type FAI that underwent isolated acetabular osteoplasty and labral repair. Preoperative α-angle, degree of radiographic degenerative changes, and presence of a crossover sign were recorded. Clinical outcomes were assessed with the modified Harris Hip Score (mHHS), International Hip Outcome Tool-12 (iHOT-12), Hip Outcome Score Sport-Specific Subscale (HOS-SSS), and patient satisfaction score (out of 10) at a minimum 2-year follow-up. RESULTS: Clinical follow-up was obtained at a mean follow-up of 37.2 months (range, 27.9-79.2 months). Patients with Tönnis grade 0 and I findings had significantly higher mHHS (83.5 vs 71.5, P = .01), HOS-SSS (81.3 vs 59.9, P = .02), and iHOT-12 scores (71.1 vs 58.8, P = .04) compared to patients with Tonnis grade II changes. However, patient satisfaction scores (8.0 vs 7.2, P = .45) were no different. No significant difference was noted between unilateral and bilateral hip patient outcome scores. Patient age and preoperative α-angles did not correlate with any outcome scores (all R(2) &lt;0.05). There were no cases of revision surgery or progression to arthroplasty. CONCLUSIONS: Isolated acetabular decompression may adequately address the underlying impingement in combined-type FAI while avoiding the risks associated with femoral-sided decompression. Good to excellent patient-reported outcomes and satisfaction scores were noted with significantly higher scores in patients with minimal arthritic change. Patient age and preoperative α-angle had less effect on postoperative outcomes. LEVEL OF EVIDENCE: Level IV, therapeutic case series.","author":[{"dropping-particle":"","family":"Tjong","given":"Vehniah K","non-dropping-particle":"","parse-names":false,"suffix":""},{"dropping-particle":"","family":"Gombera","given":"Mustafa M","non-dropping-particle":"","parse-names":false,"suffix":""},{"dropping-particle":"","family":"Kahlenberg","given":"Cynthia A","non-dropping-particle":"","parse-names":false,"suffix":""},{"dropping-particle":"","family":"Patel","given":"Ronak M","non-dropping-particle":"","parse-names":false,"suffix":""},{"dropping-particle":"","family":"Han","given":"Brian","non-dropping-particle":"","parse-names":false,"suffix":""},{"dropping-particle":"","family":"Deshmane","given":"Prashant","non-dropping-particle":"","parse-names":false,"suffix":""},{"dropping-particle":"","family":"Terry","given":"Michael A","non-dropping-particle":"","parse-names":false,"suffix":""}],"container-title":"Arthroscopy : the journal of arthroscopic &amp; related surgery : official publication  of the Arthroscopy Association of North America and the International Arthroscopy Association","id":"ITEM-3","issue":"4","issued":{"date-parts":[["2017","4"]]},"language":"eng","page":"773-779","publisher-place":"United States","title":"Isolated Acetabuloplasty and Labral Repair for Combined-Type Femoroacetabular  Impingement: Are We Doing Too Much?","type":"article-journal","volume":"33"},"uris":["http://www.mendeley.com/documents/?uuid=53339dae-93ea-4786-87c8-ca6d9ce0c567"]}],"mendeley":{"formattedCitation":"&lt;sup&gt;15,24,34&lt;/sup&gt;","plainTextFormattedCitation":"15,24,34","previouslyFormattedCitation":"&lt;sup&gt;15,24,34&lt;/sup&gt;"},"properties":{"noteIndex":0},"schema":"https://github.com/citation-style-language/schema/raw/master/csl-citation.json"}</w:instrText>
      </w:r>
      <w:r w:rsidR="00F408F8" w:rsidRPr="007A114B">
        <w:rPr>
          <w:rFonts w:cstheme="minorHAnsi"/>
          <w:lang w:val="en-GB" w:eastAsia="en-GB"/>
        </w:rPr>
        <w:fldChar w:fldCharType="separate"/>
      </w:r>
      <w:r w:rsidR="006A1D58" w:rsidRPr="007A114B">
        <w:rPr>
          <w:rFonts w:cstheme="minorHAnsi"/>
          <w:noProof/>
          <w:vertAlign w:val="superscript"/>
          <w:lang w:val="en-GB" w:eastAsia="en-GB"/>
        </w:rPr>
        <w:t>15,24,34</w:t>
      </w:r>
      <w:r w:rsidR="00F408F8" w:rsidRPr="007A114B">
        <w:rPr>
          <w:rFonts w:cstheme="minorHAnsi"/>
          <w:lang w:val="en-GB" w:eastAsia="en-GB"/>
        </w:rPr>
        <w:fldChar w:fldCharType="end"/>
      </w:r>
      <w:r w:rsidR="00DF30DD" w:rsidRPr="007A114B">
        <w:rPr>
          <w:rFonts w:cstheme="minorHAnsi"/>
          <w:lang w:val="en-GB" w:eastAsia="en-GB"/>
        </w:rPr>
        <w:t xml:space="preserve"> 9%</w:t>
      </w:r>
      <w:r w:rsidR="00A350B1" w:rsidRPr="007A114B">
        <w:rPr>
          <w:rFonts w:cstheme="minorHAnsi"/>
          <w:lang w:val="en-GB" w:eastAsia="en-GB"/>
        </w:rPr>
        <w:t>,</w:t>
      </w:r>
      <w:r w:rsidR="00DF30DD"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7992eb4b-14e8-4a53-8ba0-1c5fa558647f"]}],"mendeley":{"formattedCitation":"&lt;sup&gt;31&lt;/sup&gt;","plainTextFormattedCitation":"31","previouslyFormattedCitation":"&lt;sup&gt;31&lt;/sup&gt;"},"properties":{"noteIndex":0},"schema":"https://github.com/citation-style-language/schema/raw/master/csl-citation.json"}</w:instrText>
      </w:r>
      <w:r w:rsidR="00DF30DD" w:rsidRPr="007A114B">
        <w:rPr>
          <w:rFonts w:cstheme="minorHAnsi"/>
          <w:lang w:val="en-GB" w:eastAsia="en-GB"/>
        </w:rPr>
        <w:fldChar w:fldCharType="separate"/>
      </w:r>
      <w:r w:rsidR="006A1D58" w:rsidRPr="007A114B">
        <w:rPr>
          <w:rFonts w:cstheme="minorHAnsi"/>
          <w:noProof/>
          <w:vertAlign w:val="superscript"/>
          <w:lang w:val="en-GB" w:eastAsia="en-GB"/>
        </w:rPr>
        <w:t>31</w:t>
      </w:r>
      <w:r w:rsidR="00DF30DD" w:rsidRPr="007A114B">
        <w:rPr>
          <w:rFonts w:cstheme="minorHAnsi"/>
          <w:lang w:val="en-GB" w:eastAsia="en-GB"/>
        </w:rPr>
        <w:fldChar w:fldCharType="end"/>
      </w:r>
      <w:r w:rsidR="00A350B1" w:rsidRPr="007A114B">
        <w:rPr>
          <w:rFonts w:cstheme="minorHAnsi"/>
          <w:lang w:val="en-GB" w:eastAsia="en-GB"/>
        </w:rPr>
        <w:t>,</w:t>
      </w:r>
      <w:r w:rsidR="00DF30DD" w:rsidRPr="007A114B">
        <w:rPr>
          <w:rFonts w:cstheme="minorHAnsi"/>
          <w:lang w:val="en-GB" w:eastAsia="en-GB"/>
        </w:rPr>
        <w:t xml:space="preserve"> 35%</w:t>
      </w:r>
      <w:r w:rsidR="00A350B1" w:rsidRPr="007A114B">
        <w:rPr>
          <w:rFonts w:cstheme="minorHAnsi"/>
          <w:lang w:val="en-GB" w:eastAsia="en-GB"/>
        </w:rPr>
        <w:t>,</w:t>
      </w:r>
      <w:r w:rsidR="00DF30DD"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lt;/sup&gt;","plainTextFormattedCitation":"25","previouslyFormattedCitation":"&lt;sup&gt;25&lt;/sup&gt;"},"properties":{"noteIndex":0},"schema":"https://github.com/citation-style-language/schema/raw/master/csl-citation.json"}</w:instrText>
      </w:r>
      <w:r w:rsidR="00DF30DD" w:rsidRPr="007A114B">
        <w:rPr>
          <w:rFonts w:cstheme="minorHAnsi"/>
          <w:lang w:val="en-GB" w:eastAsia="en-GB"/>
        </w:rPr>
        <w:fldChar w:fldCharType="separate"/>
      </w:r>
      <w:r w:rsidR="006A1D58" w:rsidRPr="007A114B">
        <w:rPr>
          <w:rFonts w:cstheme="minorHAnsi"/>
          <w:noProof/>
          <w:vertAlign w:val="superscript"/>
          <w:lang w:val="en-GB" w:eastAsia="en-GB"/>
        </w:rPr>
        <w:t>25</w:t>
      </w:r>
      <w:r w:rsidR="00DF30DD" w:rsidRPr="007A114B">
        <w:rPr>
          <w:rFonts w:cstheme="minorHAnsi"/>
          <w:lang w:val="en-GB" w:eastAsia="en-GB"/>
        </w:rPr>
        <w:fldChar w:fldCharType="end"/>
      </w:r>
      <w:r w:rsidR="00DF30DD" w:rsidRPr="007A114B">
        <w:rPr>
          <w:rFonts w:cstheme="minorHAnsi"/>
          <w:lang w:val="en-GB" w:eastAsia="en-GB"/>
        </w:rPr>
        <w:t xml:space="preserve"> and </w:t>
      </w:r>
      <w:r w:rsidR="00F408F8" w:rsidRPr="007A114B">
        <w:rPr>
          <w:rFonts w:cstheme="minorHAnsi"/>
          <w:lang w:val="en-GB" w:eastAsia="en-GB"/>
        </w:rPr>
        <w:t>70%</w:t>
      </w:r>
      <w:r w:rsidR="00F408F8"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Impingement.","type":"article-journal","volume":"48"},"uris":["http://www.mendeley.com/documents/?uuid=77b752ff-14c5-4271-bc51-014e401b0c25"]},{"id":"ITEM-2","itemData":{"DOI":"10.1093/jhps/hnx015","ISSN":"2054-8397","abstract":"In order to access and resect the acetabular rim, arthroscopic\nacetabuloplasty was described with labral detachment. When the\nchondrolabral junction remains intact, acetabuloplasty and labral\nrefixation can be performed maintaining an unharmed labrum. We aimed to\nevaluate the outcome of a group of patients treated with arthroscopic\nacetabuloplasty without labral detachment. During the study period, we\nretrospectively analysed 44 patients with pincer-type o combined\nimpingement and an intact chondroblabral junction, with an average\nfollow-up of 32 months (range: 27-38). We excluded patients with\nisolated CAM-type impingement and previous hip pathology. Radiographs\nwere analysed to define impingement and classify grade of\nosteoarthritis. Clinical evaluation consisted of pre-operative and\npost-operative modified Harris hip score (mHHS) and WOMAC as well as\npost-operative visual analogue scale (VAS) of pain and satisfaction.\nReoperations were considered surgical failures for purposes of survival\nanalysis. Mean mHHS changed from 51.06 (SD 4.81) pre-operatively to\n84.97 (SD 12.79) post-operatively. Pre-operative WOMAC was 29.18 (SD 8)\nand post-operative, 13.10 (SD 11). Post-operative VAS was 7.5 and 2.27\nfor satisfaction and pain, respectively. When comparing patients with\nTonnis 0 to those with Tonnis 1, the former showed better results\nregarding post-operative mHHS (89.9 s versus 77.85, P = 0.03), pain VAS\n(1.5 versus 6.3, P = 0.03) and satisfaction VAS (8.2 versus 6.3, P =\n0.01). Survival was 100% at 24 months and 76% at 40 months (95% CI:\n35-98%). Arthroscopic acetabuloplasty without labral detachment\nachieved good clinical outcomes. Slight degenerative changes on\nradiographs correlated with poorer clinical outcomes.","author":[{"dropping-particle":"","family":"Comba","given":"Fernando M","non-dropping-particle":"","parse-names":false,"suffix":""},{"dropping-particle":"","family":"Slullitel","given":"Pablo A","non-dropping-particle":"","parse-names":false,"suffix":""},{"dropping-particle":"","family":"Bronenberg","given":"Pedro","non-dropping-particle":"","parse-names":false,"suffix":""},{"dropping-particle":"","family":"Zanotti","given":"Gerardo","non-dropping-particle":"","parse-names":false,"suffix":""},{"dropping-particle":"","family":"Buttaro","given":"Martin A","non-dropping-particle":"","parse-names":false,"suffix":""},{"dropping-particle":"","family":"Piccaluga","given":"Francisco","non-dropping-particle":"","parse-names":false,"suffix":""}],"container-title":"JOURNAL OF HIP PRESERVATION SURGERY","id":"ITEM-2","issue":"2","issued":{"date-parts":[["2017","7"]]},"page":"145-152","title":"Arthroscopic acetabuloplasty without labral detachment for focal pincer-type impingement: a minimum 2-year follow-up","type":"article-journal","volume":"4"},"uris":["http://www.mendeley.com/documents/?uuid=f606b87d-931d-498d-be9c-54a38aad764b"]},{"id":"ITEM-3","itemData":{"DOI":"10.1097/JSM.0000000000000768","ISSN":"1536-3724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Medicine","id":"ITEM-3","issued":{"date-parts":[["2019","11"]]},"language":"eng","publisher-place":"United States","title":"Is Arthroscopic Hip Labral Repair/Reconstruction Surgery Effective for Treating  Femoroacetabular Impingement in the Presence of Osteoarthritis?","type":"article-journal"},"uris":["http://www.mendeley.com/documents/?uuid=4f24ddc9-a0d9-493a-b11a-2630f235a23d"]}],"mendeley":{"formattedCitation":"&lt;sup&gt;26,28,35&lt;/sup&gt;","plainTextFormattedCitation":"26,28,35","previouslyFormattedCitation":"&lt;sup&gt;26,28,35&lt;/sup&gt;"},"properties":{"noteIndex":0},"schema":"https://github.com/citation-style-language/schema/raw/master/csl-citation.json"}</w:instrText>
      </w:r>
      <w:r w:rsidR="00F408F8" w:rsidRPr="007A114B">
        <w:rPr>
          <w:rFonts w:cstheme="minorHAnsi"/>
          <w:lang w:val="en-GB" w:eastAsia="en-GB"/>
        </w:rPr>
        <w:fldChar w:fldCharType="separate"/>
      </w:r>
      <w:r w:rsidR="006A1D58" w:rsidRPr="007A114B">
        <w:rPr>
          <w:rFonts w:cstheme="minorHAnsi"/>
          <w:noProof/>
          <w:vertAlign w:val="superscript"/>
          <w:lang w:val="en-GB" w:eastAsia="en-GB"/>
        </w:rPr>
        <w:t>26,28,35</w:t>
      </w:r>
      <w:r w:rsidR="00F408F8" w:rsidRPr="007A114B">
        <w:rPr>
          <w:rFonts w:cstheme="minorHAnsi"/>
          <w:lang w:val="en-GB" w:eastAsia="en-GB"/>
        </w:rPr>
        <w:fldChar w:fldCharType="end"/>
      </w:r>
      <w:r w:rsidR="00044855" w:rsidRPr="007A114B">
        <w:rPr>
          <w:rFonts w:cstheme="minorHAnsi"/>
          <w:lang w:val="en-GB" w:eastAsia="en-GB"/>
        </w:rPr>
        <w:t xml:space="preserve">. This was next explored using a random-model meta-analysis </w:t>
      </w:r>
      <w:r w:rsidR="00C60723" w:rsidRPr="007A114B">
        <w:rPr>
          <w:rFonts w:cstheme="minorHAnsi"/>
          <w:lang w:val="en-GB" w:eastAsia="en-GB"/>
        </w:rPr>
        <w:t>with</w:t>
      </w:r>
      <w:r w:rsidR="00044855" w:rsidRPr="007A114B">
        <w:rPr>
          <w:rFonts w:cstheme="minorHAnsi"/>
          <w:lang w:val="en-GB" w:eastAsia="en-GB"/>
        </w:rPr>
        <w:t xml:space="preserve"> calculation of effect sizes and heterogeneity</w:t>
      </w:r>
      <w:r w:rsidR="00C43515" w:rsidRPr="007A114B">
        <w:rPr>
          <w:rFonts w:cstheme="minorHAnsi"/>
          <w:lang w:val="en-GB" w:eastAsia="en-GB"/>
        </w:rPr>
        <w:t xml:space="preserve"> </w:t>
      </w:r>
      <w:r w:rsidR="00C43515" w:rsidRPr="00CF225D">
        <w:rPr>
          <w:rFonts w:cstheme="minorHAnsi"/>
          <w:b/>
          <w:bCs/>
          <w:lang w:val="en-GB" w:eastAsia="en-GB"/>
        </w:rPr>
        <w:t>(Fig. 2).</w:t>
      </w:r>
    </w:p>
    <w:p w14:paraId="38E81881" w14:textId="77777777" w:rsidR="00C1521F" w:rsidRPr="007A114B" w:rsidRDefault="00C1521F" w:rsidP="008533E6">
      <w:pPr>
        <w:spacing w:after="120" w:line="480" w:lineRule="auto"/>
        <w:jc w:val="both"/>
        <w:rPr>
          <w:rFonts w:cstheme="minorHAnsi"/>
          <w:lang w:val="en-GB" w:eastAsia="en-GB"/>
        </w:rPr>
      </w:pPr>
    </w:p>
    <w:p w14:paraId="05690ED0" w14:textId="03A3AB1D" w:rsidR="008533E6" w:rsidRPr="007A114B" w:rsidRDefault="008533E6" w:rsidP="001E1099">
      <w:pPr>
        <w:pStyle w:val="Heading2"/>
      </w:pPr>
      <w:r w:rsidRPr="007A114B">
        <w:t>Quantitative Analysis of Heterogeneity</w:t>
      </w:r>
    </w:p>
    <w:p w14:paraId="0FB65387" w14:textId="77777777" w:rsidR="006D3910" w:rsidRPr="007A114B" w:rsidRDefault="00D048AB" w:rsidP="00D048AB">
      <w:pPr>
        <w:spacing w:after="120" w:line="480" w:lineRule="auto"/>
        <w:jc w:val="both"/>
        <w:rPr>
          <w:rFonts w:cstheme="minorHAnsi"/>
          <w:lang w:val="en-GB" w:eastAsia="en-GB"/>
        </w:rPr>
      </w:pPr>
      <w:r w:rsidRPr="007A114B">
        <w:rPr>
          <w:rFonts w:cstheme="minorHAnsi"/>
          <w:lang w:val="en-GB" w:eastAsia="en-GB"/>
        </w:rPr>
        <w:t xml:space="preserve">Due to the lack of sufficient detail in the reported evidence and the amount of methodological heterogeneity (e.g., different study designs, lack of control groups and retrospective data analysis), an attempt to perform a meta-analysis to estimate a pooled summary effect </w:t>
      </w:r>
      <w:r w:rsidR="00A350B1" w:rsidRPr="007A114B">
        <w:rPr>
          <w:rFonts w:cstheme="minorHAnsi"/>
          <w:lang w:val="en-GB" w:eastAsia="en-GB"/>
        </w:rPr>
        <w:t>c</w:t>
      </w:r>
      <w:r w:rsidRPr="007A114B">
        <w:rPr>
          <w:rFonts w:cstheme="minorHAnsi"/>
          <w:lang w:val="en-GB" w:eastAsia="en-GB"/>
        </w:rPr>
        <w:t>ould be misconceived and improper for clinical extrapolation. As such, we performed a quantitative analysis of heterogeneity. Our purpose was to quantify the heterogeneity and discuss ways to reduce it for future studies.</w:t>
      </w:r>
    </w:p>
    <w:p w14:paraId="7239A2E1" w14:textId="3D8EDC74" w:rsidR="008533E6" w:rsidRPr="007A114B" w:rsidRDefault="006D3910" w:rsidP="00D048AB">
      <w:pPr>
        <w:spacing w:after="120" w:line="480" w:lineRule="auto"/>
        <w:jc w:val="both"/>
        <w:rPr>
          <w:rFonts w:cstheme="minorHAnsi"/>
          <w:lang w:val="en-GB" w:eastAsia="en-GB"/>
        </w:rPr>
      </w:pPr>
      <w:r w:rsidRPr="007A114B">
        <w:rPr>
          <w:rFonts w:cstheme="minorHAnsi"/>
          <w:lang w:val="en-GB" w:eastAsia="en-GB"/>
        </w:rPr>
        <w:lastRenderedPageBreak/>
        <w:t>We agreed to not perform t</w:t>
      </w:r>
      <w:r w:rsidR="00E53C28" w:rsidRPr="007A114B">
        <w:rPr>
          <w:rFonts w:cstheme="minorHAnsi"/>
          <w:lang w:val="en-GB" w:eastAsia="en-GB"/>
        </w:rPr>
        <w:t>he planned subgroup analysis based on the score achieved on risk of bias assessment (MINORs &lt;50% vs &gt;50%) due to lack of sufficient studies that would lead to improper study stratification.</w:t>
      </w:r>
    </w:p>
    <w:p w14:paraId="13BDD5DD" w14:textId="652FCA4F" w:rsidR="00F461EE" w:rsidRPr="007A114B" w:rsidRDefault="00247804" w:rsidP="00EE1BD7">
      <w:pPr>
        <w:spacing w:after="120" w:line="480" w:lineRule="auto"/>
        <w:jc w:val="both"/>
        <w:rPr>
          <w:rFonts w:cstheme="minorHAnsi"/>
          <w:lang w:val="en-GB" w:eastAsia="en-GB"/>
        </w:rPr>
      </w:pPr>
      <w:r w:rsidRPr="007A114B">
        <w:rPr>
          <w:rFonts w:cstheme="minorHAnsi"/>
          <w:lang w:val="en-GB" w:eastAsia="en-GB"/>
        </w:rPr>
        <w:t>The single tool among PRO</w:t>
      </w:r>
      <w:r w:rsidR="007411A3" w:rsidRPr="007A114B">
        <w:rPr>
          <w:rFonts w:cstheme="minorHAnsi"/>
          <w:lang w:val="en-GB" w:eastAsia="en-GB"/>
        </w:rPr>
        <w:t>M</w:t>
      </w:r>
      <w:r w:rsidRPr="007A114B">
        <w:rPr>
          <w:rFonts w:cstheme="minorHAnsi"/>
          <w:lang w:val="en-GB" w:eastAsia="en-GB"/>
        </w:rPr>
        <w:t xml:space="preserve">s that was common for all studies was the </w:t>
      </w:r>
      <w:proofErr w:type="spellStart"/>
      <w:r w:rsidRPr="007A114B">
        <w:rPr>
          <w:rFonts w:cstheme="minorHAnsi"/>
          <w:lang w:val="en-GB" w:eastAsia="en-GB"/>
        </w:rPr>
        <w:t>mHHS</w:t>
      </w:r>
      <w:proofErr w:type="spellEnd"/>
      <w:r w:rsidRPr="007A114B">
        <w:rPr>
          <w:rFonts w:cstheme="minorHAnsi"/>
          <w:lang w:val="en-GB" w:eastAsia="en-GB"/>
        </w:rPr>
        <w:t xml:space="preserve">. However, </w:t>
      </w:r>
      <w:r w:rsidR="00A90BEB" w:rsidRPr="007A114B">
        <w:rPr>
          <w:rFonts w:cstheme="minorHAnsi"/>
          <w:lang w:val="en-GB" w:eastAsia="en-GB"/>
        </w:rPr>
        <w:t>there was a lack in reporting</w:t>
      </w:r>
      <w:r w:rsidRPr="007A114B">
        <w:rPr>
          <w:rFonts w:cstheme="minorHAnsi"/>
          <w:lang w:val="en-GB" w:eastAsia="en-GB"/>
        </w:rPr>
        <w:t xml:space="preserve"> the change from the pre- to postoperative s</w:t>
      </w:r>
      <w:r w:rsidR="00A90BEB" w:rsidRPr="007A114B">
        <w:rPr>
          <w:rFonts w:cstheme="minorHAnsi"/>
          <w:lang w:val="en-GB" w:eastAsia="en-GB"/>
        </w:rPr>
        <w:t xml:space="preserve">coring, which would offer the most important information </w:t>
      </w:r>
      <w:r w:rsidRPr="007A114B">
        <w:rPr>
          <w:rFonts w:cstheme="minorHAnsi"/>
          <w:lang w:val="en-GB" w:eastAsia="en-GB"/>
        </w:rPr>
        <w:t>on the impact of the surgical procedure. From the 6 studies that have reported on this data,</w:t>
      </w:r>
      <w:r w:rsidR="00F4357E"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id":"ITEM-3","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volume","id":"ITEM-3","issue":"12","issued":{"date-parts":[["2016","6"]]},"page":"973—982","title":"Outcomes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Cohorts","type":"article-journal","volume":"98"},"uris":["http://www.mendeley.com/documents/?uuid=106846fc-f3d9-4756-ad7c-8a2fe617aeb5"]},{"id":"ITEM-4","itemData":{"DOI":"10.1177/0363546517734180","ISSN":"1552-3365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medicine","id":"ITEM-4","issue":"2","issued":{"date-parts":[["2018","2"]]},"language":"eng","page":"280-287","publisher-place":"United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Follow-up.","type":"article-journal","volume":"46"},"uris":["http://www.mendeley.com/documents/?uuid=307c3da5-f7af-4568-9dec-2430bf1e7ec3"]},{"id":"ITEM-5","itemData":{"DOI":"10.1097/JSM.0000000000000768","ISSN":"1536-3724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Medicine","id":"ITEM-5","issued":{"date-parts":[["2019","11"]]},"language":"eng","publisher-place":"United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Osteoarthritis?","type":"article-journal"},"uris":["http://www.mendeley.com/documents/?uuid=ea4afa9d-f430-40ec-abf9-3aa43c4f84a4"]},{"id":"ITEM-6","itemData":{"ISSN":"2531-6745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Parmensis","id":"ITEM-6","issued":{"date-parts":[["2016","4"]]},"language":"eng","page":"46-52","publisher-place":"Italy","title":"Hip arthroscopy in osteoarthritis consequent to FAI.","type":"article-journal","volume":"87 Suppl 1"},"uris":["http://www.mendeley.com/documents/?uuid=f4d39a0d-8419-442c-a089-6b3f2e7d5772"]}],"mendeley":{"formattedCitation":"&lt;sup&gt;15,24–27,30&lt;/sup&gt;","plainTextFormattedCitation":"15,24–27,30","previouslyFormattedCitation":"&lt;sup&gt;15,24–27,30&lt;/sup&gt;"},"properties":{"noteIndex":0},"schema":"https://github.com/citation-style-language/schema/raw/master/csl-citation.json"}</w:instrText>
      </w:r>
      <w:r w:rsidR="00F4357E" w:rsidRPr="007A114B">
        <w:rPr>
          <w:rFonts w:cstheme="minorHAnsi"/>
          <w:lang w:val="en-GB" w:eastAsia="en-GB"/>
        </w:rPr>
        <w:fldChar w:fldCharType="separate"/>
      </w:r>
      <w:r w:rsidR="006A1D58" w:rsidRPr="007A114B">
        <w:rPr>
          <w:rFonts w:cstheme="minorHAnsi"/>
          <w:noProof/>
          <w:vertAlign w:val="superscript"/>
          <w:lang w:val="en-GB" w:eastAsia="en-GB"/>
        </w:rPr>
        <w:t>15,24–27,30</w:t>
      </w:r>
      <w:r w:rsidR="00F4357E" w:rsidRPr="007A114B">
        <w:rPr>
          <w:rFonts w:cstheme="minorHAnsi"/>
          <w:lang w:val="en-GB" w:eastAsia="en-GB"/>
        </w:rPr>
        <w:fldChar w:fldCharType="end"/>
      </w:r>
      <w:r w:rsidRPr="007A114B">
        <w:rPr>
          <w:rFonts w:cstheme="minorHAnsi"/>
          <w:lang w:val="en-GB" w:eastAsia="en-GB"/>
        </w:rPr>
        <w:t xml:space="preserve"> three did not use standard deviations/standard error or confidence intervals for the </w:t>
      </w:r>
      <w:r w:rsidR="00F4357E" w:rsidRPr="007A114B">
        <w:rPr>
          <w:rFonts w:cstheme="minorHAnsi"/>
          <w:lang w:val="en-GB" w:eastAsia="en-GB"/>
        </w:rPr>
        <w:t>values of Δ mHHS</w:t>
      </w:r>
      <w:r w:rsidR="00F4357E" w:rsidRPr="007A114B">
        <w:rPr>
          <w:rFonts w:cstheme="minorHAnsi"/>
          <w:lang w:val="en-GB" w:eastAsia="en-GB"/>
        </w:rPr>
        <w:fldChar w:fldCharType="begin" w:fldLock="1"/>
      </w:r>
      <w:r w:rsidR="00223245" w:rsidRPr="007A114B">
        <w:rPr>
          <w:rFonts w:cstheme="minorHAnsi"/>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Osteoarthritis?","type":"article-journal"},"uris":["http://www.mendeley.com/documents/?uuid=ed20e87a-d7d4-41a0-b2ec-d6141f07783e"]},{"id":"ITEM-2","itemData":{"ISSN":"2531-6745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Parmensis","id":"ITEM-2","issued":{"date-parts":[["2016","4"]]},"language":"eng","page":"46-52","publisher-place":"Italy","title":"Hip arthroscopy in osteoarthritis consequent to FAI.","type":"article-journal","volume":"87 Suppl 1"},"uris":["http://www.mendeley.com/documents/?uuid=f4d39a0d-8419-442c-a089-6b3f2e7d5772"]},{"id":"ITEM-3","itemData":{"DOI":"10.1177/0363546517734180","ISSN":"1552-3365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medicine","id":"ITEM-3","issue":"2","issued":{"date-parts":[["2018","2"]]},"language":"eng","page":"280-287","publisher-place":"United States","title":"Multicenter Analysis of Midterm Clinical Outcomes of Arthroscopic Labral Repair in  the Hip: Minimum 5-Year Follow-up.","type":"article-journal","volume":"46"},"uris":["http://www.mendeley.com/documents/?uuid=307c3da5-f7af-4568-9dec-2430bf1e7ec3"]}],"mendeley":{"formattedCitation":"&lt;sup&gt;26,27,30&lt;/sup&gt;","plainTextFormattedCitation":"26,27,30","previouslyFormattedCitation":"&lt;sup&gt;26,27,30&lt;/sup&gt;"},"properties":{"noteIndex":0},"schema":"https://github.com/citation-style-language/schema/raw/master/csl-citation.json"}</w:instrText>
      </w:r>
      <w:r w:rsidR="00F4357E" w:rsidRPr="007A114B">
        <w:rPr>
          <w:rFonts w:cstheme="minorHAnsi"/>
          <w:lang w:val="en-GB" w:eastAsia="en-GB"/>
        </w:rPr>
        <w:fldChar w:fldCharType="separate"/>
      </w:r>
      <w:r w:rsidR="006A1D58" w:rsidRPr="007A114B">
        <w:rPr>
          <w:rFonts w:cstheme="minorHAnsi"/>
          <w:noProof/>
          <w:vertAlign w:val="superscript"/>
          <w:lang w:val="en-GB" w:eastAsia="en-GB"/>
        </w:rPr>
        <w:t>26,27,30</w:t>
      </w:r>
      <w:r w:rsidR="00F4357E" w:rsidRPr="007A114B">
        <w:rPr>
          <w:rFonts w:cstheme="minorHAnsi"/>
          <w:lang w:val="en-GB" w:eastAsia="en-GB"/>
        </w:rPr>
        <w:fldChar w:fldCharType="end"/>
      </w:r>
      <w:r w:rsidR="004E01BE" w:rsidRPr="007A114B">
        <w:rPr>
          <w:rFonts w:cstheme="minorHAnsi"/>
          <w:lang w:val="en-GB" w:eastAsia="en-GB"/>
        </w:rPr>
        <w:t xml:space="preserve">. </w:t>
      </w:r>
      <w:r w:rsidR="00F461EE" w:rsidRPr="007A114B">
        <w:rPr>
          <w:rFonts w:cstheme="minorHAnsi"/>
          <w:lang w:val="en-GB" w:eastAsia="en-GB"/>
        </w:rPr>
        <w:t>This did not allow a further analysis of heterogeneity.</w:t>
      </w:r>
    </w:p>
    <w:p w14:paraId="45F885A9" w14:textId="56D064F4" w:rsidR="00C80F29" w:rsidRPr="007A114B" w:rsidRDefault="00A350B1" w:rsidP="00EE1BD7">
      <w:pPr>
        <w:spacing w:after="120" w:line="480" w:lineRule="auto"/>
        <w:jc w:val="both"/>
        <w:rPr>
          <w:rFonts w:cstheme="minorHAnsi"/>
          <w:lang w:val="en-GB" w:eastAsia="en-GB"/>
        </w:rPr>
      </w:pPr>
      <w:r w:rsidRPr="007A114B">
        <w:rPr>
          <w:rFonts w:cstheme="minorHAnsi"/>
          <w:lang w:val="en-GB" w:eastAsia="en-GB"/>
        </w:rPr>
        <w:t>A</w:t>
      </w:r>
      <w:r w:rsidR="004E01BE" w:rsidRPr="007A114B">
        <w:rPr>
          <w:rFonts w:cstheme="minorHAnsi"/>
          <w:lang w:val="en-GB" w:eastAsia="en-GB"/>
        </w:rPr>
        <w:t>n analysis was performed using the data from studies reporting on the proportion of hips that were converted to a THA (</w:t>
      </w:r>
      <w:r w:rsidR="004E01BE" w:rsidRPr="007A114B">
        <w:rPr>
          <w:rFonts w:cstheme="minorHAnsi"/>
          <w:b/>
          <w:bCs/>
          <w:lang w:val="en-GB" w:eastAsia="en-GB"/>
        </w:rPr>
        <w:t>Fig. 2</w:t>
      </w:r>
      <w:r w:rsidR="004E01BE" w:rsidRPr="007A114B">
        <w:rPr>
          <w:rFonts w:cstheme="minorHAnsi"/>
          <w:lang w:val="en-GB" w:eastAsia="en-GB"/>
        </w:rPr>
        <w:t xml:space="preserve">). </w:t>
      </w:r>
      <w:r w:rsidR="005143A8" w:rsidRPr="007A114B">
        <w:rPr>
          <w:rFonts w:cstheme="minorHAnsi"/>
          <w:lang w:val="en-GB" w:eastAsia="en-GB"/>
        </w:rPr>
        <w:t xml:space="preserve">A random model for meta-analysis was used and the calculated I² was 89%, which represents a high level of heterogeneity. </w:t>
      </w:r>
    </w:p>
    <w:p w14:paraId="04457450" w14:textId="77777777" w:rsidR="001E1099" w:rsidRDefault="001E1099">
      <w:pPr>
        <w:rPr>
          <w:rFonts w:cstheme="minorHAnsi"/>
          <w:lang w:val="en-GB" w:eastAsia="en-GB"/>
        </w:rPr>
      </w:pPr>
      <w:r>
        <w:rPr>
          <w:rFonts w:cstheme="minorHAnsi"/>
          <w:lang w:val="en-GB" w:eastAsia="en-GB"/>
        </w:rPr>
        <w:br w:type="page"/>
      </w:r>
    </w:p>
    <w:p w14:paraId="69481EB0" w14:textId="6D58D738" w:rsidR="00996BEF" w:rsidRPr="007A114B" w:rsidRDefault="00067A1B" w:rsidP="001E1099">
      <w:pPr>
        <w:pStyle w:val="Heading1"/>
        <w:rPr>
          <w:lang w:eastAsia="en-GB"/>
        </w:rPr>
      </w:pPr>
      <w:r w:rsidRPr="007A114B">
        <w:rPr>
          <w:lang w:eastAsia="en-GB"/>
        </w:rPr>
        <w:lastRenderedPageBreak/>
        <w:t>DISCUSSION</w:t>
      </w:r>
    </w:p>
    <w:p w14:paraId="0C87823A" w14:textId="40D50893" w:rsidR="00F22D74" w:rsidRPr="007A114B" w:rsidRDefault="00652FA4" w:rsidP="00F22D74">
      <w:pPr>
        <w:spacing w:after="0" w:line="480" w:lineRule="auto"/>
        <w:jc w:val="both"/>
        <w:rPr>
          <w:rFonts w:cstheme="minorHAnsi"/>
          <w:bCs/>
          <w:lang w:val="en-GB" w:eastAsia="en-GB"/>
        </w:rPr>
      </w:pPr>
      <w:r>
        <w:rPr>
          <w:rFonts w:cstheme="minorHAnsi"/>
          <w:bCs/>
          <w:lang w:val="en-GB" w:eastAsia="en-GB"/>
        </w:rPr>
        <w:t xml:space="preserve">We found inconclusive and contradictory </w:t>
      </w:r>
      <w:r w:rsidRPr="007A114B">
        <w:rPr>
          <w:rFonts w:eastAsia="Calibri" w:cstheme="minorHAnsi"/>
          <w:lang w:val="en-GB"/>
        </w:rPr>
        <w:t xml:space="preserve">evidence regarding the efficacy of HA for hips with FAI and concomitant OA </w:t>
      </w:r>
      <w:proofErr w:type="spellStart"/>
      <w:r w:rsidRPr="007A114B">
        <w:rPr>
          <w:rFonts w:eastAsia="Calibri" w:cstheme="minorHAnsi"/>
          <w:lang w:val="en-GB"/>
        </w:rPr>
        <w:t>Tönnis</w:t>
      </w:r>
      <w:proofErr w:type="spellEnd"/>
      <w:r w:rsidRPr="007A114B">
        <w:rPr>
          <w:rFonts w:eastAsia="Calibri" w:cstheme="minorHAnsi"/>
          <w:lang w:val="en-GB"/>
        </w:rPr>
        <w:t xml:space="preserve"> 2 or greater</w:t>
      </w:r>
      <w:r w:rsidR="00CA6496" w:rsidRPr="007A114B">
        <w:rPr>
          <w:rFonts w:cstheme="minorHAnsi"/>
          <w:bCs/>
          <w:lang w:val="en-GB" w:eastAsia="en-GB"/>
        </w:rPr>
        <w:t>. This patient population</w:t>
      </w:r>
      <w:r w:rsidR="00F22D74" w:rsidRPr="007A114B">
        <w:rPr>
          <w:rFonts w:cstheme="minorHAnsi"/>
          <w:bCs/>
          <w:lang w:val="en-GB" w:eastAsia="en-GB"/>
        </w:rPr>
        <w:t xml:space="preserve"> ha</w:t>
      </w:r>
      <w:r w:rsidR="00CA6496" w:rsidRPr="007A114B">
        <w:rPr>
          <w:rFonts w:cstheme="minorHAnsi"/>
          <w:bCs/>
          <w:lang w:val="en-GB" w:eastAsia="en-GB"/>
        </w:rPr>
        <w:t>s</w:t>
      </w:r>
      <w:r w:rsidR="00F22D74" w:rsidRPr="007A114B">
        <w:rPr>
          <w:rFonts w:cstheme="minorHAnsi"/>
          <w:bCs/>
          <w:lang w:val="en-GB" w:eastAsia="en-GB"/>
        </w:rPr>
        <w:t xml:space="preserve"> shown to benefit from HA in some studies </w:t>
      </w:r>
      <w:r w:rsidR="00CA6496" w:rsidRPr="007A114B">
        <w:rPr>
          <w:rFonts w:cstheme="minorHAnsi"/>
          <w:bCs/>
          <w:lang w:val="en-GB" w:eastAsia="en-GB"/>
        </w:rPr>
        <w:t xml:space="preserve">where </w:t>
      </w:r>
      <w:r w:rsidR="00F22D74" w:rsidRPr="007A114B">
        <w:rPr>
          <w:rFonts w:cstheme="minorHAnsi"/>
          <w:bCs/>
          <w:lang w:val="en-GB" w:eastAsia="en-GB"/>
        </w:rPr>
        <w:t>the need for THA</w:t>
      </w:r>
      <w:r w:rsidR="00CA6496" w:rsidRPr="007A114B">
        <w:rPr>
          <w:rFonts w:cstheme="minorHAnsi"/>
          <w:bCs/>
          <w:lang w:val="en-GB" w:eastAsia="en-GB"/>
        </w:rPr>
        <w:t xml:space="preserve"> could be avoided</w:t>
      </w:r>
      <w:r w:rsidR="00F22D74" w:rsidRPr="007A114B">
        <w:rPr>
          <w:rFonts w:cstheme="minorHAnsi"/>
          <w:bCs/>
          <w:lang w:val="en-GB" w:eastAsia="en-GB"/>
        </w:rPr>
        <w:t xml:space="preserve"> in all cases,</w:t>
      </w:r>
      <w:r w:rsidR="00F22D74"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mendeley":{"formattedCitation":"&lt;sup&gt;15,24&lt;/sup&gt;","plainTextFormattedCitation":"15,24","previouslyFormattedCitation":"&lt;sup&gt;15,24&lt;/sup&gt;"},"properties":{"noteIndex":0},"schema":"https://github.com/citation-style-language/schema/raw/master/csl-citation.json"}</w:instrText>
      </w:r>
      <w:r w:rsidR="00F22D74" w:rsidRPr="007A114B">
        <w:rPr>
          <w:rFonts w:cstheme="minorHAnsi"/>
          <w:bCs/>
          <w:lang w:val="en-GB" w:eastAsia="en-GB"/>
        </w:rPr>
        <w:fldChar w:fldCharType="separate"/>
      </w:r>
      <w:r w:rsidR="006A1D58" w:rsidRPr="007A114B">
        <w:rPr>
          <w:rFonts w:cstheme="minorHAnsi"/>
          <w:bCs/>
          <w:noProof/>
          <w:vertAlign w:val="superscript"/>
          <w:lang w:val="en-GB" w:eastAsia="en-GB"/>
        </w:rPr>
        <w:t>15,24</w:t>
      </w:r>
      <w:r w:rsidR="00F22D74" w:rsidRPr="007A114B">
        <w:rPr>
          <w:rFonts w:cstheme="minorHAnsi"/>
          <w:bCs/>
          <w:lang w:val="en-GB" w:eastAsia="en-GB"/>
        </w:rPr>
        <w:fldChar w:fldCharType="end"/>
      </w:r>
      <w:r w:rsidR="00F22D74" w:rsidRPr="007A114B">
        <w:rPr>
          <w:rFonts w:cstheme="minorHAnsi"/>
          <w:bCs/>
          <w:lang w:val="en-GB" w:eastAsia="en-GB"/>
        </w:rPr>
        <w:t xml:space="preserve"> whilst at the same </w:t>
      </w:r>
      <w:r w:rsidR="00CA6496" w:rsidRPr="007A114B">
        <w:rPr>
          <w:rFonts w:cstheme="minorHAnsi"/>
          <w:bCs/>
          <w:lang w:val="en-GB" w:eastAsia="en-GB"/>
        </w:rPr>
        <w:t>time, high</w:t>
      </w:r>
      <w:r w:rsidR="00F22D74" w:rsidRPr="007A114B">
        <w:rPr>
          <w:rFonts w:cstheme="minorHAnsi"/>
          <w:bCs/>
          <w:lang w:val="en-GB" w:eastAsia="en-GB"/>
        </w:rPr>
        <w:t xml:space="preserve"> rates</w:t>
      </w:r>
      <w:r w:rsidR="00CA6496" w:rsidRPr="007A114B">
        <w:rPr>
          <w:rFonts w:cstheme="minorHAnsi"/>
          <w:bCs/>
          <w:lang w:val="en-GB" w:eastAsia="en-GB"/>
        </w:rPr>
        <w:t xml:space="preserve"> of conversion to THA</w:t>
      </w:r>
      <w:r w:rsidR="00F22D74" w:rsidRPr="007A114B">
        <w:rPr>
          <w:rFonts w:cstheme="minorHAnsi"/>
          <w:bCs/>
          <w:lang w:val="en-GB" w:eastAsia="en-GB"/>
        </w:rPr>
        <w:t xml:space="preserve"> (up to 50-70%) </w:t>
      </w:r>
      <w:r w:rsidR="00CA6496" w:rsidRPr="007A114B">
        <w:rPr>
          <w:rFonts w:cstheme="minorHAnsi"/>
          <w:bCs/>
          <w:lang w:val="en-GB" w:eastAsia="en-GB"/>
        </w:rPr>
        <w:t>were reported</w:t>
      </w:r>
      <w:r w:rsidR="00F22D74" w:rsidRPr="007A114B">
        <w:rPr>
          <w:rFonts w:cstheme="minorHAnsi"/>
          <w:bCs/>
          <w:lang w:val="en-GB" w:eastAsia="en-GB"/>
        </w:rPr>
        <w:t xml:space="preserve"> in other studies</w:t>
      </w:r>
      <w:r w:rsidR="00F22D74"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Impingement.","type":"article-journal","volume":"48"},"uris":["http://www.mendeley.com/documents/?uuid=ece86ad9-59e8-446d-85d8-385ebd5ebb64"]},{"id":"ITEM-2","itemData":{"DOI":"10.11138/mltj/2016.6.3.317","ISSN":"2240-4554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journal","id":"ITEM-2","issue":"3","issued":{"date-parts":[["2016"]]},"language":"eng","page":"317-323","title":"Joint preservation after hip arthroscopy in patients with FAI. Prospective analysis  with a minimum follow-up of seven years.","type":"article-journal","volume":"6"},"uris":["http://www.mendeley.com/documents/?uuid=875fc917-fd41-46f3-934b-aacb908b7824"]},{"id":"ITEM-3","itemData":{"DOI":"10.1097/JSM.0000000000000768","ISSN":"1536-3724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Medicine","id":"ITEM-3","issued":{"date-parts":[["2019","11"]]},"language":"eng","publisher-place":"United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mendeley":{"formattedCitation":"&lt;sup&gt;26,28,29&lt;/sup&gt;","plainTextFormattedCitation":"26,28,29","previouslyFormattedCitation":"&lt;sup&gt;26,28,29&lt;/sup&gt;"},"properties":{"noteIndex":0},"schema":"https://github.com/citation-style-language/schema/raw/master/csl-citation.json"}</w:instrText>
      </w:r>
      <w:r w:rsidR="00F22D74" w:rsidRPr="007A114B">
        <w:rPr>
          <w:rFonts w:cstheme="minorHAnsi"/>
          <w:bCs/>
          <w:lang w:val="en-GB" w:eastAsia="en-GB"/>
        </w:rPr>
        <w:fldChar w:fldCharType="separate"/>
      </w:r>
      <w:r w:rsidR="006A1D58" w:rsidRPr="007A114B">
        <w:rPr>
          <w:rFonts w:cstheme="minorHAnsi"/>
          <w:bCs/>
          <w:noProof/>
          <w:vertAlign w:val="superscript"/>
          <w:lang w:val="en-GB" w:eastAsia="en-GB"/>
        </w:rPr>
        <w:t>26,28,29</w:t>
      </w:r>
      <w:r w:rsidR="00F22D74" w:rsidRPr="007A114B">
        <w:rPr>
          <w:rFonts w:cstheme="minorHAnsi"/>
          <w:bCs/>
          <w:lang w:val="en-GB" w:eastAsia="en-GB"/>
        </w:rPr>
        <w:fldChar w:fldCharType="end"/>
      </w:r>
      <w:r w:rsidR="00F22D74" w:rsidRPr="007A114B">
        <w:rPr>
          <w:rFonts w:cstheme="minorHAnsi"/>
          <w:bCs/>
          <w:lang w:val="en-GB" w:eastAsia="en-GB"/>
        </w:rPr>
        <w:t xml:space="preserve">. Unfortunately, the current data does not permit a definitive answer regarding the efficacy of HA as an intervention for FAI and </w:t>
      </w:r>
      <w:proofErr w:type="spellStart"/>
      <w:r w:rsidR="00F22D74" w:rsidRPr="007A114B">
        <w:rPr>
          <w:rFonts w:cstheme="minorHAnsi"/>
          <w:bCs/>
          <w:lang w:val="en-GB" w:eastAsia="en-GB"/>
        </w:rPr>
        <w:t>Tönnis</w:t>
      </w:r>
      <w:proofErr w:type="spellEnd"/>
      <w:r w:rsidR="00F22D74" w:rsidRPr="007A114B">
        <w:rPr>
          <w:rFonts w:cstheme="minorHAnsi"/>
          <w:bCs/>
          <w:lang w:val="en-GB" w:eastAsia="en-GB"/>
        </w:rPr>
        <w:t xml:space="preserve"> 2 OA or greater. There is a lack of sufficient reporting, a high risk of bias and high heterogeneity across studies. Nevertheless, the current study suggests that the procedural success of arthroscopic management of FAI seems to be less dependent on the technical aspects of performing the procedure and more substantially dependent on patient selection</w:t>
      </w:r>
      <w:r w:rsidR="00DC7E71">
        <w:rPr>
          <w:rFonts w:cstheme="minorHAnsi"/>
          <w:bCs/>
          <w:lang w:val="en-GB" w:eastAsia="en-GB"/>
        </w:rPr>
        <w:t xml:space="preserve"> and pathology</w:t>
      </w:r>
      <w:r w:rsidR="00F22D74" w:rsidRPr="007A114B">
        <w:rPr>
          <w:rFonts w:cstheme="minorHAnsi"/>
          <w:bCs/>
          <w:lang w:val="en-GB" w:eastAsia="en-GB"/>
        </w:rPr>
        <w:t>.</w:t>
      </w:r>
      <w:r w:rsidR="00F22D74"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{"citationItems":[{"id":"ITEM-1","itemData":{"DOI":"10.1016/j.arthro.2016.06.044","ISSN":"1526-3231 (Electronic)","PMID":"27625005","abstract":"PURPOSE: To (1) report clinical outcomes, complication rates, and total hip  arthroplasty (THA) conversion rates for patients age 40 or older who underwent hip arthroscopy, and (2) report any age-related predictors of outcome identified in the literature. METHODS: MEDLINE, EMBASE, and PubMed were searched for relevant studies and pertinent data were abstracted from eligible studies. No meta-analysis was performed because of heterogeneity amongst studies. RESULTS: Seventeen studies were included in this review comprising 16,327 patients, including 9,954 patients age 40 or older. All studies reported statistically significant improvements in outcomes after hip arthroscopy for femoral osteochondroplasty, labral repair, or unspecified indications. In patients 40 or older who underwent labral debridement, these improvements were not clinically significant. Obesity and osteoarthritic changes predicted poorer outcomes. Only 1 of 3 studies directly comparing the 2 groups found that patients 40 or older had a significantly less improvement in a standardized hip outcome score than patients under 40 after hip arthroscopy, but all found that patients 40 or older had significantly higher rates of THA conversion. The rate of conversion to THA was 18.1% for patients 40 or older, 23.1% for patients over 50, and 25.2% for patients over 60 with a mean of 25.0 months to THA. CONCLUSIONS: Indications for hip arthroscopy including femoral osteochondroplasty and labral repair resulted in clinically significant improvements in patients 40 or older in most research studies examined in this review, whereas labral debridement did not produce clinically significant improvements postoperatively in the same studies. In these studies, the rate of conversion to THA is higher than in patients under 40 and increases with each decade of life, with many individual studies showing a significant increase in the rate of THA conversion. Hip arthroscopy may be suitable for some patients 40 or older, but patient selection is key and patients should be informed of the higher risk of conversion to THA. LEVEL OF EVIDENCE: Level IV, systematic review of Level III and IV studies.","author":[{"dropping-particle":"","family":"Horner","given":"Nolan S","non-dropping-particle":"","parse-names":false,"suffix":""},{"dropping-particle":"","family":"Ekhtiari","given":"Seper","non-dropping-particle":"","parse-names":false,"suffix":""},{"dropping-particle":"","family":"Simunovic","given":"Nicole","non-dropping-particle":"","parse-names":false,"suffix":""},{"dropping-particle":"","family":"Safran","given":"Marc R","non-dropping-particle":"","parse-names":false,"suffix":""},{"dropping-particle":"","family":"Philippon","given":"Marc J","non-dropping-particle":"","parse-names":false,"suffix":""},{"dropping-particle":"","family":"Ayeni","given":"Olufemi R","non-dropping-particle":"","parse-names":false,"suffix":""}],"container-title":"Arthroscopy : the journal of arthroscopic &amp; related surgery : official publication  of the Arthroscopy Association of North America and the International Arthroscopy Association","id":"ITEM-1","issue":"2","issued":{"date-parts":[["2017","2"]]},"language":"eng","page":"464-475.e3","publisher-place":"United States","title":"Hip Arthroscopy in Patients Age 40 or Older: A Systematic Review.","type":"article-journal","volume":"33"},"uris":["http://www.mendeley.com/documents/?uuid=bf208c54-1906-4635-8ba0-b473305edb10"]}],"mendeley":{"formattedCitation":"&lt;sup&gt;36&lt;/sup&gt;","plainTextFormattedCitation":"36","previouslyFormattedCitation":"&lt;sup&gt;36&lt;/sup&gt;"},"properties":{"noteIndex":0},"schema":"https://github.com/citation-style-language/schema/raw/master/csl-citation.json"}</w:instrText>
      </w:r>
      <w:r w:rsidR="00F22D74" w:rsidRPr="007A114B">
        <w:rPr>
          <w:rFonts w:cstheme="minorHAnsi"/>
          <w:bCs/>
          <w:lang w:val="en-GB" w:eastAsia="en-GB"/>
        </w:rPr>
        <w:fldChar w:fldCharType="separate"/>
      </w:r>
      <w:r w:rsidR="006A1D58" w:rsidRPr="007A114B">
        <w:rPr>
          <w:rFonts w:cstheme="minorHAnsi"/>
          <w:bCs/>
          <w:noProof/>
          <w:vertAlign w:val="superscript"/>
          <w:lang w:val="en-GB" w:eastAsia="en-GB"/>
        </w:rPr>
        <w:t>36</w:t>
      </w:r>
      <w:r w:rsidR="00F22D74" w:rsidRPr="007A114B">
        <w:rPr>
          <w:rFonts w:cstheme="minorHAnsi"/>
          <w:bCs/>
          <w:lang w:val="en-GB" w:eastAsia="en-GB"/>
        </w:rPr>
        <w:fldChar w:fldCharType="end"/>
      </w:r>
      <w:r w:rsidR="00F22D74" w:rsidRPr="007A114B">
        <w:rPr>
          <w:rFonts w:cstheme="minorHAnsi"/>
          <w:bCs/>
          <w:lang w:val="en-GB" w:eastAsia="en-GB"/>
        </w:rPr>
        <w:t xml:space="preserve">   </w:t>
      </w:r>
    </w:p>
    <w:p w14:paraId="30E9091F" w14:textId="194F2BCC" w:rsidR="00C4273B" w:rsidRPr="007A114B" w:rsidRDefault="00DC7E71" w:rsidP="0009284B">
      <w:pPr>
        <w:spacing w:after="0" w:line="480" w:lineRule="auto"/>
        <w:jc w:val="both"/>
        <w:rPr>
          <w:rFonts w:cstheme="minorHAnsi"/>
          <w:bCs/>
          <w:lang w:val="en-GB" w:eastAsia="en-GB"/>
        </w:rPr>
      </w:pPr>
      <w:r>
        <w:rPr>
          <w:rFonts w:cstheme="minorHAnsi"/>
          <w:bCs/>
          <w:lang w:val="en-GB" w:eastAsia="en-GB"/>
        </w:rPr>
        <w:t>It is well known</w:t>
      </w:r>
      <w:r w:rsidR="0009284B" w:rsidRPr="007A114B">
        <w:rPr>
          <w:rFonts w:cstheme="minorHAnsi"/>
          <w:bCs/>
          <w:lang w:val="en-GB" w:eastAsia="en-GB"/>
        </w:rPr>
        <w:t xml:space="preserve"> that </w:t>
      </w:r>
      <w:r w:rsidR="00D634EF" w:rsidRPr="007A114B">
        <w:rPr>
          <w:rFonts w:cstheme="minorHAnsi"/>
          <w:bCs/>
          <w:lang w:val="en-GB" w:eastAsia="en-GB"/>
        </w:rPr>
        <w:t xml:space="preserve">hip arthroscopy </w:t>
      </w:r>
      <w:r w:rsidR="0009284B" w:rsidRPr="007A114B">
        <w:rPr>
          <w:rFonts w:cstheme="minorHAnsi"/>
          <w:bCs/>
          <w:lang w:val="en-GB" w:eastAsia="en-GB"/>
        </w:rPr>
        <w:t xml:space="preserve">is beneficial to </w:t>
      </w:r>
      <w:r w:rsidR="00D634EF" w:rsidRPr="007A114B">
        <w:rPr>
          <w:rFonts w:cstheme="minorHAnsi"/>
          <w:bCs/>
          <w:lang w:val="en-GB" w:eastAsia="en-GB"/>
        </w:rPr>
        <w:t xml:space="preserve">patients with </w:t>
      </w:r>
      <w:r>
        <w:rPr>
          <w:rFonts w:cstheme="minorHAnsi"/>
          <w:bCs/>
          <w:lang w:val="en-GB" w:eastAsia="en-GB"/>
        </w:rPr>
        <w:t>FAI and early</w:t>
      </w:r>
      <w:r w:rsidRPr="007A114B">
        <w:rPr>
          <w:rFonts w:cstheme="minorHAnsi"/>
          <w:bCs/>
          <w:lang w:val="en-GB" w:eastAsia="en-GB"/>
        </w:rPr>
        <w:t xml:space="preserve"> </w:t>
      </w:r>
      <w:r w:rsidR="00D634EF" w:rsidRPr="007A114B">
        <w:rPr>
          <w:rFonts w:cstheme="minorHAnsi"/>
          <w:bCs/>
          <w:lang w:val="en-GB" w:eastAsia="en-GB"/>
        </w:rPr>
        <w:t>OA</w:t>
      </w:r>
      <w:r w:rsidR="00A85EBF" w:rsidRPr="007A114B">
        <w:rPr>
          <w:rFonts w:cstheme="minorHAnsi"/>
          <w:bCs/>
          <w:lang w:val="en-GB" w:eastAsia="en-GB"/>
        </w:rPr>
        <w:t xml:space="preserve">, as reported by two large scale </w:t>
      </w:r>
      <w:r w:rsidR="00B47636" w:rsidRPr="007A114B">
        <w:rPr>
          <w:rFonts w:cstheme="minorHAnsi"/>
          <w:bCs/>
          <w:lang w:val="en-GB" w:eastAsia="en-GB"/>
        </w:rPr>
        <w:t>multicentre</w:t>
      </w:r>
      <w:r w:rsidR="00A85EBF" w:rsidRPr="007A114B">
        <w:rPr>
          <w:rFonts w:cstheme="minorHAnsi"/>
          <w:bCs/>
          <w:lang w:val="en-GB" w:eastAsia="en-GB"/>
        </w:rPr>
        <w:t xml:space="preserve"> randomized controlled trials.</w:t>
      </w:r>
      <w:r w:rsidR="00A85EBF" w:rsidRPr="007A114B">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{"citationItems":[{"id":"ITEM-1","itemData":{"DOI":"10.1016/S0140-6736(18)31202-9","ISSN":"1474-547X (Electronic)","PMID":"29893223","abstract":"BACKGROUND: Femoroacetabular impingement syndrome is an important cause of hip pain  in young adults. It can be treated by arthroscopic hip surgery, including reshaping the hip, or with physiotherapist-led conservative care. We aimed to compare the clinical effectiveness of hip arthroscopy with best conservative care. METHODS: UK FASHIoN is a pragmatic, multicentre, assessor-blinded randomised controlled trial, done at 23 National Health Service hospitals in the UK. We enrolled patients with femoroacetabular impingement syndrome who presented at these hospitals. Eligible patients were at least 16 years old, had hip pain with radiographic features of cam or pincer morphology but no osteoarthritis, and were believed to be likely to benefit from hip arthroscopy. Patients with bilateral femoroacetabular impingement syndrome were eligible; only the most symptomatic hip was randomly assigned to treatment and followed-up. Participants were randomly allocated (1:1) to receive hip arthroscopy or personalised hip therapy (an individualised, supervised, and progressive physiotherapist-led programme of conservative care). Randomisation was stratified by impingement type and recruiting centre and was done by research staff at each hospital, using a central telephone randomisation service. Patients and treating clinicians were not masked to treatment allocation, but researchers who collected the outcome assessments and analysed the results were masked. The primary outcome was hip-related quality of life, as measured by the patient-reported International Hip Outcome Tool (iHOT-33) 12 months after randomisation, and analysed in all eligible participants who were allocated to treatment (the intention-to-treat population). This trial is registered as an International Standard Randomised Controlled Trial, number ISRCTN64081839, and is closed to recruitment. FINDINGS: Between July 20, 2012, and July 15, 2016, we identified 648 eligible patients and recruited 348 participants: 171 participants were allocated to receive hip arthroscopy and 177 to receive personalised hip therapy. Three further patients were excluded from the trial after randomisation because they did not meet the eligibility criteria. Follow-up at the primary outcome assessment was 92% (319 of 348 participants). At 12 months after randomisation, mean iHOT-33 scores had improved from 39·2 (SD 20·9) to 58·8 (27·2) for participants in the hip arthroscopy group, and from 35·6 (18·2) to 49·7 (25·5) in the persona…","author":[{"dropping-particle":"","family":"Griffin","given":"Damian R","non-dropping-particle":"","parse-names":false,"suffix":""},{"dropping-particle":"","family":"Dickenson","given":"Edward J","non-dropping-particle":"","parse-names":false,"suffix":""},{"dropping-particle":"","family":"Wall","given":"Peter D H","non-dropping-particle":"","parse-names":false,"suffix":""},{"dropping-particle":"","family":"Achana","given":"Felix","non-dropping-particle":"","parse-names":false,"suffix":""},{"dropping-particle":"","family":"Donovan","given":"Jenny L","non-dropping-particle":"","parse-names":false,"suffix":""},{"dropping-particle":"","family":"Griffin","given":"James","non-dropping-particle":"","parse-names":false,"suffix":""},{"dropping-particle":"","family":"Hobson","given":"Rachel","non-dropping-particle":"","parse-names":false,"suffix":""},{"dropping-particle":"","family":"Hutchinson","given":"Charles E","non-dropping-particle":"","parse-names":false,"suffix":""},{"dropping-particle":"","family":"Jepson","given":"Marcus","non-dropping-particle":"","parse-names":false,"suffix":""},{"dropping-particle":"","family":"Parsons","given":"Nick R","non-dropping-particle":"","parse-names":false,"suffix":""},{"dropping-particle":"","family":"Petrou","given":"Stavros","non-dropping-particle":"","parse-names":false,"suffix":""},{"dropping-particle":"","family":"Realpe","given":"Alba","non-dropping-particle":"","parse-names":false,"suffix":""},{"dropping-particle":"","family":"Smith","given":"Joanna","non-dropping-particle":"","parse-names":false,"suffix":""},{"dropping-particle":"","family":"Foster","given":"Nadine E","non-dropping-particle":"","parse-names":false,"suffix":""}],"container-title":"Lancet (London, England)","id":"ITEM-1","issue":"10136","issued":{"date-parts":[["2018","6"]]},"language":"eng","page":"2225-2235","title":"Hip arthroscopy versus best conservative care for the treatment of femoroacetabular  impingement syndrome (UK FASHIoN): a multicentre randomised controlled trial.","type":"article-journal","volume":"391"},"uris":["http://www.mendeley.com/documents/?uuid=c9d6aaa2-e0bc-4ca2-acee-ae13fd6497fb"]},{"id":"ITEM-2","itemData":{"DOI":"10.1136/bmj.l185","ISSN":"1756-1833 (Electronic)","PMID":"30733197","abstract":"OBJECTIVE: To compare arthroscopic hip surgery with physiotherapy and activity  modification for improving patient reported outcome measures in patients with symptomatic femoroacetabular impingement (FAI). DESIGN: Two group parallel, assessor blinded, pragmatic randomised controlled trial. SETTING: Secondary and tertiary care centres across seven NHS England sites. PARTICIPANTS: 222 participants aged 18 to 60 years with symptomatic FAI confirmed clinically and with imaging (radiography or magnetic resonance imaging) were randomised (1:1) to receive arthroscopic hip surgery (n=112) or a programme of physiotherapy and activity modification (n=110). Exclusion criteria included previous surgery, completion of a physiotherapy programme targeting FAI within the preceding 12 months, established osteoarthritis (Kellgren-Lawrence grade ≥2), and hip dysplasia (centre-edge angle &lt;20 degrees). INTERVENTIONS: Participants in the physiotherapy group received a goal based programme tailored to individual patient needs, with emphasis on improving core stability and movement control. A maximum of eight physiotherapy sessions were delivered over five months. Participants in the arthroscopic surgery group received surgery to excise the bone that impinged during hip movements, followed by routine postoperative care. MAIN OUTCOME MEASURES: The primary outcome measure was the hip outcome score activities of daily living subscale (HOS ADL) at eight months post-randomisation, with a minimum clinically important difference between groups of 9 points. Secondary outcome measures included additional patient reported outcome measures and clinical assessment. RESULTS: At eight months post-randomisation, data were available for 100 patients in the arthroscopic hip surgery group (89%) and 88 patients in the physiotherapy programme group (80%). Mean HOS ADL was 78.4 (95% confidence interval 74.4 to 82.3) for patients randomised to arthroscopic hip surgery and 69.2 (65.2 to 73.3) for patients randomised to the physiotherapy programme. After adjusting for baseline HOS ADL, age, sex, and study site, the mean HOS ADL was 10.0 points higher (6.4 to 13.6) in the arthroscopic hip surgery group compared with the physiotherapy programme group (P&lt;0.001)). No serious adverse events were reported in either group. CONCLUSIONS: Patients with symptomatic FAI referred to secondary or tertiary care achieve superior outcomes with arthroscopic hip surgery than with physiotherapy and activity modification…","author":[{"dropping-particle":"","family":"Palmer","given":"Antony J R","non-dropping-particle":"","parse-names":false,"suffix":""},{"dropping-particle":"","family":"Ayyar Gupta","given":"Vandana","non-dropping-particle":"","parse-names":false,"suffix":""},{"dropping-particle":"","family":"Fernquest","given":"Scott","non-dropping-particle":"","parse-names":false,"suffix":""},{"dropping-particle":"","family":"Rombach","given":"Ines","non-dropping-particle":"","parse-names":false,"suffix":""},{"dropping-particle":"","family":"Dutton","given":"Susan J","non-dropping-particle":"","parse-names":false,"suffix":""},{"dropping-particle":"","family":"Mansour","given":"Ramy","non-dropping-particle":"","parse-names":false,"suffix":""},{"dropping-particle":"","family":"Wood","given":"Simon","non-dropping-particle":"","parse-names":false,"suffix":""},{"dropping-particle":"","family":"Khanduja","given":"Vikas","non-dropping-particle":"","parse-names":false,"suffix":""},{"dropping-particle":"","family":"Pollard","given":"Tom C B","non-dropping-particle":"","parse-names":false,"suffix":""},{"dropping-particle":"","family":"McCaskie","given":"Andrew W","non-dropping-particle":"","parse-names":false,"suffix":""},{"dropping-particle":"","family":"Barker","given":"Karen L","non-dropping-particle":"","parse-names":false,"suffix":""},{"dropping-particle":"","family":"Andrade","given":"Tony J M D","non-dropping-particle":"","parse-names":false,"suffix":""},{"dropping-particle":"","family":"Carr","given":"Andrew J","non-dropping-particle":"","parse-names":false,"suffix":""},{"dropping-particle":"","family":"Beard","given":"David J","non-dropping-particle":"","parse-names":false,"suffix":""},{"dropping-particle":"","family":"Glyn-Jones","given":"Sion","non-dropping-particle":"","parse-names":false,"suffix":""}],"container-title":"BMJ (Clinical research ed.)","id":"ITEM-2","issued":{"date-parts":[["2019","2"]]},"language":"eng","page":"l185","title":"Arthroscopic hip surgery compared with physiotherapy and activity modification for  the treatment of symptomatic femoroacetabular impingement: multicentre randomised controlled trial.","type":"article-journal","volume":"364"},"uris":["http://www.mendeley.com/documents/?uuid=fb7ed3d5-5092-4b88-94a8-d66235299404"]}],"mendeley":{"formattedCitation":"&lt;sup&gt;13,14&lt;/sup&gt;","plainTextFormattedCitation":"13,14","previouslyFormattedCitation":"&lt;sup&gt;13,14&lt;/sup&gt;"},"properties":{"noteIndex":0},"schema":"https://github.com/citation-style-language/schema/raw/master/csl-citation.json"}</w:instrText>
      </w:r>
      <w:r w:rsidR="00A85EBF" w:rsidRPr="007A114B">
        <w:rPr>
          <w:rFonts w:cstheme="minorHAnsi"/>
          <w:bCs/>
          <w:lang w:val="en-GB" w:eastAsia="en-GB"/>
        </w:rPr>
        <w:fldChar w:fldCharType="separate"/>
      </w:r>
      <w:r w:rsidR="00FD0FF3" w:rsidRPr="007A114B">
        <w:rPr>
          <w:rFonts w:cstheme="minorHAnsi"/>
          <w:bCs/>
          <w:noProof/>
          <w:vertAlign w:val="superscript"/>
          <w:lang w:val="en-GB" w:eastAsia="en-GB"/>
        </w:rPr>
        <w:t>13,14</w:t>
      </w:r>
      <w:r w:rsidR="00A85EBF" w:rsidRPr="007A114B">
        <w:rPr>
          <w:rFonts w:cstheme="minorHAnsi"/>
          <w:bCs/>
          <w:lang w:val="en-GB" w:eastAsia="en-GB"/>
        </w:rPr>
        <w:fldChar w:fldCharType="end"/>
      </w:r>
      <w:r w:rsidR="00BE5986" w:rsidRPr="007A114B">
        <w:rPr>
          <w:rFonts w:cstheme="minorHAnsi"/>
          <w:bCs/>
          <w:lang w:val="en-GB" w:eastAsia="en-GB"/>
        </w:rPr>
        <w:t xml:space="preserve"> </w:t>
      </w:r>
      <w:r w:rsidR="0009284B" w:rsidRPr="007A114B">
        <w:rPr>
          <w:rFonts w:cstheme="minorHAnsi"/>
          <w:bCs/>
          <w:lang w:val="en-GB" w:eastAsia="en-GB"/>
        </w:rPr>
        <w:t xml:space="preserve">Previously, </w:t>
      </w:r>
      <w:r w:rsidR="00EF21A9" w:rsidRPr="007A114B">
        <w:rPr>
          <w:rFonts w:cstheme="minorHAnsi"/>
          <w:bCs/>
          <w:lang w:val="en-GB" w:eastAsia="en-GB"/>
        </w:rPr>
        <w:t xml:space="preserve">poor </w:t>
      </w:r>
      <w:r w:rsidR="0009284B" w:rsidRPr="007A114B">
        <w:rPr>
          <w:rFonts w:cstheme="minorHAnsi"/>
          <w:bCs/>
          <w:lang w:val="en-GB" w:eastAsia="en-GB"/>
        </w:rPr>
        <w:t xml:space="preserve"> predictors </w:t>
      </w:r>
      <w:r w:rsidR="00EF21A9" w:rsidRPr="007A114B">
        <w:rPr>
          <w:rFonts w:cstheme="minorHAnsi"/>
          <w:bCs/>
          <w:lang w:val="en-GB" w:eastAsia="en-GB"/>
        </w:rPr>
        <w:t xml:space="preserve">have been </w:t>
      </w:r>
      <w:r w:rsidR="0009284B" w:rsidRPr="007A114B">
        <w:rPr>
          <w:rFonts w:cstheme="minorHAnsi"/>
          <w:bCs/>
          <w:lang w:val="en-GB" w:eastAsia="en-GB"/>
        </w:rPr>
        <w:t>reported for HA</w:t>
      </w:r>
      <w:r w:rsidR="004C6431" w:rsidRPr="007A114B">
        <w:rPr>
          <w:rFonts w:cstheme="minorHAnsi"/>
          <w:bCs/>
          <w:lang w:val="en-GB" w:eastAsia="en-GB"/>
        </w:rPr>
        <w:t xml:space="preserve">: less than 2 mm of joint space and </w:t>
      </w:r>
      <w:proofErr w:type="spellStart"/>
      <w:r w:rsidR="004C6431" w:rsidRPr="007A114B">
        <w:rPr>
          <w:rFonts w:cstheme="minorHAnsi"/>
          <w:bCs/>
          <w:lang w:val="en-GB" w:eastAsia="en-GB"/>
        </w:rPr>
        <w:t>Tönnis</w:t>
      </w:r>
      <w:proofErr w:type="spellEnd"/>
      <w:r w:rsidR="004C6431" w:rsidRPr="007A114B">
        <w:rPr>
          <w:rFonts w:cstheme="minorHAnsi"/>
          <w:bCs/>
          <w:lang w:val="en-GB" w:eastAsia="en-GB"/>
        </w:rPr>
        <w:t xml:space="preserve"> grade 3 changes.</w:t>
      </w:r>
      <w:r w:rsidR="004C6431" w:rsidRPr="007A114B">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{"citationItems":[{"id":"ITEM-1","itemData":{"DOI":"10.1007/s11999-012-2779-4","ISSN":"1528-1132","abstract":"BACKGROUND: All patients considering joint-preserving hip arthroscopy should be educated on the risk of THA after arthroscopy. The degree of radiographic osteoarthritis predicts subsequent THA. To provide patients with the best information, the best radiographic measure that predicts THA after hip arthroscopy should be identified. QUESTIONS/PURPOSES: We therefore determined if Tönnis grade, Kellgren-Lawrence grade, or joint space narrowing was superior in predicting THA after hip arthroscopy. METHODS: We retrospectively reviewed 203 patients 50 years of age or older treated with hip arthroscopy between March 2007 and October 2010. Of these, 96 patients met the study inclusion criteria. Sixty-five did not undergo THAs during the followup time (non-THA group) and 31 patients did (THA group). We determined Tönnis grade, Kellgren-Lawrence grade, and/or joint space narrowing before arthroscopy. The median followup for the non-THA group was 54 months (95% confidence interval, 49.9-58.9 months). RESULTS: In 81% of the patients, joint space accurately predicted THA or non-THA, whereas Kellgren-Lawrence was accurate in 73% and Tönnis grade was accurate in 65%. On binary logistic regression, the only predictor (r(2) = 0.45) of THA was joint space of 2 mm or less. CONCLUSIONS: Measuring joint space by determining if any measurement is 2 mm or less predicts patients progressing to THA after hip arthroscopy approximately 80% of the time. At this early time point, joint space measurements were the most accurate predictor of THA and should be used in patient education to define the risk of early failure from hip arthroscopy.","author":[{"dropping-particle":"","family":"Philippon","given":"Marc J","non-dropping-particle":"","parse-names":false,"suffix":""},{"dropping-particle":"","family":"Briggs","given":"Karen K","non-dropping-particle":"","parse-names":false,"suffix":""},{"dropping-particle":"","family":"Carlisle","given":"John C","non-dropping-particle":"","parse-names":false,"suffix":""},{"dropping-particle":"","family":"Patterson","given":"Diana C","non-dropping-particle":"","parse-names":false,"suffix":""}],"container-title":"Clinical orthopaedics and related research","id":"ITEM-1","issue":"8","issued":{"date-parts":[["2013","8"]]},"language":"eng","page":"2492-2496","publisher":"Springer US","title":"Joint space predicts THA after hip arthroscopy in patients 50 years and older","type":"article-journal","volume":"471"},"uris":["http://www.mendeley.com/documents/?uuid=84a8c148-05d2-4e3f-af7d-dabf9d90845e"]}],"mendeley":{"formattedCitation":"&lt;sup&gt;16&lt;/sup&gt;","plainTextFormattedCitation":"16","previouslyFormattedCitation":"&lt;sup&gt;16&lt;/sup&gt;"},"properties":{"noteIndex":0},"schema":"https://github.com/citation-style-language/schema/raw/master/csl-citation.json"}</w:instrText>
      </w:r>
      <w:r w:rsidR="004C6431" w:rsidRPr="007A114B">
        <w:rPr>
          <w:rFonts w:cstheme="minorHAnsi"/>
          <w:bCs/>
          <w:lang w:val="en-GB" w:eastAsia="en-GB"/>
        </w:rPr>
        <w:fldChar w:fldCharType="separate"/>
      </w:r>
      <w:r w:rsidR="00FD0FF3" w:rsidRPr="007A114B">
        <w:rPr>
          <w:rFonts w:cstheme="minorHAnsi"/>
          <w:bCs/>
          <w:noProof/>
          <w:vertAlign w:val="superscript"/>
          <w:lang w:val="en-GB" w:eastAsia="en-GB"/>
        </w:rPr>
        <w:t>16</w:t>
      </w:r>
      <w:r w:rsidR="004C6431" w:rsidRPr="007A114B">
        <w:rPr>
          <w:rFonts w:cstheme="minorHAnsi"/>
          <w:bCs/>
          <w:lang w:val="en-GB" w:eastAsia="en-GB"/>
        </w:rPr>
        <w:fldChar w:fldCharType="end"/>
      </w:r>
      <w:r w:rsidR="00181601" w:rsidRPr="007A114B">
        <w:rPr>
          <w:rFonts w:cstheme="minorHAnsi"/>
          <w:bCs/>
          <w:vertAlign w:val="superscript"/>
          <w:lang w:val="en-GB" w:eastAsia="en-GB"/>
        </w:rPr>
        <w:t>,</w:t>
      </w:r>
    </w:p>
    <w:p w14:paraId="20A09EEB" w14:textId="0D566428" w:rsidR="0009284B" w:rsidRPr="007A114B" w:rsidRDefault="004C6431" w:rsidP="0009284B">
      <w:pPr>
        <w:spacing w:after="0" w:line="480" w:lineRule="auto"/>
        <w:jc w:val="both"/>
        <w:rPr>
          <w:rFonts w:cstheme="minorHAnsi"/>
          <w:bCs/>
          <w:lang w:val="en-GB" w:eastAsia="en-GB"/>
        </w:rPr>
      </w:pPr>
      <w:r w:rsidRPr="007A114B">
        <w:rPr>
          <w:rFonts w:cstheme="minorHAnsi"/>
          <w:bCs/>
          <w:lang w:val="en-GB" w:eastAsia="en-GB"/>
        </w:rPr>
        <w:t xml:space="preserve"> However, in </w:t>
      </w:r>
      <w:r w:rsidR="00EF21A9" w:rsidRPr="007A114B">
        <w:rPr>
          <w:rFonts w:cstheme="minorHAnsi"/>
          <w:bCs/>
          <w:lang w:val="en-GB" w:eastAsia="en-GB"/>
        </w:rPr>
        <w:t xml:space="preserve">this </w:t>
      </w:r>
      <w:r w:rsidRPr="007A114B">
        <w:rPr>
          <w:rFonts w:cstheme="minorHAnsi"/>
          <w:bCs/>
          <w:lang w:val="en-GB" w:eastAsia="en-GB"/>
        </w:rPr>
        <w:t>patient</w:t>
      </w:r>
      <w:r w:rsidR="00EF21A9" w:rsidRPr="007A114B">
        <w:rPr>
          <w:rFonts w:cstheme="minorHAnsi"/>
          <w:bCs/>
          <w:lang w:val="en-GB" w:eastAsia="en-GB"/>
        </w:rPr>
        <w:t xml:space="preserve"> cohort</w:t>
      </w:r>
      <w:r w:rsidRPr="007A114B">
        <w:rPr>
          <w:rFonts w:cstheme="minorHAnsi"/>
          <w:bCs/>
          <w:lang w:val="en-GB" w:eastAsia="en-GB"/>
        </w:rPr>
        <w:t xml:space="preserve"> with</w:t>
      </w:r>
      <w:r w:rsidR="00BE5986" w:rsidRPr="007A114B">
        <w:rPr>
          <w:rFonts w:cstheme="minorHAnsi"/>
          <w:bCs/>
          <w:lang w:val="en-GB" w:eastAsia="en-GB"/>
        </w:rPr>
        <w:t xml:space="preserve"> FAI and </w:t>
      </w:r>
      <w:proofErr w:type="spellStart"/>
      <w:r w:rsidR="00BE5986" w:rsidRPr="007A114B">
        <w:rPr>
          <w:rFonts w:cstheme="minorHAnsi"/>
          <w:bCs/>
          <w:lang w:val="en-GB" w:eastAsia="en-GB"/>
        </w:rPr>
        <w:t>Tönnis</w:t>
      </w:r>
      <w:proofErr w:type="spellEnd"/>
      <w:r w:rsidR="00BE5986" w:rsidRPr="007A114B">
        <w:rPr>
          <w:rFonts w:cstheme="minorHAnsi"/>
          <w:bCs/>
          <w:lang w:val="en-GB" w:eastAsia="en-GB"/>
        </w:rPr>
        <w:t xml:space="preserve"> Grade 2 or greater of OA, contradictory outcomes </w:t>
      </w:r>
      <w:r w:rsidR="00EF21A9" w:rsidRPr="007A114B">
        <w:rPr>
          <w:rFonts w:cstheme="minorHAnsi"/>
          <w:bCs/>
          <w:lang w:val="en-GB" w:eastAsia="en-GB"/>
        </w:rPr>
        <w:t>are still being</w:t>
      </w:r>
      <w:r w:rsidR="00BE5986" w:rsidRPr="007A114B">
        <w:rPr>
          <w:rFonts w:cstheme="minorHAnsi"/>
          <w:bCs/>
          <w:lang w:val="en-GB" w:eastAsia="en-GB"/>
        </w:rPr>
        <w:t xml:space="preserve"> reported.</w:t>
      </w:r>
      <w:r w:rsidR="00236643" w:rsidRPr="007A114B">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mendeley":{"formattedCitation":"&lt;sup&gt;15&lt;/sup&gt;","plainTextFormattedCitation":"15","previouslyFormattedCitation":"&lt;sup&gt;15&lt;/sup&gt;"},"properties":{"noteIndex":0},"schema":"https://github.com/citation-style-language/schema/raw/master/csl-citation.json"}</w:instrText>
      </w:r>
      <w:r w:rsidR="00236643" w:rsidRPr="007A114B">
        <w:rPr>
          <w:rFonts w:cstheme="minorHAnsi"/>
          <w:bCs/>
          <w:lang w:val="en-GB" w:eastAsia="en-GB"/>
        </w:rPr>
        <w:fldChar w:fldCharType="separate"/>
      </w:r>
      <w:r w:rsidR="00FD0FF3" w:rsidRPr="007A114B">
        <w:rPr>
          <w:rFonts w:cstheme="minorHAnsi"/>
          <w:bCs/>
          <w:noProof/>
          <w:vertAlign w:val="superscript"/>
          <w:lang w:val="en-GB" w:eastAsia="en-GB"/>
        </w:rPr>
        <w:t>15</w:t>
      </w:r>
      <w:r w:rsidR="00236643" w:rsidRPr="007A114B">
        <w:rPr>
          <w:rFonts w:cstheme="minorHAnsi"/>
          <w:bCs/>
          <w:lang w:val="en-GB" w:eastAsia="en-GB"/>
        </w:rPr>
        <w:fldChar w:fldCharType="end"/>
      </w:r>
      <w:r w:rsidR="00181601" w:rsidRPr="007A114B">
        <w:rPr>
          <w:rFonts w:cstheme="minorHAnsi"/>
          <w:bCs/>
          <w:vertAlign w:val="superscript"/>
          <w:lang w:val="en-GB" w:eastAsia="en-GB"/>
        </w:rPr>
        <w:t>,</w:t>
      </w:r>
      <w:r w:rsidR="00EF7166"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{"citationItems":[{"id":"ITEM-1","itemData":{"DOI":"10.1016/j.arthro.2014.11.008","ISSN":"1526-3231 (Electronic)","PMID":"25543247","abstract":"PURPOSE: The purpose of this study was to determine the extent of preoperative  osteoarthritis (OA) that precludes benefit from hip arthroscopy by systematically reviewing the literature on hip arthroscopy in the setting of OA. METHODS: We searched the Medline and PubMed databases using the following Medical Subject Heading terms: arthritis, osteoarthritis, chondral damage, chondral injury, chondral delamination, and hip arthroscopy. Two authors independently reviewed the literature and included articles if they were in the English language; commented on preoperative factors, parameters, physical examination, or diagnostic testing that may be evidence of cartilage damage and/or arthritis; contained outcome data on patients undergoing hip arthroscopy; and had a sample size of at least 10 patients with arthritic changes in the hip. We excluded review articles, technique articles, articles with overlapping patient populations, articles with hip arthroscopy used as an adjunct to an open procedure, articles with inflammatory and septic arthritis, and articles with a mean age younger than 18 years. RESULTS: Our search identified 518 articles, of which 15 met the inclusion and exclusion criteria. Two thousand fifty-one hips underwent arthroscopy at a mean patient age of 40.2 years. Of these, 1,195 hips had signs of OA. There were 345 conversions to total hip arthroplasty/surface replacement arthroplasty. Of these patients, 274 had OA. Eight patient-reported outcome instruments were used. Factors influencing outcomes were preoperative OA, age, chondral damage, femoroacetabular impingement, and duration of symptoms. CONCLUSIONS: Current evidence is insufficient to define a cutoff for how much arthritis is too much for hip arthroscopy. However, this analysis shows that patients with a Tönnis grade of 1 or greater or a joint space of 2 mm or less are less likely to benefit from hip arthroscopy and more likely to require conversion to total hip arthroplasty/surface replacement arthroplasty. Postoperative scores on patient-reported outcome instruments are lower in the arthritic population at follow-up compared with their nonarthritic counterparts. LEVEL OF EVIDENCE: Level IV, systematic review of Level III and IV studies.","author":[{"dropping-particle":"","family":"Domb","given":"Benjamin G","non-dropping-particle":"","parse-names":false,"suffix":""},{"dropping-particle":"","family":"Gui","given":"Chengcheng","non-dropping-particle":"","parse-names":false,"suffix":""},{"dropping-particle":"","family":"Lodhia","given":"Parth","non-dropping-particle":"","parse-names":false,"suffix":""}],"container-title":"Arthroscopy : the journal of arthroscopic &amp; related surgery : official publication  of the Arthroscopy Association of North America and the International Arthroscopy Association","id":"ITEM-1","issue":"3","issued":{"date-parts":[["2015","3"]]},"language":"eng","page":"520-529","publisher-place":"United States","title":"How much arthritis is too much for hip arthroscopy: a systematic review.","type":"article-journal","volume":"31"},"uris":["http://www.mendeley.com/documents/?uuid=387ee617-c18c-4359-86db-29012bb45117"]}],"mendeley":{"formattedCitation":"&lt;sup&gt;37&lt;/sup&gt;","plainTextFormattedCitation":"37","previouslyFormattedCitation":"&lt;sup&gt;37&lt;/sup&gt;"},"properties":{"noteIndex":0},"schema":"https://github.com/citation-style-language/schema/raw/master/csl-citation.json"}</w:instrText>
      </w:r>
      <w:r w:rsidR="00EF7166" w:rsidRPr="007A114B">
        <w:rPr>
          <w:rFonts w:cstheme="minorHAnsi"/>
          <w:bCs/>
          <w:lang w:val="en-GB" w:eastAsia="en-GB"/>
        </w:rPr>
        <w:fldChar w:fldCharType="separate"/>
      </w:r>
      <w:r w:rsidR="006A1D58" w:rsidRPr="007A114B">
        <w:rPr>
          <w:rFonts w:cstheme="minorHAnsi"/>
          <w:bCs/>
          <w:noProof/>
          <w:vertAlign w:val="superscript"/>
          <w:lang w:val="en-GB" w:eastAsia="en-GB"/>
        </w:rPr>
        <w:t>37</w:t>
      </w:r>
      <w:r w:rsidR="00EF7166" w:rsidRPr="007A114B">
        <w:rPr>
          <w:rFonts w:cstheme="minorHAnsi"/>
          <w:bCs/>
          <w:lang w:val="en-GB" w:eastAsia="en-GB"/>
        </w:rPr>
        <w:fldChar w:fldCharType="end"/>
      </w:r>
      <w:r w:rsidR="00BE5986" w:rsidRPr="007A114B">
        <w:rPr>
          <w:rFonts w:cstheme="minorHAnsi"/>
          <w:bCs/>
          <w:lang w:val="en-GB" w:eastAsia="en-GB"/>
        </w:rPr>
        <w:t xml:space="preserve"> </w:t>
      </w:r>
      <w:r w:rsidR="00D634EF" w:rsidRPr="007A114B">
        <w:rPr>
          <w:rFonts w:cstheme="minorHAnsi"/>
          <w:bCs/>
          <w:lang w:val="en-GB" w:eastAsia="en-GB"/>
        </w:rPr>
        <w:t xml:space="preserve"> </w:t>
      </w:r>
      <w:proofErr w:type="spellStart"/>
      <w:r w:rsidR="00CC69D3" w:rsidRPr="007A114B">
        <w:rPr>
          <w:rFonts w:cstheme="minorHAnsi"/>
          <w:bCs/>
          <w:lang w:val="en-GB" w:eastAsia="en-GB"/>
        </w:rPr>
        <w:t>Domb</w:t>
      </w:r>
      <w:proofErr w:type="spellEnd"/>
      <w:r w:rsidR="00CC69D3" w:rsidRPr="007A114B">
        <w:rPr>
          <w:rFonts w:cstheme="minorHAnsi"/>
          <w:bCs/>
          <w:lang w:val="en-GB" w:eastAsia="en-GB"/>
        </w:rPr>
        <w:t xml:space="preserve"> and colleagues</w:t>
      </w:r>
      <w:r w:rsidR="00CC69D3"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{"citationItems":[{"id":"ITEM-1","itemData":{"DOI":"10.1016/j.arthro.2014.11.008","ISSN":"1526-3231 (Electronic)","PMID":"25543247","abstract":"PURPOSE: The purpose of this study was to determine the extent of preoperative  osteoarthritis (OA) that precludes benefit from hip arthroscopy by systematically reviewing the literature on hip arthroscopy in the setting of OA. METHODS: We searched the Medline and PubMed databases using the following Medical Subject Heading terms: arthritis, osteoarthritis, chondral damage, chondral injury, chondral delamination, and hip arthroscopy. Two authors independently reviewed the literature and included articles if they were in the English language; commented on preoperative factors, parameters, physical examination, or diagnostic testing that may be evidence of cartilage damage and/or arthritis; contained outcome data on patients undergoing hip arthroscopy; and had a sample size of at least 10 patients with arthritic changes in the hip. We excluded review articles, technique articles, articles with overlapping patient populations, articles with hip arthroscopy used as an adjunct to an open procedure, articles with inflammatory and septic arthritis, and articles with a mean age younger than 18 years. RESULTS: Our search identified 518 articles, of which 15 met the inclusion and exclusion criteria. Two thousand fifty-one hips underwent arthroscopy at a mean patient age of 40.2 years. Of these, 1,195 hips had signs of OA. There were 345 conversions to total hip arthroplasty/surface replacement arthroplasty. Of these patients, 274 had OA. Eight patient-reported outcome instruments were used. Factors influencing outcomes were preoperative OA, age, chondral damage, femoroacetabular impingement, and duration of symptoms. CONCLUSIONS: Current evidence is insufficient to define a cutoff for how much arthritis is too much for hip arthroscopy. However, this analysis shows that patients with a Tönnis grade of 1 or greater or a joint space of 2 mm or less are less likely to benefit from hip arthroscopy and more likely to require conversion to total hip arthroplasty/surface replacement arthroplasty. Postoperative scores on patient-reported outcome instruments are lower in the arthritic population at follow-up compared with their nonarthritic counterparts. LEVEL OF EVIDENCE: Level IV, systematic review of Level III and IV studies.","author":[{"dropping-particle":"","family":"Domb","given":"Benjamin G","non-dropping-particle":"","parse-names":false,"suffix":""},{"dropping-particle":"","family":"Gui","given":"Chengcheng","non-dropping-particle":"","parse-names":false,"suffix":""},{"dropping-particle":"","family":"Lodhia","given":"Parth","non-dropping-particle":"","parse-names":false,"suffix":""}],"container-title":"Arthroscopy : the journal of arthroscopic &amp; related surgery : official publication  of the Arthroscopy Association of North America and the International Arthroscopy Association","id":"ITEM-1","issue":"3","issued":{"date-parts":[["2015","3"]]},"language":"eng","page":"520-529","publisher-place":"United States","title":"How much arthritis is too much for hip arthroscopy: a systematic review.","type":"article-journal","volume":"31"},"uris":["http://www.mendeley.com/documents/?uuid=387ee617-c18c-4359-86db-29012bb45117"]}],"mendeley":{"formattedCitation":"&lt;sup&gt;37&lt;/sup&gt;","plainTextFormattedCitation":"37","previouslyFormattedCitation":"&lt;sup&gt;37&lt;/sup&gt;"},"properties":{"noteIndex":0},"schema":"https://github.com/citation-style-language/schema/raw/master/csl-citation.json"}</w:instrText>
      </w:r>
      <w:r w:rsidR="00CC69D3" w:rsidRPr="007A114B">
        <w:rPr>
          <w:rFonts w:cstheme="minorHAnsi"/>
          <w:bCs/>
          <w:lang w:val="en-GB" w:eastAsia="en-GB"/>
        </w:rPr>
        <w:fldChar w:fldCharType="separate"/>
      </w:r>
      <w:r w:rsidR="006A1D58" w:rsidRPr="007A114B">
        <w:rPr>
          <w:rFonts w:cstheme="minorHAnsi"/>
          <w:bCs/>
          <w:noProof/>
          <w:vertAlign w:val="superscript"/>
          <w:lang w:val="en-GB" w:eastAsia="en-GB"/>
        </w:rPr>
        <w:t>37</w:t>
      </w:r>
      <w:r w:rsidR="00CC69D3" w:rsidRPr="007A114B">
        <w:rPr>
          <w:rFonts w:cstheme="minorHAnsi"/>
          <w:bCs/>
          <w:lang w:val="en-GB" w:eastAsia="en-GB"/>
        </w:rPr>
        <w:fldChar w:fldCharType="end"/>
      </w:r>
      <w:r w:rsidR="00CC69D3" w:rsidRPr="007A114B">
        <w:rPr>
          <w:rFonts w:cstheme="minorHAnsi"/>
          <w:bCs/>
          <w:lang w:val="en-GB" w:eastAsia="en-GB"/>
        </w:rPr>
        <w:t xml:space="preserve"> have reported a 23% conversion rate to TH</w:t>
      </w:r>
      <w:r w:rsidR="00C244CC">
        <w:rPr>
          <w:rFonts w:cstheme="minorHAnsi"/>
          <w:bCs/>
          <w:lang w:val="en-GB" w:eastAsia="en-GB"/>
        </w:rPr>
        <w:t>A</w:t>
      </w:r>
      <w:r w:rsidR="00CC69D3" w:rsidRPr="007A114B">
        <w:rPr>
          <w:rFonts w:cstheme="minorHAnsi"/>
          <w:bCs/>
          <w:lang w:val="en-GB" w:eastAsia="en-GB"/>
        </w:rPr>
        <w:t xml:space="preserve"> </w:t>
      </w:r>
      <w:r w:rsidR="004A3BF8" w:rsidRPr="007A114B">
        <w:rPr>
          <w:rFonts w:cstheme="minorHAnsi"/>
          <w:bCs/>
          <w:lang w:val="en-GB" w:eastAsia="en-GB"/>
        </w:rPr>
        <w:t xml:space="preserve">in a systematic review </w:t>
      </w:r>
      <w:r w:rsidR="00CC69D3" w:rsidRPr="007A114B">
        <w:rPr>
          <w:rFonts w:cstheme="minorHAnsi"/>
          <w:bCs/>
          <w:lang w:val="en-GB" w:eastAsia="en-GB"/>
        </w:rPr>
        <w:t>among</w:t>
      </w:r>
      <w:r w:rsidR="00C244CC">
        <w:rPr>
          <w:rFonts w:cstheme="minorHAnsi"/>
          <w:bCs/>
          <w:lang w:val="en-GB" w:eastAsia="en-GB"/>
        </w:rPr>
        <w:t>st</w:t>
      </w:r>
      <w:r w:rsidR="00CC69D3" w:rsidRPr="007A114B">
        <w:rPr>
          <w:rFonts w:cstheme="minorHAnsi"/>
          <w:bCs/>
          <w:lang w:val="en-GB" w:eastAsia="en-GB"/>
        </w:rPr>
        <w:t xml:space="preserve"> patients with hip OA compared with 8.3% among</w:t>
      </w:r>
      <w:r w:rsidR="00C244CC">
        <w:rPr>
          <w:rFonts w:cstheme="minorHAnsi"/>
          <w:bCs/>
          <w:lang w:val="en-GB" w:eastAsia="en-GB"/>
        </w:rPr>
        <w:t>st</w:t>
      </w:r>
      <w:r w:rsidR="00CC69D3" w:rsidRPr="007A114B">
        <w:rPr>
          <w:rFonts w:cstheme="minorHAnsi"/>
          <w:bCs/>
          <w:lang w:val="en-GB" w:eastAsia="en-GB"/>
        </w:rPr>
        <w:t xml:space="preserve"> patients without OA.  Supporting these findings, same authors reported a 41% conversion rate to TH</w:t>
      </w:r>
      <w:r w:rsidR="00C244CC">
        <w:rPr>
          <w:rFonts w:cstheme="minorHAnsi"/>
          <w:bCs/>
          <w:lang w:val="en-GB" w:eastAsia="en-GB"/>
        </w:rPr>
        <w:t>A</w:t>
      </w:r>
      <w:r w:rsidR="00CC69D3" w:rsidRPr="007A114B">
        <w:rPr>
          <w:rFonts w:cstheme="minorHAnsi"/>
          <w:bCs/>
          <w:lang w:val="en-GB" w:eastAsia="en-GB"/>
        </w:rPr>
        <w:t xml:space="preserve"> in their patient cohort with grade 2 </w:t>
      </w:r>
      <w:proofErr w:type="spellStart"/>
      <w:r w:rsidR="00CC69D3" w:rsidRPr="007A114B">
        <w:rPr>
          <w:rFonts w:cstheme="minorHAnsi"/>
          <w:bCs/>
          <w:lang w:val="en-GB" w:eastAsia="en-GB"/>
        </w:rPr>
        <w:t>Tönnis</w:t>
      </w:r>
      <w:proofErr w:type="spellEnd"/>
      <w:r w:rsidR="00CC69D3" w:rsidRPr="007A114B">
        <w:rPr>
          <w:rFonts w:cstheme="minorHAnsi"/>
          <w:bCs/>
          <w:lang w:val="en-GB" w:eastAsia="en-GB"/>
        </w:rPr>
        <w:t xml:space="preserve"> changes compared with a 11% conversion rate to TH</w:t>
      </w:r>
      <w:r w:rsidR="00C244CC">
        <w:rPr>
          <w:rFonts w:cstheme="minorHAnsi"/>
          <w:bCs/>
          <w:lang w:val="en-GB" w:eastAsia="en-GB"/>
        </w:rPr>
        <w:t>A</w:t>
      </w:r>
      <w:r w:rsidR="00CC69D3" w:rsidRPr="007A114B">
        <w:rPr>
          <w:rFonts w:cstheme="minorHAnsi"/>
          <w:bCs/>
          <w:lang w:val="en-GB" w:eastAsia="en-GB"/>
        </w:rPr>
        <w:t xml:space="preserve"> at 2 years among patients with grade 0 and 1 </w:t>
      </w:r>
      <w:proofErr w:type="spellStart"/>
      <w:r w:rsidR="00CC69D3" w:rsidRPr="007A114B">
        <w:rPr>
          <w:rFonts w:cstheme="minorHAnsi"/>
          <w:bCs/>
          <w:lang w:val="en-GB" w:eastAsia="en-GB"/>
        </w:rPr>
        <w:t>Tönnis</w:t>
      </w:r>
      <w:proofErr w:type="spellEnd"/>
      <w:r w:rsidR="00CC69D3" w:rsidRPr="007A114B">
        <w:rPr>
          <w:rFonts w:cstheme="minorHAnsi"/>
          <w:bCs/>
          <w:lang w:val="en-GB" w:eastAsia="en-GB"/>
        </w:rPr>
        <w:t xml:space="preserve"> OA.</w:t>
      </w:r>
      <w:r w:rsidR="00CC69D3"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106846fc-f3d9-4756-ad7c-8a2fe617aeb5"]}],"mendeley":{"formattedCitation":"&lt;sup&gt;25&lt;/sup&gt;","plainTextFormattedCitation":"25","previouslyFormattedCitation":"&lt;sup&gt;25&lt;/sup&gt;"},"properties":{"noteIndex":0},"schema":"https://github.com/citation-style-language/schema/raw/master/csl-citation.json"}</w:instrText>
      </w:r>
      <w:r w:rsidR="00CC69D3" w:rsidRPr="007A114B">
        <w:rPr>
          <w:rFonts w:cstheme="minorHAnsi"/>
          <w:bCs/>
          <w:lang w:val="en-GB" w:eastAsia="en-GB"/>
        </w:rPr>
        <w:fldChar w:fldCharType="separate"/>
      </w:r>
      <w:r w:rsidR="006A1D58" w:rsidRPr="007A114B">
        <w:rPr>
          <w:rFonts w:cstheme="minorHAnsi"/>
          <w:bCs/>
          <w:noProof/>
          <w:vertAlign w:val="superscript"/>
          <w:lang w:val="en-GB" w:eastAsia="en-GB"/>
        </w:rPr>
        <w:t>25</w:t>
      </w:r>
      <w:r w:rsidR="00CC69D3" w:rsidRPr="007A114B">
        <w:rPr>
          <w:rFonts w:cstheme="minorHAnsi"/>
          <w:bCs/>
          <w:lang w:val="en-GB" w:eastAsia="en-GB"/>
        </w:rPr>
        <w:fldChar w:fldCharType="end"/>
      </w:r>
      <w:r w:rsidR="00CC69D3" w:rsidRPr="007A114B">
        <w:rPr>
          <w:rFonts w:cstheme="minorHAnsi"/>
          <w:bCs/>
          <w:lang w:val="en-GB" w:eastAsia="en-GB"/>
        </w:rPr>
        <w:t xml:space="preserve"> Opposed to these results,  Byrd et al. </w:t>
      </w:r>
      <w:r w:rsidR="00733B63" w:rsidRPr="007A114B">
        <w:rPr>
          <w:rFonts w:cstheme="minorHAnsi"/>
          <w:bCs/>
          <w:lang w:val="en-GB" w:eastAsia="en-GB"/>
        </w:rPr>
        <w:t>stated no differences in terms of conversion to TH</w:t>
      </w:r>
      <w:r w:rsidR="00C244CC">
        <w:rPr>
          <w:rFonts w:cstheme="minorHAnsi"/>
          <w:bCs/>
          <w:lang w:val="en-GB" w:eastAsia="en-GB"/>
        </w:rPr>
        <w:t>A</w:t>
      </w:r>
      <w:r w:rsidR="00733B63" w:rsidRPr="007A114B">
        <w:rPr>
          <w:rFonts w:cstheme="minorHAnsi"/>
          <w:bCs/>
          <w:lang w:val="en-GB" w:eastAsia="en-GB"/>
        </w:rPr>
        <w:t xml:space="preserve"> between patients with FAI and </w:t>
      </w:r>
      <w:proofErr w:type="spellStart"/>
      <w:r w:rsidR="00733B63" w:rsidRPr="007A114B">
        <w:rPr>
          <w:rFonts w:cstheme="minorHAnsi"/>
          <w:bCs/>
          <w:lang w:val="en-GB" w:eastAsia="en-GB"/>
        </w:rPr>
        <w:t>Tönnis</w:t>
      </w:r>
      <w:proofErr w:type="spellEnd"/>
      <w:r w:rsidR="00733B63" w:rsidRPr="007A114B">
        <w:rPr>
          <w:rFonts w:cstheme="minorHAnsi"/>
          <w:bCs/>
          <w:lang w:val="en-GB" w:eastAsia="en-GB"/>
        </w:rPr>
        <w:t xml:space="preserve"> grade 0 and 1 of OA versus grade 2 changes.</w:t>
      </w:r>
      <w:r w:rsidR="00733B63"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{"citationItems":[{"id":"ITEM-1","itemData":{"DOI":"10.1016/j.arthro.2011.05.018","ISSN":"1526-3231 (Electronic)","PMID":"21862276","abstract":"PURPOSE: We report the results of arthroscopic management of femoroacetabular  impingement with 2-year follow-up. METHODS: All patients undergoing hip arthroscopy were prospectively assessed with the modified Harris Hip Score. Arthroscopic correction of femoroacetabular impingement was first performed in 2003. The cohort of this study consists of the first 100 consecutive cases that had achieved 2-year follow-up. RESULTS: There was 100% follow-up at 2 years. The mean age was 34 years (range, 13 to 76 years), with 67 male and 33 female patients. There were 63 cam, 18 pincer, and 19 combined lesions. Acetabular articular damage was found in 97 cases, femoral damage was present in 23, and there were 92 labral tears. The median improvement was 21.5 points, with 79 good and excellent results. No patient required revision to total hip arthroplasty, but 6 patients underwent a subsequent arthroscopic procedure. There were 3 complications including a transient neurapraxia of the pudendal nerve and a transient neurapraxia of the lateral femoral cutaneous nerve, which resolved uneventfully, and 1 mild case of heterotopic ossification. CONCLUSIONS: We report favorable outcomes for the arthroscopic management of femoroacetabular impingement in our early experience in the first 100 consecutive cases. The high incidence of significant articular damage observed at the time of arthroscopic intervention is concerning.","author":[{"dropping-particle":"","family":"Byrd","given":"J W Thomas","non-dropping-particle":"","parse-names":false,"suffix":""},{"dropping-particle":"","family":"Jones","given":"Kay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Association","id":"ITEM-1","issue":"10","issued":{"date-parts":[["2011","10"]]},"language":"eng","page":"1379-1388","publisher-place":"United States","title":"Arthroscopic management of femoroacetabular impingement: minimum 2-year follow-up.","type":"article-journal","volume":"27"},"uris":["http://www.mendeley.com/documents/?uuid=8574cd3f-70e5-4108-92e6-5167d3ed66da"]}],"mendeley":{"formattedCitation":"&lt;sup&gt;33&lt;/sup&gt;","plainTextFormattedCitation":"33","previouslyFormattedCitation":"&lt;sup&gt;33&lt;/sup&gt;"},"properties":{"noteIndex":0},"schema":"https://github.com/citation-style-language/schema/raw/master/csl-citation.json"}</w:instrText>
      </w:r>
      <w:r w:rsidR="00733B63" w:rsidRPr="007A114B">
        <w:rPr>
          <w:rFonts w:cstheme="minorHAnsi"/>
          <w:bCs/>
          <w:lang w:val="en-GB" w:eastAsia="en-GB"/>
        </w:rPr>
        <w:fldChar w:fldCharType="separate"/>
      </w:r>
      <w:r w:rsidR="006A1D58" w:rsidRPr="007A114B">
        <w:rPr>
          <w:rFonts w:cstheme="minorHAnsi"/>
          <w:bCs/>
          <w:noProof/>
          <w:vertAlign w:val="superscript"/>
          <w:lang w:val="en-GB" w:eastAsia="en-GB"/>
        </w:rPr>
        <w:t>33</w:t>
      </w:r>
      <w:r w:rsidR="00733B63" w:rsidRPr="007A114B">
        <w:rPr>
          <w:rFonts w:cstheme="minorHAnsi"/>
          <w:bCs/>
          <w:lang w:val="en-GB" w:eastAsia="en-GB"/>
        </w:rPr>
        <w:fldChar w:fldCharType="end"/>
      </w:r>
      <w:r w:rsidR="00733B63" w:rsidRPr="007A114B">
        <w:rPr>
          <w:rFonts w:cstheme="minorHAnsi"/>
          <w:bCs/>
          <w:lang w:val="en-GB" w:eastAsia="en-GB"/>
        </w:rPr>
        <w:t xml:space="preserve"> A latter study from the same group, reported successful clinical outcomes even in the presence of </w:t>
      </w:r>
      <w:proofErr w:type="spellStart"/>
      <w:r w:rsidR="00733B63" w:rsidRPr="007A114B">
        <w:rPr>
          <w:rFonts w:cstheme="minorHAnsi"/>
          <w:bCs/>
          <w:lang w:val="en-GB" w:eastAsia="en-GB"/>
        </w:rPr>
        <w:t>Tönnis</w:t>
      </w:r>
      <w:proofErr w:type="spellEnd"/>
      <w:r w:rsidR="00733B63" w:rsidRPr="007A114B">
        <w:rPr>
          <w:rFonts w:cstheme="minorHAnsi"/>
          <w:bCs/>
          <w:lang w:val="en-GB" w:eastAsia="en-GB"/>
        </w:rPr>
        <w:t xml:space="preserve"> grade 2 radiographic features.</w:t>
      </w:r>
      <w:r w:rsidR="00733B63" w:rsidRPr="007A114B">
        <w:rPr>
          <w:rFonts w:cstheme="minorHAnsi"/>
          <w:bCs/>
          <w:lang w:val="en-GB" w:eastAsia="en-GB"/>
        </w:rPr>
        <w:fldChar w:fldCharType="begin" w:fldLock="1"/>
      </w:r>
      <w:r w:rsidR="005A2934" w:rsidRPr="007A114B">
        <w:rPr>
          <w:rFonts w:cstheme="minorHAnsi"/>
          <w:bCs/>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mendeley":{"formattedCitation":"&lt;sup&gt;15&lt;/sup&gt;","plainTextFormattedCitation":"15","previouslyFormattedCitation":"&lt;sup&gt;15&lt;/sup&gt;"},"properties":{"noteIndex":0},"schema":"https://github.com/citation-style-language/schema/raw/master/csl-citation.json"}</w:instrText>
      </w:r>
      <w:r w:rsidR="00733B63" w:rsidRPr="007A114B">
        <w:rPr>
          <w:rFonts w:cstheme="minorHAnsi"/>
          <w:bCs/>
          <w:lang w:val="en-GB" w:eastAsia="en-GB"/>
        </w:rPr>
        <w:fldChar w:fldCharType="separate"/>
      </w:r>
      <w:r w:rsidR="00FD0FF3" w:rsidRPr="007A114B">
        <w:rPr>
          <w:rFonts w:cstheme="minorHAnsi"/>
          <w:bCs/>
          <w:noProof/>
          <w:vertAlign w:val="superscript"/>
          <w:lang w:val="en-GB" w:eastAsia="en-GB"/>
        </w:rPr>
        <w:t>15</w:t>
      </w:r>
      <w:r w:rsidR="00733B63" w:rsidRPr="007A114B">
        <w:rPr>
          <w:rFonts w:cstheme="minorHAnsi"/>
          <w:bCs/>
          <w:lang w:val="en-GB" w:eastAsia="en-GB"/>
        </w:rPr>
        <w:fldChar w:fldCharType="end"/>
      </w:r>
      <w:r w:rsidR="00733B63" w:rsidRPr="007A114B">
        <w:rPr>
          <w:rFonts w:cstheme="minorHAnsi"/>
          <w:bCs/>
          <w:lang w:val="en-GB" w:eastAsia="en-GB"/>
        </w:rPr>
        <w:t xml:space="preserve"> </w:t>
      </w:r>
    </w:p>
    <w:p w14:paraId="583F1DED" w14:textId="68B7FD9E" w:rsidR="00F842A5" w:rsidRPr="007A114B" w:rsidRDefault="00D468F9" w:rsidP="006D2F93">
      <w:pPr>
        <w:spacing w:after="0" w:line="480" w:lineRule="auto"/>
        <w:jc w:val="both"/>
        <w:rPr>
          <w:rFonts w:cstheme="minorHAnsi"/>
          <w:bCs/>
          <w:lang w:val="en-GB" w:eastAsia="en-GB"/>
        </w:rPr>
      </w:pPr>
      <w:r w:rsidRPr="007A114B">
        <w:rPr>
          <w:rFonts w:cstheme="minorHAnsi"/>
          <w:bCs/>
          <w:lang w:val="en-GB" w:eastAsia="en-GB"/>
        </w:rPr>
        <w:t>No substantial differences in the management of chondral lesions could be noted</w:t>
      </w:r>
      <w:r w:rsidR="00E97BAE" w:rsidRPr="007A114B">
        <w:rPr>
          <w:rFonts w:cstheme="minorHAnsi"/>
          <w:bCs/>
          <w:lang w:val="en-GB" w:eastAsia="en-GB"/>
        </w:rPr>
        <w:t xml:space="preserve"> between studies</w:t>
      </w:r>
      <w:r w:rsidRPr="007A114B">
        <w:rPr>
          <w:rFonts w:cstheme="minorHAnsi"/>
          <w:bCs/>
          <w:lang w:val="en-GB" w:eastAsia="en-GB"/>
        </w:rPr>
        <w:t xml:space="preserve">. Apart from microfracture for </w:t>
      </w:r>
      <w:proofErr w:type="spellStart"/>
      <w:r w:rsidRPr="007A114B">
        <w:rPr>
          <w:rFonts w:cstheme="minorHAnsi"/>
          <w:bCs/>
          <w:lang w:val="en-GB" w:eastAsia="en-GB"/>
        </w:rPr>
        <w:t>Outerbridge</w:t>
      </w:r>
      <w:proofErr w:type="spellEnd"/>
      <w:r w:rsidRPr="007A114B">
        <w:rPr>
          <w:rFonts w:cstheme="minorHAnsi"/>
          <w:bCs/>
          <w:lang w:val="en-GB" w:eastAsia="en-GB"/>
        </w:rPr>
        <w:t xml:space="preserve"> 4 lesions (</w:t>
      </w:r>
      <w:proofErr w:type="gramStart"/>
      <w:r w:rsidRPr="007A114B">
        <w:rPr>
          <w:rFonts w:cstheme="minorHAnsi"/>
          <w:bCs/>
          <w:lang w:val="en-GB" w:eastAsia="en-GB"/>
        </w:rPr>
        <w:t>full-thickness</w:t>
      </w:r>
      <w:proofErr w:type="gramEnd"/>
      <w:r w:rsidRPr="007A114B">
        <w:rPr>
          <w:rFonts w:cstheme="minorHAnsi"/>
          <w:bCs/>
          <w:lang w:val="en-GB" w:eastAsia="en-GB"/>
        </w:rPr>
        <w:t xml:space="preserve">) and labral reconstruction using different grafts, no chondral regeneration or culture techniques were employed. </w:t>
      </w:r>
      <w:r w:rsidR="00F842A5" w:rsidRPr="007A114B">
        <w:rPr>
          <w:rFonts w:cstheme="minorHAnsi"/>
          <w:bCs/>
          <w:lang w:val="en-GB" w:eastAsia="en-GB"/>
        </w:rPr>
        <w:t>Mardones</w:t>
      </w:r>
      <w:r w:rsidR="00F842A5" w:rsidRPr="007A114B">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3232c3ec-8d7e-4533-8c5d-5b2374ea3421"]}],"mendeley":{"formattedCitation":"&lt;sup&gt;31&lt;/sup&gt;","plainTextFormattedCitation":"31","previouslyFormattedCitation":"&lt;sup&gt;31&lt;/sup&gt;"},"properties":{"noteIndex":0},"schema":"https://github.com/citation-style-language/schema/raw/master/csl-citation.json"}</w:instrText>
      </w:r>
      <w:r w:rsidR="00F842A5" w:rsidRPr="007A114B">
        <w:rPr>
          <w:rFonts w:cstheme="minorHAnsi"/>
          <w:bCs/>
          <w:lang w:val="en-GB" w:eastAsia="en-GB"/>
        </w:rPr>
        <w:fldChar w:fldCharType="separate"/>
      </w:r>
      <w:r w:rsidR="006A1D58" w:rsidRPr="007A114B">
        <w:rPr>
          <w:rFonts w:cstheme="minorHAnsi"/>
          <w:bCs/>
          <w:noProof/>
          <w:vertAlign w:val="superscript"/>
          <w:lang w:val="en-GB" w:eastAsia="en-GB"/>
        </w:rPr>
        <w:t>31</w:t>
      </w:r>
      <w:r w:rsidR="00F842A5" w:rsidRPr="007A114B">
        <w:rPr>
          <w:rFonts w:cstheme="minorHAnsi"/>
          <w:bCs/>
          <w:lang w:val="en-GB" w:eastAsia="en-GB"/>
        </w:rPr>
        <w:fldChar w:fldCharType="end"/>
      </w:r>
      <w:r w:rsidR="00F842A5" w:rsidRPr="007A114B">
        <w:rPr>
          <w:rFonts w:cstheme="minorHAnsi"/>
          <w:bCs/>
          <w:lang w:val="en-GB" w:eastAsia="en-GB"/>
        </w:rPr>
        <w:t xml:space="preserve"> was the single to use PRP injections at the head-neck junction but did not describe sufficient details of the augmentation technique </w:t>
      </w:r>
      <w:r w:rsidR="00F842A5" w:rsidRPr="007A114B">
        <w:rPr>
          <w:rFonts w:cstheme="minorHAnsi"/>
          <w:bCs/>
          <w:lang w:val="en-GB" w:eastAsia="en-GB"/>
        </w:rPr>
        <w:lastRenderedPageBreak/>
        <w:t xml:space="preserve">(harvesting, preparation, preservation, delivery and other). In the context of lack of outcome data, no statement can be made on the potential benefit of this type of augmentation. </w:t>
      </w:r>
      <w:r w:rsidR="005B72E4" w:rsidRPr="007A114B">
        <w:rPr>
          <w:rFonts w:cstheme="minorHAnsi"/>
          <w:bCs/>
          <w:lang w:val="en-GB" w:eastAsia="en-GB"/>
        </w:rPr>
        <w:t xml:space="preserve">Further research in this area is warranted, as </w:t>
      </w:r>
      <w:r w:rsidR="00296E8D" w:rsidRPr="007A114B">
        <w:rPr>
          <w:rFonts w:cstheme="minorHAnsi"/>
          <w:bCs/>
          <w:lang w:val="en-GB" w:eastAsia="en-GB"/>
        </w:rPr>
        <w:t xml:space="preserve">various </w:t>
      </w:r>
      <w:r w:rsidR="005B72E4" w:rsidRPr="007A114B">
        <w:rPr>
          <w:rFonts w:cstheme="minorHAnsi"/>
          <w:bCs/>
          <w:lang w:val="en-GB" w:eastAsia="en-GB"/>
        </w:rPr>
        <w:t>techniques</w:t>
      </w:r>
      <w:r w:rsidR="00296E8D" w:rsidRPr="007A114B">
        <w:rPr>
          <w:rFonts w:cstheme="minorHAnsi"/>
          <w:bCs/>
          <w:lang w:val="en-GB" w:eastAsia="en-GB"/>
        </w:rPr>
        <w:t xml:space="preserve"> (autologous matrix-induced chondrogenesis, osteochondral autograft transplantation and other)</w:t>
      </w:r>
      <w:r w:rsidR="005B72E4" w:rsidRPr="007A114B">
        <w:rPr>
          <w:rFonts w:cstheme="minorHAnsi"/>
          <w:bCs/>
          <w:lang w:val="en-GB" w:eastAsia="en-GB"/>
        </w:rPr>
        <w:t xml:space="preserve"> are emerging and have an increasing popularity, although without any evidence on the clinical benefits, yet.</w:t>
      </w:r>
      <w:r w:rsidR="00296E8D" w:rsidRPr="007A114B">
        <w:rPr>
          <w:rFonts w:cstheme="minorHAnsi"/>
          <w:bCs/>
          <w:lang w:val="en-GB" w:eastAsia="en-GB"/>
        </w:rPr>
        <w:fldChar w:fldCharType="begin" w:fldLock="1"/>
      </w:r>
      <w:r w:rsidR="00FB194F" w:rsidRPr="007A114B">
        <w:rPr>
          <w:rFonts w:cstheme="minorHAnsi"/>
          <w:bCs/>
          <w:lang w:val="en-GB" w:eastAsia="en-GB"/>
        </w:rPr>
        <w:instrText>ADDIN CSL_CITATION {"citationItems":[{"id":"ITEM-1","itemData":{"DOI":"10.1007/s00264-018-3862-6","ISSN":"1432-5195 (Electronic)","PMID":"29536127","abstract":"OBJECTIVE/PURPOSE: The aim of the study was to assess the options of treatment and  their related outcomes for chondral injuries in the hip based on the available evidence whilst highlighting new and innovative techniques. METHODS: A systematic review of the literature from PubMed (Medline), EMBASE, Google Scholar, British Nursing Index (BNI), Cumulative Index to Nursing and Allied Health Literature (CINAHL) and Allied and Complementary Medicine Database (AMED) was undertaken from their inception to March 2017 using the Preferred Reporting Items for Systematic Reviews and Meta-Analyses (PRISMA) guidelines. Clinical outcome studies, prospective/retrospective case series and case reports that described the outcome of cartilage repair technique for the chondral injury in the hip were included. Studies on total hip replacement, animal studies, basic studies, trial protocols and review articles were excluded. RESULTS: The systematic review found 21 relevant papers with 596 hips. Over 80% of the included studies were published in or after 2010. Most studies were case series or case reports (18 studies, 85.7%). Arthroscopy was used in 11 studies (52.4%). The minimum follow-up period was six months. Mean age of the participants was 37.2 years; 93.5% of patients had cartilage injuries of the acetabulum and 6.5% of them had injuries of the femoral head. Amongst the 11 techniques described in the systematic review, autologous matrix-induced chondrogenesis, osteochondral autograft transplantation and microfracture were the three frequently reported techniques. CONCLUSION: Over ten different techniques are available for cartilage repair in the hip, and most of them have good short- to medium-term outcomes. However, there are no robust comparative studies to assess superiority of one technique over another, and further research is required in this arena.","author":[{"dropping-particle":"","family":"Nakano","given":"Naoki","non-dropping-particle":"","parse-names":false,"suffix":""},{"dropping-particle":"","family":"Gohal","given":"Chetan","non-dropping-particle":"","parse-names":false,"suffix":""},{"dropping-particle":"","family":"Duong","given":"Andrew","non-dropping-particle":"","parse-names":false,"suffix":""},{"dropping-particle":"","family":"Ayeni","given":"Olufemi R","non-dropping-particle":"","parse-names":false,"suffix":""},{"dropping-particle":"","family":"Khanduja","given":"Vikas","non-dropping-particle":"","parse-names":false,"suffix":""}],"container-title":"International orthopaedics","id":"ITEM-1","issue":"10","issued":{"date-parts":[["2018","10"]]},"language":"eng","page":"2309-2322","publisher-place":"Germany","title":"Outcomes of cartilage repair techniques for chondral injury in the hip-a systematic  review.","type":"article-journal","volume":"42"},"uris":["http://www.mendeley.com/documents/?uuid=45895bdf-1588-444f-90de-a858e44ca3f8"]}],"mendeley":{"formattedCitation":"&lt;sup&gt;10&lt;/sup&gt;","plainTextFormattedCitation":"10","previouslyFormattedCitation":"&lt;sup&gt;10&lt;/sup&gt;"},"properties":{"noteIndex":0},"schema":"https://github.com/citation-style-language/schema/raw/master/csl-citation.json"}</w:instrText>
      </w:r>
      <w:r w:rsidR="00296E8D" w:rsidRPr="007A114B">
        <w:rPr>
          <w:rFonts w:cstheme="minorHAnsi"/>
          <w:bCs/>
          <w:lang w:val="en-GB" w:eastAsia="en-GB"/>
        </w:rPr>
        <w:fldChar w:fldCharType="separate"/>
      </w:r>
      <w:r w:rsidR="00296E8D" w:rsidRPr="007A114B">
        <w:rPr>
          <w:rFonts w:cstheme="minorHAnsi"/>
          <w:bCs/>
          <w:noProof/>
          <w:vertAlign w:val="superscript"/>
          <w:lang w:val="en-GB" w:eastAsia="en-GB"/>
        </w:rPr>
        <w:t>10</w:t>
      </w:r>
      <w:r w:rsidR="00296E8D" w:rsidRPr="007A114B">
        <w:rPr>
          <w:rFonts w:cstheme="minorHAnsi"/>
          <w:bCs/>
          <w:lang w:val="en-GB" w:eastAsia="en-GB"/>
        </w:rPr>
        <w:fldChar w:fldCharType="end"/>
      </w:r>
    </w:p>
    <w:p w14:paraId="62726F1D" w14:textId="5339581D" w:rsidR="00FC7226" w:rsidRPr="007A114B" w:rsidRDefault="00FC7226" w:rsidP="00FC7226">
      <w:pPr>
        <w:spacing w:after="0" w:line="480" w:lineRule="auto"/>
        <w:jc w:val="both"/>
        <w:rPr>
          <w:rFonts w:cstheme="minorHAnsi"/>
          <w:bCs/>
          <w:lang w:val="en-GB" w:eastAsia="en-GB"/>
        </w:rPr>
      </w:pPr>
      <w:r w:rsidRPr="007A114B">
        <w:rPr>
          <w:rFonts w:cstheme="minorHAnsi"/>
          <w:bCs/>
          <w:lang w:val="en-GB" w:eastAsia="en-GB"/>
        </w:rPr>
        <w:t>Several authors have included some patients with concomitant dysplasia or borderline hip dysplasia.</w:t>
      </w:r>
      <w:r w:rsidRPr="007221CC">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id":"ITEM-2","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volume","id":"ITEM-2","issue":"12","issued":{"date-parts":[["2016","6"]]},"page":"973—982","title":"Outcomes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25,28&lt;/sup&gt;","plainTextFormattedCitation":"25,28","previouslyFormattedCitation":"&lt;sup&gt;25,28&lt;/sup&gt;"},"properties":{"noteIndex":0},"schema":"https://github.com/citation-style-language/schema/raw/master/csl-citation.json"}</w:instrText>
      </w:r>
      <w:r w:rsidRPr="007221CC">
        <w:rPr>
          <w:rFonts w:cstheme="minorHAnsi"/>
          <w:bCs/>
          <w:lang w:val="en-GB" w:eastAsia="en-GB"/>
        </w:rPr>
        <w:fldChar w:fldCharType="separate"/>
      </w:r>
      <w:r w:rsidRPr="007A114B">
        <w:rPr>
          <w:rFonts w:cstheme="minorHAnsi"/>
          <w:bCs/>
          <w:noProof/>
          <w:vertAlign w:val="superscript"/>
          <w:lang w:val="en-GB" w:eastAsia="en-GB"/>
        </w:rPr>
        <w:t>25,28</w:t>
      </w:r>
      <w:r w:rsidRPr="007221CC">
        <w:rPr>
          <w:rFonts w:cstheme="minorHAnsi"/>
          <w:bCs/>
          <w:lang w:val="en-GB" w:eastAsia="en-GB"/>
        </w:rPr>
        <w:fldChar w:fldCharType="end"/>
      </w:r>
      <w:r w:rsidRPr="007A114B">
        <w:rPr>
          <w:rFonts w:cstheme="minorHAnsi"/>
          <w:bCs/>
          <w:lang w:val="en-GB" w:eastAsia="en-GB"/>
        </w:rPr>
        <w:t>This may have influenced the clinical outcomes and poses a potential source of bias.  Another source of potential methodological inconsistency could be the differences that were observed in the mean age across studies. Whilst Byrd et al. performed HA in patients with a mean age of 27-39 years</w:t>
      </w:r>
      <w:r w:rsidRPr="007221CC">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analysis","type":"article-journal","volume":"5"},"uris":["http://www.mendeley.com/documents/?uuid=0a6c109d-2db0-4815-ae2a-496ca869769c"]},{"id":"ITEM-2","itemData":{"DOI":"10.1016/j.arthro.2018.03.021","ISSN":"1526-3231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Association","id":"ITEM-2","issue":"8","issued":{"date-parts":[["2018","8"]]},"language":"eng","page":"2353-2356","publisher-place":"United States","title":"Influence of Tönnis Grade on Outcomes of Arthroscopic Management of Symptomatic  Femoroacetabular Impingement.","type":"article-journal","volume":"34"},"uris":["http://www.mendeley.com/documents/?uuid=43446718-daa2-4569-b051-b492450064a2"]}],"mendeley":{"formattedCitation":"&lt;sup&gt;15,24&lt;/sup&gt;","plainTextFormattedCitation":"15,24","previouslyFormattedCitation":"&lt;sup&gt;15,24&lt;/sup&gt;"},"properties":{"noteIndex":0},"schema":"https://github.com/citation-style-language/schema/raw/master/csl-citation.json"}</w:instrText>
      </w:r>
      <w:r w:rsidRPr="007221CC">
        <w:rPr>
          <w:rFonts w:cstheme="minorHAnsi"/>
          <w:bCs/>
          <w:lang w:val="en-GB" w:eastAsia="en-GB"/>
        </w:rPr>
        <w:fldChar w:fldCharType="separate"/>
      </w:r>
      <w:r w:rsidRPr="007A114B">
        <w:rPr>
          <w:rFonts w:cstheme="minorHAnsi"/>
          <w:bCs/>
          <w:noProof/>
          <w:vertAlign w:val="superscript"/>
          <w:lang w:val="en-GB" w:eastAsia="en-GB"/>
        </w:rPr>
        <w:t>15,24</w:t>
      </w:r>
      <w:r w:rsidRPr="007221CC">
        <w:rPr>
          <w:rFonts w:cstheme="minorHAnsi"/>
          <w:bCs/>
          <w:lang w:val="en-GB" w:eastAsia="en-GB"/>
        </w:rPr>
        <w:fldChar w:fldCharType="end"/>
      </w:r>
      <w:r w:rsidRPr="007A114B">
        <w:rPr>
          <w:rFonts w:cstheme="minorHAnsi"/>
          <w:bCs/>
          <w:lang w:val="en-GB" w:eastAsia="en-GB"/>
        </w:rPr>
        <w:t>, other studies included mainly patients over the age of 40 years. This could explain the positive outcomes in the intervention groups that were reported for both conversion to THA and for PROMs when compared to controls (</w:t>
      </w:r>
      <w:r w:rsidRPr="007A114B">
        <w:rPr>
          <w:rFonts w:cstheme="minorHAnsi"/>
          <w:b/>
          <w:lang w:val="en-GB" w:eastAsia="en-GB"/>
        </w:rPr>
        <w:t>Table 3, Table 4</w:t>
      </w:r>
      <w:r w:rsidRPr="007A114B">
        <w:rPr>
          <w:rFonts w:cstheme="minorHAnsi"/>
          <w:bCs/>
          <w:lang w:val="en-GB" w:eastAsia="en-GB"/>
        </w:rPr>
        <w:t>).  For the other two comparative studies that were included,</w:t>
      </w:r>
      <w:r w:rsidRPr="007221CC">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Cohorts","type":"article-journal","volume":"98"},"uris":["http://www.mendeley.com/documents/?uuid=a294be90-2196-44b6-8523-b8116d7b21d3"]},{"id":"ITEM-2","itemData":{"DOI":"10.1097/JSM.0000000000000768","ISSN":"1536-3724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Medicine","id":"ITEM-2","issued":{"date-parts":[["2019","11"]]},"language":"eng","publisher-place":"United States","title":"Is Arthroscopic Hip Labral Repair/Reconstruction Surgery Effective for Treating  Femoroacetabular Impingement in the Presence of Osteoarthritis?","type":"article-journal"},"uris":["http://www.mendeley.com/documents/?uuid=4f24ddc9-a0d9-493a-b11a-2630f235a23d"]}],"mendeley":{"formattedCitation":"&lt;sup&gt;25,26&lt;/sup&gt;","plainTextFormattedCitation":"25,26","previouslyFormattedCitation":"&lt;sup&gt;25,26&lt;/sup&gt;"},"properties":{"noteIndex":0},"schema":"https://github.com/citation-style-language/schema/raw/master/csl-citation.json"}</w:instrText>
      </w:r>
      <w:r w:rsidRPr="007221CC">
        <w:rPr>
          <w:rFonts w:cstheme="minorHAnsi"/>
          <w:bCs/>
          <w:lang w:val="en-GB" w:eastAsia="en-GB"/>
        </w:rPr>
        <w:fldChar w:fldCharType="separate"/>
      </w:r>
      <w:r w:rsidRPr="007A114B">
        <w:rPr>
          <w:rFonts w:cstheme="minorHAnsi"/>
          <w:bCs/>
          <w:noProof/>
          <w:vertAlign w:val="superscript"/>
          <w:lang w:val="en-GB" w:eastAsia="en-GB"/>
        </w:rPr>
        <w:t>25,26</w:t>
      </w:r>
      <w:r w:rsidRPr="007221CC">
        <w:rPr>
          <w:rFonts w:cstheme="minorHAnsi"/>
          <w:bCs/>
          <w:lang w:val="en-GB" w:eastAsia="en-GB"/>
        </w:rPr>
        <w:fldChar w:fldCharType="end"/>
      </w:r>
      <w:r w:rsidRPr="007A114B">
        <w:rPr>
          <w:rFonts w:cstheme="minorHAnsi"/>
          <w:bCs/>
          <w:lang w:val="en-GB" w:eastAsia="en-GB"/>
        </w:rPr>
        <w:t xml:space="preserve"> both the rates of conversion to THA and the subjective PROMs of hips with FAI and </w:t>
      </w:r>
      <w:proofErr w:type="spellStart"/>
      <w:r w:rsidRPr="007A114B">
        <w:rPr>
          <w:rFonts w:cstheme="minorHAnsi"/>
          <w:bCs/>
          <w:lang w:val="en-GB" w:eastAsia="en-GB"/>
        </w:rPr>
        <w:t>Tönnis</w:t>
      </w:r>
      <w:proofErr w:type="spellEnd"/>
      <w:r w:rsidRPr="007A114B">
        <w:rPr>
          <w:rFonts w:cstheme="minorHAnsi"/>
          <w:bCs/>
          <w:lang w:val="en-GB" w:eastAsia="en-GB"/>
        </w:rPr>
        <w:t xml:space="preserve"> grade 2 or greater were detrimental when compared to the controls (</w:t>
      </w:r>
      <w:proofErr w:type="spellStart"/>
      <w:r w:rsidRPr="007A114B">
        <w:rPr>
          <w:rFonts w:cstheme="minorHAnsi"/>
          <w:bCs/>
          <w:lang w:val="en-GB" w:eastAsia="en-GB"/>
        </w:rPr>
        <w:t>Tönnis</w:t>
      </w:r>
      <w:proofErr w:type="spellEnd"/>
      <w:r w:rsidRPr="007A114B">
        <w:rPr>
          <w:rFonts w:cstheme="minorHAnsi"/>
          <w:bCs/>
          <w:lang w:val="en-GB" w:eastAsia="en-GB"/>
        </w:rPr>
        <w:t xml:space="preserve"> 0 or 1). The patients in these cohorts </w:t>
      </w:r>
      <w:proofErr w:type="gramStart"/>
      <w:r w:rsidRPr="007A114B">
        <w:rPr>
          <w:rFonts w:cstheme="minorHAnsi"/>
          <w:bCs/>
          <w:lang w:val="en-GB" w:eastAsia="en-GB"/>
        </w:rPr>
        <w:t>were</w:t>
      </w:r>
      <w:proofErr w:type="gramEnd"/>
      <w:r w:rsidRPr="007A114B">
        <w:rPr>
          <w:rFonts w:cstheme="minorHAnsi"/>
          <w:bCs/>
          <w:lang w:val="en-GB" w:eastAsia="en-GB"/>
        </w:rPr>
        <w:t xml:space="preserve"> however, significantly older (mean age 46 and 56).</w:t>
      </w:r>
    </w:p>
    <w:p w14:paraId="6772C079" w14:textId="4EAD70EA" w:rsidR="00563427" w:rsidRPr="007A114B" w:rsidRDefault="00FC7226" w:rsidP="00FC7226">
      <w:pPr>
        <w:spacing w:after="0" w:line="480" w:lineRule="auto"/>
        <w:jc w:val="both"/>
        <w:rPr>
          <w:rFonts w:cstheme="minorHAnsi"/>
          <w:bCs/>
          <w:lang w:val="en-GB" w:eastAsia="en-GB"/>
        </w:rPr>
      </w:pPr>
      <w:r w:rsidRPr="007A114B">
        <w:rPr>
          <w:rFonts w:cstheme="minorHAnsi"/>
          <w:bCs/>
          <w:lang w:val="en-GB" w:eastAsia="en-GB"/>
        </w:rPr>
        <w:t>Another factor that would explain these contradictory outcomes with be the difference in the length of follow-up (</w:t>
      </w:r>
      <w:r w:rsidRPr="007A114B">
        <w:rPr>
          <w:rFonts w:cstheme="minorHAnsi"/>
          <w:b/>
          <w:lang w:val="en-GB" w:eastAsia="en-GB"/>
        </w:rPr>
        <w:t>Table 3</w:t>
      </w:r>
      <w:r w:rsidRPr="007A114B">
        <w:rPr>
          <w:rFonts w:cstheme="minorHAnsi"/>
          <w:bCs/>
          <w:lang w:val="en-GB" w:eastAsia="en-GB"/>
        </w:rPr>
        <w:t>). Byrd et al</w:t>
      </w:r>
      <w:r w:rsidRPr="007221CC">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Impingement.","type":"article-journal","volume":"34"},"uris":["http://www.mendeley.com/documents/?uuid=be9467cf-a870-4611-8390-10504bab417c"]},{"id":"ITEM-2","itemData":{"DOI":"10.1093/jhps/hny011","ISSN":"2054-8397","abstract":"Based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surgery","id":"ITEM-2","issue":"2","issued":{"date-parts":[["2018","4","24"]]},"language":"eng","page":"162-165","publisher":"Oxford University Press","title":"Influence of Tönnis grade on outcomes of arthroscopy for FAI in athletes: a comparative analysis","type":"article-journal","volume":"5"},"uris":["http://www.mendeley.com/documents/?uuid=96506ac1-0244-4ccb-91a5-a943df2365b5"]}],"mendeley":{"formattedCitation":"&lt;sup&gt;15,24&lt;/sup&gt;","plainTextFormattedCitation":"15,24","previouslyFormattedCitation":"&lt;sup&gt;15,24&lt;/sup&gt;"},"properties":{"noteIndex":0},"schema":"https://github.com/citation-style-language/schema/raw/master/csl-citation.json"}</w:instrText>
      </w:r>
      <w:r w:rsidRPr="007221CC">
        <w:rPr>
          <w:rFonts w:cstheme="minorHAnsi"/>
          <w:bCs/>
          <w:lang w:val="en-GB" w:eastAsia="en-GB"/>
        </w:rPr>
        <w:fldChar w:fldCharType="separate"/>
      </w:r>
      <w:r w:rsidRPr="007A114B">
        <w:rPr>
          <w:rFonts w:cstheme="minorHAnsi"/>
          <w:bCs/>
          <w:noProof/>
          <w:vertAlign w:val="superscript"/>
          <w:lang w:val="en-GB" w:eastAsia="en-GB"/>
        </w:rPr>
        <w:t>15,24</w:t>
      </w:r>
      <w:r w:rsidRPr="007221CC">
        <w:rPr>
          <w:rFonts w:cstheme="minorHAnsi"/>
          <w:bCs/>
          <w:lang w:val="en-GB" w:eastAsia="en-GB"/>
        </w:rPr>
        <w:fldChar w:fldCharType="end"/>
      </w:r>
      <w:r w:rsidRPr="007A114B">
        <w:rPr>
          <w:rFonts w:cstheme="minorHAnsi"/>
          <w:bCs/>
          <w:lang w:val="en-GB" w:eastAsia="en-GB"/>
        </w:rPr>
        <w:t xml:space="preserve"> that reported beneficial outcomes had a minimum follow-up of 1 year, whilst the rest of the authors had the minimum line at 2 years postoperatively. It is however also presumed that in most cases where there is already too much joint degeneration, a rapid decline occurs postoperatively.</w:t>
      </w:r>
      <w:r w:rsidRPr="007221CC">
        <w:rPr>
          <w:rFonts w:cstheme="minorHAnsi"/>
          <w:bCs/>
          <w:lang w:val="en-GB" w:eastAsia="en-GB"/>
        </w:rPr>
        <w:fldChar w:fldCharType="begin" w:fldLock="1"/>
      </w:r>
      <w:r w:rsidR="00223245" w:rsidRPr="007A114B">
        <w:rPr>
          <w:rFonts w:cstheme="minorHAnsi"/>
          <w:bCs/>
          <w:lang w:val="en-GB" w:eastAsia="en-GB"/>
        </w:rPr>
        <w:instrText>ADDIN CSL_CITATION {"citationItems":[{"id":"ITEM-1","itemData":{"DOI":"10.1186/s12891-019-2646-5","ISSN":"1471-2474 (Electronic)","PMID":"31153368","abstract":"BACKGROUND: One of the reported goals of hip preservation surgery is to prevent or  delay the onset of osteoarthritis. This includes arthroscopic surgery to manage Femoroacetabular Impingement (FAI) Syndrome. The purpose of this study was to describe the prevalence of clinically-diagnosed hip OA within 2 years after hip arthroscopy for FAI syndrome, and 2) determine which variables predict a clinical diagnosis of OA after arthroscopy. METHODS: Observational analysis of patients undergoing hip arthroscopy between 2004 and 2013, utilizing the Military Health System Data Repository. Individuals with prior cases of osteoarthritis were excluded. Presence of osteoarthritis was based on diagnostic codes rendered by a medical provider in patient medical records. Adjusted odds ratios (95% CI) for an osteoarthritis diagnosis were reported for relevant clinical and demographic variables. RESULTS: Of 1870 participants in this young cohort (mean age 32.2 years), 21.9% (N = 409) had a postoperative clinical diagnosis of hip osteoarthritis within 2 years. The 3 significant predictors in the final model were older age (OR = 1.04; 95%CI = 1.02, 1.05), male sex (OR = 1.31; 95%CI = 1.04, 1.65), and having undergone an additional hip surgery (OR = 2.33; 95% CI = 1.72, 3.16). Military status and post-surgical complications were not risk factors. CONCLUSION: A clinical diagnosis of hip osteoarthritis was found in approximately 22% of young patients undergoing hip arthroscopy in as little as 2 years. These rates may differ when using alternate criteria to define OA, such as radiographs, and likely underestimate the prevalence. A more comprehensive approach, considering various criteria to detect OA will likely be necessary to accurately identify the true rates. Females were at lower risk, while increasing age and multiple surgeries increased the risk for an OA diagnosis. OA onset still occurs after \"hip preservation\" surgery in a substantial number of individuals within 2 years. This should be considered when estimating rates of disease prevention after surgery. Prospective trials with sound methodology are needed to determine accurate rates and robust predictors of osteoarthritis onset after hip preservation surgery.","author":[{"dropping-particle":"","family":"Rhon","given":"Daniel I","non-dropping-particle":"","parse-names":false,"suffix":""},{"dropping-particle":"","family":"Greenlee","given":"Tina A","non-dropping-particle":"","parse-names":false,"suffix":""},{"dropping-particle":"","family":"Sissel","given":"Charles Dennis","non-dropping-particle":"","parse-names":false,"suffix":""},{"dropping-particle":"","family":"Reiman","given":"Michael P","non-dropping-particle":"","parse-names":false,"suffix":""}],"container-title":"BMC musculoskeletal disorders","id":"ITEM-1","issue":"1","issued":{"date-parts":[["2019","6"]]},"language":"eng","page":"266","title":"The two-year incidence of hip osteoarthritis after arthroscopic hip surgery for  femoroacetabular impingement syndrome.","type":"article-journal","volume":"20"},"uris":["http://www.mendeley.com/documents/?uuid=728622d6-62b8-4748-b4a6-71961e52202d"]}],"mendeley":{"formattedCitation":"&lt;sup&gt;38&lt;/sup&gt;","plainTextFormattedCitation":"38","previouslyFormattedCitation":"&lt;sup&gt;38&lt;/sup&gt;"},"properties":{"noteIndex":0},"schema":"https://github.com/citation-style-language/schema/raw/master/csl-citation.json"}</w:instrText>
      </w:r>
      <w:r w:rsidRPr="007221CC">
        <w:rPr>
          <w:rFonts w:cstheme="minorHAnsi"/>
          <w:bCs/>
          <w:lang w:val="en-GB" w:eastAsia="en-GB"/>
        </w:rPr>
        <w:fldChar w:fldCharType="separate"/>
      </w:r>
      <w:r w:rsidRPr="007A114B">
        <w:rPr>
          <w:rFonts w:cstheme="minorHAnsi"/>
          <w:bCs/>
          <w:noProof/>
          <w:vertAlign w:val="superscript"/>
          <w:lang w:val="en-GB" w:eastAsia="en-GB"/>
        </w:rPr>
        <w:t>38</w:t>
      </w:r>
      <w:r w:rsidRPr="007221CC">
        <w:rPr>
          <w:rFonts w:cstheme="minorHAnsi"/>
          <w:bCs/>
          <w:lang w:val="en-GB" w:eastAsia="en-GB"/>
        </w:rPr>
        <w:fldChar w:fldCharType="end"/>
      </w:r>
    </w:p>
    <w:p w14:paraId="23B3013E" w14:textId="77777777" w:rsidR="00FC7226" w:rsidRPr="007A114B" w:rsidRDefault="00FC7226" w:rsidP="00FC7226">
      <w:pPr>
        <w:spacing w:after="0" w:line="480" w:lineRule="auto"/>
        <w:jc w:val="both"/>
        <w:rPr>
          <w:rFonts w:cstheme="minorHAnsi"/>
          <w:bCs/>
          <w:lang w:val="en-GB" w:eastAsia="en-GB"/>
        </w:rPr>
      </w:pPr>
    </w:p>
    <w:p w14:paraId="0237FC83" w14:textId="403E3D04" w:rsidR="00563427" w:rsidRPr="007A114B" w:rsidRDefault="00563427" w:rsidP="001E1099">
      <w:pPr>
        <w:pStyle w:val="Heading1"/>
        <w:rPr>
          <w:lang w:eastAsia="en-GB"/>
        </w:rPr>
      </w:pPr>
      <w:r w:rsidRPr="007A114B">
        <w:rPr>
          <w:lang w:eastAsia="en-GB"/>
        </w:rPr>
        <w:t>LIMITATIONS</w:t>
      </w:r>
    </w:p>
    <w:p w14:paraId="04D9E19C" w14:textId="6B86B072" w:rsidR="00A34CD5" w:rsidRPr="007A114B" w:rsidRDefault="00FC7226" w:rsidP="006D2F93">
      <w:pPr>
        <w:spacing w:after="0" w:line="480" w:lineRule="auto"/>
        <w:jc w:val="both"/>
        <w:rPr>
          <w:rFonts w:cstheme="minorHAnsi"/>
          <w:bCs/>
          <w:lang w:val="en-GB" w:eastAsia="en-GB"/>
        </w:rPr>
      </w:pPr>
      <w:r w:rsidRPr="007A114B">
        <w:rPr>
          <w:rFonts w:cstheme="minorHAnsi"/>
          <w:bCs/>
          <w:lang w:val="en-GB" w:eastAsia="en-GB"/>
        </w:rPr>
        <w:t xml:space="preserve">The limitations of the current systematic review are directly linked to the individual limitations of the included studies. </w:t>
      </w:r>
      <w:r w:rsidR="00ED52E4" w:rsidRPr="007A114B">
        <w:rPr>
          <w:rFonts w:cstheme="minorHAnsi"/>
          <w:bCs/>
          <w:lang w:val="en-GB" w:eastAsia="en-GB"/>
        </w:rPr>
        <w:t xml:space="preserve">Using the MINORs critical appraisal tool, there was a clear lack of prospective data collection and high rates of loss to follow-up; </w:t>
      </w:r>
      <w:proofErr w:type="gramStart"/>
      <w:r w:rsidR="00ED52E4" w:rsidRPr="007A114B">
        <w:rPr>
          <w:rFonts w:cstheme="minorHAnsi"/>
          <w:bCs/>
          <w:lang w:val="en-GB" w:eastAsia="en-GB"/>
        </w:rPr>
        <w:t xml:space="preserve">and </w:t>
      </w:r>
      <w:r w:rsidRPr="007A114B">
        <w:rPr>
          <w:rFonts w:cstheme="minorHAnsi"/>
          <w:bCs/>
          <w:lang w:val="en-GB" w:eastAsia="en-GB"/>
        </w:rPr>
        <w:t>also</w:t>
      </w:r>
      <w:proofErr w:type="gramEnd"/>
      <w:r w:rsidRPr="007A114B">
        <w:rPr>
          <w:rFonts w:cstheme="minorHAnsi"/>
          <w:bCs/>
          <w:lang w:val="en-GB" w:eastAsia="en-GB"/>
        </w:rPr>
        <w:t>,</w:t>
      </w:r>
      <w:r w:rsidR="00ED52E4" w:rsidRPr="007A114B">
        <w:rPr>
          <w:rFonts w:cstheme="minorHAnsi"/>
          <w:bCs/>
          <w:lang w:val="en-GB" w:eastAsia="en-GB"/>
        </w:rPr>
        <w:t xml:space="preserve"> a lack of an appropriate a-priori prospective statistical </w:t>
      </w:r>
      <w:r w:rsidR="00ED52E4" w:rsidRPr="007A114B">
        <w:rPr>
          <w:rFonts w:cstheme="minorHAnsi"/>
          <w:bCs/>
          <w:lang w:val="en-GB" w:eastAsia="en-GB"/>
        </w:rPr>
        <w:lastRenderedPageBreak/>
        <w:t>calculation of the required sample size (</w:t>
      </w:r>
      <w:r w:rsidR="00ED52E4" w:rsidRPr="007A114B">
        <w:rPr>
          <w:rFonts w:cstheme="minorHAnsi"/>
          <w:b/>
          <w:lang w:val="en-GB" w:eastAsia="en-GB"/>
        </w:rPr>
        <w:t>Table 2</w:t>
      </w:r>
      <w:r w:rsidR="00ED52E4" w:rsidRPr="007A114B">
        <w:rPr>
          <w:rFonts w:cstheme="minorHAnsi"/>
          <w:bCs/>
          <w:lang w:val="en-GB" w:eastAsia="en-GB"/>
        </w:rPr>
        <w:t>).</w:t>
      </w:r>
      <w:r w:rsidRPr="007A114B">
        <w:rPr>
          <w:rFonts w:cstheme="minorHAnsi"/>
          <w:bCs/>
          <w:lang w:val="en-GB" w:eastAsia="en-GB"/>
        </w:rPr>
        <w:t xml:space="preserve"> We could not perform an appropriate heterogeneity analysis for all measures of PROMs due to the lack of data regarding standard deviations and/or standard errors.</w:t>
      </w:r>
      <w:r w:rsidR="00C413BC">
        <w:rPr>
          <w:rFonts w:cstheme="minorHAnsi"/>
          <w:bCs/>
          <w:lang w:val="en-GB" w:eastAsia="en-GB"/>
        </w:rPr>
        <w:t xml:space="preserve"> Another issue that needs to be considered is the lack of consistency of using the </w:t>
      </w:r>
      <w:proofErr w:type="spellStart"/>
      <w:r w:rsidR="00C413BC">
        <w:rPr>
          <w:rFonts w:cstheme="minorHAnsi"/>
          <w:bCs/>
          <w:lang w:val="en-GB" w:eastAsia="en-GB"/>
        </w:rPr>
        <w:t>Tönnis</w:t>
      </w:r>
      <w:proofErr w:type="spellEnd"/>
      <w:r w:rsidR="00C413BC">
        <w:rPr>
          <w:rFonts w:cstheme="minorHAnsi"/>
          <w:bCs/>
          <w:lang w:val="en-GB" w:eastAsia="en-GB"/>
        </w:rPr>
        <w:t xml:space="preserve"> grading system of</w:t>
      </w:r>
      <w:r w:rsidR="006C362A">
        <w:rPr>
          <w:rFonts w:cstheme="minorHAnsi"/>
          <w:bCs/>
          <w:lang w:val="en-GB" w:eastAsia="en-GB"/>
        </w:rPr>
        <w:t xml:space="preserve"> hip</w:t>
      </w:r>
      <w:r w:rsidR="00C413BC">
        <w:rPr>
          <w:rFonts w:cstheme="minorHAnsi"/>
          <w:bCs/>
          <w:lang w:val="en-GB" w:eastAsia="en-GB"/>
        </w:rPr>
        <w:t xml:space="preserve"> OA</w:t>
      </w:r>
      <w:r w:rsidR="006C362A">
        <w:rPr>
          <w:rFonts w:cstheme="minorHAnsi"/>
          <w:bCs/>
          <w:lang w:val="en-GB" w:eastAsia="en-GB"/>
        </w:rPr>
        <w:t xml:space="preserve"> preoperatively</w:t>
      </w:r>
      <w:r w:rsidR="00C413BC">
        <w:rPr>
          <w:rFonts w:cstheme="minorHAnsi"/>
          <w:bCs/>
          <w:lang w:val="en-GB" w:eastAsia="en-GB"/>
        </w:rPr>
        <w:t xml:space="preserve">. We needed to exclude a considerable number of studies due to </w:t>
      </w:r>
      <w:r w:rsidR="006C362A">
        <w:rPr>
          <w:rFonts w:cstheme="minorHAnsi"/>
          <w:bCs/>
          <w:lang w:val="en-GB" w:eastAsia="en-GB"/>
        </w:rPr>
        <w:t>different preoperative</w:t>
      </w:r>
      <w:r w:rsidR="00C413BC">
        <w:rPr>
          <w:rFonts w:cstheme="minorHAnsi"/>
          <w:bCs/>
          <w:lang w:val="en-GB" w:eastAsia="en-GB"/>
        </w:rPr>
        <w:t xml:space="preserve"> hip OA classification</w:t>
      </w:r>
      <w:r w:rsidR="006C362A">
        <w:rPr>
          <w:rFonts w:cstheme="minorHAnsi"/>
          <w:bCs/>
          <w:lang w:val="en-GB" w:eastAsia="en-GB"/>
        </w:rPr>
        <w:t>s</w:t>
      </w:r>
      <w:r w:rsidR="00C413BC">
        <w:rPr>
          <w:rFonts w:cstheme="minorHAnsi"/>
          <w:bCs/>
          <w:lang w:val="en-GB" w:eastAsia="en-GB"/>
        </w:rPr>
        <w:t xml:space="preserve"> </w:t>
      </w:r>
      <w:r w:rsidR="006C362A">
        <w:rPr>
          <w:rFonts w:cstheme="minorHAnsi"/>
          <w:bCs/>
          <w:lang w:val="en-GB" w:eastAsia="en-GB"/>
        </w:rPr>
        <w:t>(</w:t>
      </w:r>
      <w:r w:rsidR="00C413BC">
        <w:rPr>
          <w:rFonts w:cstheme="minorHAnsi"/>
          <w:bCs/>
          <w:lang w:val="en-GB" w:eastAsia="en-GB"/>
        </w:rPr>
        <w:t xml:space="preserve">such as </w:t>
      </w:r>
      <w:proofErr w:type="spellStart"/>
      <w:r w:rsidR="00C413BC">
        <w:rPr>
          <w:rFonts w:cstheme="minorHAnsi"/>
          <w:bCs/>
          <w:lang w:val="en-GB" w:eastAsia="en-GB"/>
        </w:rPr>
        <w:t>Kellgren</w:t>
      </w:r>
      <w:proofErr w:type="spellEnd"/>
      <w:r w:rsidR="00C413BC">
        <w:rPr>
          <w:rFonts w:cstheme="minorHAnsi"/>
          <w:bCs/>
          <w:lang w:val="en-GB" w:eastAsia="en-GB"/>
        </w:rPr>
        <w:t>-Lawrence</w:t>
      </w:r>
      <w:r w:rsidR="006C362A">
        <w:rPr>
          <w:rFonts w:cstheme="minorHAnsi"/>
          <w:bCs/>
          <w:lang w:val="en-GB" w:eastAsia="en-GB"/>
        </w:rPr>
        <w:t>)</w:t>
      </w:r>
      <w:r w:rsidR="00C413BC">
        <w:rPr>
          <w:rFonts w:cstheme="minorHAnsi"/>
          <w:bCs/>
          <w:lang w:val="en-GB" w:eastAsia="en-GB"/>
        </w:rPr>
        <w:t xml:space="preserve"> or </w:t>
      </w:r>
      <w:r w:rsidR="006C362A">
        <w:rPr>
          <w:rFonts w:cstheme="minorHAnsi"/>
          <w:bCs/>
          <w:lang w:val="en-GB" w:eastAsia="en-GB"/>
        </w:rPr>
        <w:t>because some authors only used intraoperative grading scales (</w:t>
      </w:r>
      <w:proofErr w:type="spellStart"/>
      <w:r w:rsidR="006C362A">
        <w:rPr>
          <w:rFonts w:cstheme="minorHAnsi"/>
          <w:bCs/>
          <w:lang w:val="en-GB" w:eastAsia="en-GB"/>
        </w:rPr>
        <w:t>Outerbridge</w:t>
      </w:r>
      <w:proofErr w:type="spellEnd"/>
      <w:r w:rsidR="006C362A">
        <w:rPr>
          <w:rFonts w:cstheme="minorHAnsi"/>
          <w:bCs/>
          <w:lang w:val="en-GB" w:eastAsia="en-GB"/>
        </w:rPr>
        <w:t xml:space="preserve">). Also, the </w:t>
      </w:r>
      <w:proofErr w:type="spellStart"/>
      <w:r w:rsidR="006C362A">
        <w:rPr>
          <w:rFonts w:cstheme="minorHAnsi"/>
          <w:bCs/>
          <w:lang w:val="en-GB" w:eastAsia="en-GB"/>
        </w:rPr>
        <w:t>Tönnis</w:t>
      </w:r>
      <w:proofErr w:type="spellEnd"/>
      <w:r w:rsidR="006C362A">
        <w:rPr>
          <w:rFonts w:cstheme="minorHAnsi"/>
          <w:bCs/>
          <w:lang w:val="en-GB" w:eastAsia="en-GB"/>
        </w:rPr>
        <w:t xml:space="preserve"> grading system has certain limitations with </w:t>
      </w:r>
      <w:r w:rsidR="006C362A" w:rsidRPr="006C362A">
        <w:rPr>
          <w:rFonts w:cstheme="minorHAnsi"/>
          <w:bCs/>
          <w:lang w:val="en-GB" w:eastAsia="en-GB"/>
        </w:rPr>
        <w:t xml:space="preserve">Kappa values </w:t>
      </w:r>
      <w:r w:rsidR="006C362A">
        <w:rPr>
          <w:rFonts w:cstheme="minorHAnsi"/>
          <w:bCs/>
          <w:lang w:val="en-GB" w:eastAsia="en-GB"/>
        </w:rPr>
        <w:t>being</w:t>
      </w:r>
      <w:r w:rsidR="006C362A" w:rsidRPr="006C362A">
        <w:rPr>
          <w:rFonts w:cstheme="minorHAnsi"/>
          <w:bCs/>
          <w:lang w:val="en-GB" w:eastAsia="en-GB"/>
        </w:rPr>
        <w:t xml:space="preserve"> </w:t>
      </w:r>
      <w:r w:rsidR="006C362A">
        <w:rPr>
          <w:rFonts w:cstheme="minorHAnsi"/>
          <w:bCs/>
          <w:lang w:val="en-GB" w:eastAsia="en-GB"/>
        </w:rPr>
        <w:t>previously published:</w:t>
      </w:r>
      <w:r w:rsidR="006C362A" w:rsidRPr="006C362A">
        <w:rPr>
          <w:rFonts w:cstheme="minorHAnsi"/>
          <w:bCs/>
          <w:lang w:val="en-GB" w:eastAsia="en-GB"/>
        </w:rPr>
        <w:t xml:space="preserve"> interobserver reliability (0.74) and </w:t>
      </w:r>
      <w:proofErr w:type="spellStart"/>
      <w:r w:rsidR="006C362A" w:rsidRPr="006C362A">
        <w:rPr>
          <w:rFonts w:cstheme="minorHAnsi"/>
          <w:bCs/>
          <w:lang w:val="en-GB" w:eastAsia="en-GB"/>
        </w:rPr>
        <w:t>intraobserver</w:t>
      </w:r>
      <w:proofErr w:type="spellEnd"/>
      <w:r w:rsidR="006C362A" w:rsidRPr="006C362A">
        <w:rPr>
          <w:rFonts w:cstheme="minorHAnsi"/>
          <w:bCs/>
          <w:lang w:val="en-GB" w:eastAsia="en-GB"/>
        </w:rPr>
        <w:t xml:space="preserve"> reliability (0.73)</w:t>
      </w:r>
      <w:r w:rsidR="006C362A">
        <w:rPr>
          <w:rFonts w:cstheme="minorHAnsi"/>
          <w:bCs/>
          <w:lang w:val="en-GB" w:eastAsia="en-GB"/>
        </w:rPr>
        <w:t>.</w:t>
      </w:r>
      <w:r w:rsidR="006C362A">
        <w:rPr>
          <w:rFonts w:cstheme="minorHAnsi"/>
          <w:bCs/>
          <w:lang w:val="en-GB" w:eastAsia="en-GB"/>
        </w:rPr>
        <w:fldChar w:fldCharType="begin" w:fldLock="1"/>
      </w:r>
      <w:r w:rsidR="006C362A">
        <w:rPr>
          <w:rFonts w:cstheme="minorHAnsi"/>
          <w:bCs/>
          <w:lang w:val="en-GB" w:eastAsia="en-GB"/>
        </w:rPr>
        <w:instrText>ADDIN CSL_CITATION {"citationItems":[{"id":"ITEM-1","itemData":{"DOI":"10.1007/s11999-008-0242-3","ISSN":"0009-921X","abstract":"The goal of the Bernese periacetabular osteotomy is to correct the\ndeficient acetabular coverage in hips with developmental dysplasia to\nprevent secondary osteoarthrosis. We determined the 20-year survivorship\nof symptomatic patients treated with this procedure, determined the\nclinical and radiographic outcomes of the surviving hips, and identified\nfactors predicting poor outcome. We retrospectively evaluated the first\n63 patients (75 hips) who underwent periacetabular osteotomy at the\ninstitution where this technique was developed. The mean age of the\npatients at surgery was 29 years (range, 13-56 years), and\npreoperatively 24% presented with advanced grades of osteoarthritis.\nFour patients (five hips) were lost to followup and one patient (two\nhips) died. The remaining 58 patients (68 hips) were followed for a\nminimum of 19 years (mean, 20.4 years; range, 19-23 years) and 41 hips\n(60%) were preserved at last followup. The overall mean Merle d'Aubigne\nand Postel score decreased in comparison to the 10-year value and was\nsimilar to the preoperative score. We observed no major changes in any\nof the radiographic parameters during the 20-year postoperative period\nexcept the osteoarthritis score. We identified six factors predicting\npoor outcome: age at surgery, preoperative Merle d'Aubigne and Postel\nscore, positive anterior impingement test, limp, osteoarthrosis grade,\nand the postoperative extrusion index. Periacetabular osteotomy is an\neffective technique for treating symptomatic developmental dysplasia of\nthe hip and can maintain the natural hip at least 19 years in selected\npatients.","author":[{"dropping-particle":"","family":"Steppacher","given":"Simon D","non-dropping-particle":"","parse-names":false,"suffix":""},{"dropping-particle":"","family":"Tannast","given":"Moritz","non-dropping-particle":"","parse-names":false,"suffix":""},{"dropping-particle":"","family":"Ganz","given":"Reinhold","non-dropping-particle":"","parse-names":false,"suffix":""},{"dropping-particle":"","family":"Siebenrock","given":"Klaus A","non-dropping-particle":"","parse-names":false,"suffix":""}],"container-title":"CLINICAL ORTHOPAEDICS AND RELATED RESEARCH","id":"ITEM-1","issue":"7","issued":{"date-parts":[["2008","7"]]},"page":"1633-1644","title":"Mean 20-year followup of bernese periacetabular osteotomy","type":"article-journal","volume":"466"},"uris":["http://www.mendeley.com/documents/?uuid=477f3839-d834-401b-90cb-e11b300084ff"]}],"mendeley":{"formattedCitation":"&lt;sup&gt;39&lt;/sup&gt;","plainTextFormattedCitation":"39"},"properties":{"noteIndex":0},"schema":"https://github.com/citation-style-language/schema/raw/master/csl-citation.json"}</w:instrText>
      </w:r>
      <w:r w:rsidR="006C362A">
        <w:rPr>
          <w:rFonts w:cstheme="minorHAnsi"/>
          <w:bCs/>
          <w:lang w:val="en-GB" w:eastAsia="en-GB"/>
        </w:rPr>
        <w:fldChar w:fldCharType="separate"/>
      </w:r>
      <w:r w:rsidR="006C362A" w:rsidRPr="006C362A">
        <w:rPr>
          <w:rFonts w:cstheme="minorHAnsi"/>
          <w:bCs/>
          <w:noProof/>
          <w:vertAlign w:val="superscript"/>
          <w:lang w:val="en-GB" w:eastAsia="en-GB"/>
        </w:rPr>
        <w:t>39</w:t>
      </w:r>
      <w:r w:rsidR="006C362A">
        <w:rPr>
          <w:rFonts w:cstheme="minorHAnsi"/>
          <w:bCs/>
          <w:lang w:val="en-GB" w:eastAsia="en-GB"/>
        </w:rPr>
        <w:fldChar w:fldCharType="end"/>
      </w:r>
    </w:p>
    <w:p w14:paraId="1BD64055" w14:textId="222D74ED" w:rsidR="00F472A0" w:rsidRPr="007A114B" w:rsidRDefault="00A94397" w:rsidP="00F472A0">
      <w:pPr>
        <w:spacing w:after="120" w:line="480" w:lineRule="auto"/>
        <w:jc w:val="both"/>
        <w:rPr>
          <w:rFonts w:cstheme="minorHAnsi"/>
          <w:bCs/>
          <w:lang w:val="en-GB" w:eastAsia="en-GB"/>
        </w:rPr>
      </w:pPr>
      <w:r w:rsidRPr="007A114B">
        <w:rPr>
          <w:rFonts w:cstheme="minorHAnsi"/>
          <w:bCs/>
          <w:lang w:val="en-GB" w:eastAsia="en-GB"/>
        </w:rPr>
        <w:t xml:space="preserve">The strengths of our </w:t>
      </w:r>
      <w:r w:rsidR="00BD1089" w:rsidRPr="007A114B">
        <w:rPr>
          <w:rFonts w:cstheme="minorHAnsi"/>
          <w:bCs/>
          <w:lang w:val="en-GB" w:eastAsia="en-GB"/>
        </w:rPr>
        <w:t>systematic review</w:t>
      </w:r>
      <w:r w:rsidRPr="007A114B">
        <w:rPr>
          <w:rFonts w:cstheme="minorHAnsi"/>
          <w:bCs/>
          <w:lang w:val="en-GB" w:eastAsia="en-GB"/>
        </w:rPr>
        <w:t xml:space="preserve"> </w:t>
      </w:r>
      <w:r w:rsidR="002620BB" w:rsidRPr="007A114B">
        <w:rPr>
          <w:rFonts w:cstheme="minorHAnsi"/>
          <w:bCs/>
          <w:lang w:val="en-GB" w:eastAsia="en-GB"/>
        </w:rPr>
        <w:t>are</w:t>
      </w:r>
      <w:r w:rsidRPr="007A114B">
        <w:rPr>
          <w:rFonts w:cstheme="minorHAnsi"/>
          <w:bCs/>
          <w:lang w:val="en-GB" w:eastAsia="en-GB"/>
        </w:rPr>
        <w:t xml:space="preserve"> represented by rigorous </w:t>
      </w:r>
      <w:r w:rsidR="00410A00" w:rsidRPr="007A114B">
        <w:rPr>
          <w:rFonts w:cstheme="minorHAnsi"/>
          <w:bCs/>
          <w:lang w:val="en-GB" w:eastAsia="en-GB"/>
        </w:rPr>
        <w:t>methodology and selection</w:t>
      </w:r>
      <w:r w:rsidRPr="007A114B">
        <w:rPr>
          <w:rFonts w:cstheme="minorHAnsi"/>
          <w:bCs/>
          <w:lang w:val="en-GB" w:eastAsia="en-GB"/>
        </w:rPr>
        <w:t xml:space="preserve"> criteri</w:t>
      </w:r>
      <w:r w:rsidR="00410A00" w:rsidRPr="007A114B">
        <w:rPr>
          <w:rFonts w:cstheme="minorHAnsi"/>
          <w:bCs/>
          <w:lang w:val="en-GB" w:eastAsia="en-GB"/>
        </w:rPr>
        <w:t>a</w:t>
      </w:r>
      <w:r w:rsidRPr="007A114B">
        <w:rPr>
          <w:rFonts w:cstheme="minorHAnsi"/>
          <w:bCs/>
          <w:lang w:val="en-GB" w:eastAsia="en-GB"/>
        </w:rPr>
        <w:t xml:space="preserve">. </w:t>
      </w:r>
      <w:r w:rsidR="006C5CBD" w:rsidRPr="007A114B">
        <w:rPr>
          <w:rFonts w:cstheme="minorHAnsi"/>
          <w:bCs/>
          <w:lang w:val="en-GB" w:eastAsia="en-GB"/>
        </w:rPr>
        <w:t>The methodology used international guidance and followed the PRISMA guidelines.</w:t>
      </w:r>
      <w:r w:rsidR="006C5CBD" w:rsidRPr="007221CC">
        <w:rPr>
          <w:rFonts w:cstheme="minorHAnsi"/>
          <w:bCs/>
          <w:lang w:val="en-GB" w:eastAsia="en-GB"/>
        </w:rPr>
        <w:fldChar w:fldCharType="begin" w:fldLock="1"/>
      </w:r>
      <w:r w:rsidR="006A1D58" w:rsidRPr="007A114B">
        <w:rPr>
          <w:rFonts w:cstheme="minorHAnsi"/>
          <w:bCs/>
          <w:lang w:val="en-GB" w:eastAsia="en-GB"/>
        </w:rPr>
        <w:instrText>ADDIN CSL_CITATION {"citationItems":[{"id":"ITEM-1","itemData":{"DOI":"10.1136/bmj.n71","author":[{"dropping-particle":"","family":"Page","given":"Matthew J","non-dropping-particle":"","parse-names":false,"suffix":""},{"dropping-particle":"","family":"McKenzie","given":"Joanne E","non-dropping-particle":"","parse-names":false,"suffix":""},{"dropping-particle":"","family":"Bossuyt","given":"Patrick M","non-dropping-particle":"","parse-names":false,"suffix":""},{"dropping-particle":"","family":"Boutron","given":"Isabelle","non-dropping-particle":"","parse-names":false,"suffix":""},{"dropping-particle":"","family":"Hoffmann","given":"Tammy C","non-dropping-particle":"","parse-names":false,"suffix":""},{"dropping-particle":"","family":"Mulrow","given":"Cynthia D","non-dropping-particle":"","parse-names":false,"suffix":""},{"dropping-particle":"","family":"Shamseer","given":"Larissa","non-dropping-particle":"","parse-names":false,"suffix":""},{"dropping-particle":"","family":"Tetzlaff","given":"Jennifer M","non-dropping-particle":"","parse-names":false,"suffix":""},{"dropping-particle":"","family":"Akl","given":"Elie A","non-dropping-particle":"","parse-names":false,"suffix":""},{"dropping-particle":"","family":"Brennan","given":"Sue E","non-dropping-particle":"","parse-names":false,"suffix":""},{"dropping-particle":"","family":"Chou","given":"Roger","non-dropping-particle":"","parse-names":false,"suffix":""},{"dropping-particle":"","family":"Glanville","given":"Julie","non-dropping-particle":"","parse-names":false,"suffix":""},{"dropping-particle":"","family":"Grimshaw","given":"Jeremy M","non-dropping-particle":"","parse-names":false,"suffix":""},{"dropping-particle":"","family":"Hróbjartsson","given":"Asbjørn","non-dropping-particle":"","parse-names":false,"suffix":""},{"dropping-particle":"","family":"Lalu","given":"Manoj M","non-dropping-particle":"","parse-names":false,"suffix":""},{"dropping-particle":"","family":"Li","given":"Tianjing","non-dropping-particle":"","parse-names":false,"suffix":""},{"dropping-particle":"","family":"Loder","given":"Elizabeth W","non-dropping-particle":"","parse-names":false,"suffix":""},{"dropping-particle":"","family":"Mayo-Wilson","given":"Evan","non-dropping-particle":"","parse-names":false,"suffix":""},{"dropping-particle":"","family":"McDonald","given":"Steve","non-dropping-particle":"","parse-names":false,"suffix":""},{"dropping-particle":"","family":"McGuinness","given":"Luke A","non-dropping-particle":"","parse-names":false,"suffix":""},{"dropping-particle":"","family":"Stewart","given":"Lesley A","non-dropping-particle":"","parse-names":false,"suffix":""},{"dropping-particle":"","family":"Thomas","given":"James","non-dropping-particle":"","parse-names":false,"suffix":""},{"dropping-particle":"","family":"Tricco","given":"Andrea C","non-dropping-particle":"","parse-names":false,"suffix":""},{"dropping-particle":"","family":"Welch","given":"Vivian A","non-dropping-particle":"","parse-names":false,"suffix":""},{"dropping-particle":"","family":"Whiting","given":"Penny","non-dropping-particle":"","parse-names":false,"suffix":""},{"dropping-particle":"","family":"Moher","given":"David","non-dropping-particle":"","parse-names":false,"suffix":""}],"container-title":"BMJ","id":"ITEM-1","issued":{"date-parts":[["2021"]]},"publisher":"BMJ Publishing Group Ltd","title":"The PRISMA 2020 statement: an updated guideline for reporting systematic reviews","type":"article-journal","volume":"372"},"uris":["http://www.mendeley.com/documents/?uuid=8269ae26-1f3c-4a19-b06c-94da07fde4bc"]}],"mendeley":{"formattedCitation":"&lt;sup&gt;18&lt;/sup&gt;","plainTextFormattedCitation":"18","previouslyFormattedCitation":"&lt;sup&gt;18&lt;/sup&gt;"},"properties":{"noteIndex":0},"schema":"https://github.com/citation-style-language/schema/raw/master/csl-citation.json"}</w:instrText>
      </w:r>
      <w:r w:rsidR="006C5CBD" w:rsidRPr="007221CC">
        <w:rPr>
          <w:rFonts w:cstheme="minorHAnsi"/>
          <w:bCs/>
          <w:lang w:val="en-GB" w:eastAsia="en-GB"/>
        </w:rPr>
        <w:fldChar w:fldCharType="separate"/>
      </w:r>
      <w:r w:rsidR="005A2934" w:rsidRPr="007A114B">
        <w:rPr>
          <w:rFonts w:cstheme="minorHAnsi"/>
          <w:bCs/>
          <w:noProof/>
          <w:vertAlign w:val="superscript"/>
          <w:lang w:val="en-GB" w:eastAsia="en-GB"/>
        </w:rPr>
        <w:t>18</w:t>
      </w:r>
      <w:r w:rsidR="006C5CBD" w:rsidRPr="007221CC">
        <w:rPr>
          <w:rFonts w:cstheme="minorHAnsi"/>
          <w:bCs/>
          <w:lang w:val="en-GB" w:eastAsia="en-GB"/>
        </w:rPr>
        <w:fldChar w:fldCharType="end"/>
      </w:r>
      <w:r w:rsidR="006C5CBD" w:rsidRPr="007A114B">
        <w:rPr>
          <w:rFonts w:cstheme="minorHAnsi"/>
          <w:bCs/>
          <w:lang w:val="en-GB" w:eastAsia="en-GB"/>
        </w:rPr>
        <w:t xml:space="preserve"> A standardized tool (MINORs) for risk of bias assessment was used for all studies, which were non-randomized and were appropriately critically appraised. </w:t>
      </w:r>
      <w:r w:rsidR="00410A00" w:rsidRPr="007A114B">
        <w:rPr>
          <w:rFonts w:cstheme="minorHAnsi"/>
          <w:bCs/>
          <w:lang w:val="en-GB" w:eastAsia="en-GB"/>
        </w:rPr>
        <w:t xml:space="preserve">Appropriate </w:t>
      </w:r>
      <w:r w:rsidR="006C5CBD" w:rsidRPr="007A114B">
        <w:rPr>
          <w:rFonts w:cstheme="minorHAnsi"/>
          <w:bCs/>
          <w:lang w:val="en-GB" w:eastAsia="en-GB"/>
        </w:rPr>
        <w:t>risk of bias assessment</w:t>
      </w:r>
      <w:r w:rsidR="00410A00" w:rsidRPr="007A114B">
        <w:rPr>
          <w:rFonts w:cstheme="minorHAnsi"/>
          <w:bCs/>
          <w:lang w:val="en-GB" w:eastAsia="en-GB"/>
        </w:rPr>
        <w:t xml:space="preserve"> </w:t>
      </w:r>
      <w:r w:rsidR="002620BB" w:rsidRPr="007A114B">
        <w:rPr>
          <w:rFonts w:cstheme="minorHAnsi"/>
          <w:bCs/>
          <w:lang w:val="en-GB" w:eastAsia="en-GB"/>
        </w:rPr>
        <w:t>allowed</w:t>
      </w:r>
      <w:r w:rsidR="00E02A6C" w:rsidRPr="007A114B">
        <w:rPr>
          <w:rFonts w:cstheme="minorHAnsi"/>
          <w:bCs/>
          <w:lang w:val="en-GB" w:eastAsia="en-GB"/>
        </w:rPr>
        <w:t xml:space="preserve"> objective evaluation of the evidence level</w:t>
      </w:r>
      <w:r w:rsidR="002620BB" w:rsidRPr="007A114B">
        <w:rPr>
          <w:rFonts w:cstheme="minorHAnsi"/>
          <w:bCs/>
          <w:lang w:val="en-GB" w:eastAsia="en-GB"/>
        </w:rPr>
        <w:t xml:space="preserve"> and highlighted all the weaknesses and sources of bias and heterogeneity</w:t>
      </w:r>
      <w:r w:rsidR="00E02A6C" w:rsidRPr="007A114B">
        <w:rPr>
          <w:rFonts w:cstheme="minorHAnsi"/>
          <w:bCs/>
          <w:lang w:val="en-GB" w:eastAsia="en-GB"/>
        </w:rPr>
        <w:t>.</w:t>
      </w:r>
      <w:r w:rsidR="00F472A0" w:rsidRPr="007A114B">
        <w:rPr>
          <w:rFonts w:cstheme="minorHAnsi"/>
          <w:bCs/>
          <w:lang w:val="en-GB" w:eastAsia="en-GB"/>
        </w:rPr>
        <w:t xml:space="preserve"> </w:t>
      </w:r>
    </w:p>
    <w:p w14:paraId="0D979FA1" w14:textId="77777777" w:rsidR="008D7219" w:rsidRPr="007A114B" w:rsidRDefault="008D7219" w:rsidP="00F842A5">
      <w:pPr>
        <w:spacing w:after="120" w:line="480" w:lineRule="auto"/>
        <w:jc w:val="both"/>
        <w:rPr>
          <w:rFonts w:cstheme="minorHAnsi"/>
          <w:bCs/>
          <w:lang w:val="en-GB" w:eastAsia="en-GB"/>
        </w:rPr>
      </w:pPr>
    </w:p>
    <w:p w14:paraId="05D360DE" w14:textId="06C30ACC" w:rsidR="00563427" w:rsidRPr="007A114B" w:rsidRDefault="00563427" w:rsidP="001E1099">
      <w:pPr>
        <w:pStyle w:val="Heading1"/>
        <w:rPr>
          <w:lang w:eastAsia="en-GB"/>
        </w:rPr>
      </w:pPr>
      <w:r w:rsidRPr="007A114B">
        <w:rPr>
          <w:lang w:eastAsia="en-GB"/>
        </w:rPr>
        <w:t>CONCLUSION</w:t>
      </w:r>
    </w:p>
    <w:p w14:paraId="061F3D11" w14:textId="1E4C569E" w:rsidR="0009284B" w:rsidRPr="007A114B" w:rsidRDefault="00FD0ADF" w:rsidP="00FD0ADF">
      <w:pPr>
        <w:spacing w:after="120" w:line="480" w:lineRule="auto"/>
        <w:jc w:val="both"/>
        <w:rPr>
          <w:rFonts w:cstheme="minorHAnsi"/>
          <w:bCs/>
          <w:lang w:val="en-GB" w:eastAsia="en-GB"/>
        </w:rPr>
      </w:pPr>
      <w:r w:rsidRPr="007A114B">
        <w:rPr>
          <w:rFonts w:eastAsia="Calibri" w:cstheme="minorHAnsi"/>
          <w:lang w:val="en-GB"/>
        </w:rPr>
        <w:t xml:space="preserve">There is currently contradictory </w:t>
      </w:r>
      <w:r w:rsidR="00C244CC">
        <w:rPr>
          <w:rFonts w:eastAsia="Calibri" w:cstheme="minorHAnsi"/>
          <w:lang w:val="en-GB"/>
        </w:rPr>
        <w:t xml:space="preserve">and insufficient </w:t>
      </w:r>
      <w:r w:rsidRPr="007A114B">
        <w:rPr>
          <w:rFonts w:eastAsia="Calibri" w:cstheme="minorHAnsi"/>
          <w:lang w:val="en-GB"/>
        </w:rPr>
        <w:t xml:space="preserve">evidence regarding the efficacy of HA for hips with FAI and concomitant OA </w:t>
      </w:r>
      <w:proofErr w:type="spellStart"/>
      <w:r w:rsidRPr="007A114B">
        <w:rPr>
          <w:rFonts w:eastAsia="Calibri" w:cstheme="minorHAnsi"/>
          <w:lang w:val="en-GB"/>
        </w:rPr>
        <w:t>Tönnis</w:t>
      </w:r>
      <w:proofErr w:type="spellEnd"/>
      <w:r w:rsidRPr="007A114B">
        <w:rPr>
          <w:rFonts w:eastAsia="Calibri" w:cstheme="minorHAnsi"/>
          <w:lang w:val="en-GB"/>
        </w:rPr>
        <w:t xml:space="preserve"> 2 or greater. This </w:t>
      </w:r>
      <w:r w:rsidR="007221CC">
        <w:rPr>
          <w:rFonts w:eastAsia="Calibri" w:cstheme="minorHAnsi"/>
          <w:lang w:val="en-GB"/>
        </w:rPr>
        <w:t xml:space="preserve">is </w:t>
      </w:r>
      <w:r w:rsidRPr="007A114B">
        <w:rPr>
          <w:rFonts w:eastAsia="Calibri" w:cstheme="minorHAnsi"/>
          <w:lang w:val="en-GB"/>
        </w:rPr>
        <w:t xml:space="preserve">in the context of low-evidence data </w:t>
      </w:r>
      <w:r w:rsidR="000728AB" w:rsidRPr="007A114B">
        <w:rPr>
          <w:rFonts w:eastAsia="Calibri" w:cstheme="minorHAnsi"/>
          <w:lang w:val="en-GB"/>
        </w:rPr>
        <w:t xml:space="preserve">mainly consisting of retrospective case series (level IV) </w:t>
      </w:r>
      <w:r w:rsidRPr="007A114B">
        <w:rPr>
          <w:rFonts w:eastAsia="Calibri" w:cstheme="minorHAnsi"/>
          <w:lang w:val="en-GB"/>
        </w:rPr>
        <w:t>with high risk of bias and high heterogeneity</w:t>
      </w:r>
      <w:r w:rsidR="000728AB" w:rsidRPr="007A114B">
        <w:rPr>
          <w:rFonts w:eastAsia="Calibri" w:cstheme="minorHAnsi"/>
          <w:lang w:val="en-GB"/>
        </w:rPr>
        <w:t xml:space="preserve"> (</w:t>
      </w:r>
      <w:r w:rsidR="006A1C96" w:rsidRPr="007A114B">
        <w:rPr>
          <w:rFonts w:cstheme="minorHAnsi"/>
          <w:lang w:val="en-GB" w:eastAsia="en-GB"/>
        </w:rPr>
        <w:t>I²~90%)</w:t>
      </w:r>
      <w:r w:rsidRPr="007A114B">
        <w:rPr>
          <w:rFonts w:eastAsia="Calibri" w:cstheme="minorHAnsi"/>
          <w:lang w:val="en-GB"/>
        </w:rPr>
        <w:t xml:space="preserve">. </w:t>
      </w:r>
    </w:p>
    <w:p w14:paraId="69DC8C81" w14:textId="77777777" w:rsidR="001E1099" w:rsidRDefault="001E1099">
      <w:pPr>
        <w:rPr>
          <w:rFonts w:cstheme="minorHAnsi"/>
          <w:b/>
          <w:lang w:val="en-GB" w:eastAsia="en-GB"/>
        </w:rPr>
      </w:pPr>
      <w:r>
        <w:rPr>
          <w:rFonts w:cstheme="minorHAnsi"/>
          <w:b/>
          <w:lang w:val="en-GB" w:eastAsia="en-GB"/>
        </w:rPr>
        <w:br w:type="page"/>
      </w:r>
    </w:p>
    <w:p w14:paraId="463A5FC1" w14:textId="771B3566" w:rsidR="00F46F71" w:rsidRPr="007A114B" w:rsidRDefault="008D7219" w:rsidP="001E1099">
      <w:pPr>
        <w:pStyle w:val="Heading1"/>
        <w:rPr>
          <w:lang w:eastAsia="en-GB"/>
        </w:rPr>
      </w:pPr>
      <w:r w:rsidRPr="007A114B">
        <w:rPr>
          <w:lang w:eastAsia="en-GB"/>
        </w:rPr>
        <w:lastRenderedPageBreak/>
        <w:t>FIGURE LEGENDS</w:t>
      </w:r>
    </w:p>
    <w:p w14:paraId="79095164" w14:textId="227707F2" w:rsidR="008D7219" w:rsidRPr="007A114B" w:rsidRDefault="008D7219" w:rsidP="00FD0ADF">
      <w:pPr>
        <w:spacing w:after="120" w:line="480" w:lineRule="auto"/>
        <w:jc w:val="both"/>
        <w:rPr>
          <w:rFonts w:cstheme="minorHAnsi"/>
          <w:b/>
          <w:lang w:val="en-GB" w:eastAsia="en-GB"/>
        </w:rPr>
      </w:pPr>
      <w:r w:rsidRPr="007A114B">
        <w:rPr>
          <w:rFonts w:cstheme="minorHAnsi"/>
          <w:b/>
          <w:lang w:val="en-GB" w:eastAsia="en-GB"/>
        </w:rPr>
        <w:t xml:space="preserve">Figure 1. </w:t>
      </w:r>
      <w:r w:rsidR="00A2210E" w:rsidRPr="007A114B">
        <w:rPr>
          <w:rFonts w:cstheme="minorHAnsi"/>
          <w:bCs/>
          <w:lang w:val="en-GB" w:eastAsia="en-GB"/>
        </w:rPr>
        <w:t>Flowchart of the systematic search using the PRISMA guidelines.</w:t>
      </w:r>
    </w:p>
    <w:p w14:paraId="5ABE3150" w14:textId="61461F46" w:rsidR="008D7219" w:rsidRPr="007A114B" w:rsidRDefault="008D7219" w:rsidP="00FD0ADF">
      <w:pPr>
        <w:spacing w:after="120" w:line="480" w:lineRule="auto"/>
        <w:jc w:val="both"/>
        <w:rPr>
          <w:rFonts w:cstheme="minorHAnsi"/>
          <w:bCs/>
          <w:lang w:val="en-GB" w:eastAsia="en-GB"/>
        </w:rPr>
      </w:pPr>
      <w:r w:rsidRPr="007A114B">
        <w:rPr>
          <w:rFonts w:cstheme="minorHAnsi"/>
          <w:b/>
          <w:lang w:val="en-GB" w:eastAsia="en-GB"/>
        </w:rPr>
        <w:t xml:space="preserve">Figure 2. </w:t>
      </w:r>
      <w:r w:rsidR="0045236A" w:rsidRPr="007A114B">
        <w:rPr>
          <w:rFonts w:cstheme="minorHAnsi"/>
          <w:bCs/>
          <w:lang w:val="en-GB" w:eastAsia="en-GB"/>
        </w:rPr>
        <w:t xml:space="preserve">Forest plot depicting the odds ratio of patients that received HA for FAI and concomitant </w:t>
      </w:r>
      <w:proofErr w:type="spellStart"/>
      <w:r w:rsidR="0045236A" w:rsidRPr="007A114B">
        <w:rPr>
          <w:rFonts w:cstheme="minorHAnsi"/>
          <w:bCs/>
          <w:lang w:val="en-GB" w:eastAsia="en-GB"/>
        </w:rPr>
        <w:t>Tönnis</w:t>
      </w:r>
      <w:proofErr w:type="spellEnd"/>
      <w:r w:rsidR="0045236A" w:rsidRPr="007A114B">
        <w:rPr>
          <w:rFonts w:cstheme="minorHAnsi"/>
          <w:bCs/>
          <w:lang w:val="en-GB" w:eastAsia="en-GB"/>
        </w:rPr>
        <w:t xml:space="preserve"> Grade 2 or greater hip OA to ultimately undergo a THA. Confidence intervals (95%) are </w:t>
      </w:r>
      <w:proofErr w:type="gramStart"/>
      <w:r w:rsidR="0045236A" w:rsidRPr="007A114B">
        <w:rPr>
          <w:rFonts w:cstheme="minorHAnsi"/>
          <w:bCs/>
          <w:lang w:val="en-GB" w:eastAsia="en-GB"/>
        </w:rPr>
        <w:t>given</w:t>
      </w:r>
      <w:proofErr w:type="gramEnd"/>
      <w:r w:rsidR="0045236A" w:rsidRPr="007A114B">
        <w:rPr>
          <w:rFonts w:cstheme="minorHAnsi"/>
          <w:bCs/>
          <w:lang w:val="en-GB" w:eastAsia="en-GB"/>
        </w:rPr>
        <w:t xml:space="preserve"> and the heterogeneity was quantified using </w:t>
      </w:r>
      <w:r w:rsidR="0045236A" w:rsidRPr="007A114B">
        <w:rPr>
          <w:rFonts w:cstheme="minorHAnsi"/>
          <w:lang w:val="en-GB" w:eastAsia="en-GB"/>
        </w:rPr>
        <w:t>a I² test</w:t>
      </w:r>
      <w:r w:rsidR="0045236A" w:rsidRPr="007A114B">
        <w:rPr>
          <w:rFonts w:cstheme="minorHAnsi"/>
          <w:bCs/>
          <w:lang w:val="en-GB" w:eastAsia="en-GB"/>
        </w:rPr>
        <w:t xml:space="preserve">. </w:t>
      </w:r>
    </w:p>
    <w:p w14:paraId="28E17166" w14:textId="35040648" w:rsidR="00F46F71" w:rsidRPr="007A114B" w:rsidRDefault="00F46F71" w:rsidP="00FD0ADF">
      <w:pPr>
        <w:spacing w:after="120" w:line="480" w:lineRule="auto"/>
        <w:jc w:val="both"/>
        <w:rPr>
          <w:rFonts w:cstheme="minorHAnsi"/>
          <w:bCs/>
          <w:lang w:val="en-GB" w:eastAsia="en-GB"/>
        </w:rPr>
      </w:pPr>
    </w:p>
    <w:p w14:paraId="7671D391" w14:textId="7625E041" w:rsidR="00F46F71" w:rsidRPr="007A114B" w:rsidRDefault="001E1099" w:rsidP="001E1099">
      <w:pPr>
        <w:pStyle w:val="Heading1"/>
        <w:rPr>
          <w:lang w:eastAsia="en-GB"/>
        </w:rPr>
      </w:pPr>
      <w:r>
        <w:rPr>
          <w:lang w:eastAsia="en-GB"/>
        </w:rPr>
        <w:t>TABLES</w:t>
      </w:r>
    </w:p>
    <w:p w14:paraId="54A6DA61" w14:textId="5FAC2E72" w:rsidR="00ED4E79" w:rsidRPr="007A114B" w:rsidRDefault="00ED4E79" w:rsidP="00CE0882">
      <w:pPr>
        <w:keepLines/>
        <w:spacing w:after="120" w:line="276" w:lineRule="auto"/>
        <w:jc w:val="both"/>
        <w:rPr>
          <w:rFonts w:eastAsia="Candara" w:cstheme="minorHAnsi"/>
          <w:b/>
          <w:color w:val="000000"/>
          <w:lang w:val="en-GB" w:bidi="he-IL"/>
        </w:rPr>
      </w:pPr>
      <w:r w:rsidRPr="007A114B">
        <w:rPr>
          <w:rFonts w:eastAsia="Candara" w:cstheme="minorHAnsi"/>
          <w:b/>
          <w:color w:val="000000"/>
          <w:lang w:val="en-GB" w:bidi="he-IL"/>
        </w:rPr>
        <w:t>Table 1</w:t>
      </w:r>
      <w:r w:rsidR="002937DE" w:rsidRPr="007A114B">
        <w:rPr>
          <w:rFonts w:eastAsia="Candara" w:cstheme="minorHAnsi"/>
          <w:b/>
          <w:color w:val="000000"/>
          <w:lang w:val="en-GB" w:bidi="he-IL"/>
        </w:rPr>
        <w:t xml:space="preserve">. </w:t>
      </w:r>
      <w:r w:rsidRPr="007A114B">
        <w:rPr>
          <w:rFonts w:eastAsia="Candara" w:cstheme="minorHAnsi"/>
          <w:bCs/>
          <w:color w:val="000000"/>
          <w:lang w:val="en-GB" w:bidi="he-IL"/>
        </w:rPr>
        <w:t xml:space="preserve">Inclusion and </w:t>
      </w:r>
      <w:r w:rsidR="00D27E83" w:rsidRPr="007A114B">
        <w:rPr>
          <w:rFonts w:eastAsia="Candara" w:cstheme="minorHAnsi"/>
          <w:bCs/>
          <w:color w:val="000000"/>
          <w:lang w:val="en-GB" w:bidi="he-IL"/>
        </w:rPr>
        <w:t>e</w:t>
      </w:r>
      <w:r w:rsidRPr="007A114B">
        <w:rPr>
          <w:rFonts w:eastAsia="Candara" w:cstheme="minorHAnsi"/>
          <w:bCs/>
          <w:color w:val="000000"/>
          <w:lang w:val="en-GB" w:bidi="he-IL"/>
        </w:rPr>
        <w:t xml:space="preserve">xclusion </w:t>
      </w:r>
      <w:r w:rsidR="00D27E83" w:rsidRPr="007A114B">
        <w:rPr>
          <w:rFonts w:eastAsia="Candara" w:cstheme="minorHAnsi"/>
          <w:bCs/>
          <w:color w:val="000000"/>
          <w:lang w:val="en-GB" w:bidi="he-IL"/>
        </w:rPr>
        <w:t>cr</w:t>
      </w:r>
      <w:r w:rsidRPr="007A114B">
        <w:rPr>
          <w:rFonts w:eastAsia="Candara" w:cstheme="minorHAnsi"/>
          <w:bCs/>
          <w:color w:val="000000"/>
          <w:lang w:val="en-GB" w:bidi="he-IL"/>
        </w:rPr>
        <w:t>iteria</w:t>
      </w:r>
    </w:p>
    <w:tbl>
      <w:tblPr>
        <w:tblW w:w="9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7"/>
        <w:gridCol w:w="4557"/>
      </w:tblGrid>
      <w:tr w:rsidR="00ED4E79" w:rsidRPr="007A114B" w14:paraId="172B09D3" w14:textId="3D5EE576" w:rsidTr="00275855">
        <w:trPr>
          <w:trHeight w:val="380"/>
        </w:trPr>
        <w:tc>
          <w:tcPr>
            <w:tcW w:w="4557" w:type="dxa"/>
          </w:tcPr>
          <w:p w14:paraId="20148CB0" w14:textId="4A884906" w:rsidR="00ED4E79" w:rsidRPr="007A114B" w:rsidRDefault="00ED4E79" w:rsidP="00EE1BD7">
            <w:pPr>
              <w:keepLines/>
              <w:tabs>
                <w:tab w:val="right" w:pos="5387"/>
              </w:tabs>
              <w:spacing w:after="120" w:line="276" w:lineRule="auto"/>
              <w:jc w:val="both"/>
              <w:rPr>
                <w:rFonts w:eastAsia="Candara" w:cstheme="minorHAnsi"/>
                <w:b/>
                <w:lang w:val="en-GB" w:bidi="he-IL"/>
              </w:rPr>
            </w:pPr>
            <w:r w:rsidRPr="007A114B">
              <w:rPr>
                <w:rFonts w:eastAsia="Candara" w:cstheme="minorHAnsi"/>
                <w:b/>
                <w:lang w:val="en-GB" w:bidi="he-IL"/>
              </w:rPr>
              <w:t>Inclusion criteria</w:t>
            </w:r>
          </w:p>
        </w:tc>
        <w:tc>
          <w:tcPr>
            <w:tcW w:w="4557" w:type="dxa"/>
          </w:tcPr>
          <w:p w14:paraId="4F66006C" w14:textId="14D152B7" w:rsidR="00ED4E79" w:rsidRPr="007A114B" w:rsidRDefault="00ED4E79" w:rsidP="00EE1BD7">
            <w:pPr>
              <w:keepLines/>
              <w:tabs>
                <w:tab w:val="right" w:pos="5387"/>
              </w:tabs>
              <w:spacing w:after="120" w:line="276" w:lineRule="auto"/>
              <w:jc w:val="both"/>
              <w:rPr>
                <w:rFonts w:eastAsia="Candara" w:cstheme="minorHAnsi"/>
                <w:b/>
                <w:lang w:val="en-GB" w:bidi="he-IL"/>
              </w:rPr>
            </w:pPr>
            <w:r w:rsidRPr="007A114B">
              <w:rPr>
                <w:rFonts w:eastAsia="Candara" w:cstheme="minorHAnsi"/>
                <w:b/>
                <w:lang w:val="en-GB" w:bidi="he-IL"/>
              </w:rPr>
              <w:t>Exclusion criteria</w:t>
            </w:r>
          </w:p>
        </w:tc>
      </w:tr>
      <w:tr w:rsidR="00ED4E79" w:rsidRPr="007A114B" w14:paraId="0B618A33" w14:textId="05E935D8" w:rsidTr="008533E6">
        <w:trPr>
          <w:trHeight w:val="841"/>
        </w:trPr>
        <w:tc>
          <w:tcPr>
            <w:tcW w:w="4557" w:type="dxa"/>
          </w:tcPr>
          <w:p w14:paraId="6924AE47" w14:textId="45FF9E7C" w:rsidR="00ED4E79" w:rsidRPr="007A114B" w:rsidRDefault="00ED4E79" w:rsidP="00EE1BD7">
            <w:pPr>
              <w:keepLines/>
              <w:numPr>
                <w:ilvl w:val="0"/>
                <w:numId w:val="4"/>
              </w:numPr>
              <w:pBdr>
                <w:top w:val="nil"/>
                <w:left w:val="nil"/>
                <w:bottom w:val="nil"/>
                <w:right w:val="nil"/>
                <w:between w:val="nil"/>
              </w:pBdr>
              <w:tabs>
                <w:tab w:val="right" w:pos="5387"/>
              </w:tabs>
              <w:spacing w:after="120" w:line="276" w:lineRule="auto"/>
              <w:ind w:left="457" w:hanging="404"/>
              <w:jc w:val="both"/>
              <w:rPr>
                <w:rFonts w:eastAsia="Times New Roman" w:cstheme="minorHAnsi"/>
                <w:color w:val="000000"/>
                <w:lang w:val="en-GB" w:bidi="he-IL"/>
              </w:rPr>
            </w:pPr>
            <w:r w:rsidRPr="007A114B">
              <w:rPr>
                <w:rFonts w:eastAsia="Candara" w:cstheme="minorHAnsi"/>
                <w:color w:val="000000"/>
                <w:lang w:val="en-GB" w:bidi="he-IL"/>
              </w:rPr>
              <w:t xml:space="preserve">Studies </w:t>
            </w:r>
            <w:r w:rsidR="0062611D" w:rsidRPr="007A114B">
              <w:rPr>
                <w:rFonts w:eastAsia="Candara" w:cstheme="minorHAnsi"/>
                <w:color w:val="000000"/>
                <w:lang w:val="en-GB" w:bidi="he-IL"/>
              </w:rPr>
              <w:t>in English</w:t>
            </w:r>
            <w:r w:rsidR="00E5634D" w:rsidRPr="007A114B">
              <w:rPr>
                <w:rFonts w:eastAsia="Candara" w:cstheme="minorHAnsi"/>
                <w:color w:val="000000"/>
                <w:lang w:val="en-GB" w:bidi="he-IL"/>
              </w:rPr>
              <w:t xml:space="preserve"> or German</w:t>
            </w:r>
            <w:r w:rsidR="0062611D" w:rsidRPr="007A114B">
              <w:rPr>
                <w:rFonts w:eastAsia="Candara" w:cstheme="minorHAnsi"/>
                <w:color w:val="000000"/>
                <w:lang w:val="en-GB" w:bidi="he-IL"/>
              </w:rPr>
              <w:t xml:space="preserve"> language </w:t>
            </w:r>
            <w:r w:rsidRPr="007A114B">
              <w:rPr>
                <w:rFonts w:eastAsia="Candara" w:cstheme="minorHAnsi"/>
                <w:color w:val="000000"/>
                <w:lang w:val="en-GB" w:bidi="he-IL"/>
              </w:rPr>
              <w:t xml:space="preserve">that </w:t>
            </w:r>
            <w:r w:rsidR="0062611D" w:rsidRPr="007A114B">
              <w:rPr>
                <w:rFonts w:eastAsia="Candara" w:cstheme="minorHAnsi"/>
                <w:color w:val="000000"/>
                <w:lang w:val="en-GB" w:bidi="he-IL"/>
              </w:rPr>
              <w:t>investigated</w:t>
            </w:r>
            <w:r w:rsidRPr="007A114B">
              <w:rPr>
                <w:rFonts w:eastAsia="Candara" w:cstheme="minorHAnsi"/>
                <w:color w:val="000000"/>
                <w:lang w:val="en-GB" w:bidi="he-IL"/>
              </w:rPr>
              <w:t xml:space="preserve"> </w:t>
            </w:r>
            <w:r w:rsidR="0062611D" w:rsidRPr="007A114B">
              <w:rPr>
                <w:rFonts w:eastAsia="Candara" w:cstheme="minorHAnsi"/>
                <w:color w:val="000000"/>
                <w:lang w:val="en-GB" w:bidi="he-IL"/>
              </w:rPr>
              <w:t>hip arthroscopy</w:t>
            </w:r>
            <w:r w:rsidRPr="007A114B">
              <w:rPr>
                <w:rFonts w:eastAsia="Candara" w:cstheme="minorHAnsi"/>
                <w:color w:val="000000"/>
                <w:lang w:val="en-GB" w:bidi="he-IL"/>
              </w:rPr>
              <w:t xml:space="preserve"> alone as the only intervention</w:t>
            </w:r>
            <w:r w:rsidR="0062611D" w:rsidRPr="007A114B">
              <w:rPr>
                <w:rFonts w:eastAsia="Candara" w:cstheme="minorHAnsi"/>
                <w:color w:val="000000"/>
                <w:lang w:val="en-GB" w:bidi="he-IL"/>
              </w:rPr>
              <w:t xml:space="preserve"> without open surgery</w:t>
            </w:r>
          </w:p>
          <w:p w14:paraId="3F3ED6B3" w14:textId="3523B5AF" w:rsidR="00ED4E79" w:rsidRPr="007A114B" w:rsidRDefault="00ED4E79" w:rsidP="00EE1BD7">
            <w:pPr>
              <w:keepLines/>
              <w:numPr>
                <w:ilvl w:val="0"/>
                <w:numId w:val="4"/>
              </w:numPr>
              <w:pBdr>
                <w:top w:val="nil"/>
                <w:left w:val="nil"/>
                <w:bottom w:val="nil"/>
                <w:right w:val="nil"/>
                <w:between w:val="nil"/>
              </w:pBdr>
              <w:tabs>
                <w:tab w:val="right" w:pos="5387"/>
              </w:tabs>
              <w:spacing w:after="120" w:line="276" w:lineRule="auto"/>
              <w:ind w:left="457"/>
              <w:jc w:val="both"/>
              <w:rPr>
                <w:rFonts w:eastAsia="Times New Roman" w:cstheme="minorHAnsi"/>
                <w:color w:val="000000"/>
                <w:lang w:val="en-GB" w:bidi="he-IL"/>
              </w:rPr>
            </w:pPr>
            <w:r w:rsidRPr="007A114B">
              <w:rPr>
                <w:rFonts w:eastAsia="Candara" w:cstheme="minorHAnsi"/>
                <w:color w:val="000000"/>
                <w:lang w:val="en-GB" w:bidi="he-IL"/>
              </w:rPr>
              <w:t xml:space="preserve">Studies </w:t>
            </w:r>
            <w:r w:rsidR="0062611D" w:rsidRPr="007A114B">
              <w:rPr>
                <w:rFonts w:eastAsia="Candara" w:cstheme="minorHAnsi"/>
                <w:color w:val="000000"/>
                <w:lang w:val="en-GB" w:bidi="he-IL"/>
              </w:rPr>
              <w:t>that included</w:t>
            </w:r>
            <w:r w:rsidRPr="007A114B">
              <w:rPr>
                <w:rFonts w:eastAsia="Candara" w:cstheme="minorHAnsi"/>
                <w:color w:val="000000"/>
                <w:lang w:val="en-GB" w:bidi="he-IL"/>
              </w:rPr>
              <w:t xml:space="preserve"> patients with </w:t>
            </w:r>
            <w:proofErr w:type="spellStart"/>
            <w:r w:rsidR="0062611D" w:rsidRPr="007A114B">
              <w:rPr>
                <w:rFonts w:eastAsia="Candara" w:cstheme="minorHAnsi"/>
                <w:color w:val="000000"/>
                <w:lang w:val="en-GB" w:bidi="he-IL"/>
              </w:rPr>
              <w:t>femoroacetabular</w:t>
            </w:r>
            <w:proofErr w:type="spellEnd"/>
            <w:r w:rsidR="0062611D" w:rsidRPr="007A114B">
              <w:rPr>
                <w:rFonts w:eastAsia="Candara" w:cstheme="minorHAnsi"/>
                <w:color w:val="000000"/>
                <w:lang w:val="en-GB" w:bidi="he-IL"/>
              </w:rPr>
              <w:t xml:space="preserve"> impingement and </w:t>
            </w:r>
            <w:proofErr w:type="spellStart"/>
            <w:r w:rsidR="0062611D" w:rsidRPr="007A114B">
              <w:rPr>
                <w:rFonts w:eastAsia="Candara" w:cstheme="minorHAnsi"/>
                <w:color w:val="000000"/>
                <w:lang w:val="en-GB" w:bidi="he-IL"/>
              </w:rPr>
              <w:t>Tönnis</w:t>
            </w:r>
            <w:proofErr w:type="spellEnd"/>
            <w:r w:rsidR="0062611D" w:rsidRPr="007A114B">
              <w:rPr>
                <w:rFonts w:eastAsia="Candara" w:cstheme="minorHAnsi"/>
                <w:color w:val="000000"/>
                <w:lang w:val="en-GB" w:bidi="he-IL"/>
              </w:rPr>
              <w:t xml:space="preserve"> grade of osteoarthritis 2 or greater</w:t>
            </w:r>
          </w:p>
          <w:p w14:paraId="2E6EF709" w14:textId="272622D1" w:rsidR="0062611D" w:rsidRPr="007A114B" w:rsidRDefault="0062611D" w:rsidP="00EE1BD7">
            <w:pPr>
              <w:keepLines/>
              <w:numPr>
                <w:ilvl w:val="0"/>
                <w:numId w:val="4"/>
              </w:numPr>
              <w:pBdr>
                <w:top w:val="nil"/>
                <w:left w:val="nil"/>
                <w:bottom w:val="nil"/>
                <w:right w:val="nil"/>
                <w:between w:val="nil"/>
              </w:pBdr>
              <w:tabs>
                <w:tab w:val="right" w:pos="5387"/>
              </w:tabs>
              <w:spacing w:after="120" w:line="276" w:lineRule="auto"/>
              <w:ind w:left="457"/>
              <w:jc w:val="both"/>
              <w:rPr>
                <w:rFonts w:eastAsia="Times New Roman" w:cstheme="minorHAnsi"/>
                <w:color w:val="000000"/>
                <w:lang w:val="en-GB" w:bidi="he-IL"/>
              </w:rPr>
            </w:pPr>
            <w:r w:rsidRPr="007A114B">
              <w:rPr>
                <w:rFonts w:eastAsia="Candara" w:cstheme="minorHAnsi"/>
                <w:color w:val="000000"/>
                <w:lang w:val="en-GB" w:bidi="he-IL"/>
              </w:rPr>
              <w:t>Clinical and/or radiographic outcome was reported</w:t>
            </w:r>
          </w:p>
          <w:p w14:paraId="270319B9" w14:textId="1CED77B5" w:rsidR="0062611D" w:rsidRPr="007A114B" w:rsidRDefault="0062611D" w:rsidP="00EE1BD7">
            <w:pPr>
              <w:keepLines/>
              <w:numPr>
                <w:ilvl w:val="0"/>
                <w:numId w:val="4"/>
              </w:numPr>
              <w:pBdr>
                <w:top w:val="nil"/>
                <w:left w:val="nil"/>
                <w:bottom w:val="nil"/>
                <w:right w:val="nil"/>
                <w:between w:val="nil"/>
              </w:pBdr>
              <w:tabs>
                <w:tab w:val="right" w:pos="5387"/>
              </w:tabs>
              <w:spacing w:after="120" w:line="276" w:lineRule="auto"/>
              <w:ind w:left="457"/>
              <w:jc w:val="both"/>
              <w:rPr>
                <w:rFonts w:eastAsia="Times New Roman" w:cstheme="minorHAnsi"/>
                <w:color w:val="000000"/>
                <w:lang w:val="en-GB" w:bidi="he-IL"/>
              </w:rPr>
            </w:pPr>
            <w:r w:rsidRPr="007A114B">
              <w:rPr>
                <w:rFonts w:eastAsia="Candara" w:cstheme="minorHAnsi"/>
                <w:color w:val="000000"/>
                <w:lang w:val="en-GB" w:bidi="he-IL"/>
              </w:rPr>
              <w:t>Minimum follow-up of 6 months</w:t>
            </w:r>
          </w:p>
          <w:p w14:paraId="68BF62FF" w14:textId="57FA0F49" w:rsidR="00ED4E79" w:rsidRPr="007A114B" w:rsidRDefault="0062611D" w:rsidP="00EE1BD7">
            <w:pPr>
              <w:keepLines/>
              <w:numPr>
                <w:ilvl w:val="0"/>
                <w:numId w:val="4"/>
              </w:numPr>
              <w:pBdr>
                <w:top w:val="nil"/>
                <w:left w:val="nil"/>
                <w:bottom w:val="nil"/>
                <w:right w:val="nil"/>
                <w:between w:val="nil"/>
              </w:pBdr>
              <w:tabs>
                <w:tab w:val="right" w:pos="5387"/>
              </w:tabs>
              <w:spacing w:after="120" w:line="276" w:lineRule="auto"/>
              <w:ind w:left="457"/>
              <w:jc w:val="both"/>
              <w:rPr>
                <w:rFonts w:eastAsia="Times New Roman" w:cstheme="minorHAnsi"/>
                <w:color w:val="000000"/>
                <w:lang w:val="en-GB" w:bidi="he-IL"/>
              </w:rPr>
            </w:pPr>
            <w:r w:rsidRPr="007A114B">
              <w:rPr>
                <w:rFonts w:eastAsia="Candara" w:cstheme="minorHAnsi"/>
                <w:color w:val="000000"/>
                <w:lang w:val="en-GB" w:bidi="he-IL"/>
              </w:rPr>
              <w:t>Sample size equal or greater to 10 hips</w:t>
            </w:r>
          </w:p>
        </w:tc>
        <w:tc>
          <w:tcPr>
            <w:tcW w:w="4557" w:type="dxa"/>
          </w:tcPr>
          <w:p w14:paraId="1145C5E7" w14:textId="45D7E235" w:rsidR="00ED4E79" w:rsidRPr="007A114B" w:rsidRDefault="00F92E05"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 xml:space="preserve">Articles </w:t>
            </w:r>
            <w:r w:rsidR="00FA6193" w:rsidRPr="007A114B">
              <w:rPr>
                <w:rFonts w:eastAsia="Candara" w:cstheme="minorHAnsi"/>
                <w:color w:val="000000"/>
                <w:lang w:val="en-GB" w:bidi="he-IL"/>
              </w:rPr>
              <w:t>not written</w:t>
            </w:r>
            <w:r w:rsidRPr="007A114B">
              <w:rPr>
                <w:rFonts w:eastAsia="Candara" w:cstheme="minorHAnsi"/>
                <w:color w:val="000000"/>
                <w:lang w:val="en-GB" w:bidi="he-IL"/>
              </w:rPr>
              <w:t xml:space="preserve"> in English or German</w:t>
            </w:r>
          </w:p>
          <w:p w14:paraId="14B0989F" w14:textId="77777777" w:rsidR="002F3884" w:rsidRPr="007A114B" w:rsidRDefault="002F3884"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Review articles, surgical techniques, oral presentations, experimental or animal studies, studies mixing and overlapping patient populations</w:t>
            </w:r>
          </w:p>
          <w:p w14:paraId="45E7726C" w14:textId="10AB4DD2" w:rsidR="002F3884" w:rsidRPr="007A114B" w:rsidRDefault="002F3884"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 xml:space="preserve">Intervention included adjunct open procedure </w:t>
            </w:r>
          </w:p>
          <w:p w14:paraId="2D9197AB" w14:textId="3E9D03BA" w:rsidR="002F3884" w:rsidRPr="007A114B" w:rsidRDefault="002F3884"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Patient population with inflammatory or septic arthritis</w:t>
            </w:r>
          </w:p>
          <w:p w14:paraId="68017405" w14:textId="4B38D13F" w:rsidR="002F3884" w:rsidRPr="007A114B" w:rsidRDefault="002F3884"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Patient population with previous surgery on the ipsilateral hip</w:t>
            </w:r>
          </w:p>
          <w:p w14:paraId="1014DCA6" w14:textId="6E23DB62" w:rsidR="00ED4E79" w:rsidRPr="007A114B" w:rsidRDefault="002F3884" w:rsidP="00EE1BD7">
            <w:pPr>
              <w:keepLines/>
              <w:numPr>
                <w:ilvl w:val="0"/>
                <w:numId w:val="4"/>
              </w:numPr>
              <w:pBdr>
                <w:top w:val="nil"/>
                <w:left w:val="nil"/>
                <w:bottom w:val="nil"/>
                <w:right w:val="nil"/>
                <w:between w:val="nil"/>
              </w:pBdr>
              <w:tabs>
                <w:tab w:val="right" w:pos="5387"/>
              </w:tabs>
              <w:spacing w:after="120" w:line="276" w:lineRule="auto"/>
              <w:ind w:left="292"/>
              <w:jc w:val="both"/>
              <w:rPr>
                <w:rFonts w:eastAsia="Times New Roman" w:cstheme="minorHAnsi"/>
                <w:color w:val="000000"/>
                <w:lang w:val="en-GB" w:bidi="he-IL"/>
              </w:rPr>
            </w:pPr>
            <w:r w:rsidRPr="007A114B">
              <w:rPr>
                <w:rFonts w:eastAsia="Candara" w:cstheme="minorHAnsi"/>
                <w:color w:val="000000"/>
                <w:lang w:val="en-GB" w:bidi="he-IL"/>
              </w:rPr>
              <w:t>Patient population with osteonecrosis or post-avascular necrosis sequelae (Perthes) or slipped capital femoral epiphysis</w:t>
            </w:r>
          </w:p>
        </w:tc>
      </w:tr>
    </w:tbl>
    <w:p w14:paraId="5F2C07B5" w14:textId="5EC35710" w:rsidR="00ED4E79" w:rsidRPr="007A114B" w:rsidRDefault="00ED4E79" w:rsidP="002937DE">
      <w:pPr>
        <w:spacing w:after="120" w:line="480" w:lineRule="auto"/>
        <w:rPr>
          <w:rFonts w:cstheme="minorHAnsi"/>
          <w:b/>
          <w:bCs/>
          <w:lang w:val="en-GB" w:eastAsia="en-GB"/>
        </w:rPr>
      </w:pPr>
    </w:p>
    <w:p w14:paraId="59AFC0C2" w14:textId="77777777" w:rsidR="000E5805" w:rsidRPr="007A114B" w:rsidRDefault="000E5805" w:rsidP="002937DE">
      <w:pPr>
        <w:spacing w:after="120" w:line="480" w:lineRule="auto"/>
        <w:rPr>
          <w:rFonts w:cstheme="minorHAnsi"/>
          <w:b/>
          <w:bCs/>
          <w:lang w:val="en-GB" w:eastAsia="en-GB"/>
        </w:rPr>
        <w:sectPr w:rsidR="000E5805" w:rsidRPr="007A114B" w:rsidSect="00DA2946">
          <w:pgSz w:w="12240" w:h="15840"/>
          <w:pgMar w:top="1134" w:right="1183" w:bottom="1134" w:left="1440" w:header="720" w:footer="720" w:gutter="0"/>
          <w:lnNumType w:countBy="1" w:restart="continuous"/>
          <w:cols w:space="720"/>
          <w:docGrid w:linePitch="360"/>
        </w:sectPr>
      </w:pPr>
    </w:p>
    <w:p w14:paraId="2679488E" w14:textId="644825B1" w:rsidR="00CE0882" w:rsidRPr="007A114B" w:rsidRDefault="00CE0882" w:rsidP="00CE0882">
      <w:pPr>
        <w:spacing w:after="120" w:line="276" w:lineRule="auto"/>
        <w:rPr>
          <w:rFonts w:eastAsia="Candara" w:cstheme="minorHAnsi"/>
          <w:b/>
          <w:bCs/>
          <w:color w:val="000000"/>
          <w:lang w:val="en-GB" w:bidi="he-IL"/>
        </w:rPr>
      </w:pPr>
      <w:r w:rsidRPr="007A114B">
        <w:rPr>
          <w:rFonts w:eastAsia="Candara" w:cstheme="minorHAnsi"/>
          <w:b/>
          <w:color w:val="000000"/>
          <w:lang w:val="en-GB" w:bidi="he-IL"/>
        </w:rPr>
        <w:lastRenderedPageBreak/>
        <w:t xml:space="preserve">Table </w:t>
      </w:r>
      <w:r w:rsidR="00BA06C1" w:rsidRPr="007A114B">
        <w:rPr>
          <w:rFonts w:eastAsia="Candara" w:cstheme="minorHAnsi"/>
          <w:b/>
          <w:color w:val="000000"/>
          <w:lang w:val="en-GB" w:bidi="he-IL"/>
        </w:rPr>
        <w:t>2</w:t>
      </w:r>
      <w:r w:rsidRPr="007A114B">
        <w:rPr>
          <w:rFonts w:eastAsia="Candara" w:cstheme="minorHAnsi"/>
          <w:b/>
          <w:color w:val="000000"/>
          <w:lang w:val="en-GB" w:bidi="he-IL"/>
        </w:rPr>
        <w:t>.</w:t>
      </w:r>
      <w:r w:rsidRPr="007A114B">
        <w:rPr>
          <w:rFonts w:eastAsia="Candara" w:cstheme="minorHAnsi"/>
          <w:bCs/>
          <w:color w:val="000000"/>
          <w:lang w:val="en-GB" w:bidi="he-IL"/>
        </w:rPr>
        <w:t xml:space="preserve"> Individual risk of bias assessment using the MINORS tool (Methodological index for non-randomized studies)</w:t>
      </w:r>
    </w:p>
    <w:tbl>
      <w:tblPr>
        <w:tblW w:w="14350" w:type="dxa"/>
        <w:tblInd w:w="-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5"/>
        <w:gridCol w:w="978"/>
        <w:gridCol w:w="904"/>
        <w:gridCol w:w="900"/>
        <w:gridCol w:w="900"/>
        <w:gridCol w:w="900"/>
        <w:gridCol w:w="904"/>
        <w:gridCol w:w="900"/>
        <w:gridCol w:w="902"/>
        <w:gridCol w:w="900"/>
        <w:gridCol w:w="901"/>
        <w:gridCol w:w="900"/>
        <w:gridCol w:w="816"/>
        <w:gridCol w:w="986"/>
        <w:gridCol w:w="14"/>
      </w:tblGrid>
      <w:tr w:rsidR="000E5805" w:rsidRPr="007A114B" w14:paraId="093396FC" w14:textId="77777777" w:rsidTr="000E5805">
        <w:trPr>
          <w:gridAfter w:val="1"/>
          <w:wAfter w:w="14" w:type="dxa"/>
          <w:trHeight w:val="3041"/>
        </w:trPr>
        <w:tc>
          <w:tcPr>
            <w:tcW w:w="2545" w:type="dxa"/>
          </w:tcPr>
          <w:p w14:paraId="343E5D8F" w14:textId="77777777" w:rsidR="000E5805" w:rsidRPr="007A114B" w:rsidRDefault="000E5805" w:rsidP="004C1059">
            <w:pPr>
              <w:pStyle w:val="TableParagraph"/>
              <w:spacing w:line="240" w:lineRule="auto"/>
              <w:ind w:left="0"/>
              <w:rPr>
                <w:sz w:val="20"/>
                <w:szCs w:val="20"/>
                <w:lang w:val="en-GB"/>
              </w:rPr>
            </w:pPr>
          </w:p>
        </w:tc>
        <w:tc>
          <w:tcPr>
            <w:tcW w:w="978" w:type="dxa"/>
            <w:textDirection w:val="tbRl"/>
          </w:tcPr>
          <w:p w14:paraId="57980C24" w14:textId="77777777" w:rsidR="000E5805" w:rsidRPr="007A114B" w:rsidRDefault="000E5805" w:rsidP="004C1059">
            <w:pPr>
              <w:pStyle w:val="TableParagraph"/>
              <w:spacing w:before="98" w:line="240" w:lineRule="auto"/>
              <w:ind w:left="112"/>
              <w:rPr>
                <w:sz w:val="20"/>
                <w:szCs w:val="20"/>
                <w:lang w:val="en-GB"/>
              </w:rPr>
            </w:pPr>
            <w:r w:rsidRPr="007A114B">
              <w:rPr>
                <w:sz w:val="20"/>
                <w:szCs w:val="20"/>
                <w:lang w:val="en-GB"/>
              </w:rPr>
              <w:t>Adequate statistical analyses</w:t>
            </w:r>
          </w:p>
        </w:tc>
        <w:tc>
          <w:tcPr>
            <w:tcW w:w="904" w:type="dxa"/>
            <w:textDirection w:val="tbRl"/>
          </w:tcPr>
          <w:p w14:paraId="7F16AF12" w14:textId="77777777" w:rsidR="000E5805" w:rsidRPr="007A114B" w:rsidRDefault="000E5805" w:rsidP="004C1059">
            <w:pPr>
              <w:pStyle w:val="TableParagraph"/>
              <w:spacing w:before="98" w:line="240" w:lineRule="auto"/>
              <w:ind w:left="122"/>
              <w:rPr>
                <w:sz w:val="20"/>
                <w:szCs w:val="20"/>
                <w:lang w:val="en-GB"/>
              </w:rPr>
            </w:pPr>
            <w:r w:rsidRPr="007A114B">
              <w:rPr>
                <w:sz w:val="20"/>
                <w:szCs w:val="20"/>
                <w:lang w:val="en-GB"/>
              </w:rPr>
              <w:t>Baseline equivalence of groups</w:t>
            </w:r>
          </w:p>
        </w:tc>
        <w:tc>
          <w:tcPr>
            <w:tcW w:w="900" w:type="dxa"/>
            <w:textDirection w:val="tbRl"/>
          </w:tcPr>
          <w:p w14:paraId="24473842" w14:textId="77777777" w:rsidR="000E5805" w:rsidRPr="007A114B" w:rsidRDefault="000E5805" w:rsidP="004C1059">
            <w:pPr>
              <w:pStyle w:val="TableParagraph"/>
              <w:spacing w:before="98" w:line="240" w:lineRule="auto"/>
              <w:ind w:left="122"/>
              <w:rPr>
                <w:sz w:val="20"/>
                <w:szCs w:val="20"/>
                <w:lang w:val="en-GB"/>
              </w:rPr>
            </w:pPr>
            <w:r w:rsidRPr="007A114B">
              <w:rPr>
                <w:sz w:val="20"/>
                <w:szCs w:val="20"/>
                <w:lang w:val="en-GB"/>
              </w:rPr>
              <w:t xml:space="preserve">Contemporary groups </w:t>
            </w:r>
          </w:p>
        </w:tc>
        <w:tc>
          <w:tcPr>
            <w:tcW w:w="900" w:type="dxa"/>
            <w:textDirection w:val="tbRl"/>
          </w:tcPr>
          <w:p w14:paraId="5B45F30C" w14:textId="77777777" w:rsidR="000E5805" w:rsidRPr="007A114B" w:rsidRDefault="000E5805" w:rsidP="004C1059">
            <w:pPr>
              <w:pStyle w:val="TableParagraph"/>
              <w:spacing w:before="95" w:line="240" w:lineRule="auto"/>
              <w:ind w:left="122"/>
              <w:rPr>
                <w:sz w:val="20"/>
                <w:szCs w:val="20"/>
                <w:lang w:val="en-GB"/>
              </w:rPr>
            </w:pPr>
            <w:r w:rsidRPr="007A114B">
              <w:rPr>
                <w:sz w:val="20"/>
                <w:szCs w:val="20"/>
                <w:lang w:val="en-GB"/>
              </w:rPr>
              <w:t>An adequate control group</w:t>
            </w:r>
          </w:p>
        </w:tc>
        <w:tc>
          <w:tcPr>
            <w:tcW w:w="900" w:type="dxa"/>
            <w:textDirection w:val="tbRl"/>
          </w:tcPr>
          <w:p w14:paraId="258A009B" w14:textId="77777777" w:rsidR="000E5805" w:rsidRPr="007A114B" w:rsidRDefault="000E5805" w:rsidP="004C1059">
            <w:pPr>
              <w:pStyle w:val="TableParagraph"/>
              <w:spacing w:before="95" w:line="240" w:lineRule="auto"/>
              <w:ind w:left="122"/>
              <w:rPr>
                <w:sz w:val="20"/>
                <w:szCs w:val="20"/>
                <w:lang w:val="en-GB"/>
              </w:rPr>
            </w:pPr>
            <w:r w:rsidRPr="007A114B">
              <w:rPr>
                <w:sz w:val="20"/>
                <w:szCs w:val="20"/>
                <w:lang w:val="en-GB"/>
              </w:rPr>
              <w:t>Prospective calculation of the study size</w:t>
            </w:r>
          </w:p>
        </w:tc>
        <w:tc>
          <w:tcPr>
            <w:tcW w:w="904" w:type="dxa"/>
            <w:textDirection w:val="tbRl"/>
          </w:tcPr>
          <w:p w14:paraId="3A460DB4" w14:textId="77777777" w:rsidR="000E5805" w:rsidRPr="007A114B" w:rsidRDefault="000E5805" w:rsidP="004C1059">
            <w:pPr>
              <w:pStyle w:val="TableParagraph"/>
              <w:spacing w:before="100" w:line="240" w:lineRule="auto"/>
              <w:ind w:left="122"/>
              <w:rPr>
                <w:sz w:val="20"/>
                <w:szCs w:val="20"/>
                <w:lang w:val="en-GB"/>
              </w:rPr>
            </w:pPr>
            <w:r w:rsidRPr="007A114B">
              <w:rPr>
                <w:sz w:val="20"/>
                <w:szCs w:val="20"/>
                <w:lang w:val="en-GB"/>
              </w:rPr>
              <w:t>Loss to follow up less than 5%</w:t>
            </w:r>
          </w:p>
        </w:tc>
        <w:tc>
          <w:tcPr>
            <w:tcW w:w="900" w:type="dxa"/>
            <w:textDirection w:val="tbRl"/>
          </w:tcPr>
          <w:p w14:paraId="2C88929A" w14:textId="77777777" w:rsidR="000E5805" w:rsidRPr="007A114B" w:rsidRDefault="000E5805" w:rsidP="004C1059">
            <w:pPr>
              <w:pStyle w:val="TableParagraph"/>
              <w:spacing w:before="98" w:line="240" w:lineRule="auto"/>
              <w:ind w:left="122"/>
              <w:rPr>
                <w:sz w:val="20"/>
                <w:szCs w:val="20"/>
                <w:lang w:val="en-GB"/>
              </w:rPr>
            </w:pPr>
            <w:r w:rsidRPr="007A114B">
              <w:rPr>
                <w:sz w:val="20"/>
                <w:szCs w:val="20"/>
                <w:lang w:val="en-GB"/>
              </w:rPr>
              <w:t>Follow-up period appropriate to the aim of the study</w:t>
            </w:r>
          </w:p>
        </w:tc>
        <w:tc>
          <w:tcPr>
            <w:tcW w:w="902" w:type="dxa"/>
            <w:textDirection w:val="tbRl"/>
          </w:tcPr>
          <w:p w14:paraId="0E6CDA1E" w14:textId="77777777" w:rsidR="000E5805" w:rsidRPr="007A114B" w:rsidRDefault="000E5805" w:rsidP="004C1059">
            <w:pPr>
              <w:pStyle w:val="TableParagraph"/>
              <w:spacing w:before="100" w:line="240" w:lineRule="auto"/>
              <w:ind w:left="122"/>
              <w:rPr>
                <w:sz w:val="20"/>
                <w:szCs w:val="20"/>
                <w:lang w:val="en-GB"/>
              </w:rPr>
            </w:pPr>
            <w:r w:rsidRPr="007A114B">
              <w:rPr>
                <w:sz w:val="20"/>
                <w:szCs w:val="20"/>
                <w:lang w:val="en-GB"/>
              </w:rPr>
              <w:t>Unbiased assessment of the study endpoint</w:t>
            </w:r>
          </w:p>
        </w:tc>
        <w:tc>
          <w:tcPr>
            <w:tcW w:w="900" w:type="dxa"/>
            <w:textDirection w:val="tbRl"/>
          </w:tcPr>
          <w:p w14:paraId="00F85EE9" w14:textId="77777777" w:rsidR="000E5805" w:rsidRPr="007A114B" w:rsidRDefault="000E5805" w:rsidP="004C1059">
            <w:pPr>
              <w:pStyle w:val="TableParagraph"/>
              <w:spacing w:before="100" w:line="240" w:lineRule="auto"/>
              <w:ind w:left="122"/>
              <w:rPr>
                <w:sz w:val="20"/>
                <w:szCs w:val="20"/>
                <w:lang w:val="en-GB"/>
              </w:rPr>
            </w:pPr>
            <w:r w:rsidRPr="007A114B">
              <w:rPr>
                <w:sz w:val="20"/>
                <w:szCs w:val="20"/>
                <w:lang w:val="en-GB"/>
              </w:rPr>
              <w:t>Endpoints appropriate to the aim of the study</w:t>
            </w:r>
          </w:p>
        </w:tc>
        <w:tc>
          <w:tcPr>
            <w:tcW w:w="901" w:type="dxa"/>
            <w:textDirection w:val="tbRl"/>
          </w:tcPr>
          <w:p w14:paraId="535DB1FD" w14:textId="77777777" w:rsidR="000E5805" w:rsidRPr="007A114B" w:rsidRDefault="000E5805" w:rsidP="004C1059">
            <w:pPr>
              <w:pStyle w:val="TableParagraph"/>
              <w:spacing w:before="98" w:line="240" w:lineRule="auto"/>
              <w:ind w:left="119"/>
              <w:rPr>
                <w:sz w:val="20"/>
                <w:szCs w:val="20"/>
                <w:lang w:val="en-GB"/>
              </w:rPr>
            </w:pPr>
            <w:r w:rsidRPr="007A114B">
              <w:rPr>
                <w:sz w:val="20"/>
                <w:szCs w:val="20"/>
                <w:lang w:val="en-GB"/>
              </w:rPr>
              <w:t>Prospective collection data</w:t>
            </w:r>
          </w:p>
        </w:tc>
        <w:tc>
          <w:tcPr>
            <w:tcW w:w="900" w:type="dxa"/>
            <w:textDirection w:val="tbRl"/>
          </w:tcPr>
          <w:p w14:paraId="4C820A3B" w14:textId="77777777" w:rsidR="000E5805" w:rsidRPr="007A114B" w:rsidRDefault="000E5805" w:rsidP="004C1059">
            <w:pPr>
              <w:pStyle w:val="TableParagraph"/>
              <w:spacing w:before="95" w:line="240" w:lineRule="auto"/>
              <w:ind w:left="119"/>
              <w:rPr>
                <w:sz w:val="20"/>
                <w:szCs w:val="20"/>
                <w:lang w:val="en-GB"/>
              </w:rPr>
            </w:pPr>
            <w:r w:rsidRPr="007A114B">
              <w:rPr>
                <w:sz w:val="20"/>
                <w:szCs w:val="20"/>
                <w:lang w:val="en-GB"/>
              </w:rPr>
              <w:t>Inclusion of consecutive patients</w:t>
            </w:r>
          </w:p>
        </w:tc>
        <w:tc>
          <w:tcPr>
            <w:tcW w:w="816" w:type="dxa"/>
            <w:textDirection w:val="tbRl"/>
          </w:tcPr>
          <w:p w14:paraId="33CF5E23" w14:textId="77777777" w:rsidR="000E5805" w:rsidRPr="007A114B" w:rsidRDefault="000E5805" w:rsidP="004C1059">
            <w:pPr>
              <w:pStyle w:val="TableParagraph"/>
              <w:spacing w:before="97" w:line="240" w:lineRule="auto"/>
              <w:ind w:left="122"/>
              <w:rPr>
                <w:sz w:val="20"/>
                <w:szCs w:val="20"/>
                <w:lang w:val="en-GB"/>
              </w:rPr>
            </w:pPr>
            <w:r w:rsidRPr="007A114B">
              <w:rPr>
                <w:sz w:val="20"/>
                <w:szCs w:val="20"/>
                <w:lang w:val="en-GB"/>
              </w:rPr>
              <w:t>A clearly stated aim</w:t>
            </w:r>
          </w:p>
        </w:tc>
        <w:tc>
          <w:tcPr>
            <w:tcW w:w="986" w:type="dxa"/>
            <w:shd w:val="clear" w:color="auto" w:fill="BEBEBE"/>
            <w:textDirection w:val="tbRl"/>
          </w:tcPr>
          <w:p w14:paraId="355B435A" w14:textId="77777777" w:rsidR="000E5805" w:rsidRPr="007A114B" w:rsidRDefault="000E5805" w:rsidP="004C1059">
            <w:pPr>
              <w:pStyle w:val="TableParagraph"/>
              <w:spacing w:before="95" w:line="240" w:lineRule="auto"/>
              <w:ind w:left="122"/>
              <w:rPr>
                <w:sz w:val="20"/>
                <w:szCs w:val="20"/>
                <w:lang w:val="en-GB"/>
              </w:rPr>
            </w:pPr>
            <w:r w:rsidRPr="007A114B">
              <w:rPr>
                <w:sz w:val="20"/>
                <w:szCs w:val="20"/>
                <w:lang w:val="en-GB"/>
              </w:rPr>
              <w:t>Total (%)</w:t>
            </w:r>
          </w:p>
        </w:tc>
      </w:tr>
      <w:tr w:rsidR="000E5805" w:rsidRPr="007A114B" w14:paraId="7A9AEBE8" w14:textId="77777777" w:rsidTr="000E5805">
        <w:trPr>
          <w:gridAfter w:val="1"/>
          <w:wAfter w:w="14" w:type="dxa"/>
          <w:trHeight w:val="411"/>
        </w:trPr>
        <w:tc>
          <w:tcPr>
            <w:tcW w:w="2545" w:type="dxa"/>
            <w:shd w:val="clear" w:color="auto" w:fill="F1F1F1"/>
          </w:tcPr>
          <w:p w14:paraId="1B33F95F" w14:textId="77777777" w:rsidR="000E5805" w:rsidRPr="007A114B" w:rsidRDefault="000E5805" w:rsidP="004C1059">
            <w:pPr>
              <w:pStyle w:val="TableParagraph"/>
              <w:spacing w:line="240" w:lineRule="auto"/>
              <w:ind w:left="0"/>
              <w:rPr>
                <w:sz w:val="20"/>
                <w:szCs w:val="20"/>
                <w:lang w:val="en-GB"/>
              </w:rPr>
            </w:pPr>
          </w:p>
        </w:tc>
        <w:tc>
          <w:tcPr>
            <w:tcW w:w="978" w:type="dxa"/>
            <w:shd w:val="clear" w:color="auto" w:fill="F1F1F1"/>
          </w:tcPr>
          <w:p w14:paraId="33F2715A" w14:textId="77777777" w:rsidR="000E5805" w:rsidRPr="007A114B" w:rsidRDefault="000E5805" w:rsidP="004C1059">
            <w:pPr>
              <w:pStyle w:val="TableParagraph"/>
              <w:spacing w:line="240" w:lineRule="auto"/>
              <w:ind w:left="0"/>
              <w:rPr>
                <w:sz w:val="20"/>
                <w:szCs w:val="20"/>
                <w:lang w:val="en-GB"/>
              </w:rPr>
            </w:pPr>
          </w:p>
        </w:tc>
        <w:tc>
          <w:tcPr>
            <w:tcW w:w="904" w:type="dxa"/>
            <w:shd w:val="clear" w:color="auto" w:fill="F1F1F1"/>
          </w:tcPr>
          <w:p w14:paraId="76F35A3D"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70D9E07A"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71858E25"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2BAB1BF3" w14:textId="77777777" w:rsidR="000E5805" w:rsidRPr="007A114B" w:rsidRDefault="000E5805" w:rsidP="004C1059">
            <w:pPr>
              <w:pStyle w:val="TableParagraph"/>
              <w:spacing w:line="240" w:lineRule="auto"/>
              <w:ind w:left="0"/>
              <w:rPr>
                <w:sz w:val="20"/>
                <w:szCs w:val="20"/>
                <w:lang w:val="en-GB"/>
              </w:rPr>
            </w:pPr>
          </w:p>
        </w:tc>
        <w:tc>
          <w:tcPr>
            <w:tcW w:w="904" w:type="dxa"/>
            <w:shd w:val="clear" w:color="auto" w:fill="F1F1F1"/>
          </w:tcPr>
          <w:p w14:paraId="5E5C1284"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0D3F389C" w14:textId="77777777" w:rsidR="000E5805" w:rsidRPr="007A114B" w:rsidRDefault="000E5805" w:rsidP="004C1059">
            <w:pPr>
              <w:pStyle w:val="TableParagraph"/>
              <w:spacing w:line="240" w:lineRule="auto"/>
              <w:ind w:left="0"/>
              <w:rPr>
                <w:sz w:val="20"/>
                <w:szCs w:val="20"/>
                <w:lang w:val="en-GB"/>
              </w:rPr>
            </w:pPr>
          </w:p>
        </w:tc>
        <w:tc>
          <w:tcPr>
            <w:tcW w:w="902" w:type="dxa"/>
            <w:shd w:val="clear" w:color="auto" w:fill="F1F1F1"/>
          </w:tcPr>
          <w:p w14:paraId="4D6B664D"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2C408991" w14:textId="77777777" w:rsidR="000E5805" w:rsidRPr="007A114B" w:rsidRDefault="000E5805" w:rsidP="004C1059">
            <w:pPr>
              <w:pStyle w:val="TableParagraph"/>
              <w:spacing w:line="240" w:lineRule="auto"/>
              <w:ind w:left="0"/>
              <w:rPr>
                <w:sz w:val="20"/>
                <w:szCs w:val="20"/>
                <w:lang w:val="en-GB"/>
              </w:rPr>
            </w:pPr>
          </w:p>
        </w:tc>
        <w:tc>
          <w:tcPr>
            <w:tcW w:w="901" w:type="dxa"/>
            <w:shd w:val="clear" w:color="auto" w:fill="F1F1F1"/>
          </w:tcPr>
          <w:p w14:paraId="42EA413D" w14:textId="77777777" w:rsidR="000E5805" w:rsidRPr="007A114B" w:rsidRDefault="000E5805" w:rsidP="004C1059">
            <w:pPr>
              <w:pStyle w:val="TableParagraph"/>
              <w:spacing w:line="240" w:lineRule="auto"/>
              <w:ind w:left="0"/>
              <w:rPr>
                <w:sz w:val="20"/>
                <w:szCs w:val="20"/>
                <w:lang w:val="en-GB"/>
              </w:rPr>
            </w:pPr>
          </w:p>
        </w:tc>
        <w:tc>
          <w:tcPr>
            <w:tcW w:w="900" w:type="dxa"/>
            <w:shd w:val="clear" w:color="auto" w:fill="F1F1F1"/>
          </w:tcPr>
          <w:p w14:paraId="2FD59887" w14:textId="77777777" w:rsidR="000E5805" w:rsidRPr="007A114B" w:rsidRDefault="000E5805" w:rsidP="004C1059">
            <w:pPr>
              <w:pStyle w:val="TableParagraph"/>
              <w:spacing w:line="240" w:lineRule="auto"/>
              <w:ind w:left="0"/>
              <w:rPr>
                <w:sz w:val="20"/>
                <w:szCs w:val="20"/>
                <w:lang w:val="en-GB"/>
              </w:rPr>
            </w:pPr>
          </w:p>
        </w:tc>
        <w:tc>
          <w:tcPr>
            <w:tcW w:w="816" w:type="dxa"/>
            <w:shd w:val="clear" w:color="auto" w:fill="F1F1F1"/>
          </w:tcPr>
          <w:p w14:paraId="304944F1" w14:textId="77777777" w:rsidR="000E5805" w:rsidRPr="007A114B" w:rsidRDefault="000E5805" w:rsidP="004C1059">
            <w:pPr>
              <w:pStyle w:val="TableParagraph"/>
              <w:spacing w:line="240" w:lineRule="auto"/>
              <w:ind w:left="0"/>
              <w:rPr>
                <w:sz w:val="20"/>
                <w:szCs w:val="20"/>
                <w:lang w:val="en-GB"/>
              </w:rPr>
            </w:pPr>
          </w:p>
        </w:tc>
        <w:tc>
          <w:tcPr>
            <w:tcW w:w="986" w:type="dxa"/>
            <w:shd w:val="clear" w:color="auto" w:fill="BEBEBE"/>
          </w:tcPr>
          <w:p w14:paraId="05E6997C" w14:textId="77777777" w:rsidR="000E5805" w:rsidRPr="007A114B" w:rsidRDefault="000E5805" w:rsidP="004C1059">
            <w:pPr>
              <w:pStyle w:val="TableParagraph"/>
              <w:spacing w:line="240" w:lineRule="auto"/>
              <w:ind w:left="0"/>
              <w:rPr>
                <w:sz w:val="20"/>
                <w:szCs w:val="20"/>
                <w:lang w:val="en-GB"/>
              </w:rPr>
            </w:pPr>
          </w:p>
        </w:tc>
      </w:tr>
      <w:tr w:rsidR="000E5805" w:rsidRPr="007A114B" w14:paraId="0B39F980" w14:textId="77777777" w:rsidTr="000E5805">
        <w:trPr>
          <w:gridAfter w:val="1"/>
          <w:wAfter w:w="14" w:type="dxa"/>
          <w:trHeight w:val="457"/>
        </w:trPr>
        <w:tc>
          <w:tcPr>
            <w:tcW w:w="2545" w:type="dxa"/>
            <w:vAlign w:val="center"/>
          </w:tcPr>
          <w:p w14:paraId="24591686" w14:textId="73BCFFDA" w:rsidR="000E5805" w:rsidRPr="007A114B" w:rsidRDefault="00892E31" w:rsidP="004C1059">
            <w:pPr>
              <w:pStyle w:val="TableParagraph"/>
              <w:jc w:val="center"/>
              <w:rPr>
                <w:sz w:val="20"/>
                <w:szCs w:val="20"/>
                <w:lang w:val="en-GB"/>
              </w:rPr>
            </w:pPr>
            <w:r w:rsidRPr="007A114B">
              <w:rPr>
                <w:sz w:val="20"/>
                <w:szCs w:val="20"/>
                <w:lang w:val="en-GB"/>
              </w:rPr>
              <w:t>Byrd</w:t>
            </w:r>
            <w:r w:rsidR="000E5805" w:rsidRPr="007A114B">
              <w:rPr>
                <w:sz w:val="20"/>
                <w:szCs w:val="20"/>
                <w:lang w:val="en-GB"/>
              </w:rPr>
              <w:t xml:space="preserve"> 20</w:t>
            </w:r>
            <w:r w:rsidRPr="007A114B">
              <w:rPr>
                <w:sz w:val="20"/>
                <w:szCs w:val="20"/>
                <w:lang w:val="en-GB"/>
              </w:rPr>
              <w:t>18 (JHPS</w:t>
            </w:r>
            <w:r w:rsidR="00CD0B5C" w:rsidRPr="007221CC">
              <w:rPr>
                <w:sz w:val="20"/>
                <w:szCs w:val="20"/>
                <w:lang w:val="en-GB"/>
              </w:rPr>
              <w:fldChar w:fldCharType="begin" w:fldLock="1"/>
            </w:r>
            <w:r w:rsidR="005A2934" w:rsidRPr="007A114B">
              <w:rPr>
                <w:sz w:val="20"/>
                <w:szCs w:val="20"/>
                <w:lang w:val="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96506ac1-0244-4ccb-91a5-a943df2365b5"]}],"mendeley":{"formattedCitation":"&lt;sup&gt;15&lt;/sup&gt;","plainTextFormattedCitation":"15","previouslyFormattedCitation":"&lt;sup&gt;15&lt;/sup&gt;"},"properties":{"noteIndex":0},"schema":"https://github.com/citation-style-language/schema/raw/master/csl-citation.json"}</w:instrText>
            </w:r>
            <w:r w:rsidR="00CD0B5C" w:rsidRPr="007221CC">
              <w:rPr>
                <w:sz w:val="20"/>
                <w:szCs w:val="20"/>
                <w:lang w:val="en-GB"/>
              </w:rPr>
              <w:fldChar w:fldCharType="separate"/>
            </w:r>
            <w:r w:rsidR="00FD0FF3" w:rsidRPr="007A114B">
              <w:rPr>
                <w:noProof/>
                <w:sz w:val="20"/>
                <w:szCs w:val="20"/>
                <w:vertAlign w:val="superscript"/>
                <w:lang w:val="en-GB"/>
              </w:rPr>
              <w:t>15</w:t>
            </w:r>
            <w:r w:rsidR="00CD0B5C" w:rsidRPr="007221CC">
              <w:rPr>
                <w:sz w:val="20"/>
                <w:szCs w:val="20"/>
                <w:lang w:val="en-GB"/>
              </w:rPr>
              <w:fldChar w:fldCharType="end"/>
            </w:r>
          </w:p>
        </w:tc>
        <w:tc>
          <w:tcPr>
            <w:tcW w:w="978" w:type="dxa"/>
            <w:vAlign w:val="center"/>
          </w:tcPr>
          <w:p w14:paraId="08C1D43F" w14:textId="09992532" w:rsidR="000E5805" w:rsidRPr="007A114B" w:rsidRDefault="00B72EAC" w:rsidP="00B72EAC">
            <w:pPr>
              <w:pStyle w:val="TableParagraph"/>
              <w:ind w:left="10"/>
              <w:jc w:val="center"/>
              <w:rPr>
                <w:sz w:val="20"/>
                <w:szCs w:val="20"/>
                <w:lang w:val="en-GB"/>
              </w:rPr>
            </w:pPr>
            <w:r w:rsidRPr="007A114B">
              <w:rPr>
                <w:sz w:val="20"/>
                <w:szCs w:val="20"/>
                <w:lang w:val="en-GB"/>
              </w:rPr>
              <w:t>0</w:t>
            </w:r>
          </w:p>
        </w:tc>
        <w:tc>
          <w:tcPr>
            <w:tcW w:w="904" w:type="dxa"/>
            <w:vAlign w:val="center"/>
          </w:tcPr>
          <w:p w14:paraId="0EF825E5" w14:textId="5BE1D76A" w:rsidR="000E5805" w:rsidRPr="007A114B" w:rsidRDefault="00B72EAC" w:rsidP="00B72EAC">
            <w:pPr>
              <w:pStyle w:val="TableParagraph"/>
              <w:ind w:left="8"/>
              <w:jc w:val="center"/>
              <w:rPr>
                <w:sz w:val="20"/>
                <w:szCs w:val="20"/>
                <w:lang w:val="en-GB"/>
              </w:rPr>
            </w:pPr>
            <w:r w:rsidRPr="007A114B">
              <w:rPr>
                <w:sz w:val="20"/>
                <w:szCs w:val="20"/>
                <w:lang w:val="en-GB"/>
              </w:rPr>
              <w:t>1</w:t>
            </w:r>
          </w:p>
        </w:tc>
        <w:tc>
          <w:tcPr>
            <w:tcW w:w="900" w:type="dxa"/>
            <w:vAlign w:val="center"/>
          </w:tcPr>
          <w:p w14:paraId="60D26DB9" w14:textId="0211E643" w:rsidR="000E5805" w:rsidRPr="007A114B" w:rsidRDefault="00B72EAC" w:rsidP="00B72EAC">
            <w:pPr>
              <w:pStyle w:val="TableParagraph"/>
              <w:ind w:left="5"/>
              <w:jc w:val="center"/>
              <w:rPr>
                <w:sz w:val="20"/>
                <w:szCs w:val="20"/>
                <w:lang w:val="en-GB"/>
              </w:rPr>
            </w:pPr>
            <w:r w:rsidRPr="007A114B">
              <w:rPr>
                <w:sz w:val="20"/>
                <w:szCs w:val="20"/>
                <w:lang w:val="en-GB"/>
              </w:rPr>
              <w:t>1</w:t>
            </w:r>
          </w:p>
        </w:tc>
        <w:tc>
          <w:tcPr>
            <w:tcW w:w="900" w:type="dxa"/>
            <w:vAlign w:val="center"/>
          </w:tcPr>
          <w:p w14:paraId="03C84081" w14:textId="03BB4946" w:rsidR="000E5805" w:rsidRPr="007A114B" w:rsidRDefault="00B72EAC" w:rsidP="00B72EAC">
            <w:pPr>
              <w:pStyle w:val="TableParagraph"/>
              <w:ind w:left="10"/>
              <w:jc w:val="center"/>
              <w:rPr>
                <w:sz w:val="20"/>
                <w:szCs w:val="20"/>
                <w:lang w:val="en-GB"/>
              </w:rPr>
            </w:pPr>
            <w:r w:rsidRPr="007A114B">
              <w:rPr>
                <w:sz w:val="20"/>
                <w:szCs w:val="20"/>
                <w:lang w:val="en-GB"/>
              </w:rPr>
              <w:t>1</w:t>
            </w:r>
          </w:p>
        </w:tc>
        <w:tc>
          <w:tcPr>
            <w:tcW w:w="900" w:type="dxa"/>
            <w:vAlign w:val="center"/>
          </w:tcPr>
          <w:p w14:paraId="345F56BA" w14:textId="359670B6" w:rsidR="000E5805" w:rsidRPr="007A114B" w:rsidRDefault="00B72EAC" w:rsidP="00B72EAC">
            <w:pPr>
              <w:pStyle w:val="TableParagraph"/>
              <w:ind w:left="10"/>
              <w:jc w:val="center"/>
              <w:rPr>
                <w:sz w:val="20"/>
                <w:szCs w:val="20"/>
                <w:lang w:val="en-GB"/>
              </w:rPr>
            </w:pPr>
            <w:r w:rsidRPr="007A114B">
              <w:rPr>
                <w:sz w:val="20"/>
                <w:szCs w:val="20"/>
                <w:lang w:val="en-GB"/>
              </w:rPr>
              <w:t>0</w:t>
            </w:r>
          </w:p>
        </w:tc>
        <w:tc>
          <w:tcPr>
            <w:tcW w:w="904" w:type="dxa"/>
            <w:vAlign w:val="center"/>
          </w:tcPr>
          <w:p w14:paraId="488EEA72" w14:textId="0B7167B0" w:rsidR="000E5805" w:rsidRPr="007A114B" w:rsidRDefault="00B72EAC" w:rsidP="00B72EAC">
            <w:pPr>
              <w:pStyle w:val="TableParagraph"/>
              <w:ind w:left="0"/>
              <w:jc w:val="center"/>
              <w:rPr>
                <w:sz w:val="20"/>
                <w:szCs w:val="20"/>
                <w:lang w:val="en-GB"/>
              </w:rPr>
            </w:pPr>
            <w:r w:rsidRPr="007A114B">
              <w:rPr>
                <w:sz w:val="20"/>
                <w:szCs w:val="20"/>
                <w:lang w:val="en-GB"/>
              </w:rPr>
              <w:t>1</w:t>
            </w:r>
          </w:p>
        </w:tc>
        <w:tc>
          <w:tcPr>
            <w:tcW w:w="900" w:type="dxa"/>
            <w:vAlign w:val="center"/>
          </w:tcPr>
          <w:p w14:paraId="2DC4FF31" w14:textId="604D6364" w:rsidR="000E5805" w:rsidRPr="007A114B" w:rsidRDefault="00B72EAC" w:rsidP="00B72EAC">
            <w:pPr>
              <w:pStyle w:val="TableParagraph"/>
              <w:ind w:left="9"/>
              <w:jc w:val="center"/>
              <w:rPr>
                <w:sz w:val="20"/>
                <w:szCs w:val="20"/>
                <w:lang w:val="en-GB"/>
              </w:rPr>
            </w:pPr>
            <w:r w:rsidRPr="007A114B">
              <w:rPr>
                <w:sz w:val="20"/>
                <w:szCs w:val="20"/>
                <w:lang w:val="en-GB"/>
              </w:rPr>
              <w:t>1</w:t>
            </w:r>
          </w:p>
        </w:tc>
        <w:tc>
          <w:tcPr>
            <w:tcW w:w="902" w:type="dxa"/>
            <w:vAlign w:val="center"/>
          </w:tcPr>
          <w:p w14:paraId="797EC43A" w14:textId="51A8CC07" w:rsidR="000E5805" w:rsidRPr="007A114B" w:rsidRDefault="00B72EAC" w:rsidP="00B72EAC">
            <w:pPr>
              <w:pStyle w:val="TableParagraph"/>
              <w:ind w:left="7"/>
              <w:jc w:val="center"/>
              <w:rPr>
                <w:sz w:val="20"/>
                <w:szCs w:val="20"/>
                <w:lang w:val="en-GB"/>
              </w:rPr>
            </w:pPr>
            <w:r w:rsidRPr="007A114B">
              <w:rPr>
                <w:sz w:val="20"/>
                <w:szCs w:val="20"/>
                <w:lang w:val="en-GB"/>
              </w:rPr>
              <w:t>1</w:t>
            </w:r>
          </w:p>
        </w:tc>
        <w:tc>
          <w:tcPr>
            <w:tcW w:w="900" w:type="dxa"/>
            <w:vAlign w:val="center"/>
          </w:tcPr>
          <w:p w14:paraId="0F3AE593" w14:textId="53A7FB30" w:rsidR="000E5805" w:rsidRPr="007A114B" w:rsidRDefault="00B72EAC" w:rsidP="00B72EAC">
            <w:pPr>
              <w:pStyle w:val="TableParagraph"/>
              <w:ind w:left="165" w:right="158"/>
              <w:jc w:val="center"/>
              <w:rPr>
                <w:sz w:val="20"/>
                <w:szCs w:val="20"/>
                <w:lang w:val="en-GB"/>
              </w:rPr>
            </w:pPr>
            <w:r w:rsidRPr="007A114B">
              <w:rPr>
                <w:sz w:val="20"/>
                <w:szCs w:val="20"/>
                <w:lang w:val="en-GB"/>
              </w:rPr>
              <w:t>2</w:t>
            </w:r>
          </w:p>
        </w:tc>
        <w:tc>
          <w:tcPr>
            <w:tcW w:w="901" w:type="dxa"/>
            <w:vAlign w:val="center"/>
          </w:tcPr>
          <w:p w14:paraId="6185FFA8" w14:textId="7A7102B0" w:rsidR="000E5805" w:rsidRPr="007A114B" w:rsidRDefault="00B72EAC" w:rsidP="00B72EAC">
            <w:pPr>
              <w:pStyle w:val="TableParagraph"/>
              <w:ind w:left="168" w:right="162"/>
              <w:jc w:val="center"/>
              <w:rPr>
                <w:sz w:val="20"/>
                <w:szCs w:val="20"/>
                <w:lang w:val="en-GB"/>
              </w:rPr>
            </w:pPr>
            <w:r w:rsidRPr="007A114B">
              <w:rPr>
                <w:sz w:val="20"/>
                <w:szCs w:val="20"/>
                <w:lang w:val="en-GB"/>
              </w:rPr>
              <w:t>0</w:t>
            </w:r>
          </w:p>
        </w:tc>
        <w:tc>
          <w:tcPr>
            <w:tcW w:w="900" w:type="dxa"/>
            <w:vAlign w:val="center"/>
          </w:tcPr>
          <w:p w14:paraId="6CADC644" w14:textId="65371050" w:rsidR="000E5805" w:rsidRPr="007A114B" w:rsidRDefault="00B72EAC" w:rsidP="00B72EAC">
            <w:pPr>
              <w:pStyle w:val="TableParagraph"/>
              <w:ind w:left="165" w:right="159"/>
              <w:jc w:val="center"/>
              <w:rPr>
                <w:sz w:val="20"/>
                <w:szCs w:val="20"/>
                <w:lang w:val="en-GB"/>
              </w:rPr>
            </w:pPr>
            <w:r w:rsidRPr="007A114B">
              <w:rPr>
                <w:sz w:val="20"/>
                <w:szCs w:val="20"/>
                <w:lang w:val="en-GB"/>
              </w:rPr>
              <w:t>1</w:t>
            </w:r>
          </w:p>
        </w:tc>
        <w:tc>
          <w:tcPr>
            <w:tcW w:w="816" w:type="dxa"/>
            <w:vAlign w:val="center"/>
          </w:tcPr>
          <w:p w14:paraId="619C10AB" w14:textId="6E70D6DD" w:rsidR="000E5805" w:rsidRPr="007A114B" w:rsidRDefault="000B7FBF" w:rsidP="00B72EAC">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3B38549A" w14:textId="1FF369C6" w:rsidR="000E5805" w:rsidRPr="007A114B" w:rsidRDefault="00B72EAC" w:rsidP="004C1059">
            <w:pPr>
              <w:pStyle w:val="TableParagraph"/>
              <w:ind w:left="0" w:right="112"/>
              <w:jc w:val="center"/>
              <w:rPr>
                <w:sz w:val="20"/>
                <w:szCs w:val="20"/>
                <w:lang w:val="en-GB"/>
              </w:rPr>
            </w:pPr>
            <w:r w:rsidRPr="007A114B">
              <w:rPr>
                <w:sz w:val="20"/>
                <w:szCs w:val="20"/>
                <w:lang w:val="en-GB"/>
              </w:rPr>
              <w:t>11</w:t>
            </w:r>
            <w:r w:rsidR="000E5805" w:rsidRPr="007A114B">
              <w:rPr>
                <w:sz w:val="20"/>
                <w:szCs w:val="20"/>
                <w:lang w:val="en-GB"/>
              </w:rPr>
              <w:t>/24</w:t>
            </w:r>
          </w:p>
          <w:p w14:paraId="7B1261AC" w14:textId="693F8D48" w:rsidR="000E5805" w:rsidRPr="007A114B" w:rsidRDefault="000E5805" w:rsidP="004C1059">
            <w:pPr>
              <w:pStyle w:val="TableParagraph"/>
              <w:ind w:left="0" w:right="112"/>
              <w:jc w:val="center"/>
              <w:rPr>
                <w:sz w:val="20"/>
                <w:szCs w:val="20"/>
                <w:lang w:val="en-GB"/>
              </w:rPr>
            </w:pPr>
            <w:r w:rsidRPr="007A114B">
              <w:rPr>
                <w:sz w:val="20"/>
                <w:szCs w:val="20"/>
                <w:lang w:val="en-GB"/>
              </w:rPr>
              <w:t>(</w:t>
            </w:r>
            <w:r w:rsidR="00B72EAC" w:rsidRPr="007A114B">
              <w:rPr>
                <w:sz w:val="20"/>
                <w:szCs w:val="20"/>
                <w:lang w:val="en-GB"/>
              </w:rPr>
              <w:t>46</w:t>
            </w:r>
            <w:r w:rsidRPr="007A114B">
              <w:rPr>
                <w:sz w:val="20"/>
                <w:szCs w:val="20"/>
                <w:lang w:val="en-GB"/>
              </w:rPr>
              <w:t>%)</w:t>
            </w:r>
          </w:p>
        </w:tc>
      </w:tr>
      <w:tr w:rsidR="000E5805" w:rsidRPr="007A114B" w14:paraId="0BE2FBF2" w14:textId="77777777" w:rsidTr="000E5805">
        <w:trPr>
          <w:gridAfter w:val="1"/>
          <w:wAfter w:w="14" w:type="dxa"/>
          <w:trHeight w:val="455"/>
        </w:trPr>
        <w:tc>
          <w:tcPr>
            <w:tcW w:w="2545" w:type="dxa"/>
            <w:vAlign w:val="center"/>
          </w:tcPr>
          <w:p w14:paraId="4A255A46" w14:textId="3F81636D" w:rsidR="000E5805" w:rsidRPr="007A114B" w:rsidRDefault="00892E31" w:rsidP="004C1059">
            <w:pPr>
              <w:pStyle w:val="TableParagraph"/>
              <w:jc w:val="center"/>
              <w:rPr>
                <w:sz w:val="20"/>
                <w:szCs w:val="20"/>
                <w:lang w:val="en-GB"/>
              </w:rPr>
            </w:pPr>
            <w:r w:rsidRPr="007A114B">
              <w:rPr>
                <w:sz w:val="20"/>
                <w:szCs w:val="20"/>
                <w:lang w:val="en-GB"/>
              </w:rPr>
              <w:t>Byrd 2018 (Arthroscopy)</w:t>
            </w:r>
            <w:r w:rsidR="00CD0B5C" w:rsidRPr="007221CC">
              <w:rPr>
                <w:sz w:val="20"/>
                <w:szCs w:val="20"/>
                <w:lang w:val="en-GB"/>
              </w:rPr>
              <w:fldChar w:fldCharType="begin" w:fldLock="1"/>
            </w:r>
            <w:r w:rsidR="00223245" w:rsidRPr="007A114B">
              <w:rPr>
                <w:sz w:val="20"/>
                <w:szCs w:val="20"/>
                <w:lang w:val="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mendeley":{"formattedCitation":"&lt;sup&gt;24&lt;/sup&gt;","plainTextFormattedCitation":"24","previouslyFormattedCitation":"&lt;sup&gt;24&lt;/sup&gt;"},"properties":{"noteIndex":0},"schema":"https://github.com/citation-style-language/schema/raw/master/csl-citation.json"}</w:instrText>
            </w:r>
            <w:r w:rsidR="00CD0B5C" w:rsidRPr="007221CC">
              <w:rPr>
                <w:sz w:val="20"/>
                <w:szCs w:val="20"/>
                <w:lang w:val="en-GB"/>
              </w:rPr>
              <w:fldChar w:fldCharType="separate"/>
            </w:r>
            <w:r w:rsidR="006A1D58" w:rsidRPr="007A114B">
              <w:rPr>
                <w:noProof/>
                <w:sz w:val="20"/>
                <w:szCs w:val="20"/>
                <w:vertAlign w:val="superscript"/>
                <w:lang w:val="en-GB"/>
              </w:rPr>
              <w:t>24</w:t>
            </w:r>
            <w:r w:rsidR="00CD0B5C" w:rsidRPr="007221CC">
              <w:rPr>
                <w:sz w:val="20"/>
                <w:szCs w:val="20"/>
                <w:lang w:val="en-GB"/>
              </w:rPr>
              <w:fldChar w:fldCharType="end"/>
            </w:r>
          </w:p>
        </w:tc>
        <w:tc>
          <w:tcPr>
            <w:tcW w:w="978" w:type="dxa"/>
            <w:vAlign w:val="center"/>
          </w:tcPr>
          <w:p w14:paraId="160500CE" w14:textId="11B95A6F" w:rsidR="000E5805" w:rsidRPr="007A114B" w:rsidRDefault="00395163" w:rsidP="00395163">
            <w:pPr>
              <w:pStyle w:val="TableParagraph"/>
              <w:ind w:left="10"/>
              <w:jc w:val="center"/>
              <w:rPr>
                <w:sz w:val="20"/>
                <w:szCs w:val="20"/>
                <w:lang w:val="en-GB"/>
              </w:rPr>
            </w:pPr>
            <w:r w:rsidRPr="007A114B">
              <w:rPr>
                <w:sz w:val="20"/>
                <w:szCs w:val="20"/>
                <w:lang w:val="en-GB"/>
              </w:rPr>
              <w:t>1</w:t>
            </w:r>
          </w:p>
        </w:tc>
        <w:tc>
          <w:tcPr>
            <w:tcW w:w="904" w:type="dxa"/>
            <w:vAlign w:val="center"/>
          </w:tcPr>
          <w:p w14:paraId="58FC9C5A" w14:textId="0ECF20D4" w:rsidR="000E5805" w:rsidRPr="007A114B" w:rsidRDefault="00395163" w:rsidP="00395163">
            <w:pPr>
              <w:pStyle w:val="TableParagraph"/>
              <w:ind w:left="8"/>
              <w:jc w:val="center"/>
              <w:rPr>
                <w:sz w:val="20"/>
                <w:szCs w:val="20"/>
                <w:lang w:val="en-GB"/>
              </w:rPr>
            </w:pPr>
            <w:r w:rsidRPr="007A114B">
              <w:rPr>
                <w:sz w:val="20"/>
                <w:szCs w:val="20"/>
                <w:lang w:val="en-GB"/>
              </w:rPr>
              <w:t>1</w:t>
            </w:r>
          </w:p>
        </w:tc>
        <w:tc>
          <w:tcPr>
            <w:tcW w:w="900" w:type="dxa"/>
            <w:vAlign w:val="center"/>
          </w:tcPr>
          <w:p w14:paraId="6E070767" w14:textId="3B2B29F3" w:rsidR="000E5805" w:rsidRPr="007A114B" w:rsidRDefault="00395163" w:rsidP="00395163">
            <w:pPr>
              <w:pStyle w:val="TableParagraph"/>
              <w:ind w:left="5"/>
              <w:jc w:val="center"/>
              <w:rPr>
                <w:sz w:val="20"/>
                <w:szCs w:val="20"/>
                <w:lang w:val="en-GB"/>
              </w:rPr>
            </w:pPr>
            <w:r w:rsidRPr="007A114B">
              <w:rPr>
                <w:sz w:val="20"/>
                <w:szCs w:val="20"/>
                <w:lang w:val="en-GB"/>
              </w:rPr>
              <w:t>2</w:t>
            </w:r>
          </w:p>
        </w:tc>
        <w:tc>
          <w:tcPr>
            <w:tcW w:w="900" w:type="dxa"/>
            <w:vAlign w:val="center"/>
          </w:tcPr>
          <w:p w14:paraId="1EB3EB0A" w14:textId="01F52D51" w:rsidR="000E5805" w:rsidRPr="007A114B" w:rsidRDefault="00395163" w:rsidP="00395163">
            <w:pPr>
              <w:pStyle w:val="TableParagraph"/>
              <w:ind w:left="10"/>
              <w:jc w:val="center"/>
              <w:rPr>
                <w:sz w:val="20"/>
                <w:szCs w:val="20"/>
                <w:lang w:val="en-GB"/>
              </w:rPr>
            </w:pPr>
            <w:r w:rsidRPr="007A114B">
              <w:rPr>
                <w:sz w:val="20"/>
                <w:szCs w:val="20"/>
                <w:lang w:val="en-GB"/>
              </w:rPr>
              <w:t>1</w:t>
            </w:r>
          </w:p>
        </w:tc>
        <w:tc>
          <w:tcPr>
            <w:tcW w:w="900" w:type="dxa"/>
            <w:vAlign w:val="center"/>
          </w:tcPr>
          <w:p w14:paraId="774C9268" w14:textId="35D82E54" w:rsidR="000E5805" w:rsidRPr="007A114B" w:rsidRDefault="00395163" w:rsidP="00395163">
            <w:pPr>
              <w:pStyle w:val="TableParagraph"/>
              <w:ind w:left="10"/>
              <w:jc w:val="center"/>
              <w:rPr>
                <w:sz w:val="20"/>
                <w:szCs w:val="20"/>
                <w:lang w:val="en-GB"/>
              </w:rPr>
            </w:pPr>
            <w:r w:rsidRPr="007A114B">
              <w:rPr>
                <w:sz w:val="20"/>
                <w:szCs w:val="20"/>
                <w:lang w:val="en-GB"/>
              </w:rPr>
              <w:t>0</w:t>
            </w:r>
          </w:p>
        </w:tc>
        <w:tc>
          <w:tcPr>
            <w:tcW w:w="904" w:type="dxa"/>
            <w:vAlign w:val="center"/>
          </w:tcPr>
          <w:p w14:paraId="4F998D53" w14:textId="4176254F" w:rsidR="000E5805" w:rsidRPr="007A114B" w:rsidRDefault="00395163" w:rsidP="00395163">
            <w:pPr>
              <w:pStyle w:val="TableParagraph"/>
              <w:ind w:left="7"/>
              <w:jc w:val="center"/>
              <w:rPr>
                <w:sz w:val="20"/>
                <w:szCs w:val="20"/>
                <w:lang w:val="en-GB"/>
              </w:rPr>
            </w:pPr>
            <w:r w:rsidRPr="007A114B">
              <w:rPr>
                <w:sz w:val="20"/>
                <w:szCs w:val="20"/>
                <w:lang w:val="en-GB"/>
              </w:rPr>
              <w:t>2</w:t>
            </w:r>
          </w:p>
        </w:tc>
        <w:tc>
          <w:tcPr>
            <w:tcW w:w="900" w:type="dxa"/>
            <w:vAlign w:val="center"/>
          </w:tcPr>
          <w:p w14:paraId="50CF9892" w14:textId="6C821B8B" w:rsidR="000E5805" w:rsidRPr="007A114B" w:rsidRDefault="00395163" w:rsidP="00395163">
            <w:pPr>
              <w:pStyle w:val="TableParagraph"/>
              <w:ind w:left="9"/>
              <w:jc w:val="center"/>
              <w:rPr>
                <w:sz w:val="20"/>
                <w:szCs w:val="20"/>
                <w:lang w:val="en-GB"/>
              </w:rPr>
            </w:pPr>
            <w:r w:rsidRPr="007A114B">
              <w:rPr>
                <w:sz w:val="20"/>
                <w:szCs w:val="20"/>
                <w:lang w:val="en-GB"/>
              </w:rPr>
              <w:t>2</w:t>
            </w:r>
          </w:p>
        </w:tc>
        <w:tc>
          <w:tcPr>
            <w:tcW w:w="902" w:type="dxa"/>
            <w:vAlign w:val="center"/>
          </w:tcPr>
          <w:p w14:paraId="471CF6B3" w14:textId="56678726" w:rsidR="000E5805" w:rsidRPr="007A114B" w:rsidRDefault="00395163" w:rsidP="00395163">
            <w:pPr>
              <w:pStyle w:val="TableParagraph"/>
              <w:ind w:left="7"/>
              <w:jc w:val="center"/>
              <w:rPr>
                <w:sz w:val="20"/>
                <w:szCs w:val="20"/>
                <w:lang w:val="en-GB"/>
              </w:rPr>
            </w:pPr>
            <w:r w:rsidRPr="007A114B">
              <w:rPr>
                <w:sz w:val="20"/>
                <w:szCs w:val="20"/>
                <w:lang w:val="en-GB"/>
              </w:rPr>
              <w:t>1</w:t>
            </w:r>
          </w:p>
        </w:tc>
        <w:tc>
          <w:tcPr>
            <w:tcW w:w="900" w:type="dxa"/>
            <w:vAlign w:val="center"/>
          </w:tcPr>
          <w:p w14:paraId="3D310CD1" w14:textId="5CB8AD1F" w:rsidR="000E5805" w:rsidRPr="007A114B" w:rsidRDefault="00395163" w:rsidP="00395163">
            <w:pPr>
              <w:pStyle w:val="TableParagraph"/>
              <w:ind w:left="165" w:right="158"/>
              <w:jc w:val="center"/>
              <w:rPr>
                <w:sz w:val="20"/>
                <w:szCs w:val="20"/>
                <w:lang w:val="en-GB"/>
              </w:rPr>
            </w:pPr>
            <w:r w:rsidRPr="007A114B">
              <w:rPr>
                <w:sz w:val="20"/>
                <w:szCs w:val="20"/>
                <w:lang w:val="en-GB"/>
              </w:rPr>
              <w:t>2</w:t>
            </w:r>
          </w:p>
        </w:tc>
        <w:tc>
          <w:tcPr>
            <w:tcW w:w="901" w:type="dxa"/>
            <w:vAlign w:val="center"/>
          </w:tcPr>
          <w:p w14:paraId="1DC574F6" w14:textId="63DCFFB0" w:rsidR="000E5805" w:rsidRPr="007A114B" w:rsidRDefault="00395163" w:rsidP="00395163">
            <w:pPr>
              <w:pStyle w:val="TableParagraph"/>
              <w:ind w:left="168" w:right="162"/>
              <w:jc w:val="center"/>
              <w:rPr>
                <w:sz w:val="20"/>
                <w:szCs w:val="20"/>
                <w:lang w:val="en-GB"/>
              </w:rPr>
            </w:pPr>
            <w:r w:rsidRPr="007A114B">
              <w:rPr>
                <w:sz w:val="20"/>
                <w:szCs w:val="20"/>
                <w:lang w:val="en-GB"/>
              </w:rPr>
              <w:t>1</w:t>
            </w:r>
          </w:p>
        </w:tc>
        <w:tc>
          <w:tcPr>
            <w:tcW w:w="900" w:type="dxa"/>
            <w:vAlign w:val="center"/>
          </w:tcPr>
          <w:p w14:paraId="3B24BC56" w14:textId="4299BCA0" w:rsidR="000E5805" w:rsidRPr="007A114B" w:rsidRDefault="00395163" w:rsidP="00395163">
            <w:pPr>
              <w:pStyle w:val="TableParagraph"/>
              <w:ind w:left="165" w:right="159"/>
              <w:jc w:val="center"/>
              <w:rPr>
                <w:sz w:val="20"/>
                <w:szCs w:val="20"/>
                <w:lang w:val="en-GB"/>
              </w:rPr>
            </w:pPr>
            <w:r w:rsidRPr="007A114B">
              <w:rPr>
                <w:sz w:val="20"/>
                <w:szCs w:val="20"/>
                <w:lang w:val="en-GB"/>
              </w:rPr>
              <w:t>2</w:t>
            </w:r>
          </w:p>
        </w:tc>
        <w:tc>
          <w:tcPr>
            <w:tcW w:w="816" w:type="dxa"/>
            <w:vAlign w:val="center"/>
          </w:tcPr>
          <w:p w14:paraId="0B5A0736" w14:textId="1EE611A8" w:rsidR="000E5805" w:rsidRPr="007A114B" w:rsidRDefault="00395163" w:rsidP="00395163">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17D35F89" w14:textId="2175D89E" w:rsidR="000E5805" w:rsidRPr="007A114B" w:rsidRDefault="00395163" w:rsidP="004C1059">
            <w:pPr>
              <w:pStyle w:val="TableParagraph"/>
              <w:ind w:left="0" w:right="112"/>
              <w:jc w:val="center"/>
              <w:rPr>
                <w:sz w:val="20"/>
                <w:szCs w:val="20"/>
                <w:lang w:val="en-GB"/>
              </w:rPr>
            </w:pPr>
            <w:r w:rsidRPr="007A114B">
              <w:rPr>
                <w:sz w:val="20"/>
                <w:szCs w:val="20"/>
                <w:lang w:val="en-GB"/>
              </w:rPr>
              <w:t>17</w:t>
            </w:r>
            <w:r w:rsidR="000E5805" w:rsidRPr="007A114B">
              <w:rPr>
                <w:sz w:val="20"/>
                <w:szCs w:val="20"/>
                <w:lang w:val="en-GB"/>
              </w:rPr>
              <w:t>/24</w:t>
            </w:r>
          </w:p>
          <w:p w14:paraId="2304D819" w14:textId="4BB51A45" w:rsidR="000E5805" w:rsidRPr="007A114B" w:rsidRDefault="000E5805" w:rsidP="004C1059">
            <w:pPr>
              <w:pStyle w:val="TableParagraph"/>
              <w:ind w:left="0" w:right="112"/>
              <w:jc w:val="center"/>
              <w:rPr>
                <w:sz w:val="20"/>
                <w:szCs w:val="20"/>
                <w:lang w:val="en-GB"/>
              </w:rPr>
            </w:pPr>
            <w:r w:rsidRPr="007A114B">
              <w:rPr>
                <w:sz w:val="20"/>
                <w:szCs w:val="20"/>
                <w:lang w:val="en-GB"/>
              </w:rPr>
              <w:t>(</w:t>
            </w:r>
            <w:r w:rsidR="00395163" w:rsidRPr="007A114B">
              <w:rPr>
                <w:sz w:val="20"/>
                <w:szCs w:val="20"/>
                <w:lang w:val="en-GB"/>
              </w:rPr>
              <w:t>71</w:t>
            </w:r>
            <w:r w:rsidRPr="007A114B">
              <w:rPr>
                <w:sz w:val="20"/>
                <w:szCs w:val="20"/>
                <w:lang w:val="en-GB"/>
              </w:rPr>
              <w:t>%)</w:t>
            </w:r>
          </w:p>
        </w:tc>
      </w:tr>
      <w:tr w:rsidR="000E5805" w:rsidRPr="007A114B" w14:paraId="1C79DBED" w14:textId="77777777" w:rsidTr="000E5805">
        <w:trPr>
          <w:gridAfter w:val="1"/>
          <w:wAfter w:w="14" w:type="dxa"/>
          <w:trHeight w:val="454"/>
        </w:trPr>
        <w:tc>
          <w:tcPr>
            <w:tcW w:w="2545" w:type="dxa"/>
            <w:vAlign w:val="center"/>
          </w:tcPr>
          <w:p w14:paraId="1DE8239F" w14:textId="0FB6284A" w:rsidR="000E5805" w:rsidRPr="007A114B" w:rsidRDefault="00892E31" w:rsidP="004C1059">
            <w:pPr>
              <w:pStyle w:val="TableParagraph"/>
              <w:jc w:val="center"/>
              <w:rPr>
                <w:sz w:val="20"/>
                <w:szCs w:val="20"/>
                <w:lang w:val="en-GB"/>
              </w:rPr>
            </w:pPr>
            <w:r w:rsidRPr="007A114B">
              <w:rPr>
                <w:sz w:val="20"/>
                <w:szCs w:val="20"/>
                <w:lang w:val="en-GB"/>
              </w:rPr>
              <w:t>Chandrasekaran 2016</w:t>
            </w:r>
            <w:r w:rsidR="00CD0B5C" w:rsidRPr="007221CC">
              <w:rPr>
                <w:sz w:val="20"/>
                <w:szCs w:val="20"/>
                <w:lang w:val="en-GB"/>
              </w:rPr>
              <w:fldChar w:fldCharType="begin" w:fldLock="1"/>
            </w:r>
            <w:r w:rsidR="00223245" w:rsidRPr="007A114B">
              <w:rPr>
                <w:sz w:val="20"/>
                <w:szCs w:val="20"/>
                <w:lang w:val="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lt;/sup&gt;","plainTextFormattedCitation":"25","previouslyFormattedCitation":"&lt;sup&gt;25&lt;/sup&gt;"},"properties":{"noteIndex":0},"schema":"https://github.com/citation-style-language/schema/raw/master/csl-citation.json"}</w:instrText>
            </w:r>
            <w:r w:rsidR="00CD0B5C" w:rsidRPr="007221CC">
              <w:rPr>
                <w:sz w:val="20"/>
                <w:szCs w:val="20"/>
                <w:lang w:val="en-GB"/>
              </w:rPr>
              <w:fldChar w:fldCharType="separate"/>
            </w:r>
            <w:r w:rsidR="006A1D58" w:rsidRPr="007A114B">
              <w:rPr>
                <w:noProof/>
                <w:sz w:val="20"/>
                <w:szCs w:val="20"/>
                <w:vertAlign w:val="superscript"/>
                <w:lang w:val="en-GB"/>
              </w:rPr>
              <w:t>25</w:t>
            </w:r>
            <w:r w:rsidR="00CD0B5C" w:rsidRPr="007221CC">
              <w:rPr>
                <w:sz w:val="20"/>
                <w:szCs w:val="20"/>
                <w:lang w:val="en-GB"/>
              </w:rPr>
              <w:fldChar w:fldCharType="end"/>
            </w:r>
          </w:p>
        </w:tc>
        <w:tc>
          <w:tcPr>
            <w:tcW w:w="978" w:type="dxa"/>
            <w:vAlign w:val="center"/>
          </w:tcPr>
          <w:p w14:paraId="6DAB40C8" w14:textId="4CC6122D" w:rsidR="000E5805" w:rsidRPr="007A114B" w:rsidRDefault="00A4645F" w:rsidP="004C1059">
            <w:pPr>
              <w:pStyle w:val="TableParagraph"/>
              <w:ind w:left="10"/>
              <w:jc w:val="center"/>
              <w:rPr>
                <w:sz w:val="20"/>
                <w:szCs w:val="20"/>
                <w:lang w:val="en-GB"/>
              </w:rPr>
            </w:pPr>
            <w:r w:rsidRPr="007A114B">
              <w:rPr>
                <w:sz w:val="20"/>
                <w:szCs w:val="20"/>
                <w:lang w:val="en-GB"/>
              </w:rPr>
              <w:t>2</w:t>
            </w:r>
          </w:p>
        </w:tc>
        <w:tc>
          <w:tcPr>
            <w:tcW w:w="904" w:type="dxa"/>
            <w:vAlign w:val="center"/>
          </w:tcPr>
          <w:p w14:paraId="5DE1376F" w14:textId="24B60B54" w:rsidR="000E5805" w:rsidRPr="007A114B" w:rsidRDefault="00A4645F" w:rsidP="004C1059">
            <w:pPr>
              <w:pStyle w:val="TableParagraph"/>
              <w:ind w:left="8"/>
              <w:jc w:val="center"/>
              <w:rPr>
                <w:sz w:val="20"/>
                <w:szCs w:val="20"/>
                <w:lang w:val="en-GB"/>
              </w:rPr>
            </w:pPr>
            <w:r w:rsidRPr="007A114B">
              <w:rPr>
                <w:sz w:val="20"/>
                <w:szCs w:val="20"/>
                <w:lang w:val="en-GB"/>
              </w:rPr>
              <w:t>1</w:t>
            </w:r>
          </w:p>
        </w:tc>
        <w:tc>
          <w:tcPr>
            <w:tcW w:w="900" w:type="dxa"/>
            <w:vAlign w:val="center"/>
          </w:tcPr>
          <w:p w14:paraId="2418840E" w14:textId="17471CD3" w:rsidR="000E5805" w:rsidRPr="007A114B" w:rsidRDefault="00A4645F" w:rsidP="004C1059">
            <w:pPr>
              <w:pStyle w:val="TableParagraph"/>
              <w:ind w:left="5"/>
              <w:jc w:val="center"/>
              <w:rPr>
                <w:sz w:val="20"/>
                <w:szCs w:val="20"/>
                <w:lang w:val="en-GB"/>
              </w:rPr>
            </w:pPr>
            <w:r w:rsidRPr="007A114B">
              <w:rPr>
                <w:sz w:val="20"/>
                <w:szCs w:val="20"/>
                <w:lang w:val="en-GB"/>
              </w:rPr>
              <w:t>2</w:t>
            </w:r>
          </w:p>
        </w:tc>
        <w:tc>
          <w:tcPr>
            <w:tcW w:w="900" w:type="dxa"/>
            <w:vAlign w:val="center"/>
          </w:tcPr>
          <w:p w14:paraId="5B8EC1AF" w14:textId="25B120E1" w:rsidR="000E5805" w:rsidRPr="007A114B" w:rsidRDefault="00A4645F" w:rsidP="004C1059">
            <w:pPr>
              <w:pStyle w:val="TableParagraph"/>
              <w:ind w:left="10"/>
              <w:jc w:val="center"/>
              <w:rPr>
                <w:sz w:val="20"/>
                <w:szCs w:val="20"/>
                <w:lang w:val="en-GB"/>
              </w:rPr>
            </w:pPr>
            <w:r w:rsidRPr="007A114B">
              <w:rPr>
                <w:sz w:val="20"/>
                <w:szCs w:val="20"/>
                <w:lang w:val="en-GB"/>
              </w:rPr>
              <w:t>1</w:t>
            </w:r>
          </w:p>
        </w:tc>
        <w:tc>
          <w:tcPr>
            <w:tcW w:w="900" w:type="dxa"/>
            <w:vAlign w:val="center"/>
          </w:tcPr>
          <w:p w14:paraId="0EA9440C" w14:textId="65B41406" w:rsidR="000E5805" w:rsidRPr="007A114B" w:rsidRDefault="00A4645F" w:rsidP="004C1059">
            <w:pPr>
              <w:pStyle w:val="TableParagraph"/>
              <w:ind w:left="10"/>
              <w:jc w:val="center"/>
              <w:rPr>
                <w:sz w:val="20"/>
                <w:szCs w:val="20"/>
                <w:lang w:val="en-GB"/>
              </w:rPr>
            </w:pPr>
            <w:r w:rsidRPr="007A114B">
              <w:rPr>
                <w:sz w:val="20"/>
                <w:szCs w:val="20"/>
                <w:lang w:val="en-GB"/>
              </w:rPr>
              <w:t>2</w:t>
            </w:r>
          </w:p>
        </w:tc>
        <w:tc>
          <w:tcPr>
            <w:tcW w:w="904" w:type="dxa"/>
            <w:vAlign w:val="center"/>
          </w:tcPr>
          <w:p w14:paraId="0EA4424D" w14:textId="76DD4B50" w:rsidR="000E5805" w:rsidRPr="007A114B" w:rsidRDefault="00A4645F" w:rsidP="004C1059">
            <w:pPr>
              <w:pStyle w:val="TableParagraph"/>
              <w:ind w:left="7"/>
              <w:jc w:val="center"/>
              <w:rPr>
                <w:sz w:val="20"/>
                <w:szCs w:val="20"/>
                <w:lang w:val="en-GB"/>
              </w:rPr>
            </w:pPr>
            <w:r w:rsidRPr="007A114B">
              <w:rPr>
                <w:sz w:val="20"/>
                <w:szCs w:val="20"/>
                <w:lang w:val="en-GB"/>
              </w:rPr>
              <w:t>0</w:t>
            </w:r>
          </w:p>
        </w:tc>
        <w:tc>
          <w:tcPr>
            <w:tcW w:w="900" w:type="dxa"/>
            <w:vAlign w:val="center"/>
          </w:tcPr>
          <w:p w14:paraId="4E903174" w14:textId="1ACF81BE" w:rsidR="000E5805" w:rsidRPr="007A114B" w:rsidRDefault="00A4645F" w:rsidP="004C1059">
            <w:pPr>
              <w:pStyle w:val="TableParagraph"/>
              <w:ind w:left="9"/>
              <w:jc w:val="center"/>
              <w:rPr>
                <w:sz w:val="20"/>
                <w:szCs w:val="20"/>
                <w:lang w:val="en-GB"/>
              </w:rPr>
            </w:pPr>
            <w:r w:rsidRPr="007A114B">
              <w:rPr>
                <w:sz w:val="20"/>
                <w:szCs w:val="20"/>
                <w:lang w:val="en-GB"/>
              </w:rPr>
              <w:t>2</w:t>
            </w:r>
          </w:p>
        </w:tc>
        <w:tc>
          <w:tcPr>
            <w:tcW w:w="902" w:type="dxa"/>
            <w:vAlign w:val="center"/>
          </w:tcPr>
          <w:p w14:paraId="0CC612CC" w14:textId="475B7620" w:rsidR="000E5805" w:rsidRPr="007A114B" w:rsidRDefault="00A4645F" w:rsidP="004C1059">
            <w:pPr>
              <w:pStyle w:val="TableParagraph"/>
              <w:ind w:left="0"/>
              <w:jc w:val="center"/>
              <w:rPr>
                <w:sz w:val="20"/>
                <w:szCs w:val="20"/>
                <w:lang w:val="en-GB"/>
              </w:rPr>
            </w:pPr>
            <w:r w:rsidRPr="007A114B">
              <w:rPr>
                <w:sz w:val="20"/>
                <w:szCs w:val="20"/>
                <w:lang w:val="en-GB"/>
              </w:rPr>
              <w:t>1</w:t>
            </w:r>
          </w:p>
        </w:tc>
        <w:tc>
          <w:tcPr>
            <w:tcW w:w="900" w:type="dxa"/>
            <w:vAlign w:val="center"/>
          </w:tcPr>
          <w:p w14:paraId="25CBE5EA" w14:textId="1B668726" w:rsidR="000E5805" w:rsidRPr="007A114B" w:rsidRDefault="00A4645F" w:rsidP="004C1059">
            <w:pPr>
              <w:pStyle w:val="TableParagraph"/>
              <w:ind w:left="165" w:right="158"/>
              <w:jc w:val="center"/>
              <w:rPr>
                <w:sz w:val="20"/>
                <w:szCs w:val="20"/>
                <w:lang w:val="en-GB"/>
              </w:rPr>
            </w:pPr>
            <w:r w:rsidRPr="007A114B">
              <w:rPr>
                <w:sz w:val="20"/>
                <w:szCs w:val="20"/>
                <w:lang w:val="en-GB"/>
              </w:rPr>
              <w:t>2</w:t>
            </w:r>
          </w:p>
        </w:tc>
        <w:tc>
          <w:tcPr>
            <w:tcW w:w="901" w:type="dxa"/>
            <w:vAlign w:val="center"/>
          </w:tcPr>
          <w:p w14:paraId="1A4018A1" w14:textId="0BA03038" w:rsidR="000E5805" w:rsidRPr="007A114B" w:rsidRDefault="00A4645F" w:rsidP="004C1059">
            <w:pPr>
              <w:pStyle w:val="TableParagraph"/>
              <w:ind w:left="168" w:right="162"/>
              <w:jc w:val="center"/>
              <w:rPr>
                <w:sz w:val="20"/>
                <w:szCs w:val="20"/>
                <w:lang w:val="en-GB"/>
              </w:rPr>
            </w:pPr>
            <w:r w:rsidRPr="007A114B">
              <w:rPr>
                <w:sz w:val="20"/>
                <w:szCs w:val="20"/>
                <w:lang w:val="en-GB"/>
              </w:rPr>
              <w:t>2</w:t>
            </w:r>
          </w:p>
        </w:tc>
        <w:tc>
          <w:tcPr>
            <w:tcW w:w="900" w:type="dxa"/>
            <w:vAlign w:val="center"/>
          </w:tcPr>
          <w:p w14:paraId="27FD8B11" w14:textId="3554A73A" w:rsidR="000E5805" w:rsidRPr="007A114B" w:rsidRDefault="00A4645F" w:rsidP="004C1059">
            <w:pPr>
              <w:pStyle w:val="TableParagraph"/>
              <w:ind w:left="165" w:right="159"/>
              <w:jc w:val="center"/>
              <w:rPr>
                <w:sz w:val="20"/>
                <w:szCs w:val="20"/>
                <w:lang w:val="en-GB"/>
              </w:rPr>
            </w:pPr>
            <w:r w:rsidRPr="007A114B">
              <w:rPr>
                <w:sz w:val="20"/>
                <w:szCs w:val="20"/>
                <w:lang w:val="en-GB"/>
              </w:rPr>
              <w:t>2</w:t>
            </w:r>
          </w:p>
        </w:tc>
        <w:tc>
          <w:tcPr>
            <w:tcW w:w="816" w:type="dxa"/>
            <w:vAlign w:val="center"/>
          </w:tcPr>
          <w:p w14:paraId="44CCD5F4" w14:textId="4871158D" w:rsidR="000E5805" w:rsidRPr="007A114B" w:rsidRDefault="00A4645F" w:rsidP="004C1059">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0138D620" w14:textId="4E7F34FD" w:rsidR="000E5805" w:rsidRPr="007A114B" w:rsidRDefault="00A4645F" w:rsidP="004C1059">
            <w:pPr>
              <w:pStyle w:val="TableParagraph"/>
              <w:ind w:left="0" w:right="111"/>
              <w:jc w:val="center"/>
              <w:rPr>
                <w:sz w:val="20"/>
                <w:szCs w:val="20"/>
                <w:lang w:val="en-GB"/>
              </w:rPr>
            </w:pPr>
            <w:r w:rsidRPr="007A114B">
              <w:rPr>
                <w:sz w:val="20"/>
                <w:szCs w:val="20"/>
                <w:lang w:val="en-GB"/>
              </w:rPr>
              <w:t>19</w:t>
            </w:r>
            <w:r w:rsidR="000E5805" w:rsidRPr="007A114B">
              <w:rPr>
                <w:sz w:val="20"/>
                <w:szCs w:val="20"/>
                <w:lang w:val="en-GB"/>
              </w:rPr>
              <w:t>/24</w:t>
            </w:r>
          </w:p>
          <w:p w14:paraId="7C7B2CFD" w14:textId="5DDB9665" w:rsidR="000E5805" w:rsidRPr="007A114B" w:rsidRDefault="000E5805" w:rsidP="004C1059">
            <w:pPr>
              <w:pStyle w:val="TableParagraph"/>
              <w:ind w:left="0" w:right="111"/>
              <w:jc w:val="center"/>
              <w:rPr>
                <w:sz w:val="20"/>
                <w:szCs w:val="20"/>
                <w:lang w:val="en-GB"/>
              </w:rPr>
            </w:pPr>
            <w:r w:rsidRPr="007A114B">
              <w:rPr>
                <w:sz w:val="20"/>
                <w:szCs w:val="20"/>
                <w:lang w:val="en-GB"/>
              </w:rPr>
              <w:t>(</w:t>
            </w:r>
            <w:r w:rsidR="00A4645F" w:rsidRPr="007A114B">
              <w:rPr>
                <w:sz w:val="20"/>
                <w:szCs w:val="20"/>
                <w:lang w:val="en-GB"/>
              </w:rPr>
              <w:t>79</w:t>
            </w:r>
            <w:r w:rsidRPr="007A114B">
              <w:rPr>
                <w:sz w:val="20"/>
                <w:szCs w:val="20"/>
                <w:lang w:val="en-GB"/>
              </w:rPr>
              <w:t>%)</w:t>
            </w:r>
          </w:p>
        </w:tc>
      </w:tr>
      <w:tr w:rsidR="00D101F7" w:rsidRPr="007A114B" w14:paraId="13B37F6B" w14:textId="77777777" w:rsidTr="000E5805">
        <w:trPr>
          <w:gridAfter w:val="1"/>
          <w:wAfter w:w="14" w:type="dxa"/>
          <w:trHeight w:val="457"/>
        </w:trPr>
        <w:tc>
          <w:tcPr>
            <w:tcW w:w="2545" w:type="dxa"/>
            <w:vAlign w:val="center"/>
          </w:tcPr>
          <w:p w14:paraId="09F6D56A" w14:textId="25C595BD" w:rsidR="00D101F7" w:rsidRPr="007A114B" w:rsidRDefault="00D101F7" w:rsidP="00D101F7">
            <w:pPr>
              <w:pStyle w:val="TableParagraph"/>
              <w:spacing w:line="181" w:lineRule="exact"/>
              <w:jc w:val="center"/>
              <w:rPr>
                <w:sz w:val="20"/>
                <w:szCs w:val="20"/>
                <w:lang w:val="en-GB"/>
              </w:rPr>
            </w:pPr>
            <w:proofErr w:type="spellStart"/>
            <w:r w:rsidRPr="007A114B">
              <w:rPr>
                <w:color w:val="000000"/>
                <w:sz w:val="20"/>
                <w:szCs w:val="20"/>
                <w:lang w:val="en-GB"/>
              </w:rPr>
              <w:t>Comba</w:t>
            </w:r>
            <w:proofErr w:type="spellEnd"/>
            <w:r w:rsidRPr="007A114B">
              <w:rPr>
                <w:color w:val="000000"/>
                <w:sz w:val="20"/>
                <w:szCs w:val="20"/>
                <w:lang w:val="en-GB"/>
              </w:rPr>
              <w:t xml:space="preserve"> 2016</w:t>
            </w:r>
            <w:r w:rsidR="00CD0B5C"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journal","id":"ITEM-1","issue":"3","issued":{"date-parts":[["2016"]]},"language":"eng","page":"317-323","title":"Joint preservation after hip arthroscopy in patients with FAI. Prospective analysis  with a minimum follow-up of seven years.","type":"article-journal","volume":"6"},"uris":["http://www.mendeley.com/documents/?uuid=02bbbb1b-5b7e-48ac-a558-094f38db259c"]}],"mendeley":{"formattedCitation":"&lt;sup&gt;29&lt;/sup&gt;","plainTextFormattedCitation":"29","previouslyFormattedCitation":"&lt;sup&gt;29&lt;/sup&gt;"},"properties":{"noteIndex":0},"schema":"https://github.com/citation-style-language/schema/raw/master/csl-citation.json"}</w:instrText>
            </w:r>
            <w:r w:rsidR="00CD0B5C" w:rsidRPr="007221CC">
              <w:rPr>
                <w:color w:val="000000"/>
                <w:sz w:val="20"/>
                <w:szCs w:val="20"/>
                <w:lang w:val="en-GB"/>
              </w:rPr>
              <w:fldChar w:fldCharType="separate"/>
            </w:r>
            <w:r w:rsidR="006A1D58" w:rsidRPr="007A114B">
              <w:rPr>
                <w:noProof/>
                <w:color w:val="000000"/>
                <w:sz w:val="20"/>
                <w:szCs w:val="20"/>
                <w:vertAlign w:val="superscript"/>
                <w:lang w:val="en-GB"/>
              </w:rPr>
              <w:t>29</w:t>
            </w:r>
            <w:r w:rsidR="00CD0B5C" w:rsidRPr="007221CC">
              <w:rPr>
                <w:color w:val="000000"/>
                <w:sz w:val="20"/>
                <w:szCs w:val="20"/>
                <w:lang w:val="en-GB"/>
              </w:rPr>
              <w:fldChar w:fldCharType="end"/>
            </w:r>
          </w:p>
        </w:tc>
        <w:tc>
          <w:tcPr>
            <w:tcW w:w="978" w:type="dxa"/>
            <w:vAlign w:val="center"/>
          </w:tcPr>
          <w:p w14:paraId="5D65ED77" w14:textId="19088764" w:rsidR="00D101F7" w:rsidRPr="007A114B" w:rsidRDefault="00D101F7" w:rsidP="00D101F7">
            <w:pPr>
              <w:pStyle w:val="TableParagraph"/>
              <w:spacing w:line="181" w:lineRule="exact"/>
              <w:ind w:left="194" w:right="188"/>
              <w:jc w:val="center"/>
              <w:rPr>
                <w:sz w:val="20"/>
                <w:szCs w:val="20"/>
                <w:lang w:val="en-GB"/>
              </w:rPr>
            </w:pPr>
            <w:r w:rsidRPr="007A114B">
              <w:rPr>
                <w:sz w:val="20"/>
                <w:szCs w:val="20"/>
                <w:lang w:val="en-GB"/>
              </w:rPr>
              <w:t>NA</w:t>
            </w:r>
          </w:p>
        </w:tc>
        <w:tc>
          <w:tcPr>
            <w:tcW w:w="904" w:type="dxa"/>
            <w:vAlign w:val="center"/>
          </w:tcPr>
          <w:p w14:paraId="2A53E3A5" w14:textId="773EBE3F" w:rsidR="00D101F7" w:rsidRPr="007A114B" w:rsidRDefault="00D101F7" w:rsidP="00D101F7">
            <w:pPr>
              <w:pStyle w:val="TableParagraph"/>
              <w:spacing w:line="181" w:lineRule="exact"/>
              <w:ind w:left="168" w:right="164"/>
              <w:jc w:val="center"/>
              <w:rPr>
                <w:sz w:val="20"/>
                <w:szCs w:val="20"/>
                <w:lang w:val="en-GB"/>
              </w:rPr>
            </w:pPr>
            <w:r w:rsidRPr="007A114B">
              <w:rPr>
                <w:sz w:val="20"/>
                <w:szCs w:val="20"/>
                <w:lang w:val="en-GB"/>
              </w:rPr>
              <w:t>NA</w:t>
            </w:r>
          </w:p>
        </w:tc>
        <w:tc>
          <w:tcPr>
            <w:tcW w:w="900" w:type="dxa"/>
            <w:vAlign w:val="center"/>
          </w:tcPr>
          <w:p w14:paraId="6F50FC9E" w14:textId="3D157C8F" w:rsidR="00D101F7" w:rsidRPr="007A114B" w:rsidRDefault="00D101F7" w:rsidP="00D101F7">
            <w:pPr>
              <w:pStyle w:val="TableParagraph"/>
              <w:spacing w:line="181" w:lineRule="exact"/>
              <w:ind w:left="162" w:right="161"/>
              <w:jc w:val="center"/>
              <w:rPr>
                <w:sz w:val="20"/>
                <w:szCs w:val="20"/>
                <w:lang w:val="en-GB"/>
              </w:rPr>
            </w:pPr>
            <w:r w:rsidRPr="007A114B">
              <w:rPr>
                <w:sz w:val="20"/>
                <w:szCs w:val="20"/>
                <w:lang w:val="en-GB"/>
              </w:rPr>
              <w:t>NA</w:t>
            </w:r>
          </w:p>
        </w:tc>
        <w:tc>
          <w:tcPr>
            <w:tcW w:w="900" w:type="dxa"/>
            <w:vAlign w:val="center"/>
          </w:tcPr>
          <w:p w14:paraId="10F824C6" w14:textId="7C585595" w:rsidR="00D101F7" w:rsidRPr="007A114B" w:rsidRDefault="00D101F7" w:rsidP="00D101F7">
            <w:pPr>
              <w:pStyle w:val="TableParagraph"/>
              <w:spacing w:line="181" w:lineRule="exact"/>
              <w:ind w:left="165" w:right="159"/>
              <w:jc w:val="center"/>
              <w:rPr>
                <w:sz w:val="20"/>
                <w:szCs w:val="20"/>
                <w:lang w:val="en-GB"/>
              </w:rPr>
            </w:pPr>
            <w:r w:rsidRPr="007A114B">
              <w:rPr>
                <w:sz w:val="20"/>
                <w:szCs w:val="20"/>
                <w:lang w:val="en-GB"/>
              </w:rPr>
              <w:t>NA</w:t>
            </w:r>
          </w:p>
        </w:tc>
        <w:tc>
          <w:tcPr>
            <w:tcW w:w="900" w:type="dxa"/>
            <w:vAlign w:val="center"/>
          </w:tcPr>
          <w:p w14:paraId="1AA77EA6" w14:textId="63C4EB63" w:rsidR="00D101F7" w:rsidRPr="007A114B" w:rsidRDefault="000D05D9" w:rsidP="00D101F7">
            <w:pPr>
              <w:pStyle w:val="TableParagraph"/>
              <w:spacing w:line="181" w:lineRule="exact"/>
              <w:ind w:left="165" w:right="159"/>
              <w:jc w:val="center"/>
              <w:rPr>
                <w:sz w:val="20"/>
                <w:szCs w:val="20"/>
                <w:lang w:val="en-GB"/>
              </w:rPr>
            </w:pPr>
            <w:r w:rsidRPr="007A114B">
              <w:rPr>
                <w:sz w:val="20"/>
                <w:szCs w:val="20"/>
                <w:lang w:val="en-GB"/>
              </w:rPr>
              <w:t>0</w:t>
            </w:r>
          </w:p>
        </w:tc>
        <w:tc>
          <w:tcPr>
            <w:tcW w:w="904" w:type="dxa"/>
            <w:vAlign w:val="center"/>
          </w:tcPr>
          <w:p w14:paraId="26B25B0E" w14:textId="2BEAA4E7" w:rsidR="00D101F7" w:rsidRPr="007A114B" w:rsidRDefault="000D05D9" w:rsidP="00D101F7">
            <w:pPr>
              <w:pStyle w:val="TableParagraph"/>
              <w:spacing w:line="181" w:lineRule="exact"/>
              <w:ind w:left="167" w:right="164"/>
              <w:jc w:val="center"/>
              <w:rPr>
                <w:sz w:val="20"/>
                <w:szCs w:val="20"/>
                <w:lang w:val="en-GB"/>
              </w:rPr>
            </w:pPr>
            <w:r w:rsidRPr="007A114B">
              <w:rPr>
                <w:sz w:val="20"/>
                <w:szCs w:val="20"/>
                <w:lang w:val="en-GB"/>
              </w:rPr>
              <w:t>2</w:t>
            </w:r>
          </w:p>
        </w:tc>
        <w:tc>
          <w:tcPr>
            <w:tcW w:w="900" w:type="dxa"/>
            <w:vAlign w:val="center"/>
          </w:tcPr>
          <w:p w14:paraId="235BFD22" w14:textId="67B528C9" w:rsidR="00D101F7" w:rsidRPr="007A114B" w:rsidRDefault="000D05D9" w:rsidP="00D101F7">
            <w:pPr>
              <w:pStyle w:val="TableParagraph"/>
              <w:spacing w:line="181" w:lineRule="exact"/>
              <w:ind w:left="165" w:right="159"/>
              <w:jc w:val="center"/>
              <w:rPr>
                <w:sz w:val="20"/>
                <w:szCs w:val="20"/>
                <w:lang w:val="en-GB"/>
              </w:rPr>
            </w:pPr>
            <w:r w:rsidRPr="007A114B">
              <w:rPr>
                <w:sz w:val="20"/>
                <w:szCs w:val="20"/>
                <w:lang w:val="en-GB"/>
              </w:rPr>
              <w:t>2</w:t>
            </w:r>
          </w:p>
        </w:tc>
        <w:tc>
          <w:tcPr>
            <w:tcW w:w="902" w:type="dxa"/>
            <w:vAlign w:val="center"/>
          </w:tcPr>
          <w:p w14:paraId="1B0ABB0D" w14:textId="0C95BE60" w:rsidR="00D101F7" w:rsidRPr="007A114B" w:rsidRDefault="000D05D9" w:rsidP="00D101F7">
            <w:pPr>
              <w:pStyle w:val="TableParagraph"/>
              <w:spacing w:line="181" w:lineRule="exact"/>
              <w:ind w:left="167" w:right="163"/>
              <w:jc w:val="center"/>
              <w:rPr>
                <w:sz w:val="20"/>
                <w:szCs w:val="20"/>
                <w:lang w:val="en-GB"/>
              </w:rPr>
            </w:pPr>
            <w:r w:rsidRPr="007A114B">
              <w:rPr>
                <w:sz w:val="20"/>
                <w:szCs w:val="20"/>
                <w:lang w:val="en-GB"/>
              </w:rPr>
              <w:t>1</w:t>
            </w:r>
          </w:p>
        </w:tc>
        <w:tc>
          <w:tcPr>
            <w:tcW w:w="900" w:type="dxa"/>
            <w:vAlign w:val="center"/>
          </w:tcPr>
          <w:p w14:paraId="05B68FF5" w14:textId="6BB7FDF0" w:rsidR="00D101F7" w:rsidRPr="007A114B" w:rsidRDefault="000D05D9" w:rsidP="00D101F7">
            <w:pPr>
              <w:pStyle w:val="TableParagraph"/>
              <w:spacing w:line="181" w:lineRule="exact"/>
              <w:ind w:left="165" w:right="158"/>
              <w:jc w:val="center"/>
              <w:rPr>
                <w:sz w:val="20"/>
                <w:szCs w:val="20"/>
                <w:lang w:val="en-GB"/>
              </w:rPr>
            </w:pPr>
            <w:r w:rsidRPr="007A114B">
              <w:rPr>
                <w:sz w:val="20"/>
                <w:szCs w:val="20"/>
                <w:lang w:val="en-GB"/>
              </w:rPr>
              <w:t>2</w:t>
            </w:r>
          </w:p>
        </w:tc>
        <w:tc>
          <w:tcPr>
            <w:tcW w:w="901" w:type="dxa"/>
            <w:vAlign w:val="center"/>
          </w:tcPr>
          <w:p w14:paraId="47BD6040" w14:textId="144521D7" w:rsidR="00D101F7" w:rsidRPr="007A114B" w:rsidRDefault="000D05D9" w:rsidP="00D101F7">
            <w:pPr>
              <w:pStyle w:val="TableParagraph"/>
              <w:spacing w:line="181" w:lineRule="exact"/>
              <w:ind w:left="168" w:right="162"/>
              <w:jc w:val="center"/>
              <w:rPr>
                <w:sz w:val="20"/>
                <w:szCs w:val="20"/>
                <w:lang w:val="en-GB"/>
              </w:rPr>
            </w:pPr>
            <w:r w:rsidRPr="007A114B">
              <w:rPr>
                <w:sz w:val="20"/>
                <w:szCs w:val="20"/>
                <w:lang w:val="en-GB"/>
              </w:rPr>
              <w:t>1</w:t>
            </w:r>
          </w:p>
        </w:tc>
        <w:tc>
          <w:tcPr>
            <w:tcW w:w="900" w:type="dxa"/>
            <w:vAlign w:val="center"/>
          </w:tcPr>
          <w:p w14:paraId="47226492" w14:textId="37484CD3" w:rsidR="00D101F7" w:rsidRPr="007A114B" w:rsidRDefault="000D05D9" w:rsidP="00D101F7">
            <w:pPr>
              <w:pStyle w:val="TableParagraph"/>
              <w:spacing w:line="181" w:lineRule="exact"/>
              <w:ind w:left="165" w:right="159"/>
              <w:jc w:val="center"/>
              <w:rPr>
                <w:sz w:val="20"/>
                <w:szCs w:val="20"/>
                <w:lang w:val="en-GB"/>
              </w:rPr>
            </w:pPr>
            <w:r w:rsidRPr="007A114B">
              <w:rPr>
                <w:sz w:val="20"/>
                <w:szCs w:val="20"/>
                <w:lang w:val="en-GB"/>
              </w:rPr>
              <w:t>2</w:t>
            </w:r>
          </w:p>
        </w:tc>
        <w:tc>
          <w:tcPr>
            <w:tcW w:w="816" w:type="dxa"/>
            <w:vAlign w:val="center"/>
          </w:tcPr>
          <w:p w14:paraId="0D790F68" w14:textId="03AF943B" w:rsidR="00D101F7" w:rsidRPr="007A114B" w:rsidRDefault="000D05D9" w:rsidP="00D101F7">
            <w:pPr>
              <w:pStyle w:val="TableParagraph"/>
              <w:spacing w:line="181" w:lineRule="exact"/>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7850BE80" w14:textId="1E24516E" w:rsidR="00D101F7" w:rsidRPr="007A114B" w:rsidRDefault="000D05D9" w:rsidP="00D101F7">
            <w:pPr>
              <w:pStyle w:val="TableParagraph"/>
              <w:spacing w:line="181" w:lineRule="exact"/>
              <w:ind w:left="0" w:right="180"/>
              <w:jc w:val="center"/>
              <w:rPr>
                <w:sz w:val="20"/>
                <w:szCs w:val="20"/>
                <w:lang w:val="en-GB"/>
              </w:rPr>
            </w:pPr>
            <w:r w:rsidRPr="007A114B">
              <w:rPr>
                <w:sz w:val="20"/>
                <w:szCs w:val="20"/>
                <w:lang w:val="en-GB"/>
              </w:rPr>
              <w:t>12</w:t>
            </w:r>
            <w:r w:rsidR="00D101F7" w:rsidRPr="007A114B">
              <w:rPr>
                <w:sz w:val="20"/>
                <w:szCs w:val="20"/>
                <w:lang w:val="en-GB"/>
              </w:rPr>
              <w:t>/16</w:t>
            </w:r>
          </w:p>
          <w:p w14:paraId="4CA93DC5" w14:textId="35C286AD" w:rsidR="00D101F7" w:rsidRPr="007A114B" w:rsidRDefault="00D101F7" w:rsidP="00D101F7">
            <w:pPr>
              <w:pStyle w:val="TableParagraph"/>
              <w:spacing w:line="181" w:lineRule="exact"/>
              <w:ind w:left="0" w:right="180"/>
              <w:jc w:val="center"/>
              <w:rPr>
                <w:sz w:val="20"/>
                <w:szCs w:val="20"/>
                <w:lang w:val="en-GB"/>
              </w:rPr>
            </w:pPr>
            <w:r w:rsidRPr="007A114B">
              <w:rPr>
                <w:sz w:val="20"/>
                <w:szCs w:val="20"/>
                <w:lang w:val="en-GB"/>
              </w:rPr>
              <w:t>(</w:t>
            </w:r>
            <w:r w:rsidR="000D05D9" w:rsidRPr="007A114B">
              <w:rPr>
                <w:sz w:val="20"/>
                <w:szCs w:val="20"/>
                <w:lang w:val="en-GB"/>
              </w:rPr>
              <w:t>75</w:t>
            </w:r>
            <w:r w:rsidRPr="007A114B">
              <w:rPr>
                <w:sz w:val="20"/>
                <w:szCs w:val="20"/>
                <w:lang w:val="en-GB"/>
              </w:rPr>
              <w:t>%)</w:t>
            </w:r>
          </w:p>
        </w:tc>
      </w:tr>
      <w:tr w:rsidR="00D101F7" w:rsidRPr="007A114B" w14:paraId="7E2CC457" w14:textId="77777777" w:rsidTr="000E5805">
        <w:trPr>
          <w:gridAfter w:val="1"/>
          <w:wAfter w:w="14" w:type="dxa"/>
          <w:trHeight w:val="454"/>
        </w:trPr>
        <w:tc>
          <w:tcPr>
            <w:tcW w:w="2545" w:type="dxa"/>
            <w:vAlign w:val="center"/>
          </w:tcPr>
          <w:p w14:paraId="682BDEF8" w14:textId="20E3E722" w:rsidR="00D101F7" w:rsidRPr="007A114B" w:rsidRDefault="00D101F7" w:rsidP="00D101F7">
            <w:pPr>
              <w:pStyle w:val="TableParagraph"/>
              <w:jc w:val="center"/>
              <w:rPr>
                <w:sz w:val="20"/>
                <w:szCs w:val="20"/>
                <w:lang w:val="en-GB"/>
              </w:rPr>
            </w:pPr>
            <w:proofErr w:type="spellStart"/>
            <w:r w:rsidRPr="007A114B">
              <w:rPr>
                <w:color w:val="000000"/>
                <w:sz w:val="20"/>
                <w:szCs w:val="20"/>
                <w:lang w:val="en-GB"/>
              </w:rPr>
              <w:t>Dall'Oca</w:t>
            </w:r>
            <w:proofErr w:type="spellEnd"/>
            <w:r w:rsidRPr="007A114B">
              <w:rPr>
                <w:color w:val="000000"/>
                <w:sz w:val="20"/>
                <w:szCs w:val="20"/>
                <w:lang w:val="en-GB"/>
              </w:rPr>
              <w:t xml:space="preserve"> 2016</w:t>
            </w:r>
            <w:r w:rsidR="00C86F4C"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Parmensis","id":"ITEM-1","issued":{"date-parts":[["2016","4"]]},"language":"eng","page":"46-52","publisher-place":"Italy","title":"Hip arthroscopy in osteoarthritis consequent to FAI.","type":"article-journal","volume":"87 Suppl 1"},"uris":["http://www.mendeley.com/documents/?uuid=82e72403-c488-4591-b988-0bd8df2431a0"]}],"mendeley":{"formattedCitation":"&lt;sup&gt;30&lt;/sup&gt;","plainTextFormattedCitation":"30","previouslyFormattedCitation":"&lt;sup&gt;30&lt;/sup&gt;"},"properties":{"noteIndex":0},"schema":"https://github.com/citation-style-language/schema/raw/master/csl-citation.json"}</w:instrText>
            </w:r>
            <w:r w:rsidR="00C86F4C" w:rsidRPr="007221CC">
              <w:rPr>
                <w:color w:val="000000"/>
                <w:sz w:val="20"/>
                <w:szCs w:val="20"/>
                <w:lang w:val="en-GB"/>
              </w:rPr>
              <w:fldChar w:fldCharType="separate"/>
            </w:r>
            <w:r w:rsidR="006A1D58" w:rsidRPr="007A114B">
              <w:rPr>
                <w:noProof/>
                <w:color w:val="000000"/>
                <w:sz w:val="20"/>
                <w:szCs w:val="20"/>
                <w:vertAlign w:val="superscript"/>
                <w:lang w:val="en-GB"/>
              </w:rPr>
              <w:t>30</w:t>
            </w:r>
            <w:r w:rsidR="00C86F4C" w:rsidRPr="007221CC">
              <w:rPr>
                <w:color w:val="000000"/>
                <w:sz w:val="20"/>
                <w:szCs w:val="20"/>
                <w:lang w:val="en-GB"/>
              </w:rPr>
              <w:fldChar w:fldCharType="end"/>
            </w:r>
          </w:p>
        </w:tc>
        <w:tc>
          <w:tcPr>
            <w:tcW w:w="978" w:type="dxa"/>
            <w:vAlign w:val="center"/>
          </w:tcPr>
          <w:p w14:paraId="7615CBA6" w14:textId="0839DD5A" w:rsidR="00D101F7" w:rsidRPr="007A114B" w:rsidRDefault="00D101F7" w:rsidP="00D101F7">
            <w:pPr>
              <w:pStyle w:val="TableParagraph"/>
              <w:ind w:left="10"/>
              <w:jc w:val="center"/>
              <w:rPr>
                <w:sz w:val="20"/>
                <w:szCs w:val="20"/>
                <w:lang w:val="en-GB"/>
              </w:rPr>
            </w:pPr>
            <w:r w:rsidRPr="007A114B">
              <w:rPr>
                <w:sz w:val="20"/>
                <w:szCs w:val="20"/>
                <w:lang w:val="en-GB"/>
              </w:rPr>
              <w:t>NA</w:t>
            </w:r>
          </w:p>
        </w:tc>
        <w:tc>
          <w:tcPr>
            <w:tcW w:w="904" w:type="dxa"/>
            <w:vAlign w:val="center"/>
          </w:tcPr>
          <w:p w14:paraId="3D328D4D" w14:textId="2EED7F17" w:rsidR="00D101F7" w:rsidRPr="007A114B" w:rsidRDefault="00D101F7" w:rsidP="00D101F7">
            <w:pPr>
              <w:pStyle w:val="TableParagraph"/>
              <w:ind w:left="8"/>
              <w:jc w:val="center"/>
              <w:rPr>
                <w:sz w:val="20"/>
                <w:szCs w:val="20"/>
                <w:highlight w:val="yellow"/>
                <w:lang w:val="en-GB"/>
              </w:rPr>
            </w:pPr>
            <w:r w:rsidRPr="007A114B">
              <w:rPr>
                <w:sz w:val="20"/>
                <w:szCs w:val="20"/>
                <w:lang w:val="en-GB"/>
              </w:rPr>
              <w:t>NA</w:t>
            </w:r>
          </w:p>
        </w:tc>
        <w:tc>
          <w:tcPr>
            <w:tcW w:w="900" w:type="dxa"/>
            <w:vAlign w:val="center"/>
          </w:tcPr>
          <w:p w14:paraId="57638F53" w14:textId="68317470" w:rsidR="00D101F7" w:rsidRPr="007A114B" w:rsidRDefault="00D101F7" w:rsidP="00D101F7">
            <w:pPr>
              <w:pStyle w:val="TableParagraph"/>
              <w:ind w:left="5"/>
              <w:jc w:val="center"/>
              <w:rPr>
                <w:sz w:val="20"/>
                <w:szCs w:val="20"/>
                <w:highlight w:val="yellow"/>
                <w:lang w:val="en-GB"/>
              </w:rPr>
            </w:pPr>
            <w:r w:rsidRPr="007A114B">
              <w:rPr>
                <w:sz w:val="20"/>
                <w:szCs w:val="20"/>
                <w:lang w:val="en-GB"/>
              </w:rPr>
              <w:t>NA</w:t>
            </w:r>
          </w:p>
        </w:tc>
        <w:tc>
          <w:tcPr>
            <w:tcW w:w="900" w:type="dxa"/>
            <w:vAlign w:val="center"/>
          </w:tcPr>
          <w:p w14:paraId="217E4084" w14:textId="4C4CD9C8" w:rsidR="00D101F7" w:rsidRPr="007A114B" w:rsidRDefault="00D101F7" w:rsidP="00D101F7">
            <w:pPr>
              <w:pStyle w:val="TableParagraph"/>
              <w:ind w:left="10"/>
              <w:jc w:val="center"/>
              <w:rPr>
                <w:sz w:val="20"/>
                <w:szCs w:val="20"/>
                <w:lang w:val="en-GB"/>
              </w:rPr>
            </w:pPr>
            <w:r w:rsidRPr="007A114B">
              <w:rPr>
                <w:sz w:val="20"/>
                <w:szCs w:val="20"/>
                <w:lang w:val="en-GB"/>
              </w:rPr>
              <w:t>NA</w:t>
            </w:r>
          </w:p>
        </w:tc>
        <w:tc>
          <w:tcPr>
            <w:tcW w:w="900" w:type="dxa"/>
            <w:vAlign w:val="center"/>
          </w:tcPr>
          <w:p w14:paraId="037DC7DF" w14:textId="3ABD29C7" w:rsidR="00D101F7" w:rsidRPr="007A114B" w:rsidRDefault="00A159A7" w:rsidP="00A159A7">
            <w:pPr>
              <w:pStyle w:val="TableParagraph"/>
              <w:ind w:left="10"/>
              <w:jc w:val="center"/>
              <w:rPr>
                <w:sz w:val="20"/>
                <w:szCs w:val="20"/>
                <w:lang w:val="en-GB"/>
              </w:rPr>
            </w:pPr>
            <w:r w:rsidRPr="007A114B">
              <w:rPr>
                <w:sz w:val="20"/>
                <w:szCs w:val="20"/>
                <w:lang w:val="en-GB"/>
              </w:rPr>
              <w:t>0</w:t>
            </w:r>
          </w:p>
        </w:tc>
        <w:tc>
          <w:tcPr>
            <w:tcW w:w="904" w:type="dxa"/>
            <w:vAlign w:val="center"/>
          </w:tcPr>
          <w:p w14:paraId="0B69672B" w14:textId="3AC53634" w:rsidR="00D101F7" w:rsidRPr="007A114B" w:rsidRDefault="00A159A7" w:rsidP="00A159A7">
            <w:pPr>
              <w:pStyle w:val="TableParagraph"/>
              <w:ind w:left="7"/>
              <w:jc w:val="center"/>
              <w:rPr>
                <w:sz w:val="20"/>
                <w:szCs w:val="20"/>
                <w:lang w:val="en-GB"/>
              </w:rPr>
            </w:pPr>
            <w:r w:rsidRPr="007A114B">
              <w:rPr>
                <w:sz w:val="20"/>
                <w:szCs w:val="20"/>
                <w:lang w:val="en-GB"/>
              </w:rPr>
              <w:t>1</w:t>
            </w:r>
          </w:p>
        </w:tc>
        <w:tc>
          <w:tcPr>
            <w:tcW w:w="900" w:type="dxa"/>
            <w:vAlign w:val="center"/>
          </w:tcPr>
          <w:p w14:paraId="65A79617" w14:textId="1336DCE7" w:rsidR="00D101F7" w:rsidRPr="007A114B" w:rsidRDefault="00A159A7" w:rsidP="00A159A7">
            <w:pPr>
              <w:pStyle w:val="TableParagraph"/>
              <w:ind w:left="9"/>
              <w:jc w:val="center"/>
              <w:rPr>
                <w:sz w:val="20"/>
                <w:szCs w:val="20"/>
                <w:lang w:val="en-GB"/>
              </w:rPr>
            </w:pPr>
            <w:r w:rsidRPr="007A114B">
              <w:rPr>
                <w:sz w:val="20"/>
                <w:szCs w:val="20"/>
                <w:lang w:val="en-GB"/>
              </w:rPr>
              <w:t>1</w:t>
            </w:r>
          </w:p>
        </w:tc>
        <w:tc>
          <w:tcPr>
            <w:tcW w:w="902" w:type="dxa"/>
            <w:vAlign w:val="center"/>
          </w:tcPr>
          <w:p w14:paraId="6935D668" w14:textId="77FF2B8E" w:rsidR="00D101F7" w:rsidRPr="007A114B" w:rsidRDefault="00A159A7" w:rsidP="00A159A7">
            <w:pPr>
              <w:pStyle w:val="TableParagraph"/>
              <w:ind w:left="7"/>
              <w:jc w:val="center"/>
              <w:rPr>
                <w:sz w:val="20"/>
                <w:szCs w:val="20"/>
                <w:lang w:val="en-GB"/>
              </w:rPr>
            </w:pPr>
            <w:r w:rsidRPr="007A114B">
              <w:rPr>
                <w:sz w:val="20"/>
                <w:szCs w:val="20"/>
                <w:lang w:val="en-GB"/>
              </w:rPr>
              <w:t>1</w:t>
            </w:r>
          </w:p>
        </w:tc>
        <w:tc>
          <w:tcPr>
            <w:tcW w:w="900" w:type="dxa"/>
            <w:vAlign w:val="center"/>
          </w:tcPr>
          <w:p w14:paraId="516F3CC1" w14:textId="7667679F" w:rsidR="00D101F7" w:rsidRPr="007A114B" w:rsidRDefault="00A159A7" w:rsidP="00A159A7">
            <w:pPr>
              <w:pStyle w:val="TableParagraph"/>
              <w:ind w:left="10"/>
              <w:jc w:val="center"/>
              <w:rPr>
                <w:sz w:val="20"/>
                <w:szCs w:val="20"/>
                <w:lang w:val="en-GB"/>
              </w:rPr>
            </w:pPr>
            <w:r w:rsidRPr="007A114B">
              <w:rPr>
                <w:sz w:val="20"/>
                <w:szCs w:val="20"/>
                <w:lang w:val="en-GB"/>
              </w:rPr>
              <w:t>2</w:t>
            </w:r>
          </w:p>
        </w:tc>
        <w:tc>
          <w:tcPr>
            <w:tcW w:w="901" w:type="dxa"/>
            <w:vAlign w:val="center"/>
          </w:tcPr>
          <w:p w14:paraId="337AA450" w14:textId="48260A56" w:rsidR="00D101F7" w:rsidRPr="007A114B" w:rsidRDefault="00A159A7" w:rsidP="00A159A7">
            <w:pPr>
              <w:pStyle w:val="TableParagraph"/>
              <w:ind w:left="9"/>
              <w:jc w:val="center"/>
              <w:rPr>
                <w:sz w:val="20"/>
                <w:szCs w:val="20"/>
                <w:lang w:val="en-GB"/>
              </w:rPr>
            </w:pPr>
            <w:r w:rsidRPr="007A114B">
              <w:rPr>
                <w:sz w:val="20"/>
                <w:szCs w:val="20"/>
                <w:lang w:val="en-GB"/>
              </w:rPr>
              <w:t>1</w:t>
            </w:r>
          </w:p>
        </w:tc>
        <w:tc>
          <w:tcPr>
            <w:tcW w:w="900" w:type="dxa"/>
            <w:vAlign w:val="center"/>
          </w:tcPr>
          <w:p w14:paraId="02FE4FA2" w14:textId="5620ECB7" w:rsidR="00D101F7" w:rsidRPr="007A114B" w:rsidRDefault="00A159A7" w:rsidP="00A159A7">
            <w:pPr>
              <w:pStyle w:val="TableParagraph"/>
              <w:ind w:left="9"/>
              <w:jc w:val="center"/>
              <w:rPr>
                <w:sz w:val="20"/>
                <w:szCs w:val="20"/>
                <w:lang w:val="en-GB"/>
              </w:rPr>
            </w:pPr>
            <w:r w:rsidRPr="007A114B">
              <w:rPr>
                <w:sz w:val="20"/>
                <w:szCs w:val="20"/>
                <w:lang w:val="en-GB"/>
              </w:rPr>
              <w:t>1</w:t>
            </w:r>
          </w:p>
        </w:tc>
        <w:tc>
          <w:tcPr>
            <w:tcW w:w="816" w:type="dxa"/>
            <w:vAlign w:val="center"/>
          </w:tcPr>
          <w:p w14:paraId="7141A0A9" w14:textId="40C4BA03" w:rsidR="00D101F7" w:rsidRPr="007A114B" w:rsidRDefault="00A159A7" w:rsidP="00A159A7">
            <w:pPr>
              <w:pStyle w:val="TableParagraph"/>
              <w:ind w:left="7"/>
              <w:jc w:val="center"/>
              <w:rPr>
                <w:sz w:val="20"/>
                <w:szCs w:val="20"/>
                <w:lang w:val="en-GB"/>
              </w:rPr>
            </w:pPr>
            <w:r w:rsidRPr="007A114B">
              <w:rPr>
                <w:sz w:val="20"/>
                <w:szCs w:val="20"/>
                <w:lang w:val="en-GB"/>
              </w:rPr>
              <w:t>2</w:t>
            </w:r>
          </w:p>
        </w:tc>
        <w:tc>
          <w:tcPr>
            <w:tcW w:w="986" w:type="dxa"/>
            <w:shd w:val="clear" w:color="auto" w:fill="BEBEBE"/>
            <w:vAlign w:val="center"/>
          </w:tcPr>
          <w:p w14:paraId="7DBD770B" w14:textId="05F89CAD" w:rsidR="00D101F7" w:rsidRPr="007A114B" w:rsidRDefault="00A159A7" w:rsidP="00D101F7">
            <w:pPr>
              <w:pStyle w:val="TableParagraph"/>
              <w:ind w:left="0" w:right="112"/>
              <w:jc w:val="center"/>
              <w:rPr>
                <w:sz w:val="20"/>
                <w:szCs w:val="20"/>
                <w:lang w:val="en-GB"/>
              </w:rPr>
            </w:pPr>
            <w:r w:rsidRPr="007A114B">
              <w:rPr>
                <w:sz w:val="20"/>
                <w:szCs w:val="20"/>
                <w:lang w:val="en-GB"/>
              </w:rPr>
              <w:t>8</w:t>
            </w:r>
            <w:r w:rsidR="00D101F7" w:rsidRPr="007A114B">
              <w:rPr>
                <w:sz w:val="20"/>
                <w:szCs w:val="20"/>
                <w:lang w:val="en-GB"/>
              </w:rPr>
              <w:t>/16</w:t>
            </w:r>
          </w:p>
          <w:p w14:paraId="688CD74E" w14:textId="51DE4DBB" w:rsidR="00D101F7" w:rsidRPr="007A114B" w:rsidRDefault="00D101F7" w:rsidP="00D101F7">
            <w:pPr>
              <w:pStyle w:val="TableParagraph"/>
              <w:ind w:left="0" w:right="112"/>
              <w:jc w:val="center"/>
              <w:rPr>
                <w:sz w:val="20"/>
                <w:szCs w:val="20"/>
                <w:lang w:val="en-GB"/>
              </w:rPr>
            </w:pPr>
            <w:r w:rsidRPr="007A114B">
              <w:rPr>
                <w:sz w:val="20"/>
                <w:szCs w:val="20"/>
                <w:lang w:val="en-GB"/>
              </w:rPr>
              <w:t>(</w:t>
            </w:r>
            <w:r w:rsidR="00A159A7" w:rsidRPr="007A114B">
              <w:rPr>
                <w:sz w:val="20"/>
                <w:szCs w:val="20"/>
                <w:lang w:val="en-GB"/>
              </w:rPr>
              <w:t>50</w:t>
            </w:r>
            <w:r w:rsidRPr="007A114B">
              <w:rPr>
                <w:sz w:val="20"/>
                <w:szCs w:val="20"/>
                <w:lang w:val="en-GB"/>
              </w:rPr>
              <w:t>%)</w:t>
            </w:r>
          </w:p>
        </w:tc>
      </w:tr>
      <w:tr w:rsidR="00D101F7" w:rsidRPr="007A114B" w14:paraId="564B9617" w14:textId="77777777" w:rsidTr="000E5805">
        <w:trPr>
          <w:gridAfter w:val="1"/>
          <w:wAfter w:w="14" w:type="dxa"/>
          <w:trHeight w:val="457"/>
        </w:trPr>
        <w:tc>
          <w:tcPr>
            <w:tcW w:w="2545" w:type="dxa"/>
            <w:vAlign w:val="center"/>
          </w:tcPr>
          <w:p w14:paraId="16754B39" w14:textId="1102C9F0" w:rsidR="00D101F7" w:rsidRPr="007A114B" w:rsidRDefault="00D101F7" w:rsidP="00D101F7">
            <w:pPr>
              <w:pStyle w:val="TableParagraph"/>
              <w:jc w:val="center"/>
              <w:rPr>
                <w:sz w:val="20"/>
                <w:szCs w:val="20"/>
                <w:lang w:val="en-GB"/>
              </w:rPr>
            </w:pPr>
            <w:r w:rsidRPr="007A114B">
              <w:rPr>
                <w:color w:val="000000"/>
                <w:sz w:val="20"/>
                <w:szCs w:val="20"/>
                <w:lang w:val="en-GB"/>
              </w:rPr>
              <w:t>Giordano 2019</w:t>
            </w:r>
            <w:r w:rsidR="00C86F4C"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mendeley":{"formattedCitation":"&lt;sup&gt;28&lt;/sup&gt;","plainTextFormattedCitation":"28","previouslyFormattedCitation":"&lt;sup&gt;28&lt;/sup&gt;"},"properties":{"noteIndex":0},"schema":"https://github.com/citation-style-language/schema/raw/master/csl-citation.json"}</w:instrText>
            </w:r>
            <w:r w:rsidR="00C86F4C" w:rsidRPr="007221CC">
              <w:rPr>
                <w:color w:val="000000"/>
                <w:sz w:val="20"/>
                <w:szCs w:val="20"/>
                <w:lang w:val="en-GB"/>
              </w:rPr>
              <w:fldChar w:fldCharType="separate"/>
            </w:r>
            <w:r w:rsidR="006A1D58" w:rsidRPr="007A114B">
              <w:rPr>
                <w:noProof/>
                <w:color w:val="000000"/>
                <w:sz w:val="20"/>
                <w:szCs w:val="20"/>
                <w:vertAlign w:val="superscript"/>
                <w:lang w:val="en-GB"/>
              </w:rPr>
              <w:t>28</w:t>
            </w:r>
            <w:r w:rsidR="00C86F4C" w:rsidRPr="007221CC">
              <w:rPr>
                <w:color w:val="000000"/>
                <w:sz w:val="20"/>
                <w:szCs w:val="20"/>
                <w:lang w:val="en-GB"/>
              </w:rPr>
              <w:fldChar w:fldCharType="end"/>
            </w:r>
          </w:p>
        </w:tc>
        <w:tc>
          <w:tcPr>
            <w:tcW w:w="978" w:type="dxa"/>
            <w:vAlign w:val="center"/>
          </w:tcPr>
          <w:p w14:paraId="2CD388E0" w14:textId="6437FA45" w:rsidR="00D101F7" w:rsidRPr="007A114B" w:rsidRDefault="00D101F7" w:rsidP="00D101F7">
            <w:pPr>
              <w:pStyle w:val="TableParagraph"/>
              <w:ind w:left="10"/>
              <w:jc w:val="center"/>
              <w:rPr>
                <w:sz w:val="20"/>
                <w:szCs w:val="20"/>
                <w:lang w:val="en-GB"/>
              </w:rPr>
            </w:pPr>
            <w:r w:rsidRPr="007A114B">
              <w:rPr>
                <w:sz w:val="20"/>
                <w:szCs w:val="20"/>
                <w:lang w:val="en-GB"/>
              </w:rPr>
              <w:t>NA</w:t>
            </w:r>
          </w:p>
        </w:tc>
        <w:tc>
          <w:tcPr>
            <w:tcW w:w="904" w:type="dxa"/>
            <w:vAlign w:val="center"/>
          </w:tcPr>
          <w:p w14:paraId="4A36B192" w14:textId="5289255F" w:rsidR="00D101F7" w:rsidRPr="007A114B" w:rsidRDefault="00D101F7" w:rsidP="00D101F7">
            <w:pPr>
              <w:pStyle w:val="TableParagraph"/>
              <w:ind w:left="8"/>
              <w:jc w:val="center"/>
              <w:rPr>
                <w:sz w:val="20"/>
                <w:szCs w:val="20"/>
                <w:highlight w:val="yellow"/>
                <w:lang w:val="en-GB"/>
              </w:rPr>
            </w:pPr>
            <w:r w:rsidRPr="007A114B">
              <w:rPr>
                <w:sz w:val="20"/>
                <w:szCs w:val="20"/>
                <w:lang w:val="en-GB"/>
              </w:rPr>
              <w:t>NA</w:t>
            </w:r>
          </w:p>
        </w:tc>
        <w:tc>
          <w:tcPr>
            <w:tcW w:w="900" w:type="dxa"/>
            <w:vAlign w:val="center"/>
          </w:tcPr>
          <w:p w14:paraId="2F4710B9" w14:textId="726B9476" w:rsidR="00D101F7" w:rsidRPr="007A114B" w:rsidRDefault="00D101F7" w:rsidP="00D101F7">
            <w:pPr>
              <w:pStyle w:val="TableParagraph"/>
              <w:ind w:left="5"/>
              <w:jc w:val="center"/>
              <w:rPr>
                <w:sz w:val="20"/>
                <w:szCs w:val="20"/>
                <w:lang w:val="en-GB"/>
              </w:rPr>
            </w:pPr>
            <w:r w:rsidRPr="007A114B">
              <w:rPr>
                <w:sz w:val="20"/>
                <w:szCs w:val="20"/>
                <w:lang w:val="en-GB"/>
              </w:rPr>
              <w:t>NA</w:t>
            </w:r>
          </w:p>
        </w:tc>
        <w:tc>
          <w:tcPr>
            <w:tcW w:w="900" w:type="dxa"/>
            <w:vAlign w:val="center"/>
          </w:tcPr>
          <w:p w14:paraId="54594526" w14:textId="242B62BD" w:rsidR="00D101F7" w:rsidRPr="007A114B" w:rsidRDefault="00D101F7" w:rsidP="00D101F7">
            <w:pPr>
              <w:pStyle w:val="TableParagraph"/>
              <w:ind w:left="10"/>
              <w:jc w:val="center"/>
              <w:rPr>
                <w:sz w:val="20"/>
                <w:szCs w:val="20"/>
                <w:lang w:val="en-GB"/>
              </w:rPr>
            </w:pPr>
            <w:r w:rsidRPr="007A114B">
              <w:rPr>
                <w:sz w:val="20"/>
                <w:szCs w:val="20"/>
                <w:lang w:val="en-GB"/>
              </w:rPr>
              <w:t>NA</w:t>
            </w:r>
          </w:p>
        </w:tc>
        <w:tc>
          <w:tcPr>
            <w:tcW w:w="900" w:type="dxa"/>
            <w:vAlign w:val="center"/>
          </w:tcPr>
          <w:p w14:paraId="7FBEA8A1" w14:textId="55827737" w:rsidR="00D101F7" w:rsidRPr="007A114B" w:rsidRDefault="00D501F9" w:rsidP="00D101F7">
            <w:pPr>
              <w:pStyle w:val="TableParagraph"/>
              <w:ind w:left="10"/>
              <w:jc w:val="center"/>
              <w:rPr>
                <w:sz w:val="20"/>
                <w:szCs w:val="20"/>
                <w:lang w:val="en-GB"/>
              </w:rPr>
            </w:pPr>
            <w:r w:rsidRPr="007A114B">
              <w:rPr>
                <w:sz w:val="20"/>
                <w:szCs w:val="20"/>
                <w:lang w:val="en-GB"/>
              </w:rPr>
              <w:t>0</w:t>
            </w:r>
          </w:p>
        </w:tc>
        <w:tc>
          <w:tcPr>
            <w:tcW w:w="904" w:type="dxa"/>
            <w:vAlign w:val="center"/>
          </w:tcPr>
          <w:p w14:paraId="505822EC" w14:textId="09246841" w:rsidR="00D101F7" w:rsidRPr="007A114B" w:rsidRDefault="00D501F9" w:rsidP="00D101F7">
            <w:pPr>
              <w:pStyle w:val="TableParagraph"/>
              <w:ind w:left="7"/>
              <w:jc w:val="center"/>
              <w:rPr>
                <w:sz w:val="20"/>
                <w:szCs w:val="20"/>
                <w:lang w:val="en-GB"/>
              </w:rPr>
            </w:pPr>
            <w:r w:rsidRPr="007A114B">
              <w:rPr>
                <w:sz w:val="20"/>
                <w:szCs w:val="20"/>
                <w:lang w:val="en-GB"/>
              </w:rPr>
              <w:t>1</w:t>
            </w:r>
          </w:p>
        </w:tc>
        <w:tc>
          <w:tcPr>
            <w:tcW w:w="900" w:type="dxa"/>
            <w:vAlign w:val="center"/>
          </w:tcPr>
          <w:p w14:paraId="60408A14" w14:textId="5A4E14A5" w:rsidR="00D101F7" w:rsidRPr="007A114B" w:rsidRDefault="00D501F9" w:rsidP="00D101F7">
            <w:pPr>
              <w:pStyle w:val="TableParagraph"/>
              <w:ind w:left="9"/>
              <w:jc w:val="center"/>
              <w:rPr>
                <w:sz w:val="20"/>
                <w:szCs w:val="20"/>
                <w:lang w:val="en-GB"/>
              </w:rPr>
            </w:pPr>
            <w:r w:rsidRPr="007A114B">
              <w:rPr>
                <w:sz w:val="20"/>
                <w:szCs w:val="20"/>
                <w:lang w:val="en-GB"/>
              </w:rPr>
              <w:t>2</w:t>
            </w:r>
          </w:p>
        </w:tc>
        <w:tc>
          <w:tcPr>
            <w:tcW w:w="902" w:type="dxa"/>
            <w:vAlign w:val="center"/>
          </w:tcPr>
          <w:p w14:paraId="26FE1302" w14:textId="007AD6D0" w:rsidR="00D101F7" w:rsidRPr="007A114B" w:rsidRDefault="00D501F9" w:rsidP="00D101F7">
            <w:pPr>
              <w:pStyle w:val="TableParagraph"/>
              <w:ind w:left="7"/>
              <w:jc w:val="center"/>
              <w:rPr>
                <w:sz w:val="20"/>
                <w:szCs w:val="20"/>
                <w:lang w:val="en-GB"/>
              </w:rPr>
            </w:pPr>
            <w:r w:rsidRPr="007A114B">
              <w:rPr>
                <w:sz w:val="20"/>
                <w:szCs w:val="20"/>
                <w:lang w:val="en-GB"/>
              </w:rPr>
              <w:t>1</w:t>
            </w:r>
          </w:p>
        </w:tc>
        <w:tc>
          <w:tcPr>
            <w:tcW w:w="900" w:type="dxa"/>
            <w:vAlign w:val="center"/>
          </w:tcPr>
          <w:p w14:paraId="7C2C0339" w14:textId="038F9E04" w:rsidR="00D101F7" w:rsidRPr="007A114B" w:rsidRDefault="00D501F9" w:rsidP="00D101F7">
            <w:pPr>
              <w:pStyle w:val="TableParagraph"/>
              <w:ind w:left="165" w:right="158"/>
              <w:jc w:val="center"/>
              <w:rPr>
                <w:sz w:val="20"/>
                <w:szCs w:val="20"/>
                <w:lang w:val="en-GB"/>
              </w:rPr>
            </w:pPr>
            <w:r w:rsidRPr="007A114B">
              <w:rPr>
                <w:sz w:val="20"/>
                <w:szCs w:val="20"/>
                <w:lang w:val="en-GB"/>
              </w:rPr>
              <w:t>2</w:t>
            </w:r>
          </w:p>
        </w:tc>
        <w:tc>
          <w:tcPr>
            <w:tcW w:w="901" w:type="dxa"/>
            <w:vAlign w:val="center"/>
          </w:tcPr>
          <w:p w14:paraId="3F849732" w14:textId="37ADB8A0" w:rsidR="00D101F7" w:rsidRPr="007A114B" w:rsidRDefault="00D501F9" w:rsidP="00D101F7">
            <w:pPr>
              <w:pStyle w:val="TableParagraph"/>
              <w:ind w:left="168" w:right="162"/>
              <w:jc w:val="center"/>
              <w:rPr>
                <w:sz w:val="20"/>
                <w:szCs w:val="20"/>
                <w:lang w:val="en-GB"/>
              </w:rPr>
            </w:pPr>
            <w:r w:rsidRPr="007A114B">
              <w:rPr>
                <w:sz w:val="20"/>
                <w:szCs w:val="20"/>
                <w:lang w:val="en-GB"/>
              </w:rPr>
              <w:t>2</w:t>
            </w:r>
          </w:p>
        </w:tc>
        <w:tc>
          <w:tcPr>
            <w:tcW w:w="900" w:type="dxa"/>
            <w:vAlign w:val="center"/>
          </w:tcPr>
          <w:p w14:paraId="5CA92BCF" w14:textId="1E90A7CE" w:rsidR="00D101F7" w:rsidRPr="007A114B" w:rsidRDefault="00D501F9" w:rsidP="00D101F7">
            <w:pPr>
              <w:pStyle w:val="TableParagraph"/>
              <w:ind w:left="165" w:right="159"/>
              <w:jc w:val="center"/>
              <w:rPr>
                <w:sz w:val="20"/>
                <w:szCs w:val="20"/>
                <w:lang w:val="en-GB"/>
              </w:rPr>
            </w:pPr>
            <w:r w:rsidRPr="007A114B">
              <w:rPr>
                <w:sz w:val="20"/>
                <w:szCs w:val="20"/>
                <w:lang w:val="en-GB"/>
              </w:rPr>
              <w:t>1</w:t>
            </w:r>
          </w:p>
        </w:tc>
        <w:tc>
          <w:tcPr>
            <w:tcW w:w="816" w:type="dxa"/>
            <w:vAlign w:val="center"/>
          </w:tcPr>
          <w:p w14:paraId="61028B73" w14:textId="2E823D9D" w:rsidR="00D101F7" w:rsidRPr="007A114B" w:rsidRDefault="00D501F9" w:rsidP="00D101F7">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39ACA028" w14:textId="6BD6EA7C" w:rsidR="00D101F7" w:rsidRPr="007A114B" w:rsidRDefault="00D501F9" w:rsidP="00D101F7">
            <w:pPr>
              <w:pStyle w:val="TableParagraph"/>
              <w:ind w:left="0" w:right="111"/>
              <w:jc w:val="center"/>
              <w:rPr>
                <w:sz w:val="20"/>
                <w:szCs w:val="20"/>
                <w:lang w:val="en-GB"/>
              </w:rPr>
            </w:pPr>
            <w:r w:rsidRPr="007A114B">
              <w:rPr>
                <w:sz w:val="20"/>
                <w:szCs w:val="20"/>
                <w:lang w:val="en-GB"/>
              </w:rPr>
              <w:t>11</w:t>
            </w:r>
            <w:r w:rsidR="00D101F7" w:rsidRPr="007A114B">
              <w:rPr>
                <w:sz w:val="20"/>
                <w:szCs w:val="20"/>
                <w:lang w:val="en-GB"/>
              </w:rPr>
              <w:t>/16</w:t>
            </w:r>
          </w:p>
          <w:p w14:paraId="2E88EF28" w14:textId="0F3F05D4" w:rsidR="00D101F7" w:rsidRPr="007A114B" w:rsidRDefault="00D101F7" w:rsidP="00D101F7">
            <w:pPr>
              <w:pStyle w:val="TableParagraph"/>
              <w:ind w:left="0" w:right="111"/>
              <w:jc w:val="center"/>
              <w:rPr>
                <w:sz w:val="20"/>
                <w:szCs w:val="20"/>
                <w:lang w:val="en-GB"/>
              </w:rPr>
            </w:pPr>
            <w:r w:rsidRPr="007A114B">
              <w:rPr>
                <w:sz w:val="20"/>
                <w:szCs w:val="20"/>
                <w:lang w:val="en-GB"/>
              </w:rPr>
              <w:t>(</w:t>
            </w:r>
            <w:r w:rsidR="00D501F9" w:rsidRPr="007A114B">
              <w:rPr>
                <w:sz w:val="20"/>
                <w:szCs w:val="20"/>
                <w:lang w:val="en-GB"/>
              </w:rPr>
              <w:t>69</w:t>
            </w:r>
            <w:r w:rsidRPr="007A114B">
              <w:rPr>
                <w:sz w:val="20"/>
                <w:szCs w:val="20"/>
                <w:lang w:val="en-GB"/>
              </w:rPr>
              <w:t>%)</w:t>
            </w:r>
          </w:p>
        </w:tc>
      </w:tr>
      <w:tr w:rsidR="00D101F7" w:rsidRPr="007A114B" w14:paraId="3DAC75AA" w14:textId="77777777" w:rsidTr="000E5805">
        <w:trPr>
          <w:gridAfter w:val="1"/>
          <w:wAfter w:w="14" w:type="dxa"/>
          <w:trHeight w:val="455"/>
        </w:trPr>
        <w:tc>
          <w:tcPr>
            <w:tcW w:w="2545" w:type="dxa"/>
            <w:vAlign w:val="center"/>
          </w:tcPr>
          <w:p w14:paraId="2CC9D1EA" w14:textId="1AA15977" w:rsidR="00D101F7" w:rsidRPr="007A114B" w:rsidRDefault="00D101F7" w:rsidP="00D101F7">
            <w:pPr>
              <w:pStyle w:val="TableParagraph"/>
              <w:jc w:val="center"/>
              <w:rPr>
                <w:sz w:val="20"/>
                <w:szCs w:val="20"/>
                <w:lang w:val="en-GB"/>
              </w:rPr>
            </w:pPr>
            <w:r w:rsidRPr="007A114B">
              <w:rPr>
                <w:color w:val="000000"/>
                <w:sz w:val="20"/>
                <w:szCs w:val="20"/>
                <w:lang w:val="en-GB"/>
              </w:rPr>
              <w:t>Hevesi 2017</w:t>
            </w:r>
            <w:r w:rsidR="00C86F4C"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8f8eac7f-70a7-410a-a4cc-a0e67969f6bc"]}],"mendeley":{"formattedCitation":"&lt;sup&gt;27&lt;/sup&gt;","plainTextFormattedCitation":"27","previouslyFormattedCitation":"&lt;sup&gt;27&lt;/sup&gt;"},"properties":{"noteIndex":0},"schema":"https://github.com/citation-style-language/schema/raw/master/csl-citation.json"}</w:instrText>
            </w:r>
            <w:r w:rsidR="00C86F4C" w:rsidRPr="007221CC">
              <w:rPr>
                <w:color w:val="000000"/>
                <w:sz w:val="20"/>
                <w:szCs w:val="20"/>
                <w:lang w:val="en-GB"/>
              </w:rPr>
              <w:fldChar w:fldCharType="separate"/>
            </w:r>
            <w:r w:rsidR="006A1D58" w:rsidRPr="007A114B">
              <w:rPr>
                <w:noProof/>
                <w:color w:val="000000"/>
                <w:sz w:val="20"/>
                <w:szCs w:val="20"/>
                <w:vertAlign w:val="superscript"/>
                <w:lang w:val="en-GB"/>
              </w:rPr>
              <w:t>27</w:t>
            </w:r>
            <w:r w:rsidR="00C86F4C" w:rsidRPr="007221CC">
              <w:rPr>
                <w:color w:val="000000"/>
                <w:sz w:val="20"/>
                <w:szCs w:val="20"/>
                <w:lang w:val="en-GB"/>
              </w:rPr>
              <w:fldChar w:fldCharType="end"/>
            </w:r>
          </w:p>
        </w:tc>
        <w:tc>
          <w:tcPr>
            <w:tcW w:w="978" w:type="dxa"/>
            <w:vAlign w:val="center"/>
          </w:tcPr>
          <w:p w14:paraId="5586C484" w14:textId="2F77A77B" w:rsidR="00D101F7" w:rsidRPr="007A114B" w:rsidRDefault="00D101F7" w:rsidP="00D101F7">
            <w:pPr>
              <w:pStyle w:val="TableParagraph"/>
              <w:ind w:left="194" w:right="188"/>
              <w:jc w:val="center"/>
              <w:rPr>
                <w:sz w:val="20"/>
                <w:szCs w:val="20"/>
                <w:lang w:val="en-GB"/>
              </w:rPr>
            </w:pPr>
            <w:r w:rsidRPr="007A114B">
              <w:rPr>
                <w:sz w:val="20"/>
                <w:szCs w:val="20"/>
                <w:lang w:val="en-GB"/>
              </w:rPr>
              <w:t>NA</w:t>
            </w:r>
          </w:p>
        </w:tc>
        <w:tc>
          <w:tcPr>
            <w:tcW w:w="904" w:type="dxa"/>
            <w:vAlign w:val="center"/>
          </w:tcPr>
          <w:p w14:paraId="2E2DD2DF" w14:textId="1C60E3B7" w:rsidR="00D101F7" w:rsidRPr="007A114B" w:rsidRDefault="00D101F7" w:rsidP="00D101F7">
            <w:pPr>
              <w:pStyle w:val="TableParagraph"/>
              <w:ind w:left="168" w:right="164"/>
              <w:jc w:val="center"/>
              <w:rPr>
                <w:sz w:val="20"/>
                <w:szCs w:val="20"/>
                <w:lang w:val="en-GB"/>
              </w:rPr>
            </w:pPr>
            <w:r w:rsidRPr="007A114B">
              <w:rPr>
                <w:sz w:val="20"/>
                <w:szCs w:val="20"/>
                <w:lang w:val="en-GB"/>
              </w:rPr>
              <w:t>NA</w:t>
            </w:r>
          </w:p>
        </w:tc>
        <w:tc>
          <w:tcPr>
            <w:tcW w:w="900" w:type="dxa"/>
            <w:vAlign w:val="center"/>
          </w:tcPr>
          <w:p w14:paraId="2EFF8377" w14:textId="4C0CA8A4" w:rsidR="00D101F7" w:rsidRPr="007A114B" w:rsidRDefault="00D101F7" w:rsidP="00D101F7">
            <w:pPr>
              <w:pStyle w:val="TableParagraph"/>
              <w:ind w:left="162" w:right="161"/>
              <w:jc w:val="center"/>
              <w:rPr>
                <w:sz w:val="20"/>
                <w:szCs w:val="20"/>
                <w:lang w:val="en-GB"/>
              </w:rPr>
            </w:pPr>
            <w:r w:rsidRPr="007A114B">
              <w:rPr>
                <w:sz w:val="20"/>
                <w:szCs w:val="20"/>
                <w:lang w:val="en-GB"/>
              </w:rPr>
              <w:t>NA</w:t>
            </w:r>
          </w:p>
        </w:tc>
        <w:tc>
          <w:tcPr>
            <w:tcW w:w="900" w:type="dxa"/>
            <w:vAlign w:val="center"/>
          </w:tcPr>
          <w:p w14:paraId="1B632687" w14:textId="1CAE6828" w:rsidR="00D101F7" w:rsidRPr="007A114B" w:rsidRDefault="00D101F7" w:rsidP="00D101F7">
            <w:pPr>
              <w:pStyle w:val="TableParagraph"/>
              <w:ind w:left="165" w:right="159"/>
              <w:jc w:val="center"/>
              <w:rPr>
                <w:sz w:val="20"/>
                <w:szCs w:val="20"/>
                <w:lang w:val="en-GB"/>
              </w:rPr>
            </w:pPr>
            <w:r w:rsidRPr="007A114B">
              <w:rPr>
                <w:sz w:val="20"/>
                <w:szCs w:val="20"/>
                <w:lang w:val="en-GB"/>
              </w:rPr>
              <w:t>NA</w:t>
            </w:r>
          </w:p>
        </w:tc>
        <w:tc>
          <w:tcPr>
            <w:tcW w:w="900" w:type="dxa"/>
            <w:vAlign w:val="center"/>
          </w:tcPr>
          <w:p w14:paraId="45C9C8A8" w14:textId="7FC27194" w:rsidR="00D101F7" w:rsidRPr="007A114B" w:rsidRDefault="005B04A2" w:rsidP="00D101F7">
            <w:pPr>
              <w:pStyle w:val="TableParagraph"/>
              <w:ind w:left="165" w:right="159"/>
              <w:jc w:val="center"/>
              <w:rPr>
                <w:sz w:val="20"/>
                <w:szCs w:val="20"/>
                <w:lang w:val="en-GB"/>
              </w:rPr>
            </w:pPr>
            <w:r w:rsidRPr="007A114B">
              <w:rPr>
                <w:sz w:val="20"/>
                <w:szCs w:val="20"/>
                <w:lang w:val="en-GB"/>
              </w:rPr>
              <w:t>2</w:t>
            </w:r>
          </w:p>
        </w:tc>
        <w:tc>
          <w:tcPr>
            <w:tcW w:w="904" w:type="dxa"/>
            <w:vAlign w:val="center"/>
          </w:tcPr>
          <w:p w14:paraId="6923B709" w14:textId="5CDF5B67" w:rsidR="00D101F7" w:rsidRPr="007A114B" w:rsidRDefault="005B04A2" w:rsidP="00D101F7">
            <w:pPr>
              <w:pStyle w:val="TableParagraph"/>
              <w:ind w:left="167" w:right="164"/>
              <w:jc w:val="center"/>
              <w:rPr>
                <w:sz w:val="20"/>
                <w:szCs w:val="20"/>
                <w:lang w:val="en-GB"/>
              </w:rPr>
            </w:pPr>
            <w:r w:rsidRPr="007A114B">
              <w:rPr>
                <w:sz w:val="20"/>
                <w:szCs w:val="20"/>
                <w:lang w:val="en-GB"/>
              </w:rPr>
              <w:t>0</w:t>
            </w:r>
          </w:p>
        </w:tc>
        <w:tc>
          <w:tcPr>
            <w:tcW w:w="900" w:type="dxa"/>
            <w:vAlign w:val="center"/>
          </w:tcPr>
          <w:p w14:paraId="1A31C497" w14:textId="2E1B0018" w:rsidR="00D101F7" w:rsidRPr="007A114B" w:rsidRDefault="005B04A2" w:rsidP="00D101F7">
            <w:pPr>
              <w:pStyle w:val="TableParagraph"/>
              <w:ind w:left="165" w:right="159"/>
              <w:jc w:val="center"/>
              <w:rPr>
                <w:sz w:val="20"/>
                <w:szCs w:val="20"/>
                <w:lang w:val="en-GB"/>
              </w:rPr>
            </w:pPr>
            <w:r w:rsidRPr="007A114B">
              <w:rPr>
                <w:sz w:val="20"/>
                <w:szCs w:val="20"/>
                <w:lang w:val="en-GB"/>
              </w:rPr>
              <w:t>2</w:t>
            </w:r>
          </w:p>
        </w:tc>
        <w:tc>
          <w:tcPr>
            <w:tcW w:w="902" w:type="dxa"/>
            <w:vAlign w:val="center"/>
          </w:tcPr>
          <w:p w14:paraId="024F930D" w14:textId="618C41EF" w:rsidR="00D101F7" w:rsidRPr="007A114B" w:rsidRDefault="005B04A2" w:rsidP="00D101F7">
            <w:pPr>
              <w:pStyle w:val="TableParagraph"/>
              <w:ind w:left="167" w:right="163"/>
              <w:jc w:val="center"/>
              <w:rPr>
                <w:sz w:val="20"/>
                <w:szCs w:val="20"/>
                <w:lang w:val="en-GB"/>
              </w:rPr>
            </w:pPr>
            <w:r w:rsidRPr="007A114B">
              <w:rPr>
                <w:sz w:val="20"/>
                <w:szCs w:val="20"/>
                <w:lang w:val="en-GB"/>
              </w:rPr>
              <w:t>1</w:t>
            </w:r>
          </w:p>
        </w:tc>
        <w:tc>
          <w:tcPr>
            <w:tcW w:w="900" w:type="dxa"/>
            <w:vAlign w:val="center"/>
          </w:tcPr>
          <w:p w14:paraId="41C9040F" w14:textId="2CED7E82" w:rsidR="00D101F7" w:rsidRPr="007A114B" w:rsidRDefault="005B04A2" w:rsidP="00D101F7">
            <w:pPr>
              <w:pStyle w:val="TableParagraph"/>
              <w:ind w:left="165" w:right="158"/>
              <w:jc w:val="center"/>
              <w:rPr>
                <w:sz w:val="20"/>
                <w:szCs w:val="20"/>
                <w:lang w:val="en-GB"/>
              </w:rPr>
            </w:pPr>
            <w:r w:rsidRPr="007A114B">
              <w:rPr>
                <w:sz w:val="20"/>
                <w:szCs w:val="20"/>
                <w:lang w:val="en-GB"/>
              </w:rPr>
              <w:t>2</w:t>
            </w:r>
          </w:p>
        </w:tc>
        <w:tc>
          <w:tcPr>
            <w:tcW w:w="901" w:type="dxa"/>
            <w:vAlign w:val="center"/>
          </w:tcPr>
          <w:p w14:paraId="57AD7EFA" w14:textId="3B50FC58" w:rsidR="00D101F7" w:rsidRPr="007A114B" w:rsidRDefault="005B04A2" w:rsidP="00D101F7">
            <w:pPr>
              <w:pStyle w:val="TableParagraph"/>
              <w:ind w:left="168" w:right="162"/>
              <w:jc w:val="center"/>
              <w:rPr>
                <w:sz w:val="20"/>
                <w:szCs w:val="20"/>
                <w:lang w:val="en-GB"/>
              </w:rPr>
            </w:pPr>
            <w:r w:rsidRPr="007A114B">
              <w:rPr>
                <w:sz w:val="20"/>
                <w:szCs w:val="20"/>
                <w:lang w:val="en-GB"/>
              </w:rPr>
              <w:t>2</w:t>
            </w:r>
          </w:p>
        </w:tc>
        <w:tc>
          <w:tcPr>
            <w:tcW w:w="900" w:type="dxa"/>
            <w:vAlign w:val="center"/>
          </w:tcPr>
          <w:p w14:paraId="35ED3143" w14:textId="1A4745E4" w:rsidR="00D101F7" w:rsidRPr="007A114B" w:rsidRDefault="005B04A2" w:rsidP="00D101F7">
            <w:pPr>
              <w:pStyle w:val="TableParagraph"/>
              <w:ind w:left="165" w:right="159"/>
              <w:jc w:val="center"/>
              <w:rPr>
                <w:sz w:val="20"/>
                <w:szCs w:val="20"/>
                <w:lang w:val="en-GB"/>
              </w:rPr>
            </w:pPr>
            <w:r w:rsidRPr="007A114B">
              <w:rPr>
                <w:sz w:val="20"/>
                <w:szCs w:val="20"/>
                <w:lang w:val="en-GB"/>
              </w:rPr>
              <w:t>1</w:t>
            </w:r>
          </w:p>
        </w:tc>
        <w:tc>
          <w:tcPr>
            <w:tcW w:w="816" w:type="dxa"/>
            <w:vAlign w:val="center"/>
          </w:tcPr>
          <w:p w14:paraId="67879527" w14:textId="008777B5" w:rsidR="00D101F7" w:rsidRPr="007A114B" w:rsidRDefault="005B04A2" w:rsidP="00D101F7">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5771F3C0" w14:textId="5B14696C" w:rsidR="00D101F7" w:rsidRPr="007A114B" w:rsidRDefault="005B04A2" w:rsidP="00D101F7">
            <w:pPr>
              <w:pStyle w:val="TableParagraph"/>
              <w:ind w:left="0" w:right="180"/>
              <w:jc w:val="center"/>
              <w:rPr>
                <w:sz w:val="20"/>
                <w:szCs w:val="20"/>
                <w:lang w:val="en-GB"/>
              </w:rPr>
            </w:pPr>
            <w:r w:rsidRPr="007A114B">
              <w:rPr>
                <w:sz w:val="20"/>
                <w:szCs w:val="20"/>
                <w:lang w:val="en-GB"/>
              </w:rPr>
              <w:t>12</w:t>
            </w:r>
            <w:r w:rsidR="00D101F7" w:rsidRPr="007A114B">
              <w:rPr>
                <w:sz w:val="20"/>
                <w:szCs w:val="20"/>
                <w:lang w:val="en-GB"/>
              </w:rPr>
              <w:t>/16</w:t>
            </w:r>
          </w:p>
          <w:p w14:paraId="49A0ECE2" w14:textId="32F8787C" w:rsidR="00D101F7" w:rsidRPr="007A114B" w:rsidRDefault="00D101F7" w:rsidP="00D101F7">
            <w:pPr>
              <w:pStyle w:val="TableParagraph"/>
              <w:ind w:left="0" w:right="180"/>
              <w:jc w:val="center"/>
              <w:rPr>
                <w:sz w:val="20"/>
                <w:szCs w:val="20"/>
                <w:lang w:val="en-GB"/>
              </w:rPr>
            </w:pPr>
            <w:r w:rsidRPr="007A114B">
              <w:rPr>
                <w:sz w:val="20"/>
                <w:szCs w:val="20"/>
                <w:lang w:val="en-GB"/>
              </w:rPr>
              <w:t>(</w:t>
            </w:r>
            <w:r w:rsidR="005B04A2" w:rsidRPr="007A114B">
              <w:rPr>
                <w:sz w:val="20"/>
                <w:szCs w:val="20"/>
                <w:lang w:val="en-GB"/>
              </w:rPr>
              <w:t>75</w:t>
            </w:r>
            <w:r w:rsidRPr="007A114B">
              <w:rPr>
                <w:sz w:val="20"/>
                <w:szCs w:val="20"/>
                <w:lang w:val="en-GB"/>
              </w:rPr>
              <w:t>%)</w:t>
            </w:r>
          </w:p>
        </w:tc>
      </w:tr>
      <w:tr w:rsidR="005D11BC" w:rsidRPr="007A114B" w14:paraId="26C9C7A0" w14:textId="77777777" w:rsidTr="000E5805">
        <w:trPr>
          <w:gridAfter w:val="1"/>
          <w:wAfter w:w="14" w:type="dxa"/>
          <w:trHeight w:val="455"/>
        </w:trPr>
        <w:tc>
          <w:tcPr>
            <w:tcW w:w="2545" w:type="dxa"/>
            <w:vAlign w:val="center"/>
          </w:tcPr>
          <w:p w14:paraId="1C2AD340" w14:textId="262E0914" w:rsidR="005D11BC" w:rsidRPr="007A114B" w:rsidRDefault="005D11BC" w:rsidP="005D11BC">
            <w:pPr>
              <w:pStyle w:val="TableParagraph"/>
              <w:jc w:val="center"/>
              <w:rPr>
                <w:sz w:val="20"/>
                <w:szCs w:val="20"/>
                <w:lang w:val="en-GB"/>
              </w:rPr>
            </w:pPr>
            <w:proofErr w:type="spellStart"/>
            <w:r w:rsidRPr="007A114B">
              <w:rPr>
                <w:color w:val="000000"/>
                <w:sz w:val="20"/>
                <w:szCs w:val="20"/>
                <w:lang w:val="en-GB"/>
              </w:rPr>
              <w:t>Horisberger</w:t>
            </w:r>
            <w:proofErr w:type="spellEnd"/>
            <w:r w:rsidRPr="007A114B">
              <w:rPr>
                <w:color w:val="000000"/>
                <w:sz w:val="20"/>
                <w:szCs w:val="20"/>
                <w:lang w:val="en-GB"/>
              </w:rPr>
              <w:t xml:space="preserve"> 2009</w:t>
            </w:r>
            <w:r w:rsidR="00CA3BCE"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research","id":"ITEM-1","issue":"1","issued":{"date-parts":[["2010","1"]]},"language":"eng","page":"182-190","title":"Arthroscopic treatment of femoroacetabular impingement of the hip: a new technique  to access the joint.","type":"article-journal","volume":"468"},"uris":["http://www.mendeley.com/documents/?uuid=71f278fb-f1f0-4a0c-9118-bc2ae070408a"]}],"mendeley":{"formattedCitation":"&lt;sup&gt;32&lt;/sup&gt;","plainTextFormattedCitation":"32","previouslyFormattedCitation":"&lt;sup&gt;32&lt;/sup&gt;"},"properties":{"noteIndex":0},"schema":"https://github.com/citation-style-language/schema/raw/master/csl-citation.json"}</w:instrText>
            </w:r>
            <w:r w:rsidR="00CA3BCE" w:rsidRPr="007221CC">
              <w:rPr>
                <w:color w:val="000000"/>
                <w:sz w:val="20"/>
                <w:szCs w:val="20"/>
                <w:lang w:val="en-GB"/>
              </w:rPr>
              <w:fldChar w:fldCharType="separate"/>
            </w:r>
            <w:r w:rsidR="006A1D58" w:rsidRPr="007A114B">
              <w:rPr>
                <w:noProof/>
                <w:color w:val="000000"/>
                <w:sz w:val="20"/>
                <w:szCs w:val="20"/>
                <w:vertAlign w:val="superscript"/>
                <w:lang w:val="en-GB"/>
              </w:rPr>
              <w:t>32</w:t>
            </w:r>
            <w:r w:rsidR="00CA3BCE" w:rsidRPr="007221CC">
              <w:rPr>
                <w:color w:val="000000"/>
                <w:sz w:val="20"/>
                <w:szCs w:val="20"/>
                <w:lang w:val="en-GB"/>
              </w:rPr>
              <w:fldChar w:fldCharType="end"/>
            </w:r>
          </w:p>
        </w:tc>
        <w:tc>
          <w:tcPr>
            <w:tcW w:w="978" w:type="dxa"/>
            <w:vAlign w:val="center"/>
          </w:tcPr>
          <w:p w14:paraId="31F70595" w14:textId="77777777" w:rsidR="005D11BC" w:rsidRPr="007A114B" w:rsidRDefault="005D11BC" w:rsidP="005D11BC">
            <w:pPr>
              <w:pStyle w:val="TableParagraph"/>
              <w:ind w:left="10"/>
              <w:jc w:val="center"/>
              <w:rPr>
                <w:sz w:val="20"/>
                <w:szCs w:val="20"/>
                <w:lang w:val="en-GB"/>
              </w:rPr>
            </w:pPr>
            <w:r w:rsidRPr="007A114B">
              <w:rPr>
                <w:sz w:val="20"/>
                <w:szCs w:val="20"/>
                <w:lang w:val="en-GB"/>
              </w:rPr>
              <w:t>NA</w:t>
            </w:r>
          </w:p>
        </w:tc>
        <w:tc>
          <w:tcPr>
            <w:tcW w:w="904" w:type="dxa"/>
            <w:vAlign w:val="center"/>
          </w:tcPr>
          <w:p w14:paraId="6C9DFBF8" w14:textId="77777777" w:rsidR="005D11BC" w:rsidRPr="007A114B" w:rsidRDefault="005D11BC" w:rsidP="005D11BC">
            <w:pPr>
              <w:pStyle w:val="TableParagraph"/>
              <w:ind w:left="8"/>
              <w:jc w:val="center"/>
              <w:rPr>
                <w:sz w:val="20"/>
                <w:szCs w:val="20"/>
                <w:lang w:val="en-GB"/>
              </w:rPr>
            </w:pPr>
            <w:r w:rsidRPr="007A114B">
              <w:rPr>
                <w:sz w:val="20"/>
                <w:szCs w:val="20"/>
                <w:lang w:val="en-GB"/>
              </w:rPr>
              <w:t>NA</w:t>
            </w:r>
          </w:p>
        </w:tc>
        <w:tc>
          <w:tcPr>
            <w:tcW w:w="900" w:type="dxa"/>
            <w:vAlign w:val="center"/>
          </w:tcPr>
          <w:p w14:paraId="03D846F1" w14:textId="77777777" w:rsidR="005D11BC" w:rsidRPr="007A114B" w:rsidRDefault="005D11BC" w:rsidP="005D11BC">
            <w:pPr>
              <w:pStyle w:val="TableParagraph"/>
              <w:ind w:left="5"/>
              <w:jc w:val="center"/>
              <w:rPr>
                <w:sz w:val="20"/>
                <w:szCs w:val="20"/>
                <w:lang w:val="en-GB"/>
              </w:rPr>
            </w:pPr>
            <w:r w:rsidRPr="007A114B">
              <w:rPr>
                <w:sz w:val="20"/>
                <w:szCs w:val="20"/>
                <w:lang w:val="en-GB"/>
              </w:rPr>
              <w:t>NA</w:t>
            </w:r>
          </w:p>
        </w:tc>
        <w:tc>
          <w:tcPr>
            <w:tcW w:w="900" w:type="dxa"/>
            <w:vAlign w:val="center"/>
          </w:tcPr>
          <w:p w14:paraId="1B264A1E" w14:textId="77777777" w:rsidR="005D11BC" w:rsidRPr="007A114B" w:rsidRDefault="005D11BC" w:rsidP="005D11BC">
            <w:pPr>
              <w:pStyle w:val="TableParagraph"/>
              <w:ind w:left="10"/>
              <w:jc w:val="center"/>
              <w:rPr>
                <w:sz w:val="20"/>
                <w:szCs w:val="20"/>
                <w:lang w:val="en-GB"/>
              </w:rPr>
            </w:pPr>
            <w:r w:rsidRPr="007A114B">
              <w:rPr>
                <w:sz w:val="20"/>
                <w:szCs w:val="20"/>
                <w:lang w:val="en-GB"/>
              </w:rPr>
              <w:t>NA</w:t>
            </w:r>
          </w:p>
        </w:tc>
        <w:tc>
          <w:tcPr>
            <w:tcW w:w="900" w:type="dxa"/>
            <w:vAlign w:val="center"/>
          </w:tcPr>
          <w:p w14:paraId="26F62E14" w14:textId="39D266D7" w:rsidR="005D11BC" w:rsidRPr="007A114B" w:rsidRDefault="00B324B9" w:rsidP="005D11BC">
            <w:pPr>
              <w:pStyle w:val="TableParagraph"/>
              <w:ind w:left="10"/>
              <w:jc w:val="center"/>
              <w:rPr>
                <w:sz w:val="20"/>
                <w:szCs w:val="20"/>
                <w:lang w:val="en-GB"/>
              </w:rPr>
            </w:pPr>
            <w:r w:rsidRPr="007A114B">
              <w:rPr>
                <w:sz w:val="20"/>
                <w:szCs w:val="20"/>
                <w:lang w:val="en-GB"/>
              </w:rPr>
              <w:t>0</w:t>
            </w:r>
          </w:p>
        </w:tc>
        <w:tc>
          <w:tcPr>
            <w:tcW w:w="904" w:type="dxa"/>
            <w:vAlign w:val="center"/>
          </w:tcPr>
          <w:p w14:paraId="4D526C30" w14:textId="463C7853" w:rsidR="005D11BC" w:rsidRPr="007A114B" w:rsidRDefault="00B324B9" w:rsidP="005D11BC">
            <w:pPr>
              <w:pStyle w:val="TableParagraph"/>
              <w:ind w:left="7"/>
              <w:jc w:val="center"/>
              <w:rPr>
                <w:sz w:val="20"/>
                <w:szCs w:val="20"/>
                <w:lang w:val="en-GB"/>
              </w:rPr>
            </w:pPr>
            <w:r w:rsidRPr="007A114B">
              <w:rPr>
                <w:sz w:val="20"/>
                <w:szCs w:val="20"/>
                <w:lang w:val="en-GB"/>
              </w:rPr>
              <w:t>2</w:t>
            </w:r>
          </w:p>
        </w:tc>
        <w:tc>
          <w:tcPr>
            <w:tcW w:w="900" w:type="dxa"/>
            <w:vAlign w:val="center"/>
          </w:tcPr>
          <w:p w14:paraId="6E0D4CBE" w14:textId="1CFF5499" w:rsidR="005D11BC" w:rsidRPr="007A114B" w:rsidRDefault="008B0EC8" w:rsidP="005D11BC">
            <w:pPr>
              <w:pStyle w:val="TableParagraph"/>
              <w:ind w:left="9"/>
              <w:jc w:val="center"/>
              <w:rPr>
                <w:sz w:val="20"/>
                <w:szCs w:val="20"/>
                <w:lang w:val="en-GB"/>
              </w:rPr>
            </w:pPr>
            <w:r w:rsidRPr="007A114B">
              <w:rPr>
                <w:sz w:val="20"/>
                <w:szCs w:val="20"/>
                <w:lang w:val="en-GB"/>
              </w:rPr>
              <w:t>1</w:t>
            </w:r>
          </w:p>
        </w:tc>
        <w:tc>
          <w:tcPr>
            <w:tcW w:w="902" w:type="dxa"/>
            <w:vAlign w:val="center"/>
          </w:tcPr>
          <w:p w14:paraId="0F461707" w14:textId="361330EE" w:rsidR="005D11BC" w:rsidRPr="007A114B" w:rsidRDefault="008B0EC8" w:rsidP="005D11BC">
            <w:pPr>
              <w:pStyle w:val="TableParagraph"/>
              <w:ind w:left="7"/>
              <w:jc w:val="center"/>
              <w:rPr>
                <w:sz w:val="20"/>
                <w:szCs w:val="20"/>
                <w:lang w:val="en-GB"/>
              </w:rPr>
            </w:pPr>
            <w:r w:rsidRPr="007A114B">
              <w:rPr>
                <w:sz w:val="20"/>
                <w:szCs w:val="20"/>
                <w:lang w:val="en-GB"/>
              </w:rPr>
              <w:t>2</w:t>
            </w:r>
          </w:p>
        </w:tc>
        <w:tc>
          <w:tcPr>
            <w:tcW w:w="900" w:type="dxa"/>
            <w:vAlign w:val="center"/>
          </w:tcPr>
          <w:p w14:paraId="0EEE20B7" w14:textId="1948E82A" w:rsidR="005D11BC" w:rsidRPr="007A114B" w:rsidRDefault="008B0EC8" w:rsidP="005D11BC">
            <w:pPr>
              <w:pStyle w:val="TableParagraph"/>
              <w:ind w:left="10"/>
              <w:jc w:val="center"/>
              <w:rPr>
                <w:sz w:val="20"/>
                <w:szCs w:val="20"/>
                <w:lang w:val="en-GB"/>
              </w:rPr>
            </w:pPr>
            <w:r w:rsidRPr="007A114B">
              <w:rPr>
                <w:sz w:val="20"/>
                <w:szCs w:val="20"/>
                <w:lang w:val="en-GB"/>
              </w:rPr>
              <w:t>2</w:t>
            </w:r>
          </w:p>
        </w:tc>
        <w:tc>
          <w:tcPr>
            <w:tcW w:w="901" w:type="dxa"/>
            <w:vAlign w:val="center"/>
          </w:tcPr>
          <w:p w14:paraId="6069D6A8" w14:textId="75BA8221" w:rsidR="005D11BC" w:rsidRPr="007A114B" w:rsidRDefault="00B324B9" w:rsidP="005D11BC">
            <w:pPr>
              <w:pStyle w:val="TableParagraph"/>
              <w:ind w:left="9"/>
              <w:jc w:val="center"/>
              <w:rPr>
                <w:sz w:val="20"/>
                <w:szCs w:val="20"/>
                <w:lang w:val="en-GB"/>
              </w:rPr>
            </w:pPr>
            <w:r w:rsidRPr="007A114B">
              <w:rPr>
                <w:sz w:val="20"/>
                <w:szCs w:val="20"/>
                <w:lang w:val="en-GB"/>
              </w:rPr>
              <w:t>2</w:t>
            </w:r>
          </w:p>
        </w:tc>
        <w:tc>
          <w:tcPr>
            <w:tcW w:w="900" w:type="dxa"/>
            <w:vAlign w:val="center"/>
          </w:tcPr>
          <w:p w14:paraId="575CE47D" w14:textId="069DFB33" w:rsidR="005D11BC" w:rsidRPr="007A114B" w:rsidRDefault="00B324B9" w:rsidP="005D11BC">
            <w:pPr>
              <w:pStyle w:val="TableParagraph"/>
              <w:ind w:left="9"/>
              <w:jc w:val="center"/>
              <w:rPr>
                <w:sz w:val="20"/>
                <w:szCs w:val="20"/>
                <w:lang w:val="en-GB"/>
              </w:rPr>
            </w:pPr>
            <w:r w:rsidRPr="007A114B">
              <w:rPr>
                <w:sz w:val="20"/>
                <w:szCs w:val="20"/>
                <w:lang w:val="en-GB"/>
              </w:rPr>
              <w:t>2</w:t>
            </w:r>
          </w:p>
        </w:tc>
        <w:tc>
          <w:tcPr>
            <w:tcW w:w="816" w:type="dxa"/>
            <w:vAlign w:val="center"/>
          </w:tcPr>
          <w:p w14:paraId="21B67A1C" w14:textId="18E0E42B" w:rsidR="005D11BC" w:rsidRPr="007A114B" w:rsidRDefault="00B324B9" w:rsidP="005D11BC">
            <w:pPr>
              <w:pStyle w:val="TableParagraph"/>
              <w:ind w:left="7"/>
              <w:jc w:val="center"/>
              <w:rPr>
                <w:sz w:val="20"/>
                <w:szCs w:val="20"/>
                <w:lang w:val="en-GB"/>
              </w:rPr>
            </w:pPr>
            <w:r w:rsidRPr="007A114B">
              <w:rPr>
                <w:sz w:val="20"/>
                <w:szCs w:val="20"/>
                <w:lang w:val="en-GB"/>
              </w:rPr>
              <w:t>2</w:t>
            </w:r>
          </w:p>
        </w:tc>
        <w:tc>
          <w:tcPr>
            <w:tcW w:w="986" w:type="dxa"/>
            <w:shd w:val="clear" w:color="auto" w:fill="BEBEBE"/>
            <w:vAlign w:val="center"/>
          </w:tcPr>
          <w:p w14:paraId="707750D2" w14:textId="1CA86D10" w:rsidR="005D11BC" w:rsidRPr="007A114B" w:rsidRDefault="000D7331" w:rsidP="005D11BC">
            <w:pPr>
              <w:pStyle w:val="TableParagraph"/>
              <w:ind w:left="0" w:right="112"/>
              <w:jc w:val="center"/>
              <w:rPr>
                <w:sz w:val="20"/>
                <w:szCs w:val="20"/>
                <w:lang w:val="en-GB"/>
              </w:rPr>
            </w:pPr>
            <w:r w:rsidRPr="007A114B">
              <w:rPr>
                <w:sz w:val="20"/>
                <w:szCs w:val="20"/>
                <w:lang w:val="en-GB"/>
              </w:rPr>
              <w:t>13</w:t>
            </w:r>
            <w:r w:rsidR="005D11BC" w:rsidRPr="007A114B">
              <w:rPr>
                <w:sz w:val="20"/>
                <w:szCs w:val="20"/>
                <w:lang w:val="en-GB"/>
              </w:rPr>
              <w:t>/16</w:t>
            </w:r>
          </w:p>
          <w:p w14:paraId="2C648186" w14:textId="59EC47F3" w:rsidR="005D11BC" w:rsidRPr="007A114B" w:rsidRDefault="005D11BC" w:rsidP="005D11BC">
            <w:pPr>
              <w:pStyle w:val="TableParagraph"/>
              <w:ind w:left="0" w:right="112"/>
              <w:jc w:val="center"/>
              <w:rPr>
                <w:sz w:val="20"/>
                <w:szCs w:val="20"/>
                <w:lang w:val="en-GB"/>
              </w:rPr>
            </w:pPr>
            <w:r w:rsidRPr="007A114B">
              <w:rPr>
                <w:sz w:val="20"/>
                <w:szCs w:val="20"/>
                <w:lang w:val="en-GB"/>
              </w:rPr>
              <w:t>(</w:t>
            </w:r>
            <w:r w:rsidR="000D7331" w:rsidRPr="007A114B">
              <w:rPr>
                <w:sz w:val="20"/>
                <w:szCs w:val="20"/>
                <w:lang w:val="en-GB"/>
              </w:rPr>
              <w:t>81</w:t>
            </w:r>
            <w:r w:rsidRPr="007A114B">
              <w:rPr>
                <w:sz w:val="20"/>
                <w:szCs w:val="20"/>
                <w:lang w:val="en-GB"/>
              </w:rPr>
              <w:t>%)</w:t>
            </w:r>
          </w:p>
        </w:tc>
      </w:tr>
      <w:tr w:rsidR="000B7FBF" w:rsidRPr="007A114B" w14:paraId="12A5C6E1" w14:textId="77777777" w:rsidTr="000E5805">
        <w:trPr>
          <w:gridAfter w:val="1"/>
          <w:wAfter w:w="14" w:type="dxa"/>
          <w:trHeight w:val="457"/>
        </w:trPr>
        <w:tc>
          <w:tcPr>
            <w:tcW w:w="2545" w:type="dxa"/>
            <w:vAlign w:val="center"/>
          </w:tcPr>
          <w:p w14:paraId="25FC05B7" w14:textId="53B03E5A" w:rsidR="000B7FBF" w:rsidRPr="007A114B" w:rsidRDefault="000B7FBF" w:rsidP="000B7FBF">
            <w:pPr>
              <w:pStyle w:val="TableParagraph"/>
              <w:spacing w:line="181" w:lineRule="exact"/>
              <w:jc w:val="center"/>
              <w:rPr>
                <w:sz w:val="20"/>
                <w:szCs w:val="20"/>
                <w:lang w:val="en-GB"/>
              </w:rPr>
            </w:pPr>
            <w:proofErr w:type="spellStart"/>
            <w:r w:rsidRPr="007A114B">
              <w:rPr>
                <w:color w:val="000000"/>
                <w:sz w:val="20"/>
                <w:szCs w:val="20"/>
                <w:lang w:val="en-GB"/>
              </w:rPr>
              <w:t>Mardones</w:t>
            </w:r>
            <w:proofErr w:type="spellEnd"/>
            <w:r w:rsidRPr="007A114B">
              <w:rPr>
                <w:color w:val="000000"/>
                <w:sz w:val="20"/>
                <w:szCs w:val="20"/>
                <w:lang w:val="en-GB"/>
              </w:rPr>
              <w:t xml:space="preserve"> 2016</w:t>
            </w:r>
            <w:r w:rsidR="0020488D"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7992eb4b-14e8-4a53-8ba0-1c5fa558647f"]}],"mendeley":{"formattedCitation":"&lt;sup&gt;31&lt;/sup&gt;","plainTextFormattedCitation":"31","previouslyFormattedCitation":"&lt;sup&gt;31&lt;/sup&gt;"},"properties":{"noteIndex":0},"schema":"https://github.com/citation-style-language/schema/raw/master/csl-citation.json"}</w:instrText>
            </w:r>
            <w:r w:rsidR="0020488D" w:rsidRPr="007221CC">
              <w:rPr>
                <w:color w:val="000000"/>
                <w:sz w:val="20"/>
                <w:szCs w:val="20"/>
                <w:lang w:val="en-GB"/>
              </w:rPr>
              <w:fldChar w:fldCharType="separate"/>
            </w:r>
            <w:r w:rsidR="006A1D58" w:rsidRPr="007A114B">
              <w:rPr>
                <w:noProof/>
                <w:color w:val="000000"/>
                <w:sz w:val="20"/>
                <w:szCs w:val="20"/>
                <w:vertAlign w:val="superscript"/>
                <w:lang w:val="en-GB"/>
              </w:rPr>
              <w:t>31</w:t>
            </w:r>
            <w:r w:rsidR="0020488D" w:rsidRPr="007221CC">
              <w:rPr>
                <w:color w:val="000000"/>
                <w:sz w:val="20"/>
                <w:szCs w:val="20"/>
                <w:lang w:val="en-GB"/>
              </w:rPr>
              <w:fldChar w:fldCharType="end"/>
            </w:r>
          </w:p>
        </w:tc>
        <w:tc>
          <w:tcPr>
            <w:tcW w:w="978" w:type="dxa"/>
            <w:vAlign w:val="center"/>
          </w:tcPr>
          <w:p w14:paraId="507406FC" w14:textId="211E5369" w:rsidR="000B7FBF" w:rsidRPr="007A114B" w:rsidRDefault="000B7FBF" w:rsidP="000B7FBF">
            <w:pPr>
              <w:pStyle w:val="TableParagraph"/>
              <w:spacing w:line="181" w:lineRule="exact"/>
              <w:ind w:left="10"/>
              <w:jc w:val="center"/>
              <w:rPr>
                <w:sz w:val="20"/>
                <w:szCs w:val="20"/>
                <w:lang w:val="en-GB"/>
              </w:rPr>
            </w:pPr>
            <w:r w:rsidRPr="007A114B">
              <w:rPr>
                <w:sz w:val="20"/>
                <w:szCs w:val="20"/>
                <w:lang w:val="en-GB"/>
              </w:rPr>
              <w:t>NA</w:t>
            </w:r>
          </w:p>
        </w:tc>
        <w:tc>
          <w:tcPr>
            <w:tcW w:w="904" w:type="dxa"/>
            <w:vAlign w:val="center"/>
          </w:tcPr>
          <w:p w14:paraId="0E3CD2A8" w14:textId="2372A708" w:rsidR="000B7FBF" w:rsidRPr="007A114B" w:rsidRDefault="000B7FBF" w:rsidP="000B7FBF">
            <w:pPr>
              <w:pStyle w:val="TableParagraph"/>
              <w:spacing w:line="181" w:lineRule="exact"/>
              <w:ind w:left="8"/>
              <w:jc w:val="center"/>
              <w:rPr>
                <w:sz w:val="20"/>
                <w:szCs w:val="20"/>
                <w:lang w:val="en-GB"/>
              </w:rPr>
            </w:pPr>
            <w:r w:rsidRPr="007A114B">
              <w:rPr>
                <w:sz w:val="20"/>
                <w:szCs w:val="20"/>
                <w:lang w:val="en-GB"/>
              </w:rPr>
              <w:t>NA</w:t>
            </w:r>
          </w:p>
        </w:tc>
        <w:tc>
          <w:tcPr>
            <w:tcW w:w="900" w:type="dxa"/>
            <w:vAlign w:val="center"/>
          </w:tcPr>
          <w:p w14:paraId="4E6A3A17" w14:textId="007EA71E" w:rsidR="000B7FBF" w:rsidRPr="007A114B" w:rsidRDefault="000B7FBF" w:rsidP="000B7FBF">
            <w:pPr>
              <w:pStyle w:val="TableParagraph"/>
              <w:spacing w:line="181" w:lineRule="exact"/>
              <w:ind w:left="5"/>
              <w:jc w:val="center"/>
              <w:rPr>
                <w:sz w:val="20"/>
                <w:szCs w:val="20"/>
                <w:lang w:val="en-GB"/>
              </w:rPr>
            </w:pPr>
            <w:r w:rsidRPr="007A114B">
              <w:rPr>
                <w:sz w:val="20"/>
                <w:szCs w:val="20"/>
                <w:lang w:val="en-GB"/>
              </w:rPr>
              <w:t>NA</w:t>
            </w:r>
          </w:p>
        </w:tc>
        <w:tc>
          <w:tcPr>
            <w:tcW w:w="900" w:type="dxa"/>
            <w:vAlign w:val="center"/>
          </w:tcPr>
          <w:p w14:paraId="5C4373FF" w14:textId="15DDC8C6" w:rsidR="000B7FBF" w:rsidRPr="007A114B" w:rsidRDefault="000B7FBF" w:rsidP="000B7FBF">
            <w:pPr>
              <w:pStyle w:val="TableParagraph"/>
              <w:spacing w:line="181" w:lineRule="exact"/>
              <w:ind w:left="10"/>
              <w:jc w:val="center"/>
              <w:rPr>
                <w:sz w:val="20"/>
                <w:szCs w:val="20"/>
                <w:lang w:val="en-GB"/>
              </w:rPr>
            </w:pPr>
            <w:r w:rsidRPr="007A114B">
              <w:rPr>
                <w:sz w:val="20"/>
                <w:szCs w:val="20"/>
                <w:lang w:val="en-GB"/>
              </w:rPr>
              <w:t>NA</w:t>
            </w:r>
          </w:p>
        </w:tc>
        <w:tc>
          <w:tcPr>
            <w:tcW w:w="900" w:type="dxa"/>
            <w:vAlign w:val="center"/>
          </w:tcPr>
          <w:p w14:paraId="22C5F034" w14:textId="0C9F22AC" w:rsidR="000B7FBF" w:rsidRPr="007A114B" w:rsidRDefault="002F0070" w:rsidP="000B7FBF">
            <w:pPr>
              <w:pStyle w:val="TableParagraph"/>
              <w:spacing w:line="181" w:lineRule="exact"/>
              <w:ind w:left="10"/>
              <w:jc w:val="center"/>
              <w:rPr>
                <w:sz w:val="20"/>
                <w:szCs w:val="20"/>
                <w:lang w:val="en-GB"/>
              </w:rPr>
            </w:pPr>
            <w:r w:rsidRPr="007A114B">
              <w:rPr>
                <w:sz w:val="20"/>
                <w:szCs w:val="20"/>
                <w:lang w:val="en-GB"/>
              </w:rPr>
              <w:t>0</w:t>
            </w:r>
          </w:p>
        </w:tc>
        <w:tc>
          <w:tcPr>
            <w:tcW w:w="904" w:type="dxa"/>
            <w:vAlign w:val="center"/>
          </w:tcPr>
          <w:p w14:paraId="1E9CCA51" w14:textId="39A5118D" w:rsidR="000B7FBF" w:rsidRPr="007A114B" w:rsidRDefault="002F0070" w:rsidP="000B7FBF">
            <w:pPr>
              <w:pStyle w:val="TableParagraph"/>
              <w:spacing w:line="181" w:lineRule="exact"/>
              <w:ind w:left="7"/>
              <w:jc w:val="center"/>
              <w:rPr>
                <w:sz w:val="20"/>
                <w:szCs w:val="20"/>
                <w:lang w:val="en-GB"/>
              </w:rPr>
            </w:pPr>
            <w:r w:rsidRPr="007A114B">
              <w:rPr>
                <w:sz w:val="20"/>
                <w:szCs w:val="20"/>
                <w:lang w:val="en-GB"/>
              </w:rPr>
              <w:t>1</w:t>
            </w:r>
          </w:p>
        </w:tc>
        <w:tc>
          <w:tcPr>
            <w:tcW w:w="900" w:type="dxa"/>
            <w:vAlign w:val="center"/>
          </w:tcPr>
          <w:p w14:paraId="000A4D96" w14:textId="73666106" w:rsidR="000B7FBF" w:rsidRPr="007A114B" w:rsidRDefault="002F0070" w:rsidP="000B7FBF">
            <w:pPr>
              <w:pStyle w:val="TableParagraph"/>
              <w:spacing w:line="181" w:lineRule="exact"/>
              <w:ind w:left="9"/>
              <w:jc w:val="center"/>
              <w:rPr>
                <w:sz w:val="20"/>
                <w:szCs w:val="20"/>
                <w:lang w:val="en-GB"/>
              </w:rPr>
            </w:pPr>
            <w:r w:rsidRPr="007A114B">
              <w:rPr>
                <w:sz w:val="20"/>
                <w:szCs w:val="20"/>
                <w:lang w:val="en-GB"/>
              </w:rPr>
              <w:t>1</w:t>
            </w:r>
          </w:p>
        </w:tc>
        <w:tc>
          <w:tcPr>
            <w:tcW w:w="902" w:type="dxa"/>
            <w:vAlign w:val="center"/>
          </w:tcPr>
          <w:p w14:paraId="264F23E6" w14:textId="158C2766" w:rsidR="000B7FBF" w:rsidRPr="007A114B" w:rsidRDefault="003835F3" w:rsidP="000B7FBF">
            <w:pPr>
              <w:pStyle w:val="TableParagraph"/>
              <w:spacing w:line="181" w:lineRule="exact"/>
              <w:ind w:left="7"/>
              <w:jc w:val="center"/>
              <w:rPr>
                <w:sz w:val="20"/>
                <w:szCs w:val="20"/>
                <w:lang w:val="en-GB"/>
              </w:rPr>
            </w:pPr>
            <w:r w:rsidRPr="007A114B">
              <w:rPr>
                <w:sz w:val="20"/>
                <w:szCs w:val="20"/>
                <w:lang w:val="en-GB"/>
              </w:rPr>
              <w:t>1</w:t>
            </w:r>
          </w:p>
        </w:tc>
        <w:tc>
          <w:tcPr>
            <w:tcW w:w="900" w:type="dxa"/>
            <w:vAlign w:val="center"/>
          </w:tcPr>
          <w:p w14:paraId="4520EF12" w14:textId="6A31DA2F" w:rsidR="000B7FBF" w:rsidRPr="007A114B" w:rsidRDefault="003835F3" w:rsidP="000B7FBF">
            <w:pPr>
              <w:pStyle w:val="TableParagraph"/>
              <w:spacing w:line="181" w:lineRule="exact"/>
              <w:ind w:left="10"/>
              <w:jc w:val="center"/>
              <w:rPr>
                <w:sz w:val="20"/>
                <w:szCs w:val="20"/>
                <w:lang w:val="en-GB"/>
              </w:rPr>
            </w:pPr>
            <w:r w:rsidRPr="007A114B">
              <w:rPr>
                <w:sz w:val="20"/>
                <w:szCs w:val="20"/>
                <w:lang w:val="en-GB"/>
              </w:rPr>
              <w:t>2</w:t>
            </w:r>
          </w:p>
        </w:tc>
        <w:tc>
          <w:tcPr>
            <w:tcW w:w="901" w:type="dxa"/>
            <w:vAlign w:val="center"/>
          </w:tcPr>
          <w:p w14:paraId="1B8055B7" w14:textId="56014D25" w:rsidR="000B7FBF" w:rsidRPr="007A114B" w:rsidRDefault="000B7FBF" w:rsidP="000B7FBF">
            <w:pPr>
              <w:pStyle w:val="TableParagraph"/>
              <w:spacing w:line="181" w:lineRule="exact"/>
              <w:ind w:left="9"/>
              <w:jc w:val="center"/>
              <w:rPr>
                <w:sz w:val="20"/>
                <w:szCs w:val="20"/>
                <w:lang w:val="en-GB"/>
              </w:rPr>
            </w:pPr>
            <w:r w:rsidRPr="007A114B">
              <w:rPr>
                <w:sz w:val="20"/>
                <w:szCs w:val="20"/>
                <w:lang w:val="en-GB"/>
              </w:rPr>
              <w:t>0</w:t>
            </w:r>
          </w:p>
        </w:tc>
        <w:tc>
          <w:tcPr>
            <w:tcW w:w="900" w:type="dxa"/>
            <w:vAlign w:val="center"/>
          </w:tcPr>
          <w:p w14:paraId="25650E98" w14:textId="0AF96C38" w:rsidR="000B7FBF" w:rsidRPr="007A114B" w:rsidRDefault="000B7FBF" w:rsidP="000B7FBF">
            <w:pPr>
              <w:pStyle w:val="TableParagraph"/>
              <w:spacing w:line="181" w:lineRule="exact"/>
              <w:ind w:left="9"/>
              <w:jc w:val="center"/>
              <w:rPr>
                <w:sz w:val="20"/>
                <w:szCs w:val="20"/>
                <w:lang w:val="en-GB"/>
              </w:rPr>
            </w:pPr>
            <w:r w:rsidRPr="007A114B">
              <w:rPr>
                <w:sz w:val="20"/>
                <w:szCs w:val="20"/>
                <w:lang w:val="en-GB"/>
              </w:rPr>
              <w:t>1</w:t>
            </w:r>
          </w:p>
        </w:tc>
        <w:tc>
          <w:tcPr>
            <w:tcW w:w="816" w:type="dxa"/>
            <w:vAlign w:val="center"/>
          </w:tcPr>
          <w:p w14:paraId="30EDB124" w14:textId="1DB969C7" w:rsidR="000B7FBF" w:rsidRPr="007A114B" w:rsidRDefault="000B7FBF" w:rsidP="000B7FBF">
            <w:pPr>
              <w:pStyle w:val="TableParagraph"/>
              <w:spacing w:line="181" w:lineRule="exact"/>
              <w:ind w:left="7"/>
              <w:jc w:val="center"/>
              <w:rPr>
                <w:sz w:val="20"/>
                <w:szCs w:val="20"/>
                <w:lang w:val="en-GB"/>
              </w:rPr>
            </w:pPr>
            <w:r w:rsidRPr="007A114B">
              <w:rPr>
                <w:sz w:val="20"/>
                <w:szCs w:val="20"/>
                <w:lang w:val="en-GB"/>
              </w:rPr>
              <w:t>2</w:t>
            </w:r>
          </w:p>
        </w:tc>
        <w:tc>
          <w:tcPr>
            <w:tcW w:w="986" w:type="dxa"/>
            <w:shd w:val="clear" w:color="auto" w:fill="BEBEBE"/>
            <w:vAlign w:val="center"/>
          </w:tcPr>
          <w:p w14:paraId="29B17657" w14:textId="38109550" w:rsidR="000B7FBF" w:rsidRPr="007A114B" w:rsidRDefault="00864982" w:rsidP="000B7FBF">
            <w:pPr>
              <w:pStyle w:val="TableParagraph"/>
              <w:spacing w:line="181" w:lineRule="exact"/>
              <w:ind w:left="0" w:right="112"/>
              <w:jc w:val="center"/>
              <w:rPr>
                <w:sz w:val="20"/>
                <w:szCs w:val="20"/>
                <w:lang w:val="en-GB"/>
              </w:rPr>
            </w:pPr>
            <w:r w:rsidRPr="007A114B">
              <w:rPr>
                <w:sz w:val="20"/>
                <w:szCs w:val="20"/>
                <w:lang w:val="en-GB"/>
              </w:rPr>
              <w:t>8</w:t>
            </w:r>
            <w:r w:rsidR="000B7FBF" w:rsidRPr="007A114B">
              <w:rPr>
                <w:sz w:val="20"/>
                <w:szCs w:val="20"/>
                <w:lang w:val="en-GB"/>
              </w:rPr>
              <w:t>/16</w:t>
            </w:r>
          </w:p>
          <w:p w14:paraId="1815AD4B" w14:textId="1215FE0C" w:rsidR="000B7FBF" w:rsidRPr="007A114B" w:rsidRDefault="000B7FBF" w:rsidP="000B7FBF">
            <w:pPr>
              <w:pStyle w:val="TableParagraph"/>
              <w:spacing w:line="181" w:lineRule="exact"/>
              <w:ind w:left="0" w:right="112"/>
              <w:jc w:val="center"/>
              <w:rPr>
                <w:sz w:val="20"/>
                <w:szCs w:val="20"/>
                <w:lang w:val="en-GB"/>
              </w:rPr>
            </w:pPr>
            <w:r w:rsidRPr="007A114B">
              <w:rPr>
                <w:sz w:val="20"/>
                <w:szCs w:val="20"/>
                <w:lang w:val="en-GB"/>
              </w:rPr>
              <w:t>(</w:t>
            </w:r>
            <w:r w:rsidR="00864982" w:rsidRPr="007A114B">
              <w:rPr>
                <w:sz w:val="20"/>
                <w:szCs w:val="20"/>
                <w:lang w:val="en-GB"/>
              </w:rPr>
              <w:t>50</w:t>
            </w:r>
            <w:r w:rsidRPr="007A114B">
              <w:rPr>
                <w:sz w:val="20"/>
                <w:szCs w:val="20"/>
                <w:lang w:val="en-GB"/>
              </w:rPr>
              <w:t>%)</w:t>
            </w:r>
          </w:p>
        </w:tc>
      </w:tr>
      <w:tr w:rsidR="005D11BC" w:rsidRPr="007A114B" w14:paraId="45B3168E" w14:textId="77777777" w:rsidTr="000E5805">
        <w:trPr>
          <w:gridAfter w:val="1"/>
          <w:wAfter w:w="14" w:type="dxa"/>
          <w:trHeight w:val="455"/>
        </w:trPr>
        <w:tc>
          <w:tcPr>
            <w:tcW w:w="2545" w:type="dxa"/>
            <w:vAlign w:val="center"/>
          </w:tcPr>
          <w:p w14:paraId="7CCB54CA" w14:textId="3275CCBA" w:rsidR="005D11BC" w:rsidRPr="007A114B" w:rsidRDefault="005D11BC" w:rsidP="005D11BC">
            <w:pPr>
              <w:pStyle w:val="TableParagraph"/>
              <w:jc w:val="center"/>
              <w:rPr>
                <w:sz w:val="20"/>
                <w:szCs w:val="20"/>
                <w:lang w:val="en-GB"/>
              </w:rPr>
            </w:pPr>
            <w:r w:rsidRPr="007A114B">
              <w:rPr>
                <w:color w:val="000000"/>
                <w:sz w:val="20"/>
                <w:szCs w:val="20"/>
                <w:lang w:val="en-GB"/>
              </w:rPr>
              <w:t>Nakashima 2019</w:t>
            </w:r>
            <w:r w:rsidR="002E1C6B"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mendeley":{"formattedCitation":"&lt;sup&gt;26&lt;/sup&gt;","plainTextFormattedCitation":"26","previouslyFormattedCitation":"&lt;sup&gt;26&lt;/sup&gt;"},"properties":{"noteIndex":0},"schema":"https://github.com/citation-style-language/schema/raw/master/csl-citation.json"}</w:instrText>
            </w:r>
            <w:r w:rsidR="002E1C6B" w:rsidRPr="007221CC">
              <w:rPr>
                <w:color w:val="000000"/>
                <w:sz w:val="20"/>
                <w:szCs w:val="20"/>
                <w:lang w:val="en-GB"/>
              </w:rPr>
              <w:fldChar w:fldCharType="separate"/>
            </w:r>
            <w:r w:rsidR="006A1D58" w:rsidRPr="007A114B">
              <w:rPr>
                <w:noProof/>
                <w:color w:val="000000"/>
                <w:sz w:val="20"/>
                <w:szCs w:val="20"/>
                <w:vertAlign w:val="superscript"/>
                <w:lang w:val="en-GB"/>
              </w:rPr>
              <w:t>26</w:t>
            </w:r>
            <w:r w:rsidR="002E1C6B" w:rsidRPr="007221CC">
              <w:rPr>
                <w:color w:val="000000"/>
                <w:sz w:val="20"/>
                <w:szCs w:val="20"/>
                <w:lang w:val="en-GB"/>
              </w:rPr>
              <w:fldChar w:fldCharType="end"/>
            </w:r>
          </w:p>
        </w:tc>
        <w:tc>
          <w:tcPr>
            <w:tcW w:w="978" w:type="dxa"/>
            <w:vAlign w:val="center"/>
          </w:tcPr>
          <w:p w14:paraId="1F80CC49" w14:textId="30E203A7" w:rsidR="005D11BC" w:rsidRPr="007A114B" w:rsidRDefault="00A13AD8" w:rsidP="005D11BC">
            <w:pPr>
              <w:pStyle w:val="TableParagraph"/>
              <w:ind w:left="10"/>
              <w:jc w:val="center"/>
              <w:rPr>
                <w:sz w:val="20"/>
                <w:szCs w:val="20"/>
                <w:lang w:val="en-GB"/>
              </w:rPr>
            </w:pPr>
            <w:r w:rsidRPr="007A114B">
              <w:rPr>
                <w:sz w:val="20"/>
                <w:szCs w:val="20"/>
                <w:lang w:val="en-GB"/>
              </w:rPr>
              <w:t>2</w:t>
            </w:r>
          </w:p>
        </w:tc>
        <w:tc>
          <w:tcPr>
            <w:tcW w:w="904" w:type="dxa"/>
            <w:vAlign w:val="center"/>
          </w:tcPr>
          <w:p w14:paraId="2B29CC96" w14:textId="461F1C72" w:rsidR="005D11BC" w:rsidRPr="007A114B" w:rsidRDefault="00A13AD8" w:rsidP="005D11BC">
            <w:pPr>
              <w:pStyle w:val="TableParagraph"/>
              <w:ind w:left="8"/>
              <w:jc w:val="center"/>
              <w:rPr>
                <w:sz w:val="20"/>
                <w:szCs w:val="20"/>
                <w:lang w:val="en-GB"/>
              </w:rPr>
            </w:pPr>
            <w:r w:rsidRPr="007A114B">
              <w:rPr>
                <w:sz w:val="20"/>
                <w:szCs w:val="20"/>
                <w:lang w:val="en-GB"/>
              </w:rPr>
              <w:t>1</w:t>
            </w:r>
          </w:p>
        </w:tc>
        <w:tc>
          <w:tcPr>
            <w:tcW w:w="900" w:type="dxa"/>
            <w:vAlign w:val="center"/>
          </w:tcPr>
          <w:p w14:paraId="7D9A5594" w14:textId="329327C4" w:rsidR="005D11BC" w:rsidRPr="007A114B" w:rsidRDefault="00A13AD8" w:rsidP="005D11BC">
            <w:pPr>
              <w:pStyle w:val="TableParagraph"/>
              <w:ind w:left="5"/>
              <w:jc w:val="center"/>
              <w:rPr>
                <w:sz w:val="20"/>
                <w:szCs w:val="20"/>
                <w:lang w:val="en-GB"/>
              </w:rPr>
            </w:pPr>
            <w:r w:rsidRPr="007A114B">
              <w:rPr>
                <w:sz w:val="20"/>
                <w:szCs w:val="20"/>
                <w:lang w:val="en-GB"/>
              </w:rPr>
              <w:t>2</w:t>
            </w:r>
          </w:p>
        </w:tc>
        <w:tc>
          <w:tcPr>
            <w:tcW w:w="900" w:type="dxa"/>
            <w:vAlign w:val="center"/>
          </w:tcPr>
          <w:p w14:paraId="24D20CB9" w14:textId="526968B0" w:rsidR="005D11BC" w:rsidRPr="007A114B" w:rsidRDefault="00A13AD8" w:rsidP="005D11BC">
            <w:pPr>
              <w:pStyle w:val="TableParagraph"/>
              <w:ind w:left="10"/>
              <w:jc w:val="center"/>
              <w:rPr>
                <w:sz w:val="20"/>
                <w:szCs w:val="20"/>
                <w:lang w:val="en-GB"/>
              </w:rPr>
            </w:pPr>
            <w:r w:rsidRPr="007A114B">
              <w:rPr>
                <w:sz w:val="20"/>
                <w:szCs w:val="20"/>
                <w:lang w:val="en-GB"/>
              </w:rPr>
              <w:t>1</w:t>
            </w:r>
          </w:p>
        </w:tc>
        <w:tc>
          <w:tcPr>
            <w:tcW w:w="900" w:type="dxa"/>
            <w:vAlign w:val="center"/>
          </w:tcPr>
          <w:p w14:paraId="293ED5B9" w14:textId="69B2DDBB" w:rsidR="005D11BC" w:rsidRPr="007A114B" w:rsidRDefault="00A13AD8" w:rsidP="005D11BC">
            <w:pPr>
              <w:pStyle w:val="TableParagraph"/>
              <w:ind w:left="10"/>
              <w:jc w:val="center"/>
              <w:rPr>
                <w:sz w:val="20"/>
                <w:szCs w:val="20"/>
                <w:lang w:val="en-GB"/>
              </w:rPr>
            </w:pPr>
            <w:r w:rsidRPr="007A114B">
              <w:rPr>
                <w:sz w:val="20"/>
                <w:szCs w:val="20"/>
                <w:lang w:val="en-GB"/>
              </w:rPr>
              <w:t>0</w:t>
            </w:r>
          </w:p>
        </w:tc>
        <w:tc>
          <w:tcPr>
            <w:tcW w:w="904" w:type="dxa"/>
            <w:vAlign w:val="center"/>
          </w:tcPr>
          <w:p w14:paraId="6A99DCBE" w14:textId="61A3DB63" w:rsidR="005D11BC" w:rsidRPr="007A114B" w:rsidRDefault="00A13AD8" w:rsidP="005D11BC">
            <w:pPr>
              <w:pStyle w:val="TableParagraph"/>
              <w:ind w:left="7"/>
              <w:jc w:val="center"/>
              <w:rPr>
                <w:sz w:val="20"/>
                <w:szCs w:val="20"/>
                <w:lang w:val="en-GB"/>
              </w:rPr>
            </w:pPr>
            <w:r w:rsidRPr="007A114B">
              <w:rPr>
                <w:sz w:val="20"/>
                <w:szCs w:val="20"/>
                <w:lang w:val="en-GB"/>
              </w:rPr>
              <w:t>1</w:t>
            </w:r>
          </w:p>
        </w:tc>
        <w:tc>
          <w:tcPr>
            <w:tcW w:w="900" w:type="dxa"/>
            <w:vAlign w:val="center"/>
          </w:tcPr>
          <w:p w14:paraId="2BB64A41" w14:textId="662446E5" w:rsidR="005D11BC" w:rsidRPr="007A114B" w:rsidRDefault="00A13AD8" w:rsidP="005D11BC">
            <w:pPr>
              <w:pStyle w:val="TableParagraph"/>
              <w:ind w:left="9"/>
              <w:jc w:val="center"/>
              <w:rPr>
                <w:sz w:val="20"/>
                <w:szCs w:val="20"/>
                <w:lang w:val="en-GB"/>
              </w:rPr>
            </w:pPr>
            <w:r w:rsidRPr="007A114B">
              <w:rPr>
                <w:sz w:val="20"/>
                <w:szCs w:val="20"/>
                <w:lang w:val="en-GB"/>
              </w:rPr>
              <w:t>2</w:t>
            </w:r>
          </w:p>
        </w:tc>
        <w:tc>
          <w:tcPr>
            <w:tcW w:w="902" w:type="dxa"/>
            <w:vAlign w:val="center"/>
          </w:tcPr>
          <w:p w14:paraId="0B4B624E" w14:textId="18C0A88B" w:rsidR="005D11BC" w:rsidRPr="007A114B" w:rsidRDefault="00A13AD8" w:rsidP="005D11BC">
            <w:pPr>
              <w:pStyle w:val="TableParagraph"/>
              <w:ind w:left="7"/>
              <w:jc w:val="center"/>
              <w:rPr>
                <w:sz w:val="20"/>
                <w:szCs w:val="20"/>
                <w:lang w:val="en-GB"/>
              </w:rPr>
            </w:pPr>
            <w:r w:rsidRPr="007A114B">
              <w:rPr>
                <w:sz w:val="20"/>
                <w:szCs w:val="20"/>
                <w:lang w:val="en-GB"/>
              </w:rPr>
              <w:t>1</w:t>
            </w:r>
          </w:p>
        </w:tc>
        <w:tc>
          <w:tcPr>
            <w:tcW w:w="900" w:type="dxa"/>
            <w:vAlign w:val="center"/>
          </w:tcPr>
          <w:p w14:paraId="6606F0C6" w14:textId="320E9ECF" w:rsidR="005D11BC" w:rsidRPr="007A114B" w:rsidRDefault="00A13AD8" w:rsidP="005D11BC">
            <w:pPr>
              <w:pStyle w:val="TableParagraph"/>
              <w:ind w:left="165" w:right="158"/>
              <w:jc w:val="center"/>
              <w:rPr>
                <w:sz w:val="20"/>
                <w:szCs w:val="20"/>
                <w:lang w:val="en-GB"/>
              </w:rPr>
            </w:pPr>
            <w:r w:rsidRPr="007A114B">
              <w:rPr>
                <w:sz w:val="20"/>
                <w:szCs w:val="20"/>
                <w:lang w:val="en-GB"/>
              </w:rPr>
              <w:t>2</w:t>
            </w:r>
          </w:p>
        </w:tc>
        <w:tc>
          <w:tcPr>
            <w:tcW w:w="901" w:type="dxa"/>
            <w:vAlign w:val="center"/>
          </w:tcPr>
          <w:p w14:paraId="334FBCBD" w14:textId="75EF3B85" w:rsidR="005D11BC" w:rsidRPr="007A114B" w:rsidRDefault="00A13AD8" w:rsidP="005D11BC">
            <w:pPr>
              <w:pStyle w:val="TableParagraph"/>
              <w:ind w:left="168" w:right="162"/>
              <w:jc w:val="center"/>
              <w:rPr>
                <w:sz w:val="20"/>
                <w:szCs w:val="20"/>
                <w:lang w:val="en-GB"/>
              </w:rPr>
            </w:pPr>
            <w:r w:rsidRPr="007A114B">
              <w:rPr>
                <w:sz w:val="20"/>
                <w:szCs w:val="20"/>
                <w:lang w:val="en-GB"/>
              </w:rPr>
              <w:t>1</w:t>
            </w:r>
          </w:p>
        </w:tc>
        <w:tc>
          <w:tcPr>
            <w:tcW w:w="900" w:type="dxa"/>
            <w:vAlign w:val="center"/>
          </w:tcPr>
          <w:p w14:paraId="15086C37" w14:textId="75CB52BA" w:rsidR="005D11BC" w:rsidRPr="007A114B" w:rsidRDefault="00A13AD8" w:rsidP="005D11BC">
            <w:pPr>
              <w:pStyle w:val="TableParagraph"/>
              <w:ind w:left="165" w:right="159"/>
              <w:jc w:val="center"/>
              <w:rPr>
                <w:sz w:val="20"/>
                <w:szCs w:val="20"/>
                <w:lang w:val="en-GB"/>
              </w:rPr>
            </w:pPr>
            <w:r w:rsidRPr="007A114B">
              <w:rPr>
                <w:sz w:val="20"/>
                <w:szCs w:val="20"/>
                <w:lang w:val="en-GB"/>
              </w:rPr>
              <w:t>1</w:t>
            </w:r>
          </w:p>
        </w:tc>
        <w:tc>
          <w:tcPr>
            <w:tcW w:w="816" w:type="dxa"/>
            <w:vAlign w:val="center"/>
          </w:tcPr>
          <w:p w14:paraId="7F2C2D61" w14:textId="14319BB0" w:rsidR="005D11BC" w:rsidRPr="007A114B" w:rsidRDefault="00A13AD8" w:rsidP="005D11BC">
            <w:pPr>
              <w:pStyle w:val="TableParagraph"/>
              <w:ind w:left="167" w:right="163"/>
              <w:jc w:val="center"/>
              <w:rPr>
                <w:sz w:val="20"/>
                <w:szCs w:val="20"/>
                <w:lang w:val="en-GB"/>
              </w:rPr>
            </w:pPr>
            <w:r w:rsidRPr="007A114B">
              <w:rPr>
                <w:sz w:val="20"/>
                <w:szCs w:val="20"/>
                <w:lang w:val="en-GB"/>
              </w:rPr>
              <w:t>2</w:t>
            </w:r>
          </w:p>
        </w:tc>
        <w:tc>
          <w:tcPr>
            <w:tcW w:w="986" w:type="dxa"/>
            <w:shd w:val="clear" w:color="auto" w:fill="BEBEBE"/>
            <w:vAlign w:val="center"/>
          </w:tcPr>
          <w:p w14:paraId="5CD5D34E" w14:textId="691CBA2D" w:rsidR="005D11BC" w:rsidRPr="007A114B" w:rsidRDefault="00A13AD8" w:rsidP="005D11BC">
            <w:pPr>
              <w:pStyle w:val="TableParagraph"/>
              <w:ind w:left="0" w:right="112"/>
              <w:jc w:val="center"/>
              <w:rPr>
                <w:sz w:val="20"/>
                <w:szCs w:val="20"/>
                <w:lang w:val="en-GB"/>
              </w:rPr>
            </w:pPr>
            <w:r w:rsidRPr="007A114B">
              <w:rPr>
                <w:sz w:val="20"/>
                <w:szCs w:val="20"/>
                <w:lang w:val="en-GB"/>
              </w:rPr>
              <w:t>16</w:t>
            </w:r>
            <w:r w:rsidR="005D11BC" w:rsidRPr="007A114B">
              <w:rPr>
                <w:sz w:val="20"/>
                <w:szCs w:val="20"/>
                <w:lang w:val="en-GB"/>
              </w:rPr>
              <w:t>/24</w:t>
            </w:r>
          </w:p>
          <w:p w14:paraId="121834ED" w14:textId="5FA4A273" w:rsidR="005D11BC" w:rsidRPr="007A114B" w:rsidRDefault="005D11BC" w:rsidP="005D11BC">
            <w:pPr>
              <w:pStyle w:val="TableParagraph"/>
              <w:ind w:left="0" w:right="112"/>
              <w:jc w:val="center"/>
              <w:rPr>
                <w:sz w:val="20"/>
                <w:szCs w:val="20"/>
                <w:lang w:val="en-GB"/>
              </w:rPr>
            </w:pPr>
            <w:r w:rsidRPr="007A114B">
              <w:rPr>
                <w:sz w:val="20"/>
                <w:szCs w:val="20"/>
                <w:lang w:val="en-GB"/>
              </w:rPr>
              <w:t>(</w:t>
            </w:r>
            <w:r w:rsidR="00A13AD8" w:rsidRPr="007A114B">
              <w:rPr>
                <w:sz w:val="20"/>
                <w:szCs w:val="20"/>
                <w:lang w:val="en-GB"/>
              </w:rPr>
              <w:t>67</w:t>
            </w:r>
            <w:r w:rsidRPr="007A114B">
              <w:rPr>
                <w:sz w:val="20"/>
                <w:szCs w:val="20"/>
                <w:lang w:val="en-GB"/>
              </w:rPr>
              <w:t>%)</w:t>
            </w:r>
          </w:p>
        </w:tc>
      </w:tr>
      <w:tr w:rsidR="00D101F7" w:rsidRPr="007A114B" w14:paraId="35143A76" w14:textId="77777777" w:rsidTr="000E5805">
        <w:trPr>
          <w:gridAfter w:val="1"/>
          <w:wAfter w:w="14" w:type="dxa"/>
          <w:trHeight w:val="457"/>
        </w:trPr>
        <w:tc>
          <w:tcPr>
            <w:tcW w:w="2545" w:type="dxa"/>
            <w:vAlign w:val="center"/>
          </w:tcPr>
          <w:p w14:paraId="027510BE" w14:textId="19655FBB" w:rsidR="00D101F7" w:rsidRPr="007A114B" w:rsidRDefault="00D101F7" w:rsidP="00D101F7">
            <w:pPr>
              <w:pStyle w:val="TableParagraph"/>
              <w:spacing w:line="181" w:lineRule="exact"/>
              <w:jc w:val="center"/>
              <w:rPr>
                <w:sz w:val="20"/>
                <w:szCs w:val="20"/>
                <w:lang w:val="en-GB"/>
              </w:rPr>
            </w:pPr>
            <w:proofErr w:type="spellStart"/>
            <w:r w:rsidRPr="007A114B">
              <w:rPr>
                <w:color w:val="000000"/>
                <w:sz w:val="20"/>
                <w:szCs w:val="20"/>
                <w:lang w:val="en-GB"/>
              </w:rPr>
              <w:t>Tjong</w:t>
            </w:r>
            <w:proofErr w:type="spellEnd"/>
            <w:r w:rsidRPr="007A114B">
              <w:rPr>
                <w:color w:val="000000"/>
                <w:sz w:val="20"/>
                <w:szCs w:val="20"/>
                <w:lang w:val="en-GB"/>
              </w:rPr>
              <w:t xml:space="preserve"> 2017</w:t>
            </w:r>
            <w:r w:rsidR="002E1C6B" w:rsidRPr="007221CC">
              <w:rPr>
                <w:color w:val="000000"/>
                <w:sz w:val="20"/>
                <w:szCs w:val="20"/>
                <w:lang w:val="en-GB"/>
              </w:rPr>
              <w:fldChar w:fldCharType="begin" w:fldLock="1"/>
            </w:r>
            <w:r w:rsidR="00223245" w:rsidRPr="007A114B">
              <w:rPr>
                <w:color w:val="000000"/>
                <w:sz w:val="20"/>
                <w:szCs w:val="20"/>
                <w:lang w:val="en-GB"/>
              </w:rPr>
              <w:instrText>ADDIN CSL_CITATION {"citationItems":[{"id":"ITEM-1","itemData":{"DOI":"10.1016/j.arthro.2016.10.022","ISSN":"1526-3231 (Electronic)","PMID":"28063762","abstract":"PURPOSE: To evaluate patient outcomes after isolated arthroscopic volumetric  acetabular osteoplasty and labral repair for the treatment of patients with combined femoroacetabular impingement (FAI) lesions. METHODS: A review of a prospectively collected registry identified 86 patients (106 hips) with an average age of 38.1 years (range, 17-59 years) with combined-type FAI that underwent isolated acetabular osteoplasty and labral repair. Preoperative α-angle, degree of radiographic degenerative changes, and presence of a crossover sign were recorded. Clinical outcomes were assessed with the modified Harris Hip Score (mHHS), International Hip Outcome Tool-12 (iHOT-12), Hip Outcome Score Sport-Specific Subscale (HOS-SSS), and patient satisfaction score (out of 10) at a minimum 2-year follow-up. RESULTS: Clinical follow-up was obtained at a mean follow-up of 37.2 months (range, 27.9-79.2 months). Patients with Tönnis grade 0 and I findings had significantly higher mHHS (83.5 vs 71.5, P = .01), HOS-SSS (81.3 vs 59.9, P = .02), and iHOT-12 scores (71.1 vs 58.8, P = .04) compared to patients with Tonnis grade II changes. However, patient satisfaction scores (8.0 vs 7.2, P = .45) were no different. No significant difference was noted between unilateral and bilateral hip patient outcome scores. Patient age and preoperative α-angles did not correlate with any outcome scores (all R(2) &lt;0.05). There were no cases of revision surgery or progression to arthroplasty. CONCLUSIONS: Isolated acetabular decompression may adequately address the underlying impingement in combined-type FAI while avoiding the risks associated with femoral-sided decompression. Good to excellent patient-reported outcomes and satisfaction scores were noted with significantly higher scores in patients with minimal arthritic change. Patient age and preoperative α-angle had less effect on postoperative outcomes. LEVEL OF EVIDENCE: Level IV, therapeutic case series.","author":[{"dropping-particle":"","family":"Tjong","given":"Vehniah K","non-dropping-particle":"","parse-names":false,"suffix":""},{"dropping-particle":"","family":"Gombera","given":"Mustafa M","non-dropping-particle":"","parse-names":false,"suffix":""},{"dropping-particle":"","family":"Kahlenberg","given":"Cynthia A","non-dropping-particle":"","parse-names":false,"suffix":""},{"dropping-particle":"","family":"Patel","given":"Ronak M","non-dropping-particle":"","parse-names":false,"suffix":""},{"dropping-particle":"","family":"Han","given":"Brian","non-dropping-particle":"","parse-names":false,"suffix":""},{"dropping-particle":"","family":"Deshmane","given":"Prashant","non-dropping-particle":"","parse-names":false,"suffix":""},{"dropping-particle":"","family":"Terry","given":"Michael A","non-dropping-particle":"","parse-names":false,"suffix":""}],"container-title":"Arthroscopy : the journal of arthroscopic &amp; related surgery : official publication  of the Arthroscopy Association of North America and the International Arthroscopy Association","id":"ITEM-1","issue":"4","issued":{"date-parts":[["2017","4"]]},"language":"eng","page":"773-779","publisher-place":"United States","title":"Isolated Acetabuloplasty and Labral Repair for Combined-Type Femoroacetabular  Impingement: Are We Doing Too Much?","type":"article-journal","volume":"33"},"uris":["http://www.mendeley.com/documents/?uuid=4ca73fb3-f656-4c20-b162-93346a5dd4bf"]}],"mendeley":{"formattedCitation":"&lt;sup&gt;34&lt;/sup&gt;","plainTextFormattedCitation":"34","previouslyFormattedCitation":"&lt;sup&gt;34&lt;/sup&gt;"},"properties":{"noteIndex":0},"schema":"https://github.com/citation-style-language/schema/raw/master/csl-citation.json"}</w:instrText>
            </w:r>
            <w:r w:rsidR="002E1C6B" w:rsidRPr="007221CC">
              <w:rPr>
                <w:color w:val="000000"/>
                <w:sz w:val="20"/>
                <w:szCs w:val="20"/>
                <w:lang w:val="en-GB"/>
              </w:rPr>
              <w:fldChar w:fldCharType="separate"/>
            </w:r>
            <w:r w:rsidR="006A1D58" w:rsidRPr="007A114B">
              <w:rPr>
                <w:noProof/>
                <w:color w:val="000000"/>
                <w:sz w:val="20"/>
                <w:szCs w:val="20"/>
                <w:vertAlign w:val="superscript"/>
                <w:lang w:val="en-GB"/>
              </w:rPr>
              <w:t>34</w:t>
            </w:r>
            <w:r w:rsidR="002E1C6B" w:rsidRPr="007221CC">
              <w:rPr>
                <w:color w:val="000000"/>
                <w:sz w:val="20"/>
                <w:szCs w:val="20"/>
                <w:lang w:val="en-GB"/>
              </w:rPr>
              <w:fldChar w:fldCharType="end"/>
            </w:r>
          </w:p>
        </w:tc>
        <w:tc>
          <w:tcPr>
            <w:tcW w:w="978" w:type="dxa"/>
            <w:vAlign w:val="center"/>
          </w:tcPr>
          <w:p w14:paraId="6010039E" w14:textId="48980320" w:rsidR="00D101F7" w:rsidRPr="007A114B" w:rsidRDefault="00D101F7" w:rsidP="00D101F7">
            <w:pPr>
              <w:pStyle w:val="TableParagraph"/>
              <w:spacing w:line="181" w:lineRule="exact"/>
              <w:ind w:left="10"/>
              <w:jc w:val="center"/>
              <w:rPr>
                <w:sz w:val="20"/>
                <w:szCs w:val="20"/>
                <w:lang w:val="en-GB"/>
              </w:rPr>
            </w:pPr>
            <w:r w:rsidRPr="007A114B">
              <w:rPr>
                <w:sz w:val="20"/>
                <w:szCs w:val="20"/>
                <w:lang w:val="en-GB"/>
              </w:rPr>
              <w:t>NA</w:t>
            </w:r>
          </w:p>
        </w:tc>
        <w:tc>
          <w:tcPr>
            <w:tcW w:w="904" w:type="dxa"/>
            <w:vAlign w:val="center"/>
          </w:tcPr>
          <w:p w14:paraId="61679FE3" w14:textId="0ABCB8B9" w:rsidR="00D101F7" w:rsidRPr="007A114B" w:rsidRDefault="00D101F7" w:rsidP="00D101F7">
            <w:pPr>
              <w:pStyle w:val="TableParagraph"/>
              <w:spacing w:line="181" w:lineRule="exact"/>
              <w:ind w:left="8"/>
              <w:jc w:val="center"/>
              <w:rPr>
                <w:sz w:val="20"/>
                <w:szCs w:val="20"/>
                <w:lang w:val="en-GB"/>
              </w:rPr>
            </w:pPr>
            <w:r w:rsidRPr="007A114B">
              <w:rPr>
                <w:sz w:val="20"/>
                <w:szCs w:val="20"/>
                <w:lang w:val="en-GB"/>
              </w:rPr>
              <w:t>NA</w:t>
            </w:r>
          </w:p>
        </w:tc>
        <w:tc>
          <w:tcPr>
            <w:tcW w:w="900" w:type="dxa"/>
            <w:vAlign w:val="center"/>
          </w:tcPr>
          <w:p w14:paraId="5F6DAFFD" w14:textId="0507395F" w:rsidR="00D101F7" w:rsidRPr="007A114B" w:rsidRDefault="00D101F7" w:rsidP="00D101F7">
            <w:pPr>
              <w:pStyle w:val="TableParagraph"/>
              <w:spacing w:line="181" w:lineRule="exact"/>
              <w:ind w:left="5"/>
              <w:jc w:val="center"/>
              <w:rPr>
                <w:sz w:val="20"/>
                <w:szCs w:val="20"/>
                <w:lang w:val="en-GB"/>
              </w:rPr>
            </w:pPr>
            <w:r w:rsidRPr="007A114B">
              <w:rPr>
                <w:sz w:val="20"/>
                <w:szCs w:val="20"/>
                <w:lang w:val="en-GB"/>
              </w:rPr>
              <w:t>NA</w:t>
            </w:r>
          </w:p>
        </w:tc>
        <w:tc>
          <w:tcPr>
            <w:tcW w:w="900" w:type="dxa"/>
            <w:vAlign w:val="center"/>
          </w:tcPr>
          <w:p w14:paraId="0E0565AA" w14:textId="0130B2C7" w:rsidR="00D101F7" w:rsidRPr="007A114B" w:rsidRDefault="00D101F7" w:rsidP="00D101F7">
            <w:pPr>
              <w:pStyle w:val="TableParagraph"/>
              <w:spacing w:line="181" w:lineRule="exact"/>
              <w:ind w:left="10"/>
              <w:jc w:val="center"/>
              <w:rPr>
                <w:sz w:val="20"/>
                <w:szCs w:val="20"/>
                <w:lang w:val="en-GB"/>
              </w:rPr>
            </w:pPr>
            <w:r w:rsidRPr="007A114B">
              <w:rPr>
                <w:sz w:val="20"/>
                <w:szCs w:val="20"/>
                <w:lang w:val="en-GB"/>
              </w:rPr>
              <w:t>NA</w:t>
            </w:r>
          </w:p>
        </w:tc>
        <w:tc>
          <w:tcPr>
            <w:tcW w:w="900" w:type="dxa"/>
            <w:vAlign w:val="center"/>
          </w:tcPr>
          <w:p w14:paraId="0019DBB1" w14:textId="04407B66" w:rsidR="00D101F7" w:rsidRPr="007A114B" w:rsidRDefault="00390A2E" w:rsidP="00D101F7">
            <w:pPr>
              <w:pStyle w:val="TableParagraph"/>
              <w:spacing w:line="181" w:lineRule="exact"/>
              <w:ind w:left="10"/>
              <w:jc w:val="center"/>
              <w:rPr>
                <w:sz w:val="20"/>
                <w:szCs w:val="20"/>
                <w:lang w:val="en-GB"/>
              </w:rPr>
            </w:pPr>
            <w:r w:rsidRPr="007A114B">
              <w:rPr>
                <w:sz w:val="20"/>
                <w:szCs w:val="20"/>
                <w:lang w:val="en-GB"/>
              </w:rPr>
              <w:t>0</w:t>
            </w:r>
          </w:p>
        </w:tc>
        <w:tc>
          <w:tcPr>
            <w:tcW w:w="904" w:type="dxa"/>
            <w:vAlign w:val="center"/>
          </w:tcPr>
          <w:p w14:paraId="7B0DB9DD" w14:textId="307499E4" w:rsidR="00D101F7" w:rsidRPr="007A114B" w:rsidRDefault="00390A2E" w:rsidP="00D101F7">
            <w:pPr>
              <w:pStyle w:val="TableParagraph"/>
              <w:spacing w:line="181" w:lineRule="exact"/>
              <w:ind w:left="7"/>
              <w:jc w:val="center"/>
              <w:rPr>
                <w:sz w:val="20"/>
                <w:szCs w:val="20"/>
                <w:lang w:val="en-GB"/>
              </w:rPr>
            </w:pPr>
            <w:r w:rsidRPr="007A114B">
              <w:rPr>
                <w:sz w:val="20"/>
                <w:szCs w:val="20"/>
                <w:lang w:val="en-GB"/>
              </w:rPr>
              <w:t>2</w:t>
            </w:r>
          </w:p>
        </w:tc>
        <w:tc>
          <w:tcPr>
            <w:tcW w:w="900" w:type="dxa"/>
            <w:vAlign w:val="center"/>
          </w:tcPr>
          <w:p w14:paraId="58A045B3" w14:textId="0A7F2C7F" w:rsidR="00D101F7" w:rsidRPr="007A114B" w:rsidRDefault="00390A2E" w:rsidP="00D101F7">
            <w:pPr>
              <w:pStyle w:val="TableParagraph"/>
              <w:spacing w:line="181" w:lineRule="exact"/>
              <w:ind w:left="9"/>
              <w:jc w:val="center"/>
              <w:rPr>
                <w:sz w:val="20"/>
                <w:szCs w:val="20"/>
                <w:lang w:val="en-GB"/>
              </w:rPr>
            </w:pPr>
            <w:r w:rsidRPr="007A114B">
              <w:rPr>
                <w:sz w:val="20"/>
                <w:szCs w:val="20"/>
                <w:lang w:val="en-GB"/>
              </w:rPr>
              <w:t>2</w:t>
            </w:r>
          </w:p>
        </w:tc>
        <w:tc>
          <w:tcPr>
            <w:tcW w:w="902" w:type="dxa"/>
            <w:vAlign w:val="center"/>
          </w:tcPr>
          <w:p w14:paraId="179ED998" w14:textId="5476574F" w:rsidR="00D101F7" w:rsidRPr="007A114B" w:rsidRDefault="00390A2E" w:rsidP="00D101F7">
            <w:pPr>
              <w:pStyle w:val="TableParagraph"/>
              <w:spacing w:line="181" w:lineRule="exact"/>
              <w:ind w:left="7"/>
              <w:jc w:val="center"/>
              <w:rPr>
                <w:sz w:val="20"/>
                <w:szCs w:val="20"/>
                <w:lang w:val="en-GB"/>
              </w:rPr>
            </w:pPr>
            <w:r w:rsidRPr="007A114B">
              <w:rPr>
                <w:sz w:val="20"/>
                <w:szCs w:val="20"/>
                <w:lang w:val="en-GB"/>
              </w:rPr>
              <w:t>2</w:t>
            </w:r>
          </w:p>
        </w:tc>
        <w:tc>
          <w:tcPr>
            <w:tcW w:w="900" w:type="dxa"/>
            <w:vAlign w:val="center"/>
          </w:tcPr>
          <w:p w14:paraId="440E4F78" w14:textId="4BDAB5F7" w:rsidR="00D101F7" w:rsidRPr="007A114B" w:rsidRDefault="00390A2E" w:rsidP="00D101F7">
            <w:pPr>
              <w:pStyle w:val="TableParagraph"/>
              <w:spacing w:line="181" w:lineRule="exact"/>
              <w:ind w:left="10"/>
              <w:jc w:val="center"/>
              <w:rPr>
                <w:sz w:val="20"/>
                <w:szCs w:val="20"/>
                <w:lang w:val="en-GB"/>
              </w:rPr>
            </w:pPr>
            <w:r w:rsidRPr="007A114B">
              <w:rPr>
                <w:sz w:val="20"/>
                <w:szCs w:val="20"/>
                <w:lang w:val="en-GB"/>
              </w:rPr>
              <w:t>2</w:t>
            </w:r>
          </w:p>
        </w:tc>
        <w:tc>
          <w:tcPr>
            <w:tcW w:w="901" w:type="dxa"/>
            <w:vAlign w:val="center"/>
          </w:tcPr>
          <w:p w14:paraId="740B91B9" w14:textId="2083968E" w:rsidR="00D101F7" w:rsidRPr="007A114B" w:rsidRDefault="00390A2E" w:rsidP="00D101F7">
            <w:pPr>
              <w:pStyle w:val="TableParagraph"/>
              <w:spacing w:line="181" w:lineRule="exact"/>
              <w:ind w:left="9"/>
              <w:jc w:val="center"/>
              <w:rPr>
                <w:sz w:val="20"/>
                <w:szCs w:val="20"/>
                <w:lang w:val="en-GB"/>
              </w:rPr>
            </w:pPr>
            <w:r w:rsidRPr="007A114B">
              <w:rPr>
                <w:sz w:val="20"/>
                <w:szCs w:val="20"/>
                <w:lang w:val="en-GB"/>
              </w:rPr>
              <w:t>2</w:t>
            </w:r>
          </w:p>
        </w:tc>
        <w:tc>
          <w:tcPr>
            <w:tcW w:w="900" w:type="dxa"/>
            <w:vAlign w:val="center"/>
          </w:tcPr>
          <w:p w14:paraId="7AE24BF5" w14:textId="7333868C" w:rsidR="00D101F7" w:rsidRPr="007A114B" w:rsidRDefault="00390A2E" w:rsidP="00D101F7">
            <w:pPr>
              <w:pStyle w:val="TableParagraph"/>
              <w:spacing w:line="181" w:lineRule="exact"/>
              <w:ind w:left="9"/>
              <w:jc w:val="center"/>
              <w:rPr>
                <w:sz w:val="20"/>
                <w:szCs w:val="20"/>
                <w:lang w:val="en-GB"/>
              </w:rPr>
            </w:pPr>
            <w:r w:rsidRPr="007A114B">
              <w:rPr>
                <w:sz w:val="20"/>
                <w:szCs w:val="20"/>
                <w:lang w:val="en-GB"/>
              </w:rPr>
              <w:t>1</w:t>
            </w:r>
          </w:p>
        </w:tc>
        <w:tc>
          <w:tcPr>
            <w:tcW w:w="816" w:type="dxa"/>
            <w:vAlign w:val="center"/>
          </w:tcPr>
          <w:p w14:paraId="5688E99E" w14:textId="1ABD9535" w:rsidR="00D101F7" w:rsidRPr="007A114B" w:rsidRDefault="00390A2E" w:rsidP="00D101F7">
            <w:pPr>
              <w:pStyle w:val="TableParagraph"/>
              <w:spacing w:line="181" w:lineRule="exact"/>
              <w:ind w:left="7"/>
              <w:jc w:val="center"/>
              <w:rPr>
                <w:sz w:val="20"/>
                <w:szCs w:val="20"/>
                <w:lang w:val="en-GB"/>
              </w:rPr>
            </w:pPr>
            <w:r w:rsidRPr="007A114B">
              <w:rPr>
                <w:sz w:val="20"/>
                <w:szCs w:val="20"/>
                <w:lang w:val="en-GB"/>
              </w:rPr>
              <w:t>2</w:t>
            </w:r>
          </w:p>
        </w:tc>
        <w:tc>
          <w:tcPr>
            <w:tcW w:w="986" w:type="dxa"/>
            <w:shd w:val="clear" w:color="auto" w:fill="BEBEBE"/>
            <w:vAlign w:val="center"/>
          </w:tcPr>
          <w:p w14:paraId="5D7736BA" w14:textId="26A13D27" w:rsidR="00D101F7" w:rsidRPr="007A114B" w:rsidRDefault="00390A2E" w:rsidP="00D101F7">
            <w:pPr>
              <w:pStyle w:val="TableParagraph"/>
              <w:spacing w:line="181" w:lineRule="exact"/>
              <w:ind w:left="0" w:right="112"/>
              <w:jc w:val="center"/>
              <w:rPr>
                <w:sz w:val="20"/>
                <w:szCs w:val="20"/>
                <w:lang w:val="en-GB"/>
              </w:rPr>
            </w:pPr>
            <w:r w:rsidRPr="007A114B">
              <w:rPr>
                <w:sz w:val="20"/>
                <w:szCs w:val="20"/>
                <w:lang w:val="en-GB"/>
              </w:rPr>
              <w:t>13</w:t>
            </w:r>
            <w:r w:rsidR="00D101F7" w:rsidRPr="007A114B">
              <w:rPr>
                <w:sz w:val="20"/>
                <w:szCs w:val="20"/>
                <w:lang w:val="en-GB"/>
              </w:rPr>
              <w:t>/16</w:t>
            </w:r>
          </w:p>
          <w:p w14:paraId="417B5FBA" w14:textId="18503420" w:rsidR="00D101F7" w:rsidRPr="007A114B" w:rsidRDefault="00D101F7" w:rsidP="00D101F7">
            <w:pPr>
              <w:pStyle w:val="TableParagraph"/>
              <w:spacing w:line="181" w:lineRule="exact"/>
              <w:ind w:left="0" w:right="112"/>
              <w:jc w:val="center"/>
              <w:rPr>
                <w:sz w:val="20"/>
                <w:szCs w:val="20"/>
                <w:lang w:val="en-GB"/>
              </w:rPr>
            </w:pPr>
            <w:r w:rsidRPr="007A114B">
              <w:rPr>
                <w:sz w:val="20"/>
                <w:szCs w:val="20"/>
                <w:lang w:val="en-GB"/>
              </w:rPr>
              <w:t>(</w:t>
            </w:r>
            <w:r w:rsidR="00390A2E" w:rsidRPr="007A114B">
              <w:rPr>
                <w:sz w:val="20"/>
                <w:szCs w:val="20"/>
                <w:lang w:val="en-GB"/>
              </w:rPr>
              <w:t>81</w:t>
            </w:r>
            <w:r w:rsidRPr="007A114B">
              <w:rPr>
                <w:sz w:val="20"/>
                <w:szCs w:val="20"/>
                <w:lang w:val="en-GB"/>
              </w:rPr>
              <w:t>%)</w:t>
            </w:r>
          </w:p>
        </w:tc>
      </w:tr>
      <w:tr w:rsidR="000E5805" w:rsidRPr="007A114B" w14:paraId="5F81BF28" w14:textId="77777777" w:rsidTr="000E5805">
        <w:trPr>
          <w:trHeight w:val="457"/>
        </w:trPr>
        <w:tc>
          <w:tcPr>
            <w:tcW w:w="14350" w:type="dxa"/>
            <w:gridSpan w:val="15"/>
            <w:vAlign w:val="center"/>
          </w:tcPr>
          <w:p w14:paraId="64139D2D" w14:textId="77777777" w:rsidR="000E5805" w:rsidRPr="007A114B" w:rsidRDefault="000E5805" w:rsidP="004C1059">
            <w:pPr>
              <w:pStyle w:val="TableParagraph"/>
              <w:spacing w:line="181" w:lineRule="exact"/>
              <w:ind w:left="0" w:right="112"/>
              <w:rPr>
                <w:sz w:val="20"/>
                <w:szCs w:val="20"/>
                <w:lang w:val="en-GB"/>
              </w:rPr>
            </w:pPr>
            <w:r w:rsidRPr="007A114B">
              <w:rPr>
                <w:sz w:val="20"/>
                <w:szCs w:val="20"/>
                <w:lang w:val="en-GB"/>
              </w:rPr>
              <w:t>NA – not applicable.</w:t>
            </w:r>
          </w:p>
        </w:tc>
      </w:tr>
    </w:tbl>
    <w:p w14:paraId="59FAB450" w14:textId="77777777" w:rsidR="000E5805" w:rsidRPr="007A114B" w:rsidRDefault="000E5805" w:rsidP="002937DE">
      <w:pPr>
        <w:spacing w:after="120" w:line="480" w:lineRule="auto"/>
        <w:rPr>
          <w:rFonts w:cstheme="minorHAnsi"/>
          <w:bCs/>
          <w:lang w:val="en-GB" w:eastAsia="en-GB"/>
        </w:rPr>
        <w:sectPr w:rsidR="000E5805" w:rsidRPr="007A114B" w:rsidSect="000E5805">
          <w:pgSz w:w="15840" w:h="12240" w:orient="landscape"/>
          <w:pgMar w:top="1183" w:right="1134" w:bottom="1440" w:left="1134" w:header="720" w:footer="720" w:gutter="0"/>
          <w:lnNumType w:countBy="1" w:restart="continuous"/>
          <w:cols w:space="720"/>
          <w:docGrid w:linePitch="360"/>
        </w:sectPr>
      </w:pPr>
    </w:p>
    <w:p w14:paraId="178718A8" w14:textId="3F189300" w:rsidR="008C4920" w:rsidRPr="007A114B" w:rsidRDefault="008C4920" w:rsidP="008C4920">
      <w:pPr>
        <w:keepLines/>
        <w:spacing w:after="120" w:line="276" w:lineRule="auto"/>
        <w:jc w:val="both"/>
        <w:rPr>
          <w:rFonts w:eastAsia="Candara" w:cstheme="minorHAnsi"/>
          <w:b/>
          <w:color w:val="000000"/>
          <w:lang w:val="en-GB" w:bidi="he-IL"/>
        </w:rPr>
      </w:pPr>
      <w:r w:rsidRPr="007A114B">
        <w:rPr>
          <w:rFonts w:eastAsia="Candara" w:cstheme="minorHAnsi"/>
          <w:b/>
          <w:color w:val="000000"/>
          <w:lang w:val="en-GB" w:bidi="he-IL"/>
        </w:rPr>
        <w:lastRenderedPageBreak/>
        <w:t>Table 3.</w:t>
      </w:r>
      <w:r w:rsidRPr="007A114B">
        <w:rPr>
          <w:rFonts w:eastAsia="Candara" w:cstheme="minorHAnsi"/>
          <w:color w:val="000000"/>
          <w:lang w:val="en-GB" w:bidi="he-IL"/>
        </w:rPr>
        <w:t xml:space="preserve"> </w:t>
      </w:r>
      <w:r w:rsidRPr="007A114B">
        <w:rPr>
          <w:rFonts w:eastAsia="Candara" w:cstheme="minorHAnsi"/>
          <w:bCs/>
          <w:color w:val="000000"/>
          <w:lang w:val="en-GB" w:bidi="he-IL"/>
        </w:rPr>
        <w:t>Demographics</w:t>
      </w:r>
      <w:r w:rsidR="008821C3" w:rsidRPr="007A114B">
        <w:rPr>
          <w:rFonts w:eastAsia="Candara" w:cstheme="minorHAnsi"/>
          <w:bCs/>
          <w:color w:val="000000"/>
          <w:lang w:val="en-GB" w:bidi="he-IL"/>
        </w:rPr>
        <w:t>,</w:t>
      </w:r>
      <w:r w:rsidR="009D6284" w:rsidRPr="007A114B">
        <w:rPr>
          <w:rFonts w:eastAsia="Candara" w:cstheme="minorHAnsi"/>
          <w:bCs/>
          <w:color w:val="000000"/>
          <w:lang w:val="en-GB" w:bidi="he-IL"/>
        </w:rPr>
        <w:t xml:space="preserve"> </w:t>
      </w:r>
      <w:proofErr w:type="gramStart"/>
      <w:r w:rsidR="00D27E83" w:rsidRPr="007A114B">
        <w:rPr>
          <w:rFonts w:eastAsia="Candara" w:cstheme="minorHAnsi"/>
          <w:bCs/>
          <w:color w:val="000000"/>
          <w:lang w:val="en-GB" w:bidi="he-IL"/>
        </w:rPr>
        <w:t>i</w:t>
      </w:r>
      <w:r w:rsidR="009D6284" w:rsidRPr="007A114B">
        <w:rPr>
          <w:rFonts w:eastAsia="Candara" w:cstheme="minorHAnsi"/>
          <w:bCs/>
          <w:color w:val="000000"/>
          <w:lang w:val="en-GB" w:bidi="he-IL"/>
        </w:rPr>
        <w:t>ndications</w:t>
      </w:r>
      <w:proofErr w:type="gramEnd"/>
      <w:r w:rsidR="009D6284" w:rsidRPr="007A114B">
        <w:rPr>
          <w:rFonts w:eastAsia="Candara" w:cstheme="minorHAnsi"/>
          <w:bCs/>
          <w:color w:val="000000"/>
          <w:lang w:val="en-GB" w:bidi="he-IL"/>
        </w:rPr>
        <w:t xml:space="preserve"> and </w:t>
      </w:r>
      <w:r w:rsidR="00D27E83" w:rsidRPr="007A114B">
        <w:rPr>
          <w:rFonts w:eastAsia="Candara" w:cstheme="minorHAnsi"/>
          <w:bCs/>
          <w:color w:val="000000"/>
          <w:lang w:val="en-GB" w:bidi="he-IL"/>
        </w:rPr>
        <w:t>s</w:t>
      </w:r>
      <w:r w:rsidR="009D6284" w:rsidRPr="007A114B">
        <w:rPr>
          <w:rFonts w:eastAsia="Candara" w:cstheme="minorHAnsi"/>
          <w:bCs/>
          <w:color w:val="000000"/>
          <w:lang w:val="en-GB" w:bidi="he-IL"/>
        </w:rPr>
        <w:t xml:space="preserve">urgical </w:t>
      </w:r>
      <w:r w:rsidR="00D27E83" w:rsidRPr="007A114B">
        <w:rPr>
          <w:rFonts w:eastAsia="Candara" w:cstheme="minorHAnsi"/>
          <w:bCs/>
          <w:color w:val="000000"/>
          <w:lang w:val="en-GB" w:bidi="he-IL"/>
        </w:rPr>
        <w:t>t</w:t>
      </w:r>
      <w:r w:rsidR="009D6284" w:rsidRPr="007A114B">
        <w:rPr>
          <w:rFonts w:eastAsia="Candara" w:cstheme="minorHAnsi"/>
          <w:bCs/>
          <w:color w:val="000000"/>
          <w:lang w:val="en-GB" w:bidi="he-IL"/>
        </w:rPr>
        <w:t>echniques</w:t>
      </w:r>
    </w:p>
    <w:tbl>
      <w:tblPr>
        <w:tblStyle w:val="TableGrid"/>
        <w:tblW w:w="15034" w:type="dxa"/>
        <w:jc w:val="center"/>
        <w:tblLayout w:type="fixed"/>
        <w:tblLook w:val="04A0" w:firstRow="1" w:lastRow="0" w:firstColumn="1" w:lastColumn="0" w:noHBand="0" w:noVBand="1"/>
      </w:tblPr>
      <w:tblGrid>
        <w:gridCol w:w="1418"/>
        <w:gridCol w:w="1412"/>
        <w:gridCol w:w="567"/>
        <w:gridCol w:w="993"/>
        <w:gridCol w:w="850"/>
        <w:gridCol w:w="992"/>
        <w:gridCol w:w="1134"/>
        <w:gridCol w:w="1276"/>
        <w:gridCol w:w="1985"/>
        <w:gridCol w:w="1417"/>
        <w:gridCol w:w="1701"/>
        <w:gridCol w:w="1289"/>
      </w:tblGrid>
      <w:tr w:rsidR="00673DB7" w:rsidRPr="007A114B" w14:paraId="6D42FD6A" w14:textId="77777777" w:rsidTr="00353352">
        <w:trPr>
          <w:trHeight w:val="561"/>
          <w:jc w:val="center"/>
        </w:trPr>
        <w:tc>
          <w:tcPr>
            <w:tcW w:w="1418" w:type="dxa"/>
            <w:tcBorders>
              <w:left w:val="nil"/>
              <w:bottom w:val="single" w:sz="4" w:space="0" w:color="auto"/>
              <w:right w:val="nil"/>
            </w:tcBorders>
            <w:shd w:val="pct20" w:color="auto" w:fill="auto"/>
            <w:vAlign w:val="center"/>
          </w:tcPr>
          <w:p w14:paraId="5AD22B83" w14:textId="61BBC2C6"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First Author</w:t>
            </w:r>
          </w:p>
        </w:tc>
        <w:tc>
          <w:tcPr>
            <w:tcW w:w="1412" w:type="dxa"/>
            <w:tcBorders>
              <w:left w:val="nil"/>
              <w:bottom w:val="single" w:sz="4" w:space="0" w:color="auto"/>
              <w:right w:val="nil"/>
            </w:tcBorders>
            <w:shd w:val="pct20" w:color="auto" w:fill="auto"/>
            <w:vAlign w:val="center"/>
          </w:tcPr>
          <w:p w14:paraId="4BDC35A1" w14:textId="7B2C0F33"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Journal</w:t>
            </w:r>
          </w:p>
        </w:tc>
        <w:tc>
          <w:tcPr>
            <w:tcW w:w="567" w:type="dxa"/>
            <w:tcBorders>
              <w:left w:val="nil"/>
              <w:bottom w:val="single" w:sz="4" w:space="0" w:color="auto"/>
              <w:right w:val="nil"/>
            </w:tcBorders>
            <w:shd w:val="pct20" w:color="auto" w:fill="auto"/>
            <w:vAlign w:val="center"/>
          </w:tcPr>
          <w:p w14:paraId="5A0230B0" w14:textId="64501F98"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Year</w:t>
            </w:r>
          </w:p>
        </w:tc>
        <w:tc>
          <w:tcPr>
            <w:tcW w:w="993" w:type="dxa"/>
            <w:tcBorders>
              <w:left w:val="nil"/>
              <w:bottom w:val="single" w:sz="4" w:space="0" w:color="auto"/>
              <w:right w:val="nil"/>
            </w:tcBorders>
            <w:shd w:val="pct20" w:color="auto" w:fill="auto"/>
            <w:vAlign w:val="center"/>
          </w:tcPr>
          <w:p w14:paraId="2112A98E" w14:textId="70D90506"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Level of Evidence</w:t>
            </w:r>
          </w:p>
        </w:tc>
        <w:tc>
          <w:tcPr>
            <w:tcW w:w="850" w:type="dxa"/>
            <w:tcBorders>
              <w:left w:val="nil"/>
              <w:bottom w:val="single" w:sz="4" w:space="0" w:color="auto"/>
              <w:right w:val="nil"/>
            </w:tcBorders>
            <w:shd w:val="pct20" w:color="auto" w:fill="auto"/>
            <w:vAlign w:val="center"/>
          </w:tcPr>
          <w:p w14:paraId="63FF695A" w14:textId="50A2AC38"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Nr. Patients</w:t>
            </w:r>
          </w:p>
        </w:tc>
        <w:tc>
          <w:tcPr>
            <w:tcW w:w="992" w:type="dxa"/>
            <w:tcBorders>
              <w:left w:val="nil"/>
              <w:bottom w:val="single" w:sz="4" w:space="0" w:color="auto"/>
              <w:right w:val="nil"/>
            </w:tcBorders>
            <w:shd w:val="pct20" w:color="auto" w:fill="auto"/>
            <w:vAlign w:val="center"/>
          </w:tcPr>
          <w:p w14:paraId="58798772" w14:textId="0BB5AFB2"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Nr. Hips</w:t>
            </w:r>
          </w:p>
        </w:tc>
        <w:tc>
          <w:tcPr>
            <w:tcW w:w="1134" w:type="dxa"/>
            <w:tcBorders>
              <w:left w:val="nil"/>
              <w:bottom w:val="single" w:sz="4" w:space="0" w:color="auto"/>
              <w:right w:val="nil"/>
            </w:tcBorders>
            <w:shd w:val="pct20" w:color="auto" w:fill="auto"/>
            <w:vAlign w:val="center"/>
          </w:tcPr>
          <w:p w14:paraId="494E13E1" w14:textId="542200DA" w:rsidR="00937E72" w:rsidRPr="007A114B" w:rsidRDefault="00937E72" w:rsidP="00673DB7">
            <w:pPr>
              <w:spacing w:after="120"/>
              <w:jc w:val="center"/>
              <w:rPr>
                <w:rFonts w:ascii="Calibri" w:hAnsi="Calibri" w:cs="Calibri"/>
                <w:b/>
                <w:bCs/>
                <w:color w:val="000000" w:themeColor="text1"/>
                <w:sz w:val="18"/>
                <w:szCs w:val="18"/>
                <w:lang w:val="en-GB" w:eastAsia="en-GB"/>
              </w:rPr>
            </w:pPr>
            <w:proofErr w:type="spellStart"/>
            <w:r w:rsidRPr="007A114B">
              <w:rPr>
                <w:rFonts w:ascii="Calibri" w:hAnsi="Calibri" w:cs="Calibri"/>
                <w:b/>
                <w:bCs/>
                <w:color w:val="000000" w:themeColor="text1"/>
                <w:sz w:val="18"/>
                <w:szCs w:val="18"/>
                <w:lang w:val="en-GB"/>
              </w:rPr>
              <w:t>Tönnis</w:t>
            </w:r>
            <w:proofErr w:type="spellEnd"/>
            <w:r w:rsidRPr="007A114B">
              <w:rPr>
                <w:rFonts w:ascii="Calibri" w:hAnsi="Calibri" w:cs="Calibri"/>
                <w:b/>
                <w:bCs/>
                <w:color w:val="000000" w:themeColor="text1"/>
                <w:sz w:val="18"/>
                <w:szCs w:val="18"/>
                <w:lang w:val="en-GB"/>
              </w:rPr>
              <w:t xml:space="preserve"> Staging</w:t>
            </w:r>
          </w:p>
        </w:tc>
        <w:tc>
          <w:tcPr>
            <w:tcW w:w="1276" w:type="dxa"/>
            <w:tcBorders>
              <w:left w:val="nil"/>
              <w:bottom w:val="single" w:sz="4" w:space="0" w:color="auto"/>
              <w:right w:val="nil"/>
            </w:tcBorders>
            <w:shd w:val="pct20" w:color="auto" w:fill="auto"/>
            <w:vAlign w:val="center"/>
          </w:tcPr>
          <w:p w14:paraId="535D750E" w14:textId="37878616"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Indications</w:t>
            </w:r>
          </w:p>
        </w:tc>
        <w:tc>
          <w:tcPr>
            <w:tcW w:w="1985" w:type="dxa"/>
            <w:tcBorders>
              <w:left w:val="nil"/>
              <w:bottom w:val="single" w:sz="4" w:space="0" w:color="auto"/>
              <w:right w:val="nil"/>
            </w:tcBorders>
            <w:shd w:val="pct20" w:color="auto" w:fill="auto"/>
            <w:vAlign w:val="center"/>
          </w:tcPr>
          <w:p w14:paraId="43607D84" w14:textId="5A973DEC"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Augmentation</w:t>
            </w:r>
          </w:p>
        </w:tc>
        <w:tc>
          <w:tcPr>
            <w:tcW w:w="1417" w:type="dxa"/>
            <w:tcBorders>
              <w:left w:val="nil"/>
              <w:bottom w:val="single" w:sz="4" w:space="0" w:color="auto"/>
              <w:right w:val="nil"/>
            </w:tcBorders>
            <w:shd w:val="pct20" w:color="auto" w:fill="auto"/>
            <w:vAlign w:val="center"/>
          </w:tcPr>
          <w:p w14:paraId="67BC0C37" w14:textId="73047068"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Age</w:t>
            </w:r>
          </w:p>
        </w:tc>
        <w:tc>
          <w:tcPr>
            <w:tcW w:w="1701" w:type="dxa"/>
            <w:tcBorders>
              <w:left w:val="nil"/>
              <w:bottom w:val="single" w:sz="4" w:space="0" w:color="auto"/>
              <w:right w:val="nil"/>
            </w:tcBorders>
            <w:shd w:val="pct20" w:color="auto" w:fill="auto"/>
            <w:vAlign w:val="center"/>
          </w:tcPr>
          <w:p w14:paraId="342D7CF6" w14:textId="0C593F9E"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Gender</w:t>
            </w:r>
          </w:p>
        </w:tc>
        <w:tc>
          <w:tcPr>
            <w:tcW w:w="1289" w:type="dxa"/>
            <w:tcBorders>
              <w:left w:val="nil"/>
              <w:bottom w:val="single" w:sz="4" w:space="0" w:color="auto"/>
              <w:right w:val="nil"/>
            </w:tcBorders>
            <w:shd w:val="pct20" w:color="auto" w:fill="auto"/>
            <w:vAlign w:val="center"/>
          </w:tcPr>
          <w:p w14:paraId="501FC12F" w14:textId="54D3556C" w:rsidR="00937E72" w:rsidRPr="007A114B" w:rsidRDefault="00937E72" w:rsidP="00673DB7">
            <w:pPr>
              <w:spacing w:after="120"/>
              <w:jc w:val="center"/>
              <w:rPr>
                <w:rFonts w:ascii="Calibri" w:hAnsi="Calibri" w:cs="Calibri"/>
                <w:b/>
                <w:bCs/>
                <w:color w:val="000000" w:themeColor="text1"/>
                <w:sz w:val="18"/>
                <w:szCs w:val="18"/>
                <w:lang w:val="en-GB" w:eastAsia="en-GB"/>
              </w:rPr>
            </w:pPr>
            <w:r w:rsidRPr="007A114B">
              <w:rPr>
                <w:rFonts w:ascii="Calibri" w:hAnsi="Calibri" w:cs="Calibri"/>
                <w:b/>
                <w:bCs/>
                <w:color w:val="000000" w:themeColor="text1"/>
                <w:sz w:val="18"/>
                <w:szCs w:val="18"/>
                <w:lang w:val="en-GB"/>
              </w:rPr>
              <w:t>Follow-up</w:t>
            </w:r>
          </w:p>
        </w:tc>
      </w:tr>
      <w:tr w:rsidR="009F190E" w:rsidRPr="007A114B" w14:paraId="65C18765" w14:textId="77777777" w:rsidTr="00353352">
        <w:trPr>
          <w:trHeight w:val="333"/>
          <w:jc w:val="center"/>
        </w:trPr>
        <w:tc>
          <w:tcPr>
            <w:tcW w:w="1418" w:type="dxa"/>
            <w:tcBorders>
              <w:left w:val="nil"/>
              <w:bottom w:val="nil"/>
              <w:right w:val="nil"/>
            </w:tcBorders>
            <w:vAlign w:val="center"/>
          </w:tcPr>
          <w:p w14:paraId="3E00C771" w14:textId="0EBA1FC2" w:rsidR="00673DB7" w:rsidRPr="007A114B" w:rsidRDefault="00353352"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Byrd</w:t>
            </w:r>
            <w:r w:rsidRPr="007221CC">
              <w:rPr>
                <w:rFonts w:ascii="Calibri" w:hAnsi="Calibri" w:cs="Calibri"/>
                <w:sz w:val="16"/>
                <w:szCs w:val="16"/>
                <w:lang w:val="en-GB" w:eastAsia="en-GB"/>
              </w:rPr>
              <w:fldChar w:fldCharType="begin" w:fldLock="1"/>
            </w:r>
            <w:r w:rsidR="005A2934" w:rsidRPr="007A114B">
              <w:rPr>
                <w:rFonts w:ascii="Calibri" w:hAnsi="Calibri" w:cs="Calibri"/>
                <w:sz w:val="16"/>
                <w:szCs w:val="16"/>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96506ac1-0244-4ccb-91a5-a943df2365b5"]}],"mendeley":{"formattedCitation":"&lt;sup&gt;15&lt;/sup&gt;","plainTextFormattedCitation":"15","previouslyFormattedCitation":"&lt;sup&gt;15&lt;/sup&gt;"},"properties":{"noteIndex":0},"schema":"https://github.com/citation-style-language/schema/raw/master/csl-citation.json"}</w:instrText>
            </w:r>
            <w:r w:rsidRPr="007221CC">
              <w:rPr>
                <w:rFonts w:ascii="Calibri" w:hAnsi="Calibri" w:cs="Calibri"/>
                <w:sz w:val="16"/>
                <w:szCs w:val="16"/>
                <w:lang w:val="en-GB" w:eastAsia="en-GB"/>
              </w:rPr>
              <w:fldChar w:fldCharType="separate"/>
            </w:r>
            <w:r w:rsidR="00FD0FF3" w:rsidRPr="007A114B">
              <w:rPr>
                <w:rFonts w:ascii="Calibri" w:hAnsi="Calibri" w:cs="Calibri"/>
                <w:noProof/>
                <w:sz w:val="16"/>
                <w:szCs w:val="16"/>
                <w:vertAlign w:val="superscript"/>
                <w:lang w:val="en-GB" w:eastAsia="en-GB"/>
              </w:rPr>
              <w:t>15</w:t>
            </w:r>
            <w:r w:rsidRPr="007221CC">
              <w:rPr>
                <w:rFonts w:ascii="Calibri" w:hAnsi="Calibri" w:cs="Calibri"/>
                <w:sz w:val="16"/>
                <w:szCs w:val="16"/>
                <w:lang w:val="en-GB" w:eastAsia="en-GB"/>
              </w:rPr>
              <w:fldChar w:fldCharType="end"/>
            </w:r>
          </w:p>
        </w:tc>
        <w:tc>
          <w:tcPr>
            <w:tcW w:w="1412" w:type="dxa"/>
            <w:tcBorders>
              <w:left w:val="nil"/>
              <w:bottom w:val="nil"/>
              <w:right w:val="nil"/>
            </w:tcBorders>
            <w:vAlign w:val="center"/>
          </w:tcPr>
          <w:p w14:paraId="3EEFFE50" w14:textId="21FC925B" w:rsidR="00673DB7" w:rsidRPr="007A114B" w:rsidRDefault="00673DB7" w:rsidP="00B75585">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JHPS</w:t>
            </w:r>
          </w:p>
        </w:tc>
        <w:tc>
          <w:tcPr>
            <w:tcW w:w="567" w:type="dxa"/>
            <w:tcBorders>
              <w:left w:val="nil"/>
              <w:bottom w:val="nil"/>
              <w:right w:val="nil"/>
            </w:tcBorders>
            <w:vAlign w:val="center"/>
          </w:tcPr>
          <w:p w14:paraId="17FC08C0" w14:textId="075190D3"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2018</w:t>
            </w:r>
          </w:p>
        </w:tc>
        <w:tc>
          <w:tcPr>
            <w:tcW w:w="993" w:type="dxa"/>
            <w:tcBorders>
              <w:left w:val="nil"/>
              <w:bottom w:val="nil"/>
              <w:right w:val="nil"/>
            </w:tcBorders>
            <w:vAlign w:val="center"/>
          </w:tcPr>
          <w:p w14:paraId="3AE85E61" w14:textId="789D8137"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left w:val="nil"/>
              <w:bottom w:val="nil"/>
              <w:right w:val="nil"/>
            </w:tcBorders>
            <w:vAlign w:val="center"/>
          </w:tcPr>
          <w:p w14:paraId="7F7984A7" w14:textId="06DF3E67"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45</w:t>
            </w:r>
          </w:p>
        </w:tc>
        <w:tc>
          <w:tcPr>
            <w:tcW w:w="992" w:type="dxa"/>
            <w:tcBorders>
              <w:left w:val="nil"/>
              <w:bottom w:val="nil"/>
              <w:right w:val="nil"/>
            </w:tcBorders>
            <w:vAlign w:val="center"/>
          </w:tcPr>
          <w:p w14:paraId="73E2FD91" w14:textId="6C5C01B3"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48</w:t>
            </w:r>
          </w:p>
        </w:tc>
        <w:tc>
          <w:tcPr>
            <w:tcW w:w="1134" w:type="dxa"/>
            <w:tcBorders>
              <w:left w:val="nil"/>
              <w:bottom w:val="nil"/>
              <w:right w:val="nil"/>
            </w:tcBorders>
            <w:vAlign w:val="center"/>
          </w:tcPr>
          <w:p w14:paraId="66268A1A" w14:textId="0C194FB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48 T2</w:t>
            </w:r>
          </w:p>
        </w:tc>
        <w:tc>
          <w:tcPr>
            <w:tcW w:w="1276" w:type="dxa"/>
            <w:tcBorders>
              <w:left w:val="nil"/>
              <w:bottom w:val="nil"/>
              <w:right w:val="nil"/>
            </w:tcBorders>
            <w:vAlign w:val="center"/>
          </w:tcPr>
          <w:p w14:paraId="6F8CECF8" w14:textId="65CE4F10"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left w:val="nil"/>
              <w:bottom w:val="nil"/>
              <w:right w:val="nil"/>
            </w:tcBorders>
            <w:vAlign w:val="center"/>
          </w:tcPr>
          <w:p w14:paraId="0C6BEB05" w14:textId="1BB695BC" w:rsidR="00673DB7" w:rsidRPr="007A114B" w:rsidRDefault="009D202F" w:rsidP="00B75585">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NR</w:t>
            </w:r>
          </w:p>
        </w:tc>
        <w:tc>
          <w:tcPr>
            <w:tcW w:w="1417" w:type="dxa"/>
            <w:tcBorders>
              <w:left w:val="nil"/>
              <w:bottom w:val="nil"/>
              <w:right w:val="nil"/>
            </w:tcBorders>
            <w:vAlign w:val="center"/>
          </w:tcPr>
          <w:p w14:paraId="2323DB49" w14:textId="61C6805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27 (15 - 49)</w:t>
            </w:r>
          </w:p>
        </w:tc>
        <w:tc>
          <w:tcPr>
            <w:tcW w:w="1701" w:type="dxa"/>
            <w:tcBorders>
              <w:left w:val="nil"/>
              <w:bottom w:val="nil"/>
              <w:right w:val="nil"/>
            </w:tcBorders>
            <w:vAlign w:val="center"/>
          </w:tcPr>
          <w:p w14:paraId="31A04966" w14:textId="1737351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30 M, 15 F</w:t>
            </w:r>
          </w:p>
        </w:tc>
        <w:tc>
          <w:tcPr>
            <w:tcW w:w="1289" w:type="dxa"/>
            <w:tcBorders>
              <w:left w:val="nil"/>
              <w:bottom w:val="nil"/>
              <w:right w:val="nil"/>
            </w:tcBorders>
            <w:vAlign w:val="center"/>
          </w:tcPr>
          <w:p w14:paraId="6D2CABA3" w14:textId="3BFCB43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Minimum 1 year</w:t>
            </w:r>
          </w:p>
        </w:tc>
      </w:tr>
      <w:tr w:rsidR="00D53916" w:rsidRPr="007A114B" w14:paraId="3DA8F1E8" w14:textId="77777777" w:rsidTr="00D53916">
        <w:trPr>
          <w:trHeight w:val="546"/>
          <w:jc w:val="center"/>
        </w:trPr>
        <w:tc>
          <w:tcPr>
            <w:tcW w:w="4390" w:type="dxa"/>
            <w:gridSpan w:val="4"/>
            <w:tcBorders>
              <w:top w:val="nil"/>
              <w:left w:val="nil"/>
              <w:bottom w:val="nil"/>
              <w:right w:val="nil"/>
            </w:tcBorders>
            <w:vAlign w:val="center"/>
          </w:tcPr>
          <w:p w14:paraId="219EA155" w14:textId="2FC806EA" w:rsidR="00673DB7" w:rsidRPr="007A114B" w:rsidRDefault="00673DB7" w:rsidP="00B75585">
            <w:pPr>
              <w:spacing w:after="120"/>
              <w:jc w:val="right"/>
              <w:rPr>
                <w:rFonts w:ascii="Calibri" w:hAnsi="Calibri" w:cs="Calibri"/>
                <w:sz w:val="16"/>
                <w:szCs w:val="16"/>
                <w:lang w:val="en-GB" w:eastAsia="en-GB"/>
              </w:rPr>
            </w:pPr>
            <w:r w:rsidRPr="007A114B">
              <w:rPr>
                <w:rFonts w:ascii="Calibri" w:hAnsi="Calibri" w:cs="Calibri"/>
                <w:sz w:val="16"/>
                <w:szCs w:val="16"/>
                <w:lang w:val="en-GB" w:eastAsia="en-GB"/>
              </w:rPr>
              <w:t>Control Group</w:t>
            </w:r>
          </w:p>
        </w:tc>
        <w:tc>
          <w:tcPr>
            <w:tcW w:w="850" w:type="dxa"/>
            <w:tcBorders>
              <w:top w:val="nil"/>
              <w:left w:val="nil"/>
              <w:bottom w:val="nil"/>
              <w:right w:val="nil"/>
            </w:tcBorders>
            <w:vAlign w:val="center"/>
          </w:tcPr>
          <w:p w14:paraId="5DA00555" w14:textId="2E363535"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150</w:t>
            </w:r>
          </w:p>
        </w:tc>
        <w:tc>
          <w:tcPr>
            <w:tcW w:w="992" w:type="dxa"/>
            <w:tcBorders>
              <w:top w:val="nil"/>
              <w:left w:val="nil"/>
              <w:bottom w:val="nil"/>
              <w:right w:val="nil"/>
            </w:tcBorders>
            <w:vAlign w:val="center"/>
          </w:tcPr>
          <w:p w14:paraId="5EF96458" w14:textId="61F4384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150</w:t>
            </w:r>
          </w:p>
        </w:tc>
        <w:tc>
          <w:tcPr>
            <w:tcW w:w="1134" w:type="dxa"/>
            <w:tcBorders>
              <w:top w:val="nil"/>
              <w:left w:val="nil"/>
              <w:bottom w:val="nil"/>
              <w:right w:val="nil"/>
            </w:tcBorders>
            <w:vAlign w:val="center"/>
          </w:tcPr>
          <w:p w14:paraId="208B7556" w14:textId="2F3144F7" w:rsidR="00673DB7" w:rsidRPr="007A114B" w:rsidRDefault="00673DB7" w:rsidP="00B75585">
            <w:pPr>
              <w:spacing w:after="120"/>
              <w:jc w:val="center"/>
              <w:rPr>
                <w:rFonts w:ascii="Calibri" w:hAnsi="Calibri"/>
                <w:color w:val="000000"/>
                <w:sz w:val="16"/>
                <w:szCs w:val="16"/>
                <w:lang w:val="en-GB"/>
              </w:rPr>
            </w:pPr>
            <w:r w:rsidRPr="007A114B">
              <w:rPr>
                <w:rFonts w:ascii="Calibri" w:hAnsi="Calibri"/>
                <w:color w:val="000000"/>
                <w:sz w:val="16"/>
                <w:szCs w:val="16"/>
                <w:lang w:val="en-GB"/>
              </w:rPr>
              <w:t>37 T0; 113 T1</w:t>
            </w:r>
          </w:p>
        </w:tc>
        <w:tc>
          <w:tcPr>
            <w:tcW w:w="1276" w:type="dxa"/>
            <w:tcBorders>
              <w:top w:val="nil"/>
              <w:left w:val="nil"/>
              <w:bottom w:val="nil"/>
              <w:right w:val="nil"/>
            </w:tcBorders>
            <w:vAlign w:val="center"/>
          </w:tcPr>
          <w:p w14:paraId="21213744" w14:textId="58A9E7DD"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FAI</w:t>
            </w:r>
          </w:p>
        </w:tc>
        <w:tc>
          <w:tcPr>
            <w:tcW w:w="1985" w:type="dxa"/>
            <w:tcBorders>
              <w:top w:val="nil"/>
              <w:left w:val="nil"/>
              <w:bottom w:val="nil"/>
              <w:right w:val="nil"/>
            </w:tcBorders>
            <w:vAlign w:val="center"/>
          </w:tcPr>
          <w:p w14:paraId="1251E913" w14:textId="469B124E" w:rsidR="00673DB7" w:rsidRPr="007A114B" w:rsidRDefault="009D202F" w:rsidP="00B75585">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NR</w:t>
            </w:r>
          </w:p>
        </w:tc>
        <w:tc>
          <w:tcPr>
            <w:tcW w:w="1417" w:type="dxa"/>
            <w:tcBorders>
              <w:top w:val="nil"/>
              <w:left w:val="nil"/>
              <w:bottom w:val="nil"/>
              <w:right w:val="nil"/>
            </w:tcBorders>
            <w:vAlign w:val="center"/>
          </w:tcPr>
          <w:p w14:paraId="6B67284F" w14:textId="0D7062F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30 (11 - 60)</w:t>
            </w:r>
          </w:p>
        </w:tc>
        <w:tc>
          <w:tcPr>
            <w:tcW w:w="1701" w:type="dxa"/>
            <w:tcBorders>
              <w:top w:val="nil"/>
              <w:left w:val="nil"/>
              <w:bottom w:val="nil"/>
              <w:right w:val="nil"/>
            </w:tcBorders>
            <w:vAlign w:val="center"/>
          </w:tcPr>
          <w:p w14:paraId="6F82578E" w14:textId="2B913FF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116 M; 36 F</w:t>
            </w:r>
          </w:p>
        </w:tc>
        <w:tc>
          <w:tcPr>
            <w:tcW w:w="1289" w:type="dxa"/>
            <w:tcBorders>
              <w:top w:val="nil"/>
              <w:left w:val="nil"/>
              <w:bottom w:val="nil"/>
              <w:right w:val="nil"/>
            </w:tcBorders>
            <w:vAlign w:val="center"/>
          </w:tcPr>
          <w:p w14:paraId="7665E256" w14:textId="7E500DA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Minimum 1 year</w:t>
            </w:r>
          </w:p>
        </w:tc>
      </w:tr>
      <w:tr w:rsidR="009F190E" w:rsidRPr="007A114B" w14:paraId="3314C417" w14:textId="77777777" w:rsidTr="00353352">
        <w:trPr>
          <w:trHeight w:val="775"/>
          <w:jc w:val="center"/>
        </w:trPr>
        <w:tc>
          <w:tcPr>
            <w:tcW w:w="1418" w:type="dxa"/>
            <w:tcBorders>
              <w:top w:val="nil"/>
              <w:left w:val="nil"/>
              <w:bottom w:val="nil"/>
              <w:right w:val="nil"/>
            </w:tcBorders>
            <w:vAlign w:val="center"/>
          </w:tcPr>
          <w:p w14:paraId="15552414" w14:textId="63011EB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Byrd</w:t>
            </w:r>
            <w:r w:rsidR="00353352"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mendeley":{"formattedCitation":"&lt;sup&gt;24&lt;/sup&gt;","plainTextFormattedCitation":"24","previouslyFormattedCitation":"&lt;sup&gt;24&lt;/sup&gt;"},"properties":{"noteIndex":0},"schema":"https://github.com/citation-style-language/schema/raw/master/csl-citation.json"}</w:instrText>
            </w:r>
            <w:r w:rsidR="00353352"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24</w:t>
            </w:r>
            <w:r w:rsidR="00353352"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7E55E216" w14:textId="509AFEB6" w:rsidR="00673DB7" w:rsidRPr="007A114B" w:rsidRDefault="00673DB7" w:rsidP="00B75585">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Arthroscopy</w:t>
            </w:r>
          </w:p>
        </w:tc>
        <w:tc>
          <w:tcPr>
            <w:tcW w:w="567" w:type="dxa"/>
            <w:tcBorders>
              <w:top w:val="nil"/>
              <w:left w:val="nil"/>
              <w:bottom w:val="nil"/>
              <w:right w:val="nil"/>
            </w:tcBorders>
            <w:vAlign w:val="center"/>
          </w:tcPr>
          <w:p w14:paraId="3FCF697E" w14:textId="2C6765A8"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2018</w:t>
            </w:r>
          </w:p>
        </w:tc>
        <w:tc>
          <w:tcPr>
            <w:tcW w:w="993" w:type="dxa"/>
            <w:tcBorders>
              <w:top w:val="nil"/>
              <w:left w:val="nil"/>
              <w:bottom w:val="nil"/>
              <w:right w:val="nil"/>
            </w:tcBorders>
            <w:vAlign w:val="center"/>
          </w:tcPr>
          <w:p w14:paraId="130ED839" w14:textId="3EA8D87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top w:val="nil"/>
              <w:left w:val="nil"/>
              <w:bottom w:val="nil"/>
              <w:right w:val="nil"/>
            </w:tcBorders>
            <w:vAlign w:val="center"/>
          </w:tcPr>
          <w:p w14:paraId="3B89C731" w14:textId="6379B3C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33</w:t>
            </w:r>
          </w:p>
        </w:tc>
        <w:tc>
          <w:tcPr>
            <w:tcW w:w="992" w:type="dxa"/>
            <w:tcBorders>
              <w:top w:val="nil"/>
              <w:left w:val="nil"/>
              <w:bottom w:val="nil"/>
              <w:right w:val="nil"/>
            </w:tcBorders>
            <w:vAlign w:val="center"/>
          </w:tcPr>
          <w:p w14:paraId="2FAB7D64" w14:textId="228EBE22"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33</w:t>
            </w:r>
          </w:p>
        </w:tc>
        <w:tc>
          <w:tcPr>
            <w:tcW w:w="1134" w:type="dxa"/>
            <w:tcBorders>
              <w:top w:val="nil"/>
              <w:left w:val="nil"/>
              <w:bottom w:val="nil"/>
              <w:right w:val="nil"/>
            </w:tcBorders>
            <w:vAlign w:val="center"/>
          </w:tcPr>
          <w:p w14:paraId="60F62FF4" w14:textId="40FB6FAD"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29 T2; 4 T3</w:t>
            </w:r>
          </w:p>
        </w:tc>
        <w:tc>
          <w:tcPr>
            <w:tcW w:w="1276" w:type="dxa"/>
            <w:tcBorders>
              <w:top w:val="nil"/>
              <w:left w:val="nil"/>
              <w:bottom w:val="nil"/>
              <w:right w:val="nil"/>
            </w:tcBorders>
            <w:vAlign w:val="center"/>
          </w:tcPr>
          <w:p w14:paraId="5F9AA08B" w14:textId="6552AB9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4A0DECD5" w14:textId="7FA9C4E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Microfracture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4 Acetabulum)</w:t>
            </w:r>
          </w:p>
        </w:tc>
        <w:tc>
          <w:tcPr>
            <w:tcW w:w="1417" w:type="dxa"/>
            <w:tcBorders>
              <w:top w:val="nil"/>
              <w:left w:val="nil"/>
              <w:bottom w:val="nil"/>
              <w:right w:val="nil"/>
            </w:tcBorders>
            <w:vAlign w:val="center"/>
          </w:tcPr>
          <w:p w14:paraId="13437648" w14:textId="689B257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39 (13 - 63)</w:t>
            </w:r>
          </w:p>
        </w:tc>
        <w:tc>
          <w:tcPr>
            <w:tcW w:w="1701" w:type="dxa"/>
            <w:tcBorders>
              <w:top w:val="nil"/>
              <w:left w:val="nil"/>
              <w:bottom w:val="nil"/>
              <w:right w:val="nil"/>
            </w:tcBorders>
            <w:vAlign w:val="center"/>
          </w:tcPr>
          <w:p w14:paraId="1E1D65E6" w14:textId="22F8D42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23 M, 10 F</w:t>
            </w:r>
          </w:p>
        </w:tc>
        <w:tc>
          <w:tcPr>
            <w:tcW w:w="1289" w:type="dxa"/>
            <w:tcBorders>
              <w:top w:val="nil"/>
              <w:left w:val="nil"/>
              <w:bottom w:val="nil"/>
              <w:right w:val="nil"/>
            </w:tcBorders>
            <w:vAlign w:val="center"/>
          </w:tcPr>
          <w:p w14:paraId="68DAF5CE" w14:textId="3EF04738"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Minimum 2 years</w:t>
            </w:r>
          </w:p>
        </w:tc>
      </w:tr>
      <w:tr w:rsidR="00673DB7" w:rsidRPr="007A114B" w14:paraId="68E13A93" w14:textId="77777777" w:rsidTr="00D53916">
        <w:trPr>
          <w:trHeight w:val="775"/>
          <w:jc w:val="center"/>
        </w:trPr>
        <w:tc>
          <w:tcPr>
            <w:tcW w:w="4390" w:type="dxa"/>
            <w:gridSpan w:val="4"/>
            <w:tcBorders>
              <w:top w:val="nil"/>
              <w:left w:val="nil"/>
              <w:bottom w:val="nil"/>
              <w:right w:val="nil"/>
            </w:tcBorders>
            <w:vAlign w:val="center"/>
          </w:tcPr>
          <w:p w14:paraId="0869703B" w14:textId="1A11B6C7" w:rsidR="00673DB7" w:rsidRPr="007A114B" w:rsidRDefault="00673DB7" w:rsidP="00B75585">
            <w:pPr>
              <w:spacing w:after="120"/>
              <w:jc w:val="right"/>
              <w:rPr>
                <w:rFonts w:ascii="Calibri" w:hAnsi="Calibri" w:cs="Calibri"/>
                <w:sz w:val="16"/>
                <w:szCs w:val="16"/>
                <w:lang w:val="en-GB" w:eastAsia="en-GB"/>
              </w:rPr>
            </w:pPr>
            <w:r w:rsidRPr="007A114B">
              <w:rPr>
                <w:rFonts w:ascii="Calibri" w:hAnsi="Calibri" w:cs="Calibri"/>
                <w:sz w:val="16"/>
                <w:szCs w:val="16"/>
                <w:lang w:val="en-GB" w:eastAsia="en-GB"/>
              </w:rPr>
              <w:t>Control Group</w:t>
            </w:r>
          </w:p>
        </w:tc>
        <w:tc>
          <w:tcPr>
            <w:tcW w:w="850" w:type="dxa"/>
            <w:tcBorders>
              <w:top w:val="nil"/>
              <w:left w:val="nil"/>
              <w:bottom w:val="nil"/>
              <w:right w:val="nil"/>
            </w:tcBorders>
            <w:vAlign w:val="center"/>
          </w:tcPr>
          <w:p w14:paraId="50033A4F" w14:textId="73791D2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66</w:t>
            </w:r>
          </w:p>
        </w:tc>
        <w:tc>
          <w:tcPr>
            <w:tcW w:w="992" w:type="dxa"/>
            <w:tcBorders>
              <w:top w:val="nil"/>
              <w:left w:val="nil"/>
              <w:bottom w:val="nil"/>
              <w:right w:val="nil"/>
            </w:tcBorders>
            <w:vAlign w:val="center"/>
          </w:tcPr>
          <w:p w14:paraId="26E0CF5A" w14:textId="0C101BFE"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66</w:t>
            </w:r>
          </w:p>
        </w:tc>
        <w:tc>
          <w:tcPr>
            <w:tcW w:w="1134" w:type="dxa"/>
            <w:tcBorders>
              <w:top w:val="nil"/>
              <w:left w:val="nil"/>
              <w:bottom w:val="nil"/>
              <w:right w:val="nil"/>
            </w:tcBorders>
            <w:vAlign w:val="center"/>
          </w:tcPr>
          <w:p w14:paraId="197F83B1" w14:textId="5043B0B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17 T0; 49 T1</w:t>
            </w:r>
          </w:p>
        </w:tc>
        <w:tc>
          <w:tcPr>
            <w:tcW w:w="1276" w:type="dxa"/>
            <w:tcBorders>
              <w:top w:val="nil"/>
              <w:left w:val="nil"/>
              <w:bottom w:val="nil"/>
              <w:right w:val="nil"/>
            </w:tcBorders>
            <w:vAlign w:val="center"/>
          </w:tcPr>
          <w:p w14:paraId="4BEBE887" w14:textId="6A88E9A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FAI</w:t>
            </w:r>
          </w:p>
        </w:tc>
        <w:tc>
          <w:tcPr>
            <w:tcW w:w="1985" w:type="dxa"/>
            <w:tcBorders>
              <w:top w:val="nil"/>
              <w:left w:val="nil"/>
              <w:bottom w:val="nil"/>
              <w:right w:val="nil"/>
            </w:tcBorders>
            <w:vAlign w:val="center"/>
          </w:tcPr>
          <w:p w14:paraId="34446AF8" w14:textId="2BFB64F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Microfracture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4 Acetabulum)</w:t>
            </w:r>
          </w:p>
        </w:tc>
        <w:tc>
          <w:tcPr>
            <w:tcW w:w="1417" w:type="dxa"/>
            <w:tcBorders>
              <w:top w:val="nil"/>
              <w:left w:val="nil"/>
              <w:bottom w:val="nil"/>
              <w:right w:val="nil"/>
            </w:tcBorders>
            <w:vAlign w:val="center"/>
          </w:tcPr>
          <w:p w14:paraId="3FC88376" w14:textId="4E1BE63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T0 - 33 (17 - 48); T1- 34 (16 - 76)</w:t>
            </w:r>
          </w:p>
        </w:tc>
        <w:tc>
          <w:tcPr>
            <w:tcW w:w="1701" w:type="dxa"/>
            <w:tcBorders>
              <w:top w:val="nil"/>
              <w:left w:val="nil"/>
              <w:bottom w:val="nil"/>
              <w:right w:val="nil"/>
            </w:tcBorders>
            <w:vAlign w:val="center"/>
          </w:tcPr>
          <w:p w14:paraId="66495F26" w14:textId="77777777" w:rsidR="00673DB7" w:rsidRPr="007A114B" w:rsidRDefault="00673DB7" w:rsidP="00B75585">
            <w:pPr>
              <w:spacing w:after="120"/>
              <w:jc w:val="center"/>
              <w:rPr>
                <w:rFonts w:ascii="Calibri" w:hAnsi="Calibri"/>
                <w:color w:val="000000"/>
                <w:sz w:val="16"/>
                <w:szCs w:val="16"/>
                <w:lang w:val="en-GB"/>
              </w:rPr>
            </w:pPr>
            <w:r w:rsidRPr="007A114B">
              <w:rPr>
                <w:rFonts w:ascii="Calibri" w:hAnsi="Calibri"/>
                <w:color w:val="000000"/>
                <w:sz w:val="16"/>
                <w:szCs w:val="16"/>
                <w:lang w:val="en-GB"/>
              </w:rPr>
              <w:t xml:space="preserve">T0 - 6M, 9 </w:t>
            </w:r>
            <w:proofErr w:type="gramStart"/>
            <w:r w:rsidRPr="007A114B">
              <w:rPr>
                <w:rFonts w:ascii="Calibri" w:hAnsi="Calibri"/>
                <w:color w:val="000000"/>
                <w:sz w:val="16"/>
                <w:szCs w:val="16"/>
                <w:lang w:val="en-GB"/>
              </w:rPr>
              <w:t>F;</w:t>
            </w:r>
            <w:proofErr w:type="gramEnd"/>
            <w:r w:rsidRPr="007A114B">
              <w:rPr>
                <w:rFonts w:ascii="Calibri" w:hAnsi="Calibri"/>
                <w:color w:val="000000"/>
                <w:sz w:val="16"/>
                <w:szCs w:val="16"/>
                <w:lang w:val="en-GB"/>
              </w:rPr>
              <w:t xml:space="preserve"> </w:t>
            </w:r>
          </w:p>
          <w:p w14:paraId="0A6817C4" w14:textId="02EA0188"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T1 - 36 M 13 F</w:t>
            </w:r>
          </w:p>
        </w:tc>
        <w:tc>
          <w:tcPr>
            <w:tcW w:w="1289" w:type="dxa"/>
            <w:tcBorders>
              <w:top w:val="nil"/>
              <w:left w:val="nil"/>
              <w:bottom w:val="nil"/>
              <w:right w:val="nil"/>
            </w:tcBorders>
            <w:vAlign w:val="center"/>
          </w:tcPr>
          <w:p w14:paraId="56648222" w14:textId="09D574AD"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Minimum 2 years</w:t>
            </w:r>
          </w:p>
        </w:tc>
      </w:tr>
      <w:tr w:rsidR="009F190E" w:rsidRPr="007A114B" w14:paraId="2A1B65B8" w14:textId="77777777" w:rsidTr="00353352">
        <w:trPr>
          <w:trHeight w:val="775"/>
          <w:jc w:val="center"/>
        </w:trPr>
        <w:tc>
          <w:tcPr>
            <w:tcW w:w="1418" w:type="dxa"/>
            <w:tcBorders>
              <w:top w:val="nil"/>
              <w:left w:val="nil"/>
              <w:bottom w:val="nil"/>
              <w:right w:val="nil"/>
            </w:tcBorders>
            <w:vAlign w:val="center"/>
          </w:tcPr>
          <w:p w14:paraId="23910CA5" w14:textId="47DA007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Chandrasekaran</w:t>
            </w:r>
            <w:r w:rsidR="00353352"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lt;/sup&gt;","plainTextFormattedCitation":"25","previouslyFormattedCitation":"&lt;sup&gt;25&lt;/sup&gt;"},"properties":{"noteIndex":0},"schema":"https://github.com/citation-style-language/schema/raw/master/csl-citation.json"}</w:instrText>
            </w:r>
            <w:r w:rsidR="00353352"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25</w:t>
            </w:r>
            <w:r w:rsidR="00353352"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0E9ED75B" w14:textId="0B9CF3B2" w:rsidR="00673DB7" w:rsidRPr="007A114B" w:rsidRDefault="00673DB7" w:rsidP="00B75585">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JBJS Am</w:t>
            </w:r>
          </w:p>
        </w:tc>
        <w:tc>
          <w:tcPr>
            <w:tcW w:w="567" w:type="dxa"/>
            <w:tcBorders>
              <w:top w:val="nil"/>
              <w:left w:val="nil"/>
              <w:bottom w:val="nil"/>
              <w:right w:val="nil"/>
            </w:tcBorders>
            <w:vAlign w:val="center"/>
          </w:tcPr>
          <w:p w14:paraId="7EB8877C" w14:textId="1AC6FFB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2016</w:t>
            </w:r>
          </w:p>
        </w:tc>
        <w:tc>
          <w:tcPr>
            <w:tcW w:w="993" w:type="dxa"/>
            <w:tcBorders>
              <w:top w:val="nil"/>
              <w:left w:val="nil"/>
              <w:bottom w:val="nil"/>
              <w:right w:val="nil"/>
            </w:tcBorders>
            <w:vAlign w:val="center"/>
          </w:tcPr>
          <w:p w14:paraId="0832A08D" w14:textId="47EA674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top w:val="nil"/>
              <w:left w:val="nil"/>
              <w:bottom w:val="nil"/>
              <w:right w:val="nil"/>
            </w:tcBorders>
            <w:vAlign w:val="center"/>
          </w:tcPr>
          <w:p w14:paraId="1946087B" w14:textId="5EB8222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37</w:t>
            </w:r>
          </w:p>
        </w:tc>
        <w:tc>
          <w:tcPr>
            <w:tcW w:w="992" w:type="dxa"/>
            <w:tcBorders>
              <w:top w:val="nil"/>
              <w:left w:val="nil"/>
              <w:bottom w:val="nil"/>
              <w:right w:val="nil"/>
            </w:tcBorders>
            <w:vAlign w:val="center"/>
          </w:tcPr>
          <w:p w14:paraId="2EC0268F" w14:textId="5D422FA0"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37</w:t>
            </w:r>
          </w:p>
        </w:tc>
        <w:tc>
          <w:tcPr>
            <w:tcW w:w="1134" w:type="dxa"/>
            <w:tcBorders>
              <w:top w:val="nil"/>
              <w:left w:val="nil"/>
              <w:bottom w:val="nil"/>
              <w:right w:val="nil"/>
            </w:tcBorders>
            <w:vAlign w:val="center"/>
          </w:tcPr>
          <w:p w14:paraId="1C94078E" w14:textId="3004C1C5"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37 T2</w:t>
            </w:r>
          </w:p>
        </w:tc>
        <w:tc>
          <w:tcPr>
            <w:tcW w:w="1276" w:type="dxa"/>
            <w:tcBorders>
              <w:top w:val="nil"/>
              <w:left w:val="nil"/>
              <w:bottom w:val="nil"/>
              <w:right w:val="nil"/>
            </w:tcBorders>
            <w:vAlign w:val="center"/>
          </w:tcPr>
          <w:p w14:paraId="75F290A0" w14:textId="5587948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 several concomitant BHD</w:t>
            </w:r>
          </w:p>
        </w:tc>
        <w:tc>
          <w:tcPr>
            <w:tcW w:w="1985" w:type="dxa"/>
            <w:tcBorders>
              <w:top w:val="nil"/>
              <w:left w:val="nil"/>
              <w:bottom w:val="nil"/>
              <w:right w:val="nil"/>
            </w:tcBorders>
            <w:vAlign w:val="center"/>
          </w:tcPr>
          <w:p w14:paraId="75A3333F" w14:textId="54BE9E8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Acetabular Microfracture 5/37 (T2); Femoral Head Microfracture 2/37 (T2)</w:t>
            </w:r>
          </w:p>
        </w:tc>
        <w:tc>
          <w:tcPr>
            <w:tcW w:w="1417" w:type="dxa"/>
            <w:tcBorders>
              <w:top w:val="nil"/>
              <w:left w:val="nil"/>
              <w:bottom w:val="nil"/>
              <w:right w:val="nil"/>
            </w:tcBorders>
            <w:vAlign w:val="center"/>
          </w:tcPr>
          <w:p w14:paraId="10F1F219" w14:textId="22E901C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46 (20 - 63)</w:t>
            </w:r>
          </w:p>
        </w:tc>
        <w:tc>
          <w:tcPr>
            <w:tcW w:w="1701" w:type="dxa"/>
            <w:tcBorders>
              <w:top w:val="nil"/>
              <w:left w:val="nil"/>
              <w:bottom w:val="nil"/>
              <w:right w:val="nil"/>
            </w:tcBorders>
            <w:vAlign w:val="center"/>
          </w:tcPr>
          <w:p w14:paraId="2CE16673" w14:textId="5FF58E8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22 M, 15 F</w:t>
            </w:r>
          </w:p>
        </w:tc>
        <w:tc>
          <w:tcPr>
            <w:tcW w:w="1289" w:type="dxa"/>
            <w:tcBorders>
              <w:top w:val="nil"/>
              <w:left w:val="nil"/>
              <w:bottom w:val="nil"/>
              <w:right w:val="nil"/>
            </w:tcBorders>
            <w:vAlign w:val="center"/>
          </w:tcPr>
          <w:p w14:paraId="5E241A8C" w14:textId="6A6A829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30 (20 - 62) months</w:t>
            </w:r>
          </w:p>
        </w:tc>
      </w:tr>
      <w:tr w:rsidR="00673DB7" w:rsidRPr="007A114B" w14:paraId="6E170370" w14:textId="77777777" w:rsidTr="00D53916">
        <w:trPr>
          <w:trHeight w:val="1217"/>
          <w:jc w:val="center"/>
        </w:trPr>
        <w:tc>
          <w:tcPr>
            <w:tcW w:w="4390" w:type="dxa"/>
            <w:gridSpan w:val="4"/>
            <w:tcBorders>
              <w:top w:val="nil"/>
              <w:left w:val="nil"/>
              <w:bottom w:val="nil"/>
              <w:right w:val="nil"/>
            </w:tcBorders>
            <w:vAlign w:val="center"/>
          </w:tcPr>
          <w:p w14:paraId="2A0A3679" w14:textId="1E2EBBA2" w:rsidR="00673DB7" w:rsidRPr="007A114B" w:rsidRDefault="00673DB7" w:rsidP="00B75585">
            <w:pPr>
              <w:spacing w:after="120"/>
              <w:jc w:val="right"/>
              <w:rPr>
                <w:rFonts w:ascii="Calibri" w:hAnsi="Calibri" w:cs="Calibri"/>
                <w:sz w:val="16"/>
                <w:szCs w:val="16"/>
                <w:lang w:val="en-GB" w:eastAsia="en-GB"/>
              </w:rPr>
            </w:pPr>
            <w:r w:rsidRPr="007A114B">
              <w:rPr>
                <w:rFonts w:ascii="Calibri" w:hAnsi="Calibri" w:cs="Calibri"/>
                <w:sz w:val="16"/>
                <w:szCs w:val="16"/>
                <w:lang w:val="en-GB" w:eastAsia="en-GB"/>
              </w:rPr>
              <w:t>Control Group</w:t>
            </w:r>
          </w:p>
        </w:tc>
        <w:tc>
          <w:tcPr>
            <w:tcW w:w="850" w:type="dxa"/>
            <w:tcBorders>
              <w:top w:val="nil"/>
              <w:left w:val="nil"/>
              <w:bottom w:val="nil"/>
              <w:right w:val="nil"/>
            </w:tcBorders>
            <w:vAlign w:val="center"/>
          </w:tcPr>
          <w:p w14:paraId="64D87A06" w14:textId="2F552B4E"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74</w:t>
            </w:r>
          </w:p>
        </w:tc>
        <w:tc>
          <w:tcPr>
            <w:tcW w:w="992" w:type="dxa"/>
            <w:tcBorders>
              <w:top w:val="nil"/>
              <w:left w:val="nil"/>
              <w:bottom w:val="nil"/>
              <w:right w:val="nil"/>
            </w:tcBorders>
            <w:vAlign w:val="center"/>
          </w:tcPr>
          <w:p w14:paraId="5FCE2F9D" w14:textId="3631965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74</w:t>
            </w:r>
          </w:p>
        </w:tc>
        <w:tc>
          <w:tcPr>
            <w:tcW w:w="1134" w:type="dxa"/>
            <w:tcBorders>
              <w:top w:val="nil"/>
              <w:left w:val="nil"/>
              <w:bottom w:val="nil"/>
              <w:right w:val="nil"/>
            </w:tcBorders>
            <w:vAlign w:val="center"/>
          </w:tcPr>
          <w:p w14:paraId="04058869" w14:textId="2A28F41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37 T0; 37 T1</w:t>
            </w:r>
          </w:p>
        </w:tc>
        <w:tc>
          <w:tcPr>
            <w:tcW w:w="1276" w:type="dxa"/>
            <w:tcBorders>
              <w:top w:val="nil"/>
              <w:left w:val="nil"/>
              <w:bottom w:val="nil"/>
              <w:right w:val="nil"/>
            </w:tcBorders>
            <w:vAlign w:val="center"/>
          </w:tcPr>
          <w:p w14:paraId="634EC69C" w14:textId="1276701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FAI, several concomitant BHD</w:t>
            </w:r>
          </w:p>
        </w:tc>
        <w:tc>
          <w:tcPr>
            <w:tcW w:w="1985" w:type="dxa"/>
            <w:tcBorders>
              <w:top w:val="nil"/>
              <w:left w:val="nil"/>
              <w:bottom w:val="nil"/>
              <w:right w:val="nil"/>
            </w:tcBorders>
            <w:vAlign w:val="center"/>
          </w:tcPr>
          <w:p w14:paraId="60263DCA" w14:textId="665D0E5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Labral Reconstruction - 1/37 (T0); Acetabular Microfracture - 5/37 (T0), 3/37 (T1); Femoral Head Microfracture - 1/37 (T1)</w:t>
            </w:r>
          </w:p>
        </w:tc>
        <w:tc>
          <w:tcPr>
            <w:tcW w:w="1417" w:type="dxa"/>
            <w:tcBorders>
              <w:top w:val="nil"/>
              <w:left w:val="nil"/>
              <w:bottom w:val="nil"/>
              <w:right w:val="nil"/>
            </w:tcBorders>
            <w:vAlign w:val="center"/>
          </w:tcPr>
          <w:p w14:paraId="361D5689" w14:textId="642DC370"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45 (20 - 63) - T0; 46 (17 - 67) - T1</w:t>
            </w:r>
          </w:p>
        </w:tc>
        <w:tc>
          <w:tcPr>
            <w:tcW w:w="1701" w:type="dxa"/>
            <w:tcBorders>
              <w:top w:val="nil"/>
              <w:left w:val="nil"/>
              <w:bottom w:val="nil"/>
              <w:right w:val="nil"/>
            </w:tcBorders>
            <w:vAlign w:val="center"/>
          </w:tcPr>
          <w:p w14:paraId="1E8D8BAE" w14:textId="4AAF987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22 M, 15 F (both for T0 and T1 - matched)</w:t>
            </w:r>
          </w:p>
        </w:tc>
        <w:tc>
          <w:tcPr>
            <w:tcW w:w="1289" w:type="dxa"/>
            <w:tcBorders>
              <w:top w:val="nil"/>
              <w:left w:val="nil"/>
              <w:bottom w:val="nil"/>
              <w:right w:val="nil"/>
            </w:tcBorders>
            <w:vAlign w:val="center"/>
          </w:tcPr>
          <w:p w14:paraId="373457BF" w14:textId="4D792C4D"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32 (22 - 64)</w:t>
            </w:r>
          </w:p>
        </w:tc>
      </w:tr>
      <w:tr w:rsidR="009F190E" w:rsidRPr="007A114B" w14:paraId="0A0268A6" w14:textId="77777777" w:rsidTr="00353352">
        <w:trPr>
          <w:trHeight w:val="153"/>
          <w:jc w:val="center"/>
        </w:trPr>
        <w:tc>
          <w:tcPr>
            <w:tcW w:w="1418" w:type="dxa"/>
            <w:tcBorders>
              <w:top w:val="nil"/>
              <w:left w:val="nil"/>
              <w:bottom w:val="nil"/>
              <w:right w:val="nil"/>
            </w:tcBorders>
            <w:vAlign w:val="center"/>
          </w:tcPr>
          <w:p w14:paraId="03EBE3B7" w14:textId="3D2D32C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Comba</w:t>
            </w:r>
            <w:r w:rsidR="003755F4"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journal","id":"ITEM-1","issue":"3","issued":{"date-parts":[["2016"]]},"language":"eng","page":"317-323","title":"Joint preservation after hip arthroscopy in patients with FAI. Prospective analysis  with a minimum follow-up of seven years.","type":"article-journal","volume":"6"},"uris":["http://www.mendeley.com/documents/?uuid=02bbbb1b-5b7e-48ac-a558-094f38db259c"]}],"mendeley":{"formattedCitation":"&lt;sup&gt;29&lt;/sup&gt;","plainTextFormattedCitation":"29","previouslyFormattedCitation":"&lt;sup&gt;29&lt;/sup&gt;"},"properties":{"noteIndex":0},"schema":"https://github.com/citation-style-language/schema/raw/master/csl-citation.json"}</w:instrText>
            </w:r>
            <w:r w:rsidR="003755F4"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29</w:t>
            </w:r>
            <w:r w:rsidR="003755F4"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0B8B990F" w14:textId="67760F33" w:rsidR="00673DB7" w:rsidRPr="007A114B" w:rsidRDefault="00673DB7" w:rsidP="00B75585">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Muscle, Ligaments and Tendons J</w:t>
            </w:r>
          </w:p>
        </w:tc>
        <w:tc>
          <w:tcPr>
            <w:tcW w:w="567" w:type="dxa"/>
            <w:tcBorders>
              <w:top w:val="nil"/>
              <w:left w:val="nil"/>
              <w:bottom w:val="nil"/>
              <w:right w:val="nil"/>
            </w:tcBorders>
            <w:vAlign w:val="center"/>
          </w:tcPr>
          <w:p w14:paraId="057B830F" w14:textId="336D57C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2016</w:t>
            </w:r>
          </w:p>
        </w:tc>
        <w:tc>
          <w:tcPr>
            <w:tcW w:w="993" w:type="dxa"/>
            <w:tcBorders>
              <w:top w:val="nil"/>
              <w:left w:val="nil"/>
              <w:bottom w:val="nil"/>
              <w:right w:val="nil"/>
            </w:tcBorders>
            <w:vAlign w:val="center"/>
          </w:tcPr>
          <w:p w14:paraId="6E5F892C" w14:textId="644F9A41"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IV</w:t>
            </w:r>
          </w:p>
        </w:tc>
        <w:tc>
          <w:tcPr>
            <w:tcW w:w="850" w:type="dxa"/>
            <w:tcBorders>
              <w:top w:val="nil"/>
              <w:left w:val="nil"/>
              <w:bottom w:val="nil"/>
              <w:right w:val="nil"/>
            </w:tcBorders>
            <w:vAlign w:val="center"/>
          </w:tcPr>
          <w:p w14:paraId="621E5C10" w14:textId="62D6F295"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15</w:t>
            </w:r>
          </w:p>
        </w:tc>
        <w:tc>
          <w:tcPr>
            <w:tcW w:w="992" w:type="dxa"/>
            <w:tcBorders>
              <w:top w:val="nil"/>
              <w:left w:val="nil"/>
              <w:bottom w:val="nil"/>
              <w:right w:val="nil"/>
            </w:tcBorders>
            <w:vAlign w:val="center"/>
          </w:tcPr>
          <w:p w14:paraId="41BEAE0D" w14:textId="17E168A2"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15</w:t>
            </w:r>
          </w:p>
        </w:tc>
        <w:tc>
          <w:tcPr>
            <w:tcW w:w="1134" w:type="dxa"/>
            <w:tcBorders>
              <w:top w:val="nil"/>
              <w:left w:val="nil"/>
              <w:bottom w:val="nil"/>
              <w:right w:val="nil"/>
            </w:tcBorders>
            <w:vAlign w:val="center"/>
          </w:tcPr>
          <w:p w14:paraId="4B27F333" w14:textId="1E9F8E4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 T2; 4 T3</w:t>
            </w:r>
          </w:p>
        </w:tc>
        <w:tc>
          <w:tcPr>
            <w:tcW w:w="1276" w:type="dxa"/>
            <w:tcBorders>
              <w:top w:val="nil"/>
              <w:left w:val="nil"/>
              <w:bottom w:val="nil"/>
              <w:right w:val="nil"/>
            </w:tcBorders>
            <w:vAlign w:val="center"/>
          </w:tcPr>
          <w:p w14:paraId="56A9DA7F" w14:textId="2A5E3D25"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4D30145A" w14:textId="2E53B9A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4 (n=3)</w:t>
            </w:r>
          </w:p>
        </w:tc>
        <w:tc>
          <w:tcPr>
            <w:tcW w:w="1417" w:type="dxa"/>
            <w:tcBorders>
              <w:top w:val="nil"/>
              <w:left w:val="nil"/>
              <w:bottom w:val="nil"/>
              <w:right w:val="nil"/>
            </w:tcBorders>
            <w:vAlign w:val="center"/>
          </w:tcPr>
          <w:p w14:paraId="48898ED8" w14:textId="13211D73"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42 (31 - 56)</w:t>
            </w:r>
          </w:p>
        </w:tc>
        <w:tc>
          <w:tcPr>
            <w:tcW w:w="1701" w:type="dxa"/>
            <w:tcBorders>
              <w:top w:val="nil"/>
              <w:left w:val="nil"/>
              <w:bottom w:val="nil"/>
              <w:right w:val="nil"/>
            </w:tcBorders>
            <w:vAlign w:val="center"/>
          </w:tcPr>
          <w:p w14:paraId="6039DF9D" w14:textId="78736D89"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12 M, 3 F</w:t>
            </w:r>
          </w:p>
        </w:tc>
        <w:tc>
          <w:tcPr>
            <w:tcW w:w="1289" w:type="dxa"/>
            <w:tcBorders>
              <w:top w:val="nil"/>
              <w:left w:val="nil"/>
              <w:bottom w:val="nil"/>
              <w:right w:val="nil"/>
            </w:tcBorders>
            <w:vAlign w:val="center"/>
          </w:tcPr>
          <w:p w14:paraId="27448080" w14:textId="7F3E19C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84 months</w:t>
            </w:r>
          </w:p>
        </w:tc>
      </w:tr>
      <w:tr w:rsidR="00283A56" w:rsidRPr="007A114B" w14:paraId="3666F59C" w14:textId="77777777" w:rsidTr="00353352">
        <w:trPr>
          <w:trHeight w:val="546"/>
          <w:jc w:val="center"/>
        </w:trPr>
        <w:tc>
          <w:tcPr>
            <w:tcW w:w="1418" w:type="dxa"/>
            <w:tcBorders>
              <w:top w:val="nil"/>
              <w:left w:val="nil"/>
              <w:bottom w:val="nil"/>
              <w:right w:val="nil"/>
            </w:tcBorders>
            <w:vAlign w:val="center"/>
          </w:tcPr>
          <w:p w14:paraId="197559FC" w14:textId="30494472"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Dall’Oca</w:t>
            </w:r>
            <w:r w:rsidR="003755F4"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Parmensis","id":"ITEM-1","issued":{"date-parts":[["2016","4"]]},"language":"eng","page":"46-52","publisher-place":"Italy","title":"Hip arthroscopy in osteoarthritis consequent to FAI.","type":"article-journal","volume":"87 Suppl 1"},"uris":["http://www.mendeley.com/documents/?uuid=82e72403-c488-4591-b988-0bd8df2431a0"]}],"mendeley":{"formattedCitation":"&lt;sup&gt;30&lt;/sup&gt;","plainTextFormattedCitation":"30","previouslyFormattedCitation":"&lt;sup&gt;30&lt;/sup&gt;"},"properties":{"noteIndex":0},"schema":"https://github.com/citation-style-language/schema/raw/master/csl-citation.json"}</w:instrText>
            </w:r>
            <w:r w:rsidR="003755F4"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30</w:t>
            </w:r>
            <w:r w:rsidR="003755F4"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4609DC6F" w14:textId="564EDA00" w:rsidR="00283A56" w:rsidRPr="007A114B" w:rsidRDefault="00283A56" w:rsidP="00283A56">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Acta Biomed</w:t>
            </w:r>
          </w:p>
        </w:tc>
        <w:tc>
          <w:tcPr>
            <w:tcW w:w="567" w:type="dxa"/>
            <w:tcBorders>
              <w:top w:val="nil"/>
              <w:left w:val="nil"/>
              <w:bottom w:val="nil"/>
              <w:right w:val="nil"/>
            </w:tcBorders>
            <w:vAlign w:val="center"/>
          </w:tcPr>
          <w:p w14:paraId="035A5788" w14:textId="6E3DCF09"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2016</w:t>
            </w:r>
          </w:p>
        </w:tc>
        <w:tc>
          <w:tcPr>
            <w:tcW w:w="993" w:type="dxa"/>
            <w:tcBorders>
              <w:top w:val="nil"/>
              <w:left w:val="nil"/>
              <w:bottom w:val="nil"/>
              <w:right w:val="nil"/>
            </w:tcBorders>
            <w:vAlign w:val="center"/>
          </w:tcPr>
          <w:p w14:paraId="3BDCC1A4" w14:textId="3C281F35"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IV</w:t>
            </w:r>
          </w:p>
        </w:tc>
        <w:tc>
          <w:tcPr>
            <w:tcW w:w="850" w:type="dxa"/>
            <w:tcBorders>
              <w:top w:val="nil"/>
              <w:left w:val="nil"/>
              <w:bottom w:val="nil"/>
              <w:right w:val="nil"/>
            </w:tcBorders>
            <w:vAlign w:val="center"/>
          </w:tcPr>
          <w:p w14:paraId="1EFD8420" w14:textId="6B251AE3"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13</w:t>
            </w:r>
          </w:p>
        </w:tc>
        <w:tc>
          <w:tcPr>
            <w:tcW w:w="992" w:type="dxa"/>
            <w:tcBorders>
              <w:top w:val="nil"/>
              <w:left w:val="nil"/>
              <w:bottom w:val="nil"/>
              <w:right w:val="nil"/>
            </w:tcBorders>
            <w:vAlign w:val="center"/>
          </w:tcPr>
          <w:p w14:paraId="7EC28767" w14:textId="3D77DF2D"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13</w:t>
            </w:r>
          </w:p>
        </w:tc>
        <w:tc>
          <w:tcPr>
            <w:tcW w:w="1134" w:type="dxa"/>
            <w:tcBorders>
              <w:top w:val="nil"/>
              <w:left w:val="nil"/>
              <w:bottom w:val="nil"/>
              <w:right w:val="nil"/>
            </w:tcBorders>
            <w:vAlign w:val="center"/>
          </w:tcPr>
          <w:p w14:paraId="07D17B13" w14:textId="0C7E4B70"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13 T2</w:t>
            </w:r>
          </w:p>
        </w:tc>
        <w:tc>
          <w:tcPr>
            <w:tcW w:w="1276" w:type="dxa"/>
            <w:tcBorders>
              <w:top w:val="nil"/>
              <w:left w:val="nil"/>
              <w:bottom w:val="nil"/>
              <w:right w:val="nil"/>
            </w:tcBorders>
            <w:vAlign w:val="center"/>
          </w:tcPr>
          <w:p w14:paraId="0A6B36BC" w14:textId="7C5C85BC"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4E1F91EE" w14:textId="4A80F47D"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4</w:t>
            </w:r>
          </w:p>
        </w:tc>
        <w:tc>
          <w:tcPr>
            <w:tcW w:w="1417" w:type="dxa"/>
            <w:tcBorders>
              <w:top w:val="nil"/>
              <w:left w:val="nil"/>
              <w:bottom w:val="nil"/>
              <w:right w:val="nil"/>
            </w:tcBorders>
            <w:vAlign w:val="center"/>
          </w:tcPr>
          <w:p w14:paraId="2C2E23D0" w14:textId="2A1C3BBD"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701" w:type="dxa"/>
            <w:tcBorders>
              <w:top w:val="nil"/>
              <w:left w:val="nil"/>
              <w:bottom w:val="nil"/>
              <w:right w:val="nil"/>
            </w:tcBorders>
            <w:vAlign w:val="center"/>
          </w:tcPr>
          <w:p w14:paraId="0120BFED" w14:textId="58D0ADF5"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nil"/>
              <w:right w:val="nil"/>
            </w:tcBorders>
            <w:vAlign w:val="center"/>
          </w:tcPr>
          <w:p w14:paraId="606FA703" w14:textId="670C9EC2"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12 months</w:t>
            </w:r>
          </w:p>
        </w:tc>
      </w:tr>
      <w:tr w:rsidR="009D202F" w:rsidRPr="007A114B" w14:paraId="5BDB6213" w14:textId="77777777" w:rsidTr="00CF225D">
        <w:trPr>
          <w:trHeight w:val="775"/>
          <w:jc w:val="center"/>
        </w:trPr>
        <w:tc>
          <w:tcPr>
            <w:tcW w:w="1418" w:type="dxa"/>
            <w:tcBorders>
              <w:top w:val="nil"/>
              <w:left w:val="nil"/>
              <w:bottom w:val="nil"/>
              <w:right w:val="nil"/>
            </w:tcBorders>
            <w:vAlign w:val="center"/>
          </w:tcPr>
          <w:p w14:paraId="26E9269C" w14:textId="1EBBB920"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Giordano</w:t>
            </w:r>
            <w:r w:rsidRPr="007221CC">
              <w:rPr>
                <w:rFonts w:ascii="Calibri" w:hAnsi="Calibri" w:cs="Calibri"/>
                <w:sz w:val="16"/>
                <w:szCs w:val="16"/>
                <w:lang w:val="en-GB" w:eastAsia="en-GB"/>
              </w:rPr>
              <w:fldChar w:fldCharType="begin" w:fldLock="1"/>
            </w:r>
            <w:r w:rsidRPr="007A114B">
              <w:rPr>
                <w:rFonts w:ascii="Calibri" w:hAnsi="Calibri" w:cs="Calibri"/>
                <w:sz w:val="16"/>
                <w:szCs w:val="16"/>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mendeley":{"formattedCitation":"&lt;sup&gt;28&lt;/sup&gt;","plainTextFormattedCitation":"28","previouslyFormattedCitation":"&lt;sup&gt;28&lt;/sup&gt;"},"properties":{"noteIndex":0},"schema":"https://github.com/citation-style-language/schema/raw/master/csl-citation.json"}</w:instrText>
            </w:r>
            <w:r w:rsidRPr="007221CC">
              <w:rPr>
                <w:rFonts w:ascii="Calibri" w:hAnsi="Calibri" w:cs="Calibri"/>
                <w:sz w:val="16"/>
                <w:szCs w:val="16"/>
                <w:lang w:val="en-GB" w:eastAsia="en-GB"/>
              </w:rPr>
              <w:fldChar w:fldCharType="separate"/>
            </w:r>
            <w:r w:rsidRPr="007A114B">
              <w:rPr>
                <w:rFonts w:ascii="Calibri" w:hAnsi="Calibri" w:cs="Calibri"/>
                <w:noProof/>
                <w:sz w:val="16"/>
                <w:szCs w:val="16"/>
                <w:vertAlign w:val="superscript"/>
                <w:lang w:val="en-GB" w:eastAsia="en-GB"/>
              </w:rPr>
              <w:t>28</w:t>
            </w:r>
            <w:r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597AE658" w14:textId="38C3490C" w:rsidR="009D202F" w:rsidRPr="007A114B" w:rsidRDefault="009D202F" w:rsidP="009D202F">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AJSM</w:t>
            </w:r>
          </w:p>
        </w:tc>
        <w:tc>
          <w:tcPr>
            <w:tcW w:w="567" w:type="dxa"/>
            <w:tcBorders>
              <w:top w:val="nil"/>
              <w:left w:val="nil"/>
              <w:bottom w:val="nil"/>
              <w:right w:val="nil"/>
            </w:tcBorders>
            <w:vAlign w:val="center"/>
          </w:tcPr>
          <w:p w14:paraId="5AE3963C" w14:textId="275A9C69"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2019</w:t>
            </w:r>
          </w:p>
        </w:tc>
        <w:tc>
          <w:tcPr>
            <w:tcW w:w="993" w:type="dxa"/>
            <w:tcBorders>
              <w:top w:val="nil"/>
              <w:left w:val="nil"/>
              <w:bottom w:val="nil"/>
              <w:right w:val="nil"/>
            </w:tcBorders>
            <w:vAlign w:val="center"/>
          </w:tcPr>
          <w:p w14:paraId="68075496" w14:textId="2C221869"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top w:val="nil"/>
              <w:left w:val="nil"/>
              <w:bottom w:val="nil"/>
              <w:right w:val="nil"/>
            </w:tcBorders>
            <w:vAlign w:val="center"/>
          </w:tcPr>
          <w:p w14:paraId="7C44E1B2" w14:textId="098571B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not reported</w:t>
            </w:r>
          </w:p>
        </w:tc>
        <w:tc>
          <w:tcPr>
            <w:tcW w:w="992" w:type="dxa"/>
            <w:tcBorders>
              <w:top w:val="nil"/>
              <w:left w:val="nil"/>
              <w:bottom w:val="nil"/>
              <w:right w:val="nil"/>
            </w:tcBorders>
            <w:vAlign w:val="center"/>
          </w:tcPr>
          <w:p w14:paraId="79935662" w14:textId="3AB99066"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10</w:t>
            </w:r>
          </w:p>
        </w:tc>
        <w:tc>
          <w:tcPr>
            <w:tcW w:w="1134" w:type="dxa"/>
            <w:tcBorders>
              <w:top w:val="nil"/>
              <w:left w:val="nil"/>
              <w:bottom w:val="nil"/>
              <w:right w:val="nil"/>
            </w:tcBorders>
            <w:vAlign w:val="center"/>
          </w:tcPr>
          <w:p w14:paraId="2465DD06" w14:textId="6420D1A4"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10 T2</w:t>
            </w:r>
          </w:p>
        </w:tc>
        <w:tc>
          <w:tcPr>
            <w:tcW w:w="1276" w:type="dxa"/>
            <w:tcBorders>
              <w:top w:val="nil"/>
              <w:left w:val="nil"/>
              <w:bottom w:val="nil"/>
              <w:right w:val="nil"/>
            </w:tcBorders>
            <w:vAlign w:val="center"/>
          </w:tcPr>
          <w:p w14:paraId="72DCE68D" w14:textId="04838093"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 including Dysplasia (n=3) and BHD (n=1)</w:t>
            </w:r>
          </w:p>
        </w:tc>
        <w:tc>
          <w:tcPr>
            <w:tcW w:w="1985" w:type="dxa"/>
            <w:tcBorders>
              <w:top w:val="nil"/>
              <w:left w:val="nil"/>
              <w:bottom w:val="nil"/>
              <w:right w:val="nil"/>
            </w:tcBorders>
          </w:tcPr>
          <w:p w14:paraId="1F8591FB" w14:textId="461A1F57"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NR</w:t>
            </w:r>
          </w:p>
        </w:tc>
        <w:tc>
          <w:tcPr>
            <w:tcW w:w="1417" w:type="dxa"/>
            <w:tcBorders>
              <w:top w:val="nil"/>
              <w:left w:val="nil"/>
              <w:bottom w:val="nil"/>
              <w:right w:val="nil"/>
            </w:tcBorders>
            <w:vAlign w:val="center"/>
          </w:tcPr>
          <w:p w14:paraId="623E0D3E" w14:textId="00598611"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701" w:type="dxa"/>
            <w:tcBorders>
              <w:top w:val="nil"/>
              <w:left w:val="nil"/>
              <w:bottom w:val="nil"/>
              <w:right w:val="nil"/>
            </w:tcBorders>
            <w:vAlign w:val="center"/>
          </w:tcPr>
          <w:p w14:paraId="018EF32C" w14:textId="3758A70C"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nil"/>
              <w:right w:val="nil"/>
            </w:tcBorders>
            <w:vAlign w:val="center"/>
          </w:tcPr>
          <w:p w14:paraId="641384D2" w14:textId="65B69B48"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75 </w:t>
            </w:r>
            <w:r w:rsidRPr="007A114B">
              <w:rPr>
                <w:rFonts w:ascii="Calibri" w:hAnsi="Calibri"/>
                <w:color w:val="000000"/>
                <w:sz w:val="18"/>
                <w:szCs w:val="18"/>
                <w:lang w:val="en-GB"/>
              </w:rPr>
              <w:t xml:space="preserve">± </w:t>
            </w:r>
            <w:r w:rsidRPr="007A114B">
              <w:rPr>
                <w:rFonts w:ascii="Calibri" w:hAnsi="Calibri"/>
                <w:color w:val="000000"/>
                <w:sz w:val="16"/>
                <w:szCs w:val="16"/>
                <w:lang w:val="en-GB"/>
              </w:rPr>
              <w:t>13 months</w:t>
            </w:r>
          </w:p>
        </w:tc>
      </w:tr>
      <w:tr w:rsidR="009D202F" w:rsidRPr="007A114B" w14:paraId="520AC611" w14:textId="77777777" w:rsidTr="00CF225D">
        <w:trPr>
          <w:trHeight w:val="561"/>
          <w:jc w:val="center"/>
        </w:trPr>
        <w:tc>
          <w:tcPr>
            <w:tcW w:w="1418" w:type="dxa"/>
            <w:tcBorders>
              <w:top w:val="nil"/>
              <w:left w:val="nil"/>
              <w:bottom w:val="nil"/>
              <w:right w:val="nil"/>
            </w:tcBorders>
            <w:vAlign w:val="center"/>
          </w:tcPr>
          <w:p w14:paraId="0A4E6CE4" w14:textId="1AE5777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Hevesi</w:t>
            </w:r>
            <w:r w:rsidRPr="007221CC">
              <w:rPr>
                <w:rFonts w:ascii="Calibri" w:hAnsi="Calibri" w:cs="Calibri"/>
                <w:sz w:val="16"/>
                <w:szCs w:val="16"/>
                <w:lang w:val="en-GB" w:eastAsia="en-GB"/>
              </w:rPr>
              <w:fldChar w:fldCharType="begin" w:fldLock="1"/>
            </w:r>
            <w:r w:rsidRPr="007A114B">
              <w:rPr>
                <w:rFonts w:ascii="Calibri" w:hAnsi="Calibri" w:cs="Calibri"/>
                <w:sz w:val="16"/>
                <w:szCs w:val="16"/>
                <w:lang w:val="en-GB" w:eastAsia="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8f8eac7f-70a7-410a-a4cc-a0e67969f6bc"]}],"mendeley":{"formattedCitation":"&lt;sup&gt;27&lt;/sup&gt;","plainTextFormattedCitation":"27","previouslyFormattedCitation":"&lt;sup&gt;27&lt;/sup&gt;"},"properties":{"noteIndex":0},"schema":"https://github.com/citation-style-language/schema/raw/master/csl-citation.json"}</w:instrText>
            </w:r>
            <w:r w:rsidRPr="007221CC">
              <w:rPr>
                <w:rFonts w:ascii="Calibri" w:hAnsi="Calibri" w:cs="Calibri"/>
                <w:sz w:val="16"/>
                <w:szCs w:val="16"/>
                <w:lang w:val="en-GB" w:eastAsia="en-GB"/>
              </w:rPr>
              <w:fldChar w:fldCharType="separate"/>
            </w:r>
            <w:r w:rsidRPr="007A114B">
              <w:rPr>
                <w:rFonts w:ascii="Calibri" w:hAnsi="Calibri" w:cs="Calibri"/>
                <w:noProof/>
                <w:sz w:val="16"/>
                <w:szCs w:val="16"/>
                <w:vertAlign w:val="superscript"/>
                <w:lang w:val="en-GB" w:eastAsia="en-GB"/>
              </w:rPr>
              <w:t>27</w:t>
            </w:r>
            <w:r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7DB40F36" w14:textId="673A6ABD" w:rsidR="009D202F" w:rsidRPr="007A114B" w:rsidRDefault="009D202F" w:rsidP="009D202F">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AJSM</w:t>
            </w:r>
          </w:p>
        </w:tc>
        <w:tc>
          <w:tcPr>
            <w:tcW w:w="567" w:type="dxa"/>
            <w:tcBorders>
              <w:top w:val="nil"/>
              <w:left w:val="nil"/>
              <w:bottom w:val="nil"/>
              <w:right w:val="nil"/>
            </w:tcBorders>
            <w:vAlign w:val="center"/>
          </w:tcPr>
          <w:p w14:paraId="7FB88725" w14:textId="6E81BA7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2017</w:t>
            </w:r>
          </w:p>
        </w:tc>
        <w:tc>
          <w:tcPr>
            <w:tcW w:w="993" w:type="dxa"/>
            <w:tcBorders>
              <w:top w:val="nil"/>
              <w:left w:val="nil"/>
              <w:bottom w:val="nil"/>
              <w:right w:val="nil"/>
            </w:tcBorders>
            <w:vAlign w:val="center"/>
          </w:tcPr>
          <w:p w14:paraId="65259272" w14:textId="4AED5F6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top w:val="nil"/>
              <w:left w:val="nil"/>
              <w:bottom w:val="nil"/>
              <w:right w:val="nil"/>
            </w:tcBorders>
            <w:vAlign w:val="center"/>
          </w:tcPr>
          <w:p w14:paraId="6D7010EE" w14:textId="5F689867"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not reported</w:t>
            </w:r>
          </w:p>
        </w:tc>
        <w:tc>
          <w:tcPr>
            <w:tcW w:w="992" w:type="dxa"/>
            <w:tcBorders>
              <w:top w:val="nil"/>
              <w:left w:val="nil"/>
              <w:bottom w:val="nil"/>
              <w:right w:val="nil"/>
            </w:tcBorders>
            <w:vAlign w:val="center"/>
          </w:tcPr>
          <w:p w14:paraId="7F465B6A" w14:textId="7BE564BB"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w:t>
            </w:r>
          </w:p>
        </w:tc>
        <w:tc>
          <w:tcPr>
            <w:tcW w:w="1134" w:type="dxa"/>
            <w:tcBorders>
              <w:top w:val="nil"/>
              <w:left w:val="nil"/>
              <w:bottom w:val="nil"/>
              <w:right w:val="nil"/>
            </w:tcBorders>
            <w:vAlign w:val="center"/>
          </w:tcPr>
          <w:p w14:paraId="492DF382" w14:textId="5A176521"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 T2</w:t>
            </w:r>
          </w:p>
        </w:tc>
        <w:tc>
          <w:tcPr>
            <w:tcW w:w="1276" w:type="dxa"/>
            <w:tcBorders>
              <w:top w:val="nil"/>
              <w:left w:val="nil"/>
              <w:bottom w:val="nil"/>
              <w:right w:val="nil"/>
            </w:tcBorders>
            <w:vAlign w:val="center"/>
          </w:tcPr>
          <w:p w14:paraId="02E3A1C4" w14:textId="5F2733E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 and labral tears</w:t>
            </w:r>
          </w:p>
        </w:tc>
        <w:tc>
          <w:tcPr>
            <w:tcW w:w="1985" w:type="dxa"/>
            <w:tcBorders>
              <w:top w:val="nil"/>
              <w:left w:val="nil"/>
              <w:bottom w:val="nil"/>
              <w:right w:val="nil"/>
            </w:tcBorders>
          </w:tcPr>
          <w:p w14:paraId="71C18004" w14:textId="733120BF"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NR</w:t>
            </w:r>
          </w:p>
        </w:tc>
        <w:tc>
          <w:tcPr>
            <w:tcW w:w="1417" w:type="dxa"/>
            <w:tcBorders>
              <w:top w:val="nil"/>
              <w:left w:val="nil"/>
              <w:bottom w:val="nil"/>
              <w:right w:val="nil"/>
            </w:tcBorders>
            <w:vAlign w:val="center"/>
          </w:tcPr>
          <w:p w14:paraId="275912EB" w14:textId="0B44D137"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701" w:type="dxa"/>
            <w:tcBorders>
              <w:top w:val="nil"/>
              <w:left w:val="nil"/>
              <w:bottom w:val="nil"/>
              <w:right w:val="nil"/>
            </w:tcBorders>
            <w:vAlign w:val="center"/>
          </w:tcPr>
          <w:p w14:paraId="1F377659" w14:textId="18CC32EC"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nil"/>
              <w:right w:val="nil"/>
            </w:tcBorders>
            <w:vAlign w:val="center"/>
          </w:tcPr>
          <w:p w14:paraId="2DC3F7EB" w14:textId="3A7B2B6A" w:rsidR="009D202F" w:rsidRPr="007A114B" w:rsidRDefault="009D202F" w:rsidP="009D202F">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5 years</w:t>
            </w:r>
          </w:p>
        </w:tc>
      </w:tr>
      <w:tr w:rsidR="00283A56" w:rsidRPr="007A114B" w14:paraId="4EAB033E" w14:textId="77777777" w:rsidTr="00353352">
        <w:trPr>
          <w:trHeight w:val="546"/>
          <w:jc w:val="center"/>
        </w:trPr>
        <w:tc>
          <w:tcPr>
            <w:tcW w:w="1418" w:type="dxa"/>
            <w:tcBorders>
              <w:top w:val="nil"/>
              <w:left w:val="nil"/>
              <w:bottom w:val="nil"/>
              <w:right w:val="nil"/>
            </w:tcBorders>
            <w:vAlign w:val="center"/>
          </w:tcPr>
          <w:p w14:paraId="025D4FE6" w14:textId="64736785"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Horisberger</w:t>
            </w:r>
            <w:r w:rsidR="001D153C"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research","id":"ITEM-1","issue":"1","issued":{"date-parts":[["2010","1"]]},"language":"eng","page":"182-190","title":"Arthroscopic treatment of femoroacetabular impingement of the hip: a new technique  to access the joint.","type":"article-journal","volume":"468"},"uris":["http://www.mendeley.com/documents/?uuid=71f278fb-f1f0-4a0c-9118-bc2ae070408a"]}],"mendeley":{"formattedCitation":"&lt;sup&gt;32&lt;/sup&gt;","plainTextFormattedCitation":"32","previouslyFormattedCitation":"&lt;sup&gt;32&lt;/sup&gt;"},"properties":{"noteIndex":0},"schema":"https://github.com/citation-style-language/schema/raw/master/csl-citation.json"}</w:instrText>
            </w:r>
            <w:r w:rsidR="001D153C"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32</w:t>
            </w:r>
            <w:r w:rsidR="001D153C"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50CED63D" w14:textId="305FE0C5" w:rsidR="00283A56" w:rsidRPr="007A114B" w:rsidRDefault="00283A56" w:rsidP="00283A56">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CORR</w:t>
            </w:r>
          </w:p>
        </w:tc>
        <w:tc>
          <w:tcPr>
            <w:tcW w:w="567" w:type="dxa"/>
            <w:tcBorders>
              <w:top w:val="nil"/>
              <w:left w:val="nil"/>
              <w:bottom w:val="nil"/>
              <w:right w:val="nil"/>
            </w:tcBorders>
            <w:vAlign w:val="center"/>
          </w:tcPr>
          <w:p w14:paraId="29FDB808" w14:textId="653BFB63"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2009</w:t>
            </w:r>
          </w:p>
        </w:tc>
        <w:tc>
          <w:tcPr>
            <w:tcW w:w="993" w:type="dxa"/>
            <w:tcBorders>
              <w:top w:val="nil"/>
              <w:left w:val="nil"/>
              <w:bottom w:val="nil"/>
              <w:right w:val="nil"/>
            </w:tcBorders>
            <w:vAlign w:val="center"/>
          </w:tcPr>
          <w:p w14:paraId="0589DB88" w14:textId="2C9ECEE3"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IV</w:t>
            </w:r>
          </w:p>
        </w:tc>
        <w:tc>
          <w:tcPr>
            <w:tcW w:w="850" w:type="dxa"/>
            <w:tcBorders>
              <w:top w:val="nil"/>
              <w:left w:val="nil"/>
              <w:bottom w:val="nil"/>
              <w:right w:val="nil"/>
            </w:tcBorders>
            <w:vAlign w:val="center"/>
          </w:tcPr>
          <w:p w14:paraId="14B7B4F8" w14:textId="4AAB8B39"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not reported</w:t>
            </w:r>
          </w:p>
        </w:tc>
        <w:tc>
          <w:tcPr>
            <w:tcW w:w="992" w:type="dxa"/>
            <w:tcBorders>
              <w:top w:val="nil"/>
              <w:left w:val="nil"/>
              <w:bottom w:val="nil"/>
              <w:right w:val="nil"/>
            </w:tcBorders>
            <w:vAlign w:val="center"/>
          </w:tcPr>
          <w:p w14:paraId="66A64949" w14:textId="2A56454F"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28</w:t>
            </w:r>
          </w:p>
        </w:tc>
        <w:tc>
          <w:tcPr>
            <w:tcW w:w="1134" w:type="dxa"/>
            <w:tcBorders>
              <w:top w:val="nil"/>
              <w:left w:val="nil"/>
              <w:bottom w:val="nil"/>
              <w:right w:val="nil"/>
            </w:tcBorders>
            <w:vAlign w:val="center"/>
          </w:tcPr>
          <w:p w14:paraId="14566265" w14:textId="4E8F9A0C"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28 T2</w:t>
            </w:r>
          </w:p>
        </w:tc>
        <w:tc>
          <w:tcPr>
            <w:tcW w:w="1276" w:type="dxa"/>
            <w:tcBorders>
              <w:top w:val="nil"/>
              <w:left w:val="nil"/>
              <w:bottom w:val="nil"/>
              <w:right w:val="nil"/>
            </w:tcBorders>
            <w:vAlign w:val="center"/>
          </w:tcPr>
          <w:p w14:paraId="51096D3F" w14:textId="40808BE4"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71B0D855" w14:textId="50303A99"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4</w:t>
            </w:r>
          </w:p>
        </w:tc>
        <w:tc>
          <w:tcPr>
            <w:tcW w:w="1417" w:type="dxa"/>
            <w:tcBorders>
              <w:top w:val="nil"/>
              <w:left w:val="nil"/>
              <w:bottom w:val="nil"/>
              <w:right w:val="nil"/>
            </w:tcBorders>
            <w:vAlign w:val="center"/>
          </w:tcPr>
          <w:p w14:paraId="28683BE7" w14:textId="254D0541"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701" w:type="dxa"/>
            <w:tcBorders>
              <w:top w:val="nil"/>
              <w:left w:val="nil"/>
              <w:bottom w:val="nil"/>
              <w:right w:val="nil"/>
            </w:tcBorders>
            <w:vAlign w:val="center"/>
          </w:tcPr>
          <w:p w14:paraId="41CECCAF" w14:textId="28E90EC7"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nil"/>
              <w:right w:val="nil"/>
            </w:tcBorders>
            <w:vAlign w:val="center"/>
          </w:tcPr>
          <w:p w14:paraId="358F1F28" w14:textId="66D2F994"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1.3 years</w:t>
            </w:r>
          </w:p>
        </w:tc>
      </w:tr>
      <w:tr w:rsidR="00283A56" w:rsidRPr="007A114B" w14:paraId="7C0A78D9" w14:textId="77777777" w:rsidTr="00353352">
        <w:trPr>
          <w:trHeight w:val="775"/>
          <w:jc w:val="center"/>
        </w:trPr>
        <w:tc>
          <w:tcPr>
            <w:tcW w:w="1418" w:type="dxa"/>
            <w:tcBorders>
              <w:top w:val="nil"/>
              <w:left w:val="nil"/>
              <w:bottom w:val="nil"/>
              <w:right w:val="nil"/>
            </w:tcBorders>
            <w:vAlign w:val="center"/>
          </w:tcPr>
          <w:p w14:paraId="11A846D4" w14:textId="2021D865"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Mardones</w:t>
            </w:r>
            <w:r w:rsidR="001D153C"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7992eb4b-14e8-4a53-8ba0-1c5fa558647f"]}],"mendeley":{"formattedCitation":"&lt;sup&gt;31&lt;/sup&gt;","plainTextFormattedCitation":"31","previouslyFormattedCitation":"&lt;sup&gt;31&lt;/sup&gt;"},"properties":{"noteIndex":0},"schema":"https://github.com/citation-style-language/schema/raw/master/csl-citation.json"}</w:instrText>
            </w:r>
            <w:r w:rsidR="001D153C"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31</w:t>
            </w:r>
            <w:r w:rsidR="001D153C"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7FB1FCAB" w14:textId="146F7905" w:rsidR="00283A56" w:rsidRPr="007A114B" w:rsidRDefault="00283A56" w:rsidP="00283A56">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Muscle, Ligaments and Tendons J</w:t>
            </w:r>
          </w:p>
        </w:tc>
        <w:tc>
          <w:tcPr>
            <w:tcW w:w="567" w:type="dxa"/>
            <w:tcBorders>
              <w:top w:val="nil"/>
              <w:left w:val="nil"/>
              <w:bottom w:val="nil"/>
              <w:right w:val="nil"/>
            </w:tcBorders>
            <w:vAlign w:val="center"/>
          </w:tcPr>
          <w:p w14:paraId="6A371B2A" w14:textId="67BD37E8"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2016</w:t>
            </w:r>
          </w:p>
        </w:tc>
        <w:tc>
          <w:tcPr>
            <w:tcW w:w="993" w:type="dxa"/>
            <w:tcBorders>
              <w:top w:val="nil"/>
              <w:left w:val="nil"/>
              <w:bottom w:val="nil"/>
              <w:right w:val="nil"/>
            </w:tcBorders>
            <w:vAlign w:val="center"/>
          </w:tcPr>
          <w:p w14:paraId="5F19FB97" w14:textId="36471311"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IV</w:t>
            </w:r>
          </w:p>
        </w:tc>
        <w:tc>
          <w:tcPr>
            <w:tcW w:w="850" w:type="dxa"/>
            <w:tcBorders>
              <w:top w:val="nil"/>
              <w:left w:val="nil"/>
              <w:bottom w:val="nil"/>
              <w:right w:val="nil"/>
            </w:tcBorders>
            <w:vAlign w:val="center"/>
          </w:tcPr>
          <w:p w14:paraId="02D5A7D3" w14:textId="3208E173"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not reported</w:t>
            </w:r>
          </w:p>
        </w:tc>
        <w:tc>
          <w:tcPr>
            <w:tcW w:w="992" w:type="dxa"/>
            <w:tcBorders>
              <w:top w:val="nil"/>
              <w:left w:val="nil"/>
              <w:bottom w:val="nil"/>
              <w:right w:val="nil"/>
            </w:tcBorders>
            <w:vAlign w:val="center"/>
          </w:tcPr>
          <w:p w14:paraId="59940691" w14:textId="4AADA66A"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w:t>
            </w:r>
          </w:p>
        </w:tc>
        <w:tc>
          <w:tcPr>
            <w:tcW w:w="1134" w:type="dxa"/>
            <w:tcBorders>
              <w:top w:val="nil"/>
              <w:left w:val="nil"/>
              <w:bottom w:val="nil"/>
              <w:right w:val="nil"/>
            </w:tcBorders>
            <w:vAlign w:val="center"/>
          </w:tcPr>
          <w:p w14:paraId="1ECCDC5F" w14:textId="7615B03F"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11 T2</w:t>
            </w:r>
          </w:p>
        </w:tc>
        <w:tc>
          <w:tcPr>
            <w:tcW w:w="1276" w:type="dxa"/>
            <w:tcBorders>
              <w:top w:val="nil"/>
              <w:left w:val="nil"/>
              <w:bottom w:val="nil"/>
              <w:right w:val="nil"/>
            </w:tcBorders>
            <w:vAlign w:val="center"/>
          </w:tcPr>
          <w:p w14:paraId="342EDE03" w14:textId="1E83876A"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0507E718" w14:textId="6544DB98"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chondral lesion; Platelet Rich Plasma (PRP) was </w:t>
            </w:r>
            <w:r w:rsidRPr="007A114B">
              <w:rPr>
                <w:rFonts w:ascii="Calibri" w:hAnsi="Calibri"/>
                <w:color w:val="000000"/>
                <w:sz w:val="16"/>
                <w:szCs w:val="16"/>
                <w:lang w:val="en-GB"/>
              </w:rPr>
              <w:lastRenderedPageBreak/>
              <w:t>positioned at the head-neck junction</w:t>
            </w:r>
          </w:p>
        </w:tc>
        <w:tc>
          <w:tcPr>
            <w:tcW w:w="1417" w:type="dxa"/>
            <w:tcBorders>
              <w:top w:val="nil"/>
              <w:left w:val="nil"/>
              <w:bottom w:val="nil"/>
              <w:right w:val="nil"/>
            </w:tcBorders>
            <w:vAlign w:val="center"/>
          </w:tcPr>
          <w:p w14:paraId="1B393A92" w14:textId="2D76E0DC"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lastRenderedPageBreak/>
              <w:t>cannot extract (unstratified data)</w:t>
            </w:r>
          </w:p>
        </w:tc>
        <w:tc>
          <w:tcPr>
            <w:tcW w:w="1701" w:type="dxa"/>
            <w:tcBorders>
              <w:top w:val="nil"/>
              <w:left w:val="nil"/>
              <w:bottom w:val="nil"/>
              <w:right w:val="nil"/>
            </w:tcBorders>
            <w:vAlign w:val="center"/>
          </w:tcPr>
          <w:p w14:paraId="7D88A503" w14:textId="6C98049C"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nil"/>
              <w:right w:val="nil"/>
            </w:tcBorders>
            <w:vAlign w:val="center"/>
          </w:tcPr>
          <w:p w14:paraId="7E2F6A35" w14:textId="025276B1"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 years</w:t>
            </w:r>
          </w:p>
        </w:tc>
      </w:tr>
      <w:tr w:rsidR="009F190E" w:rsidRPr="007A114B" w14:paraId="67AF9522" w14:textId="77777777" w:rsidTr="00353352">
        <w:trPr>
          <w:trHeight w:val="1656"/>
          <w:jc w:val="center"/>
        </w:trPr>
        <w:tc>
          <w:tcPr>
            <w:tcW w:w="1418" w:type="dxa"/>
            <w:tcBorders>
              <w:top w:val="nil"/>
              <w:left w:val="nil"/>
              <w:bottom w:val="nil"/>
              <w:right w:val="nil"/>
            </w:tcBorders>
            <w:vAlign w:val="center"/>
          </w:tcPr>
          <w:p w14:paraId="38CB17F1" w14:textId="4270B21E"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Nakashima</w:t>
            </w:r>
            <w:r w:rsidR="001D153C"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mendeley":{"formattedCitation":"&lt;sup&gt;26&lt;/sup&gt;","plainTextFormattedCitation":"26","previouslyFormattedCitation":"&lt;sup&gt;26&lt;/sup&gt;"},"properties":{"noteIndex":0},"schema":"https://github.com/citation-style-language/schema/raw/master/csl-citation.json"}</w:instrText>
            </w:r>
            <w:r w:rsidR="001D153C"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26</w:t>
            </w:r>
            <w:r w:rsidR="001D153C" w:rsidRPr="007221CC">
              <w:rPr>
                <w:rFonts w:ascii="Calibri" w:hAnsi="Calibri" w:cs="Calibri"/>
                <w:sz w:val="16"/>
                <w:szCs w:val="16"/>
                <w:lang w:val="en-GB" w:eastAsia="en-GB"/>
              </w:rPr>
              <w:fldChar w:fldCharType="end"/>
            </w:r>
          </w:p>
        </w:tc>
        <w:tc>
          <w:tcPr>
            <w:tcW w:w="1412" w:type="dxa"/>
            <w:tcBorders>
              <w:top w:val="nil"/>
              <w:left w:val="nil"/>
              <w:bottom w:val="nil"/>
              <w:right w:val="nil"/>
            </w:tcBorders>
            <w:vAlign w:val="center"/>
          </w:tcPr>
          <w:p w14:paraId="62623CCF" w14:textId="12367C41" w:rsidR="00673DB7" w:rsidRPr="007A114B" w:rsidRDefault="00673DB7" w:rsidP="00B75585">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Clin J Sport Med</w:t>
            </w:r>
          </w:p>
        </w:tc>
        <w:tc>
          <w:tcPr>
            <w:tcW w:w="567" w:type="dxa"/>
            <w:tcBorders>
              <w:top w:val="nil"/>
              <w:left w:val="nil"/>
              <w:bottom w:val="nil"/>
              <w:right w:val="nil"/>
            </w:tcBorders>
            <w:vAlign w:val="center"/>
          </w:tcPr>
          <w:p w14:paraId="6DC3BD3E" w14:textId="44268B3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2019</w:t>
            </w:r>
          </w:p>
        </w:tc>
        <w:tc>
          <w:tcPr>
            <w:tcW w:w="993" w:type="dxa"/>
            <w:tcBorders>
              <w:top w:val="nil"/>
              <w:left w:val="nil"/>
              <w:bottom w:val="nil"/>
              <w:right w:val="nil"/>
            </w:tcBorders>
            <w:vAlign w:val="center"/>
          </w:tcPr>
          <w:p w14:paraId="093FF0E2" w14:textId="6DEE45D7"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III</w:t>
            </w:r>
          </w:p>
        </w:tc>
        <w:tc>
          <w:tcPr>
            <w:tcW w:w="850" w:type="dxa"/>
            <w:tcBorders>
              <w:top w:val="nil"/>
              <w:left w:val="nil"/>
              <w:bottom w:val="nil"/>
              <w:right w:val="nil"/>
            </w:tcBorders>
            <w:vAlign w:val="center"/>
          </w:tcPr>
          <w:p w14:paraId="7508BD3B" w14:textId="19BDC728"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18</w:t>
            </w:r>
          </w:p>
        </w:tc>
        <w:tc>
          <w:tcPr>
            <w:tcW w:w="992" w:type="dxa"/>
            <w:tcBorders>
              <w:top w:val="nil"/>
              <w:left w:val="nil"/>
              <w:bottom w:val="nil"/>
              <w:right w:val="nil"/>
            </w:tcBorders>
            <w:vAlign w:val="center"/>
          </w:tcPr>
          <w:p w14:paraId="6B5063F0" w14:textId="02D60BA0"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18</w:t>
            </w:r>
          </w:p>
        </w:tc>
        <w:tc>
          <w:tcPr>
            <w:tcW w:w="1134" w:type="dxa"/>
            <w:tcBorders>
              <w:top w:val="nil"/>
              <w:left w:val="nil"/>
              <w:bottom w:val="nil"/>
              <w:right w:val="nil"/>
            </w:tcBorders>
            <w:vAlign w:val="center"/>
          </w:tcPr>
          <w:p w14:paraId="0616D06C" w14:textId="079C2F33"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18 (T2 and T3)</w:t>
            </w:r>
          </w:p>
        </w:tc>
        <w:tc>
          <w:tcPr>
            <w:tcW w:w="1276" w:type="dxa"/>
            <w:tcBorders>
              <w:top w:val="nil"/>
              <w:left w:val="nil"/>
              <w:bottom w:val="nil"/>
              <w:right w:val="nil"/>
            </w:tcBorders>
            <w:vAlign w:val="center"/>
          </w:tcPr>
          <w:p w14:paraId="344677CE" w14:textId="36EEC254"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nil"/>
              <w:right w:val="nil"/>
            </w:tcBorders>
            <w:vAlign w:val="center"/>
          </w:tcPr>
          <w:p w14:paraId="0E6EF900" w14:textId="50AFDD0C"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IV of acetabular rim (n=6, 33%); labral reconstruction using iliotibial band autograft (n=4, 29%)</w:t>
            </w:r>
          </w:p>
        </w:tc>
        <w:tc>
          <w:tcPr>
            <w:tcW w:w="1417" w:type="dxa"/>
            <w:tcBorders>
              <w:top w:val="nil"/>
              <w:left w:val="nil"/>
              <w:bottom w:val="nil"/>
              <w:right w:val="nil"/>
            </w:tcBorders>
            <w:vAlign w:val="center"/>
          </w:tcPr>
          <w:p w14:paraId="52531C56" w14:textId="30A0087E"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56 (37 - 78)</w:t>
            </w:r>
          </w:p>
        </w:tc>
        <w:tc>
          <w:tcPr>
            <w:tcW w:w="1701" w:type="dxa"/>
            <w:tcBorders>
              <w:top w:val="nil"/>
              <w:left w:val="nil"/>
              <w:bottom w:val="nil"/>
              <w:right w:val="nil"/>
            </w:tcBorders>
            <w:vAlign w:val="center"/>
          </w:tcPr>
          <w:p w14:paraId="5972F6F1" w14:textId="0672995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9 M 9 F</w:t>
            </w:r>
          </w:p>
        </w:tc>
        <w:tc>
          <w:tcPr>
            <w:tcW w:w="1289" w:type="dxa"/>
            <w:tcBorders>
              <w:top w:val="nil"/>
              <w:left w:val="nil"/>
              <w:bottom w:val="nil"/>
              <w:right w:val="nil"/>
            </w:tcBorders>
            <w:vAlign w:val="center"/>
          </w:tcPr>
          <w:p w14:paraId="2A786461" w14:textId="3F940ECB"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30 </w:t>
            </w:r>
            <w:r w:rsidR="00BC6202" w:rsidRPr="007A114B">
              <w:rPr>
                <w:rFonts w:ascii="Calibri" w:hAnsi="Calibri"/>
                <w:color w:val="000000"/>
                <w:sz w:val="18"/>
                <w:szCs w:val="18"/>
                <w:lang w:val="en-GB"/>
              </w:rPr>
              <w:t>±</w:t>
            </w:r>
            <w:r w:rsidRPr="007A114B">
              <w:rPr>
                <w:rFonts w:ascii="Calibri" w:hAnsi="Calibri"/>
                <w:color w:val="000000"/>
                <w:sz w:val="16"/>
                <w:szCs w:val="16"/>
                <w:lang w:val="en-GB"/>
              </w:rPr>
              <w:t xml:space="preserve"> 8 (24-43) months</w:t>
            </w:r>
          </w:p>
        </w:tc>
      </w:tr>
      <w:tr w:rsidR="00673DB7" w:rsidRPr="007A114B" w14:paraId="57D82CDD" w14:textId="77777777" w:rsidTr="00D53916">
        <w:trPr>
          <w:trHeight w:val="1656"/>
          <w:jc w:val="center"/>
        </w:trPr>
        <w:tc>
          <w:tcPr>
            <w:tcW w:w="4390" w:type="dxa"/>
            <w:gridSpan w:val="4"/>
            <w:tcBorders>
              <w:top w:val="nil"/>
              <w:left w:val="nil"/>
              <w:bottom w:val="nil"/>
              <w:right w:val="nil"/>
            </w:tcBorders>
            <w:vAlign w:val="center"/>
          </w:tcPr>
          <w:p w14:paraId="0B54B7E0" w14:textId="7D0F4EB5" w:rsidR="00673DB7" w:rsidRPr="007A114B" w:rsidRDefault="00673DB7" w:rsidP="00B75585">
            <w:pPr>
              <w:spacing w:after="120"/>
              <w:jc w:val="right"/>
              <w:rPr>
                <w:rFonts w:ascii="Calibri" w:hAnsi="Calibri" w:cs="Calibri"/>
                <w:sz w:val="16"/>
                <w:szCs w:val="16"/>
                <w:lang w:val="en-GB" w:eastAsia="en-GB"/>
              </w:rPr>
            </w:pPr>
            <w:r w:rsidRPr="007A114B">
              <w:rPr>
                <w:rFonts w:ascii="Calibri" w:hAnsi="Calibri" w:cs="Calibri"/>
                <w:sz w:val="16"/>
                <w:szCs w:val="16"/>
                <w:lang w:val="en-GB" w:eastAsia="en-GB"/>
              </w:rPr>
              <w:t>Control Group</w:t>
            </w:r>
          </w:p>
        </w:tc>
        <w:tc>
          <w:tcPr>
            <w:tcW w:w="850" w:type="dxa"/>
            <w:tcBorders>
              <w:top w:val="nil"/>
              <w:left w:val="nil"/>
              <w:bottom w:val="nil"/>
              <w:right w:val="nil"/>
            </w:tcBorders>
            <w:vAlign w:val="center"/>
          </w:tcPr>
          <w:p w14:paraId="4C1EBDE7" w14:textId="5A3F7753"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79</w:t>
            </w:r>
          </w:p>
        </w:tc>
        <w:tc>
          <w:tcPr>
            <w:tcW w:w="992" w:type="dxa"/>
            <w:tcBorders>
              <w:top w:val="nil"/>
              <w:left w:val="nil"/>
              <w:bottom w:val="nil"/>
              <w:right w:val="nil"/>
            </w:tcBorders>
            <w:vAlign w:val="center"/>
          </w:tcPr>
          <w:p w14:paraId="5268233B" w14:textId="3418B3B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79</w:t>
            </w:r>
          </w:p>
        </w:tc>
        <w:tc>
          <w:tcPr>
            <w:tcW w:w="1134" w:type="dxa"/>
            <w:tcBorders>
              <w:top w:val="nil"/>
              <w:left w:val="nil"/>
              <w:bottom w:val="nil"/>
              <w:right w:val="nil"/>
            </w:tcBorders>
            <w:vAlign w:val="center"/>
          </w:tcPr>
          <w:p w14:paraId="001C5FE3" w14:textId="0BA2B9F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T0 and T1</w:t>
            </w:r>
          </w:p>
        </w:tc>
        <w:tc>
          <w:tcPr>
            <w:tcW w:w="1276" w:type="dxa"/>
            <w:tcBorders>
              <w:top w:val="nil"/>
              <w:left w:val="nil"/>
              <w:bottom w:val="nil"/>
              <w:right w:val="nil"/>
            </w:tcBorders>
            <w:vAlign w:val="center"/>
          </w:tcPr>
          <w:p w14:paraId="5B972596" w14:textId="14291C66"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FAI</w:t>
            </w:r>
          </w:p>
        </w:tc>
        <w:tc>
          <w:tcPr>
            <w:tcW w:w="1985" w:type="dxa"/>
            <w:tcBorders>
              <w:top w:val="nil"/>
              <w:left w:val="nil"/>
              <w:bottom w:val="nil"/>
              <w:right w:val="nil"/>
            </w:tcBorders>
            <w:vAlign w:val="center"/>
          </w:tcPr>
          <w:p w14:paraId="5089C615" w14:textId="65E8A782"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Microfracture for </w:t>
            </w:r>
            <w:proofErr w:type="spellStart"/>
            <w:r w:rsidRPr="007A114B">
              <w:rPr>
                <w:rFonts w:ascii="Calibri" w:hAnsi="Calibri"/>
                <w:color w:val="000000"/>
                <w:sz w:val="16"/>
                <w:szCs w:val="16"/>
                <w:lang w:val="en-GB"/>
              </w:rPr>
              <w:t>Outerbridge</w:t>
            </w:r>
            <w:proofErr w:type="spellEnd"/>
            <w:r w:rsidRPr="007A114B">
              <w:rPr>
                <w:rFonts w:ascii="Calibri" w:hAnsi="Calibri"/>
                <w:color w:val="000000"/>
                <w:sz w:val="16"/>
                <w:szCs w:val="16"/>
                <w:lang w:val="en-GB"/>
              </w:rPr>
              <w:t xml:space="preserve"> IV of acetabular rim (n=8, 10%); labral reconstruction using iliotibial band autograft (n=17, 22%)</w:t>
            </w:r>
          </w:p>
        </w:tc>
        <w:tc>
          <w:tcPr>
            <w:tcW w:w="1417" w:type="dxa"/>
            <w:tcBorders>
              <w:top w:val="nil"/>
              <w:left w:val="nil"/>
              <w:bottom w:val="nil"/>
              <w:right w:val="nil"/>
            </w:tcBorders>
            <w:vAlign w:val="center"/>
          </w:tcPr>
          <w:p w14:paraId="5080ECA5" w14:textId="238FE505"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51 (35 - 76)</w:t>
            </w:r>
          </w:p>
        </w:tc>
        <w:tc>
          <w:tcPr>
            <w:tcW w:w="1701" w:type="dxa"/>
            <w:tcBorders>
              <w:top w:val="nil"/>
              <w:left w:val="nil"/>
              <w:bottom w:val="nil"/>
              <w:right w:val="nil"/>
            </w:tcBorders>
            <w:vAlign w:val="center"/>
          </w:tcPr>
          <w:p w14:paraId="7D0347AF" w14:textId="6251B8BF"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34 M 45 F</w:t>
            </w:r>
          </w:p>
        </w:tc>
        <w:tc>
          <w:tcPr>
            <w:tcW w:w="1289" w:type="dxa"/>
            <w:tcBorders>
              <w:top w:val="nil"/>
              <w:left w:val="nil"/>
              <w:bottom w:val="nil"/>
              <w:right w:val="nil"/>
            </w:tcBorders>
            <w:vAlign w:val="center"/>
          </w:tcPr>
          <w:p w14:paraId="01E20B4D" w14:textId="6635075A" w:rsidR="00673DB7" w:rsidRPr="007A114B" w:rsidRDefault="00673DB7" w:rsidP="00B75585">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 xml:space="preserve">35 </w:t>
            </w:r>
            <w:r w:rsidR="00BC6202" w:rsidRPr="007A114B">
              <w:rPr>
                <w:rFonts w:ascii="Calibri" w:hAnsi="Calibri"/>
                <w:color w:val="000000"/>
                <w:sz w:val="18"/>
                <w:szCs w:val="18"/>
                <w:lang w:val="en-GB"/>
              </w:rPr>
              <w:t xml:space="preserve">± </w:t>
            </w:r>
            <w:r w:rsidRPr="007A114B">
              <w:rPr>
                <w:rFonts w:ascii="Calibri" w:hAnsi="Calibri"/>
                <w:color w:val="000000"/>
                <w:sz w:val="16"/>
                <w:szCs w:val="16"/>
                <w:lang w:val="en-GB"/>
              </w:rPr>
              <w:t>13 (24-62)</w:t>
            </w:r>
            <w:r w:rsidR="006A3D0D" w:rsidRPr="007A114B">
              <w:rPr>
                <w:rFonts w:ascii="Calibri" w:hAnsi="Calibri"/>
                <w:color w:val="000000"/>
                <w:sz w:val="16"/>
                <w:szCs w:val="16"/>
                <w:lang w:val="en-GB"/>
              </w:rPr>
              <w:t xml:space="preserve"> months</w:t>
            </w:r>
          </w:p>
        </w:tc>
      </w:tr>
      <w:tr w:rsidR="00283A56" w:rsidRPr="007A114B" w14:paraId="336B08F4" w14:textId="77777777" w:rsidTr="00353352">
        <w:trPr>
          <w:trHeight w:val="546"/>
          <w:jc w:val="center"/>
        </w:trPr>
        <w:tc>
          <w:tcPr>
            <w:tcW w:w="1418" w:type="dxa"/>
            <w:tcBorders>
              <w:top w:val="nil"/>
              <w:left w:val="nil"/>
              <w:bottom w:val="single" w:sz="4" w:space="0" w:color="auto"/>
              <w:right w:val="nil"/>
            </w:tcBorders>
            <w:vAlign w:val="center"/>
          </w:tcPr>
          <w:p w14:paraId="1B3DF45B" w14:textId="31F28487"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Tjong</w:t>
            </w:r>
            <w:r w:rsidR="001D153C" w:rsidRPr="007221CC">
              <w:rPr>
                <w:rFonts w:ascii="Calibri" w:hAnsi="Calibri" w:cs="Calibri"/>
                <w:sz w:val="16"/>
                <w:szCs w:val="16"/>
                <w:lang w:val="en-GB" w:eastAsia="en-GB"/>
              </w:rPr>
              <w:fldChar w:fldCharType="begin" w:fldLock="1"/>
            </w:r>
            <w:r w:rsidR="00223245" w:rsidRPr="007A114B">
              <w:rPr>
                <w:rFonts w:ascii="Calibri" w:hAnsi="Calibri" w:cs="Calibri"/>
                <w:sz w:val="16"/>
                <w:szCs w:val="16"/>
                <w:lang w:val="en-GB" w:eastAsia="en-GB"/>
              </w:rPr>
              <w:instrText>ADDIN CSL_CITATION {"citationItems":[{"id":"ITEM-1","itemData":{"DOI":"10.1016/j.arthro.2016.10.022","ISSN":"1526-3231 (Electronic)","PMID":"28063762","abstract":"PURPOSE: To evaluate patient outcomes after isolated arthroscopic volumetric  acetabular osteoplasty and labral repair for the treatment of patients with combined femoroacetabular impingement (FAI) lesions. METHODS: A review of a prospectively collected registry identified 86 patients (106 hips) with an average age of 38.1 years (range, 17-59 years) with combined-type FAI that underwent isolated acetabular osteoplasty and labral repair. Preoperative α-angle, degree of radiographic degenerative changes, and presence of a crossover sign were recorded. Clinical outcomes were assessed with the modified Harris Hip Score (mHHS), International Hip Outcome Tool-12 (iHOT-12), Hip Outcome Score Sport-Specific Subscale (HOS-SSS), and patient satisfaction score (out of 10) at a minimum 2-year follow-up. RESULTS: Clinical follow-up was obtained at a mean follow-up of 37.2 months (range, 27.9-79.2 months). Patients with Tönnis grade 0 and I findings had significantly higher mHHS (83.5 vs 71.5, P = .01), HOS-SSS (81.3 vs 59.9, P = .02), and iHOT-12 scores (71.1 vs 58.8, P = .04) compared to patients with Tonnis grade II changes. However, patient satisfaction scores (8.0 vs 7.2, P = .45) were no different. No significant difference was noted between unilateral and bilateral hip patient outcome scores. Patient age and preoperative α-angles did not correlate with any outcome scores (all R(2) &lt;0.05). There were no cases of revision surgery or progression to arthroplasty. CONCLUSIONS: Isolated acetabular decompression may adequately address the underlying impingement in combined-type FAI while avoiding the risks associated with femoral-sided decompression. Good to excellent patient-reported outcomes and satisfaction scores were noted with significantly higher scores in patients with minimal arthritic change. Patient age and preoperative α-angle had less effect on postoperative outcomes. LEVEL OF EVIDENCE: Level IV, therapeutic case series.","author":[{"dropping-particle":"","family":"Tjong","given":"Vehniah K","non-dropping-particle":"","parse-names":false,"suffix":""},{"dropping-particle":"","family":"Gombera","given":"Mustafa M","non-dropping-particle":"","parse-names":false,"suffix":""},{"dropping-particle":"","family":"Kahlenberg","given":"Cynthia A","non-dropping-particle":"","parse-names":false,"suffix":""},{"dropping-particle":"","family":"Patel","given":"Ronak M","non-dropping-particle":"","parse-names":false,"suffix":""},{"dropping-particle":"","family":"Han","given":"Brian","non-dropping-particle":"","parse-names":false,"suffix":""},{"dropping-particle":"","family":"Deshmane","given":"Prashant","non-dropping-particle":"","parse-names":false,"suffix":""},{"dropping-particle":"","family":"Terry","given":"Michael A","non-dropping-particle":"","parse-names":false,"suffix":""}],"container-title":"Arthroscopy : the journal of arthroscopic &amp; related surgery : official publication  of the Arthroscopy Association of North America and the International Arthroscopy Association","id":"ITEM-1","issue":"4","issued":{"date-parts":[["2017","4"]]},"language":"eng","page":"773-779","publisher-place":"United States","title":"Isolated Acetabuloplasty and Labral Repair for Combined-Type Femoroacetabular  Impingement: Are We Doing Too Much?","type":"article-journal","volume":"33"},"uris":["http://www.mendeley.com/documents/?uuid=4ca73fb3-f656-4c20-b162-93346a5dd4bf"]}],"mendeley":{"formattedCitation":"&lt;sup&gt;34&lt;/sup&gt;","plainTextFormattedCitation":"34","previouslyFormattedCitation":"&lt;sup&gt;34&lt;/sup&gt;"},"properties":{"noteIndex":0},"schema":"https://github.com/citation-style-language/schema/raw/master/csl-citation.json"}</w:instrText>
            </w:r>
            <w:r w:rsidR="001D153C" w:rsidRPr="007221CC">
              <w:rPr>
                <w:rFonts w:ascii="Calibri" w:hAnsi="Calibri" w:cs="Calibri"/>
                <w:sz w:val="16"/>
                <w:szCs w:val="16"/>
                <w:lang w:val="en-GB" w:eastAsia="en-GB"/>
              </w:rPr>
              <w:fldChar w:fldCharType="separate"/>
            </w:r>
            <w:r w:rsidR="006A1D58" w:rsidRPr="007A114B">
              <w:rPr>
                <w:rFonts w:ascii="Calibri" w:hAnsi="Calibri" w:cs="Calibri"/>
                <w:noProof/>
                <w:sz w:val="16"/>
                <w:szCs w:val="16"/>
                <w:vertAlign w:val="superscript"/>
                <w:lang w:val="en-GB" w:eastAsia="en-GB"/>
              </w:rPr>
              <w:t>34</w:t>
            </w:r>
            <w:r w:rsidR="001D153C" w:rsidRPr="007221CC">
              <w:rPr>
                <w:rFonts w:ascii="Calibri" w:hAnsi="Calibri" w:cs="Calibri"/>
                <w:sz w:val="16"/>
                <w:szCs w:val="16"/>
                <w:lang w:val="en-GB" w:eastAsia="en-GB"/>
              </w:rPr>
              <w:fldChar w:fldCharType="end"/>
            </w:r>
          </w:p>
        </w:tc>
        <w:tc>
          <w:tcPr>
            <w:tcW w:w="1412" w:type="dxa"/>
            <w:tcBorders>
              <w:top w:val="nil"/>
              <w:left w:val="nil"/>
              <w:bottom w:val="single" w:sz="4" w:space="0" w:color="auto"/>
              <w:right w:val="nil"/>
            </w:tcBorders>
            <w:vAlign w:val="center"/>
          </w:tcPr>
          <w:p w14:paraId="32D3F7EA" w14:textId="04006B7E" w:rsidR="00283A56" w:rsidRPr="007A114B" w:rsidRDefault="00283A56" w:rsidP="00283A56">
            <w:pPr>
              <w:spacing w:after="120"/>
              <w:jc w:val="center"/>
              <w:rPr>
                <w:rFonts w:ascii="Calibri" w:hAnsi="Calibri" w:cs="Calibri"/>
                <w:i/>
                <w:iCs/>
                <w:sz w:val="16"/>
                <w:szCs w:val="16"/>
                <w:lang w:val="en-GB" w:eastAsia="en-GB"/>
              </w:rPr>
            </w:pPr>
            <w:r w:rsidRPr="007A114B">
              <w:rPr>
                <w:rFonts w:ascii="Calibri" w:hAnsi="Calibri" w:cs="Calibri"/>
                <w:i/>
                <w:iCs/>
                <w:sz w:val="16"/>
                <w:szCs w:val="16"/>
                <w:lang w:val="en-GB" w:eastAsia="en-GB"/>
              </w:rPr>
              <w:t>Arthroscopy</w:t>
            </w:r>
          </w:p>
        </w:tc>
        <w:tc>
          <w:tcPr>
            <w:tcW w:w="567" w:type="dxa"/>
            <w:tcBorders>
              <w:top w:val="nil"/>
              <w:left w:val="nil"/>
              <w:bottom w:val="single" w:sz="4" w:space="0" w:color="auto"/>
              <w:right w:val="nil"/>
            </w:tcBorders>
            <w:vAlign w:val="center"/>
          </w:tcPr>
          <w:p w14:paraId="08DA8FF9" w14:textId="7FBB37CE"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2017</w:t>
            </w:r>
          </w:p>
        </w:tc>
        <w:tc>
          <w:tcPr>
            <w:tcW w:w="993" w:type="dxa"/>
            <w:tcBorders>
              <w:top w:val="nil"/>
              <w:left w:val="nil"/>
              <w:bottom w:val="single" w:sz="4" w:space="0" w:color="auto"/>
              <w:right w:val="nil"/>
            </w:tcBorders>
            <w:vAlign w:val="center"/>
          </w:tcPr>
          <w:p w14:paraId="43D1ED44" w14:textId="63CFD98C"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s="Calibri"/>
                <w:sz w:val="16"/>
                <w:szCs w:val="16"/>
                <w:lang w:val="en-GB" w:eastAsia="en-GB"/>
              </w:rPr>
              <w:t>IV</w:t>
            </w:r>
          </w:p>
        </w:tc>
        <w:tc>
          <w:tcPr>
            <w:tcW w:w="850" w:type="dxa"/>
            <w:tcBorders>
              <w:top w:val="nil"/>
              <w:left w:val="nil"/>
              <w:bottom w:val="single" w:sz="4" w:space="0" w:color="auto"/>
              <w:right w:val="nil"/>
            </w:tcBorders>
            <w:vAlign w:val="center"/>
          </w:tcPr>
          <w:p w14:paraId="6788312D" w14:textId="022A47A9"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not reported</w:t>
            </w:r>
          </w:p>
        </w:tc>
        <w:tc>
          <w:tcPr>
            <w:tcW w:w="992" w:type="dxa"/>
            <w:tcBorders>
              <w:top w:val="nil"/>
              <w:left w:val="nil"/>
              <w:bottom w:val="single" w:sz="4" w:space="0" w:color="auto"/>
              <w:right w:val="nil"/>
            </w:tcBorders>
            <w:vAlign w:val="center"/>
          </w:tcPr>
          <w:p w14:paraId="6ED385A1" w14:textId="5D9A69E5"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23</w:t>
            </w:r>
          </w:p>
        </w:tc>
        <w:tc>
          <w:tcPr>
            <w:tcW w:w="1134" w:type="dxa"/>
            <w:tcBorders>
              <w:top w:val="nil"/>
              <w:left w:val="nil"/>
              <w:bottom w:val="single" w:sz="4" w:space="0" w:color="auto"/>
              <w:right w:val="nil"/>
            </w:tcBorders>
            <w:vAlign w:val="center"/>
          </w:tcPr>
          <w:p w14:paraId="43BA5C1D" w14:textId="2ACC5CC4"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23 T2</w:t>
            </w:r>
          </w:p>
        </w:tc>
        <w:tc>
          <w:tcPr>
            <w:tcW w:w="1276" w:type="dxa"/>
            <w:tcBorders>
              <w:top w:val="nil"/>
              <w:left w:val="nil"/>
              <w:bottom w:val="single" w:sz="4" w:space="0" w:color="auto"/>
              <w:right w:val="nil"/>
            </w:tcBorders>
            <w:vAlign w:val="center"/>
          </w:tcPr>
          <w:p w14:paraId="5F6C8A4B" w14:textId="5C751014"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FAI</w:t>
            </w:r>
          </w:p>
        </w:tc>
        <w:tc>
          <w:tcPr>
            <w:tcW w:w="1985" w:type="dxa"/>
            <w:tcBorders>
              <w:top w:val="nil"/>
              <w:left w:val="nil"/>
              <w:bottom w:val="single" w:sz="4" w:space="0" w:color="auto"/>
              <w:right w:val="nil"/>
            </w:tcBorders>
            <w:vAlign w:val="center"/>
          </w:tcPr>
          <w:p w14:paraId="62023D34" w14:textId="3EC23EEA" w:rsidR="00283A56" w:rsidRPr="007A114B" w:rsidRDefault="009D202F"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NR</w:t>
            </w:r>
          </w:p>
        </w:tc>
        <w:tc>
          <w:tcPr>
            <w:tcW w:w="1417" w:type="dxa"/>
            <w:tcBorders>
              <w:top w:val="nil"/>
              <w:left w:val="nil"/>
              <w:bottom w:val="single" w:sz="4" w:space="0" w:color="auto"/>
              <w:right w:val="nil"/>
            </w:tcBorders>
          </w:tcPr>
          <w:p w14:paraId="0AF2EB8E" w14:textId="64D2D141"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701" w:type="dxa"/>
            <w:tcBorders>
              <w:top w:val="nil"/>
              <w:left w:val="nil"/>
              <w:bottom w:val="single" w:sz="4" w:space="0" w:color="auto"/>
              <w:right w:val="nil"/>
            </w:tcBorders>
          </w:tcPr>
          <w:p w14:paraId="24435D23" w14:textId="0EC02C11"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i/>
                <w:iCs/>
                <w:color w:val="808080" w:themeColor="background1" w:themeShade="80"/>
                <w:sz w:val="14"/>
                <w:szCs w:val="14"/>
                <w:lang w:val="en-GB"/>
              </w:rPr>
              <w:t>cannot extract (unstratified data)</w:t>
            </w:r>
          </w:p>
        </w:tc>
        <w:tc>
          <w:tcPr>
            <w:tcW w:w="1289" w:type="dxa"/>
            <w:tcBorders>
              <w:top w:val="nil"/>
              <w:left w:val="nil"/>
              <w:bottom w:val="single" w:sz="4" w:space="0" w:color="auto"/>
              <w:right w:val="nil"/>
            </w:tcBorders>
            <w:vAlign w:val="center"/>
          </w:tcPr>
          <w:p w14:paraId="4758C42F" w14:textId="6653D970" w:rsidR="00283A56" w:rsidRPr="007A114B" w:rsidRDefault="00283A56" w:rsidP="00283A56">
            <w:pPr>
              <w:spacing w:after="120"/>
              <w:jc w:val="center"/>
              <w:rPr>
                <w:rFonts w:ascii="Calibri" w:hAnsi="Calibri" w:cs="Calibri"/>
                <w:sz w:val="16"/>
                <w:szCs w:val="16"/>
                <w:lang w:val="en-GB" w:eastAsia="en-GB"/>
              </w:rPr>
            </w:pPr>
            <w:r w:rsidRPr="007A114B">
              <w:rPr>
                <w:rFonts w:ascii="Calibri" w:hAnsi="Calibri"/>
                <w:color w:val="000000"/>
                <w:sz w:val="16"/>
                <w:szCs w:val="16"/>
                <w:lang w:val="en-GB"/>
              </w:rPr>
              <w:t>Minimum 28 months</w:t>
            </w:r>
          </w:p>
        </w:tc>
      </w:tr>
      <w:tr w:rsidR="009F190E" w:rsidRPr="007A114B" w14:paraId="5A628FEB" w14:textId="77777777" w:rsidTr="00353352">
        <w:trPr>
          <w:trHeight w:val="333"/>
          <w:jc w:val="center"/>
        </w:trPr>
        <w:tc>
          <w:tcPr>
            <w:tcW w:w="1418" w:type="dxa"/>
            <w:tcBorders>
              <w:left w:val="nil"/>
              <w:bottom w:val="single" w:sz="4" w:space="0" w:color="auto"/>
              <w:right w:val="nil"/>
            </w:tcBorders>
            <w:vAlign w:val="center"/>
          </w:tcPr>
          <w:p w14:paraId="2C43563A" w14:textId="04A6B6BA" w:rsidR="00D342D1" w:rsidRPr="007A114B" w:rsidRDefault="00955AB0"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Total/Average</w:t>
            </w:r>
          </w:p>
        </w:tc>
        <w:tc>
          <w:tcPr>
            <w:tcW w:w="1412" w:type="dxa"/>
            <w:tcBorders>
              <w:left w:val="nil"/>
              <w:bottom w:val="single" w:sz="4" w:space="0" w:color="auto"/>
              <w:right w:val="nil"/>
            </w:tcBorders>
            <w:vAlign w:val="center"/>
          </w:tcPr>
          <w:p w14:paraId="2E4FC3E4" w14:textId="77777777" w:rsidR="00D342D1" w:rsidRPr="007A114B" w:rsidRDefault="00D342D1" w:rsidP="00B75585">
            <w:pPr>
              <w:spacing w:after="120"/>
              <w:jc w:val="center"/>
              <w:rPr>
                <w:rFonts w:ascii="Calibri" w:hAnsi="Calibri" w:cs="Calibri"/>
                <w:i/>
                <w:iCs/>
                <w:sz w:val="18"/>
                <w:szCs w:val="18"/>
                <w:lang w:val="en-GB" w:eastAsia="en-GB"/>
              </w:rPr>
            </w:pPr>
          </w:p>
        </w:tc>
        <w:tc>
          <w:tcPr>
            <w:tcW w:w="567" w:type="dxa"/>
            <w:tcBorders>
              <w:left w:val="nil"/>
              <w:bottom w:val="single" w:sz="4" w:space="0" w:color="auto"/>
              <w:right w:val="nil"/>
            </w:tcBorders>
            <w:vAlign w:val="center"/>
          </w:tcPr>
          <w:p w14:paraId="451ACCFB" w14:textId="77777777" w:rsidR="00D342D1" w:rsidRPr="007A114B" w:rsidRDefault="00D342D1" w:rsidP="00B75585">
            <w:pPr>
              <w:spacing w:after="120"/>
              <w:jc w:val="center"/>
              <w:rPr>
                <w:rFonts w:ascii="Calibri" w:hAnsi="Calibri" w:cs="Calibri"/>
                <w:i/>
                <w:iCs/>
                <w:sz w:val="18"/>
                <w:szCs w:val="18"/>
                <w:lang w:val="en-GB" w:eastAsia="en-GB"/>
              </w:rPr>
            </w:pPr>
          </w:p>
        </w:tc>
        <w:tc>
          <w:tcPr>
            <w:tcW w:w="993" w:type="dxa"/>
            <w:tcBorders>
              <w:left w:val="nil"/>
              <w:bottom w:val="single" w:sz="4" w:space="0" w:color="auto"/>
              <w:right w:val="nil"/>
            </w:tcBorders>
            <w:vAlign w:val="center"/>
          </w:tcPr>
          <w:p w14:paraId="30369A24" w14:textId="1F0171BA" w:rsidR="00D342D1" w:rsidRPr="007A114B" w:rsidRDefault="009F190E"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6 level III; 5 level IV</w:t>
            </w:r>
          </w:p>
        </w:tc>
        <w:tc>
          <w:tcPr>
            <w:tcW w:w="850" w:type="dxa"/>
            <w:tcBorders>
              <w:left w:val="nil"/>
              <w:bottom w:val="single" w:sz="4" w:space="0" w:color="auto"/>
              <w:right w:val="nil"/>
            </w:tcBorders>
            <w:vAlign w:val="center"/>
          </w:tcPr>
          <w:p w14:paraId="39C43291" w14:textId="77777777" w:rsidR="00D342D1" w:rsidRPr="007A114B" w:rsidRDefault="00D342D1" w:rsidP="00B75585">
            <w:pPr>
              <w:spacing w:after="120"/>
              <w:jc w:val="center"/>
              <w:rPr>
                <w:rFonts w:ascii="Calibri" w:hAnsi="Calibri" w:cs="Calibri"/>
                <w:i/>
                <w:iCs/>
                <w:sz w:val="18"/>
                <w:szCs w:val="18"/>
                <w:lang w:val="en-GB" w:eastAsia="en-GB"/>
              </w:rPr>
            </w:pPr>
          </w:p>
        </w:tc>
        <w:tc>
          <w:tcPr>
            <w:tcW w:w="992" w:type="dxa"/>
            <w:tcBorders>
              <w:left w:val="nil"/>
              <w:bottom w:val="single" w:sz="4" w:space="0" w:color="auto"/>
              <w:right w:val="nil"/>
            </w:tcBorders>
            <w:vAlign w:val="center"/>
          </w:tcPr>
          <w:p w14:paraId="36D4B633" w14:textId="2F592E99" w:rsidR="00D342D1" w:rsidRPr="007A114B" w:rsidRDefault="00955AB0"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616</w:t>
            </w:r>
            <w:r w:rsidR="009F190E" w:rsidRPr="007A114B">
              <w:rPr>
                <w:rFonts w:ascii="Calibri" w:hAnsi="Calibri" w:cs="Calibri"/>
                <w:i/>
                <w:iCs/>
                <w:sz w:val="18"/>
                <w:szCs w:val="18"/>
                <w:lang w:val="en-GB" w:eastAsia="en-GB"/>
              </w:rPr>
              <w:t xml:space="preserve"> (369 controls)</w:t>
            </w:r>
          </w:p>
        </w:tc>
        <w:tc>
          <w:tcPr>
            <w:tcW w:w="1134" w:type="dxa"/>
            <w:tcBorders>
              <w:left w:val="nil"/>
              <w:bottom w:val="single" w:sz="4" w:space="0" w:color="auto"/>
              <w:right w:val="nil"/>
            </w:tcBorders>
            <w:vAlign w:val="center"/>
          </w:tcPr>
          <w:p w14:paraId="6BA4250F" w14:textId="77777777" w:rsidR="00D55B43" w:rsidRPr="007A114B" w:rsidRDefault="00D55B43"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 xml:space="preserve">221 </w:t>
            </w:r>
            <w:proofErr w:type="gramStart"/>
            <w:r w:rsidRPr="007A114B">
              <w:rPr>
                <w:rFonts w:ascii="Calibri" w:hAnsi="Calibri" w:cs="Calibri"/>
                <w:i/>
                <w:iCs/>
                <w:sz w:val="18"/>
                <w:szCs w:val="18"/>
                <w:lang w:val="en-GB" w:eastAsia="en-GB"/>
              </w:rPr>
              <w:t>T2;</w:t>
            </w:r>
            <w:proofErr w:type="gramEnd"/>
            <w:r w:rsidRPr="007A114B">
              <w:rPr>
                <w:rFonts w:ascii="Calibri" w:hAnsi="Calibri" w:cs="Calibri"/>
                <w:i/>
                <w:iCs/>
                <w:sz w:val="18"/>
                <w:szCs w:val="18"/>
                <w:lang w:val="en-GB" w:eastAsia="en-GB"/>
              </w:rPr>
              <w:t xml:space="preserve"> </w:t>
            </w:r>
          </w:p>
          <w:p w14:paraId="195E8DFC" w14:textId="26462272" w:rsidR="00D55B43" w:rsidRPr="007A114B" w:rsidRDefault="00D55B43"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8 T3; 16 T2 and T3</w:t>
            </w:r>
          </w:p>
        </w:tc>
        <w:tc>
          <w:tcPr>
            <w:tcW w:w="1276" w:type="dxa"/>
            <w:tcBorders>
              <w:left w:val="nil"/>
              <w:bottom w:val="single" w:sz="4" w:space="0" w:color="auto"/>
              <w:right w:val="nil"/>
            </w:tcBorders>
            <w:vAlign w:val="center"/>
          </w:tcPr>
          <w:p w14:paraId="5B79ACA6" w14:textId="77777777" w:rsidR="00D342D1" w:rsidRPr="007A114B" w:rsidRDefault="00D342D1" w:rsidP="00B75585">
            <w:pPr>
              <w:spacing w:after="120"/>
              <w:jc w:val="center"/>
              <w:rPr>
                <w:rFonts w:ascii="Calibri" w:hAnsi="Calibri" w:cs="Calibri"/>
                <w:i/>
                <w:iCs/>
                <w:sz w:val="18"/>
                <w:szCs w:val="18"/>
                <w:lang w:val="en-GB" w:eastAsia="en-GB"/>
              </w:rPr>
            </w:pPr>
          </w:p>
        </w:tc>
        <w:tc>
          <w:tcPr>
            <w:tcW w:w="1985" w:type="dxa"/>
            <w:tcBorders>
              <w:left w:val="nil"/>
              <w:bottom w:val="single" w:sz="4" w:space="0" w:color="auto"/>
              <w:right w:val="nil"/>
            </w:tcBorders>
            <w:vAlign w:val="center"/>
          </w:tcPr>
          <w:p w14:paraId="65E14DAB" w14:textId="77777777" w:rsidR="00D342D1" w:rsidRPr="007A114B" w:rsidRDefault="00D342D1" w:rsidP="00B75585">
            <w:pPr>
              <w:spacing w:after="120"/>
              <w:jc w:val="center"/>
              <w:rPr>
                <w:rFonts w:ascii="Calibri" w:hAnsi="Calibri" w:cs="Calibri"/>
                <w:i/>
                <w:iCs/>
                <w:sz w:val="18"/>
                <w:szCs w:val="18"/>
                <w:lang w:val="en-GB" w:eastAsia="en-GB"/>
              </w:rPr>
            </w:pPr>
          </w:p>
        </w:tc>
        <w:tc>
          <w:tcPr>
            <w:tcW w:w="1417" w:type="dxa"/>
            <w:tcBorders>
              <w:left w:val="nil"/>
              <w:bottom w:val="single" w:sz="4" w:space="0" w:color="auto"/>
              <w:right w:val="nil"/>
            </w:tcBorders>
            <w:vAlign w:val="center"/>
          </w:tcPr>
          <w:p w14:paraId="0F6D9282" w14:textId="77777777" w:rsidR="00D342D1" w:rsidRPr="007A114B" w:rsidRDefault="00D342D1" w:rsidP="00B75585">
            <w:pPr>
              <w:spacing w:after="120"/>
              <w:jc w:val="center"/>
              <w:rPr>
                <w:rFonts w:ascii="Calibri" w:hAnsi="Calibri" w:cs="Calibri"/>
                <w:i/>
                <w:iCs/>
                <w:sz w:val="18"/>
                <w:szCs w:val="18"/>
                <w:lang w:val="en-GB" w:eastAsia="en-GB"/>
              </w:rPr>
            </w:pPr>
          </w:p>
        </w:tc>
        <w:tc>
          <w:tcPr>
            <w:tcW w:w="1701" w:type="dxa"/>
            <w:tcBorders>
              <w:left w:val="nil"/>
              <w:bottom w:val="single" w:sz="4" w:space="0" w:color="auto"/>
              <w:right w:val="nil"/>
            </w:tcBorders>
            <w:vAlign w:val="center"/>
          </w:tcPr>
          <w:p w14:paraId="799A4297" w14:textId="77777777" w:rsidR="00D342D1" w:rsidRPr="007A114B" w:rsidRDefault="00D342D1" w:rsidP="00B75585">
            <w:pPr>
              <w:spacing w:after="120"/>
              <w:jc w:val="center"/>
              <w:rPr>
                <w:rFonts w:ascii="Calibri" w:hAnsi="Calibri" w:cs="Calibri"/>
                <w:i/>
                <w:iCs/>
                <w:sz w:val="18"/>
                <w:szCs w:val="18"/>
                <w:lang w:val="en-GB" w:eastAsia="en-GB"/>
              </w:rPr>
            </w:pPr>
          </w:p>
        </w:tc>
        <w:tc>
          <w:tcPr>
            <w:tcW w:w="1289" w:type="dxa"/>
            <w:tcBorders>
              <w:left w:val="nil"/>
              <w:bottom w:val="single" w:sz="4" w:space="0" w:color="auto"/>
              <w:right w:val="nil"/>
            </w:tcBorders>
            <w:vAlign w:val="center"/>
          </w:tcPr>
          <w:p w14:paraId="2DF991FE" w14:textId="2A042C52" w:rsidR="00D342D1" w:rsidRPr="007A114B" w:rsidRDefault="001B4C21" w:rsidP="00B75585">
            <w:pPr>
              <w:spacing w:after="120"/>
              <w:jc w:val="center"/>
              <w:rPr>
                <w:rFonts w:ascii="Calibri" w:hAnsi="Calibri" w:cs="Calibri"/>
                <w:i/>
                <w:iCs/>
                <w:sz w:val="18"/>
                <w:szCs w:val="18"/>
                <w:lang w:val="en-GB" w:eastAsia="en-GB"/>
              </w:rPr>
            </w:pPr>
            <w:r w:rsidRPr="007A114B">
              <w:rPr>
                <w:rFonts w:ascii="Calibri" w:hAnsi="Calibri" w:cs="Calibri"/>
                <w:i/>
                <w:iCs/>
                <w:sz w:val="18"/>
                <w:szCs w:val="18"/>
                <w:lang w:val="en-GB" w:eastAsia="en-GB"/>
              </w:rPr>
              <w:t>29.1 months weighted (range 12 – 84 months)</w:t>
            </w:r>
          </w:p>
        </w:tc>
      </w:tr>
      <w:tr w:rsidR="004A2D11" w:rsidRPr="007A114B" w14:paraId="118503B4" w14:textId="77777777" w:rsidTr="00D53916">
        <w:trPr>
          <w:trHeight w:val="333"/>
          <w:jc w:val="center"/>
        </w:trPr>
        <w:tc>
          <w:tcPr>
            <w:tcW w:w="15034" w:type="dxa"/>
            <w:gridSpan w:val="12"/>
            <w:tcBorders>
              <w:left w:val="nil"/>
              <w:bottom w:val="nil"/>
              <w:right w:val="nil"/>
            </w:tcBorders>
            <w:vAlign w:val="center"/>
          </w:tcPr>
          <w:p w14:paraId="614790A5" w14:textId="65DD0A09" w:rsidR="004A2D11" w:rsidRPr="007A114B" w:rsidRDefault="0003225B" w:rsidP="004A2D11">
            <w:pPr>
              <w:spacing w:after="120"/>
              <w:rPr>
                <w:rFonts w:ascii="Calibri" w:hAnsi="Calibri" w:cs="Calibri"/>
                <w:sz w:val="18"/>
                <w:szCs w:val="18"/>
                <w:lang w:val="en-GB" w:eastAsia="en-GB"/>
              </w:rPr>
            </w:pPr>
            <w:r w:rsidRPr="007A114B">
              <w:rPr>
                <w:rFonts w:cstheme="minorHAnsi"/>
                <w:sz w:val="18"/>
                <w:szCs w:val="18"/>
                <w:lang w:val="en-GB" w:eastAsia="en-GB"/>
              </w:rPr>
              <w:t xml:space="preserve">Nr. – number; </w:t>
            </w:r>
            <w:r w:rsidR="00F44724" w:rsidRPr="007A114B">
              <w:rPr>
                <w:rFonts w:ascii="Calibri" w:hAnsi="Calibri" w:cs="Calibri"/>
                <w:sz w:val="18"/>
                <w:szCs w:val="18"/>
                <w:lang w:val="en-GB" w:eastAsia="en-GB"/>
              </w:rPr>
              <w:t xml:space="preserve">T0, T1, T2, T3 </w:t>
            </w:r>
            <w:r w:rsidR="009F190E" w:rsidRPr="007A114B">
              <w:rPr>
                <w:rFonts w:ascii="Calibri" w:hAnsi="Calibri" w:cs="Calibri"/>
                <w:sz w:val="18"/>
                <w:szCs w:val="18"/>
                <w:lang w:val="en-GB" w:eastAsia="en-GB"/>
              </w:rPr>
              <w:t xml:space="preserve">- </w:t>
            </w:r>
            <w:proofErr w:type="spellStart"/>
            <w:r w:rsidR="009F190E" w:rsidRPr="007A114B">
              <w:rPr>
                <w:rFonts w:ascii="Calibri" w:hAnsi="Calibri" w:cs="Calibri"/>
                <w:sz w:val="18"/>
                <w:szCs w:val="18"/>
                <w:lang w:val="en-GB" w:eastAsia="en-GB"/>
              </w:rPr>
              <w:t>Tönnis</w:t>
            </w:r>
            <w:proofErr w:type="spellEnd"/>
            <w:r w:rsidR="00F44724" w:rsidRPr="007A114B">
              <w:rPr>
                <w:rFonts w:ascii="Calibri" w:hAnsi="Calibri" w:cs="Calibri"/>
                <w:sz w:val="18"/>
                <w:szCs w:val="18"/>
                <w:lang w:val="en-GB" w:eastAsia="en-GB"/>
              </w:rPr>
              <w:t xml:space="preserve"> grading of hip osteoarthritis; M – male; F – female; FAI – </w:t>
            </w:r>
            <w:proofErr w:type="spellStart"/>
            <w:r w:rsidR="00F44724" w:rsidRPr="007A114B">
              <w:rPr>
                <w:rFonts w:ascii="Calibri" w:hAnsi="Calibri" w:cs="Calibri"/>
                <w:sz w:val="18"/>
                <w:szCs w:val="18"/>
                <w:lang w:val="en-GB" w:eastAsia="en-GB"/>
              </w:rPr>
              <w:t>femoroacetabular</w:t>
            </w:r>
            <w:proofErr w:type="spellEnd"/>
            <w:r w:rsidR="00F44724" w:rsidRPr="007A114B">
              <w:rPr>
                <w:rFonts w:ascii="Calibri" w:hAnsi="Calibri" w:cs="Calibri"/>
                <w:sz w:val="18"/>
                <w:szCs w:val="18"/>
                <w:lang w:val="en-GB" w:eastAsia="en-GB"/>
              </w:rPr>
              <w:t xml:space="preserve"> impingement; BHD – borderline hip dysplasia</w:t>
            </w:r>
            <w:r w:rsidR="009D202F" w:rsidRPr="007A114B">
              <w:rPr>
                <w:rFonts w:ascii="Calibri" w:hAnsi="Calibri" w:cs="Calibri"/>
                <w:sz w:val="18"/>
                <w:szCs w:val="18"/>
                <w:lang w:val="en-GB" w:eastAsia="en-GB"/>
              </w:rPr>
              <w:t>; NR – not reported</w:t>
            </w:r>
          </w:p>
        </w:tc>
      </w:tr>
    </w:tbl>
    <w:p w14:paraId="7E69E460" w14:textId="77777777" w:rsidR="0062371A" w:rsidRPr="007A114B" w:rsidRDefault="0062371A" w:rsidP="00F45D14">
      <w:pPr>
        <w:spacing w:after="120" w:line="276" w:lineRule="auto"/>
        <w:rPr>
          <w:rFonts w:cstheme="minorHAnsi"/>
          <w:lang w:val="en-GB" w:eastAsia="en-GB"/>
        </w:rPr>
        <w:sectPr w:rsidR="0062371A" w:rsidRPr="007A114B" w:rsidSect="0062371A">
          <w:pgSz w:w="15840" w:h="12240" w:orient="landscape"/>
          <w:pgMar w:top="1183" w:right="1134" w:bottom="1440" w:left="1134" w:header="720" w:footer="720" w:gutter="0"/>
          <w:lnNumType w:countBy="1" w:restart="continuous"/>
          <w:cols w:space="720"/>
          <w:docGrid w:linePitch="360"/>
        </w:sectPr>
      </w:pPr>
    </w:p>
    <w:p w14:paraId="2ED693B1" w14:textId="166F7A28" w:rsidR="007153F6" w:rsidRPr="007A114B" w:rsidRDefault="007153F6" w:rsidP="007153F6">
      <w:pPr>
        <w:keepLines/>
        <w:spacing w:after="120" w:line="276" w:lineRule="auto"/>
        <w:jc w:val="both"/>
        <w:rPr>
          <w:rFonts w:eastAsia="Candara" w:cstheme="minorHAnsi"/>
          <w:b/>
          <w:color w:val="000000"/>
          <w:lang w:val="en-GB" w:bidi="he-IL"/>
        </w:rPr>
      </w:pPr>
      <w:r w:rsidRPr="007A114B">
        <w:rPr>
          <w:rFonts w:eastAsia="Candara" w:cstheme="minorHAnsi"/>
          <w:b/>
          <w:color w:val="000000"/>
          <w:lang w:val="en-GB" w:bidi="he-IL"/>
        </w:rPr>
        <w:lastRenderedPageBreak/>
        <w:t>Table 4.</w:t>
      </w:r>
      <w:r w:rsidRPr="007A114B">
        <w:rPr>
          <w:rFonts w:eastAsia="Candara" w:cstheme="minorHAnsi"/>
          <w:color w:val="000000"/>
          <w:lang w:val="en-GB" w:bidi="he-IL"/>
        </w:rPr>
        <w:t xml:space="preserve"> </w:t>
      </w:r>
      <w:r w:rsidR="00861FE3" w:rsidRPr="007A114B">
        <w:rPr>
          <w:rFonts w:eastAsia="Candara" w:cstheme="minorHAnsi"/>
          <w:bCs/>
          <w:color w:val="000000"/>
          <w:lang w:val="en-GB" w:bidi="he-IL"/>
        </w:rPr>
        <w:t>Patient-reported</w:t>
      </w:r>
      <w:r w:rsidRPr="007A114B">
        <w:rPr>
          <w:rFonts w:eastAsia="Candara" w:cstheme="minorHAnsi"/>
          <w:bCs/>
          <w:color w:val="000000"/>
          <w:lang w:val="en-GB" w:bidi="he-IL"/>
        </w:rPr>
        <w:t xml:space="preserve"> </w:t>
      </w:r>
      <w:r w:rsidR="00D27E83" w:rsidRPr="007A114B">
        <w:rPr>
          <w:rFonts w:eastAsia="Candara" w:cstheme="minorHAnsi"/>
          <w:bCs/>
          <w:color w:val="000000"/>
          <w:lang w:val="en-GB" w:bidi="he-IL"/>
        </w:rPr>
        <w:t>o</w:t>
      </w:r>
      <w:r w:rsidRPr="007A114B">
        <w:rPr>
          <w:rFonts w:eastAsia="Candara" w:cstheme="minorHAnsi"/>
          <w:bCs/>
          <w:color w:val="000000"/>
          <w:lang w:val="en-GB" w:bidi="he-IL"/>
        </w:rPr>
        <w:t>utcomes</w:t>
      </w:r>
    </w:p>
    <w:tbl>
      <w:tblPr>
        <w:tblStyle w:val="TableGrid"/>
        <w:tblW w:w="10596" w:type="dxa"/>
        <w:tblLook w:val="04A0" w:firstRow="1" w:lastRow="0" w:firstColumn="1" w:lastColumn="0" w:noHBand="0" w:noVBand="1"/>
      </w:tblPr>
      <w:tblGrid>
        <w:gridCol w:w="1540"/>
        <w:gridCol w:w="865"/>
        <w:gridCol w:w="1418"/>
        <w:gridCol w:w="997"/>
        <w:gridCol w:w="1775"/>
        <w:gridCol w:w="1673"/>
        <w:gridCol w:w="2328"/>
      </w:tblGrid>
      <w:tr w:rsidR="00694DFA" w:rsidRPr="007A114B" w14:paraId="156D0C2F" w14:textId="77777777" w:rsidTr="008A56A0">
        <w:trPr>
          <w:trHeight w:val="629"/>
        </w:trPr>
        <w:tc>
          <w:tcPr>
            <w:tcW w:w="1540" w:type="dxa"/>
            <w:tcBorders>
              <w:left w:val="nil"/>
              <w:bottom w:val="single" w:sz="4" w:space="0" w:color="auto"/>
              <w:right w:val="nil"/>
            </w:tcBorders>
            <w:shd w:val="pct20" w:color="auto" w:fill="auto"/>
            <w:vAlign w:val="center"/>
          </w:tcPr>
          <w:p w14:paraId="49100F95" w14:textId="62853C70"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Author</w:t>
            </w:r>
          </w:p>
        </w:tc>
        <w:tc>
          <w:tcPr>
            <w:tcW w:w="865" w:type="dxa"/>
            <w:tcBorders>
              <w:left w:val="nil"/>
              <w:bottom w:val="single" w:sz="4" w:space="0" w:color="auto"/>
              <w:right w:val="nil"/>
            </w:tcBorders>
            <w:shd w:val="pct20" w:color="auto" w:fill="auto"/>
            <w:vAlign w:val="center"/>
          </w:tcPr>
          <w:p w14:paraId="0832B162" w14:textId="4A65EC8F"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Nr. Hips</w:t>
            </w:r>
          </w:p>
        </w:tc>
        <w:tc>
          <w:tcPr>
            <w:tcW w:w="1418" w:type="dxa"/>
            <w:tcBorders>
              <w:left w:val="nil"/>
              <w:bottom w:val="single" w:sz="4" w:space="0" w:color="auto"/>
              <w:right w:val="nil"/>
            </w:tcBorders>
            <w:shd w:val="pct20" w:color="auto" w:fill="auto"/>
            <w:vAlign w:val="center"/>
          </w:tcPr>
          <w:p w14:paraId="1BCB9F72" w14:textId="128B6BBD"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Follow-up</w:t>
            </w:r>
          </w:p>
        </w:tc>
        <w:tc>
          <w:tcPr>
            <w:tcW w:w="997" w:type="dxa"/>
            <w:tcBorders>
              <w:left w:val="nil"/>
              <w:bottom w:val="single" w:sz="4" w:space="0" w:color="auto"/>
              <w:right w:val="nil"/>
            </w:tcBorders>
            <w:shd w:val="pct20" w:color="auto" w:fill="auto"/>
            <w:vAlign w:val="center"/>
          </w:tcPr>
          <w:p w14:paraId="6DB09DA5" w14:textId="6BED66A8"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PROs assessed</w:t>
            </w:r>
          </w:p>
        </w:tc>
        <w:tc>
          <w:tcPr>
            <w:tcW w:w="1775" w:type="dxa"/>
            <w:tcBorders>
              <w:left w:val="nil"/>
              <w:bottom w:val="single" w:sz="4" w:space="0" w:color="auto"/>
              <w:right w:val="nil"/>
            </w:tcBorders>
            <w:shd w:val="pct20" w:color="auto" w:fill="auto"/>
            <w:vAlign w:val="center"/>
          </w:tcPr>
          <w:p w14:paraId="2B9CBCDA" w14:textId="027FF1AE"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PRO</w:t>
            </w:r>
            <w:r w:rsidR="00D55247" w:rsidRPr="007A114B">
              <w:rPr>
                <w:rFonts w:cstheme="minorHAnsi"/>
                <w:b/>
                <w:bCs/>
                <w:sz w:val="18"/>
                <w:szCs w:val="18"/>
                <w:lang w:val="en-GB" w:eastAsia="en-GB"/>
              </w:rPr>
              <w:t>M</w:t>
            </w:r>
            <w:r w:rsidRPr="007A114B">
              <w:rPr>
                <w:rFonts w:cstheme="minorHAnsi"/>
                <w:b/>
                <w:bCs/>
                <w:sz w:val="18"/>
                <w:szCs w:val="18"/>
                <w:lang w:val="en-GB" w:eastAsia="en-GB"/>
              </w:rPr>
              <w:t>s preop</w:t>
            </w:r>
          </w:p>
        </w:tc>
        <w:tc>
          <w:tcPr>
            <w:tcW w:w="1673" w:type="dxa"/>
            <w:tcBorders>
              <w:left w:val="nil"/>
              <w:bottom w:val="single" w:sz="4" w:space="0" w:color="auto"/>
              <w:right w:val="nil"/>
            </w:tcBorders>
            <w:shd w:val="pct20" w:color="auto" w:fill="auto"/>
            <w:vAlign w:val="center"/>
          </w:tcPr>
          <w:p w14:paraId="3705BF0D" w14:textId="01675F88"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PRO</w:t>
            </w:r>
            <w:r w:rsidR="00D55247" w:rsidRPr="007A114B">
              <w:rPr>
                <w:rFonts w:cstheme="minorHAnsi"/>
                <w:b/>
                <w:bCs/>
                <w:sz w:val="18"/>
                <w:szCs w:val="18"/>
                <w:lang w:val="en-GB" w:eastAsia="en-GB"/>
              </w:rPr>
              <w:t>M</w:t>
            </w:r>
            <w:r w:rsidRPr="007A114B">
              <w:rPr>
                <w:rFonts w:cstheme="minorHAnsi"/>
                <w:b/>
                <w:bCs/>
                <w:sz w:val="18"/>
                <w:szCs w:val="18"/>
                <w:lang w:val="en-GB" w:eastAsia="en-GB"/>
              </w:rPr>
              <w:t>s postop</w:t>
            </w:r>
          </w:p>
        </w:tc>
        <w:tc>
          <w:tcPr>
            <w:tcW w:w="2328" w:type="dxa"/>
            <w:tcBorders>
              <w:left w:val="nil"/>
              <w:bottom w:val="single" w:sz="4" w:space="0" w:color="auto"/>
              <w:right w:val="nil"/>
            </w:tcBorders>
            <w:shd w:val="pct20" w:color="auto" w:fill="auto"/>
            <w:vAlign w:val="center"/>
          </w:tcPr>
          <w:p w14:paraId="727F36FA" w14:textId="5CA91B33" w:rsidR="00004992" w:rsidRPr="007A114B" w:rsidRDefault="00306646" w:rsidP="00CB6465">
            <w:pPr>
              <w:spacing w:after="120"/>
              <w:jc w:val="center"/>
              <w:rPr>
                <w:rFonts w:cstheme="minorHAnsi"/>
                <w:b/>
                <w:bCs/>
                <w:sz w:val="18"/>
                <w:szCs w:val="18"/>
                <w:lang w:val="en-GB" w:eastAsia="en-GB"/>
              </w:rPr>
            </w:pPr>
            <w:r w:rsidRPr="007A114B">
              <w:rPr>
                <w:rFonts w:cstheme="minorHAnsi"/>
                <w:b/>
                <w:bCs/>
                <w:sz w:val="18"/>
                <w:szCs w:val="18"/>
                <w:lang w:val="en-GB" w:eastAsia="en-GB"/>
              </w:rPr>
              <w:t>Evolution at last follow-up</w:t>
            </w:r>
          </w:p>
        </w:tc>
      </w:tr>
      <w:tr w:rsidR="00694DFA" w:rsidRPr="007A114B" w14:paraId="114E6E63" w14:textId="77777777" w:rsidTr="008A56A0">
        <w:trPr>
          <w:trHeight w:val="368"/>
        </w:trPr>
        <w:tc>
          <w:tcPr>
            <w:tcW w:w="1540" w:type="dxa"/>
            <w:tcBorders>
              <w:left w:val="nil"/>
              <w:bottom w:val="nil"/>
              <w:right w:val="nil"/>
            </w:tcBorders>
            <w:vAlign w:val="center"/>
          </w:tcPr>
          <w:p w14:paraId="13792831" w14:textId="064DE3A9" w:rsidR="00CB6465" w:rsidRPr="007A114B" w:rsidRDefault="00CB6465" w:rsidP="00CB6465">
            <w:pPr>
              <w:spacing w:after="120"/>
              <w:jc w:val="center"/>
              <w:rPr>
                <w:rFonts w:cstheme="minorHAnsi"/>
                <w:sz w:val="18"/>
                <w:szCs w:val="18"/>
                <w:lang w:val="en-GB" w:eastAsia="en-GB"/>
              </w:rPr>
            </w:pPr>
            <w:r w:rsidRPr="007A114B">
              <w:rPr>
                <w:rFonts w:cstheme="minorHAnsi"/>
                <w:sz w:val="18"/>
                <w:szCs w:val="18"/>
                <w:lang w:val="en-GB" w:eastAsia="en-GB"/>
              </w:rPr>
              <w:t>Byrd 2018 (JHPS)</w:t>
            </w:r>
            <w:r w:rsidR="00804AF7" w:rsidRPr="007A114B">
              <w:rPr>
                <w:rFonts w:ascii="Calibri" w:hAnsi="Calibri" w:cs="Calibri"/>
                <w:sz w:val="16"/>
                <w:szCs w:val="16"/>
                <w:lang w:val="en-GB" w:eastAsia="en-GB"/>
              </w:rPr>
              <w:t xml:space="preserve"> </w:t>
            </w:r>
            <w:r w:rsidR="00804AF7" w:rsidRPr="007221CC">
              <w:rPr>
                <w:rFonts w:cstheme="minorHAnsi"/>
                <w:sz w:val="18"/>
                <w:szCs w:val="18"/>
                <w:lang w:val="en-GB" w:eastAsia="en-GB"/>
              </w:rPr>
              <w:fldChar w:fldCharType="begin" w:fldLock="1"/>
            </w:r>
            <w:r w:rsidR="005A2934" w:rsidRPr="007A114B">
              <w:rPr>
                <w:rFonts w:cstheme="minorHAnsi"/>
                <w:sz w:val="18"/>
                <w:szCs w:val="18"/>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96506ac1-0244-4ccb-91a5-a943df2365b5"]}],"mendeley":{"formattedCitation":"&lt;sup&gt;15&lt;/sup&gt;","plainTextFormattedCitation":"15","previouslyFormattedCitation":"&lt;sup&gt;15&lt;/sup&gt;"},"properties":{"noteIndex":0},"schema":"https://github.com/citation-style-language/schema/raw/master/csl-citation.json"}</w:instrText>
            </w:r>
            <w:r w:rsidR="00804AF7" w:rsidRPr="007221CC">
              <w:rPr>
                <w:rFonts w:cstheme="minorHAnsi"/>
                <w:sz w:val="18"/>
                <w:szCs w:val="18"/>
                <w:lang w:val="en-GB" w:eastAsia="en-GB"/>
              </w:rPr>
              <w:fldChar w:fldCharType="separate"/>
            </w:r>
            <w:r w:rsidR="00FD0FF3" w:rsidRPr="007A114B">
              <w:rPr>
                <w:rFonts w:cstheme="minorHAnsi"/>
                <w:noProof/>
                <w:sz w:val="18"/>
                <w:szCs w:val="18"/>
                <w:vertAlign w:val="superscript"/>
                <w:lang w:val="en-GB" w:eastAsia="en-GB"/>
              </w:rPr>
              <w:t>15</w:t>
            </w:r>
            <w:r w:rsidR="00804AF7" w:rsidRPr="007221CC">
              <w:rPr>
                <w:rFonts w:cstheme="minorHAnsi"/>
                <w:sz w:val="18"/>
                <w:szCs w:val="18"/>
                <w:lang w:val="en-GB" w:eastAsia="en-GB"/>
              </w:rPr>
              <w:fldChar w:fldCharType="end"/>
            </w:r>
          </w:p>
        </w:tc>
        <w:tc>
          <w:tcPr>
            <w:tcW w:w="865" w:type="dxa"/>
            <w:tcBorders>
              <w:left w:val="nil"/>
              <w:bottom w:val="nil"/>
              <w:right w:val="nil"/>
            </w:tcBorders>
            <w:vAlign w:val="center"/>
          </w:tcPr>
          <w:p w14:paraId="2A078D5C" w14:textId="430AB8B5"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48</w:t>
            </w:r>
          </w:p>
        </w:tc>
        <w:tc>
          <w:tcPr>
            <w:tcW w:w="1418" w:type="dxa"/>
            <w:tcBorders>
              <w:left w:val="nil"/>
              <w:bottom w:val="nil"/>
              <w:right w:val="nil"/>
            </w:tcBorders>
            <w:vAlign w:val="center"/>
          </w:tcPr>
          <w:p w14:paraId="7EC6C6AE" w14:textId="35ECFC57"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Minimum 1 year</w:t>
            </w:r>
          </w:p>
        </w:tc>
        <w:tc>
          <w:tcPr>
            <w:tcW w:w="997" w:type="dxa"/>
            <w:tcBorders>
              <w:left w:val="nil"/>
              <w:bottom w:val="nil"/>
              <w:right w:val="nil"/>
            </w:tcBorders>
            <w:vAlign w:val="center"/>
          </w:tcPr>
          <w:p w14:paraId="2AC0ED42" w14:textId="61477894"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Return to Sports</w:t>
            </w:r>
          </w:p>
        </w:tc>
        <w:tc>
          <w:tcPr>
            <w:tcW w:w="1775" w:type="dxa"/>
            <w:tcBorders>
              <w:left w:val="nil"/>
              <w:bottom w:val="nil"/>
              <w:right w:val="nil"/>
            </w:tcBorders>
            <w:vAlign w:val="center"/>
          </w:tcPr>
          <w:p w14:paraId="465AD41E" w14:textId="0ED5B6E3"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71.6</w:t>
            </w:r>
          </w:p>
        </w:tc>
        <w:tc>
          <w:tcPr>
            <w:tcW w:w="1673" w:type="dxa"/>
            <w:tcBorders>
              <w:left w:val="nil"/>
              <w:bottom w:val="nil"/>
              <w:right w:val="nil"/>
            </w:tcBorders>
            <w:vAlign w:val="center"/>
          </w:tcPr>
          <w:p w14:paraId="25886641" w14:textId="37D5E36E"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88.0</w:t>
            </w:r>
          </w:p>
        </w:tc>
        <w:tc>
          <w:tcPr>
            <w:tcW w:w="2328" w:type="dxa"/>
            <w:tcBorders>
              <w:left w:val="nil"/>
              <w:bottom w:val="nil"/>
              <w:right w:val="nil"/>
            </w:tcBorders>
            <w:vAlign w:val="center"/>
          </w:tcPr>
          <w:p w14:paraId="7CC79FE7" w14:textId="7D3A5F81"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+16.4</w:t>
            </w:r>
            <w:r w:rsidR="00CA1405" w:rsidRPr="007A114B">
              <w:rPr>
                <w:rFonts w:ascii="Calibri" w:hAnsi="Calibri"/>
                <w:color w:val="000000"/>
                <w:sz w:val="18"/>
                <w:szCs w:val="18"/>
                <w:lang w:val="en-GB"/>
              </w:rPr>
              <w:t xml:space="preserve"> (95% CI: 11.4–21.5)</w:t>
            </w:r>
            <w:r w:rsidRPr="007A114B">
              <w:rPr>
                <w:rFonts w:ascii="Calibri" w:hAnsi="Calibri"/>
                <w:color w:val="000000"/>
                <w:sz w:val="18"/>
                <w:szCs w:val="18"/>
                <w:lang w:val="en-GB"/>
              </w:rPr>
              <w:t>; Return to sports: 85%</w:t>
            </w:r>
          </w:p>
        </w:tc>
      </w:tr>
      <w:tr w:rsidR="00694DFA" w:rsidRPr="007A114B" w14:paraId="3D904D07" w14:textId="77777777" w:rsidTr="008A56A0">
        <w:trPr>
          <w:trHeight w:val="368"/>
        </w:trPr>
        <w:tc>
          <w:tcPr>
            <w:tcW w:w="1540" w:type="dxa"/>
            <w:tcBorders>
              <w:top w:val="nil"/>
              <w:left w:val="nil"/>
              <w:bottom w:val="nil"/>
              <w:right w:val="nil"/>
            </w:tcBorders>
            <w:vAlign w:val="center"/>
          </w:tcPr>
          <w:p w14:paraId="08ED7D0C" w14:textId="370AB362" w:rsidR="00CB6465" w:rsidRPr="007A114B" w:rsidRDefault="00CB6465" w:rsidP="00CB6465">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19E2E7DD" w14:textId="0D5CDEB5"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150</w:t>
            </w:r>
          </w:p>
        </w:tc>
        <w:tc>
          <w:tcPr>
            <w:tcW w:w="1418" w:type="dxa"/>
            <w:tcBorders>
              <w:top w:val="nil"/>
              <w:left w:val="nil"/>
              <w:bottom w:val="nil"/>
              <w:right w:val="nil"/>
            </w:tcBorders>
            <w:vAlign w:val="center"/>
          </w:tcPr>
          <w:p w14:paraId="30E5CD19" w14:textId="5F9963E7"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Minimum 1 year</w:t>
            </w:r>
          </w:p>
        </w:tc>
        <w:tc>
          <w:tcPr>
            <w:tcW w:w="997" w:type="dxa"/>
            <w:tcBorders>
              <w:top w:val="nil"/>
              <w:left w:val="nil"/>
              <w:bottom w:val="nil"/>
              <w:right w:val="nil"/>
            </w:tcBorders>
            <w:vAlign w:val="center"/>
          </w:tcPr>
          <w:p w14:paraId="7AF9FA51" w14:textId="0DE9AEE5"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Return to Sports</w:t>
            </w:r>
          </w:p>
        </w:tc>
        <w:tc>
          <w:tcPr>
            <w:tcW w:w="1775" w:type="dxa"/>
            <w:tcBorders>
              <w:top w:val="nil"/>
              <w:left w:val="nil"/>
              <w:bottom w:val="nil"/>
              <w:right w:val="nil"/>
            </w:tcBorders>
            <w:vAlign w:val="center"/>
          </w:tcPr>
          <w:p w14:paraId="6304E524" w14:textId="33643780"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69.0 (T0); 73.9 (T1)</w:t>
            </w:r>
          </w:p>
        </w:tc>
        <w:tc>
          <w:tcPr>
            <w:tcW w:w="1673" w:type="dxa"/>
            <w:tcBorders>
              <w:top w:val="nil"/>
              <w:left w:val="nil"/>
              <w:bottom w:val="nil"/>
              <w:right w:val="nil"/>
            </w:tcBorders>
            <w:vAlign w:val="center"/>
          </w:tcPr>
          <w:p w14:paraId="39602718" w14:textId="77777777" w:rsidR="00CB6465" w:rsidRPr="007A114B" w:rsidRDefault="00CB6465" w:rsidP="00CB6465">
            <w:pPr>
              <w:spacing w:after="120"/>
              <w:jc w:val="center"/>
              <w:rPr>
                <w:rFonts w:ascii="Calibri" w:hAnsi="Calibri"/>
                <w:color w:val="000000"/>
                <w:sz w:val="18"/>
                <w:szCs w:val="18"/>
                <w:lang w:val="en-GB"/>
              </w:rPr>
            </w:pPr>
            <w:r w:rsidRPr="007A114B">
              <w:rPr>
                <w:rFonts w:ascii="Calibri" w:hAnsi="Calibri"/>
                <w:color w:val="000000"/>
                <w:sz w:val="18"/>
                <w:szCs w:val="18"/>
                <w:lang w:val="en-GB"/>
              </w:rPr>
              <w:t>92.1 (T0</w:t>
            </w:r>
            <w:proofErr w:type="gramStart"/>
            <w:r w:rsidRPr="007A114B">
              <w:rPr>
                <w:rFonts w:ascii="Calibri" w:hAnsi="Calibri"/>
                <w:color w:val="000000"/>
                <w:sz w:val="18"/>
                <w:szCs w:val="18"/>
                <w:lang w:val="en-GB"/>
              </w:rPr>
              <w:t>);</w:t>
            </w:r>
            <w:proofErr w:type="gramEnd"/>
          </w:p>
          <w:p w14:paraId="4DD78FB0" w14:textId="03DE224A"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94.5 (T1)</w:t>
            </w:r>
          </w:p>
        </w:tc>
        <w:tc>
          <w:tcPr>
            <w:tcW w:w="2328" w:type="dxa"/>
            <w:tcBorders>
              <w:top w:val="nil"/>
              <w:left w:val="nil"/>
              <w:bottom w:val="nil"/>
              <w:right w:val="nil"/>
            </w:tcBorders>
            <w:vAlign w:val="center"/>
          </w:tcPr>
          <w:p w14:paraId="1EBB9108" w14:textId="3895E839" w:rsidR="00CB6465" w:rsidRPr="00E27D10" w:rsidRDefault="00CB6465" w:rsidP="00CB6465">
            <w:pPr>
              <w:spacing w:after="120"/>
              <w:jc w:val="center"/>
              <w:rPr>
                <w:rFonts w:ascii="Calibri" w:hAnsi="Calibri"/>
                <w:color w:val="000000"/>
                <w:sz w:val="18"/>
                <w:szCs w:val="18"/>
                <w:lang w:val="de-DE"/>
              </w:rPr>
            </w:pPr>
            <w:r w:rsidRPr="00E27D10">
              <w:rPr>
                <w:rFonts w:ascii="Calibri" w:hAnsi="Calibri"/>
                <w:color w:val="000000"/>
                <w:sz w:val="18"/>
                <w:szCs w:val="18"/>
                <w:lang w:val="de-DE"/>
              </w:rPr>
              <w:t>mHHS: +23.1 (T0</w:t>
            </w:r>
            <w:r w:rsidR="00D2687E" w:rsidRPr="00E27D10">
              <w:rPr>
                <w:rFonts w:ascii="Calibri" w:hAnsi="Calibri"/>
                <w:color w:val="000000"/>
                <w:sz w:val="18"/>
                <w:szCs w:val="18"/>
                <w:lang w:val="de-DE"/>
              </w:rPr>
              <w:t>, 95% CI: 16.9–29.3,</w:t>
            </w:r>
            <w:r w:rsidRPr="00E27D10">
              <w:rPr>
                <w:rFonts w:ascii="Calibri" w:hAnsi="Calibri"/>
                <w:color w:val="000000"/>
                <w:sz w:val="18"/>
                <w:szCs w:val="18"/>
                <w:lang w:val="de-DE"/>
              </w:rPr>
              <w:t>); +20.6 (T1</w:t>
            </w:r>
            <w:r w:rsidR="00D2687E" w:rsidRPr="00E27D10">
              <w:rPr>
                <w:rFonts w:ascii="Calibri" w:hAnsi="Calibri"/>
                <w:color w:val="000000"/>
                <w:sz w:val="18"/>
                <w:szCs w:val="18"/>
                <w:lang w:val="de-DE"/>
              </w:rPr>
              <w:t>, 95% CI: 17.9–23.4</w:t>
            </w:r>
            <w:r w:rsidRPr="00E27D10">
              <w:rPr>
                <w:rFonts w:ascii="Calibri" w:hAnsi="Calibri"/>
                <w:color w:val="000000"/>
                <w:sz w:val="18"/>
                <w:szCs w:val="18"/>
                <w:lang w:val="de-DE"/>
              </w:rPr>
              <w:t>);</w:t>
            </w:r>
          </w:p>
          <w:p w14:paraId="61B02535" w14:textId="5D68FA9A"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Return to sports: 95% (T0); 92% (T1)</w:t>
            </w:r>
          </w:p>
        </w:tc>
      </w:tr>
      <w:tr w:rsidR="00694DFA" w:rsidRPr="007A114B" w14:paraId="26CFADD4" w14:textId="77777777" w:rsidTr="008A56A0">
        <w:trPr>
          <w:trHeight w:val="383"/>
        </w:trPr>
        <w:tc>
          <w:tcPr>
            <w:tcW w:w="1540" w:type="dxa"/>
            <w:tcBorders>
              <w:top w:val="nil"/>
              <w:left w:val="nil"/>
              <w:bottom w:val="nil"/>
              <w:right w:val="nil"/>
            </w:tcBorders>
            <w:vAlign w:val="center"/>
          </w:tcPr>
          <w:p w14:paraId="63E7D929" w14:textId="2F6B3E85" w:rsidR="00CB6465" w:rsidRPr="007A114B" w:rsidRDefault="00CB6465" w:rsidP="00CB6465">
            <w:pPr>
              <w:spacing w:after="120"/>
              <w:jc w:val="center"/>
              <w:rPr>
                <w:rFonts w:cstheme="minorHAnsi"/>
                <w:sz w:val="18"/>
                <w:szCs w:val="18"/>
                <w:lang w:val="en-GB" w:eastAsia="en-GB"/>
              </w:rPr>
            </w:pPr>
            <w:r w:rsidRPr="007A114B">
              <w:rPr>
                <w:rFonts w:cstheme="minorHAnsi"/>
                <w:sz w:val="18"/>
                <w:szCs w:val="18"/>
                <w:lang w:val="en-GB" w:eastAsia="en-GB"/>
              </w:rPr>
              <w:t>Byrd 2018 (Arthroscopy)</w:t>
            </w:r>
            <w:r w:rsidR="00804AF7"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mendeley":{"formattedCitation":"&lt;sup&gt;24&lt;/sup&gt;","plainTextFormattedCitation":"24","previouslyFormattedCitation":"&lt;sup&gt;24&lt;/sup&gt;"},"properties":{"noteIndex":0},"schema":"https://github.com/citation-style-language/schema/raw/master/csl-citation.json"}</w:instrText>
            </w:r>
            <w:r w:rsidR="00804AF7"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24</w:t>
            </w:r>
            <w:r w:rsidR="00804AF7"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5082EF02" w14:textId="3ED88F42"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33</w:t>
            </w:r>
          </w:p>
        </w:tc>
        <w:tc>
          <w:tcPr>
            <w:tcW w:w="1418" w:type="dxa"/>
            <w:tcBorders>
              <w:top w:val="nil"/>
              <w:left w:val="nil"/>
              <w:bottom w:val="nil"/>
              <w:right w:val="nil"/>
            </w:tcBorders>
            <w:vAlign w:val="center"/>
          </w:tcPr>
          <w:p w14:paraId="4A17F5E5" w14:textId="1A9A8E01"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Minimum 2 years</w:t>
            </w:r>
          </w:p>
        </w:tc>
        <w:tc>
          <w:tcPr>
            <w:tcW w:w="997" w:type="dxa"/>
            <w:tcBorders>
              <w:top w:val="nil"/>
              <w:left w:val="nil"/>
              <w:bottom w:val="nil"/>
              <w:right w:val="nil"/>
            </w:tcBorders>
            <w:vAlign w:val="center"/>
          </w:tcPr>
          <w:p w14:paraId="144127B0" w14:textId="58E73499"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p>
        </w:tc>
        <w:tc>
          <w:tcPr>
            <w:tcW w:w="1775" w:type="dxa"/>
            <w:tcBorders>
              <w:top w:val="nil"/>
              <w:left w:val="nil"/>
              <w:bottom w:val="nil"/>
              <w:right w:val="nil"/>
            </w:tcBorders>
            <w:vAlign w:val="center"/>
          </w:tcPr>
          <w:p w14:paraId="229C4815" w14:textId="1A250C5B"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66.9 (T2); 60.3 (T3)</w:t>
            </w:r>
          </w:p>
        </w:tc>
        <w:tc>
          <w:tcPr>
            <w:tcW w:w="1673" w:type="dxa"/>
            <w:tcBorders>
              <w:top w:val="nil"/>
              <w:left w:val="nil"/>
              <w:bottom w:val="nil"/>
              <w:right w:val="nil"/>
            </w:tcBorders>
            <w:vAlign w:val="center"/>
          </w:tcPr>
          <w:p w14:paraId="6086097F" w14:textId="1A57B875"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81.8 (T2); 79.0 (T3)</w:t>
            </w:r>
          </w:p>
        </w:tc>
        <w:tc>
          <w:tcPr>
            <w:tcW w:w="2328" w:type="dxa"/>
            <w:tcBorders>
              <w:top w:val="nil"/>
              <w:left w:val="nil"/>
              <w:bottom w:val="nil"/>
              <w:right w:val="nil"/>
            </w:tcBorders>
            <w:vAlign w:val="center"/>
          </w:tcPr>
          <w:p w14:paraId="11272C00" w14:textId="62027BDF" w:rsidR="00CB6465" w:rsidRPr="00CF225D" w:rsidRDefault="00CB6465" w:rsidP="00CB6465">
            <w:pPr>
              <w:spacing w:after="120"/>
              <w:jc w:val="center"/>
              <w:rPr>
                <w:rFonts w:cstheme="minorHAnsi"/>
                <w:sz w:val="18"/>
                <w:szCs w:val="18"/>
                <w:lang w:val="en-GB" w:eastAsia="en-GB"/>
              </w:rPr>
            </w:pPr>
            <w:proofErr w:type="spellStart"/>
            <w:r w:rsidRPr="00CF225D">
              <w:rPr>
                <w:rFonts w:ascii="Calibri" w:hAnsi="Calibri"/>
                <w:color w:val="000000"/>
                <w:sz w:val="18"/>
                <w:szCs w:val="18"/>
                <w:lang w:val="en-GB"/>
              </w:rPr>
              <w:t>mHHS</w:t>
            </w:r>
            <w:proofErr w:type="spellEnd"/>
            <w:r w:rsidRPr="00CF225D">
              <w:rPr>
                <w:rFonts w:ascii="Calibri" w:hAnsi="Calibri"/>
                <w:color w:val="000000"/>
                <w:sz w:val="18"/>
                <w:szCs w:val="18"/>
                <w:lang w:val="en-GB"/>
              </w:rPr>
              <w:t>: +14.9 (T2</w:t>
            </w:r>
            <w:r w:rsidR="00721B07" w:rsidRPr="00CF225D">
              <w:rPr>
                <w:rFonts w:ascii="Calibri" w:hAnsi="Calibri"/>
                <w:color w:val="000000"/>
                <w:sz w:val="18"/>
                <w:szCs w:val="18"/>
                <w:lang w:val="en-GB"/>
              </w:rPr>
              <w:t>, 95% CI: 8.6-21.2</w:t>
            </w:r>
            <w:r w:rsidRPr="00CF225D">
              <w:rPr>
                <w:rFonts w:ascii="Calibri" w:hAnsi="Calibri"/>
                <w:color w:val="000000"/>
                <w:sz w:val="18"/>
                <w:szCs w:val="18"/>
                <w:lang w:val="en-GB"/>
              </w:rPr>
              <w:t>); +18.8 (T3</w:t>
            </w:r>
            <w:r w:rsidR="00721B07" w:rsidRPr="00CF225D">
              <w:rPr>
                <w:rFonts w:ascii="Calibri" w:hAnsi="Calibri"/>
                <w:color w:val="000000"/>
                <w:sz w:val="18"/>
                <w:szCs w:val="18"/>
                <w:lang w:val="en-GB"/>
              </w:rPr>
              <w:t>, range 9-33</w:t>
            </w:r>
            <w:r w:rsidRPr="00CF225D">
              <w:rPr>
                <w:rFonts w:ascii="Calibri" w:hAnsi="Calibri"/>
                <w:color w:val="000000"/>
                <w:sz w:val="18"/>
                <w:szCs w:val="18"/>
                <w:lang w:val="en-GB"/>
              </w:rPr>
              <w:t>)</w:t>
            </w:r>
          </w:p>
        </w:tc>
      </w:tr>
      <w:tr w:rsidR="00694DFA" w:rsidRPr="007A114B" w14:paraId="4F66FF56" w14:textId="77777777" w:rsidTr="008A56A0">
        <w:trPr>
          <w:trHeight w:val="368"/>
        </w:trPr>
        <w:tc>
          <w:tcPr>
            <w:tcW w:w="1540" w:type="dxa"/>
            <w:tcBorders>
              <w:top w:val="nil"/>
              <w:left w:val="nil"/>
              <w:bottom w:val="nil"/>
              <w:right w:val="nil"/>
            </w:tcBorders>
            <w:vAlign w:val="center"/>
          </w:tcPr>
          <w:p w14:paraId="084C6FD7" w14:textId="5F83D13D" w:rsidR="00CB6465" w:rsidRPr="007A114B" w:rsidRDefault="00CB6465" w:rsidP="00922A51">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776B4C11" w14:textId="14FCB816"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66</w:t>
            </w:r>
          </w:p>
        </w:tc>
        <w:tc>
          <w:tcPr>
            <w:tcW w:w="1418" w:type="dxa"/>
            <w:tcBorders>
              <w:top w:val="nil"/>
              <w:left w:val="nil"/>
              <w:bottom w:val="nil"/>
              <w:right w:val="nil"/>
            </w:tcBorders>
            <w:vAlign w:val="center"/>
          </w:tcPr>
          <w:p w14:paraId="6A521485" w14:textId="36468438"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Minimum 2 years</w:t>
            </w:r>
          </w:p>
        </w:tc>
        <w:tc>
          <w:tcPr>
            <w:tcW w:w="997" w:type="dxa"/>
            <w:tcBorders>
              <w:top w:val="nil"/>
              <w:left w:val="nil"/>
              <w:bottom w:val="nil"/>
              <w:right w:val="nil"/>
            </w:tcBorders>
            <w:vAlign w:val="center"/>
          </w:tcPr>
          <w:p w14:paraId="69EA2554" w14:textId="38D9AE45"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p>
        </w:tc>
        <w:tc>
          <w:tcPr>
            <w:tcW w:w="1775" w:type="dxa"/>
            <w:tcBorders>
              <w:top w:val="nil"/>
              <w:left w:val="nil"/>
              <w:bottom w:val="nil"/>
              <w:right w:val="nil"/>
            </w:tcBorders>
            <w:vAlign w:val="center"/>
          </w:tcPr>
          <w:p w14:paraId="56A700C0" w14:textId="033AAEDD"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66.1 (T0); 63.5 (T1)</w:t>
            </w:r>
          </w:p>
        </w:tc>
        <w:tc>
          <w:tcPr>
            <w:tcW w:w="1673" w:type="dxa"/>
            <w:tcBorders>
              <w:top w:val="nil"/>
              <w:left w:val="nil"/>
              <w:bottom w:val="nil"/>
              <w:right w:val="nil"/>
            </w:tcBorders>
            <w:vAlign w:val="center"/>
          </w:tcPr>
          <w:p w14:paraId="5FD49B8B" w14:textId="74D6804B"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86.8 (T0); 85.7 (T1)</w:t>
            </w:r>
          </w:p>
        </w:tc>
        <w:tc>
          <w:tcPr>
            <w:tcW w:w="2328" w:type="dxa"/>
            <w:tcBorders>
              <w:top w:val="nil"/>
              <w:left w:val="nil"/>
              <w:bottom w:val="nil"/>
              <w:right w:val="nil"/>
            </w:tcBorders>
            <w:vAlign w:val="center"/>
          </w:tcPr>
          <w:p w14:paraId="7A5FFC82" w14:textId="6BBB6925" w:rsidR="00CB6465" w:rsidRPr="00CF225D" w:rsidRDefault="00CB6465" w:rsidP="00CB6465">
            <w:pPr>
              <w:spacing w:after="120"/>
              <w:jc w:val="center"/>
              <w:rPr>
                <w:rFonts w:cstheme="minorHAnsi"/>
                <w:sz w:val="18"/>
                <w:szCs w:val="18"/>
                <w:lang w:val="en-GB" w:eastAsia="en-GB"/>
              </w:rPr>
            </w:pPr>
            <w:proofErr w:type="spellStart"/>
            <w:r w:rsidRPr="00CF225D">
              <w:rPr>
                <w:rFonts w:ascii="Calibri" w:hAnsi="Calibri"/>
                <w:color w:val="000000"/>
                <w:sz w:val="18"/>
                <w:szCs w:val="18"/>
                <w:lang w:val="en-GB"/>
              </w:rPr>
              <w:t>mHHS</w:t>
            </w:r>
            <w:proofErr w:type="spellEnd"/>
            <w:r w:rsidRPr="00CF225D">
              <w:rPr>
                <w:rFonts w:ascii="Calibri" w:hAnsi="Calibri"/>
                <w:color w:val="000000"/>
                <w:sz w:val="18"/>
                <w:szCs w:val="18"/>
                <w:lang w:val="en-GB"/>
              </w:rPr>
              <w:t>: +20.6 (T0</w:t>
            </w:r>
            <w:r w:rsidR="003E6A48" w:rsidRPr="00CF225D">
              <w:rPr>
                <w:rFonts w:ascii="Calibri" w:hAnsi="Calibri"/>
                <w:color w:val="000000"/>
                <w:sz w:val="18"/>
                <w:szCs w:val="18"/>
                <w:lang w:val="en-GB"/>
              </w:rPr>
              <w:t>, 95% CI: 12.5-28.8</w:t>
            </w:r>
            <w:r w:rsidRPr="00CF225D">
              <w:rPr>
                <w:rFonts w:ascii="Calibri" w:hAnsi="Calibri"/>
                <w:color w:val="000000"/>
                <w:sz w:val="18"/>
                <w:szCs w:val="18"/>
                <w:lang w:val="en-GB"/>
              </w:rPr>
              <w:t>); +22.1 (T1</w:t>
            </w:r>
            <w:r w:rsidR="003E6A48" w:rsidRPr="00CF225D">
              <w:rPr>
                <w:rFonts w:ascii="Calibri" w:hAnsi="Calibri"/>
                <w:color w:val="000000"/>
                <w:sz w:val="18"/>
                <w:szCs w:val="18"/>
                <w:lang w:val="en-GB"/>
              </w:rPr>
              <w:t>, 95% CI: 16.9-27.4</w:t>
            </w:r>
            <w:r w:rsidRPr="00CF225D">
              <w:rPr>
                <w:rFonts w:ascii="Calibri" w:hAnsi="Calibri"/>
                <w:color w:val="000000"/>
                <w:sz w:val="18"/>
                <w:szCs w:val="18"/>
                <w:lang w:val="en-GB"/>
              </w:rPr>
              <w:t>)</w:t>
            </w:r>
          </w:p>
        </w:tc>
      </w:tr>
      <w:tr w:rsidR="00694DFA" w:rsidRPr="007A114B" w14:paraId="373DBB1B" w14:textId="77777777" w:rsidTr="008A56A0">
        <w:trPr>
          <w:trHeight w:val="368"/>
        </w:trPr>
        <w:tc>
          <w:tcPr>
            <w:tcW w:w="1540" w:type="dxa"/>
            <w:tcBorders>
              <w:top w:val="nil"/>
              <w:left w:val="nil"/>
              <w:bottom w:val="nil"/>
              <w:right w:val="nil"/>
            </w:tcBorders>
            <w:vAlign w:val="center"/>
          </w:tcPr>
          <w:p w14:paraId="3D5E66AD" w14:textId="5CE49154" w:rsidR="00CB6465" w:rsidRPr="007A114B" w:rsidRDefault="00CB6465" w:rsidP="00CB6465">
            <w:pPr>
              <w:spacing w:after="120"/>
              <w:jc w:val="center"/>
              <w:rPr>
                <w:rFonts w:cstheme="minorHAnsi"/>
                <w:sz w:val="18"/>
                <w:szCs w:val="18"/>
                <w:lang w:val="en-GB" w:eastAsia="en-GB"/>
              </w:rPr>
            </w:pPr>
            <w:r w:rsidRPr="007A114B">
              <w:rPr>
                <w:rFonts w:cstheme="minorHAnsi"/>
                <w:sz w:val="18"/>
                <w:szCs w:val="18"/>
                <w:lang w:val="en-GB" w:eastAsia="en-GB"/>
              </w:rPr>
              <w:t>Chandrasekaran 2016</w:t>
            </w:r>
            <w:r w:rsidR="005803C7"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lt;/sup&gt;","plainTextFormattedCitation":"25","previouslyFormattedCitation":"&lt;sup&gt;25&lt;/sup&gt;"},"properties":{"noteIndex":0},"schema":"https://github.com/citation-style-language/schema/raw/master/csl-citation.json"}</w:instrText>
            </w:r>
            <w:r w:rsidR="005803C7"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25</w:t>
            </w:r>
            <w:r w:rsidR="005803C7"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6995CBEB" w14:textId="3E2EE70E"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37</w:t>
            </w:r>
          </w:p>
        </w:tc>
        <w:tc>
          <w:tcPr>
            <w:tcW w:w="1418" w:type="dxa"/>
            <w:tcBorders>
              <w:top w:val="nil"/>
              <w:left w:val="nil"/>
              <w:bottom w:val="nil"/>
              <w:right w:val="nil"/>
            </w:tcBorders>
            <w:vAlign w:val="center"/>
          </w:tcPr>
          <w:p w14:paraId="32BCE4BE" w14:textId="4A4B399A"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30 (20 - 62) months</w:t>
            </w:r>
          </w:p>
        </w:tc>
        <w:tc>
          <w:tcPr>
            <w:tcW w:w="997" w:type="dxa"/>
            <w:tcBorders>
              <w:top w:val="nil"/>
              <w:left w:val="nil"/>
              <w:bottom w:val="nil"/>
              <w:right w:val="nil"/>
            </w:tcBorders>
            <w:vAlign w:val="center"/>
          </w:tcPr>
          <w:p w14:paraId="13A015DB" w14:textId="11FF5AFF"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br/>
              <w:t>HOS-ADL</w:t>
            </w:r>
            <w:r w:rsidRPr="007A114B">
              <w:rPr>
                <w:rFonts w:ascii="Calibri" w:hAnsi="Calibri"/>
                <w:color w:val="000000"/>
                <w:sz w:val="18"/>
                <w:szCs w:val="18"/>
                <w:lang w:val="en-GB"/>
              </w:rPr>
              <w:br/>
              <w:t>HOS-SSS</w:t>
            </w:r>
            <w:r w:rsidRPr="007A114B">
              <w:rPr>
                <w:rFonts w:ascii="Calibri" w:hAnsi="Calibri"/>
                <w:color w:val="000000"/>
                <w:sz w:val="18"/>
                <w:szCs w:val="18"/>
                <w:lang w:val="en-GB"/>
              </w:rPr>
              <w:br/>
              <w:t>NAHS</w:t>
            </w:r>
            <w:r w:rsidRPr="007A114B">
              <w:rPr>
                <w:rFonts w:ascii="Calibri" w:hAnsi="Calibri"/>
                <w:color w:val="000000"/>
                <w:sz w:val="18"/>
                <w:szCs w:val="18"/>
                <w:lang w:val="en-GB"/>
              </w:rPr>
              <w:br/>
              <w:t>VAS</w:t>
            </w:r>
          </w:p>
        </w:tc>
        <w:tc>
          <w:tcPr>
            <w:tcW w:w="1775" w:type="dxa"/>
            <w:tcBorders>
              <w:top w:val="nil"/>
              <w:left w:val="nil"/>
              <w:bottom w:val="nil"/>
              <w:right w:val="nil"/>
            </w:tcBorders>
            <w:vAlign w:val="center"/>
          </w:tcPr>
          <w:p w14:paraId="7F733B4F" w14:textId="3B5BF91F"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57.5</w:t>
            </w:r>
            <w:r w:rsidR="00E55255" w:rsidRPr="00CF225D">
              <w:rPr>
                <w:lang w:val="en-GB"/>
              </w:rPr>
              <w:t xml:space="preserve"> </w:t>
            </w:r>
            <w:r w:rsidR="00E55255" w:rsidRPr="007A114B">
              <w:rPr>
                <w:rFonts w:ascii="Calibri" w:hAnsi="Calibri"/>
                <w:color w:val="000000"/>
                <w:sz w:val="18"/>
                <w:szCs w:val="18"/>
                <w:lang w:val="en-GB"/>
              </w:rPr>
              <w:t>± 15.3</w:t>
            </w:r>
            <w:r w:rsidRPr="007A114B">
              <w:rPr>
                <w:rFonts w:ascii="Calibri" w:hAnsi="Calibri"/>
                <w:color w:val="000000"/>
                <w:sz w:val="18"/>
                <w:szCs w:val="18"/>
                <w:lang w:val="en-GB"/>
              </w:rPr>
              <w:br/>
              <w:t>59.2</w:t>
            </w:r>
            <w:r w:rsidR="00E55255" w:rsidRPr="007A114B">
              <w:rPr>
                <w:rFonts w:ascii="Calibri" w:hAnsi="Calibri"/>
                <w:color w:val="000000"/>
                <w:sz w:val="18"/>
                <w:szCs w:val="18"/>
                <w:lang w:val="en-GB"/>
              </w:rPr>
              <w:t xml:space="preserve"> ± 22.6</w:t>
            </w:r>
            <w:r w:rsidRPr="007A114B">
              <w:rPr>
                <w:rFonts w:ascii="Calibri" w:hAnsi="Calibri"/>
                <w:color w:val="000000"/>
                <w:sz w:val="18"/>
                <w:szCs w:val="18"/>
                <w:lang w:val="en-GB"/>
              </w:rPr>
              <w:br/>
              <w:t>37.9</w:t>
            </w:r>
            <w:r w:rsidR="00E55255" w:rsidRPr="007A114B">
              <w:rPr>
                <w:rFonts w:ascii="Calibri" w:hAnsi="Calibri"/>
                <w:color w:val="000000"/>
                <w:sz w:val="18"/>
                <w:szCs w:val="18"/>
                <w:lang w:val="en-GB"/>
              </w:rPr>
              <w:t xml:space="preserve"> ± 27.4</w:t>
            </w:r>
            <w:r w:rsidRPr="007A114B">
              <w:rPr>
                <w:rFonts w:ascii="Calibri" w:hAnsi="Calibri"/>
                <w:color w:val="000000"/>
                <w:sz w:val="18"/>
                <w:szCs w:val="18"/>
                <w:lang w:val="en-GB"/>
              </w:rPr>
              <w:br/>
              <w:t>51.6</w:t>
            </w:r>
            <w:r w:rsidR="00E55255" w:rsidRPr="007A114B">
              <w:rPr>
                <w:rFonts w:ascii="Calibri" w:hAnsi="Calibri"/>
                <w:color w:val="000000"/>
                <w:sz w:val="18"/>
                <w:szCs w:val="18"/>
                <w:lang w:val="en-GB"/>
              </w:rPr>
              <w:t xml:space="preserve"> ± 18.9</w:t>
            </w:r>
            <w:r w:rsidRPr="007A114B">
              <w:rPr>
                <w:rFonts w:ascii="Calibri" w:hAnsi="Calibri"/>
                <w:color w:val="000000"/>
                <w:sz w:val="18"/>
                <w:szCs w:val="18"/>
                <w:lang w:val="en-GB"/>
              </w:rPr>
              <w:br/>
              <w:t>6.42</w:t>
            </w:r>
            <w:r w:rsidR="00E55255" w:rsidRPr="007A114B">
              <w:rPr>
                <w:rFonts w:ascii="Calibri" w:hAnsi="Calibri"/>
                <w:color w:val="000000"/>
                <w:sz w:val="18"/>
                <w:szCs w:val="18"/>
                <w:lang w:val="en-GB"/>
              </w:rPr>
              <w:t xml:space="preserve"> ± 1.59</w:t>
            </w:r>
          </w:p>
        </w:tc>
        <w:tc>
          <w:tcPr>
            <w:tcW w:w="1673" w:type="dxa"/>
            <w:tcBorders>
              <w:top w:val="nil"/>
              <w:left w:val="nil"/>
              <w:bottom w:val="nil"/>
              <w:right w:val="nil"/>
            </w:tcBorders>
            <w:vAlign w:val="center"/>
          </w:tcPr>
          <w:p w14:paraId="02B75438" w14:textId="7E2C10EC" w:rsidR="00CB6465" w:rsidRPr="007A114B" w:rsidRDefault="00D742CD" w:rsidP="00CB6465">
            <w:pPr>
              <w:spacing w:after="120"/>
              <w:jc w:val="center"/>
              <w:rPr>
                <w:rFonts w:cstheme="minorHAnsi"/>
                <w:sz w:val="18"/>
                <w:szCs w:val="18"/>
                <w:lang w:val="en-GB" w:eastAsia="en-GB"/>
              </w:rPr>
            </w:pPr>
            <w:r w:rsidRPr="007A114B">
              <w:rPr>
                <w:rFonts w:ascii="Calibri" w:hAnsi="Calibri"/>
                <w:color w:val="000000"/>
                <w:sz w:val="18"/>
                <w:szCs w:val="18"/>
                <w:lang w:val="en-GB"/>
              </w:rPr>
              <w:t xml:space="preserve">76.0 </w:t>
            </w:r>
            <w:r w:rsidR="00E55255" w:rsidRPr="007A114B">
              <w:rPr>
                <w:rFonts w:ascii="Calibri" w:hAnsi="Calibri"/>
                <w:color w:val="000000"/>
                <w:sz w:val="18"/>
                <w:szCs w:val="18"/>
                <w:lang w:val="en-GB"/>
              </w:rPr>
              <w:t>± 20.4</w:t>
            </w:r>
            <w:r w:rsidR="00CB6465" w:rsidRPr="007A114B">
              <w:rPr>
                <w:rFonts w:ascii="Calibri" w:hAnsi="Calibri"/>
                <w:color w:val="000000"/>
                <w:sz w:val="18"/>
                <w:szCs w:val="18"/>
                <w:lang w:val="en-GB"/>
              </w:rPr>
              <w:br/>
              <w:t>77.5</w:t>
            </w:r>
            <w:r w:rsidR="00E55255" w:rsidRPr="007A114B">
              <w:rPr>
                <w:rFonts w:ascii="Calibri" w:hAnsi="Calibri"/>
                <w:color w:val="000000"/>
                <w:sz w:val="18"/>
                <w:szCs w:val="18"/>
                <w:lang w:val="en-GB"/>
              </w:rPr>
              <w:t xml:space="preserve"> ± 21.1</w:t>
            </w:r>
            <w:r w:rsidR="00CB6465" w:rsidRPr="007A114B">
              <w:rPr>
                <w:rFonts w:ascii="Calibri" w:hAnsi="Calibri"/>
                <w:color w:val="000000"/>
                <w:sz w:val="18"/>
                <w:szCs w:val="18"/>
                <w:lang w:val="en-GB"/>
              </w:rPr>
              <w:br/>
              <w:t>61.6</w:t>
            </w:r>
            <w:r w:rsidR="00E55255" w:rsidRPr="007A114B">
              <w:rPr>
                <w:rFonts w:ascii="Calibri" w:hAnsi="Calibri"/>
                <w:color w:val="000000"/>
                <w:sz w:val="18"/>
                <w:szCs w:val="18"/>
                <w:lang w:val="en-GB"/>
              </w:rPr>
              <w:t xml:space="preserve"> ± 31.7</w:t>
            </w:r>
            <w:r w:rsidR="00CB6465" w:rsidRPr="007A114B">
              <w:rPr>
                <w:rFonts w:ascii="Calibri" w:hAnsi="Calibri"/>
                <w:color w:val="000000"/>
                <w:sz w:val="18"/>
                <w:szCs w:val="18"/>
                <w:lang w:val="en-GB"/>
              </w:rPr>
              <w:br/>
              <w:t>74.7</w:t>
            </w:r>
            <w:r w:rsidR="00E55255" w:rsidRPr="007A114B">
              <w:rPr>
                <w:rFonts w:ascii="Calibri" w:hAnsi="Calibri"/>
                <w:color w:val="000000"/>
                <w:sz w:val="18"/>
                <w:szCs w:val="18"/>
                <w:lang w:val="en-GB"/>
              </w:rPr>
              <w:t xml:space="preserve"> ± 20.1</w:t>
            </w:r>
            <w:r w:rsidR="00CB6465" w:rsidRPr="007A114B">
              <w:rPr>
                <w:rFonts w:ascii="Calibri" w:hAnsi="Calibri"/>
                <w:color w:val="000000"/>
                <w:sz w:val="18"/>
                <w:szCs w:val="18"/>
                <w:lang w:val="en-GB"/>
              </w:rPr>
              <w:br/>
              <w:t>3.59</w:t>
            </w:r>
            <w:r w:rsidR="00E55255" w:rsidRPr="007A114B">
              <w:rPr>
                <w:rFonts w:ascii="Calibri" w:hAnsi="Calibri"/>
                <w:color w:val="000000"/>
                <w:sz w:val="18"/>
                <w:szCs w:val="18"/>
                <w:lang w:val="en-GB"/>
              </w:rPr>
              <w:t xml:space="preserve"> ± 2.71</w:t>
            </w:r>
          </w:p>
        </w:tc>
        <w:tc>
          <w:tcPr>
            <w:tcW w:w="2328" w:type="dxa"/>
            <w:tcBorders>
              <w:top w:val="nil"/>
              <w:left w:val="nil"/>
              <w:bottom w:val="nil"/>
              <w:right w:val="nil"/>
            </w:tcBorders>
            <w:vAlign w:val="center"/>
          </w:tcPr>
          <w:p w14:paraId="4E26880A" w14:textId="4F1D4A5A"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+18.5</w:t>
            </w:r>
            <w:r w:rsidRPr="007A114B">
              <w:rPr>
                <w:rFonts w:ascii="Calibri" w:hAnsi="Calibri"/>
                <w:color w:val="000000"/>
                <w:sz w:val="18"/>
                <w:szCs w:val="18"/>
                <w:lang w:val="en-GB"/>
              </w:rPr>
              <w:br/>
              <w:t>HOS-ADL: +18.3</w:t>
            </w:r>
            <w:r w:rsidRPr="007A114B">
              <w:rPr>
                <w:rFonts w:ascii="Calibri" w:hAnsi="Calibri"/>
                <w:color w:val="000000"/>
                <w:sz w:val="18"/>
                <w:szCs w:val="18"/>
                <w:lang w:val="en-GB"/>
              </w:rPr>
              <w:br/>
              <w:t>HOS-SSS: +23.7</w:t>
            </w:r>
            <w:r w:rsidRPr="007A114B">
              <w:rPr>
                <w:rFonts w:ascii="Calibri" w:hAnsi="Calibri"/>
                <w:color w:val="000000"/>
                <w:sz w:val="18"/>
                <w:szCs w:val="18"/>
                <w:lang w:val="en-GB"/>
              </w:rPr>
              <w:br/>
              <w:t>NAHS: +23.1</w:t>
            </w:r>
            <w:r w:rsidRPr="007A114B">
              <w:rPr>
                <w:rFonts w:ascii="Calibri" w:hAnsi="Calibri"/>
                <w:color w:val="000000"/>
                <w:sz w:val="18"/>
                <w:szCs w:val="18"/>
                <w:lang w:val="en-GB"/>
              </w:rPr>
              <w:br/>
              <w:t>VAS: -2.83</w:t>
            </w:r>
          </w:p>
        </w:tc>
      </w:tr>
      <w:tr w:rsidR="00694DFA" w:rsidRPr="00E27D10" w14:paraId="2170EC4E" w14:textId="77777777" w:rsidTr="008A56A0">
        <w:trPr>
          <w:trHeight w:val="368"/>
        </w:trPr>
        <w:tc>
          <w:tcPr>
            <w:tcW w:w="1540" w:type="dxa"/>
            <w:tcBorders>
              <w:top w:val="nil"/>
              <w:left w:val="nil"/>
              <w:bottom w:val="nil"/>
              <w:right w:val="nil"/>
            </w:tcBorders>
            <w:vAlign w:val="center"/>
          </w:tcPr>
          <w:p w14:paraId="563FD2A0" w14:textId="138CABC8" w:rsidR="00CB6465" w:rsidRPr="007A114B" w:rsidRDefault="00CB6465" w:rsidP="00CB6465">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69801977" w14:textId="2862CD5E"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74</w:t>
            </w:r>
          </w:p>
        </w:tc>
        <w:tc>
          <w:tcPr>
            <w:tcW w:w="1418" w:type="dxa"/>
            <w:tcBorders>
              <w:top w:val="nil"/>
              <w:left w:val="nil"/>
              <w:bottom w:val="nil"/>
              <w:right w:val="nil"/>
            </w:tcBorders>
            <w:vAlign w:val="center"/>
          </w:tcPr>
          <w:p w14:paraId="725DE629" w14:textId="62332AD3"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32 (22 - 64) months</w:t>
            </w:r>
          </w:p>
        </w:tc>
        <w:tc>
          <w:tcPr>
            <w:tcW w:w="997" w:type="dxa"/>
            <w:tcBorders>
              <w:top w:val="nil"/>
              <w:left w:val="nil"/>
              <w:bottom w:val="nil"/>
              <w:right w:val="nil"/>
            </w:tcBorders>
            <w:vAlign w:val="center"/>
          </w:tcPr>
          <w:p w14:paraId="17539D5F" w14:textId="0C529885"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br/>
              <w:t>HOS-ADL</w:t>
            </w:r>
            <w:r w:rsidRPr="007A114B">
              <w:rPr>
                <w:rFonts w:ascii="Calibri" w:hAnsi="Calibri"/>
                <w:color w:val="000000"/>
                <w:sz w:val="18"/>
                <w:szCs w:val="18"/>
                <w:lang w:val="en-GB"/>
              </w:rPr>
              <w:br/>
              <w:t>HOS-SSS</w:t>
            </w:r>
            <w:r w:rsidRPr="007A114B">
              <w:rPr>
                <w:rFonts w:ascii="Calibri" w:hAnsi="Calibri"/>
                <w:color w:val="000000"/>
                <w:sz w:val="18"/>
                <w:szCs w:val="18"/>
                <w:lang w:val="en-GB"/>
              </w:rPr>
              <w:br/>
              <w:t>NAHS</w:t>
            </w:r>
            <w:r w:rsidRPr="007A114B">
              <w:rPr>
                <w:rFonts w:ascii="Calibri" w:hAnsi="Calibri"/>
                <w:color w:val="000000"/>
                <w:sz w:val="18"/>
                <w:szCs w:val="18"/>
                <w:lang w:val="en-GB"/>
              </w:rPr>
              <w:br/>
              <w:t>VAS</w:t>
            </w:r>
          </w:p>
        </w:tc>
        <w:tc>
          <w:tcPr>
            <w:tcW w:w="1775" w:type="dxa"/>
            <w:tcBorders>
              <w:top w:val="nil"/>
              <w:left w:val="nil"/>
              <w:bottom w:val="nil"/>
              <w:right w:val="nil"/>
            </w:tcBorders>
            <w:vAlign w:val="center"/>
          </w:tcPr>
          <w:p w14:paraId="7DC8FD54" w14:textId="1675F822" w:rsidR="00CB6465" w:rsidRPr="00E27D10" w:rsidRDefault="00CB6465" w:rsidP="00CB6465">
            <w:pPr>
              <w:spacing w:after="120"/>
              <w:jc w:val="center"/>
              <w:rPr>
                <w:rFonts w:cstheme="minorHAnsi"/>
                <w:sz w:val="18"/>
                <w:szCs w:val="18"/>
                <w:lang w:val="de-DE" w:eastAsia="en-GB"/>
              </w:rPr>
            </w:pPr>
            <w:r w:rsidRPr="00E27D10">
              <w:rPr>
                <w:rFonts w:ascii="Calibri" w:hAnsi="Calibri"/>
                <w:color w:val="000000"/>
                <w:sz w:val="18"/>
                <w:szCs w:val="18"/>
                <w:lang w:val="de-DE"/>
              </w:rPr>
              <w:t>59.0</w:t>
            </w:r>
            <w:r w:rsidR="00951823" w:rsidRPr="00E27D10">
              <w:rPr>
                <w:rFonts w:ascii="Calibri" w:hAnsi="Calibri"/>
                <w:color w:val="000000"/>
                <w:sz w:val="18"/>
                <w:szCs w:val="18"/>
                <w:lang w:val="de-DE"/>
              </w:rPr>
              <w:t xml:space="preserve"> ± 13.6</w:t>
            </w:r>
            <w:r w:rsidRPr="00E27D10">
              <w:rPr>
                <w:rFonts w:ascii="Calibri" w:hAnsi="Calibri"/>
                <w:color w:val="000000"/>
                <w:sz w:val="18"/>
                <w:szCs w:val="18"/>
                <w:lang w:val="de-DE"/>
              </w:rPr>
              <w:t xml:space="preserve"> (T0); 56.7 </w:t>
            </w:r>
            <w:r w:rsidR="00951823" w:rsidRPr="00E27D10">
              <w:rPr>
                <w:rFonts w:ascii="Calibri" w:hAnsi="Calibri"/>
                <w:color w:val="000000"/>
                <w:sz w:val="18"/>
                <w:szCs w:val="18"/>
                <w:lang w:val="de-DE"/>
              </w:rPr>
              <w:t xml:space="preserve">± 15.4 </w:t>
            </w:r>
            <w:r w:rsidRPr="00E27D10">
              <w:rPr>
                <w:rFonts w:ascii="Calibri" w:hAnsi="Calibri"/>
                <w:color w:val="000000"/>
                <w:sz w:val="18"/>
                <w:szCs w:val="18"/>
                <w:lang w:val="de-DE"/>
              </w:rPr>
              <w:t>(T1);</w:t>
            </w:r>
            <w:r w:rsidRPr="00E27D10">
              <w:rPr>
                <w:rFonts w:ascii="Calibri" w:hAnsi="Calibri"/>
                <w:color w:val="000000"/>
                <w:sz w:val="18"/>
                <w:szCs w:val="18"/>
                <w:lang w:val="de-DE"/>
              </w:rPr>
              <w:br/>
              <w:t>57.1</w:t>
            </w:r>
            <w:r w:rsidR="00951823" w:rsidRPr="00E27D10">
              <w:rPr>
                <w:rFonts w:ascii="Calibri" w:hAnsi="Calibri"/>
                <w:color w:val="000000"/>
                <w:sz w:val="18"/>
                <w:szCs w:val="18"/>
                <w:lang w:val="de-DE"/>
              </w:rPr>
              <w:t xml:space="preserve"> ± 19.6</w:t>
            </w:r>
            <w:r w:rsidRPr="00E27D10">
              <w:rPr>
                <w:rFonts w:ascii="Calibri" w:hAnsi="Calibri"/>
                <w:color w:val="000000"/>
                <w:sz w:val="18"/>
                <w:szCs w:val="18"/>
                <w:lang w:val="de-DE"/>
              </w:rPr>
              <w:t xml:space="preserve"> (T0); 59.2</w:t>
            </w:r>
            <w:r w:rsidR="00951823" w:rsidRPr="00E27D10">
              <w:rPr>
                <w:rFonts w:ascii="Calibri" w:hAnsi="Calibri"/>
                <w:color w:val="000000"/>
                <w:sz w:val="18"/>
                <w:szCs w:val="18"/>
                <w:lang w:val="de-DE"/>
              </w:rPr>
              <w:t xml:space="preserve"> ± 21.3</w:t>
            </w:r>
            <w:r w:rsidRPr="00E27D10">
              <w:rPr>
                <w:rFonts w:ascii="Calibri" w:hAnsi="Calibri"/>
                <w:color w:val="000000"/>
                <w:sz w:val="18"/>
                <w:szCs w:val="18"/>
                <w:lang w:val="de-DE"/>
              </w:rPr>
              <w:t xml:space="preserve"> (T1);</w:t>
            </w:r>
            <w:r w:rsidRPr="00E27D10">
              <w:rPr>
                <w:rFonts w:ascii="Calibri" w:hAnsi="Calibri"/>
                <w:color w:val="000000"/>
                <w:sz w:val="18"/>
                <w:szCs w:val="18"/>
                <w:lang w:val="de-DE"/>
              </w:rPr>
              <w:br/>
              <w:t>39.2</w:t>
            </w:r>
            <w:r w:rsidR="00951823" w:rsidRPr="00E27D10">
              <w:rPr>
                <w:rFonts w:ascii="Calibri" w:hAnsi="Calibri"/>
                <w:color w:val="000000"/>
                <w:sz w:val="18"/>
                <w:szCs w:val="18"/>
                <w:lang w:val="de-DE"/>
              </w:rPr>
              <w:t xml:space="preserve"> ± 23.9</w:t>
            </w:r>
            <w:r w:rsidRPr="00E27D10">
              <w:rPr>
                <w:rFonts w:ascii="Calibri" w:hAnsi="Calibri"/>
                <w:color w:val="000000"/>
                <w:sz w:val="18"/>
                <w:szCs w:val="18"/>
                <w:lang w:val="de-DE"/>
              </w:rPr>
              <w:t xml:space="preserve"> (T0); 39.2 </w:t>
            </w:r>
            <w:r w:rsidR="00951823" w:rsidRPr="00E27D10">
              <w:rPr>
                <w:rFonts w:ascii="Calibri" w:hAnsi="Calibri"/>
                <w:color w:val="000000"/>
                <w:sz w:val="18"/>
                <w:szCs w:val="18"/>
                <w:lang w:val="de-DE"/>
              </w:rPr>
              <w:t>± 26.9</w:t>
            </w:r>
            <w:r w:rsidRPr="00E27D10">
              <w:rPr>
                <w:rFonts w:ascii="Calibri" w:hAnsi="Calibri"/>
                <w:color w:val="000000"/>
                <w:sz w:val="18"/>
                <w:szCs w:val="18"/>
                <w:lang w:val="de-DE"/>
              </w:rPr>
              <w:t>(T1);</w:t>
            </w:r>
            <w:r w:rsidRPr="00E27D10">
              <w:rPr>
                <w:rFonts w:ascii="Calibri" w:hAnsi="Calibri"/>
                <w:color w:val="000000"/>
                <w:sz w:val="18"/>
                <w:szCs w:val="18"/>
                <w:lang w:val="de-DE"/>
              </w:rPr>
              <w:br/>
              <w:t>52.6</w:t>
            </w:r>
            <w:r w:rsidR="00951823" w:rsidRPr="00E27D10">
              <w:rPr>
                <w:rFonts w:ascii="Calibri" w:hAnsi="Calibri"/>
                <w:color w:val="000000"/>
                <w:sz w:val="18"/>
                <w:szCs w:val="18"/>
                <w:lang w:val="de-DE"/>
              </w:rPr>
              <w:t xml:space="preserve"> ± 17.5</w:t>
            </w:r>
            <w:r w:rsidRPr="00E27D10">
              <w:rPr>
                <w:rFonts w:ascii="Calibri" w:hAnsi="Calibri"/>
                <w:color w:val="000000"/>
                <w:sz w:val="18"/>
                <w:szCs w:val="18"/>
                <w:lang w:val="de-DE"/>
              </w:rPr>
              <w:t xml:space="preserve"> (T0); 53.4</w:t>
            </w:r>
            <w:r w:rsidR="00951823" w:rsidRPr="00E27D10">
              <w:rPr>
                <w:rFonts w:ascii="Calibri" w:hAnsi="Calibri"/>
                <w:color w:val="000000"/>
                <w:sz w:val="18"/>
                <w:szCs w:val="18"/>
                <w:lang w:val="de-DE"/>
              </w:rPr>
              <w:t xml:space="preserve"> ± 18.1</w:t>
            </w:r>
            <w:r w:rsidRPr="00E27D10">
              <w:rPr>
                <w:rFonts w:ascii="Calibri" w:hAnsi="Calibri"/>
                <w:color w:val="000000"/>
                <w:sz w:val="18"/>
                <w:szCs w:val="18"/>
                <w:lang w:val="de-DE"/>
              </w:rPr>
              <w:t xml:space="preserve"> (T1);</w:t>
            </w:r>
            <w:r w:rsidRPr="00E27D10">
              <w:rPr>
                <w:rFonts w:ascii="Calibri" w:hAnsi="Calibri"/>
                <w:color w:val="000000"/>
                <w:sz w:val="18"/>
                <w:szCs w:val="18"/>
                <w:lang w:val="de-DE"/>
              </w:rPr>
              <w:br/>
              <w:t xml:space="preserve">6.29 </w:t>
            </w:r>
            <w:r w:rsidR="00951823" w:rsidRPr="00E27D10">
              <w:rPr>
                <w:rFonts w:ascii="Calibri" w:hAnsi="Calibri"/>
                <w:color w:val="000000"/>
                <w:sz w:val="18"/>
                <w:szCs w:val="18"/>
                <w:lang w:val="de-DE"/>
              </w:rPr>
              <w:t>± 1.85</w:t>
            </w:r>
            <w:r w:rsidRPr="00E27D10">
              <w:rPr>
                <w:rFonts w:ascii="Calibri" w:hAnsi="Calibri"/>
                <w:color w:val="000000"/>
                <w:sz w:val="18"/>
                <w:szCs w:val="18"/>
                <w:lang w:val="de-DE"/>
              </w:rPr>
              <w:t xml:space="preserve">(T0); 6.27 </w:t>
            </w:r>
            <w:r w:rsidR="00951823" w:rsidRPr="00E27D10">
              <w:rPr>
                <w:rFonts w:ascii="Calibri" w:hAnsi="Calibri"/>
                <w:color w:val="000000"/>
                <w:sz w:val="18"/>
                <w:szCs w:val="18"/>
                <w:lang w:val="de-DE"/>
              </w:rPr>
              <w:t xml:space="preserve">± 2.13 </w:t>
            </w:r>
            <w:r w:rsidRPr="00E27D10">
              <w:rPr>
                <w:rFonts w:ascii="Calibri" w:hAnsi="Calibri"/>
                <w:color w:val="000000"/>
                <w:sz w:val="18"/>
                <w:szCs w:val="18"/>
                <w:lang w:val="de-DE"/>
              </w:rPr>
              <w:t>(T1)</w:t>
            </w:r>
          </w:p>
        </w:tc>
        <w:tc>
          <w:tcPr>
            <w:tcW w:w="1673" w:type="dxa"/>
            <w:tcBorders>
              <w:top w:val="nil"/>
              <w:left w:val="nil"/>
              <w:bottom w:val="nil"/>
              <w:right w:val="nil"/>
            </w:tcBorders>
            <w:vAlign w:val="center"/>
          </w:tcPr>
          <w:p w14:paraId="22AB8C15" w14:textId="230C0ECA" w:rsidR="00CB6465" w:rsidRPr="00E27D10" w:rsidRDefault="00CB6465" w:rsidP="00CB6465">
            <w:pPr>
              <w:spacing w:after="120"/>
              <w:jc w:val="center"/>
              <w:rPr>
                <w:rFonts w:cstheme="minorHAnsi"/>
                <w:sz w:val="18"/>
                <w:szCs w:val="18"/>
                <w:lang w:val="de-DE" w:eastAsia="en-GB"/>
              </w:rPr>
            </w:pPr>
            <w:r w:rsidRPr="00E27D10">
              <w:rPr>
                <w:rFonts w:ascii="Calibri" w:hAnsi="Calibri"/>
                <w:color w:val="000000"/>
                <w:sz w:val="18"/>
                <w:szCs w:val="18"/>
                <w:lang w:val="de-DE"/>
              </w:rPr>
              <w:t>74.5</w:t>
            </w:r>
            <w:r w:rsidR="00E1693A" w:rsidRPr="00E27D10">
              <w:rPr>
                <w:rFonts w:ascii="Calibri" w:hAnsi="Calibri"/>
                <w:color w:val="000000"/>
                <w:sz w:val="18"/>
                <w:szCs w:val="18"/>
                <w:lang w:val="de-DE"/>
              </w:rPr>
              <w:t xml:space="preserve"> ± </w:t>
            </w:r>
            <w:r w:rsidR="00FA2168" w:rsidRPr="00E27D10">
              <w:rPr>
                <w:rFonts w:ascii="Calibri" w:hAnsi="Calibri"/>
                <w:color w:val="000000"/>
                <w:sz w:val="18"/>
                <w:szCs w:val="18"/>
                <w:lang w:val="de-DE"/>
              </w:rPr>
              <w:t>18.9 (</w:t>
            </w:r>
            <w:r w:rsidRPr="00E27D10">
              <w:rPr>
                <w:rFonts w:ascii="Calibri" w:hAnsi="Calibri"/>
                <w:color w:val="000000"/>
                <w:sz w:val="18"/>
                <w:szCs w:val="18"/>
                <w:lang w:val="de-DE"/>
              </w:rPr>
              <w:t xml:space="preserve">T0); 80.5 </w:t>
            </w:r>
            <w:r w:rsidR="00E1693A" w:rsidRPr="00E27D10">
              <w:rPr>
                <w:rFonts w:ascii="Calibri" w:hAnsi="Calibri"/>
                <w:color w:val="000000"/>
                <w:sz w:val="18"/>
                <w:szCs w:val="18"/>
                <w:lang w:val="de-DE"/>
              </w:rPr>
              <w:t xml:space="preserve">± 18.6 </w:t>
            </w:r>
            <w:r w:rsidRPr="00E27D10">
              <w:rPr>
                <w:rFonts w:ascii="Calibri" w:hAnsi="Calibri"/>
                <w:color w:val="000000"/>
                <w:sz w:val="18"/>
                <w:szCs w:val="18"/>
                <w:lang w:val="de-DE"/>
              </w:rPr>
              <w:t>(T1);</w:t>
            </w:r>
            <w:r w:rsidRPr="00E27D10">
              <w:rPr>
                <w:rFonts w:ascii="Calibri" w:hAnsi="Calibri"/>
                <w:color w:val="000000"/>
                <w:sz w:val="18"/>
                <w:szCs w:val="18"/>
                <w:lang w:val="de-DE"/>
              </w:rPr>
              <w:br/>
              <w:t>76.1</w:t>
            </w:r>
            <w:r w:rsidR="00E1693A" w:rsidRPr="00E27D10">
              <w:rPr>
                <w:rFonts w:ascii="Calibri" w:hAnsi="Calibri"/>
                <w:color w:val="000000"/>
                <w:sz w:val="18"/>
                <w:szCs w:val="18"/>
                <w:lang w:val="de-DE"/>
              </w:rPr>
              <w:t xml:space="preserve"> ± 22.3</w:t>
            </w:r>
            <w:r w:rsidRPr="00E27D10">
              <w:rPr>
                <w:rFonts w:ascii="Calibri" w:hAnsi="Calibri"/>
                <w:color w:val="000000"/>
                <w:sz w:val="18"/>
                <w:szCs w:val="18"/>
                <w:lang w:val="de-DE"/>
              </w:rPr>
              <w:t xml:space="preserve"> (T0); 79.8</w:t>
            </w:r>
            <w:r w:rsidR="00E1693A" w:rsidRPr="00E27D10">
              <w:rPr>
                <w:rFonts w:ascii="Calibri" w:hAnsi="Calibri"/>
                <w:color w:val="000000"/>
                <w:sz w:val="18"/>
                <w:szCs w:val="18"/>
                <w:lang w:val="de-DE"/>
              </w:rPr>
              <w:t xml:space="preserve"> ± 21.9</w:t>
            </w:r>
            <w:r w:rsidRPr="00E27D10">
              <w:rPr>
                <w:rFonts w:ascii="Calibri" w:hAnsi="Calibri"/>
                <w:color w:val="000000"/>
                <w:sz w:val="18"/>
                <w:szCs w:val="18"/>
                <w:lang w:val="de-DE"/>
              </w:rPr>
              <w:t xml:space="preserve"> (T1);</w:t>
            </w:r>
            <w:r w:rsidRPr="00E27D10">
              <w:rPr>
                <w:rFonts w:ascii="Calibri" w:hAnsi="Calibri"/>
                <w:color w:val="000000"/>
                <w:sz w:val="18"/>
                <w:szCs w:val="18"/>
                <w:lang w:val="de-DE"/>
              </w:rPr>
              <w:br/>
              <w:t>61.8</w:t>
            </w:r>
            <w:r w:rsidR="00E1693A" w:rsidRPr="00E27D10">
              <w:rPr>
                <w:rFonts w:ascii="Calibri" w:hAnsi="Calibri"/>
                <w:color w:val="000000"/>
                <w:sz w:val="18"/>
                <w:szCs w:val="18"/>
                <w:lang w:val="de-DE"/>
              </w:rPr>
              <w:t xml:space="preserve"> ± 31.5</w:t>
            </w:r>
            <w:r w:rsidRPr="00E27D10">
              <w:rPr>
                <w:rFonts w:ascii="Calibri" w:hAnsi="Calibri"/>
                <w:color w:val="000000"/>
                <w:sz w:val="18"/>
                <w:szCs w:val="18"/>
                <w:lang w:val="de-DE"/>
              </w:rPr>
              <w:t xml:space="preserve"> (T0); 65.6</w:t>
            </w:r>
            <w:r w:rsidR="00E1693A" w:rsidRPr="00E27D10">
              <w:rPr>
                <w:rFonts w:ascii="Calibri" w:hAnsi="Calibri"/>
                <w:color w:val="000000"/>
                <w:sz w:val="18"/>
                <w:szCs w:val="18"/>
                <w:lang w:val="de-DE"/>
              </w:rPr>
              <w:t xml:space="preserve"> ± 34.3</w:t>
            </w:r>
            <w:r w:rsidRPr="00E27D10">
              <w:rPr>
                <w:rFonts w:ascii="Calibri" w:hAnsi="Calibri"/>
                <w:color w:val="000000"/>
                <w:sz w:val="18"/>
                <w:szCs w:val="18"/>
                <w:lang w:val="de-DE"/>
              </w:rPr>
              <w:t xml:space="preserve"> (T1);</w:t>
            </w:r>
            <w:r w:rsidRPr="00E27D10">
              <w:rPr>
                <w:rFonts w:ascii="Calibri" w:hAnsi="Calibri"/>
                <w:color w:val="000000"/>
                <w:sz w:val="18"/>
                <w:szCs w:val="18"/>
                <w:lang w:val="de-DE"/>
              </w:rPr>
              <w:br/>
              <w:t xml:space="preserve">73.3 </w:t>
            </w:r>
            <w:r w:rsidR="00E1693A" w:rsidRPr="00E27D10">
              <w:rPr>
                <w:rFonts w:ascii="Calibri" w:hAnsi="Calibri"/>
                <w:color w:val="000000"/>
                <w:sz w:val="18"/>
                <w:szCs w:val="18"/>
                <w:lang w:val="de-DE"/>
              </w:rPr>
              <w:t xml:space="preserve">± 20.2 </w:t>
            </w:r>
            <w:r w:rsidRPr="00E27D10">
              <w:rPr>
                <w:rFonts w:ascii="Calibri" w:hAnsi="Calibri"/>
                <w:color w:val="000000"/>
                <w:sz w:val="18"/>
                <w:szCs w:val="18"/>
                <w:lang w:val="de-DE"/>
              </w:rPr>
              <w:t>(T0); 78.1</w:t>
            </w:r>
            <w:r w:rsidR="00E1693A" w:rsidRPr="00E27D10">
              <w:rPr>
                <w:rFonts w:ascii="Calibri" w:hAnsi="Calibri"/>
                <w:color w:val="000000"/>
                <w:sz w:val="18"/>
                <w:szCs w:val="18"/>
                <w:lang w:val="de-DE"/>
              </w:rPr>
              <w:t xml:space="preserve"> ± 18.4</w:t>
            </w:r>
            <w:r w:rsidRPr="00E27D10">
              <w:rPr>
                <w:rFonts w:ascii="Calibri" w:hAnsi="Calibri"/>
                <w:color w:val="000000"/>
                <w:sz w:val="18"/>
                <w:szCs w:val="18"/>
                <w:lang w:val="de-DE"/>
              </w:rPr>
              <w:t xml:space="preserve"> (T1);</w:t>
            </w:r>
            <w:r w:rsidRPr="00E27D10">
              <w:rPr>
                <w:rFonts w:ascii="Calibri" w:hAnsi="Calibri"/>
                <w:color w:val="000000"/>
                <w:sz w:val="18"/>
                <w:szCs w:val="18"/>
                <w:lang w:val="de-DE"/>
              </w:rPr>
              <w:br/>
              <w:t xml:space="preserve">3.67 </w:t>
            </w:r>
            <w:r w:rsidR="00E1693A" w:rsidRPr="00E27D10">
              <w:rPr>
                <w:rFonts w:ascii="Calibri" w:hAnsi="Calibri"/>
                <w:color w:val="000000"/>
                <w:sz w:val="18"/>
                <w:szCs w:val="18"/>
                <w:lang w:val="de-DE"/>
              </w:rPr>
              <w:t xml:space="preserve">± 2.47 </w:t>
            </w:r>
            <w:r w:rsidRPr="00E27D10">
              <w:rPr>
                <w:rFonts w:ascii="Calibri" w:hAnsi="Calibri"/>
                <w:color w:val="000000"/>
                <w:sz w:val="18"/>
                <w:szCs w:val="18"/>
                <w:lang w:val="de-DE"/>
              </w:rPr>
              <w:t xml:space="preserve">(T0); 3.54 </w:t>
            </w:r>
            <w:r w:rsidR="00E1693A" w:rsidRPr="00E27D10">
              <w:rPr>
                <w:rFonts w:ascii="Calibri" w:hAnsi="Calibri"/>
                <w:color w:val="000000"/>
                <w:sz w:val="18"/>
                <w:szCs w:val="18"/>
                <w:lang w:val="de-DE"/>
              </w:rPr>
              <w:t xml:space="preserve">± 2.74 </w:t>
            </w:r>
            <w:r w:rsidRPr="00E27D10">
              <w:rPr>
                <w:rFonts w:ascii="Calibri" w:hAnsi="Calibri"/>
                <w:color w:val="000000"/>
                <w:sz w:val="18"/>
                <w:szCs w:val="18"/>
                <w:lang w:val="de-DE"/>
              </w:rPr>
              <w:t>(T1)</w:t>
            </w:r>
          </w:p>
        </w:tc>
        <w:tc>
          <w:tcPr>
            <w:tcW w:w="2328" w:type="dxa"/>
            <w:tcBorders>
              <w:top w:val="nil"/>
              <w:left w:val="nil"/>
              <w:bottom w:val="nil"/>
              <w:right w:val="nil"/>
            </w:tcBorders>
            <w:vAlign w:val="center"/>
          </w:tcPr>
          <w:p w14:paraId="2A29D22E" w14:textId="03108D54" w:rsidR="00CB6465" w:rsidRPr="00E27D10" w:rsidRDefault="00CB6465" w:rsidP="00CB6465">
            <w:pPr>
              <w:spacing w:after="120"/>
              <w:jc w:val="center"/>
              <w:rPr>
                <w:rFonts w:cstheme="minorHAnsi"/>
                <w:sz w:val="18"/>
                <w:szCs w:val="18"/>
                <w:lang w:val="de-DE" w:eastAsia="en-GB"/>
              </w:rPr>
            </w:pPr>
            <w:r w:rsidRPr="00E27D10">
              <w:rPr>
                <w:rFonts w:ascii="Calibri" w:hAnsi="Calibri"/>
                <w:color w:val="000000"/>
                <w:sz w:val="18"/>
                <w:szCs w:val="18"/>
                <w:lang w:val="de-DE"/>
              </w:rPr>
              <w:t>mHHS: +15.5 (T0); 23.8 (T1);</w:t>
            </w:r>
            <w:r w:rsidRPr="00E27D10">
              <w:rPr>
                <w:rFonts w:ascii="Calibri" w:hAnsi="Calibri"/>
                <w:color w:val="000000"/>
                <w:sz w:val="18"/>
                <w:szCs w:val="18"/>
                <w:lang w:val="de-DE"/>
              </w:rPr>
              <w:br/>
              <w:t>HOS-ADL: +19.0 (T0); +20.6 (T1);</w:t>
            </w:r>
            <w:r w:rsidRPr="00E27D10">
              <w:rPr>
                <w:rFonts w:ascii="Calibri" w:hAnsi="Calibri"/>
                <w:color w:val="000000"/>
                <w:sz w:val="18"/>
                <w:szCs w:val="18"/>
                <w:lang w:val="de-DE"/>
              </w:rPr>
              <w:br/>
              <w:t>HOS-SSS: +22.6 (T0); +26.4 (T1);</w:t>
            </w:r>
            <w:r w:rsidRPr="00E27D10">
              <w:rPr>
                <w:rFonts w:ascii="Calibri" w:hAnsi="Calibri"/>
                <w:color w:val="000000"/>
                <w:sz w:val="18"/>
                <w:szCs w:val="18"/>
                <w:lang w:val="de-DE"/>
              </w:rPr>
              <w:br/>
              <w:t>NAHS: +20.7 (T0); +24.7 (T1);</w:t>
            </w:r>
            <w:r w:rsidRPr="00E27D10">
              <w:rPr>
                <w:rFonts w:ascii="Calibri" w:hAnsi="Calibri"/>
                <w:color w:val="000000"/>
                <w:sz w:val="18"/>
                <w:szCs w:val="18"/>
                <w:lang w:val="de-DE"/>
              </w:rPr>
              <w:br/>
              <w:t>VAS: -2.62 (T0); -2.73 (T1)</w:t>
            </w:r>
          </w:p>
        </w:tc>
      </w:tr>
      <w:tr w:rsidR="00694DFA" w:rsidRPr="007A114B" w14:paraId="008EB353" w14:textId="77777777" w:rsidTr="008A56A0">
        <w:trPr>
          <w:trHeight w:val="383"/>
        </w:trPr>
        <w:tc>
          <w:tcPr>
            <w:tcW w:w="1540" w:type="dxa"/>
            <w:tcBorders>
              <w:top w:val="nil"/>
              <w:left w:val="nil"/>
              <w:bottom w:val="nil"/>
              <w:right w:val="nil"/>
            </w:tcBorders>
            <w:vAlign w:val="center"/>
          </w:tcPr>
          <w:p w14:paraId="04262BA8" w14:textId="4DFC6327" w:rsidR="00CB6465" w:rsidRPr="007A114B" w:rsidRDefault="00CB6465" w:rsidP="00CB6465">
            <w:pPr>
              <w:spacing w:after="120"/>
              <w:jc w:val="center"/>
              <w:rPr>
                <w:rFonts w:cstheme="minorHAnsi"/>
                <w:sz w:val="18"/>
                <w:szCs w:val="18"/>
                <w:lang w:val="en-GB" w:eastAsia="en-GB"/>
              </w:rPr>
            </w:pPr>
            <w:proofErr w:type="spellStart"/>
            <w:r w:rsidRPr="007A114B">
              <w:rPr>
                <w:rFonts w:cstheme="minorHAnsi"/>
                <w:sz w:val="18"/>
                <w:szCs w:val="18"/>
                <w:lang w:val="en-GB" w:eastAsia="en-GB"/>
              </w:rPr>
              <w:t>Comba</w:t>
            </w:r>
            <w:proofErr w:type="spellEnd"/>
            <w:r w:rsidRPr="007A114B">
              <w:rPr>
                <w:rFonts w:cstheme="minorHAnsi"/>
                <w:sz w:val="18"/>
                <w:szCs w:val="18"/>
                <w:lang w:val="en-GB" w:eastAsia="en-GB"/>
              </w:rPr>
              <w:t xml:space="preserve"> 2016</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journal","id":"ITEM-1","issue":"3","issued":{"date-parts":[["2016"]]},"language":"eng","page":"317-323","title":"Joint preservation after hip arthroscopy in patients with FAI. Prospective analysis  with a minimum follow-up of seven years.","type":"article-journal","volume":"6"},"uris":["http://www.mendeley.com/documents/?uuid=02bbbb1b-5b7e-48ac-a558-094f38db259c"]}],"mendeley":{"formattedCitation":"&lt;sup&gt;29&lt;/sup&gt;","plainTextFormattedCitation":"29","previouslyFormattedCitation":"&lt;sup&gt;29&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29</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47656BCD" w14:textId="716D5B59"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15</w:t>
            </w:r>
          </w:p>
        </w:tc>
        <w:tc>
          <w:tcPr>
            <w:tcW w:w="1418" w:type="dxa"/>
            <w:tcBorders>
              <w:top w:val="nil"/>
              <w:left w:val="nil"/>
              <w:bottom w:val="nil"/>
              <w:right w:val="nil"/>
            </w:tcBorders>
            <w:vAlign w:val="center"/>
          </w:tcPr>
          <w:p w14:paraId="18E571EA" w14:textId="303799F4"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84 months</w:t>
            </w:r>
          </w:p>
        </w:tc>
        <w:tc>
          <w:tcPr>
            <w:tcW w:w="997" w:type="dxa"/>
            <w:tcBorders>
              <w:top w:val="nil"/>
              <w:left w:val="nil"/>
              <w:bottom w:val="nil"/>
              <w:right w:val="nil"/>
            </w:tcBorders>
            <w:vAlign w:val="center"/>
          </w:tcPr>
          <w:p w14:paraId="354FDAB3" w14:textId="57B1DC6A"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 xml:space="preserve">WOMAC, </w:t>
            </w:r>
            <w:proofErr w:type="spellStart"/>
            <w:r w:rsidRPr="007A114B">
              <w:rPr>
                <w:rFonts w:ascii="Calibri" w:hAnsi="Calibri"/>
                <w:color w:val="000000"/>
                <w:sz w:val="18"/>
                <w:szCs w:val="18"/>
                <w:lang w:val="en-GB"/>
              </w:rPr>
              <w:t>mHHS</w:t>
            </w:r>
            <w:proofErr w:type="spellEnd"/>
          </w:p>
        </w:tc>
        <w:tc>
          <w:tcPr>
            <w:tcW w:w="1775" w:type="dxa"/>
            <w:tcBorders>
              <w:top w:val="nil"/>
              <w:left w:val="nil"/>
              <w:bottom w:val="nil"/>
              <w:right w:val="nil"/>
            </w:tcBorders>
            <w:vAlign w:val="center"/>
          </w:tcPr>
          <w:p w14:paraId="5385E3D0" w14:textId="04CE1720"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673" w:type="dxa"/>
            <w:tcBorders>
              <w:top w:val="nil"/>
              <w:left w:val="nil"/>
              <w:bottom w:val="nil"/>
              <w:right w:val="nil"/>
            </w:tcBorders>
            <w:vAlign w:val="center"/>
          </w:tcPr>
          <w:p w14:paraId="528173C9" w14:textId="3BB4BD75"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2328" w:type="dxa"/>
            <w:tcBorders>
              <w:top w:val="nil"/>
              <w:left w:val="nil"/>
              <w:bottom w:val="nil"/>
              <w:right w:val="nil"/>
            </w:tcBorders>
            <w:vAlign w:val="center"/>
          </w:tcPr>
          <w:p w14:paraId="4B43BBF6" w14:textId="5C8B137B"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694DFA" w:rsidRPr="007A114B" w14:paraId="0730967D" w14:textId="77777777" w:rsidTr="008A56A0">
        <w:trPr>
          <w:trHeight w:val="368"/>
        </w:trPr>
        <w:tc>
          <w:tcPr>
            <w:tcW w:w="1540" w:type="dxa"/>
            <w:tcBorders>
              <w:top w:val="nil"/>
              <w:left w:val="nil"/>
              <w:bottom w:val="nil"/>
              <w:right w:val="nil"/>
            </w:tcBorders>
            <w:vAlign w:val="center"/>
          </w:tcPr>
          <w:p w14:paraId="7D821A4A" w14:textId="0FFCD0FE" w:rsidR="00CB6465" w:rsidRPr="007A114B" w:rsidRDefault="00CB6465" w:rsidP="00CB6465">
            <w:pPr>
              <w:spacing w:after="120"/>
              <w:jc w:val="center"/>
              <w:rPr>
                <w:rFonts w:cstheme="minorHAnsi"/>
                <w:sz w:val="18"/>
                <w:szCs w:val="18"/>
                <w:lang w:val="en-GB" w:eastAsia="en-GB"/>
              </w:rPr>
            </w:pPr>
            <w:proofErr w:type="spellStart"/>
            <w:r w:rsidRPr="007A114B">
              <w:rPr>
                <w:rFonts w:cstheme="minorHAnsi"/>
                <w:sz w:val="18"/>
                <w:szCs w:val="18"/>
                <w:lang w:val="en-GB" w:eastAsia="en-GB"/>
              </w:rPr>
              <w:t>Dall’Oca</w:t>
            </w:r>
            <w:proofErr w:type="spellEnd"/>
            <w:r w:rsidRPr="007A114B">
              <w:rPr>
                <w:rFonts w:cstheme="minorHAnsi"/>
                <w:sz w:val="18"/>
                <w:szCs w:val="18"/>
                <w:lang w:val="en-GB" w:eastAsia="en-GB"/>
              </w:rPr>
              <w:t xml:space="preserve"> 2016</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Parmensis","id":"ITEM-1","issued":{"date-parts":[["2016","4"]]},"language":"eng","page":"46-52","publisher-place":"Italy","title":"Hip arthroscopy in osteoarthritis consequent to FAI.","type":"article-journal","volume":"87 Suppl 1"},"uris":["http://www.mendeley.com/documents/?uuid=82e72403-c488-4591-b988-0bd8df2431a0"]}],"mendeley":{"formattedCitation":"&lt;sup&gt;30&lt;/sup&gt;","plainTextFormattedCitation":"30","previouslyFormattedCitation":"&lt;sup&gt;30&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30</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0337905C" w14:textId="0B565B1F"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13</w:t>
            </w:r>
          </w:p>
        </w:tc>
        <w:tc>
          <w:tcPr>
            <w:tcW w:w="1418" w:type="dxa"/>
            <w:tcBorders>
              <w:top w:val="nil"/>
              <w:left w:val="nil"/>
              <w:bottom w:val="nil"/>
              <w:right w:val="nil"/>
            </w:tcBorders>
            <w:vAlign w:val="center"/>
          </w:tcPr>
          <w:p w14:paraId="05A9C1AA" w14:textId="6019F297"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12 months</w:t>
            </w:r>
          </w:p>
        </w:tc>
        <w:tc>
          <w:tcPr>
            <w:tcW w:w="997" w:type="dxa"/>
            <w:tcBorders>
              <w:top w:val="nil"/>
              <w:left w:val="nil"/>
              <w:bottom w:val="nil"/>
              <w:right w:val="nil"/>
            </w:tcBorders>
            <w:vAlign w:val="center"/>
          </w:tcPr>
          <w:p w14:paraId="5C7738A0" w14:textId="5D61ADE4"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LEFS</w:t>
            </w:r>
          </w:p>
        </w:tc>
        <w:tc>
          <w:tcPr>
            <w:tcW w:w="1775" w:type="dxa"/>
            <w:tcBorders>
              <w:top w:val="nil"/>
              <w:left w:val="nil"/>
              <w:bottom w:val="nil"/>
              <w:right w:val="nil"/>
            </w:tcBorders>
            <w:vAlign w:val="center"/>
          </w:tcPr>
          <w:p w14:paraId="64C446DA" w14:textId="5446024E"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57; LEFS: 44.6</w:t>
            </w:r>
          </w:p>
        </w:tc>
        <w:tc>
          <w:tcPr>
            <w:tcW w:w="1673" w:type="dxa"/>
            <w:tcBorders>
              <w:top w:val="nil"/>
              <w:left w:val="nil"/>
              <w:bottom w:val="nil"/>
              <w:right w:val="nil"/>
            </w:tcBorders>
            <w:vAlign w:val="center"/>
          </w:tcPr>
          <w:p w14:paraId="58DF09F6" w14:textId="1CD34AEC"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85.1; LEFS: 62.5</w:t>
            </w:r>
          </w:p>
        </w:tc>
        <w:tc>
          <w:tcPr>
            <w:tcW w:w="2328" w:type="dxa"/>
            <w:tcBorders>
              <w:top w:val="nil"/>
              <w:left w:val="nil"/>
              <w:bottom w:val="nil"/>
              <w:right w:val="nil"/>
            </w:tcBorders>
            <w:vAlign w:val="center"/>
          </w:tcPr>
          <w:p w14:paraId="7F8E0A5D" w14:textId="65D353DC"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57 to 85.1; LEFS 44.6 to 62.5</w:t>
            </w:r>
          </w:p>
        </w:tc>
      </w:tr>
      <w:tr w:rsidR="00694DFA" w:rsidRPr="007A114B" w14:paraId="645B3225" w14:textId="77777777" w:rsidTr="008A56A0">
        <w:trPr>
          <w:trHeight w:val="368"/>
        </w:trPr>
        <w:tc>
          <w:tcPr>
            <w:tcW w:w="1540" w:type="dxa"/>
            <w:tcBorders>
              <w:top w:val="nil"/>
              <w:left w:val="nil"/>
              <w:bottom w:val="nil"/>
              <w:right w:val="nil"/>
            </w:tcBorders>
            <w:vAlign w:val="center"/>
          </w:tcPr>
          <w:p w14:paraId="6E09E0E5" w14:textId="21AF2C62" w:rsidR="00CB6465" w:rsidRPr="007A114B" w:rsidRDefault="00CB6465" w:rsidP="00CB6465">
            <w:pPr>
              <w:spacing w:after="120"/>
              <w:jc w:val="center"/>
              <w:rPr>
                <w:rFonts w:cstheme="minorHAnsi"/>
                <w:sz w:val="18"/>
                <w:szCs w:val="18"/>
                <w:lang w:val="en-GB" w:eastAsia="en-GB"/>
              </w:rPr>
            </w:pPr>
            <w:r w:rsidRPr="007A114B">
              <w:rPr>
                <w:rFonts w:cstheme="minorHAnsi"/>
                <w:sz w:val="18"/>
                <w:szCs w:val="18"/>
                <w:lang w:val="en-GB" w:eastAsia="en-GB"/>
              </w:rPr>
              <w:t>Giordano 2019</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mendeley":{"formattedCitation":"&lt;sup&gt;28&lt;/sup&gt;","plainTextFormattedCitation":"28","previouslyFormattedCitation":"&lt;sup&gt;28&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28</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0C05A6D5" w14:textId="0AF27C6C"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10</w:t>
            </w:r>
          </w:p>
        </w:tc>
        <w:tc>
          <w:tcPr>
            <w:tcW w:w="1418" w:type="dxa"/>
            <w:tcBorders>
              <w:top w:val="nil"/>
              <w:left w:val="nil"/>
              <w:bottom w:val="nil"/>
              <w:right w:val="nil"/>
            </w:tcBorders>
            <w:vAlign w:val="center"/>
          </w:tcPr>
          <w:p w14:paraId="4FDDF3BF" w14:textId="4C165426" w:rsidR="00CB6465" w:rsidRPr="007A114B" w:rsidRDefault="00CB6465" w:rsidP="00CB6465">
            <w:pPr>
              <w:spacing w:after="120"/>
              <w:jc w:val="center"/>
              <w:rPr>
                <w:rFonts w:ascii="Calibri" w:hAnsi="Calibri"/>
                <w:color w:val="000000"/>
                <w:sz w:val="18"/>
                <w:szCs w:val="18"/>
                <w:lang w:val="en-GB"/>
              </w:rPr>
            </w:pPr>
            <w:r w:rsidRPr="007A114B">
              <w:rPr>
                <w:rFonts w:ascii="Calibri" w:hAnsi="Calibri"/>
                <w:color w:val="000000"/>
                <w:sz w:val="18"/>
                <w:szCs w:val="18"/>
                <w:lang w:val="en-GB"/>
              </w:rPr>
              <w:t>75 ± 13 months</w:t>
            </w:r>
          </w:p>
        </w:tc>
        <w:tc>
          <w:tcPr>
            <w:tcW w:w="997" w:type="dxa"/>
            <w:tcBorders>
              <w:top w:val="nil"/>
              <w:left w:val="nil"/>
              <w:bottom w:val="nil"/>
              <w:right w:val="nil"/>
            </w:tcBorders>
            <w:vAlign w:val="center"/>
          </w:tcPr>
          <w:p w14:paraId="10DCD356" w14:textId="0758E670"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HOS-SS; NAHS</w:t>
            </w:r>
          </w:p>
        </w:tc>
        <w:tc>
          <w:tcPr>
            <w:tcW w:w="1775" w:type="dxa"/>
            <w:tcBorders>
              <w:top w:val="nil"/>
              <w:left w:val="nil"/>
              <w:bottom w:val="nil"/>
              <w:right w:val="nil"/>
            </w:tcBorders>
            <w:vAlign w:val="center"/>
          </w:tcPr>
          <w:p w14:paraId="02A441C5" w14:textId="299EBA98"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673" w:type="dxa"/>
            <w:tcBorders>
              <w:top w:val="nil"/>
              <w:left w:val="nil"/>
              <w:bottom w:val="nil"/>
              <w:right w:val="nil"/>
            </w:tcBorders>
            <w:vAlign w:val="center"/>
          </w:tcPr>
          <w:p w14:paraId="727BC687" w14:textId="0DF9E917"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2328" w:type="dxa"/>
            <w:tcBorders>
              <w:top w:val="nil"/>
              <w:left w:val="nil"/>
              <w:bottom w:val="nil"/>
              <w:right w:val="nil"/>
            </w:tcBorders>
            <w:vAlign w:val="center"/>
          </w:tcPr>
          <w:p w14:paraId="117C3072" w14:textId="51EBA997" w:rsidR="00CB6465" w:rsidRPr="007A114B" w:rsidRDefault="00CB6465" w:rsidP="00CB6465">
            <w:pPr>
              <w:spacing w:after="120"/>
              <w:jc w:val="center"/>
              <w:rPr>
                <w:rFonts w:cstheme="minorHAnsi"/>
                <w:i/>
                <w:iCs/>
                <w:sz w:val="14"/>
                <w:szCs w:val="14"/>
                <w:lang w:val="en-GB" w:eastAsia="en-GB"/>
              </w:rPr>
            </w:pPr>
            <w:r w:rsidRPr="007A114B">
              <w:rPr>
                <w:rFonts w:ascii="Calibri" w:hAnsi="Calibri"/>
                <w:i/>
                <w:iCs/>
                <w:color w:val="808080" w:themeColor="background1" w:themeShade="80"/>
                <w:sz w:val="14"/>
                <w:szCs w:val="14"/>
                <w:lang w:val="en-GB"/>
              </w:rPr>
              <w:t>cannot extract (unstratified data)</w:t>
            </w:r>
          </w:p>
        </w:tc>
      </w:tr>
      <w:tr w:rsidR="00694DFA" w:rsidRPr="007A114B" w14:paraId="59517236" w14:textId="77777777" w:rsidTr="008A56A0">
        <w:trPr>
          <w:trHeight w:val="368"/>
        </w:trPr>
        <w:tc>
          <w:tcPr>
            <w:tcW w:w="1540" w:type="dxa"/>
            <w:tcBorders>
              <w:top w:val="nil"/>
              <w:left w:val="nil"/>
              <w:bottom w:val="nil"/>
              <w:right w:val="nil"/>
            </w:tcBorders>
            <w:vAlign w:val="center"/>
          </w:tcPr>
          <w:p w14:paraId="199FA024" w14:textId="645F5188" w:rsidR="00CB6465" w:rsidRPr="007A114B" w:rsidRDefault="00CB6465" w:rsidP="00CB6465">
            <w:pPr>
              <w:spacing w:after="120"/>
              <w:jc w:val="center"/>
              <w:rPr>
                <w:rFonts w:cstheme="minorHAnsi"/>
                <w:sz w:val="18"/>
                <w:szCs w:val="18"/>
                <w:lang w:val="en-GB" w:eastAsia="en-GB"/>
              </w:rPr>
            </w:pPr>
            <w:r w:rsidRPr="007A114B">
              <w:rPr>
                <w:rFonts w:cstheme="minorHAnsi"/>
                <w:sz w:val="18"/>
                <w:szCs w:val="18"/>
                <w:lang w:val="en-GB" w:eastAsia="en-GB"/>
              </w:rPr>
              <w:t>Hevesi 2017</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8f8eac7f-70a7-410a-a4cc-a0e67969f6bc"]}],"mendeley":{"formattedCitation":"&lt;sup&gt;27&lt;/sup&gt;","plainTextFormattedCitation":"27","previouslyFormattedCitation":"&lt;sup&gt;27&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27</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1BCF51BB" w14:textId="139BEBA4"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11</w:t>
            </w:r>
          </w:p>
        </w:tc>
        <w:tc>
          <w:tcPr>
            <w:tcW w:w="1418" w:type="dxa"/>
            <w:tcBorders>
              <w:top w:val="nil"/>
              <w:left w:val="nil"/>
              <w:bottom w:val="nil"/>
              <w:right w:val="nil"/>
            </w:tcBorders>
            <w:vAlign w:val="center"/>
          </w:tcPr>
          <w:p w14:paraId="7B7F45CD" w14:textId="6851CE40"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5 years</w:t>
            </w:r>
          </w:p>
        </w:tc>
        <w:tc>
          <w:tcPr>
            <w:tcW w:w="997" w:type="dxa"/>
            <w:tcBorders>
              <w:top w:val="nil"/>
              <w:left w:val="nil"/>
              <w:bottom w:val="nil"/>
              <w:right w:val="nil"/>
            </w:tcBorders>
            <w:vAlign w:val="center"/>
          </w:tcPr>
          <w:p w14:paraId="5CA5C5A1" w14:textId="788D0BA9"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HOS-SSS; VAS</w:t>
            </w:r>
          </w:p>
        </w:tc>
        <w:tc>
          <w:tcPr>
            <w:tcW w:w="1775" w:type="dxa"/>
            <w:tcBorders>
              <w:top w:val="nil"/>
              <w:left w:val="nil"/>
              <w:bottom w:val="nil"/>
              <w:right w:val="nil"/>
            </w:tcBorders>
            <w:vAlign w:val="center"/>
          </w:tcPr>
          <w:p w14:paraId="5E9B8A94" w14:textId="58D5EE01"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72.7; HOS-SSS: 68.8</w:t>
            </w:r>
          </w:p>
        </w:tc>
        <w:tc>
          <w:tcPr>
            <w:tcW w:w="1673" w:type="dxa"/>
            <w:tcBorders>
              <w:top w:val="nil"/>
              <w:left w:val="nil"/>
              <w:bottom w:val="nil"/>
              <w:right w:val="nil"/>
            </w:tcBorders>
            <w:vAlign w:val="center"/>
          </w:tcPr>
          <w:p w14:paraId="1020287C" w14:textId="221888A3"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71.0; HOS-SSS: 49.5</w:t>
            </w:r>
          </w:p>
        </w:tc>
        <w:tc>
          <w:tcPr>
            <w:tcW w:w="2328" w:type="dxa"/>
            <w:tcBorders>
              <w:top w:val="nil"/>
              <w:left w:val="nil"/>
              <w:bottom w:val="nil"/>
              <w:right w:val="nil"/>
            </w:tcBorders>
            <w:vAlign w:val="center"/>
          </w:tcPr>
          <w:p w14:paraId="3CBDD2EC" w14:textId="223E9AC0"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 xml:space="preserve">VAS: -3.7; </w:t>
            </w: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-1.7; HOS-SSS: -19.3</w:t>
            </w:r>
          </w:p>
        </w:tc>
      </w:tr>
      <w:tr w:rsidR="00694DFA" w:rsidRPr="007A114B" w14:paraId="36584552" w14:textId="77777777" w:rsidTr="008A56A0">
        <w:trPr>
          <w:trHeight w:val="383"/>
        </w:trPr>
        <w:tc>
          <w:tcPr>
            <w:tcW w:w="1540" w:type="dxa"/>
            <w:tcBorders>
              <w:top w:val="nil"/>
              <w:left w:val="nil"/>
              <w:bottom w:val="nil"/>
              <w:right w:val="nil"/>
            </w:tcBorders>
            <w:vAlign w:val="center"/>
          </w:tcPr>
          <w:p w14:paraId="24977097" w14:textId="0BF1DE5A" w:rsidR="00CB6465" w:rsidRPr="007A114B" w:rsidRDefault="00CB6465" w:rsidP="00CB6465">
            <w:pPr>
              <w:spacing w:after="120"/>
              <w:jc w:val="center"/>
              <w:rPr>
                <w:rFonts w:cstheme="minorHAnsi"/>
                <w:sz w:val="18"/>
                <w:szCs w:val="18"/>
                <w:lang w:val="en-GB" w:eastAsia="en-GB"/>
              </w:rPr>
            </w:pPr>
            <w:proofErr w:type="spellStart"/>
            <w:r w:rsidRPr="007A114B">
              <w:rPr>
                <w:rFonts w:cstheme="minorHAnsi"/>
                <w:sz w:val="18"/>
                <w:szCs w:val="18"/>
                <w:lang w:val="en-GB" w:eastAsia="en-GB"/>
              </w:rPr>
              <w:t>Horisberger</w:t>
            </w:r>
            <w:proofErr w:type="spellEnd"/>
            <w:r w:rsidRPr="007A114B">
              <w:rPr>
                <w:rFonts w:cstheme="minorHAnsi"/>
                <w:sz w:val="18"/>
                <w:szCs w:val="18"/>
                <w:lang w:val="en-GB" w:eastAsia="en-GB"/>
              </w:rPr>
              <w:t xml:space="preserve"> 2009</w:t>
            </w:r>
            <w:r w:rsidR="000705D9" w:rsidRPr="007A114B">
              <w:rPr>
                <w:rFonts w:cstheme="minorHAnsi"/>
                <w:sz w:val="18"/>
                <w:szCs w:val="18"/>
                <w:lang w:val="en-GB" w:eastAsia="en-GB"/>
              </w:rPr>
              <w:t xml:space="preserve"> </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research","id":"ITEM-1","issue":"1","issued":{"date-parts":[["2010","1"]]},"language":"eng","page":"182-190","title":"Arthroscopic treatment of femoroacetabular impingement of the hip: a new technique  to access the joint.","type":"article-journal","volume":"468"},"uris":["http://www.mendeley.com/documents/?uuid=71f278fb-f1f0-4a0c-9118-bc2ae070408a"]}],"mendeley":{"formattedCitation":"&lt;sup&gt;32&lt;/sup&gt;","plainTextFormattedCitation":"32","previouslyFormattedCitation":"&lt;sup&gt;32&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32</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60C704B4" w14:textId="5FABB317"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28</w:t>
            </w:r>
          </w:p>
        </w:tc>
        <w:tc>
          <w:tcPr>
            <w:tcW w:w="1418" w:type="dxa"/>
            <w:tcBorders>
              <w:top w:val="nil"/>
              <w:left w:val="nil"/>
              <w:bottom w:val="nil"/>
              <w:right w:val="nil"/>
            </w:tcBorders>
            <w:vAlign w:val="center"/>
          </w:tcPr>
          <w:p w14:paraId="4E0C61E7" w14:textId="25626E21"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1.3 years</w:t>
            </w:r>
          </w:p>
        </w:tc>
        <w:tc>
          <w:tcPr>
            <w:tcW w:w="997" w:type="dxa"/>
            <w:tcBorders>
              <w:top w:val="nil"/>
              <w:left w:val="nil"/>
              <w:bottom w:val="nil"/>
              <w:right w:val="nil"/>
            </w:tcBorders>
            <w:vAlign w:val="center"/>
          </w:tcPr>
          <w:p w14:paraId="4C14C611" w14:textId="56053C58"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NAHS, VAS, ROM</w:t>
            </w:r>
          </w:p>
        </w:tc>
        <w:tc>
          <w:tcPr>
            <w:tcW w:w="1775" w:type="dxa"/>
            <w:tcBorders>
              <w:top w:val="nil"/>
              <w:left w:val="nil"/>
              <w:bottom w:val="nil"/>
              <w:right w:val="nil"/>
            </w:tcBorders>
            <w:vAlign w:val="center"/>
          </w:tcPr>
          <w:p w14:paraId="53FF4A46" w14:textId="0A891EA1"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673" w:type="dxa"/>
            <w:tcBorders>
              <w:top w:val="nil"/>
              <w:left w:val="nil"/>
              <w:bottom w:val="nil"/>
              <w:right w:val="nil"/>
            </w:tcBorders>
            <w:vAlign w:val="center"/>
          </w:tcPr>
          <w:p w14:paraId="03D13FF1" w14:textId="46ABC208"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2328" w:type="dxa"/>
            <w:tcBorders>
              <w:top w:val="nil"/>
              <w:left w:val="nil"/>
              <w:bottom w:val="nil"/>
              <w:right w:val="nil"/>
            </w:tcBorders>
            <w:vAlign w:val="center"/>
          </w:tcPr>
          <w:p w14:paraId="0D8EB23B" w14:textId="7B4E6451"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694DFA" w:rsidRPr="007A114B" w14:paraId="0243270D" w14:textId="77777777" w:rsidTr="008A56A0">
        <w:trPr>
          <w:trHeight w:val="368"/>
        </w:trPr>
        <w:tc>
          <w:tcPr>
            <w:tcW w:w="1540" w:type="dxa"/>
            <w:tcBorders>
              <w:top w:val="nil"/>
              <w:left w:val="nil"/>
              <w:bottom w:val="nil"/>
              <w:right w:val="nil"/>
            </w:tcBorders>
            <w:vAlign w:val="center"/>
          </w:tcPr>
          <w:p w14:paraId="736823FE" w14:textId="4CA55BF3" w:rsidR="00CB6465" w:rsidRPr="007A114B" w:rsidRDefault="0065243D" w:rsidP="00CB6465">
            <w:pPr>
              <w:spacing w:after="120"/>
              <w:jc w:val="center"/>
              <w:rPr>
                <w:rFonts w:cstheme="minorHAnsi"/>
                <w:sz w:val="18"/>
                <w:szCs w:val="18"/>
                <w:lang w:val="en-GB" w:eastAsia="en-GB"/>
              </w:rPr>
            </w:pPr>
            <w:proofErr w:type="spellStart"/>
            <w:r w:rsidRPr="007A114B">
              <w:rPr>
                <w:rFonts w:cstheme="minorHAnsi"/>
                <w:sz w:val="18"/>
                <w:szCs w:val="18"/>
                <w:lang w:val="en-GB" w:eastAsia="en-GB"/>
              </w:rPr>
              <w:t>Mardones</w:t>
            </w:r>
            <w:proofErr w:type="spellEnd"/>
            <w:r w:rsidRPr="007A114B">
              <w:rPr>
                <w:rFonts w:cstheme="minorHAnsi"/>
                <w:sz w:val="18"/>
                <w:szCs w:val="18"/>
                <w:lang w:val="en-GB" w:eastAsia="en-GB"/>
              </w:rPr>
              <w:t xml:space="preserve"> 2016</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7992eb4b-14e8-4a53-8ba0-1c5fa558647f"]}],"mendeley":{"formattedCitation":"&lt;sup&gt;31&lt;/sup&gt;","plainTextFormattedCitation":"31","previouslyFormattedCitation":"&lt;sup&gt;31&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31</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7D39B2DE" w14:textId="59026241"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11</w:t>
            </w:r>
          </w:p>
        </w:tc>
        <w:tc>
          <w:tcPr>
            <w:tcW w:w="1418" w:type="dxa"/>
            <w:tcBorders>
              <w:top w:val="nil"/>
              <w:left w:val="nil"/>
              <w:bottom w:val="nil"/>
              <w:right w:val="nil"/>
            </w:tcBorders>
            <w:vAlign w:val="center"/>
          </w:tcPr>
          <w:p w14:paraId="298FE88F" w14:textId="4C27ABA6" w:rsidR="00CB6465" w:rsidRPr="007A114B" w:rsidRDefault="00CB6465" w:rsidP="00CB6465">
            <w:pPr>
              <w:spacing w:after="120"/>
              <w:jc w:val="center"/>
              <w:rPr>
                <w:rFonts w:cstheme="minorHAnsi"/>
                <w:sz w:val="18"/>
                <w:szCs w:val="18"/>
                <w:lang w:val="en-GB" w:eastAsia="en-GB"/>
              </w:rPr>
            </w:pPr>
            <w:r w:rsidRPr="007A114B">
              <w:rPr>
                <w:rFonts w:ascii="Calibri" w:hAnsi="Calibri"/>
                <w:color w:val="000000"/>
                <w:sz w:val="18"/>
                <w:szCs w:val="18"/>
                <w:lang w:val="en-GB"/>
              </w:rPr>
              <w:t>2 years</w:t>
            </w:r>
          </w:p>
        </w:tc>
        <w:tc>
          <w:tcPr>
            <w:tcW w:w="997" w:type="dxa"/>
            <w:tcBorders>
              <w:top w:val="nil"/>
              <w:left w:val="nil"/>
              <w:bottom w:val="nil"/>
              <w:right w:val="nil"/>
            </w:tcBorders>
            <w:vAlign w:val="center"/>
          </w:tcPr>
          <w:p w14:paraId="10D97DCF" w14:textId="21E8CFD1" w:rsidR="00CB6465" w:rsidRPr="007A114B" w:rsidRDefault="00CB6465" w:rsidP="00CB6465">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VAS</w:t>
            </w:r>
          </w:p>
        </w:tc>
        <w:tc>
          <w:tcPr>
            <w:tcW w:w="1775" w:type="dxa"/>
            <w:tcBorders>
              <w:top w:val="nil"/>
              <w:left w:val="nil"/>
              <w:bottom w:val="nil"/>
              <w:right w:val="nil"/>
            </w:tcBorders>
            <w:vAlign w:val="center"/>
          </w:tcPr>
          <w:p w14:paraId="02BC2919" w14:textId="3CE342C0"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673" w:type="dxa"/>
            <w:tcBorders>
              <w:top w:val="nil"/>
              <w:left w:val="nil"/>
              <w:bottom w:val="nil"/>
              <w:right w:val="nil"/>
            </w:tcBorders>
            <w:vAlign w:val="center"/>
          </w:tcPr>
          <w:p w14:paraId="07814EB8" w14:textId="5BF83AAA"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2328" w:type="dxa"/>
            <w:tcBorders>
              <w:top w:val="nil"/>
              <w:left w:val="nil"/>
              <w:bottom w:val="nil"/>
              <w:right w:val="nil"/>
            </w:tcBorders>
            <w:vAlign w:val="center"/>
          </w:tcPr>
          <w:p w14:paraId="06B5A9E3" w14:textId="09580E36" w:rsidR="00CB6465" w:rsidRPr="007A114B" w:rsidRDefault="0065243D" w:rsidP="00CB6465">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65243D" w:rsidRPr="007A114B" w14:paraId="46E1C529" w14:textId="77777777" w:rsidTr="008A56A0">
        <w:trPr>
          <w:trHeight w:val="368"/>
        </w:trPr>
        <w:tc>
          <w:tcPr>
            <w:tcW w:w="1540" w:type="dxa"/>
            <w:tcBorders>
              <w:top w:val="nil"/>
              <w:left w:val="nil"/>
              <w:bottom w:val="nil"/>
              <w:right w:val="nil"/>
            </w:tcBorders>
            <w:vAlign w:val="center"/>
          </w:tcPr>
          <w:p w14:paraId="653DCDC7" w14:textId="507F2D32" w:rsidR="0065243D" w:rsidRPr="007A114B" w:rsidRDefault="0065243D" w:rsidP="0065243D">
            <w:pPr>
              <w:spacing w:after="120"/>
              <w:jc w:val="center"/>
              <w:rPr>
                <w:rFonts w:cstheme="minorHAnsi"/>
                <w:sz w:val="18"/>
                <w:szCs w:val="18"/>
                <w:lang w:val="en-GB" w:eastAsia="en-GB"/>
              </w:rPr>
            </w:pPr>
            <w:r w:rsidRPr="007A114B">
              <w:rPr>
                <w:rFonts w:cstheme="minorHAnsi"/>
                <w:sz w:val="18"/>
                <w:szCs w:val="18"/>
                <w:lang w:val="en-GB" w:eastAsia="en-GB"/>
              </w:rPr>
              <w:t>Nakashima 2019</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mendeley":{"formattedCitation":"&lt;sup&gt;26&lt;/sup&gt;","plainTextFormattedCitation":"26","previouslyFormattedCitation":"&lt;sup&gt;26&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26</w:t>
            </w:r>
            <w:r w:rsidR="000705D9"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0F0C3D1B" w14:textId="39F3672E" w:rsidR="0065243D" w:rsidRPr="007A114B" w:rsidRDefault="0065243D" w:rsidP="0065243D">
            <w:pPr>
              <w:spacing w:after="120"/>
              <w:jc w:val="center"/>
              <w:rPr>
                <w:rFonts w:cstheme="minorHAnsi"/>
                <w:sz w:val="18"/>
                <w:szCs w:val="18"/>
                <w:lang w:val="en-GB" w:eastAsia="en-GB"/>
              </w:rPr>
            </w:pPr>
            <w:r w:rsidRPr="007A114B">
              <w:rPr>
                <w:rFonts w:ascii="Calibri" w:hAnsi="Calibri"/>
                <w:color w:val="000000"/>
                <w:sz w:val="18"/>
                <w:szCs w:val="18"/>
                <w:lang w:val="en-GB"/>
              </w:rPr>
              <w:t>18</w:t>
            </w:r>
          </w:p>
        </w:tc>
        <w:tc>
          <w:tcPr>
            <w:tcW w:w="1418" w:type="dxa"/>
            <w:tcBorders>
              <w:top w:val="nil"/>
              <w:left w:val="nil"/>
              <w:bottom w:val="nil"/>
              <w:right w:val="nil"/>
            </w:tcBorders>
            <w:vAlign w:val="center"/>
          </w:tcPr>
          <w:p w14:paraId="6390ECA1" w14:textId="267CE40D" w:rsidR="0065243D" w:rsidRPr="007A114B" w:rsidRDefault="0065243D" w:rsidP="0065243D">
            <w:pPr>
              <w:spacing w:after="120"/>
              <w:jc w:val="center"/>
              <w:rPr>
                <w:rFonts w:ascii="Calibri" w:hAnsi="Calibri"/>
                <w:color w:val="000000"/>
                <w:sz w:val="18"/>
                <w:szCs w:val="18"/>
                <w:lang w:val="en-GB"/>
              </w:rPr>
            </w:pPr>
            <w:r w:rsidRPr="007A114B">
              <w:rPr>
                <w:rFonts w:ascii="Calibri" w:hAnsi="Calibri"/>
                <w:color w:val="000000"/>
                <w:sz w:val="18"/>
                <w:szCs w:val="18"/>
                <w:lang w:val="en-GB"/>
              </w:rPr>
              <w:t>30 ± 8 (24-43) months</w:t>
            </w:r>
          </w:p>
        </w:tc>
        <w:tc>
          <w:tcPr>
            <w:tcW w:w="997" w:type="dxa"/>
            <w:tcBorders>
              <w:top w:val="nil"/>
              <w:left w:val="nil"/>
              <w:bottom w:val="nil"/>
              <w:right w:val="nil"/>
            </w:tcBorders>
            <w:vAlign w:val="center"/>
          </w:tcPr>
          <w:p w14:paraId="49D2C2B1" w14:textId="3E8E8437"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NAHS</w:t>
            </w:r>
          </w:p>
        </w:tc>
        <w:tc>
          <w:tcPr>
            <w:tcW w:w="1775" w:type="dxa"/>
            <w:tcBorders>
              <w:top w:val="nil"/>
              <w:left w:val="nil"/>
              <w:bottom w:val="nil"/>
              <w:right w:val="nil"/>
            </w:tcBorders>
            <w:vAlign w:val="center"/>
          </w:tcPr>
          <w:p w14:paraId="3583D0DA" w14:textId="61F11AA5"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74.6</w:t>
            </w:r>
            <w:r w:rsidR="003B3A0B" w:rsidRPr="007A114B">
              <w:rPr>
                <w:rFonts w:ascii="Calibri" w:hAnsi="Calibri"/>
                <w:color w:val="000000"/>
                <w:sz w:val="18"/>
                <w:szCs w:val="18"/>
                <w:lang w:val="en-GB"/>
              </w:rPr>
              <w:t xml:space="preserve"> </w:t>
            </w:r>
            <w:r w:rsidR="003B3A0B" w:rsidRPr="00CF225D">
              <w:rPr>
                <w:rFonts w:ascii="Calibri" w:hAnsi="Calibri"/>
                <w:color w:val="000000"/>
                <w:sz w:val="18"/>
                <w:szCs w:val="18"/>
                <w:lang w:val="en-GB"/>
              </w:rPr>
              <w:t>± 11.3</w:t>
            </w:r>
            <w:r w:rsidRPr="007A114B">
              <w:rPr>
                <w:rFonts w:ascii="Calibri" w:hAnsi="Calibri"/>
                <w:color w:val="000000"/>
                <w:sz w:val="18"/>
                <w:szCs w:val="18"/>
                <w:lang w:val="en-GB"/>
              </w:rPr>
              <w:t>; NAHS: 65.</w:t>
            </w:r>
            <w:r w:rsidRPr="007A114B">
              <w:rPr>
                <w:rFonts w:ascii="Calibri" w:hAnsi="Calibri" w:cs="Calibri"/>
                <w:color w:val="000000"/>
                <w:sz w:val="18"/>
                <w:szCs w:val="18"/>
                <w:lang w:val="en-GB"/>
              </w:rPr>
              <w:t>1</w:t>
            </w:r>
            <w:r w:rsidR="0024496A" w:rsidRPr="007A114B">
              <w:rPr>
                <w:rFonts w:ascii="Calibri" w:hAnsi="Calibri" w:cs="Calibri"/>
                <w:color w:val="000000"/>
                <w:sz w:val="18"/>
                <w:szCs w:val="18"/>
                <w:lang w:val="en-GB"/>
              </w:rPr>
              <w:t xml:space="preserve"> </w:t>
            </w:r>
            <w:r w:rsidR="0024496A" w:rsidRPr="00CF225D">
              <w:rPr>
                <w:rFonts w:ascii="Calibri" w:hAnsi="Calibri" w:cs="Calibri"/>
                <w:color w:val="000000"/>
                <w:sz w:val="18"/>
                <w:szCs w:val="18"/>
                <w:lang w:val="en-GB"/>
              </w:rPr>
              <w:t xml:space="preserve">± </w:t>
            </w:r>
            <w:r w:rsidR="0024496A" w:rsidRPr="007A114B">
              <w:rPr>
                <w:rFonts w:ascii="Calibri" w:hAnsi="Calibri" w:cs="Calibri"/>
                <w:sz w:val="18"/>
                <w:szCs w:val="18"/>
                <w:lang w:val="en-GB"/>
              </w:rPr>
              <w:t>13.1</w:t>
            </w:r>
          </w:p>
        </w:tc>
        <w:tc>
          <w:tcPr>
            <w:tcW w:w="1673" w:type="dxa"/>
            <w:tcBorders>
              <w:top w:val="nil"/>
              <w:left w:val="nil"/>
              <w:bottom w:val="nil"/>
              <w:right w:val="nil"/>
            </w:tcBorders>
            <w:vAlign w:val="center"/>
          </w:tcPr>
          <w:p w14:paraId="1CEFF8CA" w14:textId="68120583"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74.2</w:t>
            </w:r>
            <w:r w:rsidR="003B3A0B" w:rsidRPr="007A114B">
              <w:rPr>
                <w:rFonts w:ascii="Calibri" w:hAnsi="Calibri"/>
                <w:color w:val="000000"/>
                <w:sz w:val="18"/>
                <w:szCs w:val="18"/>
                <w:lang w:val="en-GB"/>
              </w:rPr>
              <w:t xml:space="preserve"> </w:t>
            </w:r>
            <w:r w:rsidR="003B3A0B" w:rsidRPr="00CF225D">
              <w:rPr>
                <w:rFonts w:ascii="Calibri" w:hAnsi="Calibri"/>
                <w:color w:val="000000"/>
                <w:sz w:val="18"/>
                <w:szCs w:val="18"/>
                <w:lang w:val="en-GB"/>
              </w:rPr>
              <w:t>± 18.5</w:t>
            </w:r>
            <w:r w:rsidRPr="007A114B">
              <w:rPr>
                <w:rFonts w:ascii="Calibri" w:hAnsi="Calibri"/>
                <w:color w:val="000000"/>
                <w:sz w:val="18"/>
                <w:szCs w:val="18"/>
                <w:lang w:val="en-GB"/>
              </w:rPr>
              <w:t>; NAHS: 71.0</w:t>
            </w:r>
            <w:r w:rsidR="0024496A" w:rsidRPr="007A114B">
              <w:rPr>
                <w:rFonts w:ascii="Calibri" w:hAnsi="Calibri"/>
                <w:color w:val="000000"/>
                <w:sz w:val="18"/>
                <w:szCs w:val="18"/>
                <w:lang w:val="en-GB"/>
              </w:rPr>
              <w:t xml:space="preserve"> </w:t>
            </w:r>
            <w:r w:rsidR="0024496A" w:rsidRPr="00CF225D">
              <w:rPr>
                <w:rFonts w:ascii="Calibri" w:hAnsi="Calibri"/>
                <w:color w:val="000000"/>
                <w:sz w:val="18"/>
                <w:szCs w:val="18"/>
                <w:lang w:val="en-GB"/>
              </w:rPr>
              <w:t>± 22.3</w:t>
            </w:r>
          </w:p>
        </w:tc>
        <w:tc>
          <w:tcPr>
            <w:tcW w:w="2328" w:type="dxa"/>
            <w:tcBorders>
              <w:top w:val="nil"/>
              <w:left w:val="nil"/>
              <w:bottom w:val="nil"/>
              <w:right w:val="nil"/>
            </w:tcBorders>
            <w:vAlign w:val="center"/>
          </w:tcPr>
          <w:p w14:paraId="3D281CB3" w14:textId="43CE1000" w:rsidR="0065243D" w:rsidRPr="007A114B" w:rsidRDefault="0065243D" w:rsidP="0065243D">
            <w:pPr>
              <w:spacing w:after="120"/>
              <w:jc w:val="center"/>
              <w:rPr>
                <w:rFonts w:cstheme="minorHAnsi"/>
                <w:sz w:val="18"/>
                <w:szCs w:val="18"/>
                <w:lang w:val="en-GB" w:eastAsia="en-GB"/>
              </w:rPr>
            </w:pPr>
            <w:r w:rsidRPr="007A114B">
              <w:rPr>
                <w:rFonts w:ascii="Calibri" w:hAnsi="Calibri"/>
                <w:color w:val="000000"/>
                <w:sz w:val="18"/>
                <w:szCs w:val="18"/>
                <w:lang w:val="en-GB"/>
              </w:rPr>
              <w:t xml:space="preserve">compared to control group worse </w:t>
            </w: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xml:space="preserve"> (p=0.011) and worse NAHS (p=0.047)</w:t>
            </w:r>
          </w:p>
        </w:tc>
      </w:tr>
      <w:tr w:rsidR="0065243D" w:rsidRPr="007A114B" w14:paraId="50CD6336" w14:textId="77777777" w:rsidTr="008A56A0">
        <w:trPr>
          <w:trHeight w:val="368"/>
        </w:trPr>
        <w:tc>
          <w:tcPr>
            <w:tcW w:w="1540" w:type="dxa"/>
            <w:tcBorders>
              <w:top w:val="nil"/>
              <w:left w:val="nil"/>
              <w:bottom w:val="nil"/>
              <w:right w:val="nil"/>
            </w:tcBorders>
            <w:vAlign w:val="center"/>
          </w:tcPr>
          <w:p w14:paraId="5E559055" w14:textId="31D958FA" w:rsidR="0065243D" w:rsidRPr="007A114B" w:rsidRDefault="0065243D" w:rsidP="0065243D">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138EEFF0" w14:textId="2291A9BA" w:rsidR="0065243D" w:rsidRPr="007A114B" w:rsidRDefault="0065243D" w:rsidP="0065243D">
            <w:pPr>
              <w:spacing w:after="120"/>
              <w:jc w:val="center"/>
              <w:rPr>
                <w:rFonts w:cstheme="minorHAnsi"/>
                <w:sz w:val="18"/>
                <w:szCs w:val="18"/>
                <w:lang w:val="en-GB" w:eastAsia="en-GB"/>
              </w:rPr>
            </w:pPr>
            <w:r w:rsidRPr="007A114B">
              <w:rPr>
                <w:rFonts w:ascii="Calibri" w:hAnsi="Calibri"/>
                <w:color w:val="000000"/>
                <w:sz w:val="18"/>
                <w:szCs w:val="18"/>
                <w:lang w:val="en-GB"/>
              </w:rPr>
              <w:t>79</w:t>
            </w:r>
          </w:p>
        </w:tc>
        <w:tc>
          <w:tcPr>
            <w:tcW w:w="1418" w:type="dxa"/>
            <w:tcBorders>
              <w:top w:val="nil"/>
              <w:left w:val="nil"/>
              <w:bottom w:val="nil"/>
              <w:right w:val="nil"/>
            </w:tcBorders>
            <w:vAlign w:val="center"/>
          </w:tcPr>
          <w:p w14:paraId="6D97829B" w14:textId="6F029FBC" w:rsidR="0065243D" w:rsidRPr="007A114B" w:rsidRDefault="0065243D" w:rsidP="0065243D">
            <w:pPr>
              <w:spacing w:after="120"/>
              <w:jc w:val="center"/>
              <w:rPr>
                <w:rFonts w:ascii="Calibri" w:hAnsi="Calibri"/>
                <w:color w:val="000000"/>
                <w:sz w:val="18"/>
                <w:szCs w:val="18"/>
                <w:lang w:val="en-GB"/>
              </w:rPr>
            </w:pPr>
            <w:r w:rsidRPr="007A114B">
              <w:rPr>
                <w:rFonts w:ascii="Calibri" w:hAnsi="Calibri"/>
                <w:color w:val="000000"/>
                <w:sz w:val="18"/>
                <w:szCs w:val="18"/>
                <w:lang w:val="en-GB"/>
              </w:rPr>
              <w:t>35 ± 13 (24-62) months</w:t>
            </w:r>
          </w:p>
        </w:tc>
        <w:tc>
          <w:tcPr>
            <w:tcW w:w="997" w:type="dxa"/>
            <w:tcBorders>
              <w:top w:val="nil"/>
              <w:left w:val="nil"/>
              <w:bottom w:val="nil"/>
              <w:right w:val="nil"/>
            </w:tcBorders>
            <w:vAlign w:val="center"/>
          </w:tcPr>
          <w:p w14:paraId="687A6BE4" w14:textId="636B768A"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NAHS</w:t>
            </w:r>
          </w:p>
        </w:tc>
        <w:tc>
          <w:tcPr>
            <w:tcW w:w="1775" w:type="dxa"/>
            <w:tcBorders>
              <w:top w:val="nil"/>
              <w:left w:val="nil"/>
              <w:bottom w:val="nil"/>
              <w:right w:val="nil"/>
            </w:tcBorders>
            <w:vAlign w:val="center"/>
          </w:tcPr>
          <w:p w14:paraId="3B8A0622" w14:textId="1BA0BE7A"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66.2</w:t>
            </w:r>
            <w:r w:rsidR="00111967" w:rsidRPr="007A114B">
              <w:rPr>
                <w:rFonts w:ascii="Calibri" w:hAnsi="Calibri"/>
                <w:color w:val="000000"/>
                <w:sz w:val="18"/>
                <w:szCs w:val="18"/>
                <w:lang w:val="en-GB"/>
              </w:rPr>
              <w:t xml:space="preserve"> </w:t>
            </w:r>
            <w:r w:rsidR="00111967" w:rsidRPr="00CF225D">
              <w:rPr>
                <w:rFonts w:ascii="Calibri" w:hAnsi="Calibri"/>
                <w:color w:val="000000"/>
                <w:sz w:val="18"/>
                <w:szCs w:val="18"/>
                <w:lang w:val="en-GB"/>
              </w:rPr>
              <w:t>± 18.2</w:t>
            </w:r>
            <w:r w:rsidRPr="007A114B">
              <w:rPr>
                <w:rFonts w:ascii="Calibri" w:hAnsi="Calibri"/>
                <w:color w:val="000000"/>
                <w:sz w:val="18"/>
                <w:szCs w:val="18"/>
                <w:lang w:val="en-GB"/>
              </w:rPr>
              <w:t>; NAHS: 56.6</w:t>
            </w:r>
            <w:r w:rsidR="00111967" w:rsidRPr="007A114B">
              <w:rPr>
                <w:rFonts w:ascii="Calibri" w:hAnsi="Calibri"/>
                <w:color w:val="000000"/>
                <w:sz w:val="18"/>
                <w:szCs w:val="18"/>
                <w:lang w:val="en-GB"/>
              </w:rPr>
              <w:t xml:space="preserve"> </w:t>
            </w:r>
            <w:r w:rsidR="00111967" w:rsidRPr="00CF225D">
              <w:rPr>
                <w:rFonts w:ascii="Calibri" w:hAnsi="Calibri"/>
                <w:color w:val="000000"/>
                <w:sz w:val="18"/>
                <w:szCs w:val="18"/>
                <w:lang w:val="en-GB"/>
              </w:rPr>
              <w:t>± 19.2</w:t>
            </w:r>
          </w:p>
        </w:tc>
        <w:tc>
          <w:tcPr>
            <w:tcW w:w="1673" w:type="dxa"/>
            <w:tcBorders>
              <w:top w:val="nil"/>
              <w:left w:val="nil"/>
              <w:bottom w:val="nil"/>
              <w:right w:val="nil"/>
            </w:tcBorders>
            <w:vAlign w:val="center"/>
          </w:tcPr>
          <w:p w14:paraId="391A2D4E" w14:textId="711AFAC4"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89.7</w:t>
            </w:r>
            <w:r w:rsidR="00132D71" w:rsidRPr="007A114B">
              <w:rPr>
                <w:rFonts w:ascii="Calibri" w:hAnsi="Calibri"/>
                <w:color w:val="000000"/>
                <w:sz w:val="18"/>
                <w:szCs w:val="18"/>
                <w:lang w:val="en-GB"/>
              </w:rPr>
              <w:t xml:space="preserve"> </w:t>
            </w:r>
            <w:r w:rsidR="00132D71" w:rsidRPr="00CF225D">
              <w:rPr>
                <w:rFonts w:ascii="Calibri" w:hAnsi="Calibri"/>
                <w:color w:val="000000"/>
                <w:sz w:val="18"/>
                <w:szCs w:val="18"/>
                <w:lang w:val="en-GB"/>
              </w:rPr>
              <w:t>± 14.4</w:t>
            </w:r>
            <w:r w:rsidRPr="007A114B">
              <w:rPr>
                <w:rFonts w:ascii="Calibri" w:hAnsi="Calibri"/>
                <w:color w:val="000000"/>
                <w:sz w:val="18"/>
                <w:szCs w:val="18"/>
                <w:lang w:val="en-GB"/>
              </w:rPr>
              <w:t>; NAHS: 84.2</w:t>
            </w:r>
            <w:r w:rsidR="003F60CD" w:rsidRPr="007A114B">
              <w:rPr>
                <w:rFonts w:ascii="Calibri" w:hAnsi="Calibri"/>
                <w:color w:val="000000"/>
                <w:sz w:val="18"/>
                <w:szCs w:val="18"/>
                <w:lang w:val="en-GB"/>
              </w:rPr>
              <w:t xml:space="preserve"> </w:t>
            </w:r>
            <w:r w:rsidR="003F60CD" w:rsidRPr="00CF225D">
              <w:rPr>
                <w:rFonts w:ascii="Calibri" w:hAnsi="Calibri"/>
                <w:color w:val="000000"/>
                <w:sz w:val="18"/>
                <w:szCs w:val="18"/>
                <w:lang w:val="en-GB"/>
              </w:rPr>
              <w:t>± 14.8</w:t>
            </w:r>
          </w:p>
        </w:tc>
        <w:tc>
          <w:tcPr>
            <w:tcW w:w="2328" w:type="dxa"/>
            <w:tcBorders>
              <w:top w:val="nil"/>
              <w:left w:val="nil"/>
              <w:bottom w:val="nil"/>
              <w:right w:val="nil"/>
            </w:tcBorders>
            <w:vAlign w:val="center"/>
          </w:tcPr>
          <w:p w14:paraId="3C48D2D7" w14:textId="129AFB4B"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+33.5 (p&lt;0.001); NAHS: +27.6 (p&lt;0.001)</w:t>
            </w:r>
          </w:p>
        </w:tc>
      </w:tr>
      <w:tr w:rsidR="0065243D" w:rsidRPr="007A114B" w14:paraId="0F2386C2" w14:textId="77777777" w:rsidTr="008A56A0">
        <w:trPr>
          <w:trHeight w:val="383"/>
        </w:trPr>
        <w:tc>
          <w:tcPr>
            <w:tcW w:w="1540" w:type="dxa"/>
            <w:tcBorders>
              <w:top w:val="nil"/>
              <w:left w:val="nil"/>
              <w:bottom w:val="single" w:sz="4" w:space="0" w:color="auto"/>
              <w:right w:val="nil"/>
            </w:tcBorders>
            <w:vAlign w:val="center"/>
          </w:tcPr>
          <w:p w14:paraId="7263F80A" w14:textId="27FB2481" w:rsidR="0065243D" w:rsidRPr="007A114B" w:rsidRDefault="0065243D" w:rsidP="0065243D">
            <w:pPr>
              <w:spacing w:after="120"/>
              <w:jc w:val="center"/>
              <w:rPr>
                <w:rFonts w:cstheme="minorHAnsi"/>
                <w:sz w:val="18"/>
                <w:szCs w:val="18"/>
                <w:lang w:val="en-GB" w:eastAsia="en-GB"/>
              </w:rPr>
            </w:pPr>
            <w:proofErr w:type="spellStart"/>
            <w:r w:rsidRPr="007A114B">
              <w:rPr>
                <w:rFonts w:cstheme="minorHAnsi"/>
                <w:sz w:val="18"/>
                <w:szCs w:val="18"/>
                <w:lang w:val="en-GB" w:eastAsia="en-GB"/>
              </w:rPr>
              <w:lastRenderedPageBreak/>
              <w:t>Tjong</w:t>
            </w:r>
            <w:proofErr w:type="spellEnd"/>
            <w:r w:rsidRPr="007A114B">
              <w:rPr>
                <w:rFonts w:cstheme="minorHAnsi"/>
                <w:sz w:val="18"/>
                <w:szCs w:val="18"/>
                <w:lang w:val="en-GB" w:eastAsia="en-GB"/>
              </w:rPr>
              <w:t xml:space="preserve"> 2017</w:t>
            </w:r>
            <w:r w:rsidR="000705D9"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{"citationItems":[{"id":"ITEM-1","itemData":{"DOI":"10.1016/j.arthro.2016.10.022","ISSN":"1526-3231 (Electronic)","PMID":"28063762","abstract":"PURPOSE: To evaluate patient outcomes after isolated arthroscopic volumetric  acetabular osteoplasty and labral repair for the treatment of patients with combined femoroacetabular impingement (FAI) lesions. METHODS: A review of a prospectively collected registry identified 86 patients (106 hips) with an average age of 38.1 years (range, 17-59 years) with combined-type FAI that underwent isolated acetabular osteoplasty and labral repair. Preoperative α-angle, degree of radiographic degenerative changes, and presence of a crossover sign were recorded. Clinical outcomes were assessed with the modified Harris Hip Score (mHHS), International Hip Outcome Tool-12 (iHOT-12), Hip Outcome Score Sport-Specific Subscale (HOS-SSS), and patient satisfaction score (out of 10) at a minimum 2-year follow-up. RESULTS: Clinical follow-up was obtained at a mean follow-up of 37.2 months (range, 27.9-79.2 months). Patients with Tönnis grade 0 and I findings had significantly higher mHHS (83.5 vs 71.5, P = .01), HOS-SSS (81.3 vs 59.9, P = .02), and iHOT-12 scores (71.1 vs 58.8, P = .04) compared to patients with Tonnis grade II changes. However, patient satisfaction scores (8.0 vs 7.2, P = .45) were no different. No significant difference was noted between unilateral and bilateral hip patient outcome scores. Patient age and preoperative α-angles did not correlate with any outcome scores (all R(2) &lt;0.05). There were no cases of revision surgery or progression to arthroplasty. CONCLUSIONS: Isolated acetabular decompression may adequately address the underlying impingement in combined-type FAI while avoiding the risks associated with femoral-sided decompression. Good to excellent patient-reported outcomes and satisfaction scores were noted with significantly higher scores in patients with minimal arthritic change. Patient age and preoperative α-angle had less effect on postoperative outcomes. LEVEL OF EVIDENCE: Level IV, therapeutic case series.","author":[{"dropping-particle":"","family":"Tjong","given":"Vehniah K","non-dropping-particle":"","parse-names":false,"suffix":""},{"dropping-particle":"","family":"Gombera","given":"Mustafa M","non-dropping-particle":"","parse-names":false,"suffix":""},{"dropping-particle":"","family":"Kahlenberg","given":"Cynthia A","non-dropping-particle":"","parse-names":false,"suffix":""},{"dropping-particle":"","family":"Patel","given":"Ronak M","non-dropping-particle":"","parse-names":false,"suffix":""},{"dropping-particle":"","family":"Han","given":"Brian","non-dropping-particle":"","parse-names":false,"suffix":""},{"dropping-particle":"","family":"Deshmane","given":"Prashant","non-dropping-particle":"","parse-names":false,"suffix":""},{"dropping-particle":"","family":"Terry","given":"Michael A","non-dropping-particle":"","parse-names":false,"suffix":""}],"container-title":"Arthroscopy : the journal of arthroscopic &amp; related surgery : official publication  of the Arthroscopy Association of North America and the International Arthroscopy Association","id":"ITEM-1","issue":"4","issued":{"date-parts":[["2017","4"]]},"language":"eng","page":"773-779","publisher-place":"United States","title":"Isolated Acetabuloplasty and Labral Repair for Combined-Type Femoroacetabular  Impingement: Are We Doing Too Much?","type":"article-journal","volume":"33"},"uris":["http://www.mendeley.com/documents/?uuid=4ca73fb3-f656-4c20-b162-93346a5dd4bf"]}],"mendeley":{"formattedCitation":"&lt;sup&gt;34&lt;/sup&gt;","plainTextFormattedCitation":"34","previouslyFormattedCitation":"&lt;sup&gt;34&lt;/sup&gt;"},"properties":{"noteIndex":0},"schema":"https://github.com/citation-style-language/schema/raw/master/csl-citation.json"}</w:instrText>
            </w:r>
            <w:r w:rsidR="000705D9"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34</w:t>
            </w:r>
            <w:r w:rsidR="000705D9" w:rsidRPr="007221CC">
              <w:rPr>
                <w:rFonts w:cstheme="minorHAnsi"/>
                <w:sz w:val="18"/>
                <w:szCs w:val="18"/>
                <w:lang w:val="en-GB" w:eastAsia="en-GB"/>
              </w:rPr>
              <w:fldChar w:fldCharType="end"/>
            </w:r>
          </w:p>
        </w:tc>
        <w:tc>
          <w:tcPr>
            <w:tcW w:w="865" w:type="dxa"/>
            <w:tcBorders>
              <w:top w:val="nil"/>
              <w:left w:val="nil"/>
              <w:bottom w:val="single" w:sz="4" w:space="0" w:color="auto"/>
              <w:right w:val="nil"/>
            </w:tcBorders>
            <w:vAlign w:val="center"/>
          </w:tcPr>
          <w:p w14:paraId="002F8748" w14:textId="096D220D" w:rsidR="0065243D" w:rsidRPr="007A114B" w:rsidRDefault="0065243D" w:rsidP="0065243D">
            <w:pPr>
              <w:spacing w:after="120"/>
              <w:jc w:val="center"/>
              <w:rPr>
                <w:rFonts w:cstheme="minorHAnsi"/>
                <w:sz w:val="18"/>
                <w:szCs w:val="18"/>
                <w:lang w:val="en-GB" w:eastAsia="en-GB"/>
              </w:rPr>
            </w:pPr>
            <w:r w:rsidRPr="007A114B">
              <w:rPr>
                <w:rFonts w:ascii="Calibri" w:hAnsi="Calibri"/>
                <w:color w:val="000000"/>
                <w:sz w:val="18"/>
                <w:szCs w:val="18"/>
                <w:lang w:val="en-GB"/>
              </w:rPr>
              <w:t>23</w:t>
            </w:r>
          </w:p>
        </w:tc>
        <w:tc>
          <w:tcPr>
            <w:tcW w:w="1418" w:type="dxa"/>
            <w:tcBorders>
              <w:top w:val="nil"/>
              <w:left w:val="nil"/>
              <w:bottom w:val="single" w:sz="4" w:space="0" w:color="auto"/>
              <w:right w:val="nil"/>
            </w:tcBorders>
            <w:vAlign w:val="center"/>
          </w:tcPr>
          <w:p w14:paraId="3A657B25" w14:textId="0BB7EF9B" w:rsidR="0065243D" w:rsidRPr="007A114B" w:rsidRDefault="0065243D" w:rsidP="0065243D">
            <w:pPr>
              <w:spacing w:after="120"/>
              <w:jc w:val="center"/>
              <w:rPr>
                <w:rFonts w:ascii="Calibri" w:hAnsi="Calibri"/>
                <w:color w:val="000000"/>
                <w:sz w:val="18"/>
                <w:szCs w:val="18"/>
                <w:lang w:val="en-GB"/>
              </w:rPr>
            </w:pPr>
            <w:r w:rsidRPr="007A114B">
              <w:rPr>
                <w:rFonts w:ascii="Calibri" w:hAnsi="Calibri"/>
                <w:color w:val="000000"/>
                <w:sz w:val="18"/>
                <w:szCs w:val="18"/>
                <w:lang w:val="en-GB"/>
              </w:rPr>
              <w:t>Minimum 28 months</w:t>
            </w:r>
          </w:p>
        </w:tc>
        <w:tc>
          <w:tcPr>
            <w:tcW w:w="997" w:type="dxa"/>
            <w:tcBorders>
              <w:top w:val="nil"/>
              <w:left w:val="nil"/>
              <w:bottom w:val="single" w:sz="4" w:space="0" w:color="auto"/>
              <w:right w:val="nil"/>
            </w:tcBorders>
            <w:vAlign w:val="center"/>
          </w:tcPr>
          <w:p w14:paraId="623217CD" w14:textId="61748148"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iHOT-12; HOS-SSS</w:t>
            </w:r>
          </w:p>
        </w:tc>
        <w:tc>
          <w:tcPr>
            <w:tcW w:w="1775" w:type="dxa"/>
            <w:tcBorders>
              <w:top w:val="nil"/>
              <w:left w:val="nil"/>
              <w:bottom w:val="single" w:sz="4" w:space="0" w:color="auto"/>
              <w:right w:val="nil"/>
            </w:tcBorders>
            <w:vAlign w:val="center"/>
          </w:tcPr>
          <w:p w14:paraId="36C80823" w14:textId="3CF476D7" w:rsidR="0065243D" w:rsidRPr="007A114B" w:rsidRDefault="009D202F" w:rsidP="0065243D">
            <w:pPr>
              <w:spacing w:after="120"/>
              <w:jc w:val="center"/>
              <w:rPr>
                <w:rFonts w:cstheme="minorHAnsi"/>
                <w:i/>
                <w:iCs/>
                <w:sz w:val="14"/>
                <w:szCs w:val="14"/>
                <w:lang w:val="en-GB" w:eastAsia="en-GB"/>
              </w:rPr>
            </w:pPr>
            <w:r w:rsidRPr="007A114B">
              <w:rPr>
                <w:rFonts w:ascii="Calibri" w:hAnsi="Calibri"/>
                <w:i/>
                <w:iCs/>
                <w:color w:val="808080" w:themeColor="background1" w:themeShade="80"/>
                <w:sz w:val="14"/>
                <w:szCs w:val="14"/>
                <w:lang w:val="en-GB"/>
              </w:rPr>
              <w:t>NR</w:t>
            </w:r>
          </w:p>
        </w:tc>
        <w:tc>
          <w:tcPr>
            <w:tcW w:w="1673" w:type="dxa"/>
            <w:tcBorders>
              <w:top w:val="nil"/>
              <w:left w:val="nil"/>
              <w:bottom w:val="single" w:sz="4" w:space="0" w:color="auto"/>
              <w:right w:val="nil"/>
            </w:tcBorders>
            <w:vAlign w:val="center"/>
          </w:tcPr>
          <w:p w14:paraId="32ECF970" w14:textId="3FDA9306" w:rsidR="0065243D" w:rsidRPr="007A114B" w:rsidRDefault="0065243D" w:rsidP="0065243D">
            <w:pPr>
              <w:spacing w:after="120"/>
              <w:jc w:val="center"/>
              <w:rPr>
                <w:rFonts w:cstheme="minorHAnsi"/>
                <w:sz w:val="18"/>
                <w:szCs w:val="18"/>
                <w:lang w:val="en-GB" w:eastAsia="en-GB"/>
              </w:rPr>
            </w:pPr>
            <w:proofErr w:type="spellStart"/>
            <w:r w:rsidRPr="007A114B">
              <w:rPr>
                <w:rFonts w:ascii="Calibri" w:hAnsi="Calibri"/>
                <w:color w:val="000000"/>
                <w:sz w:val="18"/>
                <w:szCs w:val="18"/>
                <w:lang w:val="en-GB"/>
              </w:rPr>
              <w:t>mHHS</w:t>
            </w:r>
            <w:proofErr w:type="spellEnd"/>
            <w:r w:rsidRPr="007A114B">
              <w:rPr>
                <w:rFonts w:ascii="Calibri" w:hAnsi="Calibri"/>
                <w:color w:val="000000"/>
                <w:sz w:val="18"/>
                <w:szCs w:val="18"/>
                <w:lang w:val="en-GB"/>
              </w:rPr>
              <w:t>: 71.5; iHOT-12: 58.8; HOS-SSS: 59.9</w:t>
            </w:r>
          </w:p>
        </w:tc>
        <w:tc>
          <w:tcPr>
            <w:tcW w:w="2328" w:type="dxa"/>
            <w:tcBorders>
              <w:top w:val="nil"/>
              <w:left w:val="nil"/>
              <w:bottom w:val="single" w:sz="4" w:space="0" w:color="auto"/>
              <w:right w:val="nil"/>
            </w:tcBorders>
            <w:vAlign w:val="center"/>
          </w:tcPr>
          <w:p w14:paraId="482A058B" w14:textId="61E91728" w:rsidR="0065243D" w:rsidRPr="007A114B" w:rsidRDefault="00245E1E" w:rsidP="0065243D">
            <w:pPr>
              <w:spacing w:after="120"/>
              <w:jc w:val="center"/>
              <w:rPr>
                <w:rFonts w:cstheme="minorHAnsi"/>
                <w:i/>
                <w:iCs/>
                <w:sz w:val="14"/>
                <w:szCs w:val="14"/>
                <w:lang w:val="en-GB" w:eastAsia="en-GB"/>
              </w:rPr>
            </w:pPr>
            <w:r w:rsidRPr="007A114B">
              <w:rPr>
                <w:rFonts w:ascii="Calibri" w:hAnsi="Calibri"/>
                <w:i/>
                <w:iCs/>
                <w:color w:val="808080" w:themeColor="background1" w:themeShade="80"/>
                <w:sz w:val="14"/>
                <w:szCs w:val="14"/>
                <w:lang w:val="en-GB"/>
              </w:rPr>
              <w:t>-</w:t>
            </w:r>
          </w:p>
        </w:tc>
      </w:tr>
      <w:tr w:rsidR="00694DFA" w:rsidRPr="007A114B" w14:paraId="6FE7B162" w14:textId="77777777" w:rsidTr="008A56A0">
        <w:trPr>
          <w:trHeight w:val="368"/>
        </w:trPr>
        <w:tc>
          <w:tcPr>
            <w:tcW w:w="1540" w:type="dxa"/>
            <w:tcBorders>
              <w:left w:val="nil"/>
              <w:bottom w:val="single" w:sz="4" w:space="0" w:color="auto"/>
              <w:right w:val="nil"/>
            </w:tcBorders>
            <w:vAlign w:val="center"/>
          </w:tcPr>
          <w:p w14:paraId="60F56B1C" w14:textId="0F1A862D" w:rsidR="00004992" w:rsidRPr="007A114B" w:rsidRDefault="0065243D" w:rsidP="00CB6465">
            <w:pPr>
              <w:spacing w:after="120"/>
              <w:jc w:val="center"/>
              <w:rPr>
                <w:rFonts w:cstheme="minorHAnsi"/>
                <w:i/>
                <w:iCs/>
                <w:sz w:val="18"/>
                <w:szCs w:val="18"/>
                <w:lang w:val="en-GB" w:eastAsia="en-GB"/>
              </w:rPr>
            </w:pPr>
            <w:r w:rsidRPr="007A114B">
              <w:rPr>
                <w:rFonts w:cstheme="minorHAnsi"/>
                <w:i/>
                <w:iCs/>
                <w:sz w:val="18"/>
                <w:szCs w:val="18"/>
                <w:lang w:val="en-GB" w:eastAsia="en-GB"/>
              </w:rPr>
              <w:t>Total/Average</w:t>
            </w:r>
          </w:p>
        </w:tc>
        <w:tc>
          <w:tcPr>
            <w:tcW w:w="865" w:type="dxa"/>
            <w:tcBorders>
              <w:left w:val="nil"/>
              <w:bottom w:val="single" w:sz="4" w:space="0" w:color="auto"/>
              <w:right w:val="nil"/>
            </w:tcBorders>
            <w:vAlign w:val="center"/>
          </w:tcPr>
          <w:p w14:paraId="421AF893" w14:textId="7D768C57" w:rsidR="00004992" w:rsidRPr="007A114B" w:rsidRDefault="0065243D" w:rsidP="00CB6465">
            <w:pPr>
              <w:spacing w:after="120"/>
              <w:jc w:val="center"/>
              <w:rPr>
                <w:rFonts w:cstheme="minorHAnsi"/>
                <w:i/>
                <w:iCs/>
                <w:sz w:val="18"/>
                <w:szCs w:val="18"/>
                <w:lang w:val="en-GB" w:eastAsia="en-GB"/>
              </w:rPr>
            </w:pPr>
            <w:r w:rsidRPr="007A114B">
              <w:rPr>
                <w:rFonts w:cstheme="minorHAnsi"/>
                <w:i/>
                <w:iCs/>
                <w:sz w:val="18"/>
                <w:szCs w:val="18"/>
                <w:lang w:val="en-GB" w:eastAsia="en-GB"/>
              </w:rPr>
              <w:t>616 (369 controls)</w:t>
            </w:r>
          </w:p>
        </w:tc>
        <w:tc>
          <w:tcPr>
            <w:tcW w:w="1418" w:type="dxa"/>
            <w:tcBorders>
              <w:left w:val="nil"/>
              <w:bottom w:val="single" w:sz="4" w:space="0" w:color="auto"/>
              <w:right w:val="nil"/>
            </w:tcBorders>
            <w:vAlign w:val="center"/>
          </w:tcPr>
          <w:p w14:paraId="1FBEEC5B" w14:textId="4CA64398" w:rsidR="00004992" w:rsidRPr="007A114B" w:rsidRDefault="0065243D" w:rsidP="00CB6465">
            <w:pPr>
              <w:spacing w:after="120"/>
              <w:jc w:val="center"/>
              <w:rPr>
                <w:rFonts w:cstheme="minorHAnsi"/>
                <w:i/>
                <w:iCs/>
                <w:sz w:val="18"/>
                <w:szCs w:val="18"/>
                <w:lang w:val="en-GB" w:eastAsia="en-GB"/>
              </w:rPr>
            </w:pPr>
            <w:r w:rsidRPr="007A114B">
              <w:rPr>
                <w:rFonts w:ascii="Calibri" w:hAnsi="Calibri" w:cs="Calibri"/>
                <w:i/>
                <w:iCs/>
                <w:sz w:val="18"/>
                <w:szCs w:val="18"/>
                <w:lang w:val="en-GB" w:eastAsia="en-GB"/>
              </w:rPr>
              <w:t>29.1 months weighted (range 12 – 84 months)</w:t>
            </w:r>
          </w:p>
        </w:tc>
        <w:tc>
          <w:tcPr>
            <w:tcW w:w="997" w:type="dxa"/>
            <w:tcBorders>
              <w:left w:val="nil"/>
              <w:bottom w:val="single" w:sz="4" w:space="0" w:color="auto"/>
              <w:right w:val="nil"/>
            </w:tcBorders>
            <w:vAlign w:val="center"/>
          </w:tcPr>
          <w:p w14:paraId="7A7E2770" w14:textId="0E8DA6F8" w:rsidR="00004992" w:rsidRPr="007A114B" w:rsidRDefault="0065243D" w:rsidP="00CB6465">
            <w:pPr>
              <w:spacing w:after="120"/>
              <w:jc w:val="center"/>
              <w:rPr>
                <w:rFonts w:cstheme="minorHAnsi"/>
                <w:i/>
                <w:iCs/>
                <w:sz w:val="18"/>
                <w:szCs w:val="18"/>
                <w:lang w:val="en-GB" w:eastAsia="en-GB"/>
              </w:rPr>
            </w:pPr>
            <w:proofErr w:type="spellStart"/>
            <w:r w:rsidRPr="007A114B">
              <w:rPr>
                <w:rFonts w:cstheme="minorHAnsi"/>
                <w:i/>
                <w:iCs/>
                <w:sz w:val="18"/>
                <w:szCs w:val="18"/>
                <w:lang w:val="en-GB" w:eastAsia="en-GB"/>
              </w:rPr>
              <w:t>mHHS</w:t>
            </w:r>
            <w:proofErr w:type="spellEnd"/>
          </w:p>
        </w:tc>
        <w:tc>
          <w:tcPr>
            <w:tcW w:w="1775" w:type="dxa"/>
            <w:tcBorders>
              <w:left w:val="nil"/>
              <w:bottom w:val="single" w:sz="4" w:space="0" w:color="auto"/>
              <w:right w:val="nil"/>
            </w:tcBorders>
            <w:vAlign w:val="center"/>
          </w:tcPr>
          <w:p w14:paraId="54BBDF5C" w14:textId="77777777" w:rsidR="00004992" w:rsidRPr="007A114B" w:rsidRDefault="00004992" w:rsidP="00CB6465">
            <w:pPr>
              <w:spacing w:after="120"/>
              <w:jc w:val="center"/>
              <w:rPr>
                <w:rFonts w:cstheme="minorHAnsi"/>
                <w:i/>
                <w:iCs/>
                <w:lang w:val="en-GB" w:eastAsia="en-GB"/>
              </w:rPr>
            </w:pPr>
          </w:p>
        </w:tc>
        <w:tc>
          <w:tcPr>
            <w:tcW w:w="1673" w:type="dxa"/>
            <w:tcBorders>
              <w:left w:val="nil"/>
              <w:bottom w:val="single" w:sz="4" w:space="0" w:color="auto"/>
              <w:right w:val="nil"/>
            </w:tcBorders>
            <w:vAlign w:val="center"/>
          </w:tcPr>
          <w:p w14:paraId="4674A703" w14:textId="77777777" w:rsidR="00004992" w:rsidRPr="007A114B" w:rsidRDefault="00004992" w:rsidP="00CB6465">
            <w:pPr>
              <w:spacing w:after="120"/>
              <w:jc w:val="center"/>
              <w:rPr>
                <w:rFonts w:cstheme="minorHAnsi"/>
                <w:i/>
                <w:iCs/>
                <w:lang w:val="en-GB" w:eastAsia="en-GB"/>
              </w:rPr>
            </w:pPr>
          </w:p>
        </w:tc>
        <w:tc>
          <w:tcPr>
            <w:tcW w:w="2328" w:type="dxa"/>
            <w:tcBorders>
              <w:left w:val="nil"/>
              <w:bottom w:val="single" w:sz="4" w:space="0" w:color="auto"/>
              <w:right w:val="nil"/>
            </w:tcBorders>
            <w:vAlign w:val="center"/>
          </w:tcPr>
          <w:p w14:paraId="0437E8B9" w14:textId="77777777" w:rsidR="00004992" w:rsidRPr="007A114B" w:rsidRDefault="00004992" w:rsidP="00CB6465">
            <w:pPr>
              <w:spacing w:after="120"/>
              <w:jc w:val="center"/>
              <w:rPr>
                <w:rFonts w:cstheme="minorHAnsi"/>
                <w:i/>
                <w:iCs/>
                <w:lang w:val="en-GB" w:eastAsia="en-GB"/>
              </w:rPr>
            </w:pPr>
          </w:p>
        </w:tc>
      </w:tr>
      <w:tr w:rsidR="0015432B" w:rsidRPr="007A114B" w14:paraId="1742EF90" w14:textId="77777777" w:rsidTr="008A56A0">
        <w:trPr>
          <w:trHeight w:val="368"/>
        </w:trPr>
        <w:tc>
          <w:tcPr>
            <w:tcW w:w="10596" w:type="dxa"/>
            <w:gridSpan w:val="7"/>
            <w:tcBorders>
              <w:left w:val="nil"/>
              <w:bottom w:val="nil"/>
              <w:right w:val="nil"/>
            </w:tcBorders>
          </w:tcPr>
          <w:p w14:paraId="114ECE09" w14:textId="62A07683" w:rsidR="0015432B" w:rsidRPr="007A114B" w:rsidRDefault="0003225B" w:rsidP="00CB6465">
            <w:pPr>
              <w:spacing w:after="120"/>
              <w:jc w:val="both"/>
              <w:rPr>
                <w:rFonts w:cstheme="minorHAnsi"/>
                <w:sz w:val="18"/>
                <w:szCs w:val="18"/>
                <w:lang w:val="en-GB" w:eastAsia="en-GB"/>
              </w:rPr>
            </w:pPr>
            <w:r w:rsidRPr="007A114B">
              <w:rPr>
                <w:rFonts w:cstheme="minorHAnsi"/>
                <w:sz w:val="18"/>
                <w:szCs w:val="18"/>
                <w:lang w:val="en-GB" w:eastAsia="en-GB"/>
              </w:rPr>
              <w:t xml:space="preserve">Nr. – number; </w:t>
            </w:r>
            <w:r w:rsidR="0015432B" w:rsidRPr="007A114B">
              <w:rPr>
                <w:rFonts w:cstheme="minorHAnsi"/>
                <w:sz w:val="18"/>
                <w:szCs w:val="18"/>
                <w:lang w:val="en-GB" w:eastAsia="en-GB"/>
              </w:rPr>
              <w:t>PRO</w:t>
            </w:r>
            <w:r w:rsidR="00D55247" w:rsidRPr="007A114B">
              <w:rPr>
                <w:rFonts w:cstheme="minorHAnsi"/>
                <w:sz w:val="18"/>
                <w:szCs w:val="18"/>
                <w:lang w:val="en-GB" w:eastAsia="en-GB"/>
              </w:rPr>
              <w:t>M</w:t>
            </w:r>
            <w:r w:rsidR="0015432B" w:rsidRPr="007A114B">
              <w:rPr>
                <w:rFonts w:cstheme="minorHAnsi"/>
                <w:sz w:val="18"/>
                <w:szCs w:val="18"/>
                <w:lang w:val="en-GB" w:eastAsia="en-GB"/>
              </w:rPr>
              <w:t xml:space="preserve">s – patient-reported outcomes; </w:t>
            </w:r>
            <w:r w:rsidR="008B1720" w:rsidRPr="007A114B">
              <w:rPr>
                <w:rFonts w:cstheme="minorHAnsi"/>
                <w:sz w:val="18"/>
                <w:szCs w:val="18"/>
                <w:lang w:val="en-GB" w:eastAsia="en-GB"/>
              </w:rPr>
              <w:t xml:space="preserve">T0, T1, T2 and T3: </w:t>
            </w:r>
            <w:proofErr w:type="spellStart"/>
            <w:r w:rsidR="008B1720" w:rsidRPr="007A114B">
              <w:rPr>
                <w:rFonts w:cstheme="minorHAnsi"/>
                <w:sz w:val="18"/>
                <w:szCs w:val="18"/>
                <w:lang w:val="en-GB" w:eastAsia="en-GB"/>
              </w:rPr>
              <w:t>Tönnis</w:t>
            </w:r>
            <w:proofErr w:type="spellEnd"/>
            <w:r w:rsidR="008B1720" w:rsidRPr="007A114B">
              <w:rPr>
                <w:rFonts w:cstheme="minorHAnsi"/>
                <w:sz w:val="18"/>
                <w:szCs w:val="18"/>
                <w:lang w:val="en-GB" w:eastAsia="en-GB"/>
              </w:rPr>
              <w:t xml:space="preserve"> grades of osteoarthritis;</w:t>
            </w:r>
            <w:r w:rsidR="003E6A48" w:rsidRPr="007A114B">
              <w:rPr>
                <w:rFonts w:cstheme="minorHAnsi"/>
                <w:sz w:val="18"/>
                <w:szCs w:val="18"/>
                <w:lang w:val="en-GB" w:eastAsia="en-GB"/>
              </w:rPr>
              <w:t xml:space="preserve"> CI – confidence intervals;</w:t>
            </w:r>
            <w:r w:rsidR="008B1720" w:rsidRPr="007A114B">
              <w:rPr>
                <w:rFonts w:cstheme="minorHAnsi"/>
                <w:sz w:val="18"/>
                <w:szCs w:val="18"/>
                <w:lang w:val="en-GB" w:eastAsia="en-GB"/>
              </w:rPr>
              <w:t xml:space="preserve"> </w:t>
            </w:r>
            <w:proofErr w:type="spellStart"/>
            <w:r w:rsidR="008B1720" w:rsidRPr="007A114B">
              <w:rPr>
                <w:rFonts w:cstheme="minorHAnsi"/>
                <w:sz w:val="18"/>
                <w:szCs w:val="18"/>
                <w:lang w:val="en-GB" w:eastAsia="en-GB"/>
              </w:rPr>
              <w:t>mHHS</w:t>
            </w:r>
            <w:proofErr w:type="spellEnd"/>
            <w:r w:rsidR="008B1720" w:rsidRPr="007A114B">
              <w:rPr>
                <w:rFonts w:cstheme="minorHAnsi"/>
                <w:sz w:val="18"/>
                <w:szCs w:val="18"/>
                <w:lang w:val="en-GB" w:eastAsia="en-GB"/>
              </w:rPr>
              <w:t xml:space="preserve"> – modified Harris Hip Score; VAS - Visual Analogue Scale; HOS-ADL - Hip Outcome Score - Activities of Daily Living; HOS-SSS - Hip Outcome Score Sports Specific Subscale; NAHS - Non-arthritic Hip Score; LEFS - Lower Extremity Functional Scale</w:t>
            </w:r>
            <w:r w:rsidR="009D202F" w:rsidRPr="007A114B">
              <w:rPr>
                <w:rFonts w:cstheme="minorHAnsi"/>
                <w:sz w:val="18"/>
                <w:szCs w:val="18"/>
                <w:lang w:val="en-GB" w:eastAsia="en-GB"/>
              </w:rPr>
              <w:t xml:space="preserve">; </w:t>
            </w:r>
            <w:r w:rsidR="009D202F" w:rsidRPr="007A114B">
              <w:rPr>
                <w:rFonts w:ascii="Calibri" w:hAnsi="Calibri" w:cs="Calibri"/>
                <w:sz w:val="18"/>
                <w:szCs w:val="18"/>
                <w:lang w:val="en-GB" w:eastAsia="en-GB"/>
              </w:rPr>
              <w:t>NR – not reported</w:t>
            </w:r>
          </w:p>
        </w:tc>
      </w:tr>
    </w:tbl>
    <w:p w14:paraId="3E0EA269" w14:textId="77777777" w:rsidR="008C4920" w:rsidRPr="007A114B" w:rsidRDefault="008C4920" w:rsidP="00F45D14">
      <w:pPr>
        <w:spacing w:after="120" w:line="276" w:lineRule="auto"/>
        <w:rPr>
          <w:rFonts w:cstheme="minorHAnsi"/>
          <w:lang w:val="en-GB" w:eastAsia="en-GB"/>
        </w:rPr>
      </w:pPr>
    </w:p>
    <w:p w14:paraId="5D88198A" w14:textId="7DED0543" w:rsidR="008C4920" w:rsidRPr="007A114B" w:rsidRDefault="00424015" w:rsidP="00F45D14">
      <w:pPr>
        <w:spacing w:after="120" w:line="276" w:lineRule="auto"/>
        <w:rPr>
          <w:rFonts w:cstheme="minorHAnsi"/>
          <w:lang w:val="en-GB" w:eastAsia="en-GB"/>
        </w:rPr>
      </w:pPr>
      <w:r w:rsidRPr="007A114B">
        <w:rPr>
          <w:rFonts w:cstheme="minorHAnsi"/>
          <w:b/>
          <w:bCs/>
          <w:lang w:val="en-GB" w:eastAsia="en-GB"/>
        </w:rPr>
        <w:t>Table 5</w:t>
      </w:r>
      <w:r w:rsidRPr="007A114B">
        <w:rPr>
          <w:rFonts w:cstheme="minorHAnsi"/>
          <w:lang w:val="en-GB" w:eastAsia="en-GB"/>
        </w:rPr>
        <w:t xml:space="preserve">. Revisions and </w:t>
      </w:r>
      <w:r w:rsidR="00D27E83" w:rsidRPr="007A114B">
        <w:rPr>
          <w:rFonts w:cstheme="minorHAnsi"/>
          <w:lang w:val="en-GB" w:eastAsia="en-GB"/>
        </w:rPr>
        <w:t>c</w:t>
      </w:r>
      <w:r w:rsidRPr="007A114B">
        <w:rPr>
          <w:rFonts w:cstheme="minorHAnsi"/>
          <w:lang w:val="en-GB" w:eastAsia="en-GB"/>
        </w:rPr>
        <w:t xml:space="preserve">onversion to </w:t>
      </w:r>
      <w:r w:rsidR="00D27E83" w:rsidRPr="007A114B">
        <w:rPr>
          <w:rFonts w:cstheme="minorHAnsi"/>
          <w:lang w:val="en-GB" w:eastAsia="en-GB"/>
        </w:rPr>
        <w:t>t</w:t>
      </w:r>
      <w:r w:rsidRPr="007A114B">
        <w:rPr>
          <w:rFonts w:cstheme="minorHAnsi"/>
          <w:lang w:val="en-GB" w:eastAsia="en-GB"/>
        </w:rPr>
        <w:t xml:space="preserve">otal </w:t>
      </w:r>
      <w:r w:rsidR="00D27E83" w:rsidRPr="007A114B">
        <w:rPr>
          <w:rFonts w:cstheme="minorHAnsi"/>
          <w:lang w:val="en-GB" w:eastAsia="en-GB"/>
        </w:rPr>
        <w:t>h</w:t>
      </w:r>
      <w:r w:rsidRPr="007A114B">
        <w:rPr>
          <w:rFonts w:cstheme="minorHAnsi"/>
          <w:lang w:val="en-GB" w:eastAsia="en-GB"/>
        </w:rPr>
        <w:t xml:space="preserve">ip </w:t>
      </w:r>
      <w:r w:rsidR="00D27E83" w:rsidRPr="007A114B">
        <w:rPr>
          <w:rFonts w:cstheme="minorHAnsi"/>
          <w:lang w:val="en-GB" w:eastAsia="en-GB"/>
        </w:rPr>
        <w:t>a</w:t>
      </w:r>
      <w:r w:rsidRPr="007A114B">
        <w:rPr>
          <w:rFonts w:cstheme="minorHAnsi"/>
          <w:lang w:val="en-GB" w:eastAsia="en-GB"/>
        </w:rPr>
        <w:t>rthroplasty</w:t>
      </w:r>
    </w:p>
    <w:tbl>
      <w:tblPr>
        <w:tblStyle w:val="TableGrid"/>
        <w:tblW w:w="10596" w:type="dxa"/>
        <w:tblLayout w:type="fixed"/>
        <w:tblLook w:val="04A0" w:firstRow="1" w:lastRow="0" w:firstColumn="1" w:lastColumn="0" w:noHBand="0" w:noVBand="1"/>
      </w:tblPr>
      <w:tblGrid>
        <w:gridCol w:w="1537"/>
        <w:gridCol w:w="865"/>
        <w:gridCol w:w="1846"/>
        <w:gridCol w:w="1276"/>
        <w:gridCol w:w="1842"/>
        <w:gridCol w:w="1423"/>
        <w:gridCol w:w="1807"/>
      </w:tblGrid>
      <w:tr w:rsidR="008016F9" w:rsidRPr="007A114B" w14:paraId="6F3E3AE9" w14:textId="77777777" w:rsidTr="00622CBB">
        <w:trPr>
          <w:trHeight w:val="629"/>
        </w:trPr>
        <w:tc>
          <w:tcPr>
            <w:tcW w:w="1537" w:type="dxa"/>
            <w:tcBorders>
              <w:left w:val="nil"/>
              <w:bottom w:val="single" w:sz="4" w:space="0" w:color="auto"/>
              <w:right w:val="nil"/>
            </w:tcBorders>
            <w:shd w:val="pct20" w:color="auto" w:fill="auto"/>
            <w:vAlign w:val="center"/>
          </w:tcPr>
          <w:p w14:paraId="3A7062CA" w14:textId="77777777" w:rsidR="00D805F5" w:rsidRPr="007A114B" w:rsidRDefault="00D805F5" w:rsidP="008016F9">
            <w:pPr>
              <w:spacing w:after="120"/>
              <w:jc w:val="center"/>
              <w:rPr>
                <w:rFonts w:cstheme="minorHAnsi"/>
                <w:b/>
                <w:bCs/>
                <w:sz w:val="18"/>
                <w:szCs w:val="18"/>
                <w:lang w:val="en-GB" w:eastAsia="en-GB"/>
              </w:rPr>
            </w:pPr>
            <w:r w:rsidRPr="007A114B">
              <w:rPr>
                <w:rFonts w:cstheme="minorHAnsi"/>
                <w:b/>
                <w:bCs/>
                <w:sz w:val="18"/>
                <w:szCs w:val="18"/>
                <w:lang w:val="en-GB" w:eastAsia="en-GB"/>
              </w:rPr>
              <w:t>Author</w:t>
            </w:r>
          </w:p>
        </w:tc>
        <w:tc>
          <w:tcPr>
            <w:tcW w:w="865" w:type="dxa"/>
            <w:tcBorders>
              <w:left w:val="nil"/>
              <w:bottom w:val="single" w:sz="4" w:space="0" w:color="auto"/>
              <w:right w:val="nil"/>
            </w:tcBorders>
            <w:shd w:val="pct20" w:color="auto" w:fill="auto"/>
            <w:vAlign w:val="center"/>
          </w:tcPr>
          <w:p w14:paraId="048AA00D" w14:textId="77777777" w:rsidR="00D805F5" w:rsidRPr="007A114B" w:rsidRDefault="00D805F5" w:rsidP="008016F9">
            <w:pPr>
              <w:spacing w:after="120"/>
              <w:jc w:val="center"/>
              <w:rPr>
                <w:rFonts w:cstheme="minorHAnsi"/>
                <w:b/>
                <w:bCs/>
                <w:sz w:val="18"/>
                <w:szCs w:val="18"/>
                <w:lang w:val="en-GB" w:eastAsia="en-GB"/>
              </w:rPr>
            </w:pPr>
            <w:r w:rsidRPr="007A114B">
              <w:rPr>
                <w:rFonts w:cstheme="minorHAnsi"/>
                <w:b/>
                <w:bCs/>
                <w:sz w:val="18"/>
                <w:szCs w:val="18"/>
                <w:lang w:val="en-GB" w:eastAsia="en-GB"/>
              </w:rPr>
              <w:t>Nr. Hips</w:t>
            </w:r>
          </w:p>
        </w:tc>
        <w:tc>
          <w:tcPr>
            <w:tcW w:w="1846" w:type="dxa"/>
            <w:tcBorders>
              <w:left w:val="nil"/>
              <w:bottom w:val="single" w:sz="4" w:space="0" w:color="auto"/>
              <w:right w:val="nil"/>
            </w:tcBorders>
            <w:shd w:val="pct20" w:color="auto" w:fill="auto"/>
            <w:vAlign w:val="center"/>
          </w:tcPr>
          <w:p w14:paraId="552ABCD5" w14:textId="77777777" w:rsidR="00D805F5" w:rsidRPr="007A114B" w:rsidRDefault="00D805F5" w:rsidP="008016F9">
            <w:pPr>
              <w:spacing w:after="120"/>
              <w:jc w:val="center"/>
              <w:rPr>
                <w:rFonts w:cstheme="minorHAnsi"/>
                <w:b/>
                <w:bCs/>
                <w:sz w:val="18"/>
                <w:szCs w:val="18"/>
                <w:lang w:val="en-GB" w:eastAsia="en-GB"/>
              </w:rPr>
            </w:pPr>
            <w:r w:rsidRPr="007A114B">
              <w:rPr>
                <w:rFonts w:cstheme="minorHAnsi"/>
                <w:b/>
                <w:bCs/>
                <w:sz w:val="18"/>
                <w:szCs w:val="18"/>
                <w:lang w:val="en-GB" w:eastAsia="en-GB"/>
              </w:rPr>
              <w:t>Follow-up</w:t>
            </w:r>
          </w:p>
        </w:tc>
        <w:tc>
          <w:tcPr>
            <w:tcW w:w="1276" w:type="dxa"/>
            <w:tcBorders>
              <w:left w:val="nil"/>
              <w:bottom w:val="single" w:sz="4" w:space="0" w:color="auto"/>
              <w:right w:val="nil"/>
            </w:tcBorders>
            <w:shd w:val="pct20" w:color="auto" w:fill="auto"/>
            <w:vAlign w:val="center"/>
          </w:tcPr>
          <w:p w14:paraId="639B145D" w14:textId="577651F1" w:rsidR="00D805F5" w:rsidRPr="007A114B" w:rsidRDefault="00D805F5" w:rsidP="008016F9">
            <w:pPr>
              <w:spacing w:after="120"/>
              <w:jc w:val="center"/>
              <w:rPr>
                <w:rFonts w:cstheme="minorHAnsi"/>
                <w:b/>
                <w:bCs/>
                <w:sz w:val="18"/>
                <w:szCs w:val="18"/>
                <w:lang w:val="en-GB" w:eastAsia="en-GB"/>
              </w:rPr>
            </w:pPr>
            <w:r w:rsidRPr="007A114B">
              <w:rPr>
                <w:rFonts w:ascii="Calibri" w:hAnsi="Calibri"/>
                <w:b/>
                <w:bCs/>
                <w:color w:val="000000"/>
                <w:sz w:val="18"/>
                <w:szCs w:val="18"/>
                <w:lang w:val="en-GB"/>
              </w:rPr>
              <w:t>Radiographic Outcome</w:t>
            </w:r>
          </w:p>
        </w:tc>
        <w:tc>
          <w:tcPr>
            <w:tcW w:w="1842" w:type="dxa"/>
            <w:tcBorders>
              <w:left w:val="nil"/>
              <w:bottom w:val="single" w:sz="4" w:space="0" w:color="auto"/>
              <w:right w:val="nil"/>
            </w:tcBorders>
            <w:shd w:val="pct20" w:color="auto" w:fill="auto"/>
            <w:vAlign w:val="center"/>
          </w:tcPr>
          <w:p w14:paraId="4F691D95" w14:textId="7E37647A" w:rsidR="00D805F5" w:rsidRPr="007A114B" w:rsidRDefault="00D805F5" w:rsidP="008016F9">
            <w:pPr>
              <w:spacing w:after="120"/>
              <w:jc w:val="center"/>
              <w:rPr>
                <w:rFonts w:cstheme="minorHAnsi"/>
                <w:b/>
                <w:bCs/>
                <w:sz w:val="18"/>
                <w:szCs w:val="18"/>
                <w:lang w:val="en-GB" w:eastAsia="en-GB"/>
              </w:rPr>
            </w:pPr>
            <w:r w:rsidRPr="007A114B">
              <w:rPr>
                <w:rFonts w:ascii="Calibri" w:hAnsi="Calibri"/>
                <w:b/>
                <w:bCs/>
                <w:color w:val="000000"/>
                <w:sz w:val="18"/>
                <w:szCs w:val="18"/>
                <w:lang w:val="en-GB"/>
              </w:rPr>
              <w:t xml:space="preserve">Revisions </w:t>
            </w:r>
          </w:p>
        </w:tc>
        <w:tc>
          <w:tcPr>
            <w:tcW w:w="1423" w:type="dxa"/>
            <w:tcBorders>
              <w:left w:val="nil"/>
              <w:bottom w:val="single" w:sz="4" w:space="0" w:color="auto"/>
              <w:right w:val="nil"/>
            </w:tcBorders>
            <w:shd w:val="pct20" w:color="auto" w:fill="auto"/>
            <w:vAlign w:val="center"/>
          </w:tcPr>
          <w:p w14:paraId="0EA0C941" w14:textId="14DB820D" w:rsidR="00D805F5" w:rsidRPr="007A114B" w:rsidRDefault="00D805F5" w:rsidP="008016F9">
            <w:pPr>
              <w:spacing w:after="120"/>
              <w:jc w:val="center"/>
              <w:rPr>
                <w:rFonts w:cstheme="minorHAnsi"/>
                <w:b/>
                <w:bCs/>
                <w:sz w:val="18"/>
                <w:szCs w:val="18"/>
                <w:lang w:val="en-GB" w:eastAsia="en-GB"/>
              </w:rPr>
            </w:pPr>
            <w:r w:rsidRPr="007A114B">
              <w:rPr>
                <w:rFonts w:ascii="Calibri" w:hAnsi="Calibri"/>
                <w:b/>
                <w:bCs/>
                <w:color w:val="000000"/>
                <w:sz w:val="18"/>
                <w:szCs w:val="18"/>
                <w:lang w:val="en-GB"/>
              </w:rPr>
              <w:t>Conversion to THA</w:t>
            </w:r>
            <w:r w:rsidR="00F34DCB" w:rsidRPr="007A114B">
              <w:rPr>
                <w:rFonts w:ascii="Calibri" w:hAnsi="Calibri"/>
                <w:b/>
                <w:bCs/>
                <w:color w:val="000000"/>
                <w:sz w:val="18"/>
                <w:szCs w:val="18"/>
                <w:lang w:val="en-GB"/>
              </w:rPr>
              <w:t xml:space="preserve"> (%)</w:t>
            </w:r>
          </w:p>
        </w:tc>
        <w:tc>
          <w:tcPr>
            <w:tcW w:w="1807" w:type="dxa"/>
            <w:tcBorders>
              <w:left w:val="nil"/>
              <w:bottom w:val="single" w:sz="4" w:space="0" w:color="auto"/>
              <w:right w:val="nil"/>
            </w:tcBorders>
            <w:shd w:val="pct20" w:color="auto" w:fill="auto"/>
            <w:vAlign w:val="center"/>
          </w:tcPr>
          <w:p w14:paraId="49557A36" w14:textId="32326192" w:rsidR="00D805F5" w:rsidRPr="007A114B" w:rsidRDefault="00D805F5" w:rsidP="008016F9">
            <w:pPr>
              <w:spacing w:after="120"/>
              <w:jc w:val="center"/>
              <w:rPr>
                <w:rFonts w:cstheme="minorHAnsi"/>
                <w:b/>
                <w:bCs/>
                <w:sz w:val="18"/>
                <w:szCs w:val="18"/>
                <w:lang w:val="en-GB" w:eastAsia="en-GB"/>
              </w:rPr>
            </w:pPr>
            <w:r w:rsidRPr="007A114B">
              <w:rPr>
                <w:rFonts w:ascii="Calibri" w:hAnsi="Calibri"/>
                <w:b/>
                <w:bCs/>
                <w:color w:val="000000"/>
                <w:sz w:val="18"/>
                <w:szCs w:val="18"/>
                <w:lang w:val="en-GB"/>
              </w:rPr>
              <w:t>Time to THA Conversion (months)</w:t>
            </w:r>
          </w:p>
        </w:tc>
      </w:tr>
      <w:tr w:rsidR="009D202F" w:rsidRPr="007A114B" w14:paraId="326C940E" w14:textId="77777777" w:rsidTr="00CF225D">
        <w:trPr>
          <w:trHeight w:val="368"/>
        </w:trPr>
        <w:tc>
          <w:tcPr>
            <w:tcW w:w="1537" w:type="dxa"/>
            <w:tcBorders>
              <w:left w:val="nil"/>
              <w:bottom w:val="nil"/>
              <w:right w:val="nil"/>
            </w:tcBorders>
            <w:vAlign w:val="center"/>
          </w:tcPr>
          <w:p w14:paraId="4166FFEB" w14:textId="7BA2C91F" w:rsidR="009D202F" w:rsidRPr="007A114B" w:rsidRDefault="009D202F" w:rsidP="009D202F">
            <w:pPr>
              <w:spacing w:after="120"/>
              <w:jc w:val="center"/>
              <w:rPr>
                <w:rFonts w:cstheme="minorHAnsi"/>
                <w:sz w:val="18"/>
                <w:szCs w:val="18"/>
                <w:lang w:val="en-GB" w:eastAsia="en-GB"/>
              </w:rPr>
            </w:pPr>
            <w:r w:rsidRPr="007A114B">
              <w:rPr>
                <w:rFonts w:cstheme="minorHAnsi"/>
                <w:sz w:val="18"/>
                <w:szCs w:val="18"/>
                <w:lang w:val="en-GB" w:eastAsia="en-GB"/>
              </w:rPr>
              <w:t>Byrd 2018 (JHPS)</w:t>
            </w:r>
            <w:r w:rsidRPr="007A114B">
              <w:rPr>
                <w:rFonts w:ascii="Calibri" w:hAnsi="Calibri" w:cs="Calibri"/>
                <w:sz w:val="16"/>
                <w:szCs w:val="16"/>
                <w:lang w:val="en-GB" w:eastAsia="en-GB"/>
              </w:rPr>
              <w:t xml:space="preserve"> </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{"citationItems":[{"id":"ITEM-1","itemData":{"DOI":"10.1093/jhps/hny011","ISSN":"2054-8397","abstract":"Based on a previously reported study, it is hypothesized that Tönnis 2 changes may not be a harbinger of poor results. The purpose is to report outcomes comparing Tönnis 2 changes to those with Tönnis 0&amp;1 changes. Previously published outcomes (modified Harris Hip Score and return to sport) among 200 consecutive athletes undergoing arthroscopic correction of femoroacetabular impingement with minimum 1-year follow-up were correlated with the Tönnis grade. Independent variables of gender and age were also evaluated. Average age was 28.6 years (range 11-60), with 148 males and 52 females. The average improvement was Tönnis 0 23.1 points (n = 37), Tönnis 1 20.6 points (n = 113) and Tönnis 2 16.4 points (n = 48). A trend (P = 0.055) towards lower scores with increasing Tönnis grade was not statistically significant. There was both statistically (P &lt; 0.01) and clinically (&gt;8 patients) significant improvement across all Tönnis grades, and there was no statistically significant difference between Tönnis 0 and 1 compared with Tönnis 2 (P = 0.078). The percent that returned to sport was as follows: Tönnis 0 95%, Tönnis 1 92% and Tönnis 2 85%. A trend (P = 0.098) towards lower rates of return to sport with increasing Tönnis grade was not statistically significant, and there was no statistically significant difference between Tönnis 0 and 1 compared with Tönnis 2. Within each grade, there was no correlation with age, such that increasing age did not reflect lower scores. There was also no correlation with gender. Statistically and clinically successful outcomes can be encountered among athletes with Tönnis 2 radiographic features.","author":[{"dropping-particle":"","family":"Byrd","given":"J W Thomas","non-dropping-particle":"","parse-names":false,"suffix":""},{"dropping-particle":"","family":"Jones","given":"Kay S","non-dropping-particle":"","parse-names":false,"suffix":""},{"dropping-particle":"","family":"Bardowski","given":"Elizabeth A","non-dropping-particle":"","parse-names":false,"suffix":""}],"container-title":"Journal of hip preservation surgery","id":"ITEM-1","issue":"2","issued":{"date-parts":[["2018","4","24"]]},"language":"eng","page":"162-165","publisher":"Oxford University Press","title":"Influence of Tönnis grade on outcomes of arthroscopy for FAI in athletes: a comparative analysis","type":"article-journal","volume":"5"},"uris":["http://www.mendeley.com/documents/?uuid=96506ac1-0244-4ccb-91a5-a943df2365b5"]}],"mendeley":{"formattedCitation":"&lt;sup&gt;15&lt;/sup&gt;","plainTextFormattedCitation":"15","previouslyFormattedCitation":"&lt;sup&gt;15&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15</w:t>
            </w:r>
            <w:r w:rsidRPr="007221CC">
              <w:rPr>
                <w:rFonts w:cstheme="minorHAnsi"/>
                <w:sz w:val="18"/>
                <w:szCs w:val="18"/>
                <w:lang w:val="en-GB" w:eastAsia="en-GB"/>
              </w:rPr>
              <w:fldChar w:fldCharType="end"/>
            </w:r>
          </w:p>
        </w:tc>
        <w:tc>
          <w:tcPr>
            <w:tcW w:w="865" w:type="dxa"/>
            <w:tcBorders>
              <w:left w:val="nil"/>
              <w:bottom w:val="nil"/>
              <w:right w:val="nil"/>
            </w:tcBorders>
            <w:vAlign w:val="center"/>
          </w:tcPr>
          <w:p w14:paraId="2774BD34"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48</w:t>
            </w:r>
          </w:p>
        </w:tc>
        <w:tc>
          <w:tcPr>
            <w:tcW w:w="1846" w:type="dxa"/>
            <w:tcBorders>
              <w:left w:val="nil"/>
              <w:bottom w:val="nil"/>
              <w:right w:val="nil"/>
            </w:tcBorders>
            <w:vAlign w:val="center"/>
          </w:tcPr>
          <w:p w14:paraId="448B3DC5"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Minimum 1 year</w:t>
            </w:r>
          </w:p>
        </w:tc>
        <w:tc>
          <w:tcPr>
            <w:tcW w:w="1276" w:type="dxa"/>
            <w:tcBorders>
              <w:left w:val="nil"/>
              <w:bottom w:val="nil"/>
              <w:right w:val="nil"/>
            </w:tcBorders>
          </w:tcPr>
          <w:p w14:paraId="2CCD8C27" w14:textId="097FFC29"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left w:val="nil"/>
              <w:bottom w:val="nil"/>
              <w:right w:val="nil"/>
            </w:tcBorders>
          </w:tcPr>
          <w:p w14:paraId="648688FC" w14:textId="0DF97382"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423" w:type="dxa"/>
            <w:tcBorders>
              <w:left w:val="nil"/>
              <w:bottom w:val="nil"/>
              <w:right w:val="nil"/>
            </w:tcBorders>
          </w:tcPr>
          <w:p w14:paraId="18421D11" w14:textId="35D10810"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07" w:type="dxa"/>
            <w:tcBorders>
              <w:left w:val="nil"/>
              <w:bottom w:val="nil"/>
              <w:right w:val="nil"/>
            </w:tcBorders>
          </w:tcPr>
          <w:p w14:paraId="3B61CFC5" w14:textId="2F2F0C61"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9D202F" w:rsidRPr="007A114B" w14:paraId="06B3F88A" w14:textId="77777777" w:rsidTr="00CF225D">
        <w:trPr>
          <w:trHeight w:val="368"/>
        </w:trPr>
        <w:tc>
          <w:tcPr>
            <w:tcW w:w="1537" w:type="dxa"/>
            <w:tcBorders>
              <w:top w:val="nil"/>
              <w:left w:val="nil"/>
              <w:bottom w:val="nil"/>
              <w:right w:val="nil"/>
            </w:tcBorders>
            <w:vAlign w:val="center"/>
          </w:tcPr>
          <w:p w14:paraId="0A78AE9D" w14:textId="77777777" w:rsidR="009D202F" w:rsidRPr="007A114B" w:rsidRDefault="009D202F" w:rsidP="009D202F">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52CF6220"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150</w:t>
            </w:r>
          </w:p>
        </w:tc>
        <w:tc>
          <w:tcPr>
            <w:tcW w:w="1846" w:type="dxa"/>
            <w:tcBorders>
              <w:top w:val="nil"/>
              <w:left w:val="nil"/>
              <w:bottom w:val="nil"/>
              <w:right w:val="nil"/>
            </w:tcBorders>
            <w:vAlign w:val="center"/>
          </w:tcPr>
          <w:p w14:paraId="78F43C17"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Minimum 1 year</w:t>
            </w:r>
          </w:p>
        </w:tc>
        <w:tc>
          <w:tcPr>
            <w:tcW w:w="1276" w:type="dxa"/>
            <w:tcBorders>
              <w:top w:val="nil"/>
              <w:left w:val="nil"/>
              <w:bottom w:val="nil"/>
              <w:right w:val="nil"/>
            </w:tcBorders>
          </w:tcPr>
          <w:p w14:paraId="4CB22FB9" w14:textId="3AFAB26A"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tcPr>
          <w:p w14:paraId="6ADD9F4D" w14:textId="3E9B69CB"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423" w:type="dxa"/>
            <w:tcBorders>
              <w:top w:val="nil"/>
              <w:left w:val="nil"/>
              <w:bottom w:val="nil"/>
              <w:right w:val="nil"/>
            </w:tcBorders>
          </w:tcPr>
          <w:p w14:paraId="3BA58E23" w14:textId="6B36700D"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07" w:type="dxa"/>
            <w:tcBorders>
              <w:top w:val="nil"/>
              <w:left w:val="nil"/>
              <w:bottom w:val="nil"/>
              <w:right w:val="nil"/>
            </w:tcBorders>
          </w:tcPr>
          <w:p w14:paraId="200BFB4A" w14:textId="2275A4BA"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9D202F" w:rsidRPr="007A114B" w14:paraId="48A41740" w14:textId="77777777" w:rsidTr="00CF225D">
        <w:trPr>
          <w:trHeight w:val="383"/>
        </w:trPr>
        <w:tc>
          <w:tcPr>
            <w:tcW w:w="1537" w:type="dxa"/>
            <w:tcBorders>
              <w:top w:val="nil"/>
              <w:left w:val="nil"/>
              <w:bottom w:val="nil"/>
              <w:right w:val="nil"/>
            </w:tcBorders>
            <w:vAlign w:val="center"/>
          </w:tcPr>
          <w:p w14:paraId="41527184" w14:textId="5AF393D1" w:rsidR="009D202F" w:rsidRPr="007A114B" w:rsidRDefault="009D202F" w:rsidP="009D202F">
            <w:pPr>
              <w:spacing w:after="120"/>
              <w:jc w:val="center"/>
              <w:rPr>
                <w:rFonts w:cstheme="minorHAnsi"/>
                <w:sz w:val="18"/>
                <w:szCs w:val="18"/>
                <w:lang w:val="en-GB" w:eastAsia="en-GB"/>
              </w:rPr>
            </w:pPr>
            <w:r w:rsidRPr="007A114B">
              <w:rPr>
                <w:rFonts w:cstheme="minorHAnsi"/>
                <w:sz w:val="18"/>
                <w:szCs w:val="18"/>
                <w:lang w:val="en-GB" w:eastAsia="en-GB"/>
              </w:rPr>
              <w:t>Byrd 2018 (Arthroscopy)</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{"citationItems":[{"id":"ITEM-1","itemData":{"DOI":"10.1016/j.arthro.2018.03.021","ISSN":"1526-3231 (Electronic)","PMID":"29789251","abstract":"PURPOSE: To define the outcomes of arthroscopic correction of femoroacetabular  impingement (FAI) based on Tönnis findings within a previously reported patient population, including a comparative analysis of Tönnis grade 0 and 1 versus grade 2 changes. METHODS: Outcomes (modified Harris Hip Score [mHHS]) of a previously published study of arthroscopic correction of FAI were correlated with Tönnis grade. The inclusion criteria were the first 100 consecutive patients undergoing arthroscopic FAI correction with minimum 2-year follow-up. These procedures were performed between December 2003 and May 2006. Grades were determined independently by 2 experienced clinicians. Tönnis grades 0 and 1 were compared with Tönnis grade 2. Independent variables of sex and age were also evaluated. RESULTS: The average age of the entire group was 34.7 years (range, 13-76 years), with 66 male and 34 female patients. Of the patients, 17 had Tönnis grade 0, 49 had Tönnis grade 1, 29 had Tönnis grade 2, and 4 had Tönnis grade 3 (1 unknown). The average mHHS improvement for Tönnis grade 0 was 20.6 points; Tönnis grade 1, 22.2 points; Tönnis grade 2, 14.9 points; and Tönnis grade 3, 18.8 points. The improvement was statistically (P &lt; .01) and clinically (&gt;8 points) significant across all Tönnis grades. There was no difference (P = .077) between Tönnis grades 0 and 1 (21.8 points) versus grade 2 (14.9 points). There was no difference based on sex or age. CONCLUSIONS: These data support that statistically and clinically meaningful successful patient-reported outcomes (mHHS) at 2 years can be encountered even in the presence of Tönnis grade 2 radiographic features. Neither age nor sex was an indicator of poorer results within similar Tönnis grades. LEVEL OF EVIDENCE: Level III, case-control study.","author":[{"dropping-particle":"","family":"Byrd","given":"J W Thomas","non-dropping-particle":"","parse-names":false,"suffix":""},{"dropping-particle":"","family":"Bardowski","given":"Elizabeth A","non-dropping-particle":"","parse-names":false,"suffix":""},{"dropping-particle":"","family":"Jones","given":"Kay S","non-dropping-particle":"","parse-names":false,"suffix":""}],"container-title":"Arthroscopy : the journal of arthroscopic &amp; related surgery : official publication  of the Arthroscopy Association of North America and the International Arthroscopy Association","id":"ITEM-1","issue":"8","issued":{"date-parts":[["2018","8"]]},"language":"eng","page":"2353-2356","publisher-place":"United States","title":"Influence of Tönnis Grade on Outcomes of Arthroscopic Management of Symptomatic  Femoroacetabular Impingement.","type":"article-journal","volume":"34"},"uris":["http://www.mendeley.com/documents/?uuid=be9467cf-a870-4611-8390-10504bab417c"]}],"mendeley":{"formattedCitation":"&lt;sup&gt;24&lt;/sup&gt;","plainTextFormattedCitation":"24","previouslyFormattedCitation":"&lt;sup&gt;24&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24</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12D9B550"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33</w:t>
            </w:r>
          </w:p>
        </w:tc>
        <w:tc>
          <w:tcPr>
            <w:tcW w:w="1846" w:type="dxa"/>
            <w:tcBorders>
              <w:top w:val="nil"/>
              <w:left w:val="nil"/>
              <w:bottom w:val="nil"/>
              <w:right w:val="nil"/>
            </w:tcBorders>
            <w:vAlign w:val="center"/>
          </w:tcPr>
          <w:p w14:paraId="450D882B"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Minimum 2 years</w:t>
            </w:r>
          </w:p>
        </w:tc>
        <w:tc>
          <w:tcPr>
            <w:tcW w:w="1276" w:type="dxa"/>
            <w:tcBorders>
              <w:top w:val="nil"/>
              <w:left w:val="nil"/>
              <w:bottom w:val="nil"/>
              <w:right w:val="nil"/>
            </w:tcBorders>
          </w:tcPr>
          <w:p w14:paraId="332DA5C0" w14:textId="163D2CBE"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793C7F34" w14:textId="45132160"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2/33 (HAS Revision)</w:t>
            </w:r>
          </w:p>
        </w:tc>
        <w:tc>
          <w:tcPr>
            <w:tcW w:w="1423" w:type="dxa"/>
            <w:tcBorders>
              <w:top w:val="nil"/>
              <w:left w:val="nil"/>
              <w:bottom w:val="nil"/>
              <w:right w:val="nil"/>
            </w:tcBorders>
            <w:vAlign w:val="center"/>
          </w:tcPr>
          <w:p w14:paraId="20E8E088" w14:textId="5771C1E8"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0/33 (0%)</w:t>
            </w:r>
          </w:p>
        </w:tc>
        <w:tc>
          <w:tcPr>
            <w:tcW w:w="1807" w:type="dxa"/>
            <w:tcBorders>
              <w:top w:val="nil"/>
              <w:left w:val="nil"/>
              <w:bottom w:val="nil"/>
              <w:right w:val="nil"/>
            </w:tcBorders>
          </w:tcPr>
          <w:p w14:paraId="20FA97F3" w14:textId="43EA3F34"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9D202F" w:rsidRPr="007A114B" w14:paraId="0E8F31BC" w14:textId="77777777" w:rsidTr="00CF225D">
        <w:trPr>
          <w:trHeight w:val="368"/>
        </w:trPr>
        <w:tc>
          <w:tcPr>
            <w:tcW w:w="1537" w:type="dxa"/>
            <w:tcBorders>
              <w:top w:val="nil"/>
              <w:left w:val="nil"/>
              <w:bottom w:val="nil"/>
              <w:right w:val="nil"/>
            </w:tcBorders>
            <w:vAlign w:val="center"/>
          </w:tcPr>
          <w:p w14:paraId="5A1CC126" w14:textId="77777777" w:rsidR="009D202F" w:rsidRPr="007A114B" w:rsidRDefault="009D202F" w:rsidP="009D202F">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1C2AB2E9"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66</w:t>
            </w:r>
          </w:p>
        </w:tc>
        <w:tc>
          <w:tcPr>
            <w:tcW w:w="1846" w:type="dxa"/>
            <w:tcBorders>
              <w:top w:val="nil"/>
              <w:left w:val="nil"/>
              <w:bottom w:val="nil"/>
              <w:right w:val="nil"/>
            </w:tcBorders>
            <w:vAlign w:val="center"/>
          </w:tcPr>
          <w:p w14:paraId="2D1E61E6"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Minimum 2 years</w:t>
            </w:r>
          </w:p>
        </w:tc>
        <w:tc>
          <w:tcPr>
            <w:tcW w:w="1276" w:type="dxa"/>
            <w:tcBorders>
              <w:top w:val="nil"/>
              <w:left w:val="nil"/>
              <w:bottom w:val="nil"/>
              <w:right w:val="nil"/>
            </w:tcBorders>
          </w:tcPr>
          <w:p w14:paraId="019E7273" w14:textId="0C8780FD"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36995A9A" w14:textId="09F42749"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4/66 (HAS Revision)</w:t>
            </w:r>
          </w:p>
        </w:tc>
        <w:tc>
          <w:tcPr>
            <w:tcW w:w="1423" w:type="dxa"/>
            <w:tcBorders>
              <w:top w:val="nil"/>
              <w:left w:val="nil"/>
              <w:bottom w:val="nil"/>
              <w:right w:val="nil"/>
            </w:tcBorders>
            <w:vAlign w:val="center"/>
          </w:tcPr>
          <w:p w14:paraId="3435A1F6" w14:textId="74F79634"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0/66 (0%)</w:t>
            </w:r>
          </w:p>
        </w:tc>
        <w:tc>
          <w:tcPr>
            <w:tcW w:w="1807" w:type="dxa"/>
            <w:tcBorders>
              <w:top w:val="nil"/>
              <w:left w:val="nil"/>
              <w:bottom w:val="nil"/>
              <w:right w:val="nil"/>
            </w:tcBorders>
          </w:tcPr>
          <w:p w14:paraId="08931B69" w14:textId="6236F389"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9D202F" w:rsidRPr="007A114B" w14:paraId="1AD3E932" w14:textId="77777777" w:rsidTr="00CF225D">
        <w:trPr>
          <w:trHeight w:val="368"/>
        </w:trPr>
        <w:tc>
          <w:tcPr>
            <w:tcW w:w="1537" w:type="dxa"/>
            <w:tcBorders>
              <w:top w:val="nil"/>
              <w:left w:val="nil"/>
              <w:bottom w:val="nil"/>
              <w:right w:val="nil"/>
            </w:tcBorders>
            <w:vAlign w:val="center"/>
          </w:tcPr>
          <w:p w14:paraId="2673C1AE" w14:textId="563DC3B8" w:rsidR="009D202F" w:rsidRPr="007A114B" w:rsidRDefault="009D202F" w:rsidP="009D202F">
            <w:pPr>
              <w:spacing w:after="120"/>
              <w:jc w:val="center"/>
              <w:rPr>
                <w:rFonts w:cstheme="minorHAnsi"/>
                <w:sz w:val="18"/>
                <w:szCs w:val="18"/>
                <w:lang w:val="en-GB" w:eastAsia="en-GB"/>
              </w:rPr>
            </w:pPr>
            <w:r w:rsidRPr="007A114B">
              <w:rPr>
                <w:rFonts w:cstheme="minorHAnsi"/>
                <w:sz w:val="18"/>
                <w:szCs w:val="18"/>
                <w:lang w:val="en-GB" w:eastAsia="en-GB"/>
              </w:rPr>
              <w:t>Chandrasekaran 2016</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DOI":"10.2106/jbjs.15.00644","ISSN":"0021-9355","author":[{"dropping-particle":"","family":"Chandrasekaran","given":"Sivashankar","non-dropping-particle":"","parse-names":false,"suffix":""},{"dropping-particle":"","family":"Darwish","given":"Nader","non-dropping-particle":"","parse-names":false,"suffix":""},{"dropping-particle":"","family":"Gui","given":"Chengcheng","non-dropping-particle":"","parse-names":false,"suffix":""},{"dropping-particle":"","family":"Lodhia","given":"Parth","non-dropping-particle":"","parse-names":false,"suffix":""},{"dropping-particle":"","family":"Suarez-Ahedo","given":"Carlos","non-dropping-particle":"","parse-names":false,"suffix":""},{"dropping-particle":"","family":"Domb","given":"Benjamin G","non-dropping-particle":"","parse-names":false,"suffix":""}],"container-title":"The Journal of bone and joint surgery. American volume","id":"ITEM-1","issue":"12","issued":{"date-parts":[["2016","6"]]},"page":"973—982","title":"Outcomes of Hip Arthroscopy in Patients with Tönnis Grade-2 Osteoarthritis at a Mean 2-Year Follow-up: Evaluation Using a Matched-Pair Analysis with Tönnis Grade-0 and Grade-1 Cohorts","type":"article-journal","volume":"98"},"uris":["http://www.mendeley.com/documents/?uuid=a294be90-2196-44b6-8523-b8116d7b21d3"]}],"mendeley":{"formattedCitation":"&lt;sup&gt;25&lt;/sup&gt;","plainTextFormattedCitation":"25","previouslyFormattedCitation":"&lt;sup&gt;25&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25</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41D9F585"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37</w:t>
            </w:r>
          </w:p>
        </w:tc>
        <w:tc>
          <w:tcPr>
            <w:tcW w:w="1846" w:type="dxa"/>
            <w:tcBorders>
              <w:top w:val="nil"/>
              <w:left w:val="nil"/>
              <w:bottom w:val="nil"/>
              <w:right w:val="nil"/>
            </w:tcBorders>
            <w:vAlign w:val="center"/>
          </w:tcPr>
          <w:p w14:paraId="61ACC9D4"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30 (20 - 62) months</w:t>
            </w:r>
          </w:p>
        </w:tc>
        <w:tc>
          <w:tcPr>
            <w:tcW w:w="1276" w:type="dxa"/>
            <w:tcBorders>
              <w:top w:val="nil"/>
              <w:left w:val="nil"/>
              <w:bottom w:val="nil"/>
              <w:right w:val="nil"/>
            </w:tcBorders>
          </w:tcPr>
          <w:p w14:paraId="3CC7B40A" w14:textId="7129C800"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5452BE4C" w14:textId="20113775"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5/37 HAS and 15/37 THA</w:t>
            </w:r>
          </w:p>
        </w:tc>
        <w:tc>
          <w:tcPr>
            <w:tcW w:w="1423" w:type="dxa"/>
            <w:tcBorders>
              <w:top w:val="nil"/>
              <w:left w:val="nil"/>
              <w:bottom w:val="nil"/>
              <w:right w:val="nil"/>
            </w:tcBorders>
            <w:vAlign w:val="center"/>
          </w:tcPr>
          <w:p w14:paraId="055B3B36" w14:textId="638F1973" w:rsidR="009D202F" w:rsidRPr="007A114B" w:rsidRDefault="009D202F" w:rsidP="009D202F">
            <w:pPr>
              <w:spacing w:after="120"/>
              <w:jc w:val="center"/>
              <w:rPr>
                <w:rFonts w:ascii="Calibri" w:hAnsi="Calibri"/>
                <w:color w:val="000000"/>
                <w:sz w:val="18"/>
                <w:szCs w:val="18"/>
                <w:lang w:val="en-GB"/>
              </w:rPr>
            </w:pPr>
            <w:r w:rsidRPr="007A114B">
              <w:rPr>
                <w:rFonts w:ascii="Calibri" w:hAnsi="Calibri"/>
                <w:color w:val="000000"/>
                <w:sz w:val="18"/>
                <w:szCs w:val="18"/>
                <w:lang w:val="en-GB"/>
              </w:rPr>
              <w:t>15/43 (35%)</w:t>
            </w:r>
          </w:p>
        </w:tc>
        <w:tc>
          <w:tcPr>
            <w:tcW w:w="1807" w:type="dxa"/>
            <w:tcBorders>
              <w:top w:val="nil"/>
              <w:left w:val="nil"/>
              <w:bottom w:val="nil"/>
              <w:right w:val="nil"/>
            </w:tcBorders>
            <w:vAlign w:val="center"/>
          </w:tcPr>
          <w:p w14:paraId="17FB32AE" w14:textId="17C3A86F"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29 (17 -44)</w:t>
            </w:r>
          </w:p>
        </w:tc>
      </w:tr>
      <w:tr w:rsidR="009D202F" w:rsidRPr="007A114B" w14:paraId="194FDF55" w14:textId="77777777" w:rsidTr="00CF225D">
        <w:trPr>
          <w:trHeight w:val="368"/>
        </w:trPr>
        <w:tc>
          <w:tcPr>
            <w:tcW w:w="1537" w:type="dxa"/>
            <w:tcBorders>
              <w:top w:val="nil"/>
              <w:left w:val="nil"/>
              <w:bottom w:val="nil"/>
              <w:right w:val="nil"/>
            </w:tcBorders>
            <w:vAlign w:val="center"/>
          </w:tcPr>
          <w:p w14:paraId="4EA5EE8B" w14:textId="77777777" w:rsidR="009D202F" w:rsidRPr="007A114B" w:rsidRDefault="009D202F" w:rsidP="009D202F">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4EBD19FF"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74</w:t>
            </w:r>
          </w:p>
        </w:tc>
        <w:tc>
          <w:tcPr>
            <w:tcW w:w="1846" w:type="dxa"/>
            <w:tcBorders>
              <w:top w:val="nil"/>
              <w:left w:val="nil"/>
              <w:bottom w:val="nil"/>
              <w:right w:val="nil"/>
            </w:tcBorders>
            <w:vAlign w:val="center"/>
          </w:tcPr>
          <w:p w14:paraId="479B1AC3"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32 (22 - 64) months</w:t>
            </w:r>
          </w:p>
        </w:tc>
        <w:tc>
          <w:tcPr>
            <w:tcW w:w="1276" w:type="dxa"/>
            <w:tcBorders>
              <w:top w:val="nil"/>
              <w:left w:val="nil"/>
              <w:bottom w:val="nil"/>
              <w:right w:val="nil"/>
            </w:tcBorders>
          </w:tcPr>
          <w:p w14:paraId="245E7D7D" w14:textId="6AEAA427"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5800E54C" w14:textId="416467B3" w:rsidR="009D202F" w:rsidRPr="007A114B" w:rsidRDefault="009D202F" w:rsidP="009D202F">
            <w:pPr>
              <w:spacing w:after="120"/>
              <w:jc w:val="center"/>
              <w:rPr>
                <w:rFonts w:ascii="Calibri" w:hAnsi="Calibri"/>
                <w:color w:val="000000"/>
                <w:sz w:val="18"/>
                <w:szCs w:val="18"/>
                <w:lang w:val="en-GB"/>
              </w:rPr>
            </w:pPr>
            <w:r w:rsidRPr="007A114B">
              <w:rPr>
                <w:rFonts w:ascii="Calibri" w:hAnsi="Calibri"/>
                <w:color w:val="000000"/>
                <w:sz w:val="18"/>
                <w:szCs w:val="18"/>
                <w:u w:val="single"/>
                <w:lang w:val="en-GB"/>
              </w:rPr>
              <w:t>HAS Revision</w:t>
            </w:r>
            <w:r w:rsidRPr="007A114B">
              <w:rPr>
                <w:rFonts w:ascii="Calibri" w:hAnsi="Calibri"/>
                <w:color w:val="000000"/>
                <w:sz w:val="18"/>
                <w:szCs w:val="18"/>
                <w:lang w:val="en-GB"/>
              </w:rPr>
              <w:t xml:space="preserve">: 3/37 (T0) and 2/37 (T1); </w:t>
            </w:r>
            <w:r w:rsidRPr="007A114B">
              <w:rPr>
                <w:rFonts w:ascii="Calibri" w:hAnsi="Calibri"/>
                <w:color w:val="000000"/>
                <w:sz w:val="18"/>
                <w:szCs w:val="18"/>
                <w:u w:val="single"/>
                <w:lang w:val="en-GB"/>
              </w:rPr>
              <w:t>THA Conversion</w:t>
            </w:r>
            <w:r w:rsidRPr="007A114B">
              <w:rPr>
                <w:rFonts w:ascii="Calibri" w:hAnsi="Calibri"/>
                <w:color w:val="000000"/>
                <w:sz w:val="18"/>
                <w:szCs w:val="18"/>
                <w:lang w:val="en-GB"/>
              </w:rPr>
              <w:t xml:space="preserve">:  3/37 (T0); 5/37 (T1) </w:t>
            </w:r>
          </w:p>
        </w:tc>
        <w:tc>
          <w:tcPr>
            <w:tcW w:w="1423" w:type="dxa"/>
            <w:tcBorders>
              <w:top w:val="nil"/>
              <w:left w:val="nil"/>
              <w:bottom w:val="nil"/>
              <w:right w:val="nil"/>
            </w:tcBorders>
            <w:vAlign w:val="center"/>
          </w:tcPr>
          <w:p w14:paraId="356979FD" w14:textId="579FFD4D"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3/37 (8%, T0); 5/37 (14%, T1)</w:t>
            </w:r>
          </w:p>
        </w:tc>
        <w:tc>
          <w:tcPr>
            <w:tcW w:w="1807" w:type="dxa"/>
            <w:tcBorders>
              <w:top w:val="nil"/>
              <w:left w:val="nil"/>
              <w:bottom w:val="nil"/>
              <w:right w:val="nil"/>
            </w:tcBorders>
            <w:vAlign w:val="center"/>
          </w:tcPr>
          <w:p w14:paraId="2A79AF89" w14:textId="42A55851"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 xml:space="preserve">38 (T0); 42 (26 - 58) (T1) </w:t>
            </w:r>
          </w:p>
        </w:tc>
      </w:tr>
      <w:tr w:rsidR="009D202F" w:rsidRPr="007A114B" w14:paraId="36E44BF4" w14:textId="77777777" w:rsidTr="00CF225D">
        <w:trPr>
          <w:trHeight w:val="383"/>
        </w:trPr>
        <w:tc>
          <w:tcPr>
            <w:tcW w:w="1537" w:type="dxa"/>
            <w:tcBorders>
              <w:top w:val="nil"/>
              <w:left w:val="nil"/>
              <w:bottom w:val="nil"/>
              <w:right w:val="nil"/>
            </w:tcBorders>
            <w:vAlign w:val="center"/>
          </w:tcPr>
          <w:p w14:paraId="28377B13" w14:textId="192C1BBC" w:rsidR="009D202F" w:rsidRPr="007A114B" w:rsidRDefault="009D202F" w:rsidP="009D202F">
            <w:pPr>
              <w:spacing w:after="120"/>
              <w:jc w:val="center"/>
              <w:rPr>
                <w:rFonts w:cstheme="minorHAnsi"/>
                <w:sz w:val="18"/>
                <w:szCs w:val="18"/>
                <w:lang w:val="en-GB" w:eastAsia="en-GB"/>
              </w:rPr>
            </w:pPr>
            <w:proofErr w:type="spellStart"/>
            <w:r w:rsidRPr="007A114B">
              <w:rPr>
                <w:rFonts w:cstheme="minorHAnsi"/>
                <w:sz w:val="18"/>
                <w:szCs w:val="18"/>
                <w:lang w:val="en-GB" w:eastAsia="en-GB"/>
              </w:rPr>
              <w:t>Comba</w:t>
            </w:r>
            <w:proofErr w:type="spellEnd"/>
            <w:r w:rsidRPr="007A114B">
              <w:rPr>
                <w:rFonts w:cstheme="minorHAnsi"/>
                <w:sz w:val="18"/>
                <w:szCs w:val="18"/>
                <w:lang w:val="en-GB" w:eastAsia="en-GB"/>
              </w:rPr>
              <w:t xml:space="preserve"> 2016</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{"citationItems":[{"id":"ITEM-1","itemData":{"DOI":"10.11138/mltj/2016.6.3.317","ISSN":"2240-4554 (Print)","PMID":"28066736","abstract":"BACKGROUND: The purpose of this study is to evaluate the clinical outcomes,  radiological degenerative progression and the joint preservation rate in a series of patients with Femoroacetabular Impingement (FAI) treated with hip arthroscopy at a minimum follow-up of 7 years. The predictive factors for total hip arthroplasty (THA) requirement were analyzed. MATERIALS AND METHODS: Between February 2008 and February 2009, 42 consecutive patients treated with hip arthroscopy due to FAI syndrome were included. There were 15 women and 27 men with an average age of 38 years (range 23 to 56 years). The surgery involved joint damage stabilization (labral tears and/or chondrolabral injuries) and correction of associated bony deformities (cam and/or pincer lesions). A prospective clinical follow-up was made with no patient lost. We specifically addressed the need for THA. Predictive factors for THA were also analyzed. RESULTS: At final follow up, joint preservation rate was 83.33% (CI 95% 68,64%-93,03%). Probability of evolving to a THA in patients with radiographic preoperative Tonnis grades 0 and I was of 0% (CI 95%: 0-12.77). Probability of evolving to a THA in patients with preoperative Tonnis grades II and III was 46,67% (CI 95%21.27%-73,41%). A statistically significant difference was present between both groups (p= 0.002). Patients older than 45 years at the time of hip arthroscopy were at significant risk of evolving to a THA (p=0.0012). Excluding those patients who undergone a THA: modified HHS was 88.25 points (80-96) and radiographic analysis addressed a 14,29% (IC95% 4,81%-30,26%) of progressive degenerative changes without affecting clinical results. CONCLUSIONS: Hip arthroscopy for the treatment of patients with FAI syndrome showed favorable results regarding joint preservation. Patients with preoperative radiographic evidence of advanced-stage osteoarthritis and those older than 45 years at the time of surgery have higher risk of requiring THA. LEVEL OF EVIDENCE: IV.","author":[{"dropping-particle":"","family":"Comba","given":"Fernando","non-dropping-particle":"","parse-names":false,"suffix":""},{"dropping-particle":"","family":"Yacuzzi","given":"Carlos","non-dropping-particle":"","parse-names":false,"suffix":""},{"dropping-particle":"","family":"Ali","given":"Pablo J","non-dropping-particle":"","parse-names":false,"suffix":""},{"dropping-particle":"","family":"Zanotti","given":"Gerardo","non-dropping-particle":"","parse-names":false,"suffix":""},{"dropping-particle":"","family":"Buttaro","given":"Martin","non-dropping-particle":"","parse-names":false,"suffix":""},{"dropping-particle":"","family":"Piccaluga","given":"Francisco","non-dropping-particle":"","parse-names":false,"suffix":""}],"container-title":"Muscles, ligaments and tendons journal","id":"ITEM-1","issue":"3","issued":{"date-parts":[["2016"]]},"language":"eng","page":"317-323","title":"Joint preservation after hip arthroscopy in patients with FAI. Prospective analysis  with a minimum follow-up of seven years.","type":"article-journal","volume":"6"},"uris":["http://www.mendeley.com/documents/?uuid=02bbbb1b-5b7e-48ac-a558-094f38db259c"]}],"mendeley":{"formattedCitation":"&lt;sup&gt;29&lt;/sup&gt;","plainTextFormattedCitation":"29","previouslyFormattedCitation":"&lt;sup&gt;29&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29</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73794E68"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15</w:t>
            </w:r>
          </w:p>
        </w:tc>
        <w:tc>
          <w:tcPr>
            <w:tcW w:w="1846" w:type="dxa"/>
            <w:tcBorders>
              <w:top w:val="nil"/>
              <w:left w:val="nil"/>
              <w:bottom w:val="nil"/>
              <w:right w:val="nil"/>
            </w:tcBorders>
            <w:vAlign w:val="center"/>
          </w:tcPr>
          <w:p w14:paraId="0FC1E911"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84 months</w:t>
            </w:r>
          </w:p>
        </w:tc>
        <w:tc>
          <w:tcPr>
            <w:tcW w:w="1276" w:type="dxa"/>
            <w:tcBorders>
              <w:top w:val="nil"/>
              <w:left w:val="nil"/>
              <w:bottom w:val="nil"/>
              <w:right w:val="nil"/>
            </w:tcBorders>
            <w:vAlign w:val="center"/>
          </w:tcPr>
          <w:p w14:paraId="1D16D944" w14:textId="05B3DD91"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842" w:type="dxa"/>
            <w:tcBorders>
              <w:top w:val="nil"/>
              <w:left w:val="nil"/>
              <w:bottom w:val="nil"/>
              <w:right w:val="nil"/>
            </w:tcBorders>
            <w:vAlign w:val="center"/>
          </w:tcPr>
          <w:p w14:paraId="1099C000" w14:textId="21000553"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7/15 THA</w:t>
            </w:r>
          </w:p>
        </w:tc>
        <w:tc>
          <w:tcPr>
            <w:tcW w:w="1423" w:type="dxa"/>
            <w:tcBorders>
              <w:top w:val="nil"/>
              <w:left w:val="nil"/>
              <w:bottom w:val="nil"/>
              <w:right w:val="nil"/>
            </w:tcBorders>
            <w:vAlign w:val="center"/>
          </w:tcPr>
          <w:p w14:paraId="75677F9C" w14:textId="2BFDDF6C"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7/15 (47%)</w:t>
            </w:r>
          </w:p>
        </w:tc>
        <w:tc>
          <w:tcPr>
            <w:tcW w:w="1807" w:type="dxa"/>
            <w:tcBorders>
              <w:top w:val="nil"/>
              <w:left w:val="nil"/>
              <w:bottom w:val="nil"/>
              <w:right w:val="nil"/>
            </w:tcBorders>
          </w:tcPr>
          <w:p w14:paraId="1E978C0B" w14:textId="46A86B9F"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9D202F" w:rsidRPr="007A114B" w14:paraId="14030BC8" w14:textId="77777777" w:rsidTr="00CF225D">
        <w:trPr>
          <w:trHeight w:val="368"/>
        </w:trPr>
        <w:tc>
          <w:tcPr>
            <w:tcW w:w="1537" w:type="dxa"/>
            <w:tcBorders>
              <w:top w:val="nil"/>
              <w:left w:val="nil"/>
              <w:bottom w:val="nil"/>
              <w:right w:val="nil"/>
            </w:tcBorders>
            <w:vAlign w:val="center"/>
          </w:tcPr>
          <w:p w14:paraId="6F428DD4" w14:textId="039E14C8" w:rsidR="009D202F" w:rsidRPr="007A114B" w:rsidRDefault="009D202F" w:rsidP="009D202F">
            <w:pPr>
              <w:spacing w:after="120"/>
              <w:jc w:val="center"/>
              <w:rPr>
                <w:rFonts w:cstheme="minorHAnsi"/>
                <w:sz w:val="18"/>
                <w:szCs w:val="18"/>
                <w:lang w:val="en-GB" w:eastAsia="en-GB"/>
              </w:rPr>
            </w:pPr>
            <w:proofErr w:type="spellStart"/>
            <w:r w:rsidRPr="007A114B">
              <w:rPr>
                <w:rFonts w:cstheme="minorHAnsi"/>
                <w:sz w:val="18"/>
                <w:szCs w:val="18"/>
                <w:lang w:val="en-GB" w:eastAsia="en-GB"/>
              </w:rPr>
              <w:t>Dall’Oca</w:t>
            </w:r>
            <w:proofErr w:type="spellEnd"/>
            <w:r w:rsidRPr="007A114B">
              <w:rPr>
                <w:rFonts w:cstheme="minorHAnsi"/>
                <w:sz w:val="18"/>
                <w:szCs w:val="18"/>
                <w:lang w:val="en-GB" w:eastAsia="en-GB"/>
              </w:rPr>
              <w:t xml:space="preserve"> 2016</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{"citationItems":[{"id":"ITEM-1","itemData":{"ISSN":"2531-6745 (Electronic)","PMID":"27104320","abstract":"BACKGROUND: Femoral Acetabular Impingement (FAI) means a set of alterations  involving the acetabulum, proximal femur, or both of these components that can results in osteoarthritis. Arthroscopy is a choice for the treatment of initial stages of osteoarthritis (OA) in order to reduce evolution of the degenerative processes; advanced degrees of osteoarthritis are absolute contraindications. MATERIALS AND METHODS: 40 patients affected by osteoarthritis in FAI  underwent hip arthroscopy between May 2010 and March 2015. In all 40 cases OA secondary to FAI was diagnosed. All patients were clinically and instrumentally analyzed pre-operatively and then post-operatively after 3, 6, and 12 months. We evaluated the degree of OA using the Tonnis classification; our study included only patients affected by Tonnis grade 0-2 osteoarthritis. RESULTS: The mean modified Harris Hip Score showed an evolution from 54.7 points to an average value of 89,1 points after 12 months. The Lower Extremities Functional Scale evolved by 43 points to an average value of 65,28 points. CONCLUSIONS: Based on the data of this study, supported by the concordance with recent literature reviews, in degrees Tonnis 0 and 1 an arthroscopic treatment is recommended. Instead the therapeutic algorithm in Tonnis grade 2 is still being discussed. We detect a significant response to arthroscopic intervention which leads us to suggest that validation of this method needs further confirmatory studies.","author":[{"dropping-particle":"","family":"Dall'Oca","given":"Carlo","non-dropping-particle":"","parse-names":false,"suffix":""},{"dropping-particle":"","family":"Trivellin","given":"Giacomo","non-dropping-particle":"","parse-names":false,"suffix":""},{"dropping-particle":"","family":"D'Orazio","given":"Luca","non-dropping-particle":"","parse-names":false,"suffix":""},{"dropping-particle":"","family":"Sambugaro","given":"Elena","non-dropping-particle":"","parse-names":false,"suffix":""},{"dropping-particle":"","family":"Mezzari","given":"Silvio","non-dropping-particle":"","parse-names":false,"suffix":""},{"dropping-particle":"","family":"Zanetti","given":"Gabriele","non-dropping-particle":"","parse-names":false,"suffix":""},{"dropping-particle":"","family":"Corbo","given":"Valentina Rita","non-dropping-particle":"","parse-names":false,"suffix":""},{"dropping-particle":"","family":"Magnan","given":"Bruno","non-dropping-particle":"","parse-names":false,"suffix":""}],"container-title":"Acta bio-medica : Atenei Parmensis","id":"ITEM-1","issued":{"date-parts":[["2016","4"]]},"language":"eng","page":"46-52","publisher-place":"Italy","title":"Hip arthroscopy in osteoarthritis consequent to FAI.","type":"article-journal","volume":"87 Suppl 1"},"uris":["http://www.mendeley.com/documents/?uuid=82e72403-c488-4591-b988-0bd8df2431a0"]}],"mendeley":{"formattedCitation":"&lt;sup&gt;30&lt;/sup&gt;","plainTextFormattedCitation":"30","previouslyFormattedCitation":"&lt;sup&gt;30&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30</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6747F513"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13</w:t>
            </w:r>
          </w:p>
        </w:tc>
        <w:tc>
          <w:tcPr>
            <w:tcW w:w="1846" w:type="dxa"/>
            <w:tcBorders>
              <w:top w:val="nil"/>
              <w:left w:val="nil"/>
              <w:bottom w:val="nil"/>
              <w:right w:val="nil"/>
            </w:tcBorders>
            <w:vAlign w:val="center"/>
          </w:tcPr>
          <w:p w14:paraId="4E91CBDE"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12 months</w:t>
            </w:r>
          </w:p>
        </w:tc>
        <w:tc>
          <w:tcPr>
            <w:tcW w:w="1276" w:type="dxa"/>
            <w:tcBorders>
              <w:top w:val="nil"/>
              <w:left w:val="nil"/>
              <w:bottom w:val="nil"/>
              <w:right w:val="nil"/>
            </w:tcBorders>
            <w:vAlign w:val="center"/>
          </w:tcPr>
          <w:p w14:paraId="4A46E80D" w14:textId="37985ADF"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842" w:type="dxa"/>
            <w:tcBorders>
              <w:top w:val="nil"/>
              <w:left w:val="nil"/>
              <w:bottom w:val="nil"/>
              <w:right w:val="nil"/>
            </w:tcBorders>
            <w:vAlign w:val="center"/>
          </w:tcPr>
          <w:p w14:paraId="1D4123D9" w14:textId="0F37836E"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423" w:type="dxa"/>
            <w:tcBorders>
              <w:top w:val="nil"/>
              <w:left w:val="nil"/>
              <w:bottom w:val="nil"/>
              <w:right w:val="nil"/>
            </w:tcBorders>
            <w:vAlign w:val="center"/>
          </w:tcPr>
          <w:p w14:paraId="67090F9A" w14:textId="5FB9D951"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07" w:type="dxa"/>
            <w:tcBorders>
              <w:top w:val="nil"/>
              <w:left w:val="nil"/>
              <w:bottom w:val="nil"/>
              <w:right w:val="nil"/>
            </w:tcBorders>
          </w:tcPr>
          <w:p w14:paraId="61A863A1" w14:textId="77D2E7C4"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8016F9" w:rsidRPr="007A114B" w14:paraId="2203DA5A" w14:textId="77777777" w:rsidTr="00622CBB">
        <w:trPr>
          <w:trHeight w:val="368"/>
        </w:trPr>
        <w:tc>
          <w:tcPr>
            <w:tcW w:w="1537" w:type="dxa"/>
            <w:tcBorders>
              <w:top w:val="nil"/>
              <w:left w:val="nil"/>
              <w:bottom w:val="nil"/>
              <w:right w:val="nil"/>
            </w:tcBorders>
            <w:vAlign w:val="center"/>
          </w:tcPr>
          <w:p w14:paraId="53E7A789" w14:textId="68758FAE" w:rsidR="00DA4D17" w:rsidRPr="007A114B" w:rsidRDefault="0015650D" w:rsidP="008016F9">
            <w:pPr>
              <w:spacing w:after="120"/>
              <w:jc w:val="center"/>
              <w:rPr>
                <w:rFonts w:cstheme="minorHAnsi"/>
                <w:sz w:val="18"/>
                <w:szCs w:val="18"/>
                <w:lang w:val="en-GB" w:eastAsia="en-GB"/>
              </w:rPr>
            </w:pPr>
            <w:r w:rsidRPr="007A114B">
              <w:rPr>
                <w:rFonts w:cstheme="minorHAnsi"/>
                <w:sz w:val="18"/>
                <w:szCs w:val="18"/>
                <w:lang w:val="en-GB" w:eastAsia="en-GB"/>
              </w:rPr>
              <w:t>Giordano 2019</w:t>
            </w:r>
            <w:r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{"citationItems":[{"id":"ITEM-1","itemData":{"DOI":"10.1177/0363546519888894","ISSN":"1552-3365 (Electronic)","PMID":"31765238","abstract":"BACKGROUND: Hip arthroscopy in the setting of dysplasia and borderline dysplasia is  controversial. Dysplasia severity is most often defined by the lateral center edge angle (LCEA) but can also be evaluated radiographically by the acetabular inclination (AI). PURPOSE/HYPOTHESIS: The purpose was to determine the effect of AI on outcomes after isolated hip arthroscopy for femoroacetabular impingement (FAI). We hypothesized that patients with dysplasia would have higher rates of arthroplasty as well as inferior clinical and functional outcomes compared with patients who did not have dysplasia. STUDY DESIGN: Cohort study; Level of evidence, 3. METHODS: A hip arthroscopy registry was reviewed for participants undergoing arthroscopic correction of FAI from February 28, 2008, to June 10, 2013. Participants required a clinical diagnosis and isolated arthroscopic correction of FAI with preoperative imaging and intraoperative cartilage status recorded. AI dysplasia was defined as an AI greater than 10°, LCEA dysplasia as LCEA less than 18°, and borderline LCEA dysplasia as LCEA 18° to 25°. Patients without an acetabular deformity (LCEA 25°-40°; AI &lt;10°) served as a control population. Postoperative variables included patient-reported outcome surveys with conversion to arthroplasty as the primary endpoint. Minimum 5-year outcome scores were obtained for 337 of 419 patients (80.4%) with an average follow-up of 75.2 ± 12.7 months. RESULTS: This study included 419 patients: 9 (2%) with LCEA dysplasia, 42 (10%) with AI dysplasia, and 51 (12%) with borderline dysplasia. The AI but not LCEA was significantly correlated with lower outcome scores on the modified Harris Hip Score (r = 0.13; P = .01), Non-Arthritic Hip Score (r = 0.10; P = .04), and Hip Outcome Score-Sports Subscale (r = 0.11; P = .04). A total of 58 patients (14%) underwent arthroplasty at 31 ± 20 months postoperatively. Patients with LCEA dysplasia had an arthroplasty rate of 56% (odds ratio, 8.4), whereas patients with AI dysplasia had an arthroplasty rate of 31% (odds ratio, 3.3), which was significantly greater than the rate for the nondysplastic cohort (13.5%; P &lt; .0001). Patients with borderline LCEA dysplasia did not have increased rates of arthroplasty. A multivariate analysis found increasing age, increasing AI, Tönnis grade higher than 1, and femoral Outerbridge grade higher than 2 to be most predictive of conversion to arthroplasty. CONCLUSION: We found that an elevated AI, along with increasing…","author":[{"dropping-particle":"","family":"Giordano","given":"Brian D","non-dropping-particle":"","parse-names":false,"suffix":""},{"dropping-particle":"","family":"Kuhns","given":"Benjamin D","non-dropping-particle":"","parse-names":false,"suffix":""},{"dropping-particle":"","family":"Perets","given":"Itay","non-dropping-particle":"","parse-names":false,"suffix":""},{"dropping-particle":"","family":"Yuen","given":"Leslie","non-dropping-particle":"","parse-names":false,"suffix":""},{"dropping-particle":"","family":"Domb","given":"Benjamin G","non-dropping-particle":"","parse-names":false,"suffix":""}],"container-title":"The American journal of sports medicine","id":"ITEM-1","issue":"1","issued":{"date-parts":[["2020","1"]]},"language":"eng","page":"188-196","publisher-place":"United States","title":"Acetabular Morphologic Characteristics Predict Early Conversion to Arthroplasty  After Isolated Hip Arthroscopy for Femoroacetabular Impingement.","type":"article-journal","volume":"48"},"uris":["http://www.mendeley.com/documents/?uuid=77b752ff-14c5-4271-bc51-014e401b0c25"]}],"mendeley":{"formattedCitation":"&lt;sup&gt;28&lt;/sup&gt;","plainTextFormattedCitation":"28","previouslyFormattedCitation":"&lt;sup&gt;28&lt;/sup&gt;"},"properties":{"noteIndex":0},"schema":"https://github.com/citation-style-language/schema/raw/master/csl-citation.json"}</w:instrText>
            </w:r>
            <w:r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28</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79130F3A"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10</w:t>
            </w:r>
          </w:p>
        </w:tc>
        <w:tc>
          <w:tcPr>
            <w:tcW w:w="1846" w:type="dxa"/>
            <w:tcBorders>
              <w:top w:val="nil"/>
              <w:left w:val="nil"/>
              <w:bottom w:val="nil"/>
              <w:right w:val="nil"/>
            </w:tcBorders>
            <w:vAlign w:val="center"/>
          </w:tcPr>
          <w:p w14:paraId="6B3C29D1" w14:textId="77777777" w:rsidR="00DA4D17" w:rsidRPr="007A114B" w:rsidRDefault="00DA4D17" w:rsidP="008016F9">
            <w:pPr>
              <w:spacing w:after="120"/>
              <w:jc w:val="center"/>
              <w:rPr>
                <w:rFonts w:ascii="Calibri" w:hAnsi="Calibri"/>
                <w:color w:val="000000"/>
                <w:sz w:val="18"/>
                <w:szCs w:val="18"/>
                <w:lang w:val="en-GB"/>
              </w:rPr>
            </w:pPr>
            <w:r w:rsidRPr="007A114B">
              <w:rPr>
                <w:rFonts w:ascii="Calibri" w:hAnsi="Calibri"/>
                <w:color w:val="000000"/>
                <w:sz w:val="18"/>
                <w:szCs w:val="18"/>
                <w:lang w:val="en-GB"/>
              </w:rPr>
              <w:t>75 ± 13 months</w:t>
            </w:r>
          </w:p>
        </w:tc>
        <w:tc>
          <w:tcPr>
            <w:tcW w:w="1276" w:type="dxa"/>
            <w:tcBorders>
              <w:top w:val="nil"/>
              <w:left w:val="nil"/>
              <w:bottom w:val="nil"/>
              <w:right w:val="nil"/>
            </w:tcBorders>
            <w:vAlign w:val="center"/>
          </w:tcPr>
          <w:p w14:paraId="7E1D199A" w14:textId="20EB31F2"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842" w:type="dxa"/>
            <w:tcBorders>
              <w:top w:val="nil"/>
              <w:left w:val="nil"/>
              <w:bottom w:val="nil"/>
              <w:right w:val="nil"/>
            </w:tcBorders>
            <w:vAlign w:val="center"/>
          </w:tcPr>
          <w:p w14:paraId="3D6C31B1" w14:textId="79F7D14E"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7/10 THA</w:t>
            </w:r>
          </w:p>
        </w:tc>
        <w:tc>
          <w:tcPr>
            <w:tcW w:w="1423" w:type="dxa"/>
            <w:tcBorders>
              <w:top w:val="nil"/>
              <w:left w:val="nil"/>
              <w:bottom w:val="nil"/>
              <w:right w:val="nil"/>
            </w:tcBorders>
            <w:vAlign w:val="center"/>
          </w:tcPr>
          <w:p w14:paraId="7ABB19CE" w14:textId="76D8CBFF"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 xml:space="preserve">7/10 </w:t>
            </w:r>
            <w:r w:rsidR="00622CBB" w:rsidRPr="007A114B">
              <w:rPr>
                <w:rFonts w:ascii="Calibri" w:hAnsi="Calibri"/>
                <w:color w:val="000000"/>
                <w:sz w:val="18"/>
                <w:szCs w:val="18"/>
                <w:lang w:val="en-GB"/>
              </w:rPr>
              <w:t>(70%)</w:t>
            </w:r>
          </w:p>
        </w:tc>
        <w:tc>
          <w:tcPr>
            <w:tcW w:w="1807" w:type="dxa"/>
            <w:tcBorders>
              <w:top w:val="nil"/>
              <w:left w:val="nil"/>
              <w:bottom w:val="nil"/>
              <w:right w:val="nil"/>
            </w:tcBorders>
            <w:vAlign w:val="center"/>
          </w:tcPr>
          <w:p w14:paraId="76D9F11D" w14:textId="5CF4F4F8" w:rsidR="00DA4D17" w:rsidRPr="007A114B" w:rsidRDefault="00DA4D17" w:rsidP="008016F9">
            <w:pPr>
              <w:spacing w:after="120"/>
              <w:jc w:val="center"/>
              <w:rPr>
                <w:rFonts w:cstheme="minorHAnsi"/>
                <w:i/>
                <w:iCs/>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8016F9" w:rsidRPr="007A114B" w14:paraId="31F1F3F1" w14:textId="77777777" w:rsidTr="00622CBB">
        <w:trPr>
          <w:trHeight w:val="368"/>
        </w:trPr>
        <w:tc>
          <w:tcPr>
            <w:tcW w:w="1537" w:type="dxa"/>
            <w:tcBorders>
              <w:top w:val="nil"/>
              <w:left w:val="nil"/>
              <w:bottom w:val="nil"/>
              <w:right w:val="nil"/>
            </w:tcBorders>
            <w:vAlign w:val="center"/>
          </w:tcPr>
          <w:p w14:paraId="08DC6911" w14:textId="7C0F2FF8" w:rsidR="00DA4D17" w:rsidRPr="007A114B" w:rsidRDefault="0015650D" w:rsidP="008016F9">
            <w:pPr>
              <w:spacing w:after="120"/>
              <w:jc w:val="center"/>
              <w:rPr>
                <w:rFonts w:cstheme="minorHAnsi"/>
                <w:sz w:val="18"/>
                <w:szCs w:val="18"/>
                <w:lang w:val="en-GB" w:eastAsia="en-GB"/>
              </w:rPr>
            </w:pPr>
            <w:r w:rsidRPr="007A114B">
              <w:rPr>
                <w:rFonts w:cstheme="minorHAnsi"/>
                <w:sz w:val="18"/>
                <w:szCs w:val="18"/>
                <w:lang w:val="en-GB" w:eastAsia="en-GB"/>
              </w:rPr>
              <w:t>Hevesi 2017</w:t>
            </w:r>
            <w:r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{"citationItems":[{"id":"ITEM-1","itemData":{"DOI":"10.1177/0363546517734180","ISSN":"1552-3365 (Electronic)","PMID":"29065275","abstract":"BACKGROUND: The technique of hip arthroscopic surgery is advancing and becoming more  commonly performed. However, most current reported results are limited to short-term follow-up, and therefore, the durability of the procedure is largely unknown. PURPOSE: To perform a multicenter analysis of mid-term clinical outcomes of arthroscopic hip labral repair and determine the risk factors for patient outcomes. STUDY DESIGN: Cohort study; Level of evidence, 3. METHODS: Prospectively collected data of primary hip arthroscopic labral repair performed at 4 high-volume centers between 2008 and 2011 were reviewed retrospectively. Patients were assessed preoperatively and postoperatively with the visual analog scale (VAS), modified Harris Hip Score (mHHS), and Hip Outcome Score-Sports-Specific Subscale (HOS-SSS) at a minimum of 5 years' follow-up. Factors including age, body mass index (BMI), Tönnis grade, and cartilage grade were analyzed in relation to outcome scores, and revision rates were determined. Failure was defined as subsequent ipsilateral hip surgery, including revision arthroscopic surgery and open hip surgery. RESULTS: A total of 303 patients (101 male, 202 female) with a mean age of 32.0 years (range, 10.7-58.9 years) were followed for a mean of 5.7 years (range, 5.0-7.9 years). Patients achieved mean improvements in VAS of 3.5 points, mHHS of 20.1 points, and HOS-SSS of 29.3 points. Thirty-seven patients (12.2%) underwent revision arthroscopic surgery, and 12 (4.0%) underwent periacetabular osteotomy, resurfacing, or total hip arthroplasty during the study period. Patients with a BMI &gt;30 kg/m(2) had a mean mHHS score 9.5 points lower and a mean HOS-SSS score 15.9 points lower than those with a BMI ≤30 kg/m(2) ( P &lt; .01). Patients aged &gt;35 years at surgery had a mean mHHS score 4.5 points lower and a HOS-SSS score 6.7 points lower than those aged ≤35 years ( P = .03). Patients with Tönnis grade 2 radiographs demonstrated a 12.5-point worse mHHS score ( P = .02) and a 23.0-point worse HOS-SSS score ( P &lt; .01) when compared with patients with Tönnis grade 0. CONCLUSION: Patients demonstrated significant improvements in VAS, mHHS, and HOS-SSS scores after arthroscopic labral repair. However, those with Tönnis grade 2 changes preoperatively, BMI &gt;30 kg/m(2), and age &gt;35 years at the time of surgery demonstrated significantly decreased mHHS and HOS-SSS scores at final follow-up.","author":[{"dropping-particle":"","family":"Hevesi","given":"Mario","non-dropping-particle":"","parse-names":false,"suffix":""},{"dropping-particle":"","family":"Krych","given":"Aaron J","non-dropping-particle":"","parse-names":false,"suffix":""},{"dropping-particle":"","family":"Johnson","given":"Nick R","non-dropping-particle":"","parse-names":false,"suffix":""},{"dropping-particle":"","family":"Redmond","given":"John M","non-dropping-particle":"","parse-names":false,"suffix":""},{"dropping-particle":"","family":"Hartigan","given":"David E","non-dropping-particle":"","parse-names":false,"suffix":""},{"dropping-particle":"","family":"Levy","given":"Bruce A","non-dropping-particle":"","parse-names":false,"suffix":""},{"dropping-particle":"","family":"Domb","given":"Benjamin G","non-dropping-particle":"","parse-names":false,"suffix":""}],"container-title":"The American journal of sports medicine","id":"ITEM-1","issue":"2","issued":{"date-parts":[["2018","2"]]},"language":"eng","page":"280-287","publisher-place":"United States","title":"Multicenter Analysis of Midterm Clinical Outcomes of Arthroscopic Labral Repair in  the Hip: Minimum 5-Year Follow-up.","type":"article-journal","volume":"46"},"uris":["http://www.mendeley.com/documents/?uuid=8f8eac7f-70a7-410a-a4cc-a0e67969f6bc"]}],"mendeley":{"formattedCitation":"&lt;sup&gt;27&lt;/sup&gt;","plainTextFormattedCitation":"27","previouslyFormattedCitation":"&lt;sup&gt;27&lt;/sup&gt;"},"properties":{"noteIndex":0},"schema":"https://github.com/citation-style-language/schema/raw/master/csl-citation.json"}</w:instrText>
            </w:r>
            <w:r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27</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0AB777C3"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11</w:t>
            </w:r>
          </w:p>
        </w:tc>
        <w:tc>
          <w:tcPr>
            <w:tcW w:w="1846" w:type="dxa"/>
            <w:tcBorders>
              <w:top w:val="nil"/>
              <w:left w:val="nil"/>
              <w:bottom w:val="nil"/>
              <w:right w:val="nil"/>
            </w:tcBorders>
            <w:vAlign w:val="center"/>
          </w:tcPr>
          <w:p w14:paraId="3B7A2B5D"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5 years</w:t>
            </w:r>
          </w:p>
        </w:tc>
        <w:tc>
          <w:tcPr>
            <w:tcW w:w="1276" w:type="dxa"/>
            <w:tcBorders>
              <w:top w:val="nil"/>
              <w:left w:val="nil"/>
              <w:bottom w:val="nil"/>
              <w:right w:val="nil"/>
            </w:tcBorders>
            <w:vAlign w:val="center"/>
          </w:tcPr>
          <w:p w14:paraId="58DE591D" w14:textId="71124741" w:rsidR="00DA4D17" w:rsidRPr="007A114B" w:rsidRDefault="009D202F"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650D8E91" w14:textId="3D179A86"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423" w:type="dxa"/>
            <w:tcBorders>
              <w:top w:val="nil"/>
              <w:left w:val="nil"/>
              <w:bottom w:val="nil"/>
              <w:right w:val="nil"/>
            </w:tcBorders>
            <w:vAlign w:val="center"/>
          </w:tcPr>
          <w:p w14:paraId="54233321" w14:textId="5A501F03"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807" w:type="dxa"/>
            <w:tcBorders>
              <w:top w:val="nil"/>
              <w:left w:val="nil"/>
              <w:bottom w:val="nil"/>
              <w:right w:val="nil"/>
            </w:tcBorders>
            <w:vAlign w:val="center"/>
          </w:tcPr>
          <w:p w14:paraId="656D6CC0" w14:textId="56B33532"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8016F9" w:rsidRPr="007A114B" w14:paraId="76DC02AE" w14:textId="77777777" w:rsidTr="00622CBB">
        <w:trPr>
          <w:trHeight w:val="383"/>
        </w:trPr>
        <w:tc>
          <w:tcPr>
            <w:tcW w:w="1537" w:type="dxa"/>
            <w:tcBorders>
              <w:top w:val="nil"/>
              <w:left w:val="nil"/>
              <w:bottom w:val="nil"/>
              <w:right w:val="nil"/>
            </w:tcBorders>
            <w:vAlign w:val="center"/>
          </w:tcPr>
          <w:p w14:paraId="2A283780" w14:textId="33077997" w:rsidR="00DA4D17" w:rsidRPr="007A114B" w:rsidRDefault="0015650D" w:rsidP="008016F9">
            <w:pPr>
              <w:spacing w:after="120"/>
              <w:jc w:val="center"/>
              <w:rPr>
                <w:rFonts w:cstheme="minorHAnsi"/>
                <w:sz w:val="18"/>
                <w:szCs w:val="18"/>
                <w:lang w:val="en-GB" w:eastAsia="en-GB"/>
              </w:rPr>
            </w:pPr>
            <w:proofErr w:type="spellStart"/>
            <w:r w:rsidRPr="007A114B">
              <w:rPr>
                <w:rFonts w:cstheme="minorHAnsi"/>
                <w:sz w:val="18"/>
                <w:szCs w:val="18"/>
                <w:lang w:val="en-GB" w:eastAsia="en-GB"/>
              </w:rPr>
              <w:t>Horisberger</w:t>
            </w:r>
            <w:proofErr w:type="spellEnd"/>
            <w:r w:rsidRPr="007A114B">
              <w:rPr>
                <w:rFonts w:cstheme="minorHAnsi"/>
                <w:sz w:val="18"/>
                <w:szCs w:val="18"/>
                <w:lang w:val="en-GB" w:eastAsia="en-GB"/>
              </w:rPr>
              <w:t xml:space="preserve"> 2009 </w:t>
            </w:r>
            <w:r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{"citationItems":[{"id":"ITEM-1","itemData":{"DOI":"10.1007/s11999-009-1005-5","ISSN":"1528-1132 (Electronic)","PMID":"19641976","abstract":"Femoroacetabular impingement has been established as an important cause of groin  pain and limitation of range of motion in young, active patients and a possible cause for early osteoarthritis of the hip. Open surgery is a well-recognized approach for treatment and probably the standard for most surgeons, but recent reports regarding arthroscopic treatment procedures suggest comparable results. We present a technique that provides a way to securely penetrate the joint capsule and evaluate the clinical results of this technique in patients with femoroacetabular impingement. Between 2004 and 2007, we prospectively followed a cohort of 105 hips (88 patients; 60 males, 28 females) who underwent surgery for symptomatic cam or mixed femoroacetabular impingement. All patients were evaluated for the Nonarthritic Hip Score, clinical parameters, visual analog scale pain score, initial radiographic degenerative changes, and alpha angle. At a minimum followup of 1.3 years (average, 2.3 years; range, 1.3-4.1 years), all clinical outcome measures improved. The Nonarthritic Hip Score improved from 56.7 points (range, 15-92.5 points) to 84.6 points (range, 47.5-100 points). Nine patients (8.6%) underwent THA during followup. The outcome measures after arthroscopic therapy for femoroacetabular impingement seem comparable to those reported after open procedures. LEVEL OF EVIDENCE: Level IV, therapeutic study. See Guidelines for Authors for a complete description of levels of evidence.","author":[{"dropping-particle":"","family":"Horisberger","given":"Monika","non-dropping-particle":"","parse-names":false,"suffix":""},{"dropping-particle":"","family":"Brunner","given":"Alexander","non-dropping-particle":"","parse-names":false,"suffix":""},{"dropping-particle":"","family":"Herzog","given":"Richard F","non-dropping-particle":"","parse-names":false,"suffix":""}],"container-title":"Clinical orthopaedics and related research","id":"ITEM-1","issue":"1","issued":{"date-parts":[["2010","1"]]},"language":"eng","page":"182-190","title":"Arthroscopic treatment of femoroacetabular impingement of the hip: a new technique  to access the joint.","type":"article-journal","volume":"468"},"uris":["http://www.mendeley.com/documents/?uuid=71f278fb-f1f0-4a0c-9118-bc2ae070408a"]}],"mendeley":{"formattedCitation":"&lt;sup&gt;32&lt;/sup&gt;","plainTextFormattedCitation":"32","previouslyFormattedCitation":"&lt;sup&gt;32&lt;/sup&gt;"},"properties":{"noteIndex":0},"schema":"https://github.com/citation-style-language/schema/raw/master/csl-citation.json"}</w:instrText>
            </w:r>
            <w:r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32</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63E5DFE5"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28</w:t>
            </w:r>
          </w:p>
        </w:tc>
        <w:tc>
          <w:tcPr>
            <w:tcW w:w="1846" w:type="dxa"/>
            <w:tcBorders>
              <w:top w:val="nil"/>
              <w:left w:val="nil"/>
              <w:bottom w:val="nil"/>
              <w:right w:val="nil"/>
            </w:tcBorders>
            <w:vAlign w:val="center"/>
          </w:tcPr>
          <w:p w14:paraId="04CB4F74"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1.3 years</w:t>
            </w:r>
          </w:p>
        </w:tc>
        <w:tc>
          <w:tcPr>
            <w:tcW w:w="1276" w:type="dxa"/>
            <w:tcBorders>
              <w:top w:val="nil"/>
              <w:left w:val="nil"/>
              <w:bottom w:val="nil"/>
              <w:right w:val="nil"/>
            </w:tcBorders>
            <w:vAlign w:val="center"/>
          </w:tcPr>
          <w:p w14:paraId="06B3C0E7" w14:textId="7828DFAA"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alpha angle - cannot extract (unstratified data)</w:t>
            </w:r>
          </w:p>
        </w:tc>
        <w:tc>
          <w:tcPr>
            <w:tcW w:w="1842" w:type="dxa"/>
            <w:tcBorders>
              <w:top w:val="nil"/>
              <w:left w:val="nil"/>
              <w:bottom w:val="nil"/>
              <w:right w:val="nil"/>
            </w:tcBorders>
            <w:vAlign w:val="center"/>
          </w:tcPr>
          <w:p w14:paraId="38FC1464" w14:textId="684F68BE"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5/28 THA</w:t>
            </w:r>
          </w:p>
        </w:tc>
        <w:tc>
          <w:tcPr>
            <w:tcW w:w="1423" w:type="dxa"/>
            <w:tcBorders>
              <w:top w:val="nil"/>
              <w:left w:val="nil"/>
              <w:bottom w:val="nil"/>
              <w:right w:val="nil"/>
            </w:tcBorders>
            <w:vAlign w:val="center"/>
          </w:tcPr>
          <w:p w14:paraId="39A71C31" w14:textId="76799692"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 xml:space="preserve">5/28 </w:t>
            </w:r>
            <w:r w:rsidR="00622CBB" w:rsidRPr="007A114B">
              <w:rPr>
                <w:rFonts w:ascii="Calibri" w:hAnsi="Calibri"/>
                <w:color w:val="000000"/>
                <w:sz w:val="18"/>
                <w:szCs w:val="18"/>
                <w:lang w:val="en-GB"/>
              </w:rPr>
              <w:t>(18%)</w:t>
            </w:r>
          </w:p>
        </w:tc>
        <w:tc>
          <w:tcPr>
            <w:tcW w:w="1807" w:type="dxa"/>
            <w:tcBorders>
              <w:top w:val="nil"/>
              <w:left w:val="nil"/>
              <w:bottom w:val="nil"/>
              <w:right w:val="nil"/>
            </w:tcBorders>
            <w:vAlign w:val="center"/>
          </w:tcPr>
          <w:p w14:paraId="5AF151CD" w14:textId="65448EF5" w:rsidR="00DA4D17" w:rsidRPr="007A114B" w:rsidRDefault="009D202F"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r>
      <w:tr w:rsidR="008016F9" w:rsidRPr="007A114B" w14:paraId="40F84BD2" w14:textId="77777777" w:rsidTr="00622CBB">
        <w:trPr>
          <w:trHeight w:val="368"/>
        </w:trPr>
        <w:tc>
          <w:tcPr>
            <w:tcW w:w="1537" w:type="dxa"/>
            <w:tcBorders>
              <w:top w:val="nil"/>
              <w:left w:val="nil"/>
              <w:bottom w:val="nil"/>
              <w:right w:val="nil"/>
            </w:tcBorders>
            <w:vAlign w:val="center"/>
          </w:tcPr>
          <w:p w14:paraId="715FCBE9" w14:textId="53729A55" w:rsidR="00DA4D17" w:rsidRPr="007A114B" w:rsidRDefault="0015650D" w:rsidP="008016F9">
            <w:pPr>
              <w:spacing w:after="120"/>
              <w:jc w:val="center"/>
              <w:rPr>
                <w:rFonts w:cstheme="minorHAnsi"/>
                <w:sz w:val="18"/>
                <w:szCs w:val="18"/>
                <w:lang w:val="en-GB" w:eastAsia="en-GB"/>
              </w:rPr>
            </w:pPr>
            <w:proofErr w:type="spellStart"/>
            <w:r w:rsidRPr="007A114B">
              <w:rPr>
                <w:rFonts w:cstheme="minorHAnsi"/>
                <w:sz w:val="18"/>
                <w:szCs w:val="18"/>
                <w:lang w:val="en-GB" w:eastAsia="en-GB"/>
              </w:rPr>
              <w:t>Mardones</w:t>
            </w:r>
            <w:proofErr w:type="spellEnd"/>
            <w:r w:rsidRPr="007A114B">
              <w:rPr>
                <w:rFonts w:cstheme="minorHAnsi"/>
                <w:sz w:val="18"/>
                <w:szCs w:val="18"/>
                <w:lang w:val="en-GB" w:eastAsia="en-GB"/>
              </w:rPr>
              <w:t xml:space="preserve"> 2016</w:t>
            </w:r>
            <w:r w:rsidRPr="007221CC">
              <w:rPr>
                <w:rFonts w:cstheme="minorHAnsi"/>
                <w:sz w:val="18"/>
                <w:szCs w:val="18"/>
                <w:lang w:val="en-GB" w:eastAsia="en-GB"/>
              </w:rPr>
              <w:fldChar w:fldCharType="begin" w:fldLock="1"/>
            </w:r>
            <w:r w:rsidR="00223245" w:rsidRPr="007A114B">
              <w:rPr>
                <w:rFonts w:cstheme="minorHAnsi"/>
                <w:sz w:val="18"/>
                <w:szCs w:val="18"/>
                <w:lang w:val="en-GB" w:eastAsia="en-GB"/>
              </w:rPr>
              <w:instrText>ADDIN CSL_CITATION {"citationItems":[{"id":"ITEM-1","itemData":{"DOI":"10.11138/mltj/2016.6.3.397","ISSN":"2240-4554 (Print)","PMID":"28066746","abstract":"BACKGROUND: The indications of hip arthroscopy increased over the past decade.  Although mostly recommended for treatment of femoroacetabular impingement (FAI) in young patients, well-selected older patients (&gt; 60 years old) may benefit from this surgery. However, the role of hip arthroscopy for the management of older patients is controversial. The aim of the study is to evaluate the clinical outcomes of a series of patients aged 60 years and older who underwent hip arthroscopy for FAI at mid-term follow-up. MATERIALS AND METHODS: Sixty-year-old patients and older, with a joint space greater than 2 mm, and a grade I and II hip osteoarthrosis (OA) according Tönnis scale were included into the study. Twenty-three patients (28 hips) met the inclusion criteria. The T-Student test was used to detect for differences between variables (p&lt;0.05). RESULTS: The mean age of the patients was 63.4 years, and the mean follow-up was 4.4 years (2-9 years). We found an improvement in mHHS and VAS score from the baseline to the final follow-up in 87% of patients (p&lt;0.05). Three patients (13%) were submitted to a THA at a mean of 12 months, while the survivorship rate at the final follow-up was 75%. No major complications have been reported. CONCLUSION: Arthroscopic treatment of FAI in patients over 60 years old, with no signs of advanced osteoarthrosis, showed a significant improvement of functional score and pain in most of cases, and it can be consider a reasonable option in well selected patients. Level of evidence: IV case series.","author":[{"dropping-particle":"","family":"Mardones","given":"Rodrigo","non-dropping-particle":"","parse-names":false,"suffix":""},{"dropping-particle":"","family":"Via","given":"Alessio Giai","non-dropping-particle":"","parse-names":false,"suffix":""},{"dropping-particle":"","family":"Rivera","given":"Alvaro","non-dropping-particle":"","parse-names":false,"suffix":""},{"dropping-particle":"","family":"Tomic","given":"Alexander","non-dropping-particle":"","parse-names":false,"suffix":""},{"dropping-particle":"","family":"Somarriva","given":"Marcelo","non-dropping-particle":"","parse-names":false,"suffix":""},{"dropping-particle":"","family":"Wainer","given":"Mauricio","non-dropping-particle":"","parse-names":false,"suffix":""},{"dropping-particle":"","family":"Camacho","given":"Daniel","non-dropping-particle":"","parse-names":false,"suffix":""}],"container-title":"Muscles, ligaments and tendons journal","id":"ITEM-1","issue":"3","issued":{"date-parts":[["2016"]]},"language":"eng","page":"397-401","title":"Arthroscopic treatment of femoroacetabular impingement in patients older than 60  years.","type":"article-journal","volume":"6"},"uris":["http://www.mendeley.com/documents/?uuid=7992eb4b-14e8-4a53-8ba0-1c5fa558647f"]}],"mendeley":{"formattedCitation":"&lt;sup&gt;31&lt;/sup&gt;","plainTextFormattedCitation":"31","previouslyFormattedCitation":"&lt;sup&gt;31&lt;/sup&gt;"},"properties":{"noteIndex":0},"schema":"https://github.com/citation-style-language/schema/raw/master/csl-citation.json"}</w:instrText>
            </w:r>
            <w:r w:rsidRPr="007221CC">
              <w:rPr>
                <w:rFonts w:cstheme="minorHAnsi"/>
                <w:sz w:val="18"/>
                <w:szCs w:val="18"/>
                <w:lang w:val="en-GB" w:eastAsia="en-GB"/>
              </w:rPr>
              <w:fldChar w:fldCharType="separate"/>
            </w:r>
            <w:r w:rsidR="006A1D58" w:rsidRPr="007A114B">
              <w:rPr>
                <w:rFonts w:cstheme="minorHAnsi"/>
                <w:noProof/>
                <w:sz w:val="18"/>
                <w:szCs w:val="18"/>
                <w:vertAlign w:val="superscript"/>
                <w:lang w:val="en-GB" w:eastAsia="en-GB"/>
              </w:rPr>
              <w:t>31</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031EAFD8"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11</w:t>
            </w:r>
          </w:p>
        </w:tc>
        <w:tc>
          <w:tcPr>
            <w:tcW w:w="1846" w:type="dxa"/>
            <w:tcBorders>
              <w:top w:val="nil"/>
              <w:left w:val="nil"/>
              <w:bottom w:val="nil"/>
              <w:right w:val="nil"/>
            </w:tcBorders>
            <w:vAlign w:val="center"/>
          </w:tcPr>
          <w:p w14:paraId="4B4CB13B" w14:textId="77777777"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2 years</w:t>
            </w:r>
          </w:p>
        </w:tc>
        <w:tc>
          <w:tcPr>
            <w:tcW w:w="1276" w:type="dxa"/>
            <w:tcBorders>
              <w:top w:val="nil"/>
              <w:left w:val="nil"/>
              <w:bottom w:val="nil"/>
              <w:right w:val="nil"/>
            </w:tcBorders>
            <w:vAlign w:val="center"/>
          </w:tcPr>
          <w:p w14:paraId="58381461" w14:textId="1090CEA8"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Radiographic OA progression - cannot extract (unstratified data)</w:t>
            </w:r>
          </w:p>
        </w:tc>
        <w:tc>
          <w:tcPr>
            <w:tcW w:w="1842" w:type="dxa"/>
            <w:tcBorders>
              <w:top w:val="nil"/>
              <w:left w:val="nil"/>
              <w:bottom w:val="nil"/>
              <w:right w:val="nil"/>
            </w:tcBorders>
            <w:vAlign w:val="center"/>
          </w:tcPr>
          <w:p w14:paraId="7A72A5F3" w14:textId="45204AD3"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c>
          <w:tcPr>
            <w:tcW w:w="1423" w:type="dxa"/>
            <w:tcBorders>
              <w:top w:val="nil"/>
              <w:left w:val="nil"/>
              <w:bottom w:val="nil"/>
              <w:right w:val="nil"/>
            </w:tcBorders>
            <w:vAlign w:val="center"/>
          </w:tcPr>
          <w:p w14:paraId="1B555DE1" w14:textId="372AB41B" w:rsidR="00DA4D17" w:rsidRPr="007A114B" w:rsidRDefault="00DA4D17" w:rsidP="008016F9">
            <w:pPr>
              <w:spacing w:after="120"/>
              <w:jc w:val="center"/>
              <w:rPr>
                <w:rFonts w:cstheme="minorHAnsi"/>
                <w:sz w:val="18"/>
                <w:szCs w:val="18"/>
                <w:lang w:val="en-GB" w:eastAsia="en-GB"/>
              </w:rPr>
            </w:pPr>
            <w:r w:rsidRPr="007A114B">
              <w:rPr>
                <w:rFonts w:ascii="Calibri" w:hAnsi="Calibri"/>
                <w:color w:val="000000"/>
                <w:sz w:val="18"/>
                <w:szCs w:val="18"/>
                <w:lang w:val="en-GB"/>
              </w:rPr>
              <w:t xml:space="preserve">1/11 </w:t>
            </w:r>
            <w:r w:rsidR="00622CBB" w:rsidRPr="007A114B">
              <w:rPr>
                <w:rFonts w:ascii="Calibri" w:hAnsi="Calibri"/>
                <w:color w:val="000000"/>
                <w:sz w:val="18"/>
                <w:szCs w:val="18"/>
                <w:lang w:val="en-GB"/>
              </w:rPr>
              <w:t>(9%)</w:t>
            </w:r>
          </w:p>
        </w:tc>
        <w:tc>
          <w:tcPr>
            <w:tcW w:w="1807" w:type="dxa"/>
            <w:tcBorders>
              <w:top w:val="nil"/>
              <w:left w:val="nil"/>
              <w:bottom w:val="nil"/>
              <w:right w:val="nil"/>
            </w:tcBorders>
            <w:vAlign w:val="center"/>
          </w:tcPr>
          <w:p w14:paraId="34FF4B4B" w14:textId="434ADC32" w:rsidR="00DA4D17" w:rsidRPr="007A114B" w:rsidRDefault="00DA4D17" w:rsidP="008016F9">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cannot extract (unstratified data)</w:t>
            </w:r>
          </w:p>
        </w:tc>
      </w:tr>
      <w:tr w:rsidR="009D202F" w:rsidRPr="007A114B" w14:paraId="60CA7DF5" w14:textId="77777777" w:rsidTr="00CF225D">
        <w:trPr>
          <w:trHeight w:val="368"/>
        </w:trPr>
        <w:tc>
          <w:tcPr>
            <w:tcW w:w="1537" w:type="dxa"/>
            <w:tcBorders>
              <w:top w:val="nil"/>
              <w:left w:val="nil"/>
              <w:bottom w:val="nil"/>
              <w:right w:val="nil"/>
            </w:tcBorders>
            <w:vAlign w:val="center"/>
          </w:tcPr>
          <w:p w14:paraId="10818D63" w14:textId="561784F6" w:rsidR="009D202F" w:rsidRPr="007A114B" w:rsidRDefault="009D202F" w:rsidP="009D202F">
            <w:pPr>
              <w:spacing w:after="120"/>
              <w:jc w:val="center"/>
              <w:rPr>
                <w:rFonts w:cstheme="minorHAnsi"/>
                <w:sz w:val="18"/>
                <w:szCs w:val="18"/>
                <w:lang w:val="en-GB" w:eastAsia="en-GB"/>
              </w:rPr>
            </w:pPr>
            <w:r w:rsidRPr="007A114B">
              <w:rPr>
                <w:rFonts w:cstheme="minorHAnsi"/>
                <w:sz w:val="18"/>
                <w:szCs w:val="18"/>
                <w:lang w:val="en-GB" w:eastAsia="en-GB"/>
              </w:rPr>
              <w:t>Nakashima 2019</w:t>
            </w:r>
            <w:r w:rsidRPr="007221CC">
              <w:rPr>
                <w:rFonts w:cstheme="minorHAnsi"/>
                <w:sz w:val="18"/>
                <w:szCs w:val="18"/>
                <w:lang w:val="en-GB" w:eastAsia="en-GB"/>
              </w:rPr>
              <w:fldChar w:fldCharType="begin" w:fldLock="1"/>
            </w:r>
            <w:r w:rsidRPr="007A114B">
              <w:rPr>
                <w:rFonts w:cstheme="minorHAnsi"/>
                <w:sz w:val="18"/>
                <w:szCs w:val="18"/>
                <w:lang w:val="en-GB" w:eastAsia="en-GB"/>
              </w:rPr>
              <w:instrText>ADDIN CSL_CITATION {"citationItems":[{"id":"ITEM-1","itemData":{"DOI":"10.1097/JSM.0000000000000768","ISSN":"1536-3724 (Electronic)","PMID":"31789868","abstract":"OBJECTIVE: To investigate clinical outcomes after arthroscopic labral preservation  surgery for femoroacetabular impingement (FAI) in the presence of osteoarthritis (OA) compared with FAI without significant OA. DESIGN: Retrospective case-control study. SETTING: Department of Orthopaedic Surgery and Sports Medicine, Hospital of Academic Institute. PATIENTS: Femoroacetabular impingement patients (n = 97; ≥35 years) undergoing arthroscopic FAI correction with labral preservation surgery from March 2009 to April 2014 were enrolled in this study. INTERVENTIONS: Patients were divided into 2 groups: FAI group (79 patients), with Tonnis grade 0 or 1, and FAI + OA group (18 patients), with Tonnis grade 2 or 3. MAIN OUTCOME MEASURES: We examined the clinical outcomes using the Modified Harris Hip Score (MHHS), Nonarthritic Hip Score (NAHS), and the conversion rate to total hip arthroplasty (THA). RESULTS: No significant differences existed between the 2 groups with respect to age, sex, follow-up period, or preoperative MHHS or NAHS. The mean MHHS and NAHS at the final follow-up were significantly lower in the FAI + OA group than in the FAI group. There was a significant difference in the rate of conversion to THA and failure between the 2 groups (THA 5% vs 50%) (failure 15% vs 67%). CONCLUSION: Patients with FAI in the presence of OA did not improve after arthroscopic labral preservation surgery and had a high conversion rate to THA. LEVEL OF EVIDENCE: Level III.","author":[{"dropping-particle":"","family":"Nakashima","given":"Hirotaka","non-dropping-particle":"","parse-names":false,"suffix":""},{"dropping-particle":"","family":"Utsunomiya","given":"Hajime","non-dropping-particle":"","parse-names":false,"suffix":""},{"dropping-particle":"","family":"Kanezaki","given":"Shiho","non-dropping-particle":"","parse-names":false,"suffix":""},{"dropping-particle":"","family":"Suzuki","given":"Hitoshi","non-dropping-particle":"","parse-names":false,"suffix":""},{"dropping-particle":"","family":"Nakamura","given":"Eiichiro","non-dropping-particle":"","parse-names":false,"suffix":""},{"dropping-particle":"","family":"Larson","given":"Christopher M","non-dropping-particle":"","parse-names":false,"suffix":""},{"dropping-particle":"","family":"Sakai","given":"Akinori","non-dropping-particle":"","parse-names":false,"suffix":""},{"dropping-particle":"","family":"Uchida","given":"Soshi","non-dropping-particle":"","parse-names":false,"suffix":""}],"container-title":"Clinical journal of sport medicine : official journal of the Canadian Academy of  Sport Medicine","id":"ITEM-1","issued":{"date-parts":[["2019","11"]]},"language":"eng","publisher-place":"United States","title":"Is Arthroscopic Hip Labral Repair/Reconstruction Surgery Effective for Treating  Femoroacetabular Impingement in the Presence of Osteoarthritis?","type":"article-journal"},"uris":["http://www.mendeley.com/documents/?uuid=ea4afa9d-f430-40ec-abf9-3aa43c4f84a4"]}],"mendeley":{"formattedCitation":"&lt;sup&gt;26&lt;/sup&gt;","plainTextFormattedCitation":"26","previouslyFormattedCitation":"&lt;sup&gt;26&lt;/sup&gt;"},"properties":{"noteIndex":0},"schema":"https://github.com/citation-style-language/schema/raw/master/csl-citation.json"}</w:instrText>
            </w:r>
            <w:r w:rsidRPr="007221CC">
              <w:rPr>
                <w:rFonts w:cstheme="minorHAnsi"/>
                <w:sz w:val="18"/>
                <w:szCs w:val="18"/>
                <w:lang w:val="en-GB" w:eastAsia="en-GB"/>
              </w:rPr>
              <w:fldChar w:fldCharType="separate"/>
            </w:r>
            <w:r w:rsidRPr="007A114B">
              <w:rPr>
                <w:rFonts w:cstheme="minorHAnsi"/>
                <w:noProof/>
                <w:sz w:val="18"/>
                <w:szCs w:val="18"/>
                <w:vertAlign w:val="superscript"/>
                <w:lang w:val="en-GB" w:eastAsia="en-GB"/>
              </w:rPr>
              <w:t>26</w:t>
            </w:r>
            <w:r w:rsidRPr="007221CC">
              <w:rPr>
                <w:rFonts w:cstheme="minorHAnsi"/>
                <w:sz w:val="18"/>
                <w:szCs w:val="18"/>
                <w:lang w:val="en-GB" w:eastAsia="en-GB"/>
              </w:rPr>
              <w:fldChar w:fldCharType="end"/>
            </w:r>
          </w:p>
        </w:tc>
        <w:tc>
          <w:tcPr>
            <w:tcW w:w="865" w:type="dxa"/>
            <w:tcBorders>
              <w:top w:val="nil"/>
              <w:left w:val="nil"/>
              <w:bottom w:val="nil"/>
              <w:right w:val="nil"/>
            </w:tcBorders>
            <w:vAlign w:val="center"/>
          </w:tcPr>
          <w:p w14:paraId="5519B720"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18</w:t>
            </w:r>
          </w:p>
        </w:tc>
        <w:tc>
          <w:tcPr>
            <w:tcW w:w="1846" w:type="dxa"/>
            <w:tcBorders>
              <w:top w:val="nil"/>
              <w:left w:val="nil"/>
              <w:bottom w:val="nil"/>
              <w:right w:val="nil"/>
            </w:tcBorders>
            <w:vAlign w:val="center"/>
          </w:tcPr>
          <w:p w14:paraId="56932E40" w14:textId="77777777" w:rsidR="009D202F" w:rsidRPr="007A114B" w:rsidRDefault="009D202F" w:rsidP="009D202F">
            <w:pPr>
              <w:spacing w:after="120"/>
              <w:jc w:val="center"/>
              <w:rPr>
                <w:rFonts w:ascii="Calibri" w:hAnsi="Calibri"/>
                <w:color w:val="000000"/>
                <w:sz w:val="18"/>
                <w:szCs w:val="18"/>
                <w:lang w:val="en-GB"/>
              </w:rPr>
            </w:pPr>
            <w:r w:rsidRPr="007A114B">
              <w:rPr>
                <w:rFonts w:ascii="Calibri" w:hAnsi="Calibri"/>
                <w:color w:val="000000"/>
                <w:sz w:val="18"/>
                <w:szCs w:val="18"/>
                <w:lang w:val="en-GB"/>
              </w:rPr>
              <w:t>30 ± 8 (24-43) months</w:t>
            </w:r>
          </w:p>
        </w:tc>
        <w:tc>
          <w:tcPr>
            <w:tcW w:w="1276" w:type="dxa"/>
            <w:tcBorders>
              <w:top w:val="nil"/>
              <w:left w:val="nil"/>
              <w:bottom w:val="nil"/>
              <w:right w:val="nil"/>
            </w:tcBorders>
          </w:tcPr>
          <w:p w14:paraId="67622F1B" w14:textId="122D4112"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3CB60131" w14:textId="321E0C9F"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9/18 THA</w:t>
            </w:r>
          </w:p>
        </w:tc>
        <w:tc>
          <w:tcPr>
            <w:tcW w:w="1423" w:type="dxa"/>
            <w:tcBorders>
              <w:top w:val="nil"/>
              <w:left w:val="nil"/>
              <w:bottom w:val="nil"/>
              <w:right w:val="nil"/>
            </w:tcBorders>
            <w:vAlign w:val="center"/>
          </w:tcPr>
          <w:p w14:paraId="2D587B3C" w14:textId="244F8AEF"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9/18 (50%)</w:t>
            </w:r>
          </w:p>
        </w:tc>
        <w:tc>
          <w:tcPr>
            <w:tcW w:w="1807" w:type="dxa"/>
            <w:tcBorders>
              <w:top w:val="nil"/>
              <w:left w:val="nil"/>
              <w:bottom w:val="nil"/>
              <w:right w:val="nil"/>
            </w:tcBorders>
            <w:vAlign w:val="center"/>
          </w:tcPr>
          <w:p w14:paraId="367C7CBF" w14:textId="06E6058A"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6 conversions in the first 2 years</w:t>
            </w:r>
          </w:p>
        </w:tc>
      </w:tr>
      <w:tr w:rsidR="009D202F" w:rsidRPr="007A114B" w14:paraId="49C86B96" w14:textId="77777777" w:rsidTr="00CF225D">
        <w:trPr>
          <w:trHeight w:val="368"/>
        </w:trPr>
        <w:tc>
          <w:tcPr>
            <w:tcW w:w="1537" w:type="dxa"/>
            <w:tcBorders>
              <w:top w:val="nil"/>
              <w:left w:val="nil"/>
              <w:bottom w:val="nil"/>
              <w:right w:val="nil"/>
            </w:tcBorders>
            <w:vAlign w:val="center"/>
          </w:tcPr>
          <w:p w14:paraId="534F0049" w14:textId="77777777" w:rsidR="009D202F" w:rsidRPr="007A114B" w:rsidRDefault="009D202F" w:rsidP="009D202F">
            <w:pPr>
              <w:spacing w:after="120"/>
              <w:jc w:val="right"/>
              <w:rPr>
                <w:rFonts w:cstheme="minorHAnsi"/>
                <w:sz w:val="18"/>
                <w:szCs w:val="18"/>
                <w:lang w:val="en-GB" w:eastAsia="en-GB"/>
              </w:rPr>
            </w:pPr>
            <w:r w:rsidRPr="007A114B">
              <w:rPr>
                <w:rFonts w:cstheme="minorHAnsi"/>
                <w:sz w:val="18"/>
                <w:szCs w:val="18"/>
                <w:lang w:val="en-GB" w:eastAsia="en-GB"/>
              </w:rPr>
              <w:t>Controls</w:t>
            </w:r>
          </w:p>
        </w:tc>
        <w:tc>
          <w:tcPr>
            <w:tcW w:w="865" w:type="dxa"/>
            <w:tcBorders>
              <w:top w:val="nil"/>
              <w:left w:val="nil"/>
              <w:bottom w:val="nil"/>
              <w:right w:val="nil"/>
            </w:tcBorders>
            <w:vAlign w:val="center"/>
          </w:tcPr>
          <w:p w14:paraId="18CADA05"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79</w:t>
            </w:r>
          </w:p>
        </w:tc>
        <w:tc>
          <w:tcPr>
            <w:tcW w:w="1846" w:type="dxa"/>
            <w:tcBorders>
              <w:top w:val="nil"/>
              <w:left w:val="nil"/>
              <w:bottom w:val="nil"/>
              <w:right w:val="nil"/>
            </w:tcBorders>
            <w:vAlign w:val="center"/>
          </w:tcPr>
          <w:p w14:paraId="391AC211" w14:textId="77777777" w:rsidR="009D202F" w:rsidRPr="007A114B" w:rsidRDefault="009D202F" w:rsidP="009D202F">
            <w:pPr>
              <w:spacing w:after="120"/>
              <w:jc w:val="center"/>
              <w:rPr>
                <w:rFonts w:ascii="Calibri" w:hAnsi="Calibri"/>
                <w:color w:val="000000"/>
                <w:sz w:val="18"/>
                <w:szCs w:val="18"/>
                <w:lang w:val="en-GB"/>
              </w:rPr>
            </w:pPr>
            <w:r w:rsidRPr="007A114B">
              <w:rPr>
                <w:rFonts w:ascii="Calibri" w:hAnsi="Calibri"/>
                <w:color w:val="000000"/>
                <w:sz w:val="18"/>
                <w:szCs w:val="18"/>
                <w:lang w:val="en-GB"/>
              </w:rPr>
              <w:t>35 ± 13 (24-62) months</w:t>
            </w:r>
          </w:p>
        </w:tc>
        <w:tc>
          <w:tcPr>
            <w:tcW w:w="1276" w:type="dxa"/>
            <w:tcBorders>
              <w:top w:val="nil"/>
              <w:left w:val="nil"/>
              <w:bottom w:val="nil"/>
              <w:right w:val="nil"/>
            </w:tcBorders>
          </w:tcPr>
          <w:p w14:paraId="5293CE42" w14:textId="6D2610E0"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nil"/>
              <w:right w:val="nil"/>
            </w:tcBorders>
            <w:vAlign w:val="center"/>
          </w:tcPr>
          <w:p w14:paraId="0B5C89C7" w14:textId="19C7894A"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4/79 THA</w:t>
            </w:r>
          </w:p>
        </w:tc>
        <w:tc>
          <w:tcPr>
            <w:tcW w:w="1423" w:type="dxa"/>
            <w:tcBorders>
              <w:top w:val="nil"/>
              <w:left w:val="nil"/>
              <w:bottom w:val="nil"/>
              <w:right w:val="nil"/>
            </w:tcBorders>
            <w:vAlign w:val="center"/>
          </w:tcPr>
          <w:p w14:paraId="781E5BED" w14:textId="21AE2BD9"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4/79 (5%)</w:t>
            </w:r>
          </w:p>
        </w:tc>
        <w:tc>
          <w:tcPr>
            <w:tcW w:w="1807" w:type="dxa"/>
            <w:tcBorders>
              <w:top w:val="nil"/>
              <w:left w:val="nil"/>
              <w:bottom w:val="nil"/>
              <w:right w:val="nil"/>
            </w:tcBorders>
            <w:vAlign w:val="center"/>
          </w:tcPr>
          <w:p w14:paraId="3FB97B9F" w14:textId="63204EE4"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2 conversions in the first 2 years</w:t>
            </w:r>
          </w:p>
        </w:tc>
      </w:tr>
      <w:tr w:rsidR="009D202F" w:rsidRPr="007A114B" w14:paraId="34DF32F0" w14:textId="77777777" w:rsidTr="00CF225D">
        <w:trPr>
          <w:trHeight w:val="383"/>
        </w:trPr>
        <w:tc>
          <w:tcPr>
            <w:tcW w:w="1537" w:type="dxa"/>
            <w:tcBorders>
              <w:top w:val="nil"/>
              <w:left w:val="nil"/>
              <w:bottom w:val="single" w:sz="4" w:space="0" w:color="auto"/>
              <w:right w:val="nil"/>
            </w:tcBorders>
            <w:vAlign w:val="center"/>
          </w:tcPr>
          <w:p w14:paraId="28D437C1" w14:textId="77777777" w:rsidR="009D202F" w:rsidRPr="007A114B" w:rsidRDefault="009D202F" w:rsidP="009D202F">
            <w:pPr>
              <w:spacing w:after="120"/>
              <w:jc w:val="center"/>
              <w:rPr>
                <w:rFonts w:cstheme="minorHAnsi"/>
                <w:sz w:val="18"/>
                <w:szCs w:val="18"/>
                <w:lang w:val="en-GB" w:eastAsia="en-GB"/>
              </w:rPr>
            </w:pPr>
            <w:proofErr w:type="spellStart"/>
            <w:r w:rsidRPr="007A114B">
              <w:rPr>
                <w:rFonts w:cstheme="minorHAnsi"/>
                <w:sz w:val="18"/>
                <w:szCs w:val="18"/>
                <w:lang w:val="en-GB" w:eastAsia="en-GB"/>
              </w:rPr>
              <w:t>Tjong</w:t>
            </w:r>
            <w:proofErr w:type="spellEnd"/>
            <w:r w:rsidRPr="007A114B">
              <w:rPr>
                <w:rFonts w:cstheme="minorHAnsi"/>
                <w:sz w:val="18"/>
                <w:szCs w:val="18"/>
                <w:lang w:val="en-GB" w:eastAsia="en-GB"/>
              </w:rPr>
              <w:t xml:space="preserve"> 2017</w:t>
            </w:r>
          </w:p>
        </w:tc>
        <w:tc>
          <w:tcPr>
            <w:tcW w:w="865" w:type="dxa"/>
            <w:tcBorders>
              <w:top w:val="nil"/>
              <w:left w:val="nil"/>
              <w:bottom w:val="single" w:sz="4" w:space="0" w:color="auto"/>
              <w:right w:val="nil"/>
            </w:tcBorders>
            <w:vAlign w:val="center"/>
          </w:tcPr>
          <w:p w14:paraId="706BADEB" w14:textId="77777777"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23</w:t>
            </w:r>
          </w:p>
        </w:tc>
        <w:tc>
          <w:tcPr>
            <w:tcW w:w="1846" w:type="dxa"/>
            <w:tcBorders>
              <w:top w:val="nil"/>
              <w:left w:val="nil"/>
              <w:bottom w:val="single" w:sz="4" w:space="0" w:color="auto"/>
              <w:right w:val="nil"/>
            </w:tcBorders>
            <w:vAlign w:val="center"/>
          </w:tcPr>
          <w:p w14:paraId="6DFC0329" w14:textId="77777777" w:rsidR="009D202F" w:rsidRPr="007A114B" w:rsidRDefault="009D202F" w:rsidP="009D202F">
            <w:pPr>
              <w:spacing w:after="120"/>
              <w:jc w:val="center"/>
              <w:rPr>
                <w:rFonts w:ascii="Calibri" w:hAnsi="Calibri"/>
                <w:color w:val="000000"/>
                <w:sz w:val="18"/>
                <w:szCs w:val="18"/>
                <w:lang w:val="en-GB"/>
              </w:rPr>
            </w:pPr>
            <w:r w:rsidRPr="007A114B">
              <w:rPr>
                <w:rFonts w:ascii="Calibri" w:hAnsi="Calibri"/>
                <w:color w:val="000000"/>
                <w:sz w:val="18"/>
                <w:szCs w:val="18"/>
                <w:lang w:val="en-GB"/>
              </w:rPr>
              <w:t>Minimum 28 months</w:t>
            </w:r>
          </w:p>
        </w:tc>
        <w:tc>
          <w:tcPr>
            <w:tcW w:w="1276" w:type="dxa"/>
            <w:tcBorders>
              <w:top w:val="nil"/>
              <w:left w:val="nil"/>
              <w:bottom w:val="single" w:sz="4" w:space="0" w:color="auto"/>
              <w:right w:val="nil"/>
            </w:tcBorders>
          </w:tcPr>
          <w:p w14:paraId="78122038" w14:textId="68624A33" w:rsidR="009D202F" w:rsidRPr="007A114B" w:rsidRDefault="009D202F" w:rsidP="009D202F">
            <w:pPr>
              <w:spacing w:after="120"/>
              <w:jc w:val="center"/>
              <w:rPr>
                <w:rFonts w:cstheme="minorHAnsi"/>
                <w:sz w:val="18"/>
                <w:szCs w:val="18"/>
                <w:lang w:val="en-GB" w:eastAsia="en-GB"/>
              </w:rPr>
            </w:pPr>
            <w:r w:rsidRPr="007A114B">
              <w:rPr>
                <w:rFonts w:ascii="Calibri" w:hAnsi="Calibri"/>
                <w:i/>
                <w:iCs/>
                <w:color w:val="808080" w:themeColor="background1" w:themeShade="80"/>
                <w:sz w:val="14"/>
                <w:szCs w:val="14"/>
                <w:lang w:val="en-GB"/>
              </w:rPr>
              <w:t>NR</w:t>
            </w:r>
          </w:p>
        </w:tc>
        <w:tc>
          <w:tcPr>
            <w:tcW w:w="1842" w:type="dxa"/>
            <w:tcBorders>
              <w:top w:val="nil"/>
              <w:left w:val="nil"/>
              <w:bottom w:val="single" w:sz="4" w:space="0" w:color="auto"/>
              <w:right w:val="nil"/>
            </w:tcBorders>
            <w:vAlign w:val="center"/>
          </w:tcPr>
          <w:p w14:paraId="6A6B0CF0" w14:textId="26D1598B" w:rsidR="009D202F" w:rsidRPr="007A114B" w:rsidRDefault="009D202F" w:rsidP="009D202F">
            <w:pPr>
              <w:spacing w:after="120"/>
              <w:jc w:val="center"/>
              <w:rPr>
                <w:rFonts w:cstheme="minorHAnsi"/>
                <w:i/>
                <w:iCs/>
                <w:sz w:val="18"/>
                <w:szCs w:val="18"/>
                <w:lang w:val="en-GB" w:eastAsia="en-GB"/>
              </w:rPr>
            </w:pPr>
            <w:r w:rsidRPr="007A114B">
              <w:rPr>
                <w:rFonts w:ascii="Calibri" w:hAnsi="Calibri"/>
                <w:color w:val="000000"/>
                <w:sz w:val="18"/>
                <w:szCs w:val="18"/>
                <w:lang w:val="en-GB"/>
              </w:rPr>
              <w:t>0</w:t>
            </w:r>
          </w:p>
        </w:tc>
        <w:tc>
          <w:tcPr>
            <w:tcW w:w="1423" w:type="dxa"/>
            <w:tcBorders>
              <w:top w:val="nil"/>
              <w:left w:val="nil"/>
              <w:bottom w:val="single" w:sz="4" w:space="0" w:color="auto"/>
              <w:right w:val="nil"/>
            </w:tcBorders>
            <w:vAlign w:val="center"/>
          </w:tcPr>
          <w:p w14:paraId="27DC3220" w14:textId="1089FEFD" w:rsidR="009D202F" w:rsidRPr="007A114B" w:rsidRDefault="009D202F" w:rsidP="009D202F">
            <w:pPr>
              <w:spacing w:after="120"/>
              <w:jc w:val="center"/>
              <w:rPr>
                <w:rFonts w:cstheme="minorHAnsi"/>
                <w:sz w:val="18"/>
                <w:szCs w:val="18"/>
                <w:lang w:val="en-GB" w:eastAsia="en-GB"/>
              </w:rPr>
            </w:pPr>
            <w:r w:rsidRPr="007A114B">
              <w:rPr>
                <w:rFonts w:ascii="Calibri" w:hAnsi="Calibri"/>
                <w:color w:val="000000"/>
                <w:sz w:val="18"/>
                <w:szCs w:val="18"/>
                <w:lang w:val="en-GB"/>
              </w:rPr>
              <w:t>0/23 (0%)</w:t>
            </w:r>
          </w:p>
        </w:tc>
        <w:tc>
          <w:tcPr>
            <w:tcW w:w="1807" w:type="dxa"/>
            <w:tcBorders>
              <w:top w:val="nil"/>
              <w:left w:val="nil"/>
              <w:bottom w:val="single" w:sz="4" w:space="0" w:color="auto"/>
              <w:right w:val="nil"/>
            </w:tcBorders>
            <w:vAlign w:val="center"/>
          </w:tcPr>
          <w:p w14:paraId="457BAE6C" w14:textId="1DC564DD" w:rsidR="009D202F" w:rsidRPr="007A114B" w:rsidRDefault="009D202F" w:rsidP="009D202F">
            <w:pPr>
              <w:spacing w:after="120"/>
              <w:jc w:val="center"/>
              <w:rPr>
                <w:rFonts w:cstheme="minorHAnsi"/>
                <w:i/>
                <w:iCs/>
                <w:sz w:val="18"/>
                <w:szCs w:val="18"/>
                <w:lang w:val="en-GB" w:eastAsia="en-GB"/>
              </w:rPr>
            </w:pPr>
            <w:r w:rsidRPr="007A114B">
              <w:rPr>
                <w:rFonts w:ascii="Calibri" w:hAnsi="Calibri"/>
                <w:i/>
                <w:iCs/>
                <w:color w:val="808080" w:themeColor="background1" w:themeShade="80"/>
                <w:sz w:val="14"/>
                <w:szCs w:val="14"/>
                <w:lang w:val="en-GB"/>
              </w:rPr>
              <w:t>NR</w:t>
            </w:r>
          </w:p>
        </w:tc>
      </w:tr>
      <w:tr w:rsidR="00622447" w:rsidRPr="007A114B" w14:paraId="23E14F09" w14:textId="77777777" w:rsidTr="00622CBB">
        <w:trPr>
          <w:trHeight w:val="368"/>
        </w:trPr>
        <w:tc>
          <w:tcPr>
            <w:tcW w:w="1537" w:type="dxa"/>
            <w:tcBorders>
              <w:left w:val="nil"/>
              <w:bottom w:val="single" w:sz="4" w:space="0" w:color="auto"/>
              <w:right w:val="nil"/>
            </w:tcBorders>
            <w:vAlign w:val="center"/>
          </w:tcPr>
          <w:p w14:paraId="71B1E286" w14:textId="77777777" w:rsidR="00D805F5" w:rsidRPr="007A114B" w:rsidRDefault="00D805F5" w:rsidP="008016F9">
            <w:pPr>
              <w:spacing w:after="120"/>
              <w:jc w:val="center"/>
              <w:rPr>
                <w:rFonts w:cstheme="minorHAnsi"/>
                <w:i/>
                <w:iCs/>
                <w:sz w:val="18"/>
                <w:szCs w:val="18"/>
                <w:lang w:val="en-GB" w:eastAsia="en-GB"/>
              </w:rPr>
            </w:pPr>
            <w:r w:rsidRPr="007A114B">
              <w:rPr>
                <w:rFonts w:cstheme="minorHAnsi"/>
                <w:i/>
                <w:iCs/>
                <w:sz w:val="18"/>
                <w:szCs w:val="18"/>
                <w:lang w:val="en-GB" w:eastAsia="en-GB"/>
              </w:rPr>
              <w:t>Total/Average</w:t>
            </w:r>
          </w:p>
        </w:tc>
        <w:tc>
          <w:tcPr>
            <w:tcW w:w="865" w:type="dxa"/>
            <w:tcBorders>
              <w:left w:val="nil"/>
              <w:bottom w:val="single" w:sz="4" w:space="0" w:color="auto"/>
              <w:right w:val="nil"/>
            </w:tcBorders>
            <w:vAlign w:val="center"/>
          </w:tcPr>
          <w:p w14:paraId="504C1781" w14:textId="77777777" w:rsidR="00D805F5" w:rsidRPr="007A114B" w:rsidRDefault="00D805F5" w:rsidP="008016F9">
            <w:pPr>
              <w:spacing w:after="120"/>
              <w:jc w:val="center"/>
              <w:rPr>
                <w:rFonts w:cstheme="minorHAnsi"/>
                <w:i/>
                <w:iCs/>
                <w:sz w:val="18"/>
                <w:szCs w:val="18"/>
                <w:lang w:val="en-GB" w:eastAsia="en-GB"/>
              </w:rPr>
            </w:pPr>
            <w:r w:rsidRPr="007A114B">
              <w:rPr>
                <w:rFonts w:cstheme="minorHAnsi"/>
                <w:i/>
                <w:iCs/>
                <w:sz w:val="18"/>
                <w:szCs w:val="18"/>
                <w:lang w:val="en-GB" w:eastAsia="en-GB"/>
              </w:rPr>
              <w:t>616 (369 controls)</w:t>
            </w:r>
          </w:p>
        </w:tc>
        <w:tc>
          <w:tcPr>
            <w:tcW w:w="1846" w:type="dxa"/>
            <w:tcBorders>
              <w:left w:val="nil"/>
              <w:bottom w:val="single" w:sz="4" w:space="0" w:color="auto"/>
              <w:right w:val="nil"/>
            </w:tcBorders>
            <w:vAlign w:val="center"/>
          </w:tcPr>
          <w:p w14:paraId="122E8E33" w14:textId="77777777" w:rsidR="00D805F5" w:rsidRPr="007A114B" w:rsidRDefault="00D805F5" w:rsidP="008016F9">
            <w:pPr>
              <w:spacing w:after="120"/>
              <w:jc w:val="center"/>
              <w:rPr>
                <w:rFonts w:cstheme="minorHAnsi"/>
                <w:i/>
                <w:iCs/>
                <w:sz w:val="18"/>
                <w:szCs w:val="18"/>
                <w:lang w:val="en-GB" w:eastAsia="en-GB"/>
              </w:rPr>
            </w:pPr>
            <w:r w:rsidRPr="007A114B">
              <w:rPr>
                <w:rFonts w:ascii="Calibri" w:hAnsi="Calibri" w:cs="Calibri"/>
                <w:i/>
                <w:iCs/>
                <w:sz w:val="18"/>
                <w:szCs w:val="18"/>
                <w:lang w:val="en-GB" w:eastAsia="en-GB"/>
              </w:rPr>
              <w:t>29.1 months weighted (range 12 – 84 months)</w:t>
            </w:r>
          </w:p>
        </w:tc>
        <w:tc>
          <w:tcPr>
            <w:tcW w:w="1276" w:type="dxa"/>
            <w:tcBorders>
              <w:left w:val="nil"/>
              <w:bottom w:val="single" w:sz="4" w:space="0" w:color="auto"/>
              <w:right w:val="nil"/>
            </w:tcBorders>
            <w:vAlign w:val="center"/>
          </w:tcPr>
          <w:p w14:paraId="1F12084E" w14:textId="18C06511" w:rsidR="00DA4D17" w:rsidRPr="007A114B" w:rsidRDefault="00DA4D17" w:rsidP="008016F9">
            <w:pPr>
              <w:spacing w:after="120"/>
              <w:rPr>
                <w:rFonts w:ascii="Calibri" w:hAnsi="Calibri"/>
                <w:i/>
                <w:iCs/>
                <w:color w:val="808080" w:themeColor="background1" w:themeShade="80"/>
                <w:sz w:val="14"/>
                <w:szCs w:val="14"/>
                <w:lang w:val="en-GB"/>
              </w:rPr>
            </w:pPr>
          </w:p>
        </w:tc>
        <w:tc>
          <w:tcPr>
            <w:tcW w:w="1842" w:type="dxa"/>
            <w:tcBorders>
              <w:left w:val="nil"/>
              <w:bottom w:val="single" w:sz="4" w:space="0" w:color="auto"/>
              <w:right w:val="nil"/>
            </w:tcBorders>
            <w:vAlign w:val="center"/>
          </w:tcPr>
          <w:p w14:paraId="11D560A5" w14:textId="77777777" w:rsidR="00D805F5" w:rsidRPr="007A114B" w:rsidRDefault="00D805F5" w:rsidP="008016F9">
            <w:pPr>
              <w:spacing w:after="120"/>
              <w:jc w:val="center"/>
              <w:rPr>
                <w:rFonts w:cstheme="minorHAnsi"/>
                <w:i/>
                <w:iCs/>
                <w:lang w:val="en-GB" w:eastAsia="en-GB"/>
              </w:rPr>
            </w:pPr>
          </w:p>
        </w:tc>
        <w:tc>
          <w:tcPr>
            <w:tcW w:w="1423" w:type="dxa"/>
            <w:tcBorders>
              <w:left w:val="nil"/>
              <w:bottom w:val="single" w:sz="4" w:space="0" w:color="auto"/>
              <w:right w:val="nil"/>
            </w:tcBorders>
            <w:vAlign w:val="center"/>
          </w:tcPr>
          <w:p w14:paraId="41E95848" w14:textId="77777777" w:rsidR="00D805F5" w:rsidRPr="007A114B" w:rsidRDefault="00D805F5" w:rsidP="008016F9">
            <w:pPr>
              <w:spacing w:after="120"/>
              <w:jc w:val="center"/>
              <w:rPr>
                <w:rFonts w:cstheme="minorHAnsi"/>
                <w:i/>
                <w:iCs/>
                <w:lang w:val="en-GB" w:eastAsia="en-GB"/>
              </w:rPr>
            </w:pPr>
          </w:p>
        </w:tc>
        <w:tc>
          <w:tcPr>
            <w:tcW w:w="1807" w:type="dxa"/>
            <w:tcBorders>
              <w:left w:val="nil"/>
              <w:bottom w:val="single" w:sz="4" w:space="0" w:color="auto"/>
              <w:right w:val="nil"/>
            </w:tcBorders>
            <w:vAlign w:val="center"/>
          </w:tcPr>
          <w:p w14:paraId="2FECA0CB" w14:textId="77777777" w:rsidR="00D805F5" w:rsidRPr="007A114B" w:rsidRDefault="00D805F5" w:rsidP="008016F9">
            <w:pPr>
              <w:spacing w:after="120"/>
              <w:jc w:val="center"/>
              <w:rPr>
                <w:rFonts w:cstheme="minorHAnsi"/>
                <w:i/>
                <w:iCs/>
                <w:lang w:val="en-GB" w:eastAsia="en-GB"/>
              </w:rPr>
            </w:pPr>
          </w:p>
        </w:tc>
      </w:tr>
      <w:tr w:rsidR="00D805F5" w:rsidRPr="007A114B" w14:paraId="79EC8C8E" w14:textId="77777777" w:rsidTr="00622447">
        <w:trPr>
          <w:trHeight w:val="368"/>
        </w:trPr>
        <w:tc>
          <w:tcPr>
            <w:tcW w:w="10596" w:type="dxa"/>
            <w:gridSpan w:val="7"/>
            <w:tcBorders>
              <w:left w:val="nil"/>
              <w:bottom w:val="nil"/>
              <w:right w:val="nil"/>
            </w:tcBorders>
          </w:tcPr>
          <w:p w14:paraId="15A1C418" w14:textId="7CDDDDF5" w:rsidR="00D805F5" w:rsidRPr="007A114B" w:rsidRDefault="0003225B" w:rsidP="008016F9">
            <w:pPr>
              <w:spacing w:after="120"/>
              <w:jc w:val="both"/>
              <w:rPr>
                <w:rFonts w:cstheme="minorHAnsi"/>
                <w:sz w:val="18"/>
                <w:szCs w:val="18"/>
                <w:lang w:val="en-GB" w:eastAsia="en-GB"/>
              </w:rPr>
            </w:pPr>
            <w:r w:rsidRPr="007A114B">
              <w:rPr>
                <w:rFonts w:cstheme="minorHAnsi"/>
                <w:sz w:val="18"/>
                <w:szCs w:val="18"/>
                <w:lang w:val="en-GB" w:eastAsia="en-GB"/>
              </w:rPr>
              <w:t xml:space="preserve">Nr. – number; </w:t>
            </w:r>
            <w:r w:rsidR="00D805F5" w:rsidRPr="007A114B">
              <w:rPr>
                <w:rFonts w:cstheme="minorHAnsi"/>
                <w:sz w:val="18"/>
                <w:szCs w:val="18"/>
                <w:lang w:val="en-GB" w:eastAsia="en-GB"/>
              </w:rPr>
              <w:t>PRO</w:t>
            </w:r>
            <w:r w:rsidR="00D55247" w:rsidRPr="007A114B">
              <w:rPr>
                <w:rFonts w:cstheme="minorHAnsi"/>
                <w:sz w:val="18"/>
                <w:szCs w:val="18"/>
                <w:lang w:val="en-GB" w:eastAsia="en-GB"/>
              </w:rPr>
              <w:t>M</w:t>
            </w:r>
            <w:r w:rsidR="00D805F5" w:rsidRPr="007A114B">
              <w:rPr>
                <w:rFonts w:cstheme="minorHAnsi"/>
                <w:sz w:val="18"/>
                <w:szCs w:val="18"/>
                <w:lang w:val="en-GB" w:eastAsia="en-GB"/>
              </w:rPr>
              <w:t xml:space="preserve">s – patient-reported outcomes; </w:t>
            </w:r>
            <w:r w:rsidR="004C4D1A" w:rsidRPr="007A114B">
              <w:rPr>
                <w:rFonts w:cstheme="minorHAnsi"/>
                <w:sz w:val="18"/>
                <w:szCs w:val="18"/>
                <w:lang w:val="en-GB" w:eastAsia="en-GB"/>
              </w:rPr>
              <w:t xml:space="preserve">HAS – hip arthroscopy; THA – total hip arthroplasty; T0, T1, T2 and T3: </w:t>
            </w:r>
            <w:proofErr w:type="spellStart"/>
            <w:r w:rsidR="004C4D1A" w:rsidRPr="007A114B">
              <w:rPr>
                <w:rFonts w:cstheme="minorHAnsi"/>
                <w:sz w:val="18"/>
                <w:szCs w:val="18"/>
                <w:lang w:val="en-GB" w:eastAsia="en-GB"/>
              </w:rPr>
              <w:t>Tönnis</w:t>
            </w:r>
            <w:proofErr w:type="spellEnd"/>
            <w:r w:rsidR="004C4D1A" w:rsidRPr="007A114B">
              <w:rPr>
                <w:rFonts w:cstheme="minorHAnsi"/>
                <w:sz w:val="18"/>
                <w:szCs w:val="18"/>
                <w:lang w:val="en-GB" w:eastAsia="en-GB"/>
              </w:rPr>
              <w:t xml:space="preserve"> grades of osteoarthritis</w:t>
            </w:r>
            <w:r w:rsidR="009D202F" w:rsidRPr="007A114B">
              <w:rPr>
                <w:rFonts w:cstheme="minorHAnsi"/>
                <w:sz w:val="18"/>
                <w:szCs w:val="18"/>
                <w:lang w:val="en-GB" w:eastAsia="en-GB"/>
              </w:rPr>
              <w:t xml:space="preserve">; </w:t>
            </w:r>
            <w:r w:rsidR="009D202F" w:rsidRPr="007A114B">
              <w:rPr>
                <w:rFonts w:ascii="Calibri" w:hAnsi="Calibri" w:cs="Calibri"/>
                <w:sz w:val="18"/>
                <w:szCs w:val="18"/>
                <w:lang w:val="en-GB" w:eastAsia="en-GB"/>
              </w:rPr>
              <w:t>NR – not reported</w:t>
            </w:r>
          </w:p>
        </w:tc>
      </w:tr>
    </w:tbl>
    <w:p w14:paraId="389A7AE2" w14:textId="77777777" w:rsidR="009D1ED5" w:rsidRDefault="009D1ED5" w:rsidP="009D1ED5">
      <w:pPr>
        <w:pStyle w:val="Heading1"/>
        <w:rPr>
          <w:lang w:eastAsia="en-GB"/>
        </w:rPr>
      </w:pPr>
      <w:r>
        <w:rPr>
          <w:lang w:eastAsia="en-GB"/>
        </w:rPr>
        <w:lastRenderedPageBreak/>
        <w:t>Figure 1</w:t>
      </w:r>
    </w:p>
    <w:p w14:paraId="2FCA14AB" w14:textId="37C91795" w:rsidR="006C0507" w:rsidRPr="007A114B" w:rsidRDefault="009D1ED5" w:rsidP="00BE382B">
      <w:pPr>
        <w:spacing w:after="120" w:line="276" w:lineRule="auto"/>
        <w:rPr>
          <w:rFonts w:cstheme="minorHAnsi"/>
          <w:b/>
          <w:bCs/>
          <w:lang w:val="en-GB" w:eastAsia="en-GB"/>
        </w:rPr>
      </w:pPr>
      <w:r w:rsidRPr="009D1ED5">
        <w:rPr>
          <w:rFonts w:cstheme="minorHAnsi"/>
          <w:b/>
          <w:bCs/>
          <w:lang w:val="en-GB" w:eastAsia="en-GB"/>
        </w:rPr>
        <w:drawing>
          <wp:inline distT="0" distB="0" distL="0" distR="0" wp14:anchorId="7461FBFF" wp14:editId="08E54512">
            <wp:extent cx="6106795" cy="5418455"/>
            <wp:effectExtent l="0" t="0" r="825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6106795" cy="5418455"/>
                    </a:xfrm>
                    <a:prstGeom prst="rect">
                      <a:avLst/>
                    </a:prstGeom>
                  </pic:spPr>
                </pic:pic>
              </a:graphicData>
            </a:graphic>
          </wp:inline>
        </w:drawing>
      </w:r>
    </w:p>
    <w:p w14:paraId="3591E76E" w14:textId="77777777" w:rsidR="009D1ED5" w:rsidRDefault="009D1ED5" w:rsidP="009D1ED5">
      <w:pPr>
        <w:pStyle w:val="Heading1"/>
        <w:rPr>
          <w:lang w:eastAsia="en-GB"/>
        </w:rPr>
        <w:sectPr w:rsidR="009D1ED5" w:rsidSect="00DA2946">
          <w:pgSz w:w="12240" w:h="15840"/>
          <w:pgMar w:top="1134" w:right="1183" w:bottom="1134" w:left="1440" w:header="720" w:footer="720" w:gutter="0"/>
          <w:lnNumType w:countBy="1" w:restart="continuous"/>
          <w:cols w:space="720"/>
          <w:docGrid w:linePitch="360"/>
        </w:sectPr>
      </w:pPr>
    </w:p>
    <w:p w14:paraId="014773BC" w14:textId="77777777" w:rsidR="009D1ED5" w:rsidRDefault="009D1ED5" w:rsidP="009D1ED5">
      <w:pPr>
        <w:pStyle w:val="Heading1"/>
        <w:rPr>
          <w:lang w:eastAsia="en-GB"/>
        </w:rPr>
      </w:pPr>
      <w:r>
        <w:rPr>
          <w:lang w:eastAsia="en-GB"/>
        </w:rPr>
        <w:lastRenderedPageBreak/>
        <w:t>Figure 2</w:t>
      </w:r>
    </w:p>
    <w:p w14:paraId="4DBA77BD" w14:textId="77777777" w:rsidR="009D1ED5" w:rsidRDefault="009D1ED5" w:rsidP="009D1ED5">
      <w:pPr>
        <w:rPr>
          <w:b/>
          <w:bCs/>
          <w:lang w:eastAsia="en-GB"/>
        </w:rPr>
        <w:sectPr w:rsidR="009D1ED5" w:rsidSect="009D1ED5">
          <w:pgSz w:w="15840" w:h="12240" w:orient="landscape"/>
          <w:pgMar w:top="1440" w:right="1134" w:bottom="1183" w:left="1134" w:header="720" w:footer="720" w:gutter="0"/>
          <w:lnNumType w:countBy="1" w:restart="continuous"/>
          <w:cols w:space="720"/>
          <w:docGrid w:linePitch="360"/>
        </w:sectPr>
      </w:pPr>
      <w:r w:rsidRPr="009D1ED5">
        <w:rPr>
          <w:lang w:eastAsia="en-GB"/>
        </w:rPr>
        <w:drawing>
          <wp:inline distT="0" distB="0" distL="0" distR="0" wp14:anchorId="67F619E0" wp14:editId="549071E3">
            <wp:extent cx="8572271" cy="2152650"/>
            <wp:effectExtent l="0" t="0" r="635"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12"/>
                    <a:stretch>
                      <a:fillRect/>
                    </a:stretch>
                  </pic:blipFill>
                  <pic:spPr>
                    <a:xfrm>
                      <a:off x="0" y="0"/>
                      <a:ext cx="8587071" cy="2156366"/>
                    </a:xfrm>
                    <a:prstGeom prst="rect">
                      <a:avLst/>
                    </a:prstGeom>
                  </pic:spPr>
                </pic:pic>
              </a:graphicData>
            </a:graphic>
          </wp:inline>
        </w:drawing>
      </w:r>
    </w:p>
    <w:p w14:paraId="6D4EE6B8" w14:textId="15EB592E" w:rsidR="009002AD" w:rsidRPr="009D1ED5" w:rsidRDefault="009002AD" w:rsidP="009D1ED5">
      <w:pPr>
        <w:pStyle w:val="Heading1"/>
        <w:jc w:val="center"/>
        <w:rPr>
          <w:lang w:eastAsia="en-GB"/>
        </w:rPr>
      </w:pPr>
      <w:r w:rsidRPr="007A114B">
        <w:rPr>
          <w:lang w:eastAsia="en-GB"/>
        </w:rPr>
        <w:lastRenderedPageBreak/>
        <w:t>REFERENCES</w:t>
      </w:r>
    </w:p>
    <w:p w14:paraId="78B74C42" w14:textId="1DAACCD6" w:rsidR="006C362A" w:rsidRPr="006C362A" w:rsidRDefault="009002AD" w:rsidP="006C362A">
      <w:pPr>
        <w:widowControl w:val="0"/>
        <w:autoSpaceDE w:val="0"/>
        <w:autoSpaceDN w:val="0"/>
        <w:adjustRightInd w:val="0"/>
        <w:spacing w:after="120" w:line="240" w:lineRule="auto"/>
        <w:ind w:left="640" w:hanging="640"/>
        <w:rPr>
          <w:rFonts w:ascii="Calibri" w:hAnsi="Calibri" w:cs="Calibri"/>
          <w:noProof/>
          <w:lang w:val="en-GB"/>
        </w:rPr>
      </w:pPr>
      <w:r w:rsidRPr="007A114B">
        <w:rPr>
          <w:rFonts w:cstheme="minorHAnsi"/>
          <w:b/>
          <w:bCs/>
          <w:lang w:val="en-GB" w:eastAsia="en-GB"/>
        </w:rPr>
        <w:fldChar w:fldCharType="begin" w:fldLock="1"/>
      </w:r>
      <w:r w:rsidRPr="007A114B">
        <w:rPr>
          <w:rFonts w:cstheme="minorHAnsi"/>
          <w:b/>
          <w:bCs/>
          <w:lang w:val="en-GB" w:eastAsia="en-GB"/>
        </w:rPr>
        <w:instrText xml:space="preserve">ADDIN Mendeley Bibliography CSL_BIBLIOGRAPHY </w:instrText>
      </w:r>
      <w:r w:rsidRPr="007A114B">
        <w:rPr>
          <w:rFonts w:cstheme="minorHAnsi"/>
          <w:b/>
          <w:bCs/>
          <w:lang w:val="en-GB" w:eastAsia="en-GB"/>
        </w:rPr>
        <w:fldChar w:fldCharType="separate"/>
      </w:r>
      <w:r w:rsidR="006C362A" w:rsidRPr="006C362A">
        <w:rPr>
          <w:rFonts w:ascii="Calibri" w:hAnsi="Calibri" w:cs="Calibri"/>
          <w:noProof/>
          <w:lang w:val="en-GB"/>
        </w:rPr>
        <w:t xml:space="preserve">1. </w:t>
      </w:r>
      <w:r w:rsidR="006C362A" w:rsidRPr="006C362A">
        <w:rPr>
          <w:rFonts w:ascii="Calibri" w:hAnsi="Calibri" w:cs="Calibri"/>
          <w:noProof/>
          <w:lang w:val="en-GB"/>
        </w:rPr>
        <w:tab/>
        <w:t xml:space="preserve">Matsumoto K, Ganz R, Khanduja V. The history of femoroacetabular impingement. </w:t>
      </w:r>
      <w:r w:rsidR="006C362A" w:rsidRPr="006C362A">
        <w:rPr>
          <w:rFonts w:ascii="Calibri" w:hAnsi="Calibri" w:cs="Calibri"/>
          <w:i/>
          <w:iCs/>
          <w:noProof/>
          <w:lang w:val="en-GB"/>
        </w:rPr>
        <w:t>Bone Joint Res</w:t>
      </w:r>
      <w:r w:rsidR="006C362A" w:rsidRPr="006C362A">
        <w:rPr>
          <w:rFonts w:ascii="Calibri" w:hAnsi="Calibri" w:cs="Calibri"/>
          <w:noProof/>
          <w:lang w:val="en-GB"/>
        </w:rPr>
        <w:t>. 2020;9(9):572-577. doi:10.1302/2046-3758.99.BJR-2020-0003</w:t>
      </w:r>
    </w:p>
    <w:p w14:paraId="2AF56B0D"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 </w:t>
      </w:r>
      <w:r w:rsidRPr="006C362A">
        <w:rPr>
          <w:rFonts w:ascii="Calibri" w:hAnsi="Calibri" w:cs="Calibri"/>
          <w:noProof/>
          <w:lang w:val="en-GB"/>
        </w:rPr>
        <w:tab/>
        <w:t xml:space="preserve">Ganz R, Parvizi J, Beck M, Leunig M, Nötzli H, Siebenrock KA. Femoroacetabular impingement: a cause for osteoarthritis of the hip. </w:t>
      </w:r>
      <w:r w:rsidRPr="006C362A">
        <w:rPr>
          <w:rFonts w:ascii="Calibri" w:hAnsi="Calibri" w:cs="Calibri"/>
          <w:i/>
          <w:iCs/>
          <w:noProof/>
          <w:lang w:val="en-GB"/>
        </w:rPr>
        <w:t>Clin Orthop Relat Res</w:t>
      </w:r>
      <w:r w:rsidRPr="006C362A">
        <w:rPr>
          <w:rFonts w:ascii="Calibri" w:hAnsi="Calibri" w:cs="Calibri"/>
          <w:noProof/>
          <w:lang w:val="en-GB"/>
        </w:rPr>
        <w:t>. 2003;(417):112-120. doi:10.1097/01.blo.0000096804.78689.c2</w:t>
      </w:r>
    </w:p>
    <w:p w14:paraId="24189AEE"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 </w:t>
      </w:r>
      <w:r w:rsidRPr="006C362A">
        <w:rPr>
          <w:rFonts w:ascii="Calibri" w:hAnsi="Calibri" w:cs="Calibri"/>
          <w:noProof/>
          <w:lang w:val="en-GB"/>
        </w:rPr>
        <w:tab/>
        <w:t xml:space="preserve">Aoyama M, Ohnishi Y, Utsunomiya H, et al. A Prospective, Randomized, Controlled Trial Comparing Conservative Treatment with Trunk Stabilization Exercise to Standard Hip Muscle Exercise for Treating Femoroacetabular Impingement: A Pilot Study. </w:t>
      </w:r>
      <w:r w:rsidRPr="006C362A">
        <w:rPr>
          <w:rFonts w:ascii="Calibri" w:hAnsi="Calibri" w:cs="Calibri"/>
          <w:i/>
          <w:iCs/>
          <w:noProof/>
          <w:lang w:val="en-GB"/>
        </w:rPr>
        <w:t>Clin J Sport Med</w:t>
      </w:r>
      <w:r w:rsidRPr="006C362A">
        <w:rPr>
          <w:rFonts w:ascii="Calibri" w:hAnsi="Calibri" w:cs="Calibri"/>
          <w:noProof/>
          <w:lang w:val="en-GB"/>
        </w:rPr>
        <w:t>. 2019;29(4):267-275. doi:10.1097/JSM.0000000000000516</w:t>
      </w:r>
    </w:p>
    <w:p w14:paraId="5EFC61B1"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4. </w:t>
      </w:r>
      <w:r w:rsidRPr="006C362A">
        <w:rPr>
          <w:rFonts w:ascii="Calibri" w:hAnsi="Calibri" w:cs="Calibri"/>
          <w:noProof/>
          <w:lang w:val="en-GB"/>
        </w:rPr>
        <w:tab/>
        <w:t xml:space="preserve">Sohatee MA, Ali M, Khanduja V, Malviya A. Does hip preservation surgery prevent arthroplasty? Quantifying the rate of conversion to arthroplasty following hip preservation surgery. </w:t>
      </w:r>
      <w:r w:rsidRPr="006C362A">
        <w:rPr>
          <w:rFonts w:ascii="Calibri" w:hAnsi="Calibri" w:cs="Calibri"/>
          <w:i/>
          <w:iCs/>
          <w:noProof/>
          <w:lang w:val="en-GB"/>
        </w:rPr>
        <w:t>J hip Preserv Surg</w:t>
      </w:r>
      <w:r w:rsidRPr="006C362A">
        <w:rPr>
          <w:rFonts w:ascii="Calibri" w:hAnsi="Calibri" w:cs="Calibri"/>
          <w:noProof/>
          <w:lang w:val="en-GB"/>
        </w:rPr>
        <w:t>. 2020;7(2):168-182. doi:10.1093/jhps/hnaa022</w:t>
      </w:r>
    </w:p>
    <w:p w14:paraId="133CBD36"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5. </w:t>
      </w:r>
      <w:r w:rsidRPr="006C362A">
        <w:rPr>
          <w:rFonts w:ascii="Calibri" w:hAnsi="Calibri" w:cs="Calibri"/>
          <w:noProof/>
          <w:lang w:val="en-GB"/>
        </w:rPr>
        <w:tab/>
        <w:t xml:space="preserve">Alshameeri Z, Khanduja V. The effect of femoro-acetabular impingement on the kinematics and kinetics of the hip joint. </w:t>
      </w:r>
      <w:r w:rsidRPr="006C362A">
        <w:rPr>
          <w:rFonts w:ascii="Calibri" w:hAnsi="Calibri" w:cs="Calibri"/>
          <w:i/>
          <w:iCs/>
          <w:noProof/>
          <w:lang w:val="en-GB"/>
        </w:rPr>
        <w:t>Int Orthop</w:t>
      </w:r>
      <w:r w:rsidRPr="006C362A">
        <w:rPr>
          <w:rFonts w:ascii="Calibri" w:hAnsi="Calibri" w:cs="Calibri"/>
          <w:noProof/>
          <w:lang w:val="en-GB"/>
        </w:rPr>
        <w:t>. 2014;38(8):1615-1620. doi:10.1007/s00264-014-2302-5</w:t>
      </w:r>
    </w:p>
    <w:p w14:paraId="1C338867"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6. </w:t>
      </w:r>
      <w:r w:rsidRPr="006C362A">
        <w:rPr>
          <w:rFonts w:ascii="Calibri" w:hAnsi="Calibri" w:cs="Calibri"/>
          <w:noProof/>
          <w:lang w:val="en-GB"/>
        </w:rPr>
        <w:tab/>
        <w:t xml:space="preserve">Andronic O, Nakano N, Daivajna S, Board TN, Khanduja V. non-arthroplasty iliopsoas impingement in athletes: a narrative literature review. </w:t>
      </w:r>
      <w:r w:rsidRPr="006C362A">
        <w:rPr>
          <w:rFonts w:ascii="Calibri" w:hAnsi="Calibri" w:cs="Calibri"/>
          <w:i/>
          <w:iCs/>
          <w:noProof/>
          <w:lang w:val="en-GB"/>
        </w:rPr>
        <w:t>HIP Int</w:t>
      </w:r>
      <w:r w:rsidRPr="006C362A">
        <w:rPr>
          <w:rFonts w:ascii="Calibri" w:hAnsi="Calibri" w:cs="Calibri"/>
          <w:noProof/>
          <w:lang w:val="en-GB"/>
        </w:rPr>
        <w:t>. 2019;29(5). doi:10.1177/1120700019831945</w:t>
      </w:r>
    </w:p>
    <w:p w14:paraId="00048B59"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7. </w:t>
      </w:r>
      <w:r w:rsidRPr="006C362A">
        <w:rPr>
          <w:rFonts w:ascii="Calibri" w:hAnsi="Calibri" w:cs="Calibri"/>
          <w:noProof/>
          <w:lang w:val="en-GB"/>
        </w:rPr>
        <w:tab/>
        <w:t xml:space="preserve">Nwachukwu B, Rasio J, Sullivan S, Okoroha K, Mather RC, Nho SJ. Surgical Treatment of Labral Tears: Debridement, Repair, and Reconstruction. </w:t>
      </w:r>
      <w:r w:rsidRPr="006C362A">
        <w:rPr>
          <w:rFonts w:ascii="Calibri" w:hAnsi="Calibri" w:cs="Calibri"/>
          <w:i/>
          <w:iCs/>
          <w:noProof/>
          <w:lang w:val="en-GB"/>
        </w:rPr>
        <w:t>Sports Med Arthrosc</w:t>
      </w:r>
      <w:r w:rsidRPr="006C362A">
        <w:rPr>
          <w:rFonts w:ascii="Calibri" w:hAnsi="Calibri" w:cs="Calibri"/>
          <w:noProof/>
          <w:lang w:val="en-GB"/>
        </w:rPr>
        <w:t>. 2021;29(1):e1-e8. doi:10.1097/JSA.0000000000000282</w:t>
      </w:r>
    </w:p>
    <w:p w14:paraId="49628416" w14:textId="1356D320"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8. </w:t>
      </w:r>
      <w:r w:rsidRPr="006C362A">
        <w:rPr>
          <w:rFonts w:ascii="Calibri" w:hAnsi="Calibri" w:cs="Calibri"/>
          <w:noProof/>
          <w:lang w:val="en-GB"/>
        </w:rPr>
        <w:tab/>
        <w:t xml:space="preserve">Harris JD, Brand JC, Rossi MJ, Lubowitz JH. Irreparable Hip Labral Tears and Femoroacetabular Impingement Syndrome: Labral  Reconstruction Incorporating the Transverse Acetabular Ligament May Restore the Suction Seal. </w:t>
      </w:r>
      <w:r>
        <w:rPr>
          <w:rFonts w:ascii="Calibri" w:hAnsi="Calibri" w:cs="Calibri"/>
          <w:i/>
          <w:iCs/>
          <w:noProof/>
          <w:lang w:val="en-GB"/>
        </w:rPr>
        <w:t>Arthroscopy</w:t>
      </w:r>
      <w:r w:rsidRPr="006C362A">
        <w:rPr>
          <w:rFonts w:ascii="Calibri" w:hAnsi="Calibri" w:cs="Calibri"/>
          <w:noProof/>
          <w:lang w:val="en-GB"/>
        </w:rPr>
        <w:t>. 2020;36(10):2573-2577. doi:10.1016/j.arthro.2020.08.018</w:t>
      </w:r>
    </w:p>
    <w:p w14:paraId="63722705"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9. </w:t>
      </w:r>
      <w:r w:rsidRPr="006C362A">
        <w:rPr>
          <w:rFonts w:ascii="Calibri" w:hAnsi="Calibri" w:cs="Calibri"/>
          <w:noProof/>
          <w:lang w:val="en-GB"/>
        </w:rPr>
        <w:tab/>
        <w:t xml:space="preserve">Maldonado DR, Kyin C, Chen SL, et al. In search of labral restoration function with hip arthroscopy: outcomes of hip  labral reconstruction versus labral repair: a systematic review. </w:t>
      </w:r>
      <w:r w:rsidRPr="006C362A">
        <w:rPr>
          <w:rFonts w:ascii="Calibri" w:hAnsi="Calibri" w:cs="Calibri"/>
          <w:i/>
          <w:iCs/>
          <w:noProof/>
          <w:lang w:val="en-GB"/>
        </w:rPr>
        <w:t>Hip Int  J Clin Exp Res hip  Pathol Ther</w:t>
      </w:r>
      <w:r w:rsidRPr="006C362A">
        <w:rPr>
          <w:rFonts w:ascii="Calibri" w:hAnsi="Calibri" w:cs="Calibri"/>
          <w:noProof/>
          <w:lang w:val="en-GB"/>
        </w:rPr>
        <w:t>. October 2020:1120700020965162. doi:10.1177/1120700020965162</w:t>
      </w:r>
    </w:p>
    <w:p w14:paraId="2D4FC927"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10. </w:t>
      </w:r>
      <w:r w:rsidRPr="006C362A">
        <w:rPr>
          <w:rFonts w:ascii="Calibri" w:hAnsi="Calibri" w:cs="Calibri"/>
          <w:noProof/>
          <w:lang w:val="en-GB"/>
        </w:rPr>
        <w:tab/>
        <w:t xml:space="preserve">Nakano N, Gohal C, Duong A, Ayeni OR, Khanduja V. Outcomes of cartilage repair techniques for chondral injury in the hip-a systematic  review. </w:t>
      </w:r>
      <w:r w:rsidRPr="006C362A">
        <w:rPr>
          <w:rFonts w:ascii="Calibri" w:hAnsi="Calibri" w:cs="Calibri"/>
          <w:i/>
          <w:iCs/>
          <w:noProof/>
          <w:lang w:val="en-GB"/>
        </w:rPr>
        <w:t>Int Orthop</w:t>
      </w:r>
      <w:r w:rsidRPr="006C362A">
        <w:rPr>
          <w:rFonts w:ascii="Calibri" w:hAnsi="Calibri" w:cs="Calibri"/>
          <w:noProof/>
          <w:lang w:val="en-GB"/>
        </w:rPr>
        <w:t>. 2018;42(10):2309-2322. doi:10.1007/s00264-018-3862-6</w:t>
      </w:r>
    </w:p>
    <w:p w14:paraId="68E4AAF1"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11. </w:t>
      </w:r>
      <w:r w:rsidRPr="006C362A">
        <w:rPr>
          <w:rFonts w:ascii="Calibri" w:hAnsi="Calibri" w:cs="Calibri"/>
          <w:noProof/>
          <w:lang w:val="en-GB"/>
        </w:rPr>
        <w:tab/>
        <w:t xml:space="preserve">Imam S, Khanduja V. Current concepts in the diagnosis and management of femoroacetabular impingement. </w:t>
      </w:r>
      <w:r w:rsidRPr="006C362A">
        <w:rPr>
          <w:rFonts w:ascii="Calibri" w:hAnsi="Calibri" w:cs="Calibri"/>
          <w:i/>
          <w:iCs/>
          <w:noProof/>
          <w:lang w:val="en-GB"/>
        </w:rPr>
        <w:t>Int Orthop</w:t>
      </w:r>
      <w:r w:rsidRPr="006C362A">
        <w:rPr>
          <w:rFonts w:ascii="Calibri" w:hAnsi="Calibri" w:cs="Calibri"/>
          <w:noProof/>
          <w:lang w:val="en-GB"/>
        </w:rPr>
        <w:t>. 2011;35(10):1427-1435. doi:10.1007/s00264-011-1278-7</w:t>
      </w:r>
    </w:p>
    <w:p w14:paraId="277ECE39"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12. </w:t>
      </w:r>
      <w:r w:rsidRPr="006C362A">
        <w:rPr>
          <w:rFonts w:ascii="Calibri" w:hAnsi="Calibri" w:cs="Calibri"/>
          <w:noProof/>
          <w:lang w:val="en-GB"/>
        </w:rPr>
        <w:tab/>
        <w:t xml:space="preserve">Van Houcke J, Khanduja V, Audenaert EA. Accurate Arthroscopic Cam Resection Normalizes Contact Stresses in Patients With  Femoroacetabular Impingement. </w:t>
      </w:r>
      <w:r w:rsidRPr="006C362A">
        <w:rPr>
          <w:rFonts w:ascii="Calibri" w:hAnsi="Calibri" w:cs="Calibri"/>
          <w:i/>
          <w:iCs/>
          <w:noProof/>
          <w:lang w:val="en-GB"/>
        </w:rPr>
        <w:t>Am J Sports Med</w:t>
      </w:r>
      <w:r w:rsidRPr="006C362A">
        <w:rPr>
          <w:rFonts w:ascii="Calibri" w:hAnsi="Calibri" w:cs="Calibri"/>
          <w:noProof/>
          <w:lang w:val="en-GB"/>
        </w:rPr>
        <w:t>. 2021;49(1):42-48. doi:10.1177/0363546520974378</w:t>
      </w:r>
    </w:p>
    <w:p w14:paraId="46BA1F0C"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13. </w:t>
      </w:r>
      <w:r w:rsidRPr="006C362A">
        <w:rPr>
          <w:rFonts w:ascii="Calibri" w:hAnsi="Calibri" w:cs="Calibri"/>
          <w:noProof/>
          <w:lang w:val="en-GB"/>
        </w:rPr>
        <w:tab/>
        <w:t xml:space="preserve">Palmer AJR, Ayyar Gupta V, Fernquest S, et al. Arthroscopic hip surgery compared with physiotherapy and activity modification for  the treatment of symptomatic femoroacetabular impingement: multicentre randomised controlled trial. </w:t>
      </w:r>
      <w:r w:rsidRPr="006C362A">
        <w:rPr>
          <w:rFonts w:ascii="Calibri" w:hAnsi="Calibri" w:cs="Calibri"/>
          <w:i/>
          <w:iCs/>
          <w:noProof/>
          <w:lang w:val="en-GB"/>
        </w:rPr>
        <w:t>BMJ</w:t>
      </w:r>
      <w:r w:rsidRPr="006C362A">
        <w:rPr>
          <w:rFonts w:ascii="Calibri" w:hAnsi="Calibri" w:cs="Calibri"/>
          <w:noProof/>
          <w:lang w:val="en-GB"/>
        </w:rPr>
        <w:t>. 2019;364:l185. doi:10.1136/bmj.l185</w:t>
      </w:r>
    </w:p>
    <w:p w14:paraId="6D45EDFE"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14. </w:t>
      </w:r>
      <w:r w:rsidRPr="006C362A">
        <w:rPr>
          <w:rFonts w:ascii="Calibri" w:hAnsi="Calibri" w:cs="Calibri"/>
          <w:noProof/>
          <w:lang w:val="en-GB"/>
        </w:rPr>
        <w:tab/>
        <w:t xml:space="preserve">Griffin DR, Dickenson EJ, Wall PDH, et al. Hip arthroscopy versus best conservative care for the treatment of femoroacetabular  impingement syndrome (UK FASHIoN): a multicentre randomised controlled trial. </w:t>
      </w:r>
      <w:r w:rsidRPr="006C362A">
        <w:rPr>
          <w:rFonts w:ascii="Calibri" w:hAnsi="Calibri" w:cs="Calibri"/>
          <w:i/>
          <w:iCs/>
          <w:noProof/>
          <w:lang w:val="en-GB"/>
        </w:rPr>
        <w:t>Lancet (London, England)</w:t>
      </w:r>
      <w:r w:rsidRPr="006C362A">
        <w:rPr>
          <w:rFonts w:ascii="Calibri" w:hAnsi="Calibri" w:cs="Calibri"/>
          <w:noProof/>
          <w:lang w:val="en-GB"/>
        </w:rPr>
        <w:t>. 2018;391(10136):2225-2235. doi:10.1016/S0140-6736(18)31202-9</w:t>
      </w:r>
    </w:p>
    <w:p w14:paraId="2EC812EC"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lastRenderedPageBreak/>
        <w:t xml:space="preserve">15. </w:t>
      </w:r>
      <w:r w:rsidRPr="006C362A">
        <w:rPr>
          <w:rFonts w:ascii="Calibri" w:hAnsi="Calibri" w:cs="Calibri"/>
          <w:noProof/>
          <w:lang w:val="en-GB"/>
        </w:rPr>
        <w:tab/>
        <w:t xml:space="preserve">Byrd JWT, Jones KS, Bardowski EA. Influence of Tönnis grade on outcomes of arthroscopy for FAI in athletes: a comparative analysis. </w:t>
      </w:r>
      <w:r w:rsidRPr="006C362A">
        <w:rPr>
          <w:rFonts w:ascii="Calibri" w:hAnsi="Calibri" w:cs="Calibri"/>
          <w:i/>
          <w:iCs/>
          <w:noProof/>
          <w:lang w:val="en-GB"/>
        </w:rPr>
        <w:t>J hip Preserv Surg</w:t>
      </w:r>
      <w:r w:rsidRPr="006C362A">
        <w:rPr>
          <w:rFonts w:ascii="Calibri" w:hAnsi="Calibri" w:cs="Calibri"/>
          <w:noProof/>
          <w:lang w:val="en-GB"/>
        </w:rPr>
        <w:t>. 2018;5(2):162-165. doi:10.1093/jhps/hny011</w:t>
      </w:r>
    </w:p>
    <w:p w14:paraId="4C8AC612"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16. </w:t>
      </w:r>
      <w:r w:rsidRPr="006C362A">
        <w:rPr>
          <w:rFonts w:ascii="Calibri" w:hAnsi="Calibri" w:cs="Calibri"/>
          <w:noProof/>
          <w:lang w:val="en-GB"/>
        </w:rPr>
        <w:tab/>
        <w:t xml:space="preserve">Philippon MJ, Briggs KK, Carlisle JC, Patterson DC. Joint space predicts THA after hip arthroscopy in patients 50 years and older. </w:t>
      </w:r>
      <w:r w:rsidRPr="006C362A">
        <w:rPr>
          <w:rFonts w:ascii="Calibri" w:hAnsi="Calibri" w:cs="Calibri"/>
          <w:i/>
          <w:iCs/>
          <w:noProof/>
          <w:lang w:val="en-GB"/>
        </w:rPr>
        <w:t>Clin Orthop Relat Res</w:t>
      </w:r>
      <w:r w:rsidRPr="006C362A">
        <w:rPr>
          <w:rFonts w:ascii="Calibri" w:hAnsi="Calibri" w:cs="Calibri"/>
          <w:noProof/>
          <w:lang w:val="en-GB"/>
        </w:rPr>
        <w:t>. 2013;471(8):2492-2496. doi:10.1007/s11999-012-2779-4</w:t>
      </w:r>
    </w:p>
    <w:p w14:paraId="02DD6E52"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17. </w:t>
      </w:r>
      <w:r w:rsidRPr="006C362A">
        <w:rPr>
          <w:rFonts w:ascii="Calibri" w:hAnsi="Calibri" w:cs="Calibri"/>
          <w:noProof/>
          <w:lang w:val="en-GB"/>
        </w:rPr>
        <w:tab/>
        <w:t xml:space="preserve">Nakano N, Khanduja V. Femoroacetabular impingement: the past, current controversies and future  perspectives. </w:t>
      </w:r>
      <w:r w:rsidRPr="006C362A">
        <w:rPr>
          <w:rFonts w:ascii="Calibri" w:hAnsi="Calibri" w:cs="Calibri"/>
          <w:i/>
          <w:iCs/>
          <w:noProof/>
          <w:lang w:val="en-GB"/>
        </w:rPr>
        <w:t>Phys Sportsmed</w:t>
      </w:r>
      <w:r w:rsidRPr="006C362A">
        <w:rPr>
          <w:rFonts w:ascii="Calibri" w:hAnsi="Calibri" w:cs="Calibri"/>
          <w:noProof/>
          <w:lang w:val="en-GB"/>
        </w:rPr>
        <w:t>. 2018;46(3):270-272. doi:10.1080/00913847.2018.1478151</w:t>
      </w:r>
    </w:p>
    <w:p w14:paraId="03DDE1BC"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18. </w:t>
      </w:r>
      <w:r w:rsidRPr="006C362A">
        <w:rPr>
          <w:rFonts w:ascii="Calibri" w:hAnsi="Calibri" w:cs="Calibri"/>
          <w:noProof/>
          <w:lang w:val="en-GB"/>
        </w:rPr>
        <w:tab/>
        <w:t xml:space="preserve">Page MJ, McKenzie JE, Bossuyt PM, et al. The PRISMA 2020 statement: an updated guideline for reporting systematic reviews. </w:t>
      </w:r>
      <w:r w:rsidRPr="006C362A">
        <w:rPr>
          <w:rFonts w:ascii="Calibri" w:hAnsi="Calibri" w:cs="Calibri"/>
          <w:i/>
          <w:iCs/>
          <w:noProof/>
          <w:lang w:val="en-GB"/>
        </w:rPr>
        <w:t>BMJ</w:t>
      </w:r>
      <w:r w:rsidRPr="006C362A">
        <w:rPr>
          <w:rFonts w:ascii="Calibri" w:hAnsi="Calibri" w:cs="Calibri"/>
          <w:noProof/>
          <w:lang w:val="en-GB"/>
        </w:rPr>
        <w:t>. 2021;372. doi:10.1136/bmj.n71</w:t>
      </w:r>
    </w:p>
    <w:p w14:paraId="7229A7A3"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19. </w:t>
      </w:r>
      <w:r w:rsidRPr="006C362A">
        <w:rPr>
          <w:rFonts w:ascii="Calibri" w:hAnsi="Calibri" w:cs="Calibri"/>
          <w:noProof/>
          <w:lang w:val="en-GB"/>
        </w:rPr>
        <w:tab/>
        <w:t xml:space="preserve">Andronic O, Claydon L, Cubberley R, Sunil-Kumar KH, Khanduja V. Outcomes of Hip Arthroscopy in Patients with Femoroacetabular Impingement and Concomitant Tönnis Grade II Osteoarthritis or Greater: Protocol for a Systematic Review. </w:t>
      </w:r>
      <w:r w:rsidRPr="006C362A">
        <w:rPr>
          <w:rFonts w:ascii="Calibri" w:hAnsi="Calibri" w:cs="Calibri"/>
          <w:i/>
          <w:iCs/>
          <w:noProof/>
          <w:lang w:val="en-GB"/>
        </w:rPr>
        <w:t>Int J Surg Protoc</w:t>
      </w:r>
      <w:r w:rsidRPr="006C362A">
        <w:rPr>
          <w:rFonts w:ascii="Calibri" w:hAnsi="Calibri" w:cs="Calibri"/>
          <w:noProof/>
          <w:lang w:val="en-GB"/>
        </w:rPr>
        <w:t>. 2021;25(1):1-6. doi:10.29337/ijsp.26</w:t>
      </w:r>
    </w:p>
    <w:p w14:paraId="43110DD8"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20. </w:t>
      </w:r>
      <w:r w:rsidRPr="006C362A">
        <w:rPr>
          <w:rFonts w:ascii="Calibri" w:hAnsi="Calibri" w:cs="Calibri"/>
          <w:noProof/>
          <w:lang w:val="en-GB"/>
        </w:rPr>
        <w:tab/>
        <w:t xml:space="preserve">Slim K, Nini E, Forestier D, Kwiatkowski F, Panis Y, Chipponi J. Methodological index for non-randomized studies (Minors): Development and validation of a new instrument. </w:t>
      </w:r>
      <w:r w:rsidRPr="006C362A">
        <w:rPr>
          <w:rFonts w:ascii="Calibri" w:hAnsi="Calibri" w:cs="Calibri"/>
          <w:i/>
          <w:iCs/>
          <w:noProof/>
          <w:lang w:val="en-GB"/>
        </w:rPr>
        <w:t>ANZ J Surg</w:t>
      </w:r>
      <w:r w:rsidRPr="006C362A">
        <w:rPr>
          <w:rFonts w:ascii="Calibri" w:hAnsi="Calibri" w:cs="Calibri"/>
          <w:noProof/>
          <w:lang w:val="en-GB"/>
        </w:rPr>
        <w:t>. 2003. doi:10.1046/j.1445-2197.2003.02748.x</w:t>
      </w:r>
    </w:p>
    <w:p w14:paraId="004CE8EC"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21. </w:t>
      </w:r>
      <w:r w:rsidRPr="006C362A">
        <w:rPr>
          <w:rFonts w:ascii="Calibri" w:hAnsi="Calibri" w:cs="Calibri"/>
          <w:noProof/>
          <w:lang w:val="en-GB"/>
        </w:rPr>
        <w:tab/>
        <w:t xml:space="preserve">Murray IR, Geeslin AG, Goudie EB, Petrigliano FA, LaPrade RF. Minimum Information for Studies Evaluating Biologics in Orthopaedics (MIBO): Platelet-Rich Plasma and Mesenchymal Stem Cells. </w:t>
      </w:r>
      <w:r w:rsidRPr="006C362A">
        <w:rPr>
          <w:rFonts w:ascii="Calibri" w:hAnsi="Calibri" w:cs="Calibri"/>
          <w:i/>
          <w:iCs/>
          <w:noProof/>
          <w:lang w:val="en-GB"/>
        </w:rPr>
        <w:t>JBJS</w:t>
      </w:r>
      <w:r w:rsidRPr="006C362A">
        <w:rPr>
          <w:rFonts w:ascii="Calibri" w:hAnsi="Calibri" w:cs="Calibri"/>
          <w:noProof/>
          <w:lang w:val="en-GB"/>
        </w:rPr>
        <w:t>. 2017;99(10).</w:t>
      </w:r>
    </w:p>
    <w:p w14:paraId="6F8CB3BF" w14:textId="65AA65B8"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22. </w:t>
      </w:r>
      <w:r w:rsidRPr="006C362A">
        <w:rPr>
          <w:rFonts w:ascii="Calibri" w:hAnsi="Calibri" w:cs="Calibri"/>
          <w:noProof/>
          <w:lang w:val="en-GB"/>
        </w:rPr>
        <w:tab/>
        <w:t xml:space="preserve">Andronic O, Hincapié CA, Burkhard MD, et al. Lack of Conclusive Evidence of the Benefit of Biologic Augmentation in Core  Decompression for Nontraumatic Osteonecrosis of the Femoral Head: A Systematic Review. </w:t>
      </w:r>
      <w:r w:rsidRPr="006C362A">
        <w:rPr>
          <w:rFonts w:ascii="Calibri" w:hAnsi="Calibri" w:cs="Calibri"/>
          <w:i/>
          <w:iCs/>
          <w:noProof/>
          <w:lang w:val="en-GB"/>
        </w:rPr>
        <w:t xml:space="preserve">Arthroscopy. </w:t>
      </w:r>
      <w:r w:rsidRPr="006C362A">
        <w:rPr>
          <w:rFonts w:ascii="Calibri" w:hAnsi="Calibri" w:cs="Calibri"/>
          <w:noProof/>
          <w:lang w:val="en-GB"/>
        </w:rPr>
        <w:t>2021 Dec;37(12):3537-3551.e3. doi: 10.1016/j.arthro.2021.04.062.</w:t>
      </w:r>
    </w:p>
    <w:p w14:paraId="36880326" w14:textId="76ED2991"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23. </w:t>
      </w:r>
      <w:r w:rsidRPr="006C362A">
        <w:rPr>
          <w:rFonts w:ascii="Calibri" w:hAnsi="Calibri" w:cs="Calibri"/>
          <w:noProof/>
          <w:lang w:val="en-GB"/>
        </w:rPr>
        <w:tab/>
        <w:t xml:space="preserve">Hohmann E, Feldman M, Hunt TJ, Cote MP, Brand JC. Research Pearls: How Do We Establish the Level of Evidence? </w:t>
      </w:r>
      <w:r>
        <w:rPr>
          <w:rFonts w:ascii="Calibri" w:hAnsi="Calibri" w:cs="Calibri"/>
          <w:i/>
          <w:iCs/>
          <w:noProof/>
          <w:lang w:val="en-GB"/>
        </w:rPr>
        <w:t>Arthroscopy</w:t>
      </w:r>
      <w:r w:rsidRPr="006C362A">
        <w:rPr>
          <w:rFonts w:ascii="Calibri" w:hAnsi="Calibri" w:cs="Calibri"/>
          <w:noProof/>
          <w:lang w:val="en-GB"/>
        </w:rPr>
        <w:t>. 2018;34(12):3271-3277. doi:10.1016/j.arthro.2018.10.002</w:t>
      </w:r>
    </w:p>
    <w:p w14:paraId="1AEDA1D2" w14:textId="03608E33"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24. </w:t>
      </w:r>
      <w:r w:rsidRPr="006C362A">
        <w:rPr>
          <w:rFonts w:ascii="Calibri" w:hAnsi="Calibri" w:cs="Calibri"/>
          <w:noProof/>
          <w:lang w:val="en-GB"/>
        </w:rPr>
        <w:tab/>
        <w:t xml:space="preserve">Byrd JWT, Bardowski EA, Jones KS. Influence of Tönnis Grade on Outcomes of Arthroscopic Management of Symptomatic  Femoroacetabular Impingement. </w:t>
      </w:r>
      <w:r>
        <w:rPr>
          <w:rFonts w:ascii="Calibri" w:hAnsi="Calibri" w:cs="Calibri"/>
          <w:i/>
          <w:iCs/>
          <w:noProof/>
          <w:lang w:val="en-GB"/>
        </w:rPr>
        <w:t>Arthroscopy</w:t>
      </w:r>
      <w:r w:rsidRPr="006C362A">
        <w:rPr>
          <w:rFonts w:ascii="Calibri" w:hAnsi="Calibri" w:cs="Calibri"/>
          <w:noProof/>
          <w:lang w:val="en-GB"/>
        </w:rPr>
        <w:t>. 2018;34(8):2353-2356. doi:10.1016/j.arthro.2018.03.021</w:t>
      </w:r>
    </w:p>
    <w:p w14:paraId="2965C70A"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25. </w:t>
      </w:r>
      <w:r w:rsidRPr="006C362A">
        <w:rPr>
          <w:rFonts w:ascii="Calibri" w:hAnsi="Calibri" w:cs="Calibri"/>
          <w:noProof/>
          <w:lang w:val="en-GB"/>
        </w:rPr>
        <w:tab/>
        <w:t xml:space="preserve">Chandrasekaran S, Darwish N, Gui C, Lodhia P, Suarez-Ahedo C, Domb BG. Outcomes of Hip Arthroscopy in Patients with Tönnis Grade-2 Osteoarthritis at a Mean 2-Year Follow-up: Evaluation Using a Matched-Pair Analysis with Tönnis Grade-0 and Grade-1 Cohorts. </w:t>
      </w:r>
      <w:r w:rsidRPr="006C362A">
        <w:rPr>
          <w:rFonts w:ascii="Calibri" w:hAnsi="Calibri" w:cs="Calibri"/>
          <w:i/>
          <w:iCs/>
          <w:noProof/>
          <w:lang w:val="en-GB"/>
        </w:rPr>
        <w:t>J Bone Joint Surg Am</w:t>
      </w:r>
      <w:r w:rsidRPr="006C362A">
        <w:rPr>
          <w:rFonts w:ascii="Calibri" w:hAnsi="Calibri" w:cs="Calibri"/>
          <w:noProof/>
          <w:lang w:val="en-GB"/>
        </w:rPr>
        <w:t>. 2016;98(12):973—982. doi:10.2106/jbjs.15.00644</w:t>
      </w:r>
    </w:p>
    <w:p w14:paraId="409184A1"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26. </w:t>
      </w:r>
      <w:r w:rsidRPr="006C362A">
        <w:rPr>
          <w:rFonts w:ascii="Calibri" w:hAnsi="Calibri" w:cs="Calibri"/>
          <w:noProof/>
          <w:lang w:val="en-GB"/>
        </w:rPr>
        <w:tab/>
        <w:t xml:space="preserve">Nakashima H, Utsunomiya H, Kanezaki S, et al. Is Arthroscopic Hip Labral Repair/Reconstruction Surgery Effective for Treating  Femoroacetabular Impingement in the Presence of Osteoarthritis? </w:t>
      </w:r>
      <w:r w:rsidRPr="006C362A">
        <w:rPr>
          <w:rFonts w:ascii="Calibri" w:hAnsi="Calibri" w:cs="Calibri"/>
          <w:i/>
          <w:iCs/>
          <w:noProof/>
          <w:lang w:val="en-GB"/>
        </w:rPr>
        <w:t>Clin J Sport Med  Off J Can Acad  Sport Med</w:t>
      </w:r>
      <w:r w:rsidRPr="006C362A">
        <w:rPr>
          <w:rFonts w:ascii="Calibri" w:hAnsi="Calibri" w:cs="Calibri"/>
          <w:noProof/>
          <w:lang w:val="en-GB"/>
        </w:rPr>
        <w:t>. November 2019. doi:10.1097/JSM.0000000000000768</w:t>
      </w:r>
    </w:p>
    <w:p w14:paraId="2999DE98"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27. </w:t>
      </w:r>
      <w:r w:rsidRPr="006C362A">
        <w:rPr>
          <w:rFonts w:ascii="Calibri" w:hAnsi="Calibri" w:cs="Calibri"/>
          <w:noProof/>
          <w:lang w:val="en-GB"/>
        </w:rPr>
        <w:tab/>
        <w:t xml:space="preserve">Hevesi M, Krych AJ, Johnson NR, et al. Multicenter Analysis of Midterm Clinical Outcomes of Arthroscopic Labral Repair in  the Hip: Minimum 5-Year Follow-up. </w:t>
      </w:r>
      <w:r w:rsidRPr="006C362A">
        <w:rPr>
          <w:rFonts w:ascii="Calibri" w:hAnsi="Calibri" w:cs="Calibri"/>
          <w:i/>
          <w:iCs/>
          <w:noProof/>
          <w:lang w:val="en-GB"/>
        </w:rPr>
        <w:t>Am J Sports Med</w:t>
      </w:r>
      <w:r w:rsidRPr="006C362A">
        <w:rPr>
          <w:rFonts w:ascii="Calibri" w:hAnsi="Calibri" w:cs="Calibri"/>
          <w:noProof/>
          <w:lang w:val="en-GB"/>
        </w:rPr>
        <w:t>. 2018;46(2):280-287. doi:10.1177/0363546517734180</w:t>
      </w:r>
    </w:p>
    <w:p w14:paraId="0EFD3959"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28. </w:t>
      </w:r>
      <w:r w:rsidRPr="006C362A">
        <w:rPr>
          <w:rFonts w:ascii="Calibri" w:hAnsi="Calibri" w:cs="Calibri"/>
          <w:noProof/>
          <w:lang w:val="en-GB"/>
        </w:rPr>
        <w:tab/>
        <w:t xml:space="preserve">Giordano BD, Kuhns BD, Perets I, Yuen L, Domb BG. Acetabular Morphologic Characteristics Predict Early Conversion to Arthroplasty  After Isolated Hip Arthroscopy for Femoroacetabular Impingement. </w:t>
      </w:r>
      <w:r w:rsidRPr="006C362A">
        <w:rPr>
          <w:rFonts w:ascii="Calibri" w:hAnsi="Calibri" w:cs="Calibri"/>
          <w:i/>
          <w:iCs/>
          <w:noProof/>
          <w:lang w:val="en-GB"/>
        </w:rPr>
        <w:t>Am J Sports Med</w:t>
      </w:r>
      <w:r w:rsidRPr="006C362A">
        <w:rPr>
          <w:rFonts w:ascii="Calibri" w:hAnsi="Calibri" w:cs="Calibri"/>
          <w:noProof/>
          <w:lang w:val="en-GB"/>
        </w:rPr>
        <w:t>. 2020;48(1):188-196. doi:10.1177/0363546519888894</w:t>
      </w:r>
    </w:p>
    <w:p w14:paraId="238DD3CA"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29. </w:t>
      </w:r>
      <w:r w:rsidRPr="006C362A">
        <w:rPr>
          <w:rFonts w:ascii="Calibri" w:hAnsi="Calibri" w:cs="Calibri"/>
          <w:noProof/>
          <w:lang w:val="en-GB"/>
        </w:rPr>
        <w:tab/>
        <w:t xml:space="preserve">Comba F, Yacuzzi C, Ali PJ, Zanotti G, Buttaro M, Piccaluga F. Joint preservation after hip arthroscopy in patients with FAI. Prospective analysis  with a minimum follow-up of seven years. </w:t>
      </w:r>
      <w:r w:rsidRPr="006C362A">
        <w:rPr>
          <w:rFonts w:ascii="Calibri" w:hAnsi="Calibri" w:cs="Calibri"/>
          <w:i/>
          <w:iCs/>
          <w:noProof/>
          <w:lang w:val="en-GB"/>
        </w:rPr>
        <w:t>Muscles Ligaments Tendons J</w:t>
      </w:r>
      <w:r w:rsidRPr="006C362A">
        <w:rPr>
          <w:rFonts w:ascii="Calibri" w:hAnsi="Calibri" w:cs="Calibri"/>
          <w:noProof/>
          <w:lang w:val="en-GB"/>
        </w:rPr>
        <w:t>. 2016;6(3):317-323. doi:10.11138/mltj/2016.6.3.317</w:t>
      </w:r>
    </w:p>
    <w:p w14:paraId="1302B8AA"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lastRenderedPageBreak/>
        <w:t xml:space="preserve">30. </w:t>
      </w:r>
      <w:r w:rsidRPr="006C362A">
        <w:rPr>
          <w:rFonts w:ascii="Calibri" w:hAnsi="Calibri" w:cs="Calibri"/>
          <w:noProof/>
          <w:lang w:val="en-GB"/>
        </w:rPr>
        <w:tab/>
        <w:t xml:space="preserve">Dall’Oca C, Trivellin G, D’Orazio L, et al. Hip arthroscopy in osteoarthritis consequent to FAI. </w:t>
      </w:r>
      <w:r w:rsidRPr="006C362A">
        <w:rPr>
          <w:rFonts w:ascii="Calibri" w:hAnsi="Calibri" w:cs="Calibri"/>
          <w:i/>
          <w:iCs/>
          <w:noProof/>
          <w:lang w:val="en-GB"/>
        </w:rPr>
        <w:t>Acta Biomed</w:t>
      </w:r>
      <w:r w:rsidRPr="006C362A">
        <w:rPr>
          <w:rFonts w:ascii="Calibri" w:hAnsi="Calibri" w:cs="Calibri"/>
          <w:noProof/>
          <w:lang w:val="en-GB"/>
        </w:rPr>
        <w:t>. 2016;87 Suppl 1:46-52.</w:t>
      </w:r>
    </w:p>
    <w:p w14:paraId="6A7301C9"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31. </w:t>
      </w:r>
      <w:r w:rsidRPr="006C362A">
        <w:rPr>
          <w:rFonts w:ascii="Calibri" w:hAnsi="Calibri" w:cs="Calibri"/>
          <w:noProof/>
          <w:lang w:val="en-GB"/>
        </w:rPr>
        <w:tab/>
        <w:t xml:space="preserve">Mardones R, Via AG, Rivera A, et al. Arthroscopic treatment of femoroacetabular impingement in patients older than 60  years. </w:t>
      </w:r>
      <w:r w:rsidRPr="006C362A">
        <w:rPr>
          <w:rFonts w:ascii="Calibri" w:hAnsi="Calibri" w:cs="Calibri"/>
          <w:i/>
          <w:iCs/>
          <w:noProof/>
          <w:lang w:val="en-GB"/>
        </w:rPr>
        <w:t>Muscles Ligaments Tendons J</w:t>
      </w:r>
      <w:r w:rsidRPr="006C362A">
        <w:rPr>
          <w:rFonts w:ascii="Calibri" w:hAnsi="Calibri" w:cs="Calibri"/>
          <w:noProof/>
          <w:lang w:val="en-GB"/>
        </w:rPr>
        <w:t>. 2016;6(3):397-401. doi:10.11138/mltj/2016.6.3.397</w:t>
      </w:r>
    </w:p>
    <w:p w14:paraId="5918666B"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32. </w:t>
      </w:r>
      <w:r w:rsidRPr="006C362A">
        <w:rPr>
          <w:rFonts w:ascii="Calibri" w:hAnsi="Calibri" w:cs="Calibri"/>
          <w:noProof/>
          <w:lang w:val="en-GB"/>
        </w:rPr>
        <w:tab/>
        <w:t xml:space="preserve">Horisberger M, Brunner A, Herzog RF. Arthroscopic treatment of femoroacetabular impingement of the hip: a new technique  to access the joint. </w:t>
      </w:r>
      <w:r w:rsidRPr="006C362A">
        <w:rPr>
          <w:rFonts w:ascii="Calibri" w:hAnsi="Calibri" w:cs="Calibri"/>
          <w:i/>
          <w:iCs/>
          <w:noProof/>
          <w:lang w:val="en-GB"/>
        </w:rPr>
        <w:t>Clin Orthop Relat Res</w:t>
      </w:r>
      <w:r w:rsidRPr="006C362A">
        <w:rPr>
          <w:rFonts w:ascii="Calibri" w:hAnsi="Calibri" w:cs="Calibri"/>
          <w:noProof/>
          <w:lang w:val="en-GB"/>
        </w:rPr>
        <w:t>. 2010;468(1):182-190. doi:10.1007/s11999-009-1005-5</w:t>
      </w:r>
    </w:p>
    <w:p w14:paraId="181DEE04" w14:textId="57B37335"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33. </w:t>
      </w:r>
      <w:r w:rsidRPr="006C362A">
        <w:rPr>
          <w:rFonts w:ascii="Calibri" w:hAnsi="Calibri" w:cs="Calibri"/>
          <w:noProof/>
          <w:lang w:val="en-GB"/>
        </w:rPr>
        <w:tab/>
        <w:t xml:space="preserve">Byrd JWT, Jones KS. Arthroscopic management of femoroacetabular impingement: minimum 2-year follow-up. </w:t>
      </w:r>
      <w:r>
        <w:rPr>
          <w:rFonts w:ascii="Calibri" w:hAnsi="Calibri" w:cs="Calibri"/>
          <w:i/>
          <w:iCs/>
          <w:noProof/>
          <w:lang w:val="en-GB"/>
        </w:rPr>
        <w:t>Arthroscopy.</w:t>
      </w:r>
      <w:r w:rsidRPr="006C362A">
        <w:rPr>
          <w:rFonts w:ascii="Calibri" w:hAnsi="Calibri" w:cs="Calibri"/>
          <w:noProof/>
          <w:lang w:val="en-GB"/>
        </w:rPr>
        <w:t xml:space="preserve"> 2011;27(10):1379-1388. doi:10.1016/j.arthro.2011.05.018</w:t>
      </w:r>
    </w:p>
    <w:p w14:paraId="4F40CC72" w14:textId="1A579D09"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34. </w:t>
      </w:r>
      <w:r w:rsidRPr="006C362A">
        <w:rPr>
          <w:rFonts w:ascii="Calibri" w:hAnsi="Calibri" w:cs="Calibri"/>
          <w:noProof/>
          <w:lang w:val="en-GB"/>
        </w:rPr>
        <w:tab/>
        <w:t xml:space="preserve">Tjong VK, Gombera MM, Kahlenberg CA, et al. Isolated Acetabuloplasty and Labral Repair for Combined-Type Femoroacetabular  Impingement: Are We Doing Too Much? </w:t>
      </w:r>
      <w:r>
        <w:rPr>
          <w:rFonts w:ascii="Calibri" w:hAnsi="Calibri" w:cs="Calibri"/>
          <w:i/>
          <w:iCs/>
          <w:noProof/>
          <w:lang w:val="en-GB"/>
        </w:rPr>
        <w:t>Arthroscopy</w:t>
      </w:r>
      <w:r w:rsidRPr="006C362A">
        <w:rPr>
          <w:rFonts w:ascii="Calibri" w:hAnsi="Calibri" w:cs="Calibri"/>
          <w:noProof/>
          <w:lang w:val="en-GB"/>
        </w:rPr>
        <w:t>. 2017;33(4):773-779. doi:10.1016/j.arthro.2016.10.022</w:t>
      </w:r>
    </w:p>
    <w:p w14:paraId="03F005B6"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35. </w:t>
      </w:r>
      <w:r w:rsidRPr="006C362A">
        <w:rPr>
          <w:rFonts w:ascii="Calibri" w:hAnsi="Calibri" w:cs="Calibri"/>
          <w:noProof/>
          <w:lang w:val="en-GB"/>
        </w:rPr>
        <w:tab/>
        <w:t xml:space="preserve">Comba FM, Slullitel PA, Bronenberg P, Zanotti G, Buttaro MA, Piccaluga F. Arthroscopic acetabuloplasty without labral detachment for focal pincer-type impingement: a minimum 2-year follow-up. </w:t>
      </w:r>
      <w:r w:rsidRPr="006C362A">
        <w:rPr>
          <w:rFonts w:ascii="Calibri" w:hAnsi="Calibri" w:cs="Calibri"/>
          <w:i/>
          <w:iCs/>
          <w:noProof/>
          <w:lang w:val="en-GB"/>
        </w:rPr>
        <w:t>J HIP Preserv Surg</w:t>
      </w:r>
      <w:r w:rsidRPr="006C362A">
        <w:rPr>
          <w:rFonts w:ascii="Calibri" w:hAnsi="Calibri" w:cs="Calibri"/>
          <w:noProof/>
          <w:lang w:val="en-GB"/>
        </w:rPr>
        <w:t>. 2017;4(2):145-152. doi:10.1093/jhps/hnx015</w:t>
      </w:r>
    </w:p>
    <w:p w14:paraId="2A17D7DB" w14:textId="2E302183"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36. </w:t>
      </w:r>
      <w:r w:rsidRPr="006C362A">
        <w:rPr>
          <w:rFonts w:ascii="Calibri" w:hAnsi="Calibri" w:cs="Calibri"/>
          <w:noProof/>
          <w:lang w:val="en-GB"/>
        </w:rPr>
        <w:tab/>
        <w:t xml:space="preserve">Horner NS, Ekhtiari S, Simunovic N, Safran MR, Philippon MJ, Ayeni OR. Hip Arthroscopy in Patients Age 40 or Older: A Systematic Review. </w:t>
      </w:r>
      <w:r>
        <w:rPr>
          <w:rFonts w:ascii="Calibri" w:hAnsi="Calibri" w:cs="Calibri"/>
          <w:i/>
          <w:iCs/>
          <w:noProof/>
          <w:lang w:val="en-GB"/>
        </w:rPr>
        <w:t>Arthroscopy</w:t>
      </w:r>
      <w:r w:rsidRPr="006C362A">
        <w:rPr>
          <w:rFonts w:ascii="Calibri" w:hAnsi="Calibri" w:cs="Calibri"/>
          <w:noProof/>
          <w:lang w:val="en-GB"/>
        </w:rPr>
        <w:t>. 2017;33(2):464-475.e3. doi:10.1016/j.arthro.2016.06.044</w:t>
      </w:r>
    </w:p>
    <w:p w14:paraId="6FC0C3FF" w14:textId="07825DC2"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37. </w:t>
      </w:r>
      <w:r w:rsidRPr="006C362A">
        <w:rPr>
          <w:rFonts w:ascii="Calibri" w:hAnsi="Calibri" w:cs="Calibri"/>
          <w:noProof/>
          <w:lang w:val="en-GB"/>
        </w:rPr>
        <w:tab/>
        <w:t xml:space="preserve">Domb BG, Gui C, Lodhia P. How much arthritis is too much for hip arthroscopy: a systematic review. </w:t>
      </w:r>
      <w:r>
        <w:rPr>
          <w:rFonts w:ascii="Calibri" w:hAnsi="Calibri" w:cs="Calibri"/>
          <w:i/>
          <w:iCs/>
          <w:noProof/>
          <w:lang w:val="en-GB"/>
        </w:rPr>
        <w:t>Arthroscopy</w:t>
      </w:r>
      <w:r w:rsidRPr="006C362A">
        <w:rPr>
          <w:rFonts w:ascii="Calibri" w:hAnsi="Calibri" w:cs="Calibri"/>
          <w:noProof/>
          <w:lang w:val="en-GB"/>
        </w:rPr>
        <w:t>. 2015;31(3):520-529. doi:10.1016/j.arthro.2014.11.008</w:t>
      </w:r>
    </w:p>
    <w:p w14:paraId="512C0CDD"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lang w:val="en-GB"/>
        </w:rPr>
      </w:pPr>
      <w:r w:rsidRPr="006C362A">
        <w:rPr>
          <w:rFonts w:ascii="Calibri" w:hAnsi="Calibri" w:cs="Calibri"/>
          <w:noProof/>
          <w:lang w:val="en-GB"/>
        </w:rPr>
        <w:t xml:space="preserve">38. </w:t>
      </w:r>
      <w:r w:rsidRPr="006C362A">
        <w:rPr>
          <w:rFonts w:ascii="Calibri" w:hAnsi="Calibri" w:cs="Calibri"/>
          <w:noProof/>
          <w:lang w:val="en-GB"/>
        </w:rPr>
        <w:tab/>
        <w:t xml:space="preserve">Rhon DI, Greenlee TA, Sissel CD, Reiman MP. The two-year incidence of hip osteoarthritis after arthroscopic hip surgery for  femoroacetabular impingement syndrome. </w:t>
      </w:r>
      <w:r w:rsidRPr="006C362A">
        <w:rPr>
          <w:rFonts w:ascii="Calibri" w:hAnsi="Calibri" w:cs="Calibri"/>
          <w:i/>
          <w:iCs/>
          <w:noProof/>
          <w:lang w:val="en-GB"/>
        </w:rPr>
        <w:t>BMC Musculoskelet Disord</w:t>
      </w:r>
      <w:r w:rsidRPr="006C362A">
        <w:rPr>
          <w:rFonts w:ascii="Calibri" w:hAnsi="Calibri" w:cs="Calibri"/>
          <w:noProof/>
          <w:lang w:val="en-GB"/>
        </w:rPr>
        <w:t>. 2019;20(1):266. doi:10.1186/s12891-019-2646-5</w:t>
      </w:r>
    </w:p>
    <w:p w14:paraId="21F6649C" w14:textId="77777777" w:rsidR="006C362A" w:rsidRPr="006C362A" w:rsidRDefault="006C362A" w:rsidP="006C362A">
      <w:pPr>
        <w:widowControl w:val="0"/>
        <w:autoSpaceDE w:val="0"/>
        <w:autoSpaceDN w:val="0"/>
        <w:adjustRightInd w:val="0"/>
        <w:spacing w:after="120" w:line="240" w:lineRule="auto"/>
        <w:ind w:left="640" w:hanging="640"/>
        <w:rPr>
          <w:rFonts w:ascii="Calibri" w:hAnsi="Calibri" w:cs="Calibri"/>
          <w:noProof/>
        </w:rPr>
      </w:pPr>
      <w:r w:rsidRPr="006C362A">
        <w:rPr>
          <w:rFonts w:ascii="Calibri" w:hAnsi="Calibri" w:cs="Calibri"/>
          <w:noProof/>
          <w:lang w:val="en-GB"/>
        </w:rPr>
        <w:t xml:space="preserve">39. </w:t>
      </w:r>
      <w:r w:rsidRPr="006C362A">
        <w:rPr>
          <w:rFonts w:ascii="Calibri" w:hAnsi="Calibri" w:cs="Calibri"/>
          <w:noProof/>
          <w:lang w:val="en-GB"/>
        </w:rPr>
        <w:tab/>
        <w:t xml:space="preserve">Steppacher SD, Tannast M, Ganz R, Siebenrock KA. Mean 20-year followup of bernese periacetabular osteotomy. </w:t>
      </w:r>
      <w:r w:rsidRPr="006C362A">
        <w:rPr>
          <w:rFonts w:ascii="Calibri" w:hAnsi="Calibri" w:cs="Calibri"/>
          <w:i/>
          <w:iCs/>
          <w:noProof/>
          <w:lang w:val="en-GB"/>
        </w:rPr>
        <w:t>Clin Orthop Relat Res</w:t>
      </w:r>
      <w:r w:rsidRPr="006C362A">
        <w:rPr>
          <w:rFonts w:ascii="Calibri" w:hAnsi="Calibri" w:cs="Calibri"/>
          <w:noProof/>
          <w:lang w:val="en-GB"/>
        </w:rPr>
        <w:t>. 2008;466(7):1633-1644. doi:10.1007/s11999-008-0242-3</w:t>
      </w:r>
    </w:p>
    <w:p w14:paraId="3E803935" w14:textId="047E84D9" w:rsidR="009002AD" w:rsidRPr="007A114B" w:rsidRDefault="009002AD" w:rsidP="006C362A">
      <w:pPr>
        <w:widowControl w:val="0"/>
        <w:autoSpaceDE w:val="0"/>
        <w:autoSpaceDN w:val="0"/>
        <w:adjustRightInd w:val="0"/>
        <w:spacing w:after="120" w:line="240" w:lineRule="auto"/>
        <w:ind w:left="640" w:hanging="640"/>
        <w:rPr>
          <w:rFonts w:cstheme="minorHAnsi"/>
          <w:b/>
          <w:bCs/>
          <w:lang w:val="en-GB" w:eastAsia="en-GB"/>
        </w:rPr>
      </w:pPr>
      <w:r w:rsidRPr="007A114B">
        <w:rPr>
          <w:rFonts w:cstheme="minorHAnsi"/>
          <w:b/>
          <w:bCs/>
          <w:lang w:val="en-GB" w:eastAsia="en-GB"/>
        </w:rPr>
        <w:fldChar w:fldCharType="end"/>
      </w:r>
    </w:p>
    <w:sectPr w:rsidR="009002AD" w:rsidRPr="007A114B" w:rsidSect="00DA2946">
      <w:pgSz w:w="12240" w:h="15840"/>
      <w:pgMar w:top="1134" w:right="1183" w:bottom="1134"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342C" w14:textId="77777777" w:rsidR="00587EDD" w:rsidRDefault="00587EDD" w:rsidP="004C6431">
      <w:pPr>
        <w:spacing w:after="0" w:line="240" w:lineRule="auto"/>
      </w:pPr>
      <w:r>
        <w:separator/>
      </w:r>
    </w:p>
  </w:endnote>
  <w:endnote w:type="continuationSeparator" w:id="0">
    <w:p w14:paraId="01BCD916" w14:textId="77777777" w:rsidR="00587EDD" w:rsidRDefault="00587EDD" w:rsidP="004C6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6847C" w14:textId="77777777" w:rsidR="00587EDD" w:rsidRDefault="00587EDD" w:rsidP="004C6431">
      <w:pPr>
        <w:spacing w:after="0" w:line="240" w:lineRule="auto"/>
      </w:pPr>
      <w:r>
        <w:separator/>
      </w:r>
    </w:p>
  </w:footnote>
  <w:footnote w:type="continuationSeparator" w:id="0">
    <w:p w14:paraId="3A3FA1CC" w14:textId="77777777" w:rsidR="00587EDD" w:rsidRDefault="00587EDD" w:rsidP="004C64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93C72"/>
    <w:multiLevelType w:val="hybridMultilevel"/>
    <w:tmpl w:val="949CA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57DC9"/>
    <w:multiLevelType w:val="multilevel"/>
    <w:tmpl w:val="BDEA33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EA70D9"/>
    <w:multiLevelType w:val="hybridMultilevel"/>
    <w:tmpl w:val="E7122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8E5315"/>
    <w:multiLevelType w:val="hybridMultilevel"/>
    <w:tmpl w:val="4274C242"/>
    <w:lvl w:ilvl="0" w:tplc="65C22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EE7843"/>
    <w:multiLevelType w:val="multilevel"/>
    <w:tmpl w:val="03121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4B5C30"/>
    <w:multiLevelType w:val="hybridMultilevel"/>
    <w:tmpl w:val="1CA2B912"/>
    <w:lvl w:ilvl="0" w:tplc="03FAC8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2B4424"/>
    <w:multiLevelType w:val="hybridMultilevel"/>
    <w:tmpl w:val="F0D4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2B1E17"/>
    <w:multiLevelType w:val="hybridMultilevel"/>
    <w:tmpl w:val="9F504AC6"/>
    <w:lvl w:ilvl="0" w:tplc="DB7CDC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x9rap2dde5ftewxs9vrxrfv522vprwarpf&quot;&gt;Core_Decompression_Octavian&lt;record-ids&gt;&lt;item&gt;446&lt;/item&gt;&lt;item&gt;994&lt;/item&gt;&lt;item&gt;1034&lt;/item&gt;&lt;item&gt;1191&lt;/item&gt;&lt;item&gt;1217&lt;/item&gt;&lt;item&gt;1244&lt;/item&gt;&lt;item&gt;1251&lt;/item&gt;&lt;item&gt;1330&lt;/item&gt;&lt;item&gt;6331&lt;/item&gt;&lt;item&gt;23917&lt;/item&gt;&lt;/record-ids&gt;&lt;/item&gt;&lt;item db-id=&quot;xrsrdprrrs2999e9vprp5xfcttzxfrd99202&quot;&gt;CoreDecompression_Manuscript&lt;record-ids&gt;&lt;item&gt;94&lt;/item&gt;&lt;item&gt;95&lt;/item&gt;&lt;item&gt;96&lt;/item&gt;&lt;item&gt;97&lt;/item&gt;&lt;item&gt;98&lt;/item&gt;&lt;item&gt;100&lt;/item&gt;&lt;/record-ids&gt;&lt;/item&gt;&lt;/Libraries&gt;"/>
  </w:docVars>
  <w:rsids>
    <w:rsidRoot w:val="000243B4"/>
    <w:rsid w:val="00000F4C"/>
    <w:rsid w:val="00004992"/>
    <w:rsid w:val="00005129"/>
    <w:rsid w:val="00007E1E"/>
    <w:rsid w:val="00015DA0"/>
    <w:rsid w:val="000243B4"/>
    <w:rsid w:val="0002626B"/>
    <w:rsid w:val="0003225B"/>
    <w:rsid w:val="00033AF8"/>
    <w:rsid w:val="0004316E"/>
    <w:rsid w:val="00044855"/>
    <w:rsid w:val="00044D6E"/>
    <w:rsid w:val="00045046"/>
    <w:rsid w:val="00052C8E"/>
    <w:rsid w:val="00053382"/>
    <w:rsid w:val="00067A1B"/>
    <w:rsid w:val="000705D9"/>
    <w:rsid w:val="000723FE"/>
    <w:rsid w:val="000728AB"/>
    <w:rsid w:val="000746B5"/>
    <w:rsid w:val="0008078C"/>
    <w:rsid w:val="00082924"/>
    <w:rsid w:val="000849D3"/>
    <w:rsid w:val="00087128"/>
    <w:rsid w:val="000914BF"/>
    <w:rsid w:val="0009284B"/>
    <w:rsid w:val="00094CE0"/>
    <w:rsid w:val="0009627C"/>
    <w:rsid w:val="000B0FB8"/>
    <w:rsid w:val="000B1611"/>
    <w:rsid w:val="000B551E"/>
    <w:rsid w:val="000B7FBF"/>
    <w:rsid w:val="000C29D9"/>
    <w:rsid w:val="000D05D9"/>
    <w:rsid w:val="000D254C"/>
    <w:rsid w:val="000D4FED"/>
    <w:rsid w:val="000D532C"/>
    <w:rsid w:val="000D7331"/>
    <w:rsid w:val="000E4CB3"/>
    <w:rsid w:val="000E5805"/>
    <w:rsid w:val="000E700F"/>
    <w:rsid w:val="000F65FC"/>
    <w:rsid w:val="00101DDD"/>
    <w:rsid w:val="00101ED8"/>
    <w:rsid w:val="00103A97"/>
    <w:rsid w:val="001118FF"/>
    <w:rsid w:val="00111967"/>
    <w:rsid w:val="00112CFF"/>
    <w:rsid w:val="0012431E"/>
    <w:rsid w:val="00127B3E"/>
    <w:rsid w:val="00130A23"/>
    <w:rsid w:val="00132D71"/>
    <w:rsid w:val="00135AED"/>
    <w:rsid w:val="00137849"/>
    <w:rsid w:val="00140623"/>
    <w:rsid w:val="001462AE"/>
    <w:rsid w:val="001532EA"/>
    <w:rsid w:val="0015432B"/>
    <w:rsid w:val="0015621C"/>
    <w:rsid w:val="0015650D"/>
    <w:rsid w:val="00160097"/>
    <w:rsid w:val="00162465"/>
    <w:rsid w:val="00166648"/>
    <w:rsid w:val="00166866"/>
    <w:rsid w:val="00166B11"/>
    <w:rsid w:val="00167254"/>
    <w:rsid w:val="00172DE7"/>
    <w:rsid w:val="00174EF1"/>
    <w:rsid w:val="001764B6"/>
    <w:rsid w:val="00177C3B"/>
    <w:rsid w:val="00180C56"/>
    <w:rsid w:val="0018120E"/>
    <w:rsid w:val="00181601"/>
    <w:rsid w:val="00182061"/>
    <w:rsid w:val="001928BE"/>
    <w:rsid w:val="00192B8E"/>
    <w:rsid w:val="00197B3B"/>
    <w:rsid w:val="00197EF8"/>
    <w:rsid w:val="001A5D14"/>
    <w:rsid w:val="001B2912"/>
    <w:rsid w:val="001B4C21"/>
    <w:rsid w:val="001B52DC"/>
    <w:rsid w:val="001C482A"/>
    <w:rsid w:val="001D153C"/>
    <w:rsid w:val="001D5048"/>
    <w:rsid w:val="001D5F53"/>
    <w:rsid w:val="001E0BD4"/>
    <w:rsid w:val="001E1099"/>
    <w:rsid w:val="001E4324"/>
    <w:rsid w:val="001E5122"/>
    <w:rsid w:val="001F4118"/>
    <w:rsid w:val="00200C54"/>
    <w:rsid w:val="00202672"/>
    <w:rsid w:val="00202A98"/>
    <w:rsid w:val="0020488D"/>
    <w:rsid w:val="00214E9C"/>
    <w:rsid w:val="00223245"/>
    <w:rsid w:val="00230028"/>
    <w:rsid w:val="00231446"/>
    <w:rsid w:val="00231E2A"/>
    <w:rsid w:val="00236643"/>
    <w:rsid w:val="00240F12"/>
    <w:rsid w:val="00241756"/>
    <w:rsid w:val="00243AD4"/>
    <w:rsid w:val="0024496A"/>
    <w:rsid w:val="00244FE4"/>
    <w:rsid w:val="00245E1E"/>
    <w:rsid w:val="00247804"/>
    <w:rsid w:val="00250E17"/>
    <w:rsid w:val="00252C14"/>
    <w:rsid w:val="00254243"/>
    <w:rsid w:val="002620BB"/>
    <w:rsid w:val="00264ECF"/>
    <w:rsid w:val="002726AC"/>
    <w:rsid w:val="00275855"/>
    <w:rsid w:val="00277FA7"/>
    <w:rsid w:val="0028321C"/>
    <w:rsid w:val="0028373C"/>
    <w:rsid w:val="00283A56"/>
    <w:rsid w:val="002854EB"/>
    <w:rsid w:val="002854FB"/>
    <w:rsid w:val="002876D9"/>
    <w:rsid w:val="00287E32"/>
    <w:rsid w:val="002937DE"/>
    <w:rsid w:val="00293C44"/>
    <w:rsid w:val="00296E73"/>
    <w:rsid w:val="00296E8D"/>
    <w:rsid w:val="002A7582"/>
    <w:rsid w:val="002B7DAA"/>
    <w:rsid w:val="002C0330"/>
    <w:rsid w:val="002C3531"/>
    <w:rsid w:val="002D7B25"/>
    <w:rsid w:val="002E1C6B"/>
    <w:rsid w:val="002F0070"/>
    <w:rsid w:val="002F193D"/>
    <w:rsid w:val="002F3884"/>
    <w:rsid w:val="002F566F"/>
    <w:rsid w:val="0030304F"/>
    <w:rsid w:val="003055EF"/>
    <w:rsid w:val="00306646"/>
    <w:rsid w:val="003102B3"/>
    <w:rsid w:val="003129E7"/>
    <w:rsid w:val="003147A2"/>
    <w:rsid w:val="00316396"/>
    <w:rsid w:val="003204F5"/>
    <w:rsid w:val="0032099F"/>
    <w:rsid w:val="00321613"/>
    <w:rsid w:val="0032191C"/>
    <w:rsid w:val="0032249D"/>
    <w:rsid w:val="003242D6"/>
    <w:rsid w:val="003307F7"/>
    <w:rsid w:val="00330856"/>
    <w:rsid w:val="00331308"/>
    <w:rsid w:val="00332209"/>
    <w:rsid w:val="00350FB7"/>
    <w:rsid w:val="00352A9D"/>
    <w:rsid w:val="00353352"/>
    <w:rsid w:val="00363391"/>
    <w:rsid w:val="003755F4"/>
    <w:rsid w:val="00376CBA"/>
    <w:rsid w:val="00376ED8"/>
    <w:rsid w:val="00377C7F"/>
    <w:rsid w:val="003814A6"/>
    <w:rsid w:val="00381A95"/>
    <w:rsid w:val="003835F3"/>
    <w:rsid w:val="003863D6"/>
    <w:rsid w:val="003905D9"/>
    <w:rsid w:val="00390A2E"/>
    <w:rsid w:val="00392BA6"/>
    <w:rsid w:val="003938DA"/>
    <w:rsid w:val="00395163"/>
    <w:rsid w:val="00395504"/>
    <w:rsid w:val="00397BF2"/>
    <w:rsid w:val="003A06FC"/>
    <w:rsid w:val="003A1241"/>
    <w:rsid w:val="003A2AA0"/>
    <w:rsid w:val="003A448D"/>
    <w:rsid w:val="003A7ED8"/>
    <w:rsid w:val="003B3A0B"/>
    <w:rsid w:val="003B5D32"/>
    <w:rsid w:val="003C18E7"/>
    <w:rsid w:val="003D35CF"/>
    <w:rsid w:val="003D4411"/>
    <w:rsid w:val="003E180E"/>
    <w:rsid w:val="003E1DCB"/>
    <w:rsid w:val="003E347A"/>
    <w:rsid w:val="003E384D"/>
    <w:rsid w:val="003E3928"/>
    <w:rsid w:val="003E6A48"/>
    <w:rsid w:val="003F4912"/>
    <w:rsid w:val="003F60CD"/>
    <w:rsid w:val="0040378A"/>
    <w:rsid w:val="0040463B"/>
    <w:rsid w:val="0040702D"/>
    <w:rsid w:val="00410A00"/>
    <w:rsid w:val="00414C45"/>
    <w:rsid w:val="0041646B"/>
    <w:rsid w:val="0042006E"/>
    <w:rsid w:val="00420537"/>
    <w:rsid w:val="00421959"/>
    <w:rsid w:val="00421C0D"/>
    <w:rsid w:val="00422EF8"/>
    <w:rsid w:val="00424015"/>
    <w:rsid w:val="00434AC4"/>
    <w:rsid w:val="004369B9"/>
    <w:rsid w:val="00441077"/>
    <w:rsid w:val="00442311"/>
    <w:rsid w:val="004439EF"/>
    <w:rsid w:val="00445F31"/>
    <w:rsid w:val="00446791"/>
    <w:rsid w:val="004504AA"/>
    <w:rsid w:val="004515BA"/>
    <w:rsid w:val="0045236A"/>
    <w:rsid w:val="00454E10"/>
    <w:rsid w:val="00456EC2"/>
    <w:rsid w:val="0045779B"/>
    <w:rsid w:val="00462057"/>
    <w:rsid w:val="0046716E"/>
    <w:rsid w:val="00467583"/>
    <w:rsid w:val="0047131F"/>
    <w:rsid w:val="00477533"/>
    <w:rsid w:val="004827BE"/>
    <w:rsid w:val="004830AA"/>
    <w:rsid w:val="004902CE"/>
    <w:rsid w:val="004A2D11"/>
    <w:rsid w:val="004A3BF8"/>
    <w:rsid w:val="004A3F0B"/>
    <w:rsid w:val="004A43DB"/>
    <w:rsid w:val="004B0E75"/>
    <w:rsid w:val="004B3094"/>
    <w:rsid w:val="004C0354"/>
    <w:rsid w:val="004C1059"/>
    <w:rsid w:val="004C1FD4"/>
    <w:rsid w:val="004C4D1A"/>
    <w:rsid w:val="004C5655"/>
    <w:rsid w:val="004C6431"/>
    <w:rsid w:val="004C6898"/>
    <w:rsid w:val="004D7A36"/>
    <w:rsid w:val="004E01BE"/>
    <w:rsid w:val="004E7EC0"/>
    <w:rsid w:val="004F1082"/>
    <w:rsid w:val="004F4D8F"/>
    <w:rsid w:val="004F58AD"/>
    <w:rsid w:val="004F73D5"/>
    <w:rsid w:val="005017B0"/>
    <w:rsid w:val="00502078"/>
    <w:rsid w:val="005063E5"/>
    <w:rsid w:val="00510317"/>
    <w:rsid w:val="005143A8"/>
    <w:rsid w:val="0051459A"/>
    <w:rsid w:val="00516B85"/>
    <w:rsid w:val="00517860"/>
    <w:rsid w:val="00517D06"/>
    <w:rsid w:val="005234DD"/>
    <w:rsid w:val="00525FA8"/>
    <w:rsid w:val="00526086"/>
    <w:rsid w:val="0052694E"/>
    <w:rsid w:val="00527962"/>
    <w:rsid w:val="005377E4"/>
    <w:rsid w:val="00540E86"/>
    <w:rsid w:val="00541ECD"/>
    <w:rsid w:val="005528D7"/>
    <w:rsid w:val="0055603A"/>
    <w:rsid w:val="00557025"/>
    <w:rsid w:val="00562E7A"/>
    <w:rsid w:val="00563427"/>
    <w:rsid w:val="0056490B"/>
    <w:rsid w:val="00564FD1"/>
    <w:rsid w:val="005803C7"/>
    <w:rsid w:val="00587EDD"/>
    <w:rsid w:val="005920DD"/>
    <w:rsid w:val="005A2934"/>
    <w:rsid w:val="005A6C1B"/>
    <w:rsid w:val="005A6FBC"/>
    <w:rsid w:val="005B04A2"/>
    <w:rsid w:val="005B72E4"/>
    <w:rsid w:val="005B7D00"/>
    <w:rsid w:val="005D004E"/>
    <w:rsid w:val="005D1153"/>
    <w:rsid w:val="005D11BC"/>
    <w:rsid w:val="005D542C"/>
    <w:rsid w:val="005D67BE"/>
    <w:rsid w:val="005E3ACF"/>
    <w:rsid w:val="005E5C1F"/>
    <w:rsid w:val="005E6455"/>
    <w:rsid w:val="005E68ED"/>
    <w:rsid w:val="005F787D"/>
    <w:rsid w:val="00600CBC"/>
    <w:rsid w:val="00602B4C"/>
    <w:rsid w:val="00622447"/>
    <w:rsid w:val="00622A23"/>
    <w:rsid w:val="00622CBB"/>
    <w:rsid w:val="0062371A"/>
    <w:rsid w:val="00624751"/>
    <w:rsid w:val="00625849"/>
    <w:rsid w:val="0062611D"/>
    <w:rsid w:val="006268EA"/>
    <w:rsid w:val="00630D72"/>
    <w:rsid w:val="006326D2"/>
    <w:rsid w:val="00634179"/>
    <w:rsid w:val="0064080D"/>
    <w:rsid w:val="00644032"/>
    <w:rsid w:val="0065243D"/>
    <w:rsid w:val="00652FA4"/>
    <w:rsid w:val="006533A3"/>
    <w:rsid w:val="00654B1A"/>
    <w:rsid w:val="0066015B"/>
    <w:rsid w:val="006649D9"/>
    <w:rsid w:val="006679A8"/>
    <w:rsid w:val="00673DB7"/>
    <w:rsid w:val="00673DDD"/>
    <w:rsid w:val="00692DC8"/>
    <w:rsid w:val="00694DFA"/>
    <w:rsid w:val="00697919"/>
    <w:rsid w:val="006A191C"/>
    <w:rsid w:val="006A1C96"/>
    <w:rsid w:val="006A1D58"/>
    <w:rsid w:val="006A359E"/>
    <w:rsid w:val="006A3D0D"/>
    <w:rsid w:val="006A6D50"/>
    <w:rsid w:val="006B3987"/>
    <w:rsid w:val="006B5B2A"/>
    <w:rsid w:val="006B6E77"/>
    <w:rsid w:val="006C0507"/>
    <w:rsid w:val="006C063C"/>
    <w:rsid w:val="006C362A"/>
    <w:rsid w:val="006C5AF2"/>
    <w:rsid w:val="006C5CBD"/>
    <w:rsid w:val="006D2F93"/>
    <w:rsid w:val="006D372A"/>
    <w:rsid w:val="006D3910"/>
    <w:rsid w:val="006E006E"/>
    <w:rsid w:val="006E19B8"/>
    <w:rsid w:val="006F2E3F"/>
    <w:rsid w:val="006F5516"/>
    <w:rsid w:val="00704064"/>
    <w:rsid w:val="00704894"/>
    <w:rsid w:val="00706DEB"/>
    <w:rsid w:val="007102C4"/>
    <w:rsid w:val="007117A3"/>
    <w:rsid w:val="00711A1A"/>
    <w:rsid w:val="007125C1"/>
    <w:rsid w:val="007152C2"/>
    <w:rsid w:val="007153F6"/>
    <w:rsid w:val="00721382"/>
    <w:rsid w:val="00721B07"/>
    <w:rsid w:val="007221CC"/>
    <w:rsid w:val="00723AFE"/>
    <w:rsid w:val="007328CE"/>
    <w:rsid w:val="00733A6A"/>
    <w:rsid w:val="00733B63"/>
    <w:rsid w:val="00737146"/>
    <w:rsid w:val="007411A3"/>
    <w:rsid w:val="00746D58"/>
    <w:rsid w:val="00752BD9"/>
    <w:rsid w:val="00753048"/>
    <w:rsid w:val="00753B9B"/>
    <w:rsid w:val="00753DC9"/>
    <w:rsid w:val="0075509F"/>
    <w:rsid w:val="007609F5"/>
    <w:rsid w:val="007654F5"/>
    <w:rsid w:val="00767CB5"/>
    <w:rsid w:val="007713A2"/>
    <w:rsid w:val="00777638"/>
    <w:rsid w:val="007821C6"/>
    <w:rsid w:val="00784A86"/>
    <w:rsid w:val="00793DE2"/>
    <w:rsid w:val="00797523"/>
    <w:rsid w:val="007A114B"/>
    <w:rsid w:val="007A2B36"/>
    <w:rsid w:val="007B2ADC"/>
    <w:rsid w:val="007B6021"/>
    <w:rsid w:val="007D011D"/>
    <w:rsid w:val="007D28EF"/>
    <w:rsid w:val="007D3FAE"/>
    <w:rsid w:val="007D7ECA"/>
    <w:rsid w:val="007E0FA0"/>
    <w:rsid w:val="007E17EC"/>
    <w:rsid w:val="007E7E7F"/>
    <w:rsid w:val="007F1740"/>
    <w:rsid w:val="007F2927"/>
    <w:rsid w:val="007F40F8"/>
    <w:rsid w:val="007F59FF"/>
    <w:rsid w:val="00801442"/>
    <w:rsid w:val="008016F9"/>
    <w:rsid w:val="00801735"/>
    <w:rsid w:val="00802138"/>
    <w:rsid w:val="00802EB3"/>
    <w:rsid w:val="00804AF7"/>
    <w:rsid w:val="008074F7"/>
    <w:rsid w:val="00807DE4"/>
    <w:rsid w:val="0082419C"/>
    <w:rsid w:val="00825A56"/>
    <w:rsid w:val="008345C7"/>
    <w:rsid w:val="0083555F"/>
    <w:rsid w:val="008417F8"/>
    <w:rsid w:val="008438B9"/>
    <w:rsid w:val="008456CB"/>
    <w:rsid w:val="00850DC7"/>
    <w:rsid w:val="008533E6"/>
    <w:rsid w:val="008612DC"/>
    <w:rsid w:val="00861FE3"/>
    <w:rsid w:val="0086262A"/>
    <w:rsid w:val="00864982"/>
    <w:rsid w:val="00865616"/>
    <w:rsid w:val="00865790"/>
    <w:rsid w:val="00866220"/>
    <w:rsid w:val="008678A8"/>
    <w:rsid w:val="00871B36"/>
    <w:rsid w:val="00873ED2"/>
    <w:rsid w:val="008821C3"/>
    <w:rsid w:val="008913F4"/>
    <w:rsid w:val="00892E31"/>
    <w:rsid w:val="0089689C"/>
    <w:rsid w:val="008A05E3"/>
    <w:rsid w:val="008A1314"/>
    <w:rsid w:val="008A56A0"/>
    <w:rsid w:val="008A58BF"/>
    <w:rsid w:val="008A7186"/>
    <w:rsid w:val="008B0EC8"/>
    <w:rsid w:val="008B1720"/>
    <w:rsid w:val="008C0E5C"/>
    <w:rsid w:val="008C4920"/>
    <w:rsid w:val="008D4F8C"/>
    <w:rsid w:val="008D5D35"/>
    <w:rsid w:val="008D7054"/>
    <w:rsid w:val="008D7219"/>
    <w:rsid w:val="008E0560"/>
    <w:rsid w:val="008E0637"/>
    <w:rsid w:val="008E6869"/>
    <w:rsid w:val="008F0038"/>
    <w:rsid w:val="008F21B9"/>
    <w:rsid w:val="008F2350"/>
    <w:rsid w:val="008F53A8"/>
    <w:rsid w:val="008F5C16"/>
    <w:rsid w:val="008F728D"/>
    <w:rsid w:val="009002AD"/>
    <w:rsid w:val="00901989"/>
    <w:rsid w:val="00906767"/>
    <w:rsid w:val="0091498A"/>
    <w:rsid w:val="00914AA4"/>
    <w:rsid w:val="00921E08"/>
    <w:rsid w:val="00922A51"/>
    <w:rsid w:val="0092367D"/>
    <w:rsid w:val="009247F2"/>
    <w:rsid w:val="00930D5F"/>
    <w:rsid w:val="00937E72"/>
    <w:rsid w:val="009406F9"/>
    <w:rsid w:val="00944507"/>
    <w:rsid w:val="00944909"/>
    <w:rsid w:val="00951823"/>
    <w:rsid w:val="00955AB0"/>
    <w:rsid w:val="00955BB7"/>
    <w:rsid w:val="0095726B"/>
    <w:rsid w:val="00961D57"/>
    <w:rsid w:val="009670F2"/>
    <w:rsid w:val="009701E8"/>
    <w:rsid w:val="009706CA"/>
    <w:rsid w:val="0097272B"/>
    <w:rsid w:val="009742BF"/>
    <w:rsid w:val="00975307"/>
    <w:rsid w:val="00980DB4"/>
    <w:rsid w:val="00991F09"/>
    <w:rsid w:val="00996BEF"/>
    <w:rsid w:val="009A169B"/>
    <w:rsid w:val="009A1FC4"/>
    <w:rsid w:val="009A25EC"/>
    <w:rsid w:val="009A355C"/>
    <w:rsid w:val="009B0BC3"/>
    <w:rsid w:val="009B3DC3"/>
    <w:rsid w:val="009C47B4"/>
    <w:rsid w:val="009C4E18"/>
    <w:rsid w:val="009D1CF7"/>
    <w:rsid w:val="009D1ED5"/>
    <w:rsid w:val="009D202F"/>
    <w:rsid w:val="009D29E0"/>
    <w:rsid w:val="009D6284"/>
    <w:rsid w:val="009E71FE"/>
    <w:rsid w:val="009F190E"/>
    <w:rsid w:val="009F271C"/>
    <w:rsid w:val="009F465C"/>
    <w:rsid w:val="00A05EA2"/>
    <w:rsid w:val="00A066B3"/>
    <w:rsid w:val="00A1062C"/>
    <w:rsid w:val="00A114E5"/>
    <w:rsid w:val="00A122C6"/>
    <w:rsid w:val="00A13AD8"/>
    <w:rsid w:val="00A159A7"/>
    <w:rsid w:val="00A21E36"/>
    <w:rsid w:val="00A2210E"/>
    <w:rsid w:val="00A329F3"/>
    <w:rsid w:val="00A34CD5"/>
    <w:rsid w:val="00A350B1"/>
    <w:rsid w:val="00A373EE"/>
    <w:rsid w:val="00A436C1"/>
    <w:rsid w:val="00A44786"/>
    <w:rsid w:val="00A4645F"/>
    <w:rsid w:val="00A467ED"/>
    <w:rsid w:val="00A529FE"/>
    <w:rsid w:val="00A54F22"/>
    <w:rsid w:val="00A61AB5"/>
    <w:rsid w:val="00A764FB"/>
    <w:rsid w:val="00A77C57"/>
    <w:rsid w:val="00A77E8F"/>
    <w:rsid w:val="00A8003F"/>
    <w:rsid w:val="00A85EBF"/>
    <w:rsid w:val="00A8797F"/>
    <w:rsid w:val="00A90BEB"/>
    <w:rsid w:val="00A94397"/>
    <w:rsid w:val="00AA1C7C"/>
    <w:rsid w:val="00AA44BA"/>
    <w:rsid w:val="00AA7BEC"/>
    <w:rsid w:val="00AB5685"/>
    <w:rsid w:val="00AC03B7"/>
    <w:rsid w:val="00AC36D3"/>
    <w:rsid w:val="00AC5F1D"/>
    <w:rsid w:val="00AC6579"/>
    <w:rsid w:val="00AD0D74"/>
    <w:rsid w:val="00AD3B8A"/>
    <w:rsid w:val="00AF0763"/>
    <w:rsid w:val="00AF1284"/>
    <w:rsid w:val="00B011E1"/>
    <w:rsid w:val="00B02B42"/>
    <w:rsid w:val="00B036B1"/>
    <w:rsid w:val="00B10294"/>
    <w:rsid w:val="00B125F0"/>
    <w:rsid w:val="00B16956"/>
    <w:rsid w:val="00B17DB9"/>
    <w:rsid w:val="00B210A6"/>
    <w:rsid w:val="00B27D98"/>
    <w:rsid w:val="00B30C79"/>
    <w:rsid w:val="00B324B9"/>
    <w:rsid w:val="00B32C9F"/>
    <w:rsid w:val="00B4401E"/>
    <w:rsid w:val="00B47636"/>
    <w:rsid w:val="00B5139E"/>
    <w:rsid w:val="00B52EBB"/>
    <w:rsid w:val="00B61343"/>
    <w:rsid w:val="00B61ECE"/>
    <w:rsid w:val="00B65ECD"/>
    <w:rsid w:val="00B72EAC"/>
    <w:rsid w:val="00B73624"/>
    <w:rsid w:val="00B75585"/>
    <w:rsid w:val="00B80801"/>
    <w:rsid w:val="00B80CA5"/>
    <w:rsid w:val="00B83225"/>
    <w:rsid w:val="00B86347"/>
    <w:rsid w:val="00B86D82"/>
    <w:rsid w:val="00B91506"/>
    <w:rsid w:val="00B91FBE"/>
    <w:rsid w:val="00B931A0"/>
    <w:rsid w:val="00B9575A"/>
    <w:rsid w:val="00BA06C1"/>
    <w:rsid w:val="00BA0CC2"/>
    <w:rsid w:val="00BA19CA"/>
    <w:rsid w:val="00BA4CC1"/>
    <w:rsid w:val="00BA6474"/>
    <w:rsid w:val="00BB7468"/>
    <w:rsid w:val="00BB77E7"/>
    <w:rsid w:val="00BC10B2"/>
    <w:rsid w:val="00BC3AF8"/>
    <w:rsid w:val="00BC4BB6"/>
    <w:rsid w:val="00BC56C4"/>
    <w:rsid w:val="00BC6202"/>
    <w:rsid w:val="00BD0EF0"/>
    <w:rsid w:val="00BD1089"/>
    <w:rsid w:val="00BD3760"/>
    <w:rsid w:val="00BD7A42"/>
    <w:rsid w:val="00BE0F76"/>
    <w:rsid w:val="00BE281A"/>
    <w:rsid w:val="00BE382B"/>
    <w:rsid w:val="00BE4255"/>
    <w:rsid w:val="00BE5986"/>
    <w:rsid w:val="00BF1BBF"/>
    <w:rsid w:val="00C020CB"/>
    <w:rsid w:val="00C02BC1"/>
    <w:rsid w:val="00C03399"/>
    <w:rsid w:val="00C04B6C"/>
    <w:rsid w:val="00C10506"/>
    <w:rsid w:val="00C132DF"/>
    <w:rsid w:val="00C1521F"/>
    <w:rsid w:val="00C22CCE"/>
    <w:rsid w:val="00C244CC"/>
    <w:rsid w:val="00C25BCE"/>
    <w:rsid w:val="00C3162D"/>
    <w:rsid w:val="00C324E1"/>
    <w:rsid w:val="00C325DC"/>
    <w:rsid w:val="00C3412C"/>
    <w:rsid w:val="00C413BC"/>
    <w:rsid w:val="00C4273B"/>
    <w:rsid w:val="00C43515"/>
    <w:rsid w:val="00C567D5"/>
    <w:rsid w:val="00C60723"/>
    <w:rsid w:val="00C61DFE"/>
    <w:rsid w:val="00C66E11"/>
    <w:rsid w:val="00C7129D"/>
    <w:rsid w:val="00C7596F"/>
    <w:rsid w:val="00C76D0F"/>
    <w:rsid w:val="00C80F29"/>
    <w:rsid w:val="00C815B0"/>
    <w:rsid w:val="00C86F4C"/>
    <w:rsid w:val="00C93293"/>
    <w:rsid w:val="00C9539E"/>
    <w:rsid w:val="00CA1405"/>
    <w:rsid w:val="00CA3BCE"/>
    <w:rsid w:val="00CA5652"/>
    <w:rsid w:val="00CA6496"/>
    <w:rsid w:val="00CB0D26"/>
    <w:rsid w:val="00CB3642"/>
    <w:rsid w:val="00CB3853"/>
    <w:rsid w:val="00CB6465"/>
    <w:rsid w:val="00CC222B"/>
    <w:rsid w:val="00CC3B3A"/>
    <w:rsid w:val="00CC48AC"/>
    <w:rsid w:val="00CC4E00"/>
    <w:rsid w:val="00CC5E6F"/>
    <w:rsid w:val="00CC6297"/>
    <w:rsid w:val="00CC69D3"/>
    <w:rsid w:val="00CC6BEF"/>
    <w:rsid w:val="00CD04F2"/>
    <w:rsid w:val="00CD0B5C"/>
    <w:rsid w:val="00CD31FE"/>
    <w:rsid w:val="00CD59B9"/>
    <w:rsid w:val="00CD66EE"/>
    <w:rsid w:val="00CE0882"/>
    <w:rsid w:val="00CE2A32"/>
    <w:rsid w:val="00CE438B"/>
    <w:rsid w:val="00CE60AC"/>
    <w:rsid w:val="00CF225D"/>
    <w:rsid w:val="00CF4EF6"/>
    <w:rsid w:val="00CF65DF"/>
    <w:rsid w:val="00D008F6"/>
    <w:rsid w:val="00D048AB"/>
    <w:rsid w:val="00D101F7"/>
    <w:rsid w:val="00D15C93"/>
    <w:rsid w:val="00D20A58"/>
    <w:rsid w:val="00D25DFB"/>
    <w:rsid w:val="00D2687E"/>
    <w:rsid w:val="00D27E83"/>
    <w:rsid w:val="00D30254"/>
    <w:rsid w:val="00D32A6D"/>
    <w:rsid w:val="00D342D1"/>
    <w:rsid w:val="00D446B7"/>
    <w:rsid w:val="00D468F9"/>
    <w:rsid w:val="00D47859"/>
    <w:rsid w:val="00D501F9"/>
    <w:rsid w:val="00D5120B"/>
    <w:rsid w:val="00D53916"/>
    <w:rsid w:val="00D55247"/>
    <w:rsid w:val="00D55B43"/>
    <w:rsid w:val="00D57396"/>
    <w:rsid w:val="00D61B25"/>
    <w:rsid w:val="00D634EF"/>
    <w:rsid w:val="00D65365"/>
    <w:rsid w:val="00D7353F"/>
    <w:rsid w:val="00D742CD"/>
    <w:rsid w:val="00D77656"/>
    <w:rsid w:val="00D805F5"/>
    <w:rsid w:val="00D825E8"/>
    <w:rsid w:val="00D84220"/>
    <w:rsid w:val="00D84D3E"/>
    <w:rsid w:val="00D85FE9"/>
    <w:rsid w:val="00D87B56"/>
    <w:rsid w:val="00D91C46"/>
    <w:rsid w:val="00DA2946"/>
    <w:rsid w:val="00DA3E74"/>
    <w:rsid w:val="00DA4D17"/>
    <w:rsid w:val="00DB5C51"/>
    <w:rsid w:val="00DB6E0B"/>
    <w:rsid w:val="00DC0EAB"/>
    <w:rsid w:val="00DC176B"/>
    <w:rsid w:val="00DC7E71"/>
    <w:rsid w:val="00DD1153"/>
    <w:rsid w:val="00DD5DFC"/>
    <w:rsid w:val="00DE08BB"/>
    <w:rsid w:val="00DE3602"/>
    <w:rsid w:val="00DE6BDB"/>
    <w:rsid w:val="00DE77BD"/>
    <w:rsid w:val="00DF2CB8"/>
    <w:rsid w:val="00DF30DD"/>
    <w:rsid w:val="00E00F66"/>
    <w:rsid w:val="00E01EF3"/>
    <w:rsid w:val="00E02A6C"/>
    <w:rsid w:val="00E14D4E"/>
    <w:rsid w:val="00E1693A"/>
    <w:rsid w:val="00E24C9E"/>
    <w:rsid w:val="00E26127"/>
    <w:rsid w:val="00E27D10"/>
    <w:rsid w:val="00E31FC1"/>
    <w:rsid w:val="00E32A63"/>
    <w:rsid w:val="00E36AEE"/>
    <w:rsid w:val="00E412B1"/>
    <w:rsid w:val="00E41AD0"/>
    <w:rsid w:val="00E42CFB"/>
    <w:rsid w:val="00E51265"/>
    <w:rsid w:val="00E53C28"/>
    <w:rsid w:val="00E53FC8"/>
    <w:rsid w:val="00E55255"/>
    <w:rsid w:val="00E5634D"/>
    <w:rsid w:val="00E629F5"/>
    <w:rsid w:val="00E64231"/>
    <w:rsid w:val="00E65E15"/>
    <w:rsid w:val="00E671BA"/>
    <w:rsid w:val="00E702CB"/>
    <w:rsid w:val="00E73DBE"/>
    <w:rsid w:val="00E7409D"/>
    <w:rsid w:val="00E902DE"/>
    <w:rsid w:val="00E905F4"/>
    <w:rsid w:val="00E9384B"/>
    <w:rsid w:val="00E944B9"/>
    <w:rsid w:val="00E97BAE"/>
    <w:rsid w:val="00EA10E1"/>
    <w:rsid w:val="00EA14F5"/>
    <w:rsid w:val="00EA1C36"/>
    <w:rsid w:val="00EA3D85"/>
    <w:rsid w:val="00EA41E7"/>
    <w:rsid w:val="00EB34FC"/>
    <w:rsid w:val="00EB4B97"/>
    <w:rsid w:val="00EB5FC0"/>
    <w:rsid w:val="00EC1BD7"/>
    <w:rsid w:val="00ED2C02"/>
    <w:rsid w:val="00ED4E79"/>
    <w:rsid w:val="00ED52E4"/>
    <w:rsid w:val="00ED76F1"/>
    <w:rsid w:val="00EE1BD7"/>
    <w:rsid w:val="00EE681C"/>
    <w:rsid w:val="00EF21A9"/>
    <w:rsid w:val="00EF2AE9"/>
    <w:rsid w:val="00EF4050"/>
    <w:rsid w:val="00EF430D"/>
    <w:rsid w:val="00EF4369"/>
    <w:rsid w:val="00EF4BFF"/>
    <w:rsid w:val="00EF5B51"/>
    <w:rsid w:val="00EF7166"/>
    <w:rsid w:val="00F010BB"/>
    <w:rsid w:val="00F01B65"/>
    <w:rsid w:val="00F05F83"/>
    <w:rsid w:val="00F068CA"/>
    <w:rsid w:val="00F071F7"/>
    <w:rsid w:val="00F12142"/>
    <w:rsid w:val="00F14DC2"/>
    <w:rsid w:val="00F15579"/>
    <w:rsid w:val="00F16E48"/>
    <w:rsid w:val="00F2131B"/>
    <w:rsid w:val="00F22D74"/>
    <w:rsid w:val="00F2463E"/>
    <w:rsid w:val="00F27C72"/>
    <w:rsid w:val="00F33A35"/>
    <w:rsid w:val="00F34DCB"/>
    <w:rsid w:val="00F36267"/>
    <w:rsid w:val="00F408F8"/>
    <w:rsid w:val="00F4357E"/>
    <w:rsid w:val="00F44724"/>
    <w:rsid w:val="00F453F2"/>
    <w:rsid w:val="00F45D14"/>
    <w:rsid w:val="00F461EE"/>
    <w:rsid w:val="00F46F71"/>
    <w:rsid w:val="00F472A0"/>
    <w:rsid w:val="00F50F3D"/>
    <w:rsid w:val="00F532BC"/>
    <w:rsid w:val="00F53DCD"/>
    <w:rsid w:val="00F649E3"/>
    <w:rsid w:val="00F664C4"/>
    <w:rsid w:val="00F67506"/>
    <w:rsid w:val="00F70445"/>
    <w:rsid w:val="00F82460"/>
    <w:rsid w:val="00F842A5"/>
    <w:rsid w:val="00F92E05"/>
    <w:rsid w:val="00F948CE"/>
    <w:rsid w:val="00F95725"/>
    <w:rsid w:val="00FA04BB"/>
    <w:rsid w:val="00FA11B4"/>
    <w:rsid w:val="00FA2168"/>
    <w:rsid w:val="00FA543F"/>
    <w:rsid w:val="00FA6193"/>
    <w:rsid w:val="00FB194F"/>
    <w:rsid w:val="00FB2033"/>
    <w:rsid w:val="00FB60BE"/>
    <w:rsid w:val="00FB701B"/>
    <w:rsid w:val="00FC262B"/>
    <w:rsid w:val="00FC4A3D"/>
    <w:rsid w:val="00FC6786"/>
    <w:rsid w:val="00FC7226"/>
    <w:rsid w:val="00FC79E5"/>
    <w:rsid w:val="00FD0ADF"/>
    <w:rsid w:val="00FD0FF3"/>
    <w:rsid w:val="00FD16FF"/>
    <w:rsid w:val="00FD3364"/>
    <w:rsid w:val="00FD6607"/>
    <w:rsid w:val="00FE6F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FB06F"/>
  <w15:chartTrackingRefBased/>
  <w15:docId w15:val="{4FF57937-953B-44DD-9F84-861288E2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1099"/>
    <w:pPr>
      <w:spacing w:after="120" w:line="480" w:lineRule="auto"/>
      <w:jc w:val="both"/>
      <w:outlineLvl w:val="0"/>
    </w:pPr>
    <w:rPr>
      <w:rFonts w:eastAsia="Calibri" w:cstheme="minorHAnsi"/>
      <w:b/>
      <w:bCs/>
      <w:lang w:val="en-GB"/>
    </w:rPr>
  </w:style>
  <w:style w:type="paragraph" w:styleId="Heading2">
    <w:name w:val="heading 2"/>
    <w:basedOn w:val="Normal"/>
    <w:next w:val="Normal"/>
    <w:link w:val="Heading2Char"/>
    <w:uiPriority w:val="9"/>
    <w:unhideWhenUsed/>
    <w:qFormat/>
    <w:rsid w:val="001E1099"/>
    <w:pPr>
      <w:spacing w:after="120" w:line="480" w:lineRule="auto"/>
      <w:jc w:val="both"/>
      <w:outlineLvl w:val="1"/>
    </w:pPr>
    <w:rPr>
      <w:rFonts w:cstheme="minorHAnsi"/>
      <w:i/>
      <w:iCs/>
      <w:lang w:val="en-GB" w:eastAsia="en-GB"/>
    </w:rPr>
  </w:style>
  <w:style w:type="paragraph" w:styleId="Heading3">
    <w:name w:val="heading 3"/>
    <w:basedOn w:val="Normal"/>
    <w:next w:val="Normal"/>
    <w:link w:val="Heading3Char"/>
    <w:uiPriority w:val="9"/>
    <w:semiHidden/>
    <w:unhideWhenUsed/>
    <w:qFormat/>
    <w:rsid w:val="009406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9E71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2CE"/>
    <w:pPr>
      <w:keepLines/>
      <w:spacing w:after="0" w:line="360" w:lineRule="auto"/>
      <w:ind w:left="720"/>
      <w:contextualSpacing/>
      <w:jc w:val="both"/>
    </w:pPr>
    <w:rPr>
      <w:rFonts w:ascii="Times New Roman" w:eastAsia="Times New Roman" w:hAnsi="Times New Roman" w:cs="Times New Roman"/>
      <w:color w:val="000000"/>
      <w:lang w:bidi="he-IL"/>
    </w:rPr>
  </w:style>
  <w:style w:type="character" w:styleId="Hyperlink">
    <w:name w:val="Hyperlink"/>
    <w:basedOn w:val="DefaultParagraphFont"/>
    <w:uiPriority w:val="99"/>
    <w:unhideWhenUsed/>
    <w:rsid w:val="004902CE"/>
    <w:rPr>
      <w:color w:val="0563C1" w:themeColor="hyperlink"/>
      <w:u w:val="single"/>
    </w:rPr>
  </w:style>
  <w:style w:type="character" w:customStyle="1" w:styleId="Heading4Char">
    <w:name w:val="Heading 4 Char"/>
    <w:basedOn w:val="DefaultParagraphFont"/>
    <w:link w:val="Heading4"/>
    <w:uiPriority w:val="9"/>
    <w:rsid w:val="009E71FE"/>
    <w:rPr>
      <w:rFonts w:ascii="Times New Roman" w:eastAsia="Times New Roman" w:hAnsi="Times New Roman" w:cs="Times New Roman"/>
      <w:b/>
      <w:bCs/>
      <w:sz w:val="24"/>
      <w:szCs w:val="24"/>
    </w:rPr>
  </w:style>
  <w:style w:type="table" w:styleId="TableGrid">
    <w:name w:val="Table Grid"/>
    <w:basedOn w:val="TableNormal"/>
    <w:uiPriority w:val="39"/>
    <w:rsid w:val="00DB5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94C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0"/>
    <w:rsid w:val="00053382"/>
    <w:pPr>
      <w:spacing w:after="0"/>
      <w:jc w:val="center"/>
    </w:pPr>
    <w:rPr>
      <w:rFonts w:ascii="Calibri" w:hAnsi="Calibri" w:cs="Calibri"/>
      <w:noProof/>
    </w:rPr>
  </w:style>
  <w:style w:type="character" w:customStyle="1" w:styleId="EndNoteBibliographyTitle0">
    <w:name w:val="EndNote Bibliography Title תו"/>
    <w:basedOn w:val="DefaultParagraphFont"/>
    <w:link w:val="EndNoteBibliographyTitle"/>
    <w:rsid w:val="00053382"/>
    <w:rPr>
      <w:rFonts w:ascii="Calibri" w:hAnsi="Calibri" w:cs="Calibri"/>
      <w:noProof/>
    </w:rPr>
  </w:style>
  <w:style w:type="paragraph" w:customStyle="1" w:styleId="EndNoteBibliography">
    <w:name w:val="EndNote Bibliography"/>
    <w:basedOn w:val="Normal"/>
    <w:link w:val="EndNoteBibliography0"/>
    <w:rsid w:val="00053382"/>
    <w:pPr>
      <w:spacing w:line="240" w:lineRule="auto"/>
    </w:pPr>
    <w:rPr>
      <w:rFonts w:ascii="Calibri" w:hAnsi="Calibri" w:cs="Calibri"/>
      <w:noProof/>
    </w:rPr>
  </w:style>
  <w:style w:type="character" w:customStyle="1" w:styleId="EndNoteBibliography0">
    <w:name w:val="EndNote Bibliography תו"/>
    <w:basedOn w:val="DefaultParagraphFont"/>
    <w:link w:val="EndNoteBibliography"/>
    <w:rsid w:val="00053382"/>
    <w:rPr>
      <w:rFonts w:ascii="Calibri" w:hAnsi="Calibri" w:cs="Calibri"/>
      <w:noProof/>
    </w:rPr>
  </w:style>
  <w:style w:type="character" w:customStyle="1" w:styleId="UnresolvedMention1">
    <w:name w:val="Unresolved Mention1"/>
    <w:basedOn w:val="DefaultParagraphFont"/>
    <w:uiPriority w:val="99"/>
    <w:semiHidden/>
    <w:unhideWhenUsed/>
    <w:rsid w:val="00214E9C"/>
    <w:rPr>
      <w:color w:val="605E5C"/>
      <w:shd w:val="clear" w:color="auto" w:fill="E1DFDD"/>
    </w:rPr>
  </w:style>
  <w:style w:type="character" w:styleId="CommentReference">
    <w:name w:val="annotation reference"/>
    <w:basedOn w:val="DefaultParagraphFont"/>
    <w:uiPriority w:val="99"/>
    <w:semiHidden/>
    <w:unhideWhenUsed/>
    <w:rsid w:val="00991F09"/>
    <w:rPr>
      <w:sz w:val="16"/>
      <w:szCs w:val="16"/>
    </w:rPr>
  </w:style>
  <w:style w:type="paragraph" w:styleId="CommentText">
    <w:name w:val="annotation text"/>
    <w:basedOn w:val="Normal"/>
    <w:link w:val="CommentTextChar"/>
    <w:uiPriority w:val="99"/>
    <w:semiHidden/>
    <w:unhideWhenUsed/>
    <w:rsid w:val="00991F09"/>
    <w:pPr>
      <w:spacing w:line="240" w:lineRule="auto"/>
    </w:pPr>
    <w:rPr>
      <w:sz w:val="20"/>
      <w:szCs w:val="20"/>
    </w:rPr>
  </w:style>
  <w:style w:type="character" w:customStyle="1" w:styleId="CommentTextChar">
    <w:name w:val="Comment Text Char"/>
    <w:basedOn w:val="DefaultParagraphFont"/>
    <w:link w:val="CommentText"/>
    <w:uiPriority w:val="99"/>
    <w:semiHidden/>
    <w:rsid w:val="00991F09"/>
    <w:rPr>
      <w:sz w:val="20"/>
      <w:szCs w:val="20"/>
    </w:rPr>
  </w:style>
  <w:style w:type="paragraph" w:styleId="BalloonText">
    <w:name w:val="Balloon Text"/>
    <w:basedOn w:val="Normal"/>
    <w:link w:val="BalloonTextChar"/>
    <w:uiPriority w:val="99"/>
    <w:semiHidden/>
    <w:unhideWhenUsed/>
    <w:rsid w:val="00991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F09"/>
    <w:rPr>
      <w:rFonts w:ascii="Segoe UI" w:hAnsi="Segoe UI" w:cs="Segoe UI"/>
      <w:sz w:val="18"/>
      <w:szCs w:val="18"/>
    </w:rPr>
  </w:style>
  <w:style w:type="character" w:styleId="LineNumber">
    <w:name w:val="line number"/>
    <w:basedOn w:val="DefaultParagraphFont"/>
    <w:uiPriority w:val="99"/>
    <w:semiHidden/>
    <w:unhideWhenUsed/>
    <w:rsid w:val="00DA2946"/>
  </w:style>
  <w:style w:type="character" w:customStyle="1" w:styleId="Heading3Char">
    <w:name w:val="Heading 3 Char"/>
    <w:basedOn w:val="DefaultParagraphFont"/>
    <w:link w:val="Heading3"/>
    <w:uiPriority w:val="9"/>
    <w:semiHidden/>
    <w:rsid w:val="009406F9"/>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semiHidden/>
    <w:unhideWhenUsed/>
    <w:rsid w:val="009C4E18"/>
    <w:rPr>
      <w:b/>
      <w:bCs/>
    </w:rPr>
  </w:style>
  <w:style w:type="character" w:customStyle="1" w:styleId="CommentSubjectChar">
    <w:name w:val="Comment Subject Char"/>
    <w:basedOn w:val="CommentTextChar"/>
    <w:link w:val="CommentSubject"/>
    <w:uiPriority w:val="99"/>
    <w:semiHidden/>
    <w:rsid w:val="009C4E18"/>
    <w:rPr>
      <w:b/>
      <w:bCs/>
      <w:sz w:val="20"/>
      <w:szCs w:val="20"/>
    </w:rPr>
  </w:style>
  <w:style w:type="character" w:customStyle="1" w:styleId="UnresolvedMention2">
    <w:name w:val="Unresolved Mention2"/>
    <w:basedOn w:val="DefaultParagraphFont"/>
    <w:uiPriority w:val="99"/>
    <w:semiHidden/>
    <w:unhideWhenUsed/>
    <w:rsid w:val="00D87B56"/>
    <w:rPr>
      <w:color w:val="605E5C"/>
      <w:shd w:val="clear" w:color="auto" w:fill="E1DFDD"/>
    </w:rPr>
  </w:style>
  <w:style w:type="character" w:customStyle="1" w:styleId="Heading1Char">
    <w:name w:val="Heading 1 Char"/>
    <w:basedOn w:val="DefaultParagraphFont"/>
    <w:link w:val="Heading1"/>
    <w:uiPriority w:val="9"/>
    <w:rsid w:val="001E1099"/>
    <w:rPr>
      <w:rFonts w:eastAsia="Calibri" w:cstheme="minorHAnsi"/>
      <w:b/>
      <w:bCs/>
      <w:lang w:val="en-GB"/>
    </w:rPr>
  </w:style>
  <w:style w:type="paragraph" w:styleId="FootnoteText">
    <w:name w:val="footnote text"/>
    <w:basedOn w:val="Normal"/>
    <w:link w:val="FootnoteTextChar"/>
    <w:uiPriority w:val="99"/>
    <w:semiHidden/>
    <w:unhideWhenUsed/>
    <w:rsid w:val="004C64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431"/>
    <w:rPr>
      <w:sz w:val="20"/>
      <w:szCs w:val="20"/>
    </w:rPr>
  </w:style>
  <w:style w:type="character" w:styleId="FootnoteReference">
    <w:name w:val="footnote reference"/>
    <w:basedOn w:val="DefaultParagraphFont"/>
    <w:uiPriority w:val="99"/>
    <w:semiHidden/>
    <w:unhideWhenUsed/>
    <w:rsid w:val="004C6431"/>
    <w:rPr>
      <w:vertAlign w:val="superscript"/>
    </w:rPr>
  </w:style>
  <w:style w:type="paragraph" w:customStyle="1" w:styleId="TableParagraph">
    <w:name w:val="Table Paragraph"/>
    <w:basedOn w:val="Normal"/>
    <w:uiPriority w:val="1"/>
    <w:qFormat/>
    <w:rsid w:val="000E5805"/>
    <w:pPr>
      <w:widowControl w:val="0"/>
      <w:autoSpaceDE w:val="0"/>
      <w:autoSpaceDN w:val="0"/>
      <w:spacing w:after="0" w:line="178" w:lineRule="exact"/>
      <w:ind w:left="107"/>
    </w:pPr>
    <w:rPr>
      <w:rFonts w:ascii="Times New Roman" w:eastAsia="Times New Roman" w:hAnsi="Times New Roman" w:cs="Times New Roman"/>
    </w:rPr>
  </w:style>
  <w:style w:type="paragraph" w:styleId="Revision">
    <w:name w:val="Revision"/>
    <w:hidden/>
    <w:uiPriority w:val="99"/>
    <w:semiHidden/>
    <w:rsid w:val="00975307"/>
    <w:pPr>
      <w:spacing w:after="0" w:line="240" w:lineRule="auto"/>
    </w:pPr>
  </w:style>
  <w:style w:type="paragraph" w:styleId="Title">
    <w:name w:val="Title"/>
    <w:basedOn w:val="Normal"/>
    <w:next w:val="Normal"/>
    <w:link w:val="TitleChar"/>
    <w:uiPriority w:val="10"/>
    <w:qFormat/>
    <w:rsid w:val="001E1099"/>
    <w:pPr>
      <w:spacing w:after="120" w:line="480" w:lineRule="auto"/>
      <w:jc w:val="both"/>
    </w:pPr>
    <w:rPr>
      <w:rFonts w:eastAsia="Calibri" w:cstheme="minorHAnsi"/>
      <w:b/>
      <w:bCs/>
      <w:lang w:val="en-GB"/>
    </w:rPr>
  </w:style>
  <w:style w:type="character" w:customStyle="1" w:styleId="TitleChar">
    <w:name w:val="Title Char"/>
    <w:basedOn w:val="DefaultParagraphFont"/>
    <w:link w:val="Title"/>
    <w:uiPriority w:val="10"/>
    <w:rsid w:val="001E1099"/>
    <w:rPr>
      <w:rFonts w:eastAsia="Calibri" w:cstheme="minorHAnsi"/>
      <w:b/>
      <w:bCs/>
      <w:lang w:val="en-GB"/>
    </w:rPr>
  </w:style>
  <w:style w:type="character" w:customStyle="1" w:styleId="Heading2Char">
    <w:name w:val="Heading 2 Char"/>
    <w:basedOn w:val="DefaultParagraphFont"/>
    <w:link w:val="Heading2"/>
    <w:uiPriority w:val="9"/>
    <w:rsid w:val="001E1099"/>
    <w:rPr>
      <w:rFonts w:cstheme="minorHAnsi"/>
      <w:i/>
      <w:i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938">
      <w:bodyDiv w:val="1"/>
      <w:marLeft w:val="0"/>
      <w:marRight w:val="0"/>
      <w:marTop w:val="0"/>
      <w:marBottom w:val="0"/>
      <w:divBdr>
        <w:top w:val="none" w:sz="0" w:space="0" w:color="auto"/>
        <w:left w:val="none" w:sz="0" w:space="0" w:color="auto"/>
        <w:bottom w:val="none" w:sz="0" w:space="0" w:color="auto"/>
        <w:right w:val="none" w:sz="0" w:space="0" w:color="auto"/>
      </w:divBdr>
    </w:div>
    <w:div w:id="15929217">
      <w:bodyDiv w:val="1"/>
      <w:marLeft w:val="0"/>
      <w:marRight w:val="0"/>
      <w:marTop w:val="0"/>
      <w:marBottom w:val="0"/>
      <w:divBdr>
        <w:top w:val="none" w:sz="0" w:space="0" w:color="auto"/>
        <w:left w:val="none" w:sz="0" w:space="0" w:color="auto"/>
        <w:bottom w:val="none" w:sz="0" w:space="0" w:color="auto"/>
        <w:right w:val="none" w:sz="0" w:space="0" w:color="auto"/>
      </w:divBdr>
    </w:div>
    <w:div w:id="54666985">
      <w:bodyDiv w:val="1"/>
      <w:marLeft w:val="0"/>
      <w:marRight w:val="0"/>
      <w:marTop w:val="0"/>
      <w:marBottom w:val="0"/>
      <w:divBdr>
        <w:top w:val="none" w:sz="0" w:space="0" w:color="auto"/>
        <w:left w:val="none" w:sz="0" w:space="0" w:color="auto"/>
        <w:bottom w:val="none" w:sz="0" w:space="0" w:color="auto"/>
        <w:right w:val="none" w:sz="0" w:space="0" w:color="auto"/>
      </w:divBdr>
    </w:div>
    <w:div w:id="86848871">
      <w:bodyDiv w:val="1"/>
      <w:marLeft w:val="0"/>
      <w:marRight w:val="0"/>
      <w:marTop w:val="0"/>
      <w:marBottom w:val="0"/>
      <w:divBdr>
        <w:top w:val="none" w:sz="0" w:space="0" w:color="auto"/>
        <w:left w:val="none" w:sz="0" w:space="0" w:color="auto"/>
        <w:bottom w:val="none" w:sz="0" w:space="0" w:color="auto"/>
        <w:right w:val="none" w:sz="0" w:space="0" w:color="auto"/>
      </w:divBdr>
    </w:div>
    <w:div w:id="125707123">
      <w:bodyDiv w:val="1"/>
      <w:marLeft w:val="0"/>
      <w:marRight w:val="0"/>
      <w:marTop w:val="0"/>
      <w:marBottom w:val="0"/>
      <w:divBdr>
        <w:top w:val="none" w:sz="0" w:space="0" w:color="auto"/>
        <w:left w:val="none" w:sz="0" w:space="0" w:color="auto"/>
        <w:bottom w:val="none" w:sz="0" w:space="0" w:color="auto"/>
        <w:right w:val="none" w:sz="0" w:space="0" w:color="auto"/>
      </w:divBdr>
    </w:div>
    <w:div w:id="129791310">
      <w:bodyDiv w:val="1"/>
      <w:marLeft w:val="0"/>
      <w:marRight w:val="0"/>
      <w:marTop w:val="0"/>
      <w:marBottom w:val="0"/>
      <w:divBdr>
        <w:top w:val="none" w:sz="0" w:space="0" w:color="auto"/>
        <w:left w:val="none" w:sz="0" w:space="0" w:color="auto"/>
        <w:bottom w:val="none" w:sz="0" w:space="0" w:color="auto"/>
        <w:right w:val="none" w:sz="0" w:space="0" w:color="auto"/>
      </w:divBdr>
    </w:div>
    <w:div w:id="147988270">
      <w:bodyDiv w:val="1"/>
      <w:marLeft w:val="0"/>
      <w:marRight w:val="0"/>
      <w:marTop w:val="0"/>
      <w:marBottom w:val="0"/>
      <w:divBdr>
        <w:top w:val="none" w:sz="0" w:space="0" w:color="auto"/>
        <w:left w:val="none" w:sz="0" w:space="0" w:color="auto"/>
        <w:bottom w:val="none" w:sz="0" w:space="0" w:color="auto"/>
        <w:right w:val="none" w:sz="0" w:space="0" w:color="auto"/>
      </w:divBdr>
    </w:div>
    <w:div w:id="185564593">
      <w:bodyDiv w:val="1"/>
      <w:marLeft w:val="0"/>
      <w:marRight w:val="0"/>
      <w:marTop w:val="0"/>
      <w:marBottom w:val="0"/>
      <w:divBdr>
        <w:top w:val="none" w:sz="0" w:space="0" w:color="auto"/>
        <w:left w:val="none" w:sz="0" w:space="0" w:color="auto"/>
        <w:bottom w:val="none" w:sz="0" w:space="0" w:color="auto"/>
        <w:right w:val="none" w:sz="0" w:space="0" w:color="auto"/>
      </w:divBdr>
    </w:div>
    <w:div w:id="215508235">
      <w:bodyDiv w:val="1"/>
      <w:marLeft w:val="0"/>
      <w:marRight w:val="0"/>
      <w:marTop w:val="0"/>
      <w:marBottom w:val="0"/>
      <w:divBdr>
        <w:top w:val="none" w:sz="0" w:space="0" w:color="auto"/>
        <w:left w:val="none" w:sz="0" w:space="0" w:color="auto"/>
        <w:bottom w:val="none" w:sz="0" w:space="0" w:color="auto"/>
        <w:right w:val="none" w:sz="0" w:space="0" w:color="auto"/>
      </w:divBdr>
    </w:div>
    <w:div w:id="262078737">
      <w:bodyDiv w:val="1"/>
      <w:marLeft w:val="0"/>
      <w:marRight w:val="0"/>
      <w:marTop w:val="0"/>
      <w:marBottom w:val="0"/>
      <w:divBdr>
        <w:top w:val="none" w:sz="0" w:space="0" w:color="auto"/>
        <w:left w:val="none" w:sz="0" w:space="0" w:color="auto"/>
        <w:bottom w:val="none" w:sz="0" w:space="0" w:color="auto"/>
        <w:right w:val="none" w:sz="0" w:space="0" w:color="auto"/>
      </w:divBdr>
    </w:div>
    <w:div w:id="428310255">
      <w:bodyDiv w:val="1"/>
      <w:marLeft w:val="0"/>
      <w:marRight w:val="0"/>
      <w:marTop w:val="0"/>
      <w:marBottom w:val="0"/>
      <w:divBdr>
        <w:top w:val="none" w:sz="0" w:space="0" w:color="auto"/>
        <w:left w:val="none" w:sz="0" w:space="0" w:color="auto"/>
        <w:bottom w:val="none" w:sz="0" w:space="0" w:color="auto"/>
        <w:right w:val="none" w:sz="0" w:space="0" w:color="auto"/>
      </w:divBdr>
    </w:div>
    <w:div w:id="474883039">
      <w:bodyDiv w:val="1"/>
      <w:marLeft w:val="0"/>
      <w:marRight w:val="0"/>
      <w:marTop w:val="0"/>
      <w:marBottom w:val="0"/>
      <w:divBdr>
        <w:top w:val="none" w:sz="0" w:space="0" w:color="auto"/>
        <w:left w:val="none" w:sz="0" w:space="0" w:color="auto"/>
        <w:bottom w:val="none" w:sz="0" w:space="0" w:color="auto"/>
        <w:right w:val="none" w:sz="0" w:space="0" w:color="auto"/>
      </w:divBdr>
    </w:div>
    <w:div w:id="477574111">
      <w:bodyDiv w:val="1"/>
      <w:marLeft w:val="0"/>
      <w:marRight w:val="0"/>
      <w:marTop w:val="0"/>
      <w:marBottom w:val="0"/>
      <w:divBdr>
        <w:top w:val="none" w:sz="0" w:space="0" w:color="auto"/>
        <w:left w:val="none" w:sz="0" w:space="0" w:color="auto"/>
        <w:bottom w:val="none" w:sz="0" w:space="0" w:color="auto"/>
        <w:right w:val="none" w:sz="0" w:space="0" w:color="auto"/>
      </w:divBdr>
    </w:div>
    <w:div w:id="548306446">
      <w:bodyDiv w:val="1"/>
      <w:marLeft w:val="0"/>
      <w:marRight w:val="0"/>
      <w:marTop w:val="0"/>
      <w:marBottom w:val="0"/>
      <w:divBdr>
        <w:top w:val="none" w:sz="0" w:space="0" w:color="auto"/>
        <w:left w:val="none" w:sz="0" w:space="0" w:color="auto"/>
        <w:bottom w:val="none" w:sz="0" w:space="0" w:color="auto"/>
        <w:right w:val="none" w:sz="0" w:space="0" w:color="auto"/>
      </w:divBdr>
    </w:div>
    <w:div w:id="641695668">
      <w:bodyDiv w:val="1"/>
      <w:marLeft w:val="0"/>
      <w:marRight w:val="0"/>
      <w:marTop w:val="0"/>
      <w:marBottom w:val="0"/>
      <w:divBdr>
        <w:top w:val="none" w:sz="0" w:space="0" w:color="auto"/>
        <w:left w:val="none" w:sz="0" w:space="0" w:color="auto"/>
        <w:bottom w:val="none" w:sz="0" w:space="0" w:color="auto"/>
        <w:right w:val="none" w:sz="0" w:space="0" w:color="auto"/>
      </w:divBdr>
    </w:div>
    <w:div w:id="698705105">
      <w:bodyDiv w:val="1"/>
      <w:marLeft w:val="0"/>
      <w:marRight w:val="0"/>
      <w:marTop w:val="0"/>
      <w:marBottom w:val="0"/>
      <w:divBdr>
        <w:top w:val="none" w:sz="0" w:space="0" w:color="auto"/>
        <w:left w:val="none" w:sz="0" w:space="0" w:color="auto"/>
        <w:bottom w:val="none" w:sz="0" w:space="0" w:color="auto"/>
        <w:right w:val="none" w:sz="0" w:space="0" w:color="auto"/>
      </w:divBdr>
    </w:div>
    <w:div w:id="739059794">
      <w:bodyDiv w:val="1"/>
      <w:marLeft w:val="0"/>
      <w:marRight w:val="0"/>
      <w:marTop w:val="0"/>
      <w:marBottom w:val="0"/>
      <w:divBdr>
        <w:top w:val="none" w:sz="0" w:space="0" w:color="auto"/>
        <w:left w:val="none" w:sz="0" w:space="0" w:color="auto"/>
        <w:bottom w:val="none" w:sz="0" w:space="0" w:color="auto"/>
        <w:right w:val="none" w:sz="0" w:space="0" w:color="auto"/>
      </w:divBdr>
    </w:div>
    <w:div w:id="743527331">
      <w:bodyDiv w:val="1"/>
      <w:marLeft w:val="0"/>
      <w:marRight w:val="0"/>
      <w:marTop w:val="0"/>
      <w:marBottom w:val="0"/>
      <w:divBdr>
        <w:top w:val="none" w:sz="0" w:space="0" w:color="auto"/>
        <w:left w:val="none" w:sz="0" w:space="0" w:color="auto"/>
        <w:bottom w:val="none" w:sz="0" w:space="0" w:color="auto"/>
        <w:right w:val="none" w:sz="0" w:space="0" w:color="auto"/>
      </w:divBdr>
    </w:div>
    <w:div w:id="789589656">
      <w:bodyDiv w:val="1"/>
      <w:marLeft w:val="0"/>
      <w:marRight w:val="0"/>
      <w:marTop w:val="0"/>
      <w:marBottom w:val="0"/>
      <w:divBdr>
        <w:top w:val="none" w:sz="0" w:space="0" w:color="auto"/>
        <w:left w:val="none" w:sz="0" w:space="0" w:color="auto"/>
        <w:bottom w:val="none" w:sz="0" w:space="0" w:color="auto"/>
        <w:right w:val="none" w:sz="0" w:space="0" w:color="auto"/>
      </w:divBdr>
    </w:div>
    <w:div w:id="791090279">
      <w:bodyDiv w:val="1"/>
      <w:marLeft w:val="0"/>
      <w:marRight w:val="0"/>
      <w:marTop w:val="0"/>
      <w:marBottom w:val="0"/>
      <w:divBdr>
        <w:top w:val="none" w:sz="0" w:space="0" w:color="auto"/>
        <w:left w:val="none" w:sz="0" w:space="0" w:color="auto"/>
        <w:bottom w:val="none" w:sz="0" w:space="0" w:color="auto"/>
        <w:right w:val="none" w:sz="0" w:space="0" w:color="auto"/>
      </w:divBdr>
    </w:div>
    <w:div w:id="794179311">
      <w:bodyDiv w:val="1"/>
      <w:marLeft w:val="0"/>
      <w:marRight w:val="0"/>
      <w:marTop w:val="0"/>
      <w:marBottom w:val="0"/>
      <w:divBdr>
        <w:top w:val="none" w:sz="0" w:space="0" w:color="auto"/>
        <w:left w:val="none" w:sz="0" w:space="0" w:color="auto"/>
        <w:bottom w:val="none" w:sz="0" w:space="0" w:color="auto"/>
        <w:right w:val="none" w:sz="0" w:space="0" w:color="auto"/>
      </w:divBdr>
    </w:div>
    <w:div w:id="827601406">
      <w:bodyDiv w:val="1"/>
      <w:marLeft w:val="0"/>
      <w:marRight w:val="0"/>
      <w:marTop w:val="0"/>
      <w:marBottom w:val="0"/>
      <w:divBdr>
        <w:top w:val="none" w:sz="0" w:space="0" w:color="auto"/>
        <w:left w:val="none" w:sz="0" w:space="0" w:color="auto"/>
        <w:bottom w:val="none" w:sz="0" w:space="0" w:color="auto"/>
        <w:right w:val="none" w:sz="0" w:space="0" w:color="auto"/>
      </w:divBdr>
    </w:div>
    <w:div w:id="849757634">
      <w:bodyDiv w:val="1"/>
      <w:marLeft w:val="0"/>
      <w:marRight w:val="0"/>
      <w:marTop w:val="0"/>
      <w:marBottom w:val="0"/>
      <w:divBdr>
        <w:top w:val="none" w:sz="0" w:space="0" w:color="auto"/>
        <w:left w:val="none" w:sz="0" w:space="0" w:color="auto"/>
        <w:bottom w:val="none" w:sz="0" w:space="0" w:color="auto"/>
        <w:right w:val="none" w:sz="0" w:space="0" w:color="auto"/>
      </w:divBdr>
    </w:div>
    <w:div w:id="874543972">
      <w:bodyDiv w:val="1"/>
      <w:marLeft w:val="0"/>
      <w:marRight w:val="0"/>
      <w:marTop w:val="0"/>
      <w:marBottom w:val="0"/>
      <w:divBdr>
        <w:top w:val="none" w:sz="0" w:space="0" w:color="auto"/>
        <w:left w:val="none" w:sz="0" w:space="0" w:color="auto"/>
        <w:bottom w:val="none" w:sz="0" w:space="0" w:color="auto"/>
        <w:right w:val="none" w:sz="0" w:space="0" w:color="auto"/>
      </w:divBdr>
    </w:div>
    <w:div w:id="883565392">
      <w:bodyDiv w:val="1"/>
      <w:marLeft w:val="0"/>
      <w:marRight w:val="0"/>
      <w:marTop w:val="0"/>
      <w:marBottom w:val="0"/>
      <w:divBdr>
        <w:top w:val="none" w:sz="0" w:space="0" w:color="auto"/>
        <w:left w:val="none" w:sz="0" w:space="0" w:color="auto"/>
        <w:bottom w:val="none" w:sz="0" w:space="0" w:color="auto"/>
        <w:right w:val="none" w:sz="0" w:space="0" w:color="auto"/>
      </w:divBdr>
    </w:div>
    <w:div w:id="889538058">
      <w:bodyDiv w:val="1"/>
      <w:marLeft w:val="0"/>
      <w:marRight w:val="0"/>
      <w:marTop w:val="0"/>
      <w:marBottom w:val="0"/>
      <w:divBdr>
        <w:top w:val="none" w:sz="0" w:space="0" w:color="auto"/>
        <w:left w:val="none" w:sz="0" w:space="0" w:color="auto"/>
        <w:bottom w:val="none" w:sz="0" w:space="0" w:color="auto"/>
        <w:right w:val="none" w:sz="0" w:space="0" w:color="auto"/>
      </w:divBdr>
    </w:div>
    <w:div w:id="918445498">
      <w:bodyDiv w:val="1"/>
      <w:marLeft w:val="0"/>
      <w:marRight w:val="0"/>
      <w:marTop w:val="0"/>
      <w:marBottom w:val="0"/>
      <w:divBdr>
        <w:top w:val="none" w:sz="0" w:space="0" w:color="auto"/>
        <w:left w:val="none" w:sz="0" w:space="0" w:color="auto"/>
        <w:bottom w:val="none" w:sz="0" w:space="0" w:color="auto"/>
        <w:right w:val="none" w:sz="0" w:space="0" w:color="auto"/>
      </w:divBdr>
    </w:div>
    <w:div w:id="1047684080">
      <w:bodyDiv w:val="1"/>
      <w:marLeft w:val="0"/>
      <w:marRight w:val="0"/>
      <w:marTop w:val="0"/>
      <w:marBottom w:val="0"/>
      <w:divBdr>
        <w:top w:val="none" w:sz="0" w:space="0" w:color="auto"/>
        <w:left w:val="none" w:sz="0" w:space="0" w:color="auto"/>
        <w:bottom w:val="none" w:sz="0" w:space="0" w:color="auto"/>
        <w:right w:val="none" w:sz="0" w:space="0" w:color="auto"/>
      </w:divBdr>
    </w:div>
    <w:div w:id="1081635078">
      <w:bodyDiv w:val="1"/>
      <w:marLeft w:val="0"/>
      <w:marRight w:val="0"/>
      <w:marTop w:val="0"/>
      <w:marBottom w:val="0"/>
      <w:divBdr>
        <w:top w:val="none" w:sz="0" w:space="0" w:color="auto"/>
        <w:left w:val="none" w:sz="0" w:space="0" w:color="auto"/>
        <w:bottom w:val="none" w:sz="0" w:space="0" w:color="auto"/>
        <w:right w:val="none" w:sz="0" w:space="0" w:color="auto"/>
      </w:divBdr>
    </w:div>
    <w:div w:id="1183087777">
      <w:bodyDiv w:val="1"/>
      <w:marLeft w:val="0"/>
      <w:marRight w:val="0"/>
      <w:marTop w:val="0"/>
      <w:marBottom w:val="0"/>
      <w:divBdr>
        <w:top w:val="none" w:sz="0" w:space="0" w:color="auto"/>
        <w:left w:val="none" w:sz="0" w:space="0" w:color="auto"/>
        <w:bottom w:val="none" w:sz="0" w:space="0" w:color="auto"/>
        <w:right w:val="none" w:sz="0" w:space="0" w:color="auto"/>
      </w:divBdr>
    </w:div>
    <w:div w:id="1203712477">
      <w:bodyDiv w:val="1"/>
      <w:marLeft w:val="0"/>
      <w:marRight w:val="0"/>
      <w:marTop w:val="0"/>
      <w:marBottom w:val="0"/>
      <w:divBdr>
        <w:top w:val="none" w:sz="0" w:space="0" w:color="auto"/>
        <w:left w:val="none" w:sz="0" w:space="0" w:color="auto"/>
        <w:bottom w:val="none" w:sz="0" w:space="0" w:color="auto"/>
        <w:right w:val="none" w:sz="0" w:space="0" w:color="auto"/>
      </w:divBdr>
    </w:div>
    <w:div w:id="1234658164">
      <w:bodyDiv w:val="1"/>
      <w:marLeft w:val="0"/>
      <w:marRight w:val="0"/>
      <w:marTop w:val="0"/>
      <w:marBottom w:val="0"/>
      <w:divBdr>
        <w:top w:val="none" w:sz="0" w:space="0" w:color="auto"/>
        <w:left w:val="none" w:sz="0" w:space="0" w:color="auto"/>
        <w:bottom w:val="none" w:sz="0" w:space="0" w:color="auto"/>
        <w:right w:val="none" w:sz="0" w:space="0" w:color="auto"/>
      </w:divBdr>
    </w:div>
    <w:div w:id="1236739065">
      <w:bodyDiv w:val="1"/>
      <w:marLeft w:val="0"/>
      <w:marRight w:val="0"/>
      <w:marTop w:val="0"/>
      <w:marBottom w:val="0"/>
      <w:divBdr>
        <w:top w:val="none" w:sz="0" w:space="0" w:color="auto"/>
        <w:left w:val="none" w:sz="0" w:space="0" w:color="auto"/>
        <w:bottom w:val="none" w:sz="0" w:space="0" w:color="auto"/>
        <w:right w:val="none" w:sz="0" w:space="0" w:color="auto"/>
      </w:divBdr>
    </w:div>
    <w:div w:id="1277828469">
      <w:bodyDiv w:val="1"/>
      <w:marLeft w:val="0"/>
      <w:marRight w:val="0"/>
      <w:marTop w:val="0"/>
      <w:marBottom w:val="0"/>
      <w:divBdr>
        <w:top w:val="none" w:sz="0" w:space="0" w:color="auto"/>
        <w:left w:val="none" w:sz="0" w:space="0" w:color="auto"/>
        <w:bottom w:val="none" w:sz="0" w:space="0" w:color="auto"/>
        <w:right w:val="none" w:sz="0" w:space="0" w:color="auto"/>
      </w:divBdr>
    </w:div>
    <w:div w:id="1292202577">
      <w:bodyDiv w:val="1"/>
      <w:marLeft w:val="0"/>
      <w:marRight w:val="0"/>
      <w:marTop w:val="0"/>
      <w:marBottom w:val="0"/>
      <w:divBdr>
        <w:top w:val="none" w:sz="0" w:space="0" w:color="auto"/>
        <w:left w:val="none" w:sz="0" w:space="0" w:color="auto"/>
        <w:bottom w:val="none" w:sz="0" w:space="0" w:color="auto"/>
        <w:right w:val="none" w:sz="0" w:space="0" w:color="auto"/>
      </w:divBdr>
    </w:div>
    <w:div w:id="1322927909">
      <w:bodyDiv w:val="1"/>
      <w:marLeft w:val="0"/>
      <w:marRight w:val="0"/>
      <w:marTop w:val="0"/>
      <w:marBottom w:val="0"/>
      <w:divBdr>
        <w:top w:val="none" w:sz="0" w:space="0" w:color="auto"/>
        <w:left w:val="none" w:sz="0" w:space="0" w:color="auto"/>
        <w:bottom w:val="none" w:sz="0" w:space="0" w:color="auto"/>
        <w:right w:val="none" w:sz="0" w:space="0" w:color="auto"/>
      </w:divBdr>
    </w:div>
    <w:div w:id="1402675274">
      <w:bodyDiv w:val="1"/>
      <w:marLeft w:val="0"/>
      <w:marRight w:val="0"/>
      <w:marTop w:val="0"/>
      <w:marBottom w:val="0"/>
      <w:divBdr>
        <w:top w:val="none" w:sz="0" w:space="0" w:color="auto"/>
        <w:left w:val="none" w:sz="0" w:space="0" w:color="auto"/>
        <w:bottom w:val="none" w:sz="0" w:space="0" w:color="auto"/>
        <w:right w:val="none" w:sz="0" w:space="0" w:color="auto"/>
      </w:divBdr>
    </w:div>
    <w:div w:id="1433628349">
      <w:bodyDiv w:val="1"/>
      <w:marLeft w:val="0"/>
      <w:marRight w:val="0"/>
      <w:marTop w:val="0"/>
      <w:marBottom w:val="0"/>
      <w:divBdr>
        <w:top w:val="none" w:sz="0" w:space="0" w:color="auto"/>
        <w:left w:val="none" w:sz="0" w:space="0" w:color="auto"/>
        <w:bottom w:val="none" w:sz="0" w:space="0" w:color="auto"/>
        <w:right w:val="none" w:sz="0" w:space="0" w:color="auto"/>
      </w:divBdr>
    </w:div>
    <w:div w:id="1433696721">
      <w:bodyDiv w:val="1"/>
      <w:marLeft w:val="0"/>
      <w:marRight w:val="0"/>
      <w:marTop w:val="0"/>
      <w:marBottom w:val="0"/>
      <w:divBdr>
        <w:top w:val="none" w:sz="0" w:space="0" w:color="auto"/>
        <w:left w:val="none" w:sz="0" w:space="0" w:color="auto"/>
        <w:bottom w:val="none" w:sz="0" w:space="0" w:color="auto"/>
        <w:right w:val="none" w:sz="0" w:space="0" w:color="auto"/>
      </w:divBdr>
    </w:div>
    <w:div w:id="1433747257">
      <w:bodyDiv w:val="1"/>
      <w:marLeft w:val="0"/>
      <w:marRight w:val="0"/>
      <w:marTop w:val="0"/>
      <w:marBottom w:val="0"/>
      <w:divBdr>
        <w:top w:val="none" w:sz="0" w:space="0" w:color="auto"/>
        <w:left w:val="none" w:sz="0" w:space="0" w:color="auto"/>
        <w:bottom w:val="none" w:sz="0" w:space="0" w:color="auto"/>
        <w:right w:val="none" w:sz="0" w:space="0" w:color="auto"/>
      </w:divBdr>
    </w:div>
    <w:div w:id="1434978625">
      <w:bodyDiv w:val="1"/>
      <w:marLeft w:val="0"/>
      <w:marRight w:val="0"/>
      <w:marTop w:val="0"/>
      <w:marBottom w:val="0"/>
      <w:divBdr>
        <w:top w:val="none" w:sz="0" w:space="0" w:color="auto"/>
        <w:left w:val="none" w:sz="0" w:space="0" w:color="auto"/>
        <w:bottom w:val="none" w:sz="0" w:space="0" w:color="auto"/>
        <w:right w:val="none" w:sz="0" w:space="0" w:color="auto"/>
      </w:divBdr>
    </w:div>
    <w:div w:id="1596092207">
      <w:bodyDiv w:val="1"/>
      <w:marLeft w:val="0"/>
      <w:marRight w:val="0"/>
      <w:marTop w:val="0"/>
      <w:marBottom w:val="0"/>
      <w:divBdr>
        <w:top w:val="none" w:sz="0" w:space="0" w:color="auto"/>
        <w:left w:val="none" w:sz="0" w:space="0" w:color="auto"/>
        <w:bottom w:val="none" w:sz="0" w:space="0" w:color="auto"/>
        <w:right w:val="none" w:sz="0" w:space="0" w:color="auto"/>
      </w:divBdr>
    </w:div>
    <w:div w:id="1658261982">
      <w:bodyDiv w:val="1"/>
      <w:marLeft w:val="0"/>
      <w:marRight w:val="0"/>
      <w:marTop w:val="0"/>
      <w:marBottom w:val="0"/>
      <w:divBdr>
        <w:top w:val="none" w:sz="0" w:space="0" w:color="auto"/>
        <w:left w:val="none" w:sz="0" w:space="0" w:color="auto"/>
        <w:bottom w:val="none" w:sz="0" w:space="0" w:color="auto"/>
        <w:right w:val="none" w:sz="0" w:space="0" w:color="auto"/>
      </w:divBdr>
    </w:div>
    <w:div w:id="1681659281">
      <w:bodyDiv w:val="1"/>
      <w:marLeft w:val="0"/>
      <w:marRight w:val="0"/>
      <w:marTop w:val="0"/>
      <w:marBottom w:val="0"/>
      <w:divBdr>
        <w:top w:val="none" w:sz="0" w:space="0" w:color="auto"/>
        <w:left w:val="none" w:sz="0" w:space="0" w:color="auto"/>
        <w:bottom w:val="none" w:sz="0" w:space="0" w:color="auto"/>
        <w:right w:val="none" w:sz="0" w:space="0" w:color="auto"/>
      </w:divBdr>
    </w:div>
    <w:div w:id="1731463589">
      <w:bodyDiv w:val="1"/>
      <w:marLeft w:val="0"/>
      <w:marRight w:val="0"/>
      <w:marTop w:val="0"/>
      <w:marBottom w:val="0"/>
      <w:divBdr>
        <w:top w:val="none" w:sz="0" w:space="0" w:color="auto"/>
        <w:left w:val="none" w:sz="0" w:space="0" w:color="auto"/>
        <w:bottom w:val="none" w:sz="0" w:space="0" w:color="auto"/>
        <w:right w:val="none" w:sz="0" w:space="0" w:color="auto"/>
      </w:divBdr>
    </w:div>
    <w:div w:id="1742829505">
      <w:bodyDiv w:val="1"/>
      <w:marLeft w:val="0"/>
      <w:marRight w:val="0"/>
      <w:marTop w:val="0"/>
      <w:marBottom w:val="0"/>
      <w:divBdr>
        <w:top w:val="none" w:sz="0" w:space="0" w:color="auto"/>
        <w:left w:val="none" w:sz="0" w:space="0" w:color="auto"/>
        <w:bottom w:val="none" w:sz="0" w:space="0" w:color="auto"/>
        <w:right w:val="none" w:sz="0" w:space="0" w:color="auto"/>
      </w:divBdr>
    </w:div>
    <w:div w:id="1778940175">
      <w:bodyDiv w:val="1"/>
      <w:marLeft w:val="0"/>
      <w:marRight w:val="0"/>
      <w:marTop w:val="0"/>
      <w:marBottom w:val="0"/>
      <w:divBdr>
        <w:top w:val="none" w:sz="0" w:space="0" w:color="auto"/>
        <w:left w:val="none" w:sz="0" w:space="0" w:color="auto"/>
        <w:bottom w:val="none" w:sz="0" w:space="0" w:color="auto"/>
        <w:right w:val="none" w:sz="0" w:space="0" w:color="auto"/>
      </w:divBdr>
    </w:div>
    <w:div w:id="1798376817">
      <w:bodyDiv w:val="1"/>
      <w:marLeft w:val="0"/>
      <w:marRight w:val="0"/>
      <w:marTop w:val="0"/>
      <w:marBottom w:val="0"/>
      <w:divBdr>
        <w:top w:val="none" w:sz="0" w:space="0" w:color="auto"/>
        <w:left w:val="none" w:sz="0" w:space="0" w:color="auto"/>
        <w:bottom w:val="none" w:sz="0" w:space="0" w:color="auto"/>
        <w:right w:val="none" w:sz="0" w:space="0" w:color="auto"/>
      </w:divBdr>
    </w:div>
    <w:div w:id="1805584207">
      <w:bodyDiv w:val="1"/>
      <w:marLeft w:val="0"/>
      <w:marRight w:val="0"/>
      <w:marTop w:val="0"/>
      <w:marBottom w:val="0"/>
      <w:divBdr>
        <w:top w:val="none" w:sz="0" w:space="0" w:color="auto"/>
        <w:left w:val="none" w:sz="0" w:space="0" w:color="auto"/>
        <w:bottom w:val="none" w:sz="0" w:space="0" w:color="auto"/>
        <w:right w:val="none" w:sz="0" w:space="0" w:color="auto"/>
      </w:divBdr>
    </w:div>
    <w:div w:id="1812861246">
      <w:bodyDiv w:val="1"/>
      <w:marLeft w:val="0"/>
      <w:marRight w:val="0"/>
      <w:marTop w:val="0"/>
      <w:marBottom w:val="0"/>
      <w:divBdr>
        <w:top w:val="none" w:sz="0" w:space="0" w:color="auto"/>
        <w:left w:val="none" w:sz="0" w:space="0" w:color="auto"/>
        <w:bottom w:val="none" w:sz="0" w:space="0" w:color="auto"/>
        <w:right w:val="none" w:sz="0" w:space="0" w:color="auto"/>
      </w:divBdr>
    </w:div>
    <w:div w:id="1815875890">
      <w:bodyDiv w:val="1"/>
      <w:marLeft w:val="0"/>
      <w:marRight w:val="0"/>
      <w:marTop w:val="0"/>
      <w:marBottom w:val="0"/>
      <w:divBdr>
        <w:top w:val="none" w:sz="0" w:space="0" w:color="auto"/>
        <w:left w:val="none" w:sz="0" w:space="0" w:color="auto"/>
        <w:bottom w:val="none" w:sz="0" w:space="0" w:color="auto"/>
        <w:right w:val="none" w:sz="0" w:space="0" w:color="auto"/>
      </w:divBdr>
    </w:div>
    <w:div w:id="1818297883">
      <w:bodyDiv w:val="1"/>
      <w:marLeft w:val="0"/>
      <w:marRight w:val="0"/>
      <w:marTop w:val="0"/>
      <w:marBottom w:val="0"/>
      <w:divBdr>
        <w:top w:val="none" w:sz="0" w:space="0" w:color="auto"/>
        <w:left w:val="none" w:sz="0" w:space="0" w:color="auto"/>
        <w:bottom w:val="none" w:sz="0" w:space="0" w:color="auto"/>
        <w:right w:val="none" w:sz="0" w:space="0" w:color="auto"/>
      </w:divBdr>
    </w:div>
    <w:div w:id="1856193651">
      <w:bodyDiv w:val="1"/>
      <w:marLeft w:val="0"/>
      <w:marRight w:val="0"/>
      <w:marTop w:val="0"/>
      <w:marBottom w:val="0"/>
      <w:divBdr>
        <w:top w:val="none" w:sz="0" w:space="0" w:color="auto"/>
        <w:left w:val="none" w:sz="0" w:space="0" w:color="auto"/>
        <w:bottom w:val="none" w:sz="0" w:space="0" w:color="auto"/>
        <w:right w:val="none" w:sz="0" w:space="0" w:color="auto"/>
      </w:divBdr>
    </w:div>
    <w:div w:id="1856841855">
      <w:bodyDiv w:val="1"/>
      <w:marLeft w:val="0"/>
      <w:marRight w:val="0"/>
      <w:marTop w:val="0"/>
      <w:marBottom w:val="0"/>
      <w:divBdr>
        <w:top w:val="none" w:sz="0" w:space="0" w:color="auto"/>
        <w:left w:val="none" w:sz="0" w:space="0" w:color="auto"/>
        <w:bottom w:val="none" w:sz="0" w:space="0" w:color="auto"/>
        <w:right w:val="none" w:sz="0" w:space="0" w:color="auto"/>
      </w:divBdr>
    </w:div>
    <w:div w:id="1939944985">
      <w:bodyDiv w:val="1"/>
      <w:marLeft w:val="0"/>
      <w:marRight w:val="0"/>
      <w:marTop w:val="0"/>
      <w:marBottom w:val="0"/>
      <w:divBdr>
        <w:top w:val="none" w:sz="0" w:space="0" w:color="auto"/>
        <w:left w:val="none" w:sz="0" w:space="0" w:color="auto"/>
        <w:bottom w:val="none" w:sz="0" w:space="0" w:color="auto"/>
        <w:right w:val="none" w:sz="0" w:space="0" w:color="auto"/>
      </w:divBdr>
    </w:div>
    <w:div w:id="1964657132">
      <w:bodyDiv w:val="1"/>
      <w:marLeft w:val="0"/>
      <w:marRight w:val="0"/>
      <w:marTop w:val="0"/>
      <w:marBottom w:val="0"/>
      <w:divBdr>
        <w:top w:val="none" w:sz="0" w:space="0" w:color="auto"/>
        <w:left w:val="none" w:sz="0" w:space="0" w:color="auto"/>
        <w:bottom w:val="none" w:sz="0" w:space="0" w:color="auto"/>
        <w:right w:val="none" w:sz="0" w:space="0" w:color="auto"/>
      </w:divBdr>
    </w:div>
    <w:div w:id="1975789929">
      <w:bodyDiv w:val="1"/>
      <w:marLeft w:val="0"/>
      <w:marRight w:val="0"/>
      <w:marTop w:val="0"/>
      <w:marBottom w:val="0"/>
      <w:divBdr>
        <w:top w:val="none" w:sz="0" w:space="0" w:color="auto"/>
        <w:left w:val="none" w:sz="0" w:space="0" w:color="auto"/>
        <w:bottom w:val="none" w:sz="0" w:space="0" w:color="auto"/>
        <w:right w:val="none" w:sz="0" w:space="0" w:color="auto"/>
      </w:divBdr>
    </w:div>
    <w:div w:id="1981500298">
      <w:bodyDiv w:val="1"/>
      <w:marLeft w:val="0"/>
      <w:marRight w:val="0"/>
      <w:marTop w:val="0"/>
      <w:marBottom w:val="0"/>
      <w:divBdr>
        <w:top w:val="none" w:sz="0" w:space="0" w:color="auto"/>
        <w:left w:val="none" w:sz="0" w:space="0" w:color="auto"/>
        <w:bottom w:val="none" w:sz="0" w:space="0" w:color="auto"/>
        <w:right w:val="none" w:sz="0" w:space="0" w:color="auto"/>
      </w:divBdr>
    </w:div>
    <w:div w:id="2005081112">
      <w:bodyDiv w:val="1"/>
      <w:marLeft w:val="0"/>
      <w:marRight w:val="0"/>
      <w:marTop w:val="0"/>
      <w:marBottom w:val="0"/>
      <w:divBdr>
        <w:top w:val="none" w:sz="0" w:space="0" w:color="auto"/>
        <w:left w:val="none" w:sz="0" w:space="0" w:color="auto"/>
        <w:bottom w:val="none" w:sz="0" w:space="0" w:color="auto"/>
        <w:right w:val="none" w:sz="0" w:space="0" w:color="auto"/>
      </w:divBdr>
    </w:div>
    <w:div w:id="2038698359">
      <w:bodyDiv w:val="1"/>
      <w:marLeft w:val="0"/>
      <w:marRight w:val="0"/>
      <w:marTop w:val="0"/>
      <w:marBottom w:val="0"/>
      <w:divBdr>
        <w:top w:val="none" w:sz="0" w:space="0" w:color="auto"/>
        <w:left w:val="none" w:sz="0" w:space="0" w:color="auto"/>
        <w:bottom w:val="none" w:sz="0" w:space="0" w:color="auto"/>
        <w:right w:val="none" w:sz="0" w:space="0" w:color="auto"/>
      </w:divBdr>
    </w:div>
    <w:div w:id="2044091980">
      <w:bodyDiv w:val="1"/>
      <w:marLeft w:val="0"/>
      <w:marRight w:val="0"/>
      <w:marTop w:val="0"/>
      <w:marBottom w:val="0"/>
      <w:divBdr>
        <w:top w:val="none" w:sz="0" w:space="0" w:color="auto"/>
        <w:left w:val="none" w:sz="0" w:space="0" w:color="auto"/>
        <w:bottom w:val="none" w:sz="0" w:space="0" w:color="auto"/>
        <w:right w:val="none" w:sz="0" w:space="0" w:color="auto"/>
      </w:divBdr>
    </w:div>
    <w:div w:id="2074886218">
      <w:bodyDiv w:val="1"/>
      <w:marLeft w:val="0"/>
      <w:marRight w:val="0"/>
      <w:marTop w:val="0"/>
      <w:marBottom w:val="0"/>
      <w:divBdr>
        <w:top w:val="none" w:sz="0" w:space="0" w:color="auto"/>
        <w:left w:val="none" w:sz="0" w:space="0" w:color="auto"/>
        <w:bottom w:val="none" w:sz="0" w:space="0" w:color="auto"/>
        <w:right w:val="none" w:sz="0" w:space="0" w:color="auto"/>
      </w:divBdr>
    </w:div>
    <w:div w:id="2103530702">
      <w:bodyDiv w:val="1"/>
      <w:marLeft w:val="0"/>
      <w:marRight w:val="0"/>
      <w:marTop w:val="0"/>
      <w:marBottom w:val="0"/>
      <w:divBdr>
        <w:top w:val="none" w:sz="0" w:space="0" w:color="auto"/>
        <w:left w:val="none" w:sz="0" w:space="0" w:color="auto"/>
        <w:bottom w:val="none" w:sz="0" w:space="0" w:color="auto"/>
        <w:right w:val="none" w:sz="0" w:space="0" w:color="auto"/>
      </w:divBdr>
    </w:div>
    <w:div w:id="2104573435">
      <w:bodyDiv w:val="1"/>
      <w:marLeft w:val="0"/>
      <w:marRight w:val="0"/>
      <w:marTop w:val="0"/>
      <w:marBottom w:val="0"/>
      <w:divBdr>
        <w:top w:val="none" w:sz="0" w:space="0" w:color="auto"/>
        <w:left w:val="none" w:sz="0" w:space="0" w:color="auto"/>
        <w:bottom w:val="none" w:sz="0" w:space="0" w:color="auto"/>
        <w:right w:val="none" w:sz="0" w:space="0" w:color="auto"/>
      </w:divBdr>
    </w:div>
    <w:div w:id="213216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e7335096ec2d2a9cbb4ec427742b9522">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ec8c5bdf0a2d0af1f3dae7b01b4533e0"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C33E15-F102-41E9-A96C-BCE7DC4DCDAE}">
  <ds:schemaRefs>
    <ds:schemaRef ds:uri="http://schemas.openxmlformats.org/officeDocument/2006/bibliography"/>
  </ds:schemaRefs>
</ds:datastoreItem>
</file>

<file path=customXml/itemProps2.xml><?xml version="1.0" encoding="utf-8"?>
<ds:datastoreItem xmlns:ds="http://schemas.openxmlformats.org/officeDocument/2006/customXml" ds:itemID="{6D9661E8-A060-4993-9E83-8510755B20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39D00D-9F6E-4008-BB9D-2DA3E64C55FB}">
  <ds:schemaRefs>
    <ds:schemaRef ds:uri="http://schemas.microsoft.com/sharepoint/v3/contenttype/forms"/>
  </ds:schemaRefs>
</ds:datastoreItem>
</file>

<file path=customXml/itemProps4.xml><?xml version="1.0" encoding="utf-8"?>
<ds:datastoreItem xmlns:ds="http://schemas.openxmlformats.org/officeDocument/2006/customXml" ds:itemID="{92C9223B-DB1E-4464-97B5-A079CD0F2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78159</Words>
  <Characters>445507</Characters>
  <Application>Microsoft Office Word</Application>
  <DocSecurity>4</DocSecurity>
  <Lines>3712</Lines>
  <Paragraphs>1045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522621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HAITHAM SHOMAN</dc:creator>
  <cp:keywords/>
  <dc:description/>
  <cp:lastModifiedBy>Blanshard, Lisa</cp:lastModifiedBy>
  <cp:revision>2</cp:revision>
  <dcterms:created xsi:type="dcterms:W3CDTF">2022-04-19T11:29:00Z</dcterms:created>
  <dcterms:modified xsi:type="dcterms:W3CDTF">2022-04-19T11:29:00Z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http://www.zotero.org/styles/arthroscopy</vt:lpwstr>
  </property>
  <property fmtid="{D5CDD505-2E9C-101B-9397-08002B2CF9AE}" pid="7" name="Mendeley Recent Style Name 2_1">
    <vt:lpwstr>Arthroscopy: The Journal of Arthroscopic and Related Surgery</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http://www.zotero.org/styles/foot-and-ankle-international</vt:lpwstr>
  </property>
  <property fmtid="{D5CDD505-2E9C-101B-9397-08002B2CF9AE}" pid="11" name="Mendeley Recent Style Name 4_1">
    <vt:lpwstr>Foot &amp; Ankle International</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http://www.zotero.org/styles/rheumatology-international</vt:lpwstr>
  </property>
  <property fmtid="{D5CDD505-2E9C-101B-9397-08002B2CF9AE}" pid="21" name="Mendeley Recent Style Name 9_1">
    <vt:lpwstr>Rheumatology International</vt:lpwstr>
  </property>
  <property fmtid="{D5CDD505-2E9C-101B-9397-08002B2CF9AE}" pid="22" name="Mendeley Document_1">
    <vt:lpwstr>True</vt:lpwstr>
  </property>
  <property fmtid="{D5CDD505-2E9C-101B-9397-08002B2CF9AE}" pid="23" name="Mendeley Unique User Id_1">
    <vt:lpwstr>7cb81246-5cb0-3ead-965f-176799845d80</vt:lpwstr>
  </property>
  <property fmtid="{D5CDD505-2E9C-101B-9397-08002B2CF9AE}" pid="24" name="Mendeley Citation Style_1">
    <vt:lpwstr>http://www.zotero.org/styles/arthroscopy</vt:lpwstr>
  </property>
  <property fmtid="{D5CDD505-2E9C-101B-9397-08002B2CF9AE}" pid="25" name="ContentTypeId">
    <vt:lpwstr>0x0101002DC940401B443446950E83787B62815D</vt:lpwstr>
  </property>
</Properties>
</file>