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C36EF" w14:textId="6103236B" w:rsidR="00287067" w:rsidRPr="000454F6" w:rsidRDefault="00287067" w:rsidP="000454F6">
      <w:pPr>
        <w:pStyle w:val="Title"/>
      </w:pPr>
      <w:r w:rsidRPr="000454F6">
        <w:t>The downside of internationalization: when universal policy damages localized practice</w:t>
      </w:r>
    </w:p>
    <w:p w14:paraId="1BC45794" w14:textId="77777777" w:rsidR="00287067" w:rsidRPr="000454F6" w:rsidRDefault="00287067" w:rsidP="000454F6">
      <w:pPr>
        <w:rPr>
          <w:rFonts w:ascii="Arial" w:hAnsi="Arial" w:cs="Arial"/>
          <w:lang w:eastAsia="en-GB"/>
        </w:rPr>
      </w:pPr>
      <w:r w:rsidRPr="000454F6">
        <w:rPr>
          <w:rFonts w:ascii="Arial" w:hAnsi="Arial" w:cs="Arial"/>
          <w:lang w:eastAsia="en-GB"/>
        </w:rPr>
        <w:t>Hazel R Wright, Anglia Ruskin University, UK</w:t>
      </w:r>
    </w:p>
    <w:p w14:paraId="566079B1" w14:textId="77777777" w:rsidR="00287067" w:rsidRPr="00287067" w:rsidRDefault="00287067" w:rsidP="00287067">
      <w:pPr>
        <w:spacing w:before="100" w:beforeAutospacing="1" w:after="100" w:afterAutospacing="1"/>
        <w:rPr>
          <w:rFonts w:ascii="Arial" w:eastAsia="Times New Roman" w:hAnsi="Arial" w:cs="Arial"/>
          <w:color w:val="000000"/>
          <w:lang w:eastAsia="en-GB"/>
        </w:rPr>
      </w:pPr>
      <w:r w:rsidRPr="00287067">
        <w:rPr>
          <w:rFonts w:ascii="Arial" w:eastAsia="Times New Roman" w:hAnsi="Arial" w:cs="Arial"/>
          <w:color w:val="000000"/>
          <w:lang w:eastAsia="en-GB"/>
        </w:rPr>
        <w:t xml:space="preserve">The benefits of international collaboration for research and teaching purposes are manifest but this paper sets these aside. It focuses instead on the negative consequences when policy and practices developed in one context are applied more universally without thought to their effect on existing traditions. In short, the argument is against the imposition of extraneous practices without consultation with those already working in the field and without tailoring changes to improve rather than override existing practice. Imposition of new ideas is seen to be particularly damaging when strategies or structures are adopted at a superficial level without sufficient attempt to analyse the underlying premises and values or to consider how these could be transferred beneficially between contexts. </w:t>
      </w:r>
      <w:proofErr w:type="gramStart"/>
      <w:r w:rsidRPr="00287067">
        <w:rPr>
          <w:rFonts w:ascii="Arial" w:eastAsia="Times New Roman" w:hAnsi="Arial" w:cs="Arial"/>
          <w:color w:val="000000"/>
          <w:lang w:eastAsia="en-GB"/>
        </w:rPr>
        <w:t>In particular, this</w:t>
      </w:r>
      <w:proofErr w:type="gramEnd"/>
      <w:r w:rsidRPr="00287067">
        <w:rPr>
          <w:rFonts w:ascii="Arial" w:eastAsia="Times New Roman" w:hAnsi="Arial" w:cs="Arial"/>
          <w:color w:val="000000"/>
          <w:lang w:eastAsia="en-GB"/>
        </w:rPr>
        <w:t xml:space="preserve"> can lead to compromises that would be unnecessary if new practices were developed for specific contexts rather than adapted from practice elsewhere. The discussion will commence with a broad overview of ‘globalization’ before narrowing down to an adult education focus with examples drawn from original research in an early </w:t>
      </w:r>
      <w:proofErr w:type="gramStart"/>
      <w:r w:rsidRPr="00287067">
        <w:rPr>
          <w:rFonts w:ascii="Arial" w:eastAsia="Times New Roman" w:hAnsi="Arial" w:cs="Arial"/>
          <w:color w:val="000000"/>
          <w:lang w:eastAsia="en-GB"/>
        </w:rPr>
        <w:t>years</w:t>
      </w:r>
      <w:proofErr w:type="gramEnd"/>
      <w:r w:rsidRPr="00287067">
        <w:rPr>
          <w:rFonts w:ascii="Arial" w:eastAsia="Times New Roman" w:hAnsi="Arial" w:cs="Arial"/>
          <w:color w:val="000000"/>
          <w:lang w:eastAsia="en-GB"/>
        </w:rPr>
        <w:t xml:space="preserve"> training context within further education. The strength of many practices in both adult and early years education is that they developed from grass roots movements that met the needs of users rather than from top-down policy initiatives, a tradition that is increasingly challenged.</w:t>
      </w:r>
    </w:p>
    <w:p w14:paraId="4E296C98" w14:textId="77777777" w:rsidR="00287067" w:rsidRPr="00287067" w:rsidRDefault="00287067" w:rsidP="00287067">
      <w:pPr>
        <w:spacing w:before="100" w:beforeAutospacing="1" w:after="100" w:afterAutospacing="1"/>
        <w:rPr>
          <w:rFonts w:ascii="Arial" w:eastAsia="Times New Roman" w:hAnsi="Arial" w:cs="Arial"/>
          <w:color w:val="000000"/>
          <w:lang w:eastAsia="en-GB"/>
        </w:rPr>
      </w:pPr>
      <w:r w:rsidRPr="00287067">
        <w:rPr>
          <w:rFonts w:ascii="Arial" w:eastAsia="Times New Roman" w:hAnsi="Arial" w:cs="Arial"/>
          <w:color w:val="000000"/>
          <w:lang w:eastAsia="en-GB"/>
        </w:rPr>
        <w:t xml:space="preserve">The current commonly held conception of lifelong learning is that it is a policy essential for competitiveness in the worldwide market. Thus, the prime official expectation for adult education is that it is a means of developing the workforce, of improving industrial inputs. In a global economy, nation states can no longer manipulate the market by artificially controlling supply and demand, however, the workforce, now designated ‘human capital’, is a factor that can be influenced. A simple reductionist view is that improvements in the workforce lead directly to improvements in the economy, or </w:t>
      </w:r>
      <w:proofErr w:type="spellStart"/>
      <w:r w:rsidRPr="00287067">
        <w:rPr>
          <w:rFonts w:ascii="Arial" w:eastAsia="Times New Roman" w:hAnsi="Arial" w:cs="Arial"/>
          <w:color w:val="000000"/>
          <w:lang w:eastAsia="en-GB"/>
        </w:rPr>
        <w:t>obversely</w:t>
      </w:r>
      <w:proofErr w:type="spellEnd"/>
      <w:r w:rsidRPr="00287067">
        <w:rPr>
          <w:rFonts w:ascii="Arial" w:eastAsia="Times New Roman" w:hAnsi="Arial" w:cs="Arial"/>
          <w:color w:val="000000"/>
          <w:lang w:eastAsia="en-GB"/>
        </w:rPr>
        <w:t xml:space="preserve">, ‘any country’s prosperity depends above all else on the skills, knowledge and inventiveness of its people’ (Brown, </w:t>
      </w:r>
      <w:proofErr w:type="gramStart"/>
      <w:r w:rsidRPr="00287067">
        <w:rPr>
          <w:rFonts w:ascii="Arial" w:eastAsia="Times New Roman" w:hAnsi="Arial" w:cs="Arial"/>
          <w:color w:val="000000"/>
          <w:lang w:eastAsia="en-GB"/>
        </w:rPr>
        <w:t>Blunkett</w:t>
      </w:r>
      <w:proofErr w:type="gramEnd"/>
      <w:r w:rsidRPr="00287067">
        <w:rPr>
          <w:rFonts w:ascii="Arial" w:eastAsia="Times New Roman" w:hAnsi="Arial" w:cs="Arial"/>
          <w:color w:val="000000"/>
          <w:lang w:eastAsia="en-GB"/>
        </w:rPr>
        <w:t xml:space="preserve"> and Harman 1996, in Hodgson and </w:t>
      </w:r>
      <w:proofErr w:type="spellStart"/>
      <w:r w:rsidRPr="00287067">
        <w:rPr>
          <w:rFonts w:ascii="Arial" w:eastAsia="Times New Roman" w:hAnsi="Arial" w:cs="Arial"/>
          <w:color w:val="000000"/>
          <w:lang w:eastAsia="en-GB"/>
        </w:rPr>
        <w:t>Spours</w:t>
      </w:r>
      <w:proofErr w:type="spellEnd"/>
      <w:r w:rsidRPr="00287067">
        <w:rPr>
          <w:rFonts w:ascii="Arial" w:eastAsia="Times New Roman" w:hAnsi="Arial" w:cs="Arial"/>
          <w:color w:val="000000"/>
          <w:lang w:eastAsia="en-GB"/>
        </w:rPr>
        <w:t xml:space="preserve"> 1999, p.7). Similar beliefs were embedded in Conservative Party policy under Margaret Thatcher; made manifest in the commodification of education (now a good with value in a market economy), in policies favouring privatization (local management of schools, incorporation of colleges, training credits), and credentialism (often through National Vocational Qualifications, NVQs) (Hodgson and </w:t>
      </w:r>
      <w:proofErr w:type="spellStart"/>
      <w:r w:rsidRPr="00287067">
        <w:rPr>
          <w:rFonts w:ascii="Arial" w:eastAsia="Times New Roman" w:hAnsi="Arial" w:cs="Arial"/>
          <w:color w:val="000000"/>
          <w:lang w:eastAsia="en-GB"/>
        </w:rPr>
        <w:t>Spours</w:t>
      </w:r>
      <w:proofErr w:type="spellEnd"/>
      <w:r w:rsidRPr="00287067">
        <w:rPr>
          <w:rFonts w:ascii="Arial" w:eastAsia="Times New Roman" w:hAnsi="Arial" w:cs="Arial"/>
          <w:color w:val="000000"/>
          <w:lang w:eastAsia="en-GB"/>
        </w:rPr>
        <w:t xml:space="preserve"> 1999, p.11). There is no sign that the </w:t>
      </w:r>
      <w:r w:rsidRPr="00287067">
        <w:rPr>
          <w:rFonts w:ascii="Arial" w:eastAsia="Times New Roman" w:hAnsi="Arial" w:cs="Arial"/>
          <w:i/>
          <w:iCs/>
          <w:color w:val="000000"/>
          <w:lang w:eastAsia="en-GB"/>
        </w:rPr>
        <w:t>a priori</w:t>
      </w:r>
      <w:r w:rsidRPr="00287067">
        <w:rPr>
          <w:rFonts w:ascii="Arial" w:eastAsia="Times New Roman" w:hAnsi="Arial" w:cs="Arial"/>
          <w:color w:val="000000"/>
          <w:lang w:eastAsia="en-GB"/>
        </w:rPr>
        <w:t> importance of the economy will alter under the current coalition but signs that there may be a greater devolution of managerial powers and, in the re-establishment of a Department for Education, a clearer focus on education </w:t>
      </w:r>
      <w:r w:rsidRPr="00287067">
        <w:rPr>
          <w:rFonts w:ascii="Arial" w:eastAsia="Times New Roman" w:hAnsi="Arial" w:cs="Arial"/>
          <w:i/>
          <w:iCs/>
          <w:color w:val="000000"/>
          <w:lang w:eastAsia="en-GB"/>
        </w:rPr>
        <w:t>per se</w:t>
      </w:r>
      <w:r w:rsidRPr="00287067">
        <w:rPr>
          <w:rFonts w:ascii="Arial" w:eastAsia="Times New Roman" w:hAnsi="Arial" w:cs="Arial"/>
          <w:color w:val="000000"/>
          <w:lang w:eastAsia="en-GB"/>
        </w:rPr>
        <w:t>. Indeed, one interpretation of the much-contested notion of the ‘Big Society’ is that it is a further attempt to control the voluntary sector, seeking to promote, even enforce, grass roots involvement.</w:t>
      </w:r>
    </w:p>
    <w:p w14:paraId="2637CF46" w14:textId="77777777" w:rsidR="00287067" w:rsidRPr="00287067" w:rsidRDefault="00287067" w:rsidP="00287067">
      <w:pPr>
        <w:spacing w:before="100" w:beforeAutospacing="1" w:after="100" w:afterAutospacing="1"/>
        <w:rPr>
          <w:rFonts w:ascii="Arial" w:eastAsia="Times New Roman" w:hAnsi="Arial" w:cs="Arial"/>
          <w:color w:val="000000"/>
          <w:lang w:eastAsia="en-GB"/>
        </w:rPr>
      </w:pPr>
      <w:r w:rsidRPr="00287067">
        <w:rPr>
          <w:rFonts w:ascii="Arial" w:eastAsia="Times New Roman" w:hAnsi="Arial" w:cs="Arial"/>
          <w:color w:val="000000"/>
          <w:lang w:eastAsia="en-GB"/>
        </w:rPr>
        <w:t xml:space="preserve">There is no simple direct link between education and economic improvement, however. The alternative, even obverse, argument is that the focus on education camouflages an inability to influence the economy. Extensive Canadian research demonstrated that credentialism stems from the ‘relative withering of good jobs with </w:t>
      </w:r>
      <w:r w:rsidRPr="00287067">
        <w:rPr>
          <w:rFonts w:ascii="Arial" w:eastAsia="Times New Roman" w:hAnsi="Arial" w:cs="Arial"/>
          <w:color w:val="000000"/>
          <w:lang w:eastAsia="en-GB"/>
        </w:rPr>
        <w:lastRenderedPageBreak/>
        <w:t>decent pay’ (Livingstone 2002, p.50). ‘Upskilling’ ‘converts deep-seated economic problems into short-lived educational projects’ (</w:t>
      </w:r>
      <w:proofErr w:type="spellStart"/>
      <w:r w:rsidRPr="00287067">
        <w:rPr>
          <w:rFonts w:ascii="Arial" w:eastAsia="Times New Roman" w:hAnsi="Arial" w:cs="Arial"/>
          <w:color w:val="000000"/>
          <w:lang w:eastAsia="en-GB"/>
        </w:rPr>
        <w:t>Coffield</w:t>
      </w:r>
      <w:proofErr w:type="spellEnd"/>
      <w:r w:rsidRPr="00287067">
        <w:rPr>
          <w:rFonts w:ascii="Arial" w:eastAsia="Times New Roman" w:hAnsi="Arial" w:cs="Arial"/>
          <w:color w:val="000000"/>
          <w:lang w:eastAsia="en-GB"/>
        </w:rPr>
        <w:t xml:space="preserve"> 2002, p.183) and the ‘coercive discourse of training and development’ withholds support from those who refuse to upgrade their skills (Field 2006, p.6). A once cynical view, that the renaming of lifelong education as lifelong learning enabled the government to relinquish responsibility for education (Elliot 1999, Griffin 2002) becomes less cynical when viewed retrospectively. The Labour government’s cuts to funding for adult classes in the ‘noughties’ that resulted in a ‘substantial loss of opportunities for thousands of adults who have found their way back to education and training’ (</w:t>
      </w:r>
      <w:proofErr w:type="spellStart"/>
      <w:r w:rsidRPr="00287067">
        <w:rPr>
          <w:rFonts w:ascii="Arial" w:eastAsia="Times New Roman" w:hAnsi="Arial" w:cs="Arial"/>
          <w:color w:val="000000"/>
          <w:lang w:eastAsia="en-GB"/>
        </w:rPr>
        <w:t>Tuckett</w:t>
      </w:r>
      <w:proofErr w:type="spellEnd"/>
      <w:r w:rsidRPr="00287067">
        <w:rPr>
          <w:rFonts w:ascii="Arial" w:eastAsia="Times New Roman" w:hAnsi="Arial" w:cs="Arial"/>
          <w:color w:val="000000"/>
          <w:lang w:eastAsia="en-GB"/>
        </w:rPr>
        <w:t>, </w:t>
      </w:r>
      <w:r w:rsidRPr="00287067">
        <w:rPr>
          <w:rFonts w:ascii="Arial" w:eastAsia="Times New Roman" w:hAnsi="Arial" w:cs="Arial"/>
          <w:i/>
          <w:iCs/>
          <w:color w:val="000000"/>
          <w:lang w:eastAsia="en-GB"/>
        </w:rPr>
        <w:t>TES</w:t>
      </w:r>
      <w:r w:rsidRPr="00287067">
        <w:rPr>
          <w:rFonts w:ascii="Arial" w:eastAsia="Times New Roman" w:hAnsi="Arial" w:cs="Arial"/>
          <w:color w:val="000000"/>
          <w:lang w:eastAsia="en-GB"/>
        </w:rPr>
        <w:t> 13.5.05), and the current coalition government withdrawal of the teaching grant for higher education, are not actions that demonstrate support for universal educational opportunity. Standardization, targeted funding streams and inspection continue but control does not equate with responsibility.</w:t>
      </w:r>
    </w:p>
    <w:p w14:paraId="461771EB" w14:textId="77777777" w:rsidR="00287067" w:rsidRPr="00287067" w:rsidRDefault="00287067" w:rsidP="00287067">
      <w:pPr>
        <w:spacing w:before="100" w:beforeAutospacing="1" w:after="100" w:afterAutospacing="1"/>
        <w:rPr>
          <w:rFonts w:ascii="Arial" w:eastAsia="Times New Roman" w:hAnsi="Arial" w:cs="Arial"/>
          <w:color w:val="000000"/>
          <w:lang w:eastAsia="en-GB"/>
        </w:rPr>
      </w:pPr>
      <w:r w:rsidRPr="00287067">
        <w:rPr>
          <w:rFonts w:ascii="Arial" w:eastAsia="Times New Roman" w:hAnsi="Arial" w:cs="Arial"/>
          <w:color w:val="000000"/>
          <w:lang w:eastAsia="en-GB"/>
        </w:rPr>
        <w:t xml:space="preserve">The cuts in adult education were cast as a demographic problem associated with a ‘temporary bulge’ in the </w:t>
      </w:r>
      <w:proofErr w:type="gramStart"/>
      <w:r w:rsidRPr="00287067">
        <w:rPr>
          <w:rFonts w:ascii="Arial" w:eastAsia="Times New Roman" w:hAnsi="Arial" w:cs="Arial"/>
          <w:color w:val="000000"/>
          <w:lang w:eastAsia="en-GB"/>
        </w:rPr>
        <w:t>16-19 year old</w:t>
      </w:r>
      <w:proofErr w:type="gramEnd"/>
      <w:r w:rsidRPr="00287067">
        <w:rPr>
          <w:rFonts w:ascii="Arial" w:eastAsia="Times New Roman" w:hAnsi="Arial" w:cs="Arial"/>
          <w:color w:val="000000"/>
          <w:lang w:eastAsia="en-GB"/>
        </w:rPr>
        <w:t xml:space="preserve"> population (Flint, </w:t>
      </w:r>
      <w:r w:rsidRPr="00287067">
        <w:rPr>
          <w:rFonts w:ascii="Arial" w:eastAsia="Times New Roman" w:hAnsi="Arial" w:cs="Arial"/>
          <w:i/>
          <w:iCs/>
          <w:color w:val="000000"/>
          <w:lang w:eastAsia="en-GB"/>
        </w:rPr>
        <w:t>TES</w:t>
      </w:r>
      <w:r w:rsidRPr="00287067">
        <w:rPr>
          <w:rFonts w:ascii="Arial" w:eastAsia="Times New Roman" w:hAnsi="Arial" w:cs="Arial"/>
          <w:color w:val="000000"/>
          <w:lang w:eastAsia="en-GB"/>
        </w:rPr>
        <w:t> 10.6.05) but coincidentally brought under government control a sector once deemed ‘too resistant for incorporation’ (Jarvis and Griffin 2003, p.10). Within FE colleges, policy reforms – based on European objectives – added to pressures on staff rather than directly meeting student and lecturer needs. Certainly, the adoption of a rigid financing policy disabling localized decision-making and the restriction of priority spending to young people, basic skills, a first level 2 qualification, and entitlement to level 3 vocational training in priority sectors only (a condition later relaxed) (Forrester, </w:t>
      </w:r>
      <w:r w:rsidRPr="00287067">
        <w:rPr>
          <w:rFonts w:ascii="Arial" w:eastAsia="Times New Roman" w:hAnsi="Arial" w:cs="Arial"/>
          <w:i/>
          <w:iCs/>
          <w:color w:val="000000"/>
          <w:lang w:eastAsia="en-GB"/>
        </w:rPr>
        <w:t>TES</w:t>
      </w:r>
      <w:r w:rsidRPr="00287067">
        <w:rPr>
          <w:rFonts w:ascii="Arial" w:eastAsia="Times New Roman" w:hAnsi="Arial" w:cs="Arial"/>
          <w:color w:val="000000"/>
          <w:lang w:eastAsia="en-GB"/>
        </w:rPr>
        <w:t> 1.7.05), implied political as well as economic control.</w:t>
      </w:r>
    </w:p>
    <w:p w14:paraId="0C7A14C6" w14:textId="77777777" w:rsidR="00287067" w:rsidRPr="00287067" w:rsidRDefault="00287067" w:rsidP="00287067">
      <w:pPr>
        <w:spacing w:before="100" w:beforeAutospacing="1" w:after="100" w:afterAutospacing="1"/>
        <w:rPr>
          <w:rFonts w:ascii="Arial" w:eastAsia="Times New Roman" w:hAnsi="Arial" w:cs="Arial"/>
          <w:color w:val="000000"/>
          <w:lang w:eastAsia="en-GB"/>
        </w:rPr>
      </w:pPr>
      <w:r w:rsidRPr="00287067">
        <w:rPr>
          <w:rFonts w:ascii="Arial" w:eastAsia="Times New Roman" w:hAnsi="Arial" w:cs="Arial"/>
          <w:color w:val="000000"/>
          <w:lang w:eastAsia="en-GB"/>
        </w:rPr>
        <w:t>According to the Learning and Skills Development Agency (LSDA 2003) the OECD (Organization for Economic Cooperation and Development) report </w:t>
      </w:r>
      <w:r w:rsidRPr="00287067">
        <w:rPr>
          <w:rFonts w:ascii="Arial" w:eastAsia="Times New Roman" w:hAnsi="Arial" w:cs="Arial"/>
          <w:i/>
          <w:iCs/>
          <w:color w:val="000000"/>
          <w:lang w:eastAsia="en-GB"/>
        </w:rPr>
        <w:t>Beyond rhetoric</w:t>
      </w:r>
      <w:r w:rsidRPr="00287067">
        <w:rPr>
          <w:rFonts w:ascii="Arial" w:eastAsia="Times New Roman" w:hAnsi="Arial" w:cs="Arial"/>
          <w:color w:val="000000"/>
          <w:lang w:eastAsia="en-GB"/>
        </w:rPr>
        <w:t> sought evidence of educational outcomes to verify an earlier (2000) finding that the average long-term impact on </w:t>
      </w:r>
      <w:r w:rsidRPr="00287067">
        <w:rPr>
          <w:rFonts w:ascii="Arial" w:eastAsia="Times New Roman" w:hAnsi="Arial" w:cs="Arial"/>
          <w:i/>
          <w:iCs/>
          <w:color w:val="000000"/>
          <w:lang w:eastAsia="en-GB"/>
        </w:rPr>
        <w:t>per capita</w:t>
      </w:r>
      <w:r w:rsidRPr="00287067">
        <w:rPr>
          <w:rFonts w:ascii="Arial" w:eastAsia="Times New Roman" w:hAnsi="Arial" w:cs="Arial"/>
          <w:color w:val="000000"/>
          <w:lang w:eastAsia="en-GB"/>
        </w:rPr>
        <w:t> output of one year’s additional education was between 4 and 7%. As with the UK </w:t>
      </w:r>
      <w:r w:rsidRPr="00287067">
        <w:rPr>
          <w:rFonts w:ascii="Arial" w:eastAsia="Times New Roman" w:hAnsi="Arial" w:cs="Arial"/>
          <w:i/>
          <w:iCs/>
          <w:color w:val="000000"/>
          <w:lang w:eastAsia="en-GB"/>
        </w:rPr>
        <w:t>Wider benefits of learning </w:t>
      </w:r>
      <w:r w:rsidRPr="00287067">
        <w:rPr>
          <w:rFonts w:ascii="Arial" w:eastAsia="Times New Roman" w:hAnsi="Arial" w:cs="Arial"/>
          <w:color w:val="000000"/>
          <w:lang w:eastAsia="en-GB"/>
        </w:rPr>
        <w:t>(WBL)</w:t>
      </w:r>
      <w:r w:rsidRPr="00287067">
        <w:rPr>
          <w:rFonts w:ascii="Arial" w:eastAsia="Times New Roman" w:hAnsi="Arial" w:cs="Arial"/>
          <w:i/>
          <w:iCs/>
          <w:color w:val="000000"/>
          <w:lang w:eastAsia="en-GB"/>
        </w:rPr>
        <w:t> </w:t>
      </w:r>
      <w:r w:rsidRPr="00287067">
        <w:rPr>
          <w:rFonts w:ascii="Arial" w:eastAsia="Times New Roman" w:hAnsi="Arial" w:cs="Arial"/>
          <w:color w:val="000000"/>
          <w:lang w:eastAsia="en-GB"/>
        </w:rPr>
        <w:t xml:space="preserve">project, policy makers were to facilitate investigation of learning outcomes – whether economic, </w:t>
      </w:r>
      <w:proofErr w:type="gramStart"/>
      <w:r w:rsidRPr="00287067">
        <w:rPr>
          <w:rFonts w:ascii="Arial" w:eastAsia="Times New Roman" w:hAnsi="Arial" w:cs="Arial"/>
          <w:color w:val="000000"/>
          <w:lang w:eastAsia="en-GB"/>
        </w:rPr>
        <w:t>individualized</w:t>
      </w:r>
      <w:proofErr w:type="gramEnd"/>
      <w:r w:rsidRPr="00287067">
        <w:rPr>
          <w:rFonts w:ascii="Arial" w:eastAsia="Times New Roman" w:hAnsi="Arial" w:cs="Arial"/>
          <w:color w:val="000000"/>
          <w:lang w:eastAsia="en-GB"/>
        </w:rPr>
        <w:t xml:space="preserve"> or participatory – to motivate less educated workers to take up training opportunities (p.9). Employers were to be made aware of the ‘direct value’ from continued vocational training (5.2) and in Britain there were repeated demands for employer funding of training. Teacher training </w:t>
      </w:r>
      <w:proofErr w:type="gramStart"/>
      <w:r w:rsidRPr="00287067">
        <w:rPr>
          <w:rFonts w:ascii="Arial" w:eastAsia="Times New Roman" w:hAnsi="Arial" w:cs="Arial"/>
          <w:color w:val="000000"/>
          <w:lang w:eastAsia="en-GB"/>
        </w:rPr>
        <w:t>was considered to be</w:t>
      </w:r>
      <w:proofErr w:type="gramEnd"/>
      <w:r w:rsidRPr="00287067">
        <w:rPr>
          <w:rFonts w:ascii="Arial" w:eastAsia="Times New Roman" w:hAnsi="Arial" w:cs="Arial"/>
          <w:color w:val="000000"/>
          <w:lang w:eastAsia="en-GB"/>
        </w:rPr>
        <w:t xml:space="preserve"> ‘the most neglected aspect of adult learning’ (6.1) with teachers out of touch with the realities of the labour market – providing a rationale for the insistence on teacher qualifications in the post-compulsory sector. The report highlighted the UK </w:t>
      </w:r>
      <w:r w:rsidRPr="00287067">
        <w:rPr>
          <w:rFonts w:ascii="Arial" w:eastAsia="Times New Roman" w:hAnsi="Arial" w:cs="Arial"/>
          <w:i/>
          <w:iCs/>
          <w:color w:val="000000"/>
          <w:lang w:eastAsia="en-GB"/>
        </w:rPr>
        <w:t>Investors in people</w:t>
      </w:r>
      <w:r w:rsidRPr="00287067">
        <w:rPr>
          <w:rFonts w:ascii="Arial" w:eastAsia="Times New Roman" w:hAnsi="Arial" w:cs="Arial"/>
          <w:color w:val="000000"/>
          <w:lang w:eastAsia="en-GB"/>
        </w:rPr>
        <w:t> label as an example of good practice (5.1) and called for a focus on basic skills (2.3) and mastery of ICT (6.2). It</w:t>
      </w:r>
      <w:r w:rsidRPr="00287067">
        <w:rPr>
          <w:rFonts w:ascii="Arial" w:eastAsia="Times New Roman" w:hAnsi="Arial" w:cs="Arial"/>
          <w:i/>
          <w:iCs/>
          <w:color w:val="000000"/>
          <w:lang w:eastAsia="en-GB"/>
        </w:rPr>
        <w:t> </w:t>
      </w:r>
      <w:r w:rsidRPr="00287067">
        <w:rPr>
          <w:rFonts w:ascii="Arial" w:eastAsia="Times New Roman" w:hAnsi="Arial" w:cs="Arial"/>
          <w:color w:val="000000"/>
          <w:lang w:eastAsia="en-GB"/>
        </w:rPr>
        <w:t xml:space="preserve">called for a coherent adult education policy (4.4) that among other criteria should include possibilities for cooperation with related policy areas such as employment, social, economic or health activities. The review concluded by pointing out the lack of evaluation studies on what works in adult education, highlighting the need for better data on participation, </w:t>
      </w:r>
      <w:proofErr w:type="gramStart"/>
      <w:r w:rsidRPr="00287067">
        <w:rPr>
          <w:rFonts w:ascii="Arial" w:eastAsia="Times New Roman" w:hAnsi="Arial" w:cs="Arial"/>
          <w:color w:val="000000"/>
          <w:lang w:eastAsia="en-GB"/>
        </w:rPr>
        <w:t>financing</w:t>
      </w:r>
      <w:proofErr w:type="gramEnd"/>
      <w:r w:rsidRPr="00287067">
        <w:rPr>
          <w:rFonts w:ascii="Arial" w:eastAsia="Times New Roman" w:hAnsi="Arial" w:cs="Arial"/>
          <w:color w:val="000000"/>
          <w:lang w:eastAsia="en-GB"/>
        </w:rPr>
        <w:t xml:space="preserve"> and outcomes. It recommended a wider variety of approaches to evaluation over longer time periods </w:t>
      </w:r>
      <w:proofErr w:type="gramStart"/>
      <w:r w:rsidRPr="00287067">
        <w:rPr>
          <w:rFonts w:ascii="Arial" w:eastAsia="Times New Roman" w:hAnsi="Arial" w:cs="Arial"/>
          <w:color w:val="000000"/>
          <w:lang w:eastAsia="en-GB"/>
        </w:rPr>
        <w:t>in order to</w:t>
      </w:r>
      <w:proofErr w:type="gramEnd"/>
      <w:r w:rsidRPr="00287067">
        <w:rPr>
          <w:rFonts w:ascii="Arial" w:eastAsia="Times New Roman" w:hAnsi="Arial" w:cs="Arial"/>
          <w:color w:val="000000"/>
          <w:lang w:eastAsia="en-GB"/>
        </w:rPr>
        <w:t xml:space="preserve"> determine the total impact – social and economic – of training courses (8.2), creating a clear rationale for longitudinal studies and reviews of provision. The extension of the </w:t>
      </w:r>
      <w:r w:rsidRPr="00287067">
        <w:rPr>
          <w:rFonts w:ascii="Arial" w:eastAsia="Times New Roman" w:hAnsi="Arial" w:cs="Arial"/>
          <w:i/>
          <w:iCs/>
          <w:color w:val="000000"/>
          <w:lang w:eastAsia="en-GB"/>
        </w:rPr>
        <w:t>Wider benefits of learning</w:t>
      </w:r>
      <w:r w:rsidRPr="00287067">
        <w:rPr>
          <w:rFonts w:ascii="Arial" w:eastAsia="Times New Roman" w:hAnsi="Arial" w:cs="Arial"/>
          <w:color w:val="000000"/>
          <w:lang w:eastAsia="en-GB"/>
        </w:rPr>
        <w:t> project (Feinstein </w:t>
      </w:r>
      <w:r w:rsidRPr="00287067">
        <w:rPr>
          <w:rFonts w:ascii="Arial" w:eastAsia="Times New Roman" w:hAnsi="Arial" w:cs="Arial"/>
          <w:i/>
          <w:iCs/>
          <w:color w:val="000000"/>
          <w:lang w:eastAsia="en-GB"/>
        </w:rPr>
        <w:t>et al</w:t>
      </w:r>
      <w:r w:rsidRPr="00287067">
        <w:rPr>
          <w:rFonts w:ascii="Arial" w:eastAsia="Times New Roman" w:hAnsi="Arial" w:cs="Arial"/>
          <w:color w:val="000000"/>
          <w:lang w:eastAsia="en-GB"/>
        </w:rPr>
        <w:t> 2008), the</w:t>
      </w:r>
      <w:r w:rsidRPr="00287067">
        <w:rPr>
          <w:rFonts w:ascii="Arial" w:eastAsia="Times New Roman" w:hAnsi="Arial" w:cs="Arial"/>
          <w:i/>
          <w:iCs/>
          <w:color w:val="000000"/>
          <w:lang w:eastAsia="en-GB"/>
        </w:rPr>
        <w:t> Teaching and learning research programme </w:t>
      </w:r>
      <w:r w:rsidRPr="00287067">
        <w:rPr>
          <w:rFonts w:ascii="Arial" w:eastAsia="Times New Roman" w:hAnsi="Arial" w:cs="Arial"/>
          <w:color w:val="000000"/>
          <w:lang w:eastAsia="en-GB"/>
        </w:rPr>
        <w:t xml:space="preserve">(TLRP) projects (2005, 2007, 2008), the National Institute for Adult and </w:t>
      </w:r>
      <w:r w:rsidRPr="00287067">
        <w:rPr>
          <w:rFonts w:ascii="Arial" w:eastAsia="Times New Roman" w:hAnsi="Arial" w:cs="Arial"/>
          <w:color w:val="000000"/>
          <w:lang w:eastAsia="en-GB"/>
        </w:rPr>
        <w:lastRenderedPageBreak/>
        <w:t>Continuing Education (NIACE 2005) </w:t>
      </w:r>
      <w:r w:rsidRPr="00287067">
        <w:rPr>
          <w:rFonts w:ascii="Arial" w:eastAsia="Times New Roman" w:hAnsi="Arial" w:cs="Arial"/>
          <w:i/>
          <w:iCs/>
          <w:color w:val="000000"/>
          <w:lang w:eastAsia="en-GB"/>
        </w:rPr>
        <w:t>Eight in</w:t>
      </w:r>
      <w:r w:rsidRPr="00287067">
        <w:rPr>
          <w:rFonts w:ascii="Arial" w:eastAsia="Times New Roman" w:hAnsi="Arial" w:cs="Arial"/>
          <w:color w:val="000000"/>
          <w:lang w:eastAsia="en-GB"/>
        </w:rPr>
        <w:t> </w:t>
      </w:r>
      <w:r w:rsidRPr="00287067">
        <w:rPr>
          <w:rFonts w:ascii="Arial" w:eastAsia="Times New Roman" w:hAnsi="Arial" w:cs="Arial"/>
          <w:i/>
          <w:iCs/>
          <w:color w:val="000000"/>
          <w:lang w:eastAsia="en-GB"/>
        </w:rPr>
        <w:t>ten </w:t>
      </w:r>
      <w:r w:rsidRPr="00287067">
        <w:rPr>
          <w:rFonts w:ascii="Arial" w:eastAsia="Times New Roman" w:hAnsi="Arial" w:cs="Arial"/>
          <w:color w:val="000000"/>
          <w:lang w:eastAsia="en-GB"/>
        </w:rPr>
        <w:t>report and the official </w:t>
      </w:r>
      <w:proofErr w:type="gramStart"/>
      <w:r w:rsidRPr="00287067">
        <w:rPr>
          <w:rFonts w:ascii="Arial" w:eastAsia="Times New Roman" w:hAnsi="Arial" w:cs="Arial"/>
          <w:i/>
          <w:iCs/>
          <w:color w:val="000000"/>
          <w:lang w:eastAsia="en-GB"/>
        </w:rPr>
        <w:t>Foster</w:t>
      </w:r>
      <w:proofErr w:type="gramEnd"/>
      <w:r w:rsidRPr="00287067">
        <w:rPr>
          <w:rFonts w:ascii="Arial" w:eastAsia="Times New Roman" w:hAnsi="Arial" w:cs="Arial"/>
          <w:i/>
          <w:iCs/>
          <w:color w:val="000000"/>
          <w:lang w:eastAsia="en-GB"/>
        </w:rPr>
        <w:t xml:space="preserve"> review</w:t>
      </w:r>
      <w:r w:rsidRPr="00287067">
        <w:rPr>
          <w:rFonts w:ascii="Arial" w:eastAsia="Times New Roman" w:hAnsi="Arial" w:cs="Arial"/>
          <w:color w:val="000000"/>
          <w:lang w:eastAsia="en-GB"/>
        </w:rPr>
        <w:t> into further education (DfES 2005) were timely.</w:t>
      </w:r>
    </w:p>
    <w:p w14:paraId="427B9F96" w14:textId="77777777" w:rsidR="00287067" w:rsidRPr="00287067" w:rsidRDefault="00287067" w:rsidP="00287067">
      <w:pPr>
        <w:spacing w:before="100" w:beforeAutospacing="1" w:after="100" w:afterAutospacing="1"/>
        <w:rPr>
          <w:rFonts w:ascii="Arial" w:eastAsia="Times New Roman" w:hAnsi="Arial" w:cs="Arial"/>
          <w:color w:val="000000"/>
          <w:lang w:eastAsia="en-GB"/>
        </w:rPr>
      </w:pPr>
      <w:r w:rsidRPr="00287067">
        <w:rPr>
          <w:rFonts w:ascii="Arial" w:eastAsia="Times New Roman" w:hAnsi="Arial" w:cs="Arial"/>
          <w:color w:val="000000"/>
          <w:lang w:eastAsia="en-GB"/>
        </w:rPr>
        <w:t>The LSDA (2004) overview states how the subsequent OECD report, </w:t>
      </w:r>
      <w:proofErr w:type="gramStart"/>
      <w:r w:rsidRPr="00287067">
        <w:rPr>
          <w:rFonts w:ascii="Arial" w:eastAsia="Times New Roman" w:hAnsi="Arial" w:cs="Arial"/>
          <w:i/>
          <w:iCs/>
          <w:color w:val="000000"/>
          <w:lang w:eastAsia="en-GB"/>
        </w:rPr>
        <w:t>Promoting</w:t>
      </w:r>
      <w:proofErr w:type="gramEnd"/>
      <w:r w:rsidRPr="00287067">
        <w:rPr>
          <w:rFonts w:ascii="Arial" w:eastAsia="Times New Roman" w:hAnsi="Arial" w:cs="Arial"/>
          <w:i/>
          <w:iCs/>
          <w:color w:val="000000"/>
          <w:lang w:eastAsia="en-GB"/>
        </w:rPr>
        <w:t xml:space="preserve"> adult learning,</w:t>
      </w:r>
      <w:r w:rsidRPr="00287067">
        <w:rPr>
          <w:rFonts w:ascii="Arial" w:eastAsia="Times New Roman" w:hAnsi="Arial" w:cs="Arial"/>
          <w:color w:val="000000"/>
          <w:lang w:eastAsia="en-GB"/>
        </w:rPr>
        <w:t xml:space="preserve"> looked thematically at policies and practices in 17 countries, particularly barriers to learning and its promotion through improved financing, delivery, quality control and policy coherence. In human capital terms, it found that overall economic growth was better promoted by raising the basic skills level of all the population and suggested embedding qualification within wage structures to encourage participation, looking in detail at ways that this might work. It also proposed better advice and guidance; free for basic information, fees charged for more focused career guidance. This was to be available face-to-face as the internet often missed those students who most needed skills acquisition. It advocated personal learning coaches, service networks, one-stop centres, second-chance </w:t>
      </w:r>
      <w:proofErr w:type="gramStart"/>
      <w:r w:rsidRPr="00287067">
        <w:rPr>
          <w:rFonts w:ascii="Arial" w:eastAsia="Times New Roman" w:hAnsi="Arial" w:cs="Arial"/>
          <w:color w:val="000000"/>
          <w:lang w:eastAsia="en-GB"/>
        </w:rPr>
        <w:t>programmes</w:t>
      </w:r>
      <w:proofErr w:type="gramEnd"/>
      <w:r w:rsidRPr="00287067">
        <w:rPr>
          <w:rFonts w:ascii="Arial" w:eastAsia="Times New Roman" w:hAnsi="Arial" w:cs="Arial"/>
          <w:color w:val="000000"/>
          <w:lang w:eastAsia="en-GB"/>
        </w:rPr>
        <w:t xml:space="preserve"> and intergenerational learning – ideas that were clearly implemented in the UK but with rigid entry criteria that excluded some of those who might have benefited. The report recommended that ‘much of adult learning should be financed privately, as it largely generates private returns’ encouraging withdrawal of public funding but with some co-financing measures to support participation of the lower-skilled and smaller firms. It also put early years education at the start of lifelong learning practices thereby giving further impetus to </w:t>
      </w:r>
      <w:proofErr w:type="gramStart"/>
      <w:r w:rsidRPr="00287067">
        <w:rPr>
          <w:rFonts w:ascii="Arial" w:eastAsia="Times New Roman" w:hAnsi="Arial" w:cs="Arial"/>
          <w:color w:val="000000"/>
          <w:lang w:eastAsia="en-GB"/>
        </w:rPr>
        <w:t>the </w:t>
      </w:r>
      <w:r w:rsidRPr="00287067">
        <w:rPr>
          <w:rFonts w:ascii="Arial" w:eastAsia="Times New Roman" w:hAnsi="Arial" w:cs="Arial"/>
          <w:i/>
          <w:iCs/>
          <w:color w:val="000000"/>
          <w:lang w:eastAsia="en-GB"/>
        </w:rPr>
        <w:t>Every</w:t>
      </w:r>
      <w:proofErr w:type="gramEnd"/>
      <w:r w:rsidRPr="00287067">
        <w:rPr>
          <w:rFonts w:ascii="Arial" w:eastAsia="Times New Roman" w:hAnsi="Arial" w:cs="Arial"/>
          <w:i/>
          <w:iCs/>
          <w:color w:val="000000"/>
          <w:lang w:eastAsia="en-GB"/>
        </w:rPr>
        <w:t xml:space="preserve"> child matters</w:t>
      </w:r>
      <w:r w:rsidRPr="00287067">
        <w:rPr>
          <w:rFonts w:ascii="Arial" w:eastAsia="Times New Roman" w:hAnsi="Arial" w:cs="Arial"/>
          <w:color w:val="000000"/>
          <w:lang w:eastAsia="en-GB"/>
        </w:rPr>
        <w:t> reforms arising out of the Department of Health </w:t>
      </w:r>
      <w:r w:rsidRPr="00287067">
        <w:rPr>
          <w:rFonts w:ascii="Arial" w:eastAsia="Times New Roman" w:hAnsi="Arial" w:cs="Arial"/>
          <w:i/>
          <w:iCs/>
          <w:color w:val="000000"/>
          <w:lang w:eastAsia="en-GB"/>
        </w:rPr>
        <w:t>Laming inquiry</w:t>
      </w:r>
      <w:r w:rsidRPr="00287067">
        <w:rPr>
          <w:rFonts w:ascii="Arial" w:eastAsia="Times New Roman" w:hAnsi="Arial" w:cs="Arial"/>
          <w:color w:val="000000"/>
          <w:lang w:eastAsia="en-GB"/>
        </w:rPr>
        <w:t> (</w:t>
      </w:r>
      <w:proofErr w:type="spellStart"/>
      <w:r w:rsidRPr="00287067">
        <w:rPr>
          <w:rFonts w:ascii="Arial" w:eastAsia="Times New Roman" w:hAnsi="Arial" w:cs="Arial"/>
          <w:color w:val="000000"/>
          <w:lang w:eastAsia="en-GB"/>
        </w:rPr>
        <w:t>DoH</w:t>
      </w:r>
      <w:proofErr w:type="spellEnd"/>
      <w:r w:rsidRPr="00287067">
        <w:rPr>
          <w:rFonts w:ascii="Arial" w:eastAsia="Times New Roman" w:hAnsi="Arial" w:cs="Arial"/>
          <w:color w:val="000000"/>
          <w:lang w:eastAsia="en-GB"/>
        </w:rPr>
        <w:t xml:space="preserve"> 2003) following the death of Victoria Climbié. </w:t>
      </w:r>
      <w:proofErr w:type="gramStart"/>
      <w:r w:rsidRPr="00287067">
        <w:rPr>
          <w:rFonts w:ascii="Arial" w:eastAsia="Times New Roman" w:hAnsi="Arial" w:cs="Arial"/>
          <w:color w:val="000000"/>
          <w:lang w:eastAsia="en-GB"/>
        </w:rPr>
        <w:t>Thus</w:t>
      </w:r>
      <w:proofErr w:type="gramEnd"/>
      <w:r w:rsidRPr="00287067">
        <w:rPr>
          <w:rFonts w:ascii="Arial" w:eastAsia="Times New Roman" w:hAnsi="Arial" w:cs="Arial"/>
          <w:color w:val="000000"/>
          <w:lang w:eastAsia="en-GB"/>
        </w:rPr>
        <w:t xml:space="preserve"> European clearly shaped British policy but it is difficult to ascertain the extent to which the influences were reciprocal.</w:t>
      </w:r>
    </w:p>
    <w:p w14:paraId="1BA6050D" w14:textId="77777777" w:rsidR="00287067" w:rsidRPr="00287067" w:rsidRDefault="00287067" w:rsidP="00287067">
      <w:pPr>
        <w:spacing w:before="100" w:beforeAutospacing="1" w:after="100" w:afterAutospacing="1"/>
        <w:rPr>
          <w:rFonts w:ascii="Arial" w:eastAsia="Times New Roman" w:hAnsi="Arial" w:cs="Arial"/>
          <w:color w:val="000000"/>
          <w:lang w:eastAsia="en-GB"/>
        </w:rPr>
      </w:pPr>
      <w:r w:rsidRPr="00287067">
        <w:rPr>
          <w:rFonts w:ascii="Arial" w:eastAsia="Times New Roman" w:hAnsi="Arial" w:cs="Arial"/>
          <w:color w:val="000000"/>
          <w:lang w:eastAsia="en-GB"/>
        </w:rPr>
        <w:t xml:space="preserve">The report found that in real terms UK educational participation rates ran second to those in Denmark, </w:t>
      </w:r>
      <w:proofErr w:type="gramStart"/>
      <w:r w:rsidRPr="00287067">
        <w:rPr>
          <w:rFonts w:ascii="Arial" w:eastAsia="Times New Roman" w:hAnsi="Arial" w:cs="Arial"/>
          <w:color w:val="000000"/>
          <w:lang w:eastAsia="en-GB"/>
        </w:rPr>
        <w:t>Finland</w:t>
      </w:r>
      <w:proofErr w:type="gramEnd"/>
      <w:r w:rsidRPr="00287067">
        <w:rPr>
          <w:rFonts w:ascii="Arial" w:eastAsia="Times New Roman" w:hAnsi="Arial" w:cs="Arial"/>
          <w:color w:val="000000"/>
          <w:lang w:eastAsia="en-GB"/>
        </w:rPr>
        <w:t xml:space="preserve"> and Sweden, but after ‘adjustment’ to facilitate fairer comparison, the UK headed the list with an index of 6.9% compared to the average of 3.5%. This leads one to wonder whether the report precipitated the crisis in adult education. If the UK was perceived to be doing so much better than its competitors there was a safe margin within which to test the market and see if individuals and employers would pay for their own training. As better advice and guidance was deemed to create more sophisticated users there was support for a consumer-pressure approach forcing providers to raise standards. Such initiatives, together with a call for shared goal formation and quantifiable targets and outputs were not measures likely to make life easier for colleges or their staff.</w:t>
      </w:r>
    </w:p>
    <w:p w14:paraId="4B1C891B" w14:textId="77777777" w:rsidR="00287067" w:rsidRPr="00287067" w:rsidRDefault="00287067" w:rsidP="00287067">
      <w:pPr>
        <w:spacing w:before="100" w:beforeAutospacing="1" w:after="100" w:afterAutospacing="1"/>
        <w:rPr>
          <w:rFonts w:ascii="Arial" w:eastAsia="Times New Roman" w:hAnsi="Arial" w:cs="Arial"/>
          <w:color w:val="000000"/>
          <w:lang w:eastAsia="en-GB"/>
        </w:rPr>
      </w:pPr>
      <w:r w:rsidRPr="00287067">
        <w:rPr>
          <w:rFonts w:ascii="Arial" w:eastAsia="Times New Roman" w:hAnsi="Arial" w:cs="Arial"/>
          <w:color w:val="000000"/>
          <w:lang w:eastAsia="en-GB"/>
        </w:rPr>
        <w:t>To return to the Early Years sector, internationalization is evident in the detail of some of the top-down initiatives. The recent curriculum changes provide one example. England has created an </w:t>
      </w:r>
      <w:r w:rsidRPr="00287067">
        <w:rPr>
          <w:rFonts w:ascii="Arial" w:eastAsia="Times New Roman" w:hAnsi="Arial" w:cs="Arial"/>
          <w:i/>
          <w:iCs/>
          <w:color w:val="000000"/>
          <w:lang w:eastAsia="en-GB"/>
        </w:rPr>
        <w:t xml:space="preserve">Early </w:t>
      </w:r>
      <w:proofErr w:type="gramStart"/>
      <w:r w:rsidRPr="00287067">
        <w:rPr>
          <w:rFonts w:ascii="Arial" w:eastAsia="Times New Roman" w:hAnsi="Arial" w:cs="Arial"/>
          <w:i/>
          <w:iCs/>
          <w:color w:val="000000"/>
          <w:lang w:eastAsia="en-GB"/>
        </w:rPr>
        <w:t>years</w:t>
      </w:r>
      <w:proofErr w:type="gramEnd"/>
      <w:r w:rsidRPr="00287067">
        <w:rPr>
          <w:rFonts w:ascii="Arial" w:eastAsia="Times New Roman" w:hAnsi="Arial" w:cs="Arial"/>
          <w:i/>
          <w:iCs/>
          <w:color w:val="000000"/>
          <w:lang w:eastAsia="en-GB"/>
        </w:rPr>
        <w:t xml:space="preserve"> foundation stage</w:t>
      </w:r>
      <w:r w:rsidRPr="00287067">
        <w:rPr>
          <w:rFonts w:ascii="Arial" w:eastAsia="Times New Roman" w:hAnsi="Arial" w:cs="Arial"/>
          <w:color w:val="000000"/>
          <w:lang w:eastAsia="en-GB"/>
        </w:rPr>
        <w:t> (EYFS) (DfES 2007) that is structurally similar to the New Zealand </w:t>
      </w:r>
      <w:proofErr w:type="spellStart"/>
      <w:r w:rsidRPr="00287067">
        <w:rPr>
          <w:rFonts w:ascii="Arial" w:eastAsia="Times New Roman" w:hAnsi="Arial" w:cs="Arial"/>
          <w:i/>
          <w:iCs/>
          <w:color w:val="000000"/>
          <w:lang w:eastAsia="en-GB"/>
        </w:rPr>
        <w:t>Te</w:t>
      </w:r>
      <w:proofErr w:type="spellEnd"/>
      <w:r w:rsidRPr="00287067">
        <w:rPr>
          <w:rFonts w:ascii="Arial" w:eastAsia="Times New Roman" w:hAnsi="Arial" w:cs="Arial"/>
          <w:i/>
          <w:iCs/>
          <w:color w:val="000000"/>
          <w:lang w:eastAsia="en-GB"/>
        </w:rPr>
        <w:t xml:space="preserve"> </w:t>
      </w:r>
      <w:proofErr w:type="spellStart"/>
      <w:r w:rsidRPr="00287067">
        <w:rPr>
          <w:rFonts w:ascii="Arial" w:eastAsia="Times New Roman" w:hAnsi="Arial" w:cs="Arial"/>
          <w:i/>
          <w:iCs/>
          <w:color w:val="000000"/>
          <w:lang w:eastAsia="en-GB"/>
        </w:rPr>
        <w:t>whariki</w:t>
      </w:r>
      <w:proofErr w:type="spellEnd"/>
      <w:r w:rsidRPr="00287067">
        <w:rPr>
          <w:rFonts w:ascii="Arial" w:eastAsia="Times New Roman" w:hAnsi="Arial" w:cs="Arial"/>
          <w:color w:val="000000"/>
          <w:lang w:eastAsia="en-GB"/>
        </w:rPr>
        <w:t> curriculum (New Zealand Ministry of Education 1996). However, </w:t>
      </w:r>
      <w:proofErr w:type="spellStart"/>
      <w:r w:rsidRPr="00287067">
        <w:rPr>
          <w:rFonts w:ascii="Arial" w:eastAsia="Times New Roman" w:hAnsi="Arial" w:cs="Arial"/>
          <w:i/>
          <w:iCs/>
          <w:color w:val="000000"/>
          <w:lang w:eastAsia="en-GB"/>
        </w:rPr>
        <w:t>Te</w:t>
      </w:r>
      <w:proofErr w:type="spellEnd"/>
      <w:r w:rsidRPr="00287067">
        <w:rPr>
          <w:rFonts w:ascii="Arial" w:eastAsia="Times New Roman" w:hAnsi="Arial" w:cs="Arial"/>
          <w:i/>
          <w:iCs/>
          <w:color w:val="000000"/>
          <w:lang w:eastAsia="en-GB"/>
        </w:rPr>
        <w:t xml:space="preserve"> </w:t>
      </w:r>
      <w:proofErr w:type="spellStart"/>
      <w:r w:rsidRPr="00287067">
        <w:rPr>
          <w:rFonts w:ascii="Arial" w:eastAsia="Times New Roman" w:hAnsi="Arial" w:cs="Arial"/>
          <w:i/>
          <w:iCs/>
          <w:color w:val="000000"/>
          <w:lang w:eastAsia="en-GB"/>
        </w:rPr>
        <w:t>whariki</w:t>
      </w:r>
      <w:proofErr w:type="spellEnd"/>
      <w:r w:rsidRPr="00287067">
        <w:rPr>
          <w:rFonts w:ascii="Arial" w:eastAsia="Times New Roman" w:hAnsi="Arial" w:cs="Arial"/>
          <w:color w:val="000000"/>
          <w:lang w:eastAsia="en-GB"/>
        </w:rPr>
        <w:t> was ‘developed in response to initiatives from the early childhood sector’ and starts from a firmly held desire to protect the bicultural heritage of the country. It is formed around a set of strongly held ethical and spiritual values embodied through the metaphor of a woven mat which represents the interlacing of two cultural traditions as equal and mutually dependent partners. The </w:t>
      </w:r>
      <w:proofErr w:type="spellStart"/>
      <w:r w:rsidRPr="00287067">
        <w:rPr>
          <w:rFonts w:ascii="Arial" w:eastAsia="Times New Roman" w:hAnsi="Arial" w:cs="Arial"/>
          <w:i/>
          <w:iCs/>
          <w:color w:val="000000"/>
          <w:lang w:eastAsia="en-GB"/>
        </w:rPr>
        <w:t>Te</w:t>
      </w:r>
      <w:proofErr w:type="spellEnd"/>
      <w:r w:rsidRPr="00287067">
        <w:rPr>
          <w:rFonts w:ascii="Arial" w:eastAsia="Times New Roman" w:hAnsi="Arial" w:cs="Arial"/>
          <w:i/>
          <w:iCs/>
          <w:color w:val="000000"/>
          <w:lang w:eastAsia="en-GB"/>
        </w:rPr>
        <w:t xml:space="preserve"> </w:t>
      </w:r>
      <w:proofErr w:type="spellStart"/>
      <w:r w:rsidRPr="00287067">
        <w:rPr>
          <w:rFonts w:ascii="Arial" w:eastAsia="Times New Roman" w:hAnsi="Arial" w:cs="Arial"/>
          <w:i/>
          <w:iCs/>
          <w:color w:val="000000"/>
          <w:lang w:eastAsia="en-GB"/>
        </w:rPr>
        <w:t>whariki</w:t>
      </w:r>
      <w:proofErr w:type="spellEnd"/>
      <w:r w:rsidRPr="00287067">
        <w:rPr>
          <w:rFonts w:ascii="Arial" w:eastAsia="Times New Roman" w:hAnsi="Arial" w:cs="Arial"/>
          <w:i/>
          <w:iCs/>
          <w:color w:val="000000"/>
          <w:lang w:eastAsia="en-GB"/>
        </w:rPr>
        <w:t> </w:t>
      </w:r>
      <w:r w:rsidRPr="00287067">
        <w:rPr>
          <w:rFonts w:ascii="Arial" w:eastAsia="Times New Roman" w:hAnsi="Arial" w:cs="Arial"/>
          <w:color w:val="000000"/>
          <w:lang w:eastAsia="en-GB"/>
        </w:rPr>
        <w:t xml:space="preserve">curriculum starts with four founding principles, identifies five significant </w:t>
      </w:r>
      <w:proofErr w:type="gramStart"/>
      <w:r w:rsidRPr="00287067">
        <w:rPr>
          <w:rFonts w:ascii="Arial" w:eastAsia="Times New Roman" w:hAnsi="Arial" w:cs="Arial"/>
          <w:color w:val="000000"/>
          <w:lang w:eastAsia="en-GB"/>
        </w:rPr>
        <w:t>strands</w:t>
      </w:r>
      <w:proofErr w:type="gramEnd"/>
      <w:r w:rsidRPr="00287067">
        <w:rPr>
          <w:rFonts w:ascii="Arial" w:eastAsia="Times New Roman" w:hAnsi="Arial" w:cs="Arial"/>
          <w:color w:val="000000"/>
          <w:lang w:eastAsia="en-GB"/>
        </w:rPr>
        <w:t xml:space="preserve"> and then outlines 18 key goals and a further 117 learning outcomes that explain these goals, adding comments about skills and learning areas to support implementation. On paper the English </w:t>
      </w:r>
      <w:r w:rsidRPr="00287067">
        <w:rPr>
          <w:rFonts w:ascii="Arial" w:eastAsia="Times New Roman" w:hAnsi="Arial" w:cs="Arial"/>
          <w:i/>
          <w:iCs/>
          <w:color w:val="000000"/>
          <w:lang w:eastAsia="en-GB"/>
        </w:rPr>
        <w:t>EYFS</w:t>
      </w:r>
      <w:r w:rsidRPr="00287067">
        <w:rPr>
          <w:rFonts w:ascii="Arial" w:eastAsia="Times New Roman" w:hAnsi="Arial" w:cs="Arial"/>
          <w:color w:val="000000"/>
          <w:lang w:eastAsia="en-GB"/>
        </w:rPr>
        <w:t xml:space="preserve"> shows striking </w:t>
      </w:r>
      <w:r w:rsidRPr="00287067">
        <w:rPr>
          <w:rFonts w:ascii="Arial" w:eastAsia="Times New Roman" w:hAnsi="Arial" w:cs="Arial"/>
          <w:color w:val="000000"/>
          <w:lang w:eastAsia="en-GB"/>
        </w:rPr>
        <w:lastRenderedPageBreak/>
        <w:t>similarities. It lists four principles, identifies five overarching inspection outcomes and groups 69 learning goals under 30 aspects divided into six areas of learning.</w:t>
      </w:r>
    </w:p>
    <w:p w14:paraId="20C4B24B" w14:textId="77777777" w:rsidR="00287067" w:rsidRPr="00287067" w:rsidRDefault="00287067" w:rsidP="00287067">
      <w:pPr>
        <w:spacing w:before="100" w:beforeAutospacing="1" w:after="100" w:afterAutospacing="1"/>
        <w:rPr>
          <w:rFonts w:ascii="Arial" w:eastAsia="Times New Roman" w:hAnsi="Arial" w:cs="Arial"/>
          <w:color w:val="000000"/>
          <w:lang w:eastAsia="en-GB"/>
        </w:rPr>
      </w:pPr>
      <w:r w:rsidRPr="00287067">
        <w:rPr>
          <w:rFonts w:ascii="Arial" w:eastAsia="Times New Roman" w:hAnsi="Arial" w:cs="Arial"/>
          <w:color w:val="000000"/>
          <w:lang w:eastAsia="en-GB"/>
        </w:rPr>
        <w:t>Superficially the </w:t>
      </w:r>
      <w:r w:rsidRPr="00287067">
        <w:rPr>
          <w:rFonts w:ascii="Arial" w:eastAsia="Times New Roman" w:hAnsi="Arial" w:cs="Arial"/>
          <w:i/>
          <w:iCs/>
          <w:color w:val="000000"/>
          <w:lang w:eastAsia="en-GB"/>
        </w:rPr>
        <w:t>EYFS</w:t>
      </w:r>
      <w:r w:rsidRPr="00287067">
        <w:rPr>
          <w:rFonts w:ascii="Arial" w:eastAsia="Times New Roman" w:hAnsi="Arial" w:cs="Arial"/>
          <w:color w:val="000000"/>
          <w:lang w:eastAsia="en-GB"/>
        </w:rPr>
        <w:t xml:space="preserve"> follows a similar structure to the New Zealand </w:t>
      </w:r>
      <w:proofErr w:type="gramStart"/>
      <w:r w:rsidRPr="00287067">
        <w:rPr>
          <w:rFonts w:ascii="Arial" w:eastAsia="Times New Roman" w:hAnsi="Arial" w:cs="Arial"/>
          <w:color w:val="000000"/>
          <w:lang w:eastAsia="en-GB"/>
        </w:rPr>
        <w:t>model</w:t>
      </w:r>
      <w:proofErr w:type="gramEnd"/>
      <w:r w:rsidRPr="00287067">
        <w:rPr>
          <w:rFonts w:ascii="Arial" w:eastAsia="Times New Roman" w:hAnsi="Arial" w:cs="Arial"/>
          <w:color w:val="000000"/>
          <w:lang w:eastAsia="en-GB"/>
        </w:rPr>
        <w:t xml:space="preserve"> but the international transfer is one of form rather than meaning, for the English model is a composite one rather than one developed from underlying principles. The original curriculum (QCA 2000) was a subject-based educational model for 3- to 5-year-olds that focused on six areas of learning and individual goals. The aspects, that make sense of the goals, were only highlighted in 2001 as part of guidance to enable more generic planning (QCA 2001). The four principles originated in a framework for under threes, </w:t>
      </w:r>
      <w:r w:rsidRPr="00287067">
        <w:rPr>
          <w:rFonts w:ascii="Arial" w:eastAsia="Times New Roman" w:hAnsi="Arial" w:cs="Arial"/>
          <w:i/>
          <w:iCs/>
          <w:color w:val="000000"/>
          <w:lang w:eastAsia="en-GB"/>
        </w:rPr>
        <w:t>Birth to three matters</w:t>
      </w:r>
      <w:r w:rsidRPr="00287067">
        <w:rPr>
          <w:rFonts w:ascii="Arial" w:eastAsia="Times New Roman" w:hAnsi="Arial" w:cs="Arial"/>
          <w:color w:val="000000"/>
          <w:lang w:eastAsia="en-GB"/>
        </w:rPr>
        <w:t xml:space="preserve"> (Sure Start Unit 2002) and the five overarching inspection outcomes arose from </w:t>
      </w:r>
      <w:proofErr w:type="gramStart"/>
      <w:r w:rsidRPr="00287067">
        <w:rPr>
          <w:rFonts w:ascii="Arial" w:eastAsia="Times New Roman" w:hAnsi="Arial" w:cs="Arial"/>
          <w:color w:val="000000"/>
          <w:lang w:eastAsia="en-GB"/>
        </w:rPr>
        <w:t>the </w:t>
      </w:r>
      <w:r w:rsidRPr="00287067">
        <w:rPr>
          <w:rFonts w:ascii="Arial" w:eastAsia="Times New Roman" w:hAnsi="Arial" w:cs="Arial"/>
          <w:i/>
          <w:iCs/>
          <w:color w:val="000000"/>
          <w:lang w:eastAsia="en-GB"/>
        </w:rPr>
        <w:t>Every</w:t>
      </w:r>
      <w:proofErr w:type="gramEnd"/>
      <w:r w:rsidRPr="00287067">
        <w:rPr>
          <w:rFonts w:ascii="Arial" w:eastAsia="Times New Roman" w:hAnsi="Arial" w:cs="Arial"/>
          <w:i/>
          <w:iCs/>
          <w:color w:val="000000"/>
          <w:lang w:eastAsia="en-GB"/>
        </w:rPr>
        <w:t xml:space="preserve"> child matters</w:t>
      </w:r>
      <w:r w:rsidRPr="00287067">
        <w:rPr>
          <w:rFonts w:ascii="Arial" w:eastAsia="Times New Roman" w:hAnsi="Arial" w:cs="Arial"/>
          <w:color w:val="000000"/>
          <w:lang w:eastAsia="en-GB"/>
        </w:rPr>
        <w:t> agenda (DfES 2003). Thus the 2008 </w:t>
      </w:r>
      <w:r w:rsidRPr="00287067">
        <w:rPr>
          <w:rFonts w:ascii="Arial" w:eastAsia="Times New Roman" w:hAnsi="Arial" w:cs="Arial"/>
          <w:i/>
          <w:iCs/>
          <w:color w:val="000000"/>
          <w:lang w:eastAsia="en-GB"/>
        </w:rPr>
        <w:t>EYFS</w:t>
      </w:r>
      <w:r w:rsidRPr="00287067">
        <w:rPr>
          <w:rFonts w:ascii="Arial" w:eastAsia="Times New Roman" w:hAnsi="Arial" w:cs="Arial"/>
          <w:color w:val="000000"/>
          <w:lang w:eastAsia="en-GB"/>
        </w:rPr>
        <w:t xml:space="preserve"> comprises </w:t>
      </w:r>
      <w:proofErr w:type="gramStart"/>
      <w:r w:rsidRPr="00287067">
        <w:rPr>
          <w:rFonts w:ascii="Arial" w:eastAsia="Times New Roman" w:hAnsi="Arial" w:cs="Arial"/>
          <w:color w:val="000000"/>
          <w:lang w:eastAsia="en-GB"/>
        </w:rPr>
        <w:t>a number of</w:t>
      </w:r>
      <w:proofErr w:type="gramEnd"/>
      <w:r w:rsidRPr="00287067">
        <w:rPr>
          <w:rFonts w:ascii="Arial" w:eastAsia="Times New Roman" w:hAnsi="Arial" w:cs="Arial"/>
          <w:color w:val="000000"/>
          <w:lang w:eastAsia="en-GB"/>
        </w:rPr>
        <w:t xml:space="preserve"> different elements put together strategically rather than a unified whole built up from fundamental principles. Indeed, a core statement about the </w:t>
      </w:r>
      <w:r w:rsidRPr="00287067">
        <w:rPr>
          <w:rFonts w:ascii="Arial" w:eastAsia="Times New Roman" w:hAnsi="Arial" w:cs="Arial"/>
          <w:i/>
          <w:iCs/>
          <w:color w:val="000000"/>
          <w:lang w:eastAsia="en-GB"/>
        </w:rPr>
        <w:t>EYFS</w:t>
      </w:r>
      <w:r w:rsidRPr="00287067">
        <w:rPr>
          <w:rFonts w:ascii="Arial" w:eastAsia="Times New Roman" w:hAnsi="Arial" w:cs="Arial"/>
          <w:color w:val="000000"/>
          <w:lang w:eastAsia="en-GB"/>
        </w:rPr>
        <w:t> is that it is ‘central to the delivery of the new duties on improving outcomes and reducing equalities’, a very different mission to that of </w:t>
      </w:r>
      <w:proofErr w:type="spellStart"/>
      <w:r w:rsidRPr="00287067">
        <w:rPr>
          <w:rFonts w:ascii="Arial" w:eastAsia="Times New Roman" w:hAnsi="Arial" w:cs="Arial"/>
          <w:i/>
          <w:iCs/>
          <w:color w:val="000000"/>
          <w:lang w:eastAsia="en-GB"/>
        </w:rPr>
        <w:t>Te</w:t>
      </w:r>
      <w:proofErr w:type="spellEnd"/>
      <w:r w:rsidRPr="00287067">
        <w:rPr>
          <w:rFonts w:ascii="Arial" w:eastAsia="Times New Roman" w:hAnsi="Arial" w:cs="Arial"/>
          <w:i/>
          <w:iCs/>
          <w:color w:val="000000"/>
          <w:lang w:eastAsia="en-GB"/>
        </w:rPr>
        <w:t xml:space="preserve"> </w:t>
      </w:r>
      <w:proofErr w:type="spellStart"/>
      <w:r w:rsidRPr="00287067">
        <w:rPr>
          <w:rFonts w:ascii="Arial" w:eastAsia="Times New Roman" w:hAnsi="Arial" w:cs="Arial"/>
          <w:i/>
          <w:iCs/>
          <w:color w:val="000000"/>
          <w:lang w:eastAsia="en-GB"/>
        </w:rPr>
        <w:t>whariki</w:t>
      </w:r>
      <w:proofErr w:type="spellEnd"/>
      <w:r w:rsidRPr="00287067">
        <w:rPr>
          <w:rFonts w:ascii="Arial" w:eastAsia="Times New Roman" w:hAnsi="Arial" w:cs="Arial"/>
          <w:i/>
          <w:iCs/>
          <w:color w:val="000000"/>
          <w:lang w:eastAsia="en-GB"/>
        </w:rPr>
        <w:t>.</w:t>
      </w:r>
    </w:p>
    <w:p w14:paraId="34F8A6C9" w14:textId="77777777" w:rsidR="00287067" w:rsidRPr="00287067" w:rsidRDefault="00287067" w:rsidP="00287067">
      <w:pPr>
        <w:spacing w:before="100" w:beforeAutospacing="1" w:after="100" w:afterAutospacing="1"/>
        <w:rPr>
          <w:rFonts w:ascii="Arial" w:eastAsia="Times New Roman" w:hAnsi="Arial" w:cs="Arial"/>
          <w:color w:val="000000"/>
          <w:lang w:eastAsia="en-GB"/>
        </w:rPr>
      </w:pPr>
      <w:r w:rsidRPr="00287067">
        <w:rPr>
          <w:rFonts w:ascii="Arial" w:eastAsia="Times New Roman" w:hAnsi="Arial" w:cs="Arial"/>
          <w:color w:val="000000"/>
          <w:lang w:eastAsia="en-GB"/>
        </w:rPr>
        <w:t xml:space="preserve">Yet this statement does align with the initial governmental concern to raise educational standards so is consistent with the original curriculum focus on areas of learning and the 2004 OECD report that put the early years at the start of the lifelong learning process. In terms of social constructs of childhood, governments are viewing the child as a labour market supply factor (Dahlberg, Moss and Pence 1999): both a resource that must be managed </w:t>
      </w:r>
      <w:proofErr w:type="gramStart"/>
      <w:r w:rsidRPr="00287067">
        <w:rPr>
          <w:rFonts w:ascii="Arial" w:eastAsia="Times New Roman" w:hAnsi="Arial" w:cs="Arial"/>
          <w:color w:val="000000"/>
          <w:lang w:eastAsia="en-GB"/>
        </w:rPr>
        <w:t>in order to</w:t>
      </w:r>
      <w:proofErr w:type="gramEnd"/>
      <w:r w:rsidRPr="00287067">
        <w:rPr>
          <w:rFonts w:ascii="Arial" w:eastAsia="Times New Roman" w:hAnsi="Arial" w:cs="Arial"/>
          <w:color w:val="000000"/>
          <w:lang w:eastAsia="en-GB"/>
        </w:rPr>
        <w:t xml:space="preserve"> enable mothers to return to work and an embryonic future worker, hence the focus on educational attainment. The </w:t>
      </w:r>
      <w:r w:rsidRPr="00287067">
        <w:rPr>
          <w:rFonts w:ascii="Arial" w:eastAsia="Times New Roman" w:hAnsi="Arial" w:cs="Arial"/>
          <w:i/>
          <w:iCs/>
          <w:color w:val="000000"/>
          <w:lang w:eastAsia="en-GB"/>
        </w:rPr>
        <w:t>EYFS</w:t>
      </w:r>
      <w:r w:rsidRPr="00287067">
        <w:rPr>
          <w:rFonts w:ascii="Arial" w:eastAsia="Times New Roman" w:hAnsi="Arial" w:cs="Arial"/>
          <w:color w:val="000000"/>
          <w:lang w:eastAsia="en-GB"/>
        </w:rPr>
        <w:t> clearly states that parents will ‘want to know that provision will keep their children safe and help them to thrive’. The concern for quality provision in the early years gained momentum in the early 1990s. The reform of the compulsory sectors post-1988 (the Education Reform Act) enabled business interests to turn their attention to younger children and throughout the decades either side of the millennium the early years sector was subject to unprecedented levels of change culminating in the </w:t>
      </w:r>
      <w:r w:rsidRPr="00287067">
        <w:rPr>
          <w:rFonts w:ascii="Arial" w:eastAsia="Times New Roman" w:hAnsi="Arial" w:cs="Arial"/>
          <w:i/>
          <w:iCs/>
          <w:color w:val="000000"/>
          <w:lang w:eastAsia="en-GB"/>
        </w:rPr>
        <w:t>Every child matters</w:t>
      </w:r>
      <w:r w:rsidRPr="00287067">
        <w:rPr>
          <w:rFonts w:ascii="Arial" w:eastAsia="Times New Roman" w:hAnsi="Arial" w:cs="Arial"/>
          <w:color w:val="000000"/>
          <w:lang w:eastAsia="en-GB"/>
        </w:rPr>
        <w:t xml:space="preserve"> agenda that sought a radical restructuring of all aspects of childcare and, through the 2006 Childcare Act, committed local authorities to providing childcare places for all working parents who needed them. </w:t>
      </w:r>
      <w:proofErr w:type="gramStart"/>
      <w:r w:rsidRPr="00287067">
        <w:rPr>
          <w:rFonts w:ascii="Arial" w:eastAsia="Times New Roman" w:hAnsi="Arial" w:cs="Arial"/>
          <w:color w:val="000000"/>
          <w:lang w:eastAsia="en-GB"/>
        </w:rPr>
        <w:t>Thus</w:t>
      </w:r>
      <w:proofErr w:type="gramEnd"/>
      <w:r w:rsidRPr="00287067">
        <w:rPr>
          <w:rFonts w:ascii="Arial" w:eastAsia="Times New Roman" w:hAnsi="Arial" w:cs="Arial"/>
          <w:color w:val="000000"/>
          <w:lang w:eastAsia="en-GB"/>
        </w:rPr>
        <w:t xml:space="preserve"> it was the globalized economic prerogative that underpinned the call for increased provision, higher standards and a better-trained workforce.</w:t>
      </w:r>
    </w:p>
    <w:p w14:paraId="4223480F" w14:textId="77777777" w:rsidR="00287067" w:rsidRPr="00287067" w:rsidRDefault="00287067" w:rsidP="00287067">
      <w:pPr>
        <w:spacing w:before="100" w:beforeAutospacing="1" w:after="100" w:afterAutospacing="1"/>
        <w:rPr>
          <w:rFonts w:ascii="Arial" w:eastAsia="Times New Roman" w:hAnsi="Arial" w:cs="Arial"/>
          <w:color w:val="000000"/>
          <w:lang w:eastAsia="en-GB"/>
        </w:rPr>
      </w:pPr>
      <w:r w:rsidRPr="00287067">
        <w:rPr>
          <w:rFonts w:ascii="Arial" w:eastAsia="Times New Roman" w:hAnsi="Arial" w:cs="Arial"/>
          <w:color w:val="000000"/>
          <w:lang w:eastAsia="en-GB"/>
        </w:rPr>
        <w:t xml:space="preserve">The economic agenda is clearly identifiable, less so the needs of the child, the parents, the local </w:t>
      </w:r>
      <w:proofErr w:type="gramStart"/>
      <w:r w:rsidRPr="00287067">
        <w:rPr>
          <w:rFonts w:ascii="Arial" w:eastAsia="Times New Roman" w:hAnsi="Arial" w:cs="Arial"/>
          <w:color w:val="000000"/>
          <w:lang w:eastAsia="en-GB"/>
        </w:rPr>
        <w:t>communities</w:t>
      </w:r>
      <w:proofErr w:type="gramEnd"/>
      <w:r w:rsidRPr="00287067">
        <w:rPr>
          <w:rFonts w:ascii="Arial" w:eastAsia="Times New Roman" w:hAnsi="Arial" w:cs="Arial"/>
          <w:color w:val="000000"/>
          <w:lang w:eastAsia="en-GB"/>
        </w:rPr>
        <w:t xml:space="preserve"> and the staff who work in childcare settings. We should consider the human manifestations of this ‘silent revolution’ (Hodge 2001) in childcare and ask what this looks like in real life. How does the governmental economic agenda, aimed to protect Britain’s position in the global market, affect real people and their local communities?</w:t>
      </w:r>
    </w:p>
    <w:p w14:paraId="5E903586" w14:textId="77777777" w:rsidR="00287067" w:rsidRPr="00287067" w:rsidRDefault="00287067" w:rsidP="00287067">
      <w:pPr>
        <w:spacing w:before="100" w:beforeAutospacing="1" w:after="100" w:afterAutospacing="1"/>
        <w:rPr>
          <w:rFonts w:ascii="Arial" w:eastAsia="Times New Roman" w:hAnsi="Arial" w:cs="Arial"/>
          <w:color w:val="000000"/>
          <w:lang w:eastAsia="en-GB"/>
        </w:rPr>
      </w:pPr>
      <w:r w:rsidRPr="00287067">
        <w:rPr>
          <w:rFonts w:ascii="Arial" w:eastAsia="Times New Roman" w:hAnsi="Arial" w:cs="Arial"/>
          <w:color w:val="000000"/>
          <w:lang w:eastAsia="en-GB"/>
        </w:rPr>
        <w:t xml:space="preserve">My doctoral research set out to explore the educational experiences of 150 mature women training to work in childcare, choosing 33 to interview in depth. In taking a biographical approach it left the women to choose the content of their personal narratives and, incidentally, offers insights into some of these questions. During interview it became clear that the government agenda for change manifested in troublesome ways as longer hours, more paperwork, higher </w:t>
      </w:r>
      <w:proofErr w:type="gramStart"/>
      <w:r w:rsidRPr="00287067">
        <w:rPr>
          <w:rFonts w:ascii="Arial" w:eastAsia="Times New Roman" w:hAnsi="Arial" w:cs="Arial"/>
          <w:color w:val="000000"/>
          <w:lang w:eastAsia="en-GB"/>
        </w:rPr>
        <w:t>expectations</w:t>
      </w:r>
      <w:proofErr w:type="gramEnd"/>
      <w:r w:rsidRPr="00287067">
        <w:rPr>
          <w:rFonts w:ascii="Arial" w:eastAsia="Times New Roman" w:hAnsi="Arial" w:cs="Arial"/>
          <w:color w:val="000000"/>
          <w:lang w:eastAsia="en-GB"/>
        </w:rPr>
        <w:t xml:space="preserve"> and more </w:t>
      </w:r>
      <w:r w:rsidRPr="00287067">
        <w:rPr>
          <w:rFonts w:ascii="Arial" w:eastAsia="Times New Roman" w:hAnsi="Arial" w:cs="Arial"/>
          <w:color w:val="000000"/>
          <w:lang w:eastAsia="en-GB"/>
        </w:rPr>
        <w:lastRenderedPageBreak/>
        <w:t>stress – also as less opportunity to play with the children. Women who had drifted into childcare because they liked being part of their local community, liked caring for children, and wanted convenient work that fitted around their families’ needs were increasingly frustrated by the breakdown of traditional patterns of part-time childcare work. Some were beginning to leave the profession, as job satisfaction and convenience no longer compensated for low rates of remuneration. As Greta complains: ‘I just feel it is drudgery now’.</w:t>
      </w:r>
    </w:p>
    <w:p w14:paraId="5D6239DB" w14:textId="77777777" w:rsidR="00287067" w:rsidRPr="00287067" w:rsidRDefault="00287067" w:rsidP="00287067">
      <w:pPr>
        <w:spacing w:before="100" w:beforeAutospacing="1" w:after="100" w:afterAutospacing="1"/>
        <w:rPr>
          <w:rFonts w:ascii="Arial" w:eastAsia="Times New Roman" w:hAnsi="Arial" w:cs="Arial"/>
          <w:color w:val="000000"/>
          <w:lang w:eastAsia="en-GB"/>
        </w:rPr>
      </w:pPr>
      <w:r w:rsidRPr="00287067">
        <w:rPr>
          <w:rFonts w:ascii="Arial" w:eastAsia="Times New Roman" w:hAnsi="Arial" w:cs="Arial"/>
          <w:color w:val="000000"/>
          <w:lang w:eastAsia="en-GB"/>
        </w:rPr>
        <w:t>You may be thinking why does this matter? Any bid to raise standards is likely to cause some wastage of human resource. But the evidence reveals that this </w:t>
      </w:r>
      <w:r w:rsidRPr="00287067">
        <w:rPr>
          <w:rFonts w:ascii="Arial" w:eastAsia="Times New Roman" w:hAnsi="Arial" w:cs="Arial"/>
          <w:i/>
          <w:iCs/>
          <w:color w:val="000000"/>
          <w:lang w:eastAsia="en-GB"/>
        </w:rPr>
        <w:t>does</w:t>
      </w:r>
      <w:r w:rsidRPr="00287067">
        <w:rPr>
          <w:rFonts w:ascii="Arial" w:eastAsia="Times New Roman" w:hAnsi="Arial" w:cs="Arial"/>
          <w:color w:val="000000"/>
          <w:lang w:eastAsia="en-GB"/>
        </w:rPr>
        <w:t xml:space="preserve"> matter: the unplanned social payback from women integrating their lives through childcare work is significant for society. Easy and incidental access to childcare work encourages women to return to the workforce after childbirth in a gradual and manageable way, minimizing stress to women and their families. Childcare training and the associated work, particularly in community groups within the voluntary sector, serves as a transitional space for women wanting to work outside the domestic sphere. This is of benefit to our children. At home they are cared-for by their own parents, and in groups by women familiar with their needs who enjoy working with young children. In community groups the part-time coming and going of mothers and fathers who volunteer in the settings and sit on their management committees significantly raises the levels of social interaction within local communities – building and strengthening the bonds so vital for social capital development. This continually changing flow of different parents safeguards the children in the voluntary groups: child abuse is unlikely to occur in open environments where parents have unrestricted access and know the staff inside and outside of the settings. Pre-schools provide a joint focus for children and parents, thus encouraging intergenerational learning. Their localized and only semi-professional (non-threatening) status makes them more accessible for parents often labelled hard-to-reach. </w:t>
      </w:r>
      <w:proofErr w:type="gramStart"/>
      <w:r w:rsidRPr="00287067">
        <w:rPr>
          <w:rFonts w:ascii="Arial" w:eastAsia="Times New Roman" w:hAnsi="Arial" w:cs="Arial"/>
          <w:color w:val="000000"/>
          <w:lang w:eastAsia="en-GB"/>
        </w:rPr>
        <w:t>Thus</w:t>
      </w:r>
      <w:proofErr w:type="gramEnd"/>
      <w:r w:rsidRPr="00287067">
        <w:rPr>
          <w:rFonts w:ascii="Arial" w:eastAsia="Times New Roman" w:hAnsi="Arial" w:cs="Arial"/>
          <w:color w:val="000000"/>
          <w:lang w:eastAsia="en-GB"/>
        </w:rPr>
        <w:t xml:space="preserve"> in encouraging the participation of all parents they contribute to a social justice agenda. </w:t>
      </w:r>
    </w:p>
    <w:p w14:paraId="1C528125" w14:textId="77777777" w:rsidR="00287067" w:rsidRPr="00287067" w:rsidRDefault="00287067" w:rsidP="00287067">
      <w:pPr>
        <w:spacing w:before="100" w:beforeAutospacing="1" w:after="100" w:afterAutospacing="1"/>
        <w:rPr>
          <w:rFonts w:ascii="Arial" w:eastAsia="Times New Roman" w:hAnsi="Arial" w:cs="Arial"/>
          <w:color w:val="000000"/>
          <w:lang w:eastAsia="en-GB"/>
        </w:rPr>
      </w:pPr>
      <w:r w:rsidRPr="00287067">
        <w:rPr>
          <w:rFonts w:ascii="Arial" w:eastAsia="Times New Roman" w:hAnsi="Arial" w:cs="Arial"/>
          <w:color w:val="000000"/>
          <w:lang w:eastAsia="en-GB"/>
        </w:rPr>
        <w:t xml:space="preserve">In teaching women to meet the basic educational needs of children, childcare training also provides successive generations of women with a basic knowledge of how to educate and care for children. As my research findings demonstrate, women take this knowledge into other domains – the nuclear and extended family, the neighbourhood, </w:t>
      </w:r>
      <w:proofErr w:type="gramStart"/>
      <w:r w:rsidRPr="00287067">
        <w:rPr>
          <w:rFonts w:ascii="Arial" w:eastAsia="Times New Roman" w:hAnsi="Arial" w:cs="Arial"/>
          <w:color w:val="000000"/>
          <w:lang w:eastAsia="en-GB"/>
        </w:rPr>
        <w:t>schools</w:t>
      </w:r>
      <w:proofErr w:type="gramEnd"/>
      <w:r w:rsidRPr="00287067">
        <w:rPr>
          <w:rFonts w:ascii="Arial" w:eastAsia="Times New Roman" w:hAnsi="Arial" w:cs="Arial"/>
          <w:color w:val="000000"/>
          <w:lang w:eastAsia="en-GB"/>
        </w:rPr>
        <w:t xml:space="preserve"> and children’s clubs. Thus, without any coercion or stigma it provides many parents with the skills needed to organize their own families obviating the need for parenting classes for those who fail to cope instinctively in contemporary society where the wisdom and support of earlier generations is no longer geographically proximate. Some women continue to work in childcare settings as their own children grow older, providing these with the continuity they need to operate efficiently. Others move into the school system in parallel with their children – providing society with a steady stream of teaching assistants and administrators, trainee teachers and parent governors or simply informed parents who understand what is required and how best to achieve it. All these advantages unfold at very little expense yet indirectly meet a range of government initiatives. Yet they could disappear if the globalized economic agenda promotes increasing standardization, </w:t>
      </w:r>
      <w:proofErr w:type="gramStart"/>
      <w:r w:rsidRPr="00287067">
        <w:rPr>
          <w:rFonts w:ascii="Arial" w:eastAsia="Times New Roman" w:hAnsi="Arial" w:cs="Arial"/>
          <w:color w:val="000000"/>
          <w:lang w:eastAsia="en-GB"/>
        </w:rPr>
        <w:t>regulation</w:t>
      </w:r>
      <w:proofErr w:type="gramEnd"/>
      <w:r w:rsidRPr="00287067">
        <w:rPr>
          <w:rFonts w:ascii="Arial" w:eastAsia="Times New Roman" w:hAnsi="Arial" w:cs="Arial"/>
          <w:color w:val="000000"/>
          <w:lang w:eastAsia="en-GB"/>
        </w:rPr>
        <w:t xml:space="preserve"> and inspection.</w:t>
      </w:r>
    </w:p>
    <w:p w14:paraId="24312237" w14:textId="77777777" w:rsidR="00287067" w:rsidRPr="00287067" w:rsidRDefault="00287067" w:rsidP="00287067">
      <w:pPr>
        <w:spacing w:before="100" w:beforeAutospacing="1" w:after="100" w:afterAutospacing="1"/>
        <w:rPr>
          <w:rFonts w:ascii="Arial" w:eastAsia="Times New Roman" w:hAnsi="Arial" w:cs="Arial"/>
          <w:color w:val="000000"/>
          <w:lang w:eastAsia="en-GB"/>
        </w:rPr>
      </w:pPr>
      <w:r w:rsidRPr="00287067">
        <w:rPr>
          <w:rFonts w:ascii="Arial" w:eastAsia="Times New Roman" w:hAnsi="Arial" w:cs="Arial"/>
          <w:color w:val="000000"/>
          <w:lang w:eastAsia="en-GB"/>
        </w:rPr>
        <w:lastRenderedPageBreak/>
        <w:t>The practitioners’ concerns reveal how the pursuit of national objectives for economic may put at risk local practices that benefit future generations of children and, therefore, society. As Frieda complains, rewards and responsibilities are no longer attuned. </w:t>
      </w:r>
    </w:p>
    <w:p w14:paraId="0BFA4D2F" w14:textId="77777777" w:rsidR="00287067" w:rsidRPr="00287067" w:rsidRDefault="00287067" w:rsidP="00287067">
      <w:pPr>
        <w:spacing w:before="100" w:beforeAutospacing="1" w:after="100" w:afterAutospacing="1"/>
        <w:rPr>
          <w:rFonts w:ascii="Arial" w:eastAsia="Times New Roman" w:hAnsi="Arial" w:cs="Arial"/>
          <w:color w:val="000000"/>
          <w:lang w:eastAsia="en-GB"/>
        </w:rPr>
      </w:pPr>
      <w:r w:rsidRPr="00287067">
        <w:rPr>
          <w:rFonts w:ascii="Arial" w:eastAsia="Times New Roman" w:hAnsi="Arial" w:cs="Arial"/>
          <w:color w:val="000000"/>
          <w:lang w:eastAsia="en-GB"/>
        </w:rPr>
        <w:t>I have got an enormous issue with successive governments ... increasing the responsibilities and ... expecting a more professional standard ... but not being prepared to take us ... under the government wing and giving us a pension and all the rest of it ... it seems to me that nobody actually outside the job really understands how much responsibility you hold ... there is still this kind of public notion that you just have a cosy little job down at the school and you are just a mum who’s got a nice little job and aren’t you lucky you get the holidays off.</w:t>
      </w:r>
    </w:p>
    <w:p w14:paraId="719433C3" w14:textId="77777777" w:rsidR="003A326C" w:rsidRDefault="003A326C" w:rsidP="000454F6">
      <w:pPr>
        <w:rPr>
          <w:lang w:eastAsia="en-GB"/>
        </w:rPr>
      </w:pPr>
    </w:p>
    <w:p w14:paraId="1C6FB634" w14:textId="1C1520B3" w:rsidR="00287067" w:rsidRPr="000454F6" w:rsidRDefault="00287067" w:rsidP="000454F6">
      <w:pPr>
        <w:pStyle w:val="Heading1"/>
      </w:pPr>
      <w:r w:rsidRPr="000454F6">
        <w:t>References</w:t>
      </w:r>
    </w:p>
    <w:p w14:paraId="04ADB03A"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proofErr w:type="spellStart"/>
      <w:r w:rsidRPr="00287067">
        <w:rPr>
          <w:rFonts w:ascii="Arial" w:eastAsia="Times New Roman" w:hAnsi="Arial" w:cs="Arial"/>
          <w:color w:val="000000"/>
          <w:sz w:val="22"/>
          <w:szCs w:val="22"/>
          <w:lang w:eastAsia="en-GB"/>
        </w:rPr>
        <w:t>Coffield</w:t>
      </w:r>
      <w:proofErr w:type="spellEnd"/>
      <w:r w:rsidRPr="00287067">
        <w:rPr>
          <w:rFonts w:ascii="Arial" w:eastAsia="Times New Roman" w:hAnsi="Arial" w:cs="Arial"/>
          <w:color w:val="000000"/>
          <w:sz w:val="22"/>
          <w:szCs w:val="22"/>
          <w:lang w:eastAsia="en-GB"/>
        </w:rPr>
        <w:t xml:space="preserve"> F (2002) ‘Breaking the consensus: lifelong learning as social control’ in R Edwards, N Miller, N Small and A Tait (eds)</w:t>
      </w:r>
      <w:r w:rsidRPr="00287067">
        <w:rPr>
          <w:rFonts w:ascii="Arial" w:eastAsia="Times New Roman" w:hAnsi="Arial" w:cs="Arial"/>
          <w:i/>
          <w:iCs/>
          <w:color w:val="000000"/>
          <w:sz w:val="22"/>
          <w:szCs w:val="22"/>
          <w:lang w:eastAsia="en-GB"/>
        </w:rPr>
        <w:t>Supporting lifelong learning, volume 3: making policy work</w:t>
      </w:r>
      <w:r w:rsidRPr="00287067">
        <w:rPr>
          <w:rFonts w:ascii="Arial" w:eastAsia="Times New Roman" w:hAnsi="Arial" w:cs="Arial"/>
          <w:color w:val="000000"/>
          <w:sz w:val="22"/>
          <w:szCs w:val="22"/>
          <w:lang w:eastAsia="en-GB"/>
        </w:rPr>
        <w:t>, London, Routledge Falmer. </w:t>
      </w:r>
    </w:p>
    <w:p w14:paraId="164E518D"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Dahlberg G, Moss P and Pence A (1999) </w:t>
      </w:r>
      <w:r w:rsidRPr="00287067">
        <w:rPr>
          <w:rFonts w:ascii="Arial" w:eastAsia="Times New Roman" w:hAnsi="Arial" w:cs="Arial"/>
          <w:i/>
          <w:iCs/>
          <w:color w:val="000000"/>
          <w:sz w:val="22"/>
          <w:szCs w:val="22"/>
          <w:lang w:eastAsia="en-GB"/>
        </w:rPr>
        <w:t>Beyond quality in early childhood education and care: postmodern perspectives</w:t>
      </w:r>
      <w:r w:rsidRPr="00287067">
        <w:rPr>
          <w:rFonts w:ascii="Arial" w:eastAsia="Times New Roman" w:hAnsi="Arial" w:cs="Arial"/>
          <w:color w:val="000000"/>
          <w:sz w:val="22"/>
          <w:szCs w:val="22"/>
          <w:lang w:eastAsia="en-GB"/>
        </w:rPr>
        <w:t>, London, Falmer. </w:t>
      </w:r>
    </w:p>
    <w:p w14:paraId="559B55B4"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DfES (2003) </w:t>
      </w:r>
      <w:r w:rsidRPr="00287067">
        <w:rPr>
          <w:rFonts w:ascii="Arial" w:eastAsia="Times New Roman" w:hAnsi="Arial" w:cs="Arial"/>
          <w:i/>
          <w:iCs/>
          <w:color w:val="000000"/>
          <w:sz w:val="22"/>
          <w:szCs w:val="22"/>
          <w:lang w:eastAsia="en-GB"/>
        </w:rPr>
        <w:t>Every Child Matters</w:t>
      </w:r>
      <w:r w:rsidRPr="00287067">
        <w:rPr>
          <w:rFonts w:ascii="Arial" w:eastAsia="Times New Roman" w:hAnsi="Arial" w:cs="Arial"/>
          <w:color w:val="000000"/>
          <w:sz w:val="22"/>
          <w:szCs w:val="22"/>
          <w:lang w:eastAsia="en-GB"/>
        </w:rPr>
        <w:t> (Green paper), London, HMSO. </w:t>
      </w:r>
    </w:p>
    <w:p w14:paraId="4333BF2B"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DfES (2005) </w:t>
      </w:r>
      <w:r w:rsidRPr="00287067">
        <w:rPr>
          <w:rFonts w:ascii="Arial" w:eastAsia="Times New Roman" w:hAnsi="Arial" w:cs="Arial"/>
          <w:i/>
          <w:iCs/>
          <w:color w:val="000000"/>
          <w:sz w:val="22"/>
          <w:szCs w:val="22"/>
          <w:lang w:eastAsia="en-GB"/>
        </w:rPr>
        <w:t>Further education: realising the potential: a review of the future role of further education colleges (The Foster review</w:t>
      </w:r>
      <w:proofErr w:type="gramStart"/>
      <w:r w:rsidRPr="00287067">
        <w:rPr>
          <w:rFonts w:ascii="Arial" w:eastAsia="Times New Roman" w:hAnsi="Arial" w:cs="Arial"/>
          <w:i/>
          <w:iCs/>
          <w:color w:val="000000"/>
          <w:sz w:val="22"/>
          <w:szCs w:val="22"/>
          <w:lang w:eastAsia="en-GB"/>
        </w:rPr>
        <w:t>),</w:t>
      </w:r>
      <w:r w:rsidRPr="00287067">
        <w:rPr>
          <w:rFonts w:ascii="Arial" w:eastAsia="Times New Roman" w:hAnsi="Arial" w:cs="Arial"/>
          <w:color w:val="000000"/>
          <w:sz w:val="22"/>
          <w:szCs w:val="22"/>
          <w:lang w:eastAsia="en-GB"/>
        </w:rPr>
        <w:t>Nottingham</w:t>
      </w:r>
      <w:proofErr w:type="gramEnd"/>
      <w:r w:rsidRPr="00287067">
        <w:rPr>
          <w:rFonts w:ascii="Arial" w:eastAsia="Times New Roman" w:hAnsi="Arial" w:cs="Arial"/>
          <w:color w:val="000000"/>
          <w:sz w:val="22"/>
          <w:szCs w:val="22"/>
          <w:lang w:eastAsia="en-GB"/>
        </w:rPr>
        <w:t>, Department for Education and Skills. </w:t>
      </w:r>
    </w:p>
    <w:p w14:paraId="3339BA3A"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DfES (2007) </w:t>
      </w:r>
      <w:r w:rsidRPr="00287067">
        <w:rPr>
          <w:rFonts w:ascii="Arial" w:eastAsia="Times New Roman" w:hAnsi="Arial" w:cs="Arial"/>
          <w:i/>
          <w:iCs/>
          <w:color w:val="000000"/>
          <w:sz w:val="22"/>
          <w:szCs w:val="22"/>
          <w:lang w:eastAsia="en-GB"/>
        </w:rPr>
        <w:t xml:space="preserve">The early years foundation stage: setting the standards for learning, </w:t>
      </w:r>
      <w:proofErr w:type="gramStart"/>
      <w:r w:rsidRPr="00287067">
        <w:rPr>
          <w:rFonts w:ascii="Arial" w:eastAsia="Times New Roman" w:hAnsi="Arial" w:cs="Arial"/>
          <w:i/>
          <w:iCs/>
          <w:color w:val="000000"/>
          <w:sz w:val="22"/>
          <w:szCs w:val="22"/>
          <w:lang w:eastAsia="en-GB"/>
        </w:rPr>
        <w:t>development</w:t>
      </w:r>
      <w:proofErr w:type="gramEnd"/>
      <w:r w:rsidRPr="00287067">
        <w:rPr>
          <w:rFonts w:ascii="Arial" w:eastAsia="Times New Roman" w:hAnsi="Arial" w:cs="Arial"/>
          <w:i/>
          <w:iCs/>
          <w:color w:val="000000"/>
          <w:sz w:val="22"/>
          <w:szCs w:val="22"/>
          <w:lang w:eastAsia="en-GB"/>
        </w:rPr>
        <w:t xml:space="preserve"> and care for children from birth to five</w:t>
      </w:r>
      <w:r w:rsidRPr="00287067">
        <w:rPr>
          <w:rFonts w:ascii="Arial" w:eastAsia="Times New Roman" w:hAnsi="Arial" w:cs="Arial"/>
          <w:color w:val="000000"/>
          <w:sz w:val="22"/>
          <w:szCs w:val="22"/>
          <w:lang w:eastAsia="en-GB"/>
        </w:rPr>
        <w:t>, Nottingham, DfES. </w:t>
      </w:r>
    </w:p>
    <w:p w14:paraId="48AA023C"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proofErr w:type="spellStart"/>
      <w:r w:rsidRPr="00287067">
        <w:rPr>
          <w:rFonts w:ascii="Arial" w:eastAsia="Times New Roman" w:hAnsi="Arial" w:cs="Arial"/>
          <w:color w:val="000000"/>
          <w:sz w:val="22"/>
          <w:szCs w:val="22"/>
          <w:lang w:eastAsia="en-GB"/>
        </w:rPr>
        <w:t>DoH</w:t>
      </w:r>
      <w:proofErr w:type="spellEnd"/>
      <w:r w:rsidRPr="00287067">
        <w:rPr>
          <w:rFonts w:ascii="Arial" w:eastAsia="Times New Roman" w:hAnsi="Arial" w:cs="Arial"/>
          <w:color w:val="000000"/>
          <w:sz w:val="22"/>
          <w:szCs w:val="22"/>
          <w:lang w:eastAsia="en-GB"/>
        </w:rPr>
        <w:t xml:space="preserve"> (2003) </w:t>
      </w:r>
      <w:r w:rsidRPr="00287067">
        <w:rPr>
          <w:rFonts w:ascii="Arial" w:eastAsia="Times New Roman" w:hAnsi="Arial" w:cs="Arial"/>
          <w:i/>
          <w:iCs/>
          <w:color w:val="000000"/>
          <w:sz w:val="22"/>
          <w:szCs w:val="22"/>
          <w:lang w:eastAsia="en-GB"/>
        </w:rPr>
        <w:t>The Victoria Climbié inquiry: report of an inquiry by Lord Laming</w:t>
      </w:r>
      <w:r w:rsidRPr="00287067">
        <w:rPr>
          <w:rFonts w:ascii="Arial" w:eastAsia="Times New Roman" w:hAnsi="Arial" w:cs="Arial"/>
          <w:color w:val="000000"/>
          <w:sz w:val="22"/>
          <w:szCs w:val="22"/>
          <w:lang w:eastAsia="en-GB"/>
        </w:rPr>
        <w:t>, HMSO Cm 5730 [available at www.dh.gov.uk]. </w:t>
      </w:r>
    </w:p>
    <w:p w14:paraId="3D24965B"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Elliot G (1999) </w:t>
      </w:r>
      <w:r w:rsidRPr="00287067">
        <w:rPr>
          <w:rFonts w:ascii="Arial" w:eastAsia="Times New Roman" w:hAnsi="Arial" w:cs="Arial"/>
          <w:i/>
          <w:iCs/>
          <w:color w:val="000000"/>
          <w:sz w:val="22"/>
          <w:szCs w:val="22"/>
          <w:lang w:eastAsia="en-GB"/>
        </w:rPr>
        <w:t>Lifelong learning: the politics of the new learning environment</w:t>
      </w:r>
      <w:r w:rsidRPr="00287067">
        <w:rPr>
          <w:rFonts w:ascii="Arial" w:eastAsia="Times New Roman" w:hAnsi="Arial" w:cs="Arial"/>
          <w:color w:val="000000"/>
          <w:sz w:val="22"/>
          <w:szCs w:val="22"/>
          <w:lang w:eastAsia="en-GB"/>
        </w:rPr>
        <w:t>, London, Jessica Kingsley. </w:t>
      </w:r>
    </w:p>
    <w:p w14:paraId="3FA903BD" w14:textId="49B98B98"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 xml:space="preserve">Feinstein L, Budge D, </w:t>
      </w:r>
      <w:proofErr w:type="spellStart"/>
      <w:r w:rsidRPr="00287067">
        <w:rPr>
          <w:rFonts w:ascii="Arial" w:eastAsia="Times New Roman" w:hAnsi="Arial" w:cs="Arial"/>
          <w:color w:val="000000"/>
          <w:sz w:val="22"/>
          <w:szCs w:val="22"/>
          <w:lang w:eastAsia="en-GB"/>
        </w:rPr>
        <w:t>Vorhaus</w:t>
      </w:r>
      <w:proofErr w:type="spellEnd"/>
      <w:r w:rsidRPr="00287067">
        <w:rPr>
          <w:rFonts w:ascii="Arial" w:eastAsia="Times New Roman" w:hAnsi="Arial" w:cs="Arial"/>
          <w:color w:val="000000"/>
          <w:sz w:val="22"/>
          <w:szCs w:val="22"/>
          <w:lang w:eastAsia="en-GB"/>
        </w:rPr>
        <w:t xml:space="preserve"> J and Duckworth K (2008) (eds) </w:t>
      </w:r>
      <w:r w:rsidRPr="00287067">
        <w:rPr>
          <w:rFonts w:ascii="Arial" w:eastAsia="Times New Roman" w:hAnsi="Arial" w:cs="Arial"/>
          <w:i/>
          <w:iCs/>
          <w:color w:val="000000"/>
          <w:sz w:val="22"/>
          <w:szCs w:val="22"/>
          <w:lang w:eastAsia="en-GB"/>
        </w:rPr>
        <w:t>The social and personal benefits of learning: a summary of key research findings</w:t>
      </w:r>
      <w:r w:rsidRPr="00287067">
        <w:rPr>
          <w:rFonts w:ascii="Arial" w:eastAsia="Times New Roman" w:hAnsi="Arial" w:cs="Arial"/>
          <w:color w:val="000000"/>
          <w:sz w:val="22"/>
          <w:szCs w:val="22"/>
          <w:lang w:eastAsia="en-GB"/>
        </w:rPr>
        <w:t>, London, Centre for Research on the Wider Benefits of Learning</w:t>
      </w:r>
      <w:r w:rsidR="004A5F5B" w:rsidRPr="003A326C">
        <w:rPr>
          <w:rFonts w:ascii="Arial" w:eastAsia="Times New Roman" w:hAnsi="Arial" w:cs="Arial"/>
          <w:color w:val="000000"/>
          <w:sz w:val="22"/>
          <w:szCs w:val="22"/>
          <w:lang w:eastAsia="en-GB"/>
        </w:rPr>
        <w:t>.</w:t>
      </w:r>
      <w:r w:rsidRPr="00287067">
        <w:rPr>
          <w:rFonts w:ascii="Arial" w:eastAsia="Times New Roman" w:hAnsi="Arial" w:cs="Arial"/>
          <w:color w:val="000000"/>
          <w:sz w:val="22"/>
          <w:szCs w:val="22"/>
          <w:lang w:eastAsia="en-GB"/>
        </w:rPr>
        <w:t xml:space="preserve"> </w:t>
      </w:r>
    </w:p>
    <w:p w14:paraId="52014BF7"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Field J (2006) </w:t>
      </w:r>
      <w:r w:rsidRPr="00287067">
        <w:rPr>
          <w:rFonts w:ascii="Arial" w:eastAsia="Times New Roman" w:hAnsi="Arial" w:cs="Arial"/>
          <w:i/>
          <w:iCs/>
          <w:color w:val="000000"/>
          <w:sz w:val="22"/>
          <w:szCs w:val="22"/>
          <w:lang w:eastAsia="en-GB"/>
        </w:rPr>
        <w:t>Lifelong learning and the new educational order</w:t>
      </w:r>
      <w:r w:rsidRPr="00287067">
        <w:rPr>
          <w:rFonts w:ascii="Arial" w:eastAsia="Times New Roman" w:hAnsi="Arial" w:cs="Arial"/>
          <w:color w:val="000000"/>
          <w:sz w:val="22"/>
          <w:szCs w:val="22"/>
          <w:lang w:eastAsia="en-GB"/>
        </w:rPr>
        <w:t xml:space="preserve"> (2nd </w:t>
      </w:r>
      <w:proofErr w:type="spellStart"/>
      <w:r w:rsidRPr="00287067">
        <w:rPr>
          <w:rFonts w:ascii="Arial" w:eastAsia="Times New Roman" w:hAnsi="Arial" w:cs="Arial"/>
          <w:color w:val="000000"/>
          <w:sz w:val="22"/>
          <w:szCs w:val="22"/>
          <w:lang w:eastAsia="en-GB"/>
        </w:rPr>
        <w:t>edn</w:t>
      </w:r>
      <w:proofErr w:type="spellEnd"/>
      <w:r w:rsidRPr="00287067">
        <w:rPr>
          <w:rFonts w:ascii="Arial" w:eastAsia="Times New Roman" w:hAnsi="Arial" w:cs="Arial"/>
          <w:color w:val="000000"/>
          <w:sz w:val="22"/>
          <w:szCs w:val="22"/>
          <w:lang w:eastAsia="en-GB"/>
        </w:rPr>
        <w:t>), Stoke on Trent, Trentham Books. </w:t>
      </w:r>
    </w:p>
    <w:p w14:paraId="16CC2890"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Griffin C (2002) ‘Lifelong learning and welfare reform’ in R Edwards, N Miller, N Small and A Tait (eds) </w:t>
      </w:r>
      <w:r w:rsidRPr="00287067">
        <w:rPr>
          <w:rFonts w:ascii="Arial" w:eastAsia="Times New Roman" w:hAnsi="Arial" w:cs="Arial"/>
          <w:i/>
          <w:iCs/>
          <w:color w:val="000000"/>
          <w:sz w:val="22"/>
          <w:szCs w:val="22"/>
          <w:lang w:eastAsia="en-GB"/>
        </w:rPr>
        <w:t>Supporting lifelong learning, volume 3: making policy work</w:t>
      </w:r>
      <w:r w:rsidRPr="00287067">
        <w:rPr>
          <w:rFonts w:ascii="Arial" w:eastAsia="Times New Roman" w:hAnsi="Arial" w:cs="Arial"/>
          <w:color w:val="000000"/>
          <w:sz w:val="22"/>
          <w:szCs w:val="22"/>
          <w:lang w:eastAsia="en-GB"/>
        </w:rPr>
        <w:t xml:space="preserve">, London, </w:t>
      </w:r>
      <w:proofErr w:type="spellStart"/>
      <w:r w:rsidRPr="00287067">
        <w:rPr>
          <w:rFonts w:ascii="Arial" w:eastAsia="Times New Roman" w:hAnsi="Arial" w:cs="Arial"/>
          <w:color w:val="000000"/>
          <w:sz w:val="22"/>
          <w:szCs w:val="22"/>
          <w:lang w:eastAsia="en-GB"/>
        </w:rPr>
        <w:t>RoutledgeFalmer</w:t>
      </w:r>
      <w:proofErr w:type="spellEnd"/>
      <w:r w:rsidRPr="00287067">
        <w:rPr>
          <w:rFonts w:ascii="Arial" w:eastAsia="Times New Roman" w:hAnsi="Arial" w:cs="Arial"/>
          <w:color w:val="000000"/>
          <w:sz w:val="22"/>
          <w:szCs w:val="22"/>
          <w:lang w:eastAsia="en-GB"/>
        </w:rPr>
        <w:t>. </w:t>
      </w:r>
    </w:p>
    <w:p w14:paraId="313CCA05"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Hodge M (2000) </w:t>
      </w:r>
      <w:r w:rsidRPr="00287067">
        <w:rPr>
          <w:rFonts w:ascii="Arial" w:eastAsia="Times New Roman" w:hAnsi="Arial" w:cs="Arial"/>
          <w:i/>
          <w:iCs/>
          <w:color w:val="000000"/>
          <w:sz w:val="22"/>
          <w:szCs w:val="22"/>
          <w:lang w:eastAsia="en-GB"/>
        </w:rPr>
        <w:t>Matter of fact</w:t>
      </w:r>
      <w:r w:rsidRPr="00287067">
        <w:rPr>
          <w:rFonts w:ascii="Arial" w:eastAsia="Times New Roman" w:hAnsi="Arial" w:cs="Arial"/>
          <w:color w:val="000000"/>
          <w:sz w:val="22"/>
          <w:szCs w:val="22"/>
          <w:lang w:eastAsia="en-GB"/>
        </w:rPr>
        <w:t>, BBC 1, 3 February 2000. </w:t>
      </w:r>
    </w:p>
    <w:p w14:paraId="041EF404"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lastRenderedPageBreak/>
        <w:t xml:space="preserve">Hodgson A and </w:t>
      </w:r>
      <w:proofErr w:type="spellStart"/>
      <w:r w:rsidRPr="00287067">
        <w:rPr>
          <w:rFonts w:ascii="Arial" w:eastAsia="Times New Roman" w:hAnsi="Arial" w:cs="Arial"/>
          <w:color w:val="000000"/>
          <w:sz w:val="22"/>
          <w:szCs w:val="22"/>
          <w:lang w:eastAsia="en-GB"/>
        </w:rPr>
        <w:t>Spours</w:t>
      </w:r>
      <w:proofErr w:type="spellEnd"/>
      <w:r w:rsidRPr="00287067">
        <w:rPr>
          <w:rFonts w:ascii="Arial" w:eastAsia="Times New Roman" w:hAnsi="Arial" w:cs="Arial"/>
          <w:color w:val="000000"/>
          <w:sz w:val="22"/>
          <w:szCs w:val="22"/>
          <w:lang w:eastAsia="en-GB"/>
        </w:rPr>
        <w:t xml:space="preserve"> K (1999) </w:t>
      </w:r>
      <w:r w:rsidRPr="00287067">
        <w:rPr>
          <w:rFonts w:ascii="Arial" w:eastAsia="Times New Roman" w:hAnsi="Arial" w:cs="Arial"/>
          <w:i/>
          <w:iCs/>
          <w:color w:val="000000"/>
          <w:sz w:val="22"/>
          <w:szCs w:val="22"/>
          <w:lang w:eastAsia="en-GB"/>
        </w:rPr>
        <w:t>New Labour’s educational agenda: issues and policies for education and training from 14+,</w:t>
      </w:r>
      <w:r w:rsidRPr="00287067">
        <w:rPr>
          <w:rFonts w:ascii="Arial" w:eastAsia="Times New Roman" w:hAnsi="Arial" w:cs="Arial"/>
          <w:color w:val="000000"/>
          <w:sz w:val="22"/>
          <w:szCs w:val="22"/>
          <w:lang w:eastAsia="en-GB"/>
        </w:rPr>
        <w:t> London, Kogan Page. </w:t>
      </w:r>
    </w:p>
    <w:p w14:paraId="3283FAE5"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Jarvis P and Griffin C (2003) ‘</w:t>
      </w:r>
      <w:r w:rsidRPr="00287067">
        <w:rPr>
          <w:rFonts w:ascii="Arial" w:eastAsia="Times New Roman" w:hAnsi="Arial" w:cs="Arial"/>
          <w:i/>
          <w:iCs/>
          <w:color w:val="000000"/>
          <w:sz w:val="22"/>
          <w:szCs w:val="22"/>
          <w:lang w:eastAsia="en-GB"/>
        </w:rPr>
        <w:t>General introduction’ to Adult and continuing education: major themes in education</w:t>
      </w:r>
      <w:r w:rsidRPr="00287067">
        <w:rPr>
          <w:rFonts w:ascii="Arial" w:eastAsia="Times New Roman" w:hAnsi="Arial" w:cs="Arial"/>
          <w:color w:val="000000"/>
          <w:sz w:val="22"/>
          <w:szCs w:val="22"/>
          <w:lang w:eastAsia="en-GB"/>
        </w:rPr>
        <w:t>, volumes 1-5, London, Routledge. </w:t>
      </w:r>
    </w:p>
    <w:p w14:paraId="0C3CFAF0"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Livingstone D W (2002) ‘Lifelong learning and underemployment in the knowledge society: a North American perspective’ in R Edwards, N Miller, N Small and A Tait (eds), </w:t>
      </w:r>
      <w:r w:rsidRPr="00287067">
        <w:rPr>
          <w:rFonts w:ascii="Arial" w:eastAsia="Times New Roman" w:hAnsi="Arial" w:cs="Arial"/>
          <w:i/>
          <w:iCs/>
          <w:color w:val="000000"/>
          <w:sz w:val="22"/>
          <w:szCs w:val="22"/>
          <w:lang w:eastAsia="en-GB"/>
        </w:rPr>
        <w:t>Supporting lifelong learning, volume 3: making policy work</w:t>
      </w:r>
      <w:r w:rsidRPr="00287067">
        <w:rPr>
          <w:rFonts w:ascii="Arial" w:eastAsia="Times New Roman" w:hAnsi="Arial" w:cs="Arial"/>
          <w:color w:val="000000"/>
          <w:sz w:val="22"/>
          <w:szCs w:val="22"/>
          <w:lang w:eastAsia="en-GB"/>
        </w:rPr>
        <w:t xml:space="preserve">, London, </w:t>
      </w:r>
      <w:proofErr w:type="spellStart"/>
      <w:r w:rsidRPr="00287067">
        <w:rPr>
          <w:rFonts w:ascii="Arial" w:eastAsia="Times New Roman" w:hAnsi="Arial" w:cs="Arial"/>
          <w:color w:val="000000"/>
          <w:sz w:val="22"/>
          <w:szCs w:val="22"/>
          <w:lang w:eastAsia="en-GB"/>
        </w:rPr>
        <w:t>RoutledgeFalmer</w:t>
      </w:r>
      <w:proofErr w:type="spellEnd"/>
      <w:r w:rsidRPr="00287067">
        <w:rPr>
          <w:rFonts w:ascii="Arial" w:eastAsia="Times New Roman" w:hAnsi="Arial" w:cs="Arial"/>
          <w:color w:val="000000"/>
          <w:sz w:val="22"/>
          <w:szCs w:val="22"/>
          <w:lang w:eastAsia="en-GB"/>
        </w:rPr>
        <w:t>. </w:t>
      </w:r>
    </w:p>
    <w:p w14:paraId="1A737134"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LSDA Policy Briefing Paper 30 on OECD (2003) </w:t>
      </w:r>
      <w:r w:rsidRPr="00287067">
        <w:rPr>
          <w:rFonts w:ascii="Arial" w:eastAsia="Times New Roman" w:hAnsi="Arial" w:cs="Arial"/>
          <w:i/>
          <w:iCs/>
          <w:color w:val="000000"/>
          <w:sz w:val="22"/>
          <w:szCs w:val="22"/>
          <w:lang w:eastAsia="en-GB"/>
        </w:rPr>
        <w:t>Beyond rhetoric: adult learning policies and practices</w:t>
      </w:r>
      <w:r w:rsidRPr="00287067">
        <w:rPr>
          <w:rFonts w:ascii="Arial" w:eastAsia="Times New Roman" w:hAnsi="Arial" w:cs="Arial"/>
          <w:color w:val="000000"/>
          <w:sz w:val="22"/>
          <w:szCs w:val="22"/>
          <w:lang w:eastAsia="en-GB"/>
        </w:rPr>
        <w:t> [available online at ./publications/e-book/9103011E.PDF].</w:t>
      </w:r>
    </w:p>
    <w:p w14:paraId="59CA8B37"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LSDA Policy Briefing Paper 38 on OECD (2004) </w:t>
      </w:r>
      <w:r w:rsidRPr="00287067">
        <w:rPr>
          <w:rFonts w:ascii="Arial" w:eastAsia="Times New Roman" w:hAnsi="Arial" w:cs="Arial"/>
          <w:i/>
          <w:iCs/>
          <w:color w:val="000000"/>
          <w:sz w:val="22"/>
          <w:szCs w:val="22"/>
          <w:lang w:eastAsia="en-GB"/>
        </w:rPr>
        <w:t>Promoting adult learning – OECD report, people and government, working together to make life better, part of the thematic review of adult learning</w:t>
      </w:r>
      <w:r w:rsidRPr="00287067">
        <w:rPr>
          <w:rFonts w:ascii="Arial" w:eastAsia="Times New Roman" w:hAnsi="Arial" w:cs="Arial"/>
          <w:color w:val="000000"/>
          <w:sz w:val="22"/>
          <w:szCs w:val="22"/>
          <w:lang w:eastAsia="en-GB"/>
        </w:rPr>
        <w:t> [available online at /document/ 3/0,</w:t>
      </w:r>
      <w:proofErr w:type="gramStart"/>
      <w:r w:rsidRPr="00287067">
        <w:rPr>
          <w:rFonts w:ascii="Arial" w:eastAsia="Times New Roman" w:hAnsi="Arial" w:cs="Arial"/>
          <w:color w:val="000000"/>
          <w:sz w:val="22"/>
          <w:szCs w:val="22"/>
          <w:lang w:eastAsia="en-GB"/>
        </w:rPr>
        <w:t>2340,en</w:t>
      </w:r>
      <w:proofErr w:type="gramEnd"/>
      <w:r w:rsidRPr="00287067">
        <w:rPr>
          <w:rFonts w:ascii="Arial" w:eastAsia="Times New Roman" w:hAnsi="Arial" w:cs="Arial"/>
          <w:color w:val="000000"/>
          <w:sz w:val="22"/>
          <w:szCs w:val="22"/>
          <w:lang w:eastAsia="en-GB"/>
        </w:rPr>
        <w:t xml:space="preserve"> 2649 34511 11997955 1 1 1 1,00.html]. </w:t>
      </w:r>
    </w:p>
    <w:p w14:paraId="4A4BA714"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NIACE (2005) </w:t>
      </w:r>
      <w:r w:rsidRPr="00287067">
        <w:rPr>
          <w:rFonts w:ascii="Arial" w:eastAsia="Times New Roman" w:hAnsi="Arial" w:cs="Arial"/>
          <w:i/>
          <w:iCs/>
          <w:color w:val="000000"/>
          <w:sz w:val="22"/>
          <w:szCs w:val="22"/>
          <w:lang w:eastAsia="en-GB"/>
        </w:rPr>
        <w:t>Eight in ten: adult learners in further education</w:t>
      </w:r>
      <w:r w:rsidRPr="00287067">
        <w:rPr>
          <w:rFonts w:ascii="Arial" w:eastAsia="Times New Roman" w:hAnsi="Arial" w:cs="Arial"/>
          <w:color w:val="000000"/>
          <w:sz w:val="22"/>
          <w:szCs w:val="22"/>
          <w:lang w:eastAsia="en-GB"/>
        </w:rPr>
        <w:t>, Leicester, National Institute for Adult and Continuing Education. </w:t>
      </w:r>
    </w:p>
    <w:p w14:paraId="53558BE5"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QCA (2000) </w:t>
      </w:r>
      <w:r w:rsidRPr="00287067">
        <w:rPr>
          <w:rFonts w:ascii="Arial" w:eastAsia="Times New Roman" w:hAnsi="Arial" w:cs="Arial"/>
          <w:i/>
          <w:iCs/>
          <w:color w:val="000000"/>
          <w:sz w:val="22"/>
          <w:szCs w:val="22"/>
          <w:lang w:eastAsia="en-GB"/>
        </w:rPr>
        <w:t>Curriculum guidance for the foundation stage</w:t>
      </w:r>
      <w:r w:rsidRPr="00287067">
        <w:rPr>
          <w:rFonts w:ascii="Arial" w:eastAsia="Times New Roman" w:hAnsi="Arial" w:cs="Arial"/>
          <w:color w:val="000000"/>
          <w:sz w:val="22"/>
          <w:szCs w:val="22"/>
          <w:lang w:eastAsia="en-GB"/>
        </w:rPr>
        <w:t>, London: Qualifications and Curriculum Authority. </w:t>
      </w:r>
    </w:p>
    <w:p w14:paraId="13E4C409"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QCA (2001) </w:t>
      </w:r>
      <w:r w:rsidRPr="00287067">
        <w:rPr>
          <w:rFonts w:ascii="Arial" w:eastAsia="Times New Roman" w:hAnsi="Arial" w:cs="Arial"/>
          <w:i/>
          <w:iCs/>
          <w:color w:val="000000"/>
          <w:sz w:val="22"/>
          <w:szCs w:val="22"/>
          <w:lang w:eastAsia="en-GB"/>
        </w:rPr>
        <w:t>Planning for learning in the foundation stage</w:t>
      </w:r>
      <w:r w:rsidRPr="00287067">
        <w:rPr>
          <w:rFonts w:ascii="Arial" w:eastAsia="Times New Roman" w:hAnsi="Arial" w:cs="Arial"/>
          <w:color w:val="000000"/>
          <w:sz w:val="22"/>
          <w:szCs w:val="22"/>
          <w:lang w:eastAsia="en-GB"/>
        </w:rPr>
        <w:t>, London: Qualifications and Curriculum Authority. </w:t>
      </w:r>
    </w:p>
    <w:p w14:paraId="4A4139B4"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proofErr w:type="gramStart"/>
      <w:r w:rsidRPr="00287067">
        <w:rPr>
          <w:rFonts w:ascii="Arial" w:eastAsia="Times New Roman" w:hAnsi="Arial" w:cs="Arial"/>
          <w:color w:val="000000"/>
          <w:sz w:val="22"/>
          <w:szCs w:val="22"/>
          <w:lang w:eastAsia="en-GB"/>
        </w:rPr>
        <w:t>Sure</w:t>
      </w:r>
      <w:proofErr w:type="gramEnd"/>
      <w:r w:rsidRPr="00287067">
        <w:rPr>
          <w:rFonts w:ascii="Arial" w:eastAsia="Times New Roman" w:hAnsi="Arial" w:cs="Arial"/>
          <w:color w:val="000000"/>
          <w:sz w:val="22"/>
          <w:szCs w:val="22"/>
          <w:lang w:eastAsia="en-GB"/>
        </w:rPr>
        <w:t xml:space="preserve"> Start Unit (2002) </w:t>
      </w:r>
      <w:r w:rsidRPr="00287067">
        <w:rPr>
          <w:rFonts w:ascii="Arial" w:eastAsia="Times New Roman" w:hAnsi="Arial" w:cs="Arial"/>
          <w:i/>
          <w:iCs/>
          <w:color w:val="000000"/>
          <w:sz w:val="22"/>
          <w:szCs w:val="22"/>
          <w:lang w:eastAsia="en-GB"/>
        </w:rPr>
        <w:t>Birth to three matters: a framework to support children in their earliest years</w:t>
      </w:r>
      <w:r w:rsidRPr="00287067">
        <w:rPr>
          <w:rFonts w:ascii="Arial" w:eastAsia="Times New Roman" w:hAnsi="Arial" w:cs="Arial"/>
          <w:color w:val="000000"/>
          <w:sz w:val="22"/>
          <w:szCs w:val="22"/>
          <w:lang w:eastAsia="en-GB"/>
        </w:rPr>
        <w:t>, London, DfES. </w:t>
      </w:r>
    </w:p>
    <w:p w14:paraId="434F7D37" w14:textId="77777777"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New Zealand Ministry of Education (1996) </w:t>
      </w:r>
      <w:proofErr w:type="spellStart"/>
      <w:r w:rsidRPr="00287067">
        <w:rPr>
          <w:rFonts w:ascii="Arial" w:eastAsia="Times New Roman" w:hAnsi="Arial" w:cs="Arial"/>
          <w:i/>
          <w:iCs/>
          <w:color w:val="000000"/>
          <w:sz w:val="22"/>
          <w:szCs w:val="22"/>
          <w:lang w:eastAsia="en-GB"/>
        </w:rPr>
        <w:t>Te</w:t>
      </w:r>
      <w:proofErr w:type="spellEnd"/>
      <w:r w:rsidRPr="00287067">
        <w:rPr>
          <w:rFonts w:ascii="Arial" w:eastAsia="Times New Roman" w:hAnsi="Arial" w:cs="Arial"/>
          <w:i/>
          <w:iCs/>
          <w:color w:val="000000"/>
          <w:sz w:val="22"/>
          <w:szCs w:val="22"/>
          <w:lang w:eastAsia="en-GB"/>
        </w:rPr>
        <w:t xml:space="preserve"> </w:t>
      </w:r>
      <w:proofErr w:type="spellStart"/>
      <w:r w:rsidRPr="00287067">
        <w:rPr>
          <w:rFonts w:ascii="Arial" w:eastAsia="Times New Roman" w:hAnsi="Arial" w:cs="Arial"/>
          <w:i/>
          <w:iCs/>
          <w:color w:val="000000"/>
          <w:sz w:val="22"/>
          <w:szCs w:val="22"/>
          <w:lang w:eastAsia="en-GB"/>
        </w:rPr>
        <w:t>Whariki</w:t>
      </w:r>
      <w:proofErr w:type="spellEnd"/>
      <w:r w:rsidRPr="00287067">
        <w:rPr>
          <w:rFonts w:ascii="Arial" w:eastAsia="Times New Roman" w:hAnsi="Arial" w:cs="Arial"/>
          <w:i/>
          <w:iCs/>
          <w:color w:val="000000"/>
          <w:sz w:val="22"/>
          <w:szCs w:val="22"/>
          <w:lang w:eastAsia="en-GB"/>
        </w:rPr>
        <w:t>: early childhood curriculum</w:t>
      </w:r>
      <w:r w:rsidRPr="00287067">
        <w:rPr>
          <w:rFonts w:ascii="Arial" w:eastAsia="Times New Roman" w:hAnsi="Arial" w:cs="Arial"/>
          <w:color w:val="000000"/>
          <w:sz w:val="22"/>
          <w:szCs w:val="22"/>
          <w:lang w:eastAsia="en-GB"/>
        </w:rPr>
        <w:t>, Wellington NZ, Learning Media Ltd [available at </w:t>
      </w:r>
      <w:r w:rsidRPr="00287067">
        <w:rPr>
          <w:rFonts w:ascii="Arial" w:eastAsia="Times New Roman" w:hAnsi="Arial" w:cs="Arial"/>
          <w:color w:val="000000"/>
          <w:sz w:val="22"/>
          <w:szCs w:val="22"/>
          <w:u w:val="single"/>
          <w:lang w:eastAsia="en-GB"/>
        </w:rPr>
        <w:t>www.minedu.govt.nz</w:t>
      </w:r>
      <w:r w:rsidRPr="00287067">
        <w:rPr>
          <w:rFonts w:ascii="Arial" w:eastAsia="Times New Roman" w:hAnsi="Arial" w:cs="Arial"/>
          <w:color w:val="000000"/>
          <w:sz w:val="22"/>
          <w:szCs w:val="22"/>
          <w:lang w:eastAsia="en-GB"/>
        </w:rPr>
        <w:t>].</w:t>
      </w:r>
    </w:p>
    <w:p w14:paraId="5B83841D" w14:textId="23942AD2"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TLRP (2005) </w:t>
      </w:r>
      <w:r w:rsidRPr="00287067">
        <w:rPr>
          <w:rFonts w:ascii="Arial" w:eastAsia="Times New Roman" w:hAnsi="Arial" w:cs="Arial"/>
          <w:i/>
          <w:iCs/>
          <w:color w:val="000000"/>
          <w:sz w:val="22"/>
          <w:szCs w:val="22"/>
          <w:lang w:eastAsia="en-GB"/>
        </w:rPr>
        <w:t>Improving learning in further education: a new, cultural approach, Teaching and Learning Research Programme, research briefing 12</w:t>
      </w:r>
      <w:r w:rsidRPr="00287067">
        <w:rPr>
          <w:rFonts w:ascii="Arial" w:eastAsia="Times New Roman" w:hAnsi="Arial" w:cs="Arial"/>
          <w:color w:val="000000"/>
          <w:sz w:val="22"/>
          <w:szCs w:val="22"/>
          <w:lang w:eastAsia="en-GB"/>
        </w:rPr>
        <w:t>, November 2005, London, Institute of Education</w:t>
      </w:r>
      <w:r w:rsidR="004A5F5B" w:rsidRPr="003A326C">
        <w:rPr>
          <w:rFonts w:ascii="Arial" w:eastAsia="Times New Roman" w:hAnsi="Arial" w:cs="Arial"/>
          <w:color w:val="000000"/>
          <w:sz w:val="22"/>
          <w:szCs w:val="22"/>
          <w:lang w:eastAsia="en-GB"/>
        </w:rPr>
        <w:t>.</w:t>
      </w:r>
      <w:r w:rsidRPr="00287067">
        <w:rPr>
          <w:rFonts w:ascii="Arial" w:eastAsia="Times New Roman" w:hAnsi="Arial" w:cs="Arial"/>
          <w:color w:val="000000"/>
          <w:sz w:val="22"/>
          <w:szCs w:val="22"/>
          <w:lang w:eastAsia="en-GB"/>
        </w:rPr>
        <w:t xml:space="preserve"> </w:t>
      </w:r>
    </w:p>
    <w:p w14:paraId="5F704445" w14:textId="329B169B" w:rsidR="00287067" w:rsidRPr="00287067" w:rsidRDefault="00287067" w:rsidP="00287067">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TLRP (2007) </w:t>
      </w:r>
      <w:r w:rsidRPr="00287067">
        <w:rPr>
          <w:rFonts w:ascii="Arial" w:eastAsia="Times New Roman" w:hAnsi="Arial" w:cs="Arial"/>
          <w:i/>
          <w:iCs/>
          <w:color w:val="000000"/>
          <w:sz w:val="22"/>
          <w:szCs w:val="22"/>
          <w:lang w:eastAsia="en-GB"/>
        </w:rPr>
        <w:t>Community-based learning in FE Colleges, Teaching and Learning Research Programme, research briefing 26</w:t>
      </w:r>
      <w:r w:rsidRPr="00287067">
        <w:rPr>
          <w:rFonts w:ascii="Arial" w:eastAsia="Times New Roman" w:hAnsi="Arial" w:cs="Arial"/>
          <w:color w:val="000000"/>
          <w:sz w:val="22"/>
          <w:szCs w:val="22"/>
          <w:lang w:eastAsia="en-GB"/>
        </w:rPr>
        <w:t>, June 2007, London, Institute of Education</w:t>
      </w:r>
      <w:r w:rsidR="004A5F5B" w:rsidRPr="003A326C">
        <w:rPr>
          <w:rFonts w:ascii="Arial" w:eastAsia="Times New Roman" w:hAnsi="Arial" w:cs="Arial"/>
          <w:color w:val="000000"/>
          <w:sz w:val="22"/>
          <w:szCs w:val="22"/>
          <w:lang w:eastAsia="en-GB"/>
        </w:rPr>
        <w:t>.</w:t>
      </w:r>
      <w:r w:rsidRPr="00287067">
        <w:rPr>
          <w:rFonts w:ascii="Arial" w:eastAsia="Times New Roman" w:hAnsi="Arial" w:cs="Arial"/>
          <w:color w:val="000000"/>
          <w:sz w:val="22"/>
          <w:szCs w:val="22"/>
          <w:lang w:eastAsia="en-GB"/>
        </w:rPr>
        <w:t xml:space="preserve"> </w:t>
      </w:r>
    </w:p>
    <w:p w14:paraId="73DCC41E" w14:textId="36AB66DC" w:rsidR="00510927" w:rsidRPr="003A326C" w:rsidRDefault="00287067" w:rsidP="004A5F5B">
      <w:pPr>
        <w:spacing w:before="100" w:beforeAutospacing="1" w:after="100" w:afterAutospacing="1"/>
        <w:rPr>
          <w:rFonts w:ascii="Arial" w:eastAsia="Times New Roman" w:hAnsi="Arial" w:cs="Arial"/>
          <w:color w:val="000000"/>
          <w:sz w:val="22"/>
          <w:szCs w:val="22"/>
          <w:lang w:eastAsia="en-GB"/>
        </w:rPr>
      </w:pPr>
      <w:r w:rsidRPr="00287067">
        <w:rPr>
          <w:rFonts w:ascii="Arial" w:eastAsia="Times New Roman" w:hAnsi="Arial" w:cs="Arial"/>
          <w:color w:val="000000"/>
          <w:sz w:val="22"/>
          <w:szCs w:val="22"/>
          <w:lang w:eastAsia="en-GB"/>
        </w:rPr>
        <w:t>TLRP (2008) </w:t>
      </w:r>
      <w:r w:rsidRPr="00287067">
        <w:rPr>
          <w:rFonts w:ascii="Arial" w:eastAsia="Times New Roman" w:hAnsi="Arial" w:cs="Arial"/>
          <w:i/>
          <w:iCs/>
          <w:color w:val="000000"/>
          <w:sz w:val="22"/>
          <w:szCs w:val="22"/>
          <w:lang w:eastAsia="en-GB"/>
        </w:rPr>
        <w:t>Learning lives: learning identity and agency in the life course, Teaching and Learning, Research Programme, research briefing 51</w:t>
      </w:r>
      <w:r w:rsidRPr="00287067">
        <w:rPr>
          <w:rFonts w:ascii="Arial" w:eastAsia="Times New Roman" w:hAnsi="Arial" w:cs="Arial"/>
          <w:color w:val="000000"/>
          <w:sz w:val="22"/>
          <w:szCs w:val="22"/>
          <w:lang w:eastAsia="en-GB"/>
        </w:rPr>
        <w:t>, July 2008, London, Institute of Education</w:t>
      </w:r>
      <w:r w:rsidR="004A5F5B" w:rsidRPr="003A326C">
        <w:rPr>
          <w:rFonts w:ascii="Arial" w:eastAsia="Times New Roman" w:hAnsi="Arial" w:cs="Arial"/>
          <w:color w:val="000000"/>
          <w:sz w:val="22"/>
          <w:szCs w:val="22"/>
          <w:lang w:eastAsia="en-GB"/>
        </w:rPr>
        <w:t>.</w:t>
      </w:r>
      <w:r w:rsidRPr="00287067">
        <w:rPr>
          <w:rFonts w:ascii="Arial" w:eastAsia="Times New Roman" w:hAnsi="Arial" w:cs="Arial"/>
          <w:color w:val="000000"/>
          <w:sz w:val="22"/>
          <w:szCs w:val="22"/>
          <w:lang w:eastAsia="en-GB"/>
        </w:rPr>
        <w:t xml:space="preserve"> </w:t>
      </w:r>
    </w:p>
    <w:p w14:paraId="1D7146CE" w14:textId="1DB5FEBE" w:rsidR="00F6633C" w:rsidRDefault="003A326C">
      <w:pPr>
        <w:rPr>
          <w:rFonts w:ascii="Calibri" w:hAnsi="Calibri"/>
          <w:szCs w:val="36"/>
        </w:rPr>
      </w:pPr>
      <w:r>
        <w:rPr>
          <w:rFonts w:ascii="Calibri" w:hAnsi="Calibri"/>
          <w:szCs w:val="36"/>
        </w:rPr>
        <w:t>Published as:</w:t>
      </w:r>
    </w:p>
    <w:p w14:paraId="56899638" w14:textId="255AB824" w:rsidR="004A5F5B" w:rsidRPr="003A326C" w:rsidRDefault="004A5F5B">
      <w:pPr>
        <w:rPr>
          <w:sz w:val="36"/>
          <w:szCs w:val="36"/>
        </w:rPr>
      </w:pPr>
      <w:r w:rsidRPr="003A326C">
        <w:rPr>
          <w:rFonts w:ascii="Calibri" w:hAnsi="Calibri"/>
          <w:szCs w:val="36"/>
        </w:rPr>
        <w:t xml:space="preserve">Wright, H.R. (2011) The downside of internationalisation: when universal policy damages localised practice. In A-M. Houghton (ed) SCUTREA </w:t>
      </w:r>
      <w:r w:rsidRPr="003A326C">
        <w:rPr>
          <w:rFonts w:ascii="Calibri" w:hAnsi="Calibri" w:cs="Helvetica"/>
          <w:szCs w:val="36"/>
          <w:lang w:val="en-US" w:bidi="en-US"/>
        </w:rPr>
        <w:t xml:space="preserve">Creating and Sustaining International Connections: Exploring the Learning Opportunities for Studying Creative Understandings about Teaching and Research for Equity and Access, </w:t>
      </w:r>
      <w:r w:rsidRPr="003A326C">
        <w:rPr>
          <w:rFonts w:ascii="Calibri" w:hAnsi="Calibri"/>
          <w:szCs w:val="36"/>
        </w:rPr>
        <w:t>Proceedings of the 41</w:t>
      </w:r>
      <w:r w:rsidRPr="003A326C">
        <w:rPr>
          <w:rFonts w:ascii="Calibri" w:hAnsi="Calibri"/>
          <w:szCs w:val="36"/>
          <w:vertAlign w:val="superscript"/>
        </w:rPr>
        <w:t>st</w:t>
      </w:r>
      <w:r w:rsidRPr="003A326C">
        <w:rPr>
          <w:rFonts w:ascii="Calibri" w:hAnsi="Calibri"/>
          <w:szCs w:val="36"/>
        </w:rPr>
        <w:t xml:space="preserve"> annual conference, The University of Lancaster, 5-7 July 2011.</w:t>
      </w:r>
      <w:r w:rsidRPr="003A326C">
        <w:rPr>
          <w:sz w:val="36"/>
          <w:szCs w:val="36"/>
        </w:rPr>
        <w:t xml:space="preserve"> </w:t>
      </w:r>
      <w:r w:rsidRPr="003A326C">
        <w:rPr>
          <w:rFonts w:cstheme="minorHAnsi"/>
        </w:rPr>
        <w:t>pp 179-187.</w:t>
      </w:r>
      <w:r w:rsidRPr="003A326C">
        <w:rPr>
          <w:sz w:val="36"/>
          <w:szCs w:val="36"/>
        </w:rPr>
        <w:t xml:space="preserve"> </w:t>
      </w:r>
      <w:r w:rsidRPr="003A326C">
        <w:rPr>
          <w:rFonts w:cstheme="minorHAnsi"/>
        </w:rPr>
        <w:t>Online @</w:t>
      </w:r>
      <w:r w:rsidRPr="003A326C">
        <w:t xml:space="preserve"> </w:t>
      </w:r>
      <w:r w:rsidRPr="003A326C">
        <w:rPr>
          <w:rFonts w:ascii="Calibri" w:hAnsi="Calibri"/>
          <w:szCs w:val="36"/>
        </w:rPr>
        <w:t>https://textarchive.ru/c-1337960-pall.html</w:t>
      </w:r>
    </w:p>
    <w:p w14:paraId="5D92BDA5" w14:textId="6F54870A" w:rsidR="003A326C" w:rsidRPr="00F6633C" w:rsidRDefault="00F6633C">
      <w:r w:rsidRPr="00F6633C">
        <w:t>For preference, please cite the published version.</w:t>
      </w:r>
    </w:p>
    <w:sectPr w:rsidR="003A326C" w:rsidRPr="00F6633C" w:rsidSect="004A5F5B">
      <w:pgSz w:w="11900" w:h="16840"/>
      <w:pgMar w:top="1440" w:right="1440" w:bottom="139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067"/>
    <w:rsid w:val="000454F6"/>
    <w:rsid w:val="00264DD0"/>
    <w:rsid w:val="00287067"/>
    <w:rsid w:val="002E3F2B"/>
    <w:rsid w:val="003A326C"/>
    <w:rsid w:val="004A5F5B"/>
    <w:rsid w:val="00510927"/>
    <w:rsid w:val="0074667E"/>
    <w:rsid w:val="00E75309"/>
    <w:rsid w:val="00F6633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96D45"/>
  <w15:chartTrackingRefBased/>
  <w15:docId w15:val="{4B257813-E87A-F44D-B3B2-6F5CB2F4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54F6"/>
    <w:pPr>
      <w:spacing w:before="100" w:beforeAutospacing="1" w:after="100" w:afterAutospacing="1"/>
      <w:outlineLvl w:val="0"/>
    </w:pPr>
    <w:rPr>
      <w:rFonts w:ascii="Arial" w:eastAsia="Times New Roman" w:hAnsi="Arial" w:cs="Arial"/>
      <w:b/>
      <w:bCs/>
      <w:color w:val="000000"/>
      <w:sz w:val="28"/>
      <w:szCs w:val="28"/>
      <w:lang w:eastAsia="en-GB"/>
    </w:rPr>
  </w:style>
  <w:style w:type="paragraph" w:styleId="Heading2">
    <w:name w:val="heading 2"/>
    <w:basedOn w:val="Normal"/>
    <w:link w:val="Heading2Char"/>
    <w:uiPriority w:val="9"/>
    <w:qFormat/>
    <w:rsid w:val="00287067"/>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5">
    <w:name w:val="heading 5"/>
    <w:basedOn w:val="Normal"/>
    <w:link w:val="Heading5Char"/>
    <w:uiPriority w:val="9"/>
    <w:qFormat/>
    <w:rsid w:val="00287067"/>
    <w:pPr>
      <w:spacing w:before="100" w:beforeAutospacing="1" w:after="100" w:afterAutospacing="1"/>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87067"/>
    <w:rPr>
      <w:rFonts w:ascii="Times New Roman" w:eastAsia="Times New Roman" w:hAnsi="Times New Roman" w:cs="Times New Roman"/>
      <w:b/>
      <w:bCs/>
      <w:sz w:val="36"/>
      <w:szCs w:val="36"/>
      <w:lang w:eastAsia="en-GB"/>
    </w:rPr>
  </w:style>
  <w:style w:type="character" w:customStyle="1" w:styleId="Heading5Char">
    <w:name w:val="Heading 5 Char"/>
    <w:basedOn w:val="DefaultParagraphFont"/>
    <w:link w:val="Heading5"/>
    <w:uiPriority w:val="9"/>
    <w:rsid w:val="00287067"/>
    <w:rPr>
      <w:rFonts w:ascii="Times New Roman" w:eastAsia="Times New Roman" w:hAnsi="Times New Roman" w:cs="Times New Roman"/>
      <w:b/>
      <w:bCs/>
      <w:sz w:val="20"/>
      <w:szCs w:val="20"/>
      <w:lang w:eastAsia="en-GB"/>
    </w:rPr>
  </w:style>
  <w:style w:type="paragraph" w:styleId="NormalWeb">
    <w:name w:val="Normal (Web)"/>
    <w:basedOn w:val="Normal"/>
    <w:uiPriority w:val="99"/>
    <w:semiHidden/>
    <w:unhideWhenUsed/>
    <w:rsid w:val="00287067"/>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287067"/>
  </w:style>
  <w:style w:type="character" w:customStyle="1" w:styleId="Heading1Char">
    <w:name w:val="Heading 1 Char"/>
    <w:basedOn w:val="DefaultParagraphFont"/>
    <w:link w:val="Heading1"/>
    <w:uiPriority w:val="9"/>
    <w:rsid w:val="000454F6"/>
    <w:rPr>
      <w:rFonts w:ascii="Arial" w:eastAsia="Times New Roman" w:hAnsi="Arial" w:cs="Arial"/>
      <w:b/>
      <w:bCs/>
      <w:color w:val="000000"/>
      <w:sz w:val="28"/>
      <w:szCs w:val="28"/>
      <w:lang w:eastAsia="en-GB"/>
    </w:rPr>
  </w:style>
  <w:style w:type="paragraph" w:styleId="Title">
    <w:name w:val="Title"/>
    <w:basedOn w:val="NormalWeb"/>
    <w:next w:val="Normal"/>
    <w:link w:val="TitleChar"/>
    <w:uiPriority w:val="10"/>
    <w:qFormat/>
    <w:rsid w:val="000454F6"/>
    <w:rPr>
      <w:rFonts w:ascii="Arial" w:hAnsi="Arial" w:cs="Arial"/>
      <w:b/>
      <w:bCs/>
      <w:color w:val="000000"/>
      <w:sz w:val="32"/>
      <w:szCs w:val="32"/>
    </w:rPr>
  </w:style>
  <w:style w:type="character" w:customStyle="1" w:styleId="TitleChar">
    <w:name w:val="Title Char"/>
    <w:basedOn w:val="DefaultParagraphFont"/>
    <w:link w:val="Title"/>
    <w:uiPriority w:val="10"/>
    <w:rsid w:val="000454F6"/>
    <w:rPr>
      <w:rFonts w:ascii="Arial" w:eastAsia="Times New Roman" w:hAnsi="Arial" w:cs="Arial"/>
      <w:b/>
      <w:bCs/>
      <w:color w:val="000000"/>
      <w:sz w:val="32"/>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3499</Words>
  <Characters>19980</Characters>
  <Application>Microsoft Office Word</Application>
  <DocSecurity>0</DocSecurity>
  <Lines>376</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Hazel Wright</dc:creator>
  <cp:keywords/>
  <dc:description/>
  <cp:lastModifiedBy>Blanshard, Lisa</cp:lastModifiedBy>
  <cp:revision>4</cp:revision>
  <dcterms:created xsi:type="dcterms:W3CDTF">2022-03-26T00:48:00Z</dcterms:created>
  <dcterms:modified xsi:type="dcterms:W3CDTF">2022-04-13T15:30:00Z</dcterms:modified>
</cp:coreProperties>
</file>