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8BC08" w14:textId="203A2E95" w:rsidR="009E3A2E" w:rsidRPr="00DB1172" w:rsidRDefault="00D92FD9" w:rsidP="00DB1172">
      <w:pPr>
        <w:pStyle w:val="Title"/>
      </w:pPr>
      <w:r w:rsidRPr="00DB1172">
        <w:t>EDUCATION AND COMMUNITY COHESION: HOW TRAINING IN CHILDCARE ADDS BENEFIT</w:t>
      </w:r>
    </w:p>
    <w:p w14:paraId="630351A4" w14:textId="425C65D8" w:rsidR="004E7164" w:rsidRPr="007D325A" w:rsidRDefault="007D325A" w:rsidP="007D325A">
      <w:pPr>
        <w:spacing w:before="480"/>
        <w:jc w:val="center"/>
      </w:pPr>
      <w:r w:rsidRPr="007D325A">
        <w:t xml:space="preserve">Hazel </w:t>
      </w:r>
      <w:proofErr w:type="spellStart"/>
      <w:proofErr w:type="gramStart"/>
      <w:r w:rsidR="009437CC">
        <w:t>R.</w:t>
      </w:r>
      <w:r w:rsidRPr="007D325A">
        <w:t>Wright</w:t>
      </w:r>
      <w:proofErr w:type="spellEnd"/>
      <w:proofErr w:type="gramEnd"/>
      <w:r w:rsidRPr="007D325A">
        <w:t>, Anglia Ruskin University</w:t>
      </w:r>
    </w:p>
    <w:p w14:paraId="49AE35D7" w14:textId="77777777" w:rsidR="004D2A25" w:rsidRDefault="004D2A25" w:rsidP="005F26BA">
      <w:pPr>
        <w:jc w:val="both"/>
        <w:rPr>
          <w:b/>
        </w:rPr>
      </w:pPr>
    </w:p>
    <w:p w14:paraId="7E64F2D7" w14:textId="3EA13655" w:rsidR="0069452A" w:rsidRPr="00DB1172" w:rsidRDefault="009E3A2E" w:rsidP="00DB1172">
      <w:pPr>
        <w:pStyle w:val="Heading1"/>
      </w:pPr>
      <w:r w:rsidRPr="00DB1172">
        <w:t>Abstract</w:t>
      </w:r>
    </w:p>
    <w:p w14:paraId="31721602" w14:textId="3BC25C49" w:rsidR="0069452A" w:rsidRDefault="00AA279D" w:rsidP="005F26BA">
      <w:pPr>
        <w:spacing w:before="120"/>
        <w:jc w:val="both"/>
        <w:rPr>
          <w:lang w:val="en-US" w:eastAsia="ja-JP"/>
        </w:rPr>
      </w:pPr>
      <w:r>
        <w:rPr>
          <w:lang w:val="en-US" w:eastAsia="ja-JP"/>
        </w:rPr>
        <w:t xml:space="preserve">This paper </w:t>
      </w:r>
      <w:r w:rsidR="0069452A">
        <w:rPr>
          <w:lang w:val="en-US" w:eastAsia="ja-JP"/>
        </w:rPr>
        <w:t xml:space="preserve">examines the </w:t>
      </w:r>
      <w:r w:rsidR="000A7CAA">
        <w:rPr>
          <w:lang w:val="en-US" w:eastAsia="ja-JP"/>
        </w:rPr>
        <w:t>educati</w:t>
      </w:r>
      <w:r w:rsidR="0069452A">
        <w:rPr>
          <w:lang w:val="en-US" w:eastAsia="ja-JP"/>
        </w:rPr>
        <w:t>on of the semi-voluntary pre-school workforce</w:t>
      </w:r>
      <w:r w:rsidR="000A7CAA">
        <w:rPr>
          <w:lang w:val="en-US" w:eastAsia="ja-JP"/>
        </w:rPr>
        <w:t xml:space="preserve"> </w:t>
      </w:r>
      <w:r w:rsidR="0069452A">
        <w:rPr>
          <w:lang w:val="en-US" w:eastAsia="ja-JP"/>
        </w:rPr>
        <w:t>in England in terms of the benefits to local communities to capture its utility in real terms.</w:t>
      </w:r>
    </w:p>
    <w:p w14:paraId="24991E06" w14:textId="739AF304" w:rsidR="00AA279D" w:rsidRDefault="0069452A" w:rsidP="005F26BA">
      <w:pPr>
        <w:spacing w:before="120"/>
        <w:jc w:val="both"/>
        <w:rPr>
          <w:lang w:val="en-US" w:eastAsia="ja-JP"/>
        </w:rPr>
      </w:pPr>
      <w:r>
        <w:rPr>
          <w:lang w:val="en-US" w:eastAsia="ja-JP"/>
        </w:rPr>
        <w:t xml:space="preserve">It </w:t>
      </w:r>
      <w:r w:rsidR="00AA279D">
        <w:rPr>
          <w:lang w:val="en-US" w:eastAsia="ja-JP"/>
        </w:rPr>
        <w:t xml:space="preserve">revisits qualitative research data collected </w:t>
      </w:r>
      <w:r>
        <w:rPr>
          <w:lang w:val="en-US" w:eastAsia="ja-JP"/>
        </w:rPr>
        <w:t>as</w:t>
      </w:r>
      <w:r w:rsidR="00892376">
        <w:rPr>
          <w:lang w:val="en-US" w:eastAsia="ja-JP"/>
        </w:rPr>
        <w:t xml:space="preserve"> biographical narratives from ten cohorts </w:t>
      </w:r>
      <w:r>
        <w:rPr>
          <w:lang w:val="en-US" w:eastAsia="ja-JP"/>
        </w:rPr>
        <w:t xml:space="preserve">of </w:t>
      </w:r>
      <w:r w:rsidR="00AA279D">
        <w:rPr>
          <w:lang w:val="en-US" w:eastAsia="ja-JP"/>
        </w:rPr>
        <w:t>adult women training to work in childcare in English pre-schools during the political reforms of the New Labour Government</w:t>
      </w:r>
      <w:r w:rsidR="00892376">
        <w:rPr>
          <w:lang w:val="en-US" w:eastAsia="ja-JP"/>
        </w:rPr>
        <w:t>,</w:t>
      </w:r>
      <w:r w:rsidR="00AA279D">
        <w:rPr>
          <w:lang w:val="en-US" w:eastAsia="ja-JP"/>
        </w:rPr>
        <w:t xml:space="preserve"> 1997-2010.</w:t>
      </w:r>
    </w:p>
    <w:p w14:paraId="7AFAD7E1" w14:textId="2A5B3217" w:rsidR="00892376" w:rsidRDefault="00AA279D" w:rsidP="005F26BA">
      <w:pPr>
        <w:spacing w:before="120"/>
        <w:jc w:val="both"/>
        <w:rPr>
          <w:lang w:eastAsia="ja-JP"/>
        </w:rPr>
      </w:pPr>
      <w:r>
        <w:rPr>
          <w:lang w:val="en-US" w:eastAsia="ja-JP"/>
        </w:rPr>
        <w:t xml:space="preserve">It examines the advantages to their local communities of </w:t>
      </w:r>
      <w:r w:rsidR="0069452A">
        <w:rPr>
          <w:lang w:val="en-US" w:eastAsia="ja-JP"/>
        </w:rPr>
        <w:t xml:space="preserve">the women </w:t>
      </w:r>
      <w:r>
        <w:rPr>
          <w:lang w:val="en-US" w:eastAsia="ja-JP"/>
        </w:rPr>
        <w:t>gain</w:t>
      </w:r>
      <w:r w:rsidR="0069452A">
        <w:rPr>
          <w:lang w:val="en-US" w:eastAsia="ja-JP"/>
        </w:rPr>
        <w:t>ing</w:t>
      </w:r>
      <w:r>
        <w:rPr>
          <w:lang w:val="en-US" w:eastAsia="ja-JP"/>
        </w:rPr>
        <w:t xml:space="preserve"> a qualification and found positive </w:t>
      </w:r>
      <w:r w:rsidR="00892376">
        <w:rPr>
          <w:lang w:val="en-US" w:eastAsia="ja-JP"/>
        </w:rPr>
        <w:t xml:space="preserve">educational, social and economic </w:t>
      </w:r>
      <w:r>
        <w:rPr>
          <w:lang w:val="en-US" w:eastAsia="ja-JP"/>
        </w:rPr>
        <w:t>consequences</w:t>
      </w:r>
      <w:r w:rsidR="00892376">
        <w:rPr>
          <w:lang w:val="en-US" w:eastAsia="ja-JP"/>
        </w:rPr>
        <w:t xml:space="preserve"> beyond the direct benefits to the women and their own families and the children with whom they worked. The training </w:t>
      </w:r>
      <w:r w:rsidR="000A7CAA">
        <w:rPr>
          <w:lang w:val="en-US" w:eastAsia="ja-JP"/>
        </w:rPr>
        <w:t xml:space="preserve">also created a local resource, raising </w:t>
      </w:r>
      <w:r w:rsidR="0069452A">
        <w:rPr>
          <w:lang w:val="en-US" w:eastAsia="ja-JP"/>
        </w:rPr>
        <w:t xml:space="preserve">the level of education received by local children and the </w:t>
      </w:r>
      <w:r w:rsidR="000A7CAA">
        <w:rPr>
          <w:lang w:val="en-US" w:eastAsia="ja-JP"/>
        </w:rPr>
        <w:t>learning levels in the com</w:t>
      </w:r>
      <w:r w:rsidR="00892376">
        <w:rPr>
          <w:lang w:val="en-US" w:eastAsia="ja-JP"/>
        </w:rPr>
        <w:t>munities in which the women</w:t>
      </w:r>
      <w:r w:rsidR="0069452A">
        <w:rPr>
          <w:lang w:val="en-US" w:eastAsia="ja-JP"/>
        </w:rPr>
        <w:t xml:space="preserve"> lived</w:t>
      </w:r>
      <w:r w:rsidR="000A7CAA">
        <w:rPr>
          <w:lang w:val="en-US" w:eastAsia="ja-JP"/>
        </w:rPr>
        <w:t xml:space="preserve">. </w:t>
      </w:r>
      <w:r w:rsidR="0069452A">
        <w:rPr>
          <w:lang w:val="en-US" w:eastAsia="ja-JP"/>
        </w:rPr>
        <w:t>T</w:t>
      </w:r>
      <w:r w:rsidR="000A7CAA">
        <w:rPr>
          <w:lang w:val="en-US" w:eastAsia="ja-JP"/>
        </w:rPr>
        <w:t xml:space="preserve">here were clear economic benefits in terms of women returning to work and </w:t>
      </w:r>
      <w:r w:rsidR="0069452A">
        <w:rPr>
          <w:lang w:val="en-US" w:eastAsia="ja-JP"/>
        </w:rPr>
        <w:t xml:space="preserve">low-cost </w:t>
      </w:r>
      <w:r w:rsidR="000A7CAA">
        <w:rPr>
          <w:lang w:val="en-US" w:eastAsia="ja-JP"/>
        </w:rPr>
        <w:t>upskilling of local provision for children</w:t>
      </w:r>
      <w:r w:rsidR="0069452A">
        <w:rPr>
          <w:lang w:val="en-US" w:eastAsia="ja-JP"/>
        </w:rPr>
        <w:t xml:space="preserve"> b</w:t>
      </w:r>
      <w:r w:rsidR="000A7CAA">
        <w:rPr>
          <w:lang w:val="en-US" w:eastAsia="ja-JP"/>
        </w:rPr>
        <w:t>ut also less tangible changes</w:t>
      </w:r>
      <w:r w:rsidR="0069452A">
        <w:rPr>
          <w:lang w:val="en-US" w:eastAsia="ja-JP"/>
        </w:rPr>
        <w:t>.</w:t>
      </w:r>
      <w:r w:rsidR="000A7CAA">
        <w:rPr>
          <w:lang w:val="en-US" w:eastAsia="ja-JP"/>
        </w:rPr>
        <w:t xml:space="preserve"> </w:t>
      </w:r>
      <w:r w:rsidR="0069452A">
        <w:rPr>
          <w:lang w:val="en-US" w:eastAsia="ja-JP"/>
        </w:rPr>
        <w:t>There was a greater incidence of</w:t>
      </w:r>
      <w:r w:rsidR="000A7CAA">
        <w:rPr>
          <w:lang w:val="en-US" w:eastAsia="ja-JP"/>
        </w:rPr>
        <w:t xml:space="preserve"> networking and s</w:t>
      </w:r>
      <w:r w:rsidR="0069452A">
        <w:rPr>
          <w:lang w:val="en-US" w:eastAsia="ja-JP"/>
        </w:rPr>
        <w:t>ocial cohesion as a consequence</w:t>
      </w:r>
      <w:r w:rsidR="000A7CAA">
        <w:rPr>
          <w:lang w:val="en-US" w:eastAsia="ja-JP"/>
        </w:rPr>
        <w:t xml:space="preserve"> of </w:t>
      </w:r>
      <w:r w:rsidR="0069452A">
        <w:rPr>
          <w:lang w:val="en-US" w:eastAsia="ja-JP"/>
        </w:rPr>
        <w:t xml:space="preserve">students </w:t>
      </w:r>
      <w:r w:rsidR="000A7CAA">
        <w:rPr>
          <w:lang w:val="en-US" w:eastAsia="ja-JP"/>
        </w:rPr>
        <w:t xml:space="preserve">broadening </w:t>
      </w:r>
      <w:r w:rsidR="0069452A">
        <w:rPr>
          <w:lang w:val="en-US" w:eastAsia="ja-JP"/>
        </w:rPr>
        <w:t>their</w:t>
      </w:r>
      <w:r w:rsidR="000A7CAA">
        <w:rPr>
          <w:lang w:val="en-US" w:eastAsia="ja-JP"/>
        </w:rPr>
        <w:t xml:space="preserve"> outlook on life.</w:t>
      </w:r>
    </w:p>
    <w:p w14:paraId="5B818916" w14:textId="18E57CD4" w:rsidR="00AA279D" w:rsidRDefault="00A31989" w:rsidP="005F26BA">
      <w:pPr>
        <w:spacing w:before="120"/>
        <w:jc w:val="both"/>
        <w:rPr>
          <w:lang w:eastAsia="ja-JP"/>
        </w:rPr>
      </w:pPr>
      <w:r>
        <w:rPr>
          <w:lang w:eastAsia="ja-JP"/>
        </w:rPr>
        <w:t>This study supports recommendations that policy makers should be careful to protect initiatives tha</w:t>
      </w:r>
      <w:r w:rsidR="00892376">
        <w:rPr>
          <w:lang w:eastAsia="ja-JP"/>
        </w:rPr>
        <w:t xml:space="preserve">t work, </w:t>
      </w:r>
      <w:r>
        <w:rPr>
          <w:lang w:eastAsia="ja-JP"/>
        </w:rPr>
        <w:t>and that grew up</w:t>
      </w:r>
      <w:r w:rsidR="00892376">
        <w:rPr>
          <w:lang w:eastAsia="ja-JP"/>
        </w:rPr>
        <w:t xml:space="preserve"> slowly</w:t>
      </w:r>
      <w:r>
        <w:rPr>
          <w:lang w:eastAsia="ja-JP"/>
        </w:rPr>
        <w:t xml:space="preserve"> to serve the needs of local people. The benefits to local communities may be far greater than those </w:t>
      </w:r>
      <w:r w:rsidR="006350B6">
        <w:rPr>
          <w:lang w:eastAsia="ja-JP"/>
        </w:rPr>
        <w:t xml:space="preserve">derived from changes </w:t>
      </w:r>
      <w:r w:rsidR="00892376">
        <w:rPr>
          <w:lang w:eastAsia="ja-JP"/>
        </w:rPr>
        <w:t>imposed fro</w:t>
      </w:r>
      <w:r w:rsidR="000B4AC7">
        <w:rPr>
          <w:lang w:eastAsia="ja-JP"/>
        </w:rPr>
        <w:t>m</w:t>
      </w:r>
      <w:r w:rsidR="00892376">
        <w:rPr>
          <w:lang w:eastAsia="ja-JP"/>
        </w:rPr>
        <w:t xml:space="preserve"> above in the name of</w:t>
      </w:r>
      <w:r>
        <w:rPr>
          <w:lang w:eastAsia="ja-JP"/>
        </w:rPr>
        <w:t xml:space="preserve"> </w:t>
      </w:r>
      <w:r w:rsidR="00892376">
        <w:rPr>
          <w:lang w:eastAsia="ja-JP"/>
        </w:rPr>
        <w:t>“raising standards” and “establishing cost-effective childcare”</w:t>
      </w:r>
      <w:r w:rsidR="006350B6">
        <w:rPr>
          <w:lang w:eastAsia="ja-JP"/>
        </w:rPr>
        <w:t>,</w:t>
      </w:r>
      <w:r w:rsidR="00892376">
        <w:rPr>
          <w:lang w:eastAsia="ja-JP"/>
        </w:rPr>
        <w:t xml:space="preserve"> and once lost such initiatives are hard to recreate</w:t>
      </w:r>
      <w:r>
        <w:rPr>
          <w:lang w:eastAsia="ja-JP"/>
        </w:rPr>
        <w:t>.</w:t>
      </w:r>
    </w:p>
    <w:p w14:paraId="3FE2CE91" w14:textId="77777777" w:rsidR="005F26BA" w:rsidRDefault="005F26BA" w:rsidP="005F26BA">
      <w:pPr>
        <w:spacing w:before="120"/>
        <w:jc w:val="both"/>
        <w:rPr>
          <w:lang w:eastAsia="ja-JP"/>
        </w:rPr>
      </w:pPr>
    </w:p>
    <w:p w14:paraId="7B1B68CA" w14:textId="211590AA" w:rsidR="005F26BA" w:rsidRPr="005F26BA" w:rsidRDefault="005F26BA" w:rsidP="005F26BA">
      <w:pPr>
        <w:spacing w:before="120"/>
        <w:jc w:val="both"/>
        <w:rPr>
          <w:b/>
          <w:lang w:val="en-US" w:eastAsia="ja-JP"/>
        </w:rPr>
      </w:pPr>
      <w:r w:rsidRPr="005F26BA">
        <w:rPr>
          <w:b/>
          <w:lang w:eastAsia="ja-JP"/>
        </w:rPr>
        <w:t>Keywords:</w:t>
      </w:r>
      <w:r w:rsidR="005B5136">
        <w:rPr>
          <w:b/>
          <w:lang w:eastAsia="ja-JP"/>
        </w:rPr>
        <w:t xml:space="preserve"> </w:t>
      </w:r>
      <w:r w:rsidR="00570270">
        <w:rPr>
          <w:b/>
          <w:lang w:eastAsia="ja-JP"/>
        </w:rPr>
        <w:t xml:space="preserve"> </w:t>
      </w:r>
      <w:r w:rsidR="005B5136" w:rsidRPr="00570270">
        <w:rPr>
          <w:lang w:eastAsia="ja-JP"/>
        </w:rPr>
        <w:t xml:space="preserve">women </w:t>
      </w:r>
      <w:r w:rsidR="00570270" w:rsidRPr="00570270">
        <w:rPr>
          <w:lang w:eastAsia="ja-JP"/>
        </w:rPr>
        <w:t xml:space="preserve"> </w:t>
      </w:r>
      <w:r w:rsidR="00570270">
        <w:rPr>
          <w:lang w:eastAsia="ja-JP"/>
        </w:rPr>
        <w:t xml:space="preserve"> </w:t>
      </w:r>
      <w:r w:rsidR="005B5136" w:rsidRPr="00570270">
        <w:rPr>
          <w:lang w:eastAsia="ja-JP"/>
        </w:rPr>
        <w:t xml:space="preserve">education </w:t>
      </w:r>
      <w:r w:rsidR="00570270" w:rsidRPr="00570270">
        <w:rPr>
          <w:lang w:eastAsia="ja-JP"/>
        </w:rPr>
        <w:t xml:space="preserve"> </w:t>
      </w:r>
      <w:r w:rsidR="00570270">
        <w:rPr>
          <w:lang w:eastAsia="ja-JP"/>
        </w:rPr>
        <w:t xml:space="preserve"> </w:t>
      </w:r>
      <w:r w:rsidR="005B5136" w:rsidRPr="00570270">
        <w:rPr>
          <w:lang w:eastAsia="ja-JP"/>
        </w:rPr>
        <w:t xml:space="preserve">family </w:t>
      </w:r>
      <w:r w:rsidR="00570270" w:rsidRPr="00570270">
        <w:rPr>
          <w:lang w:eastAsia="ja-JP"/>
        </w:rPr>
        <w:t xml:space="preserve"> </w:t>
      </w:r>
      <w:r w:rsidR="00570270">
        <w:rPr>
          <w:lang w:eastAsia="ja-JP"/>
        </w:rPr>
        <w:t xml:space="preserve"> </w:t>
      </w:r>
      <w:r w:rsidR="005B5136" w:rsidRPr="00570270">
        <w:rPr>
          <w:lang w:eastAsia="ja-JP"/>
        </w:rPr>
        <w:t xml:space="preserve">childcare </w:t>
      </w:r>
      <w:r w:rsidR="00570270" w:rsidRPr="00570270">
        <w:rPr>
          <w:lang w:eastAsia="ja-JP"/>
        </w:rPr>
        <w:t xml:space="preserve"> </w:t>
      </w:r>
      <w:r w:rsidR="00570270">
        <w:rPr>
          <w:lang w:eastAsia="ja-JP"/>
        </w:rPr>
        <w:t xml:space="preserve"> </w:t>
      </w:r>
      <w:r w:rsidR="005B5136" w:rsidRPr="00570270">
        <w:rPr>
          <w:lang w:eastAsia="ja-JP"/>
        </w:rPr>
        <w:t>communities</w:t>
      </w:r>
    </w:p>
    <w:p w14:paraId="7195E233" w14:textId="77777777" w:rsidR="0029518C" w:rsidRDefault="0029518C" w:rsidP="005F26BA">
      <w:pPr>
        <w:jc w:val="both"/>
        <w:rPr>
          <w:b/>
        </w:rPr>
      </w:pPr>
    </w:p>
    <w:p w14:paraId="766342F3" w14:textId="77777777" w:rsidR="005F26BA" w:rsidRDefault="005F26BA" w:rsidP="005F26BA">
      <w:pPr>
        <w:jc w:val="both"/>
        <w:rPr>
          <w:b/>
        </w:rPr>
      </w:pPr>
    </w:p>
    <w:p w14:paraId="1E13A0D6" w14:textId="342940AF" w:rsidR="0029518C" w:rsidRDefault="0029518C" w:rsidP="00DB1172">
      <w:pPr>
        <w:pStyle w:val="Heading1"/>
      </w:pPr>
      <w:r>
        <w:t>1</w:t>
      </w:r>
      <w:r w:rsidR="004B6B54">
        <w:t>.</w:t>
      </w:r>
      <w:r>
        <w:t xml:space="preserve"> Introduction</w:t>
      </w:r>
    </w:p>
    <w:p w14:paraId="7EC1C4DB" w14:textId="77777777" w:rsidR="000B4AC7" w:rsidRDefault="000B4AC7" w:rsidP="005F26BA">
      <w:pPr>
        <w:jc w:val="both"/>
        <w:rPr>
          <w:b/>
        </w:rPr>
      </w:pPr>
    </w:p>
    <w:p w14:paraId="720DF134" w14:textId="143000A7" w:rsidR="0029518C" w:rsidRDefault="0029518C" w:rsidP="005F26BA">
      <w:pPr>
        <w:jc w:val="both"/>
      </w:pPr>
      <w:r w:rsidRPr="0029518C">
        <w:t>This paper</w:t>
      </w:r>
      <w:r>
        <w:t xml:space="preserve"> examines data collected</w:t>
      </w:r>
      <w:r w:rsidR="00E0408B">
        <w:t xml:space="preserve"> for a doctoral study of women training to work in childcare with a view to identifying how the training adds benefit to communities beyond that which would be in place if the women remained untrained. Thus it applies a finer filter to data that in the first instance was analysed to ascertain expectations for, practices within, and consequences of</w:t>
      </w:r>
      <w:r w:rsidR="006350B6">
        <w:t>,</w:t>
      </w:r>
      <w:r w:rsidR="00E0408B">
        <w:t xml:space="preserve"> studying to become a childcare worker (Wright, 2011).</w:t>
      </w:r>
    </w:p>
    <w:p w14:paraId="1BEB5253" w14:textId="36F29AF9" w:rsidR="001D6ACC" w:rsidRDefault="001D6ACC" w:rsidP="005F26BA">
      <w:pPr>
        <w:jc w:val="both"/>
      </w:pPr>
      <w:r>
        <w:t>The original research involved the retrospective collection of background information from nine cohorts of students, all of whom enrolled on a childcare diploma in an English Further Education (post-compulsory and vocational studies) College that I taught. An additional tenth ongoing cohort were occasionally asked to verify or clarify some of the findings to enable further validation that, when this was intended, I was developing an appropriate group voice.</w:t>
      </w:r>
    </w:p>
    <w:p w14:paraId="2DC20C80" w14:textId="77777777" w:rsidR="00E0408B" w:rsidRDefault="00E0408B" w:rsidP="005F26BA">
      <w:pPr>
        <w:jc w:val="both"/>
      </w:pPr>
    </w:p>
    <w:p w14:paraId="6AAA016A" w14:textId="77777777" w:rsidR="000B4AC7" w:rsidRDefault="000B4AC7" w:rsidP="005F26BA">
      <w:pPr>
        <w:jc w:val="both"/>
      </w:pPr>
    </w:p>
    <w:p w14:paraId="086655E2" w14:textId="2DA3530A" w:rsidR="00E0408B" w:rsidRDefault="00C372BA" w:rsidP="00DB1172">
      <w:pPr>
        <w:pStyle w:val="Heading1"/>
      </w:pPr>
      <w:r w:rsidRPr="00DE0DCC">
        <w:t>2</w:t>
      </w:r>
      <w:r w:rsidR="004B6B54">
        <w:t>.</w:t>
      </w:r>
      <w:r w:rsidR="00E0408B" w:rsidRPr="00DE0DCC">
        <w:t xml:space="preserve"> Research design</w:t>
      </w:r>
    </w:p>
    <w:p w14:paraId="17052317" w14:textId="77777777" w:rsidR="000B4AC7" w:rsidRPr="00DE0DCC" w:rsidRDefault="000B4AC7" w:rsidP="005F26BA">
      <w:pPr>
        <w:jc w:val="both"/>
        <w:rPr>
          <w:b/>
        </w:rPr>
      </w:pPr>
    </w:p>
    <w:p w14:paraId="304888F5" w14:textId="52C5CD81" w:rsidR="00CD75C2" w:rsidRDefault="001D6ACC" w:rsidP="005F26BA">
      <w:pPr>
        <w:jc w:val="both"/>
      </w:pPr>
      <w:r>
        <w:t xml:space="preserve">The focus of the research was the student experience not the tutor </w:t>
      </w:r>
      <w:r w:rsidR="00892376">
        <w:t xml:space="preserve">role </w:t>
      </w:r>
      <w:r>
        <w:t xml:space="preserve">so I had to be inventive to ensure that </w:t>
      </w:r>
      <w:r w:rsidR="00892376">
        <w:t>it</w:t>
      </w:r>
      <w:r>
        <w:t xml:space="preserve"> did not become</w:t>
      </w:r>
      <w:r w:rsidR="006A4D38">
        <w:t xml:space="preserve"> a form of action research (McNiff, 2013</w:t>
      </w:r>
      <w:r w:rsidR="00441EC9">
        <w:t>).</w:t>
      </w:r>
      <w:r>
        <w:t xml:space="preserve"> </w:t>
      </w:r>
      <w:r w:rsidR="00CD75C2">
        <w:t xml:space="preserve">Rather </w:t>
      </w:r>
      <w:r w:rsidR="00CD75C2">
        <w:lastRenderedPageBreak/>
        <w:t xml:space="preserve">than follow a set methodological framework I </w:t>
      </w:r>
      <w:r w:rsidR="004A6D53">
        <w:t>decided to adopt the notion of “emergent methodology”</w:t>
      </w:r>
      <w:r w:rsidR="00CD75C2">
        <w:t xml:space="preserve"> (see Wright, 2009) and develop my </w:t>
      </w:r>
      <w:r w:rsidR="00892376">
        <w:t>research strategy</w:t>
      </w:r>
      <w:r w:rsidR="00CD75C2">
        <w:t xml:space="preserve"> as I worked on the pro</w:t>
      </w:r>
      <w:r w:rsidR="004A6D53">
        <w:t xml:space="preserve">ject. This idea derived from </w:t>
      </w:r>
      <w:r w:rsidR="00CD75C2">
        <w:t>Robson’s</w:t>
      </w:r>
      <w:r w:rsidR="00E45C03">
        <w:t xml:space="preserve"> (2002</w:t>
      </w:r>
      <w:r w:rsidR="004A6D53">
        <w:t>: 5</w:t>
      </w:r>
      <w:r w:rsidR="00E45C03">
        <w:t>)</w:t>
      </w:r>
      <w:r w:rsidR="00CD75C2">
        <w:t xml:space="preserve"> </w:t>
      </w:r>
      <w:r w:rsidR="00CD75C2" w:rsidRPr="00CD75C2">
        <w:rPr>
          <w:i/>
        </w:rPr>
        <w:t>Real World Research</w:t>
      </w:r>
      <w:r w:rsidR="00E45C03">
        <w:t xml:space="preserve"> </w:t>
      </w:r>
      <w:r w:rsidR="00CD75C2">
        <w:t xml:space="preserve">where he </w:t>
      </w:r>
      <w:r w:rsidR="004A6D53">
        <w:t>draws upon Anastas and MacDonald’s (1994) distinction between “fixed” and “flexible” designs</w:t>
      </w:r>
      <w:r w:rsidR="00CD75C2">
        <w:t xml:space="preserve">. </w:t>
      </w:r>
      <w:r w:rsidR="004A6D53">
        <w:t xml:space="preserve"> He defines the flexible as one in which “much less pre-specification takes place” and this conceptualisation </w:t>
      </w:r>
      <w:r w:rsidR="00CD75C2">
        <w:t xml:space="preserve">offers an alternative to the </w:t>
      </w:r>
      <w:r w:rsidR="004A6D53">
        <w:t>postmodern notion of “bricolage”</w:t>
      </w:r>
      <w:r w:rsidR="00CD75C2">
        <w:t xml:space="preserve"> as it offers a pr</w:t>
      </w:r>
      <w:r w:rsidR="004A6D53">
        <w:t>incipled approach to method choice rather than accepting that “anything goes”</w:t>
      </w:r>
      <w:r w:rsidR="005A42F3">
        <w:t xml:space="preserve">. I </w:t>
      </w:r>
      <w:r w:rsidR="00614E68">
        <w:t>combine</w:t>
      </w:r>
      <w:r w:rsidR="00CD75C2">
        <w:t xml:space="preserve"> methods that share </w:t>
      </w:r>
      <w:r w:rsidR="00614E68">
        <w:t xml:space="preserve">similar or </w:t>
      </w:r>
      <w:r w:rsidR="00CD75C2">
        <w:t xml:space="preserve">complementary </w:t>
      </w:r>
      <w:r w:rsidR="00614E68">
        <w:t>ontological positions</w:t>
      </w:r>
      <w:r w:rsidR="004A6D53">
        <w:t xml:space="preserve"> when carrying out biographical </w:t>
      </w:r>
      <w:r w:rsidR="004B6B54">
        <w:t>research,</w:t>
      </w:r>
      <w:r w:rsidR="004A6D53">
        <w:t xml:space="preserve"> as the focus must be holistic when dealing with people’s lives</w:t>
      </w:r>
      <w:r w:rsidR="00614E68">
        <w:t>.</w:t>
      </w:r>
    </w:p>
    <w:p w14:paraId="449BABA2" w14:textId="77777777" w:rsidR="00CD75C2" w:rsidRDefault="00CD75C2" w:rsidP="005F26BA">
      <w:pPr>
        <w:jc w:val="both"/>
      </w:pPr>
    </w:p>
    <w:p w14:paraId="58F9683C" w14:textId="5683F013" w:rsidR="001D6ACC" w:rsidRDefault="001D6ACC" w:rsidP="005F26BA">
      <w:pPr>
        <w:jc w:val="both"/>
      </w:pPr>
      <w:r>
        <w:t xml:space="preserve">Clearly </w:t>
      </w:r>
      <w:r w:rsidR="005E31E7">
        <w:t>as a</w:t>
      </w:r>
      <w:r>
        <w:t xml:space="preserve"> former tutor I was an insider-researcher </w:t>
      </w:r>
      <w:r w:rsidR="00441EC9">
        <w:t>(</w:t>
      </w:r>
      <w:r w:rsidR="00EF1A69">
        <w:t xml:space="preserve">Hammersley </w:t>
      </w:r>
      <w:r w:rsidR="004908A3">
        <w:t>&amp;</w:t>
      </w:r>
      <w:r w:rsidR="00EF1A69">
        <w:t xml:space="preserve"> Atkinson, 1995</w:t>
      </w:r>
      <w:r w:rsidR="00441EC9">
        <w:t xml:space="preserve">) </w:t>
      </w:r>
      <w:r>
        <w:t xml:space="preserve">so needed to consider my role and any biases that I might bring to the project very carefully. </w:t>
      </w:r>
      <w:r w:rsidR="00892376">
        <w:t>S</w:t>
      </w:r>
      <w:r w:rsidR="00441EC9">
        <w:t xml:space="preserve">eeking ethical approval from the University (which I did) was only the starting point in ensuring that I respected student confidentiality and the boundaries between tutor and researcher. I have worked with former students </w:t>
      </w:r>
      <w:r w:rsidR="00614E68">
        <w:t xml:space="preserve">on several occasions </w:t>
      </w:r>
      <w:r w:rsidR="00441EC9">
        <w:t xml:space="preserve">in the past and have a long track record of teaching adults so felt fairly confident that I could manage the </w:t>
      </w:r>
      <w:r w:rsidR="005A42F3">
        <w:t>“</w:t>
      </w:r>
      <w:r w:rsidR="00607CF2">
        <w:t xml:space="preserve">enactment of </w:t>
      </w:r>
      <w:r w:rsidR="00441EC9">
        <w:t xml:space="preserve">power </w:t>
      </w:r>
      <w:r w:rsidR="00607CF2">
        <w:t>relations between researcher and</w:t>
      </w:r>
      <w:r w:rsidR="00441EC9">
        <w:t xml:space="preserve"> research</w:t>
      </w:r>
      <w:r w:rsidR="005A42F3">
        <w:t>ed”</w:t>
      </w:r>
      <w:r w:rsidR="00607CF2">
        <w:t xml:space="preserve"> (</w:t>
      </w:r>
      <w:r w:rsidR="0062177D">
        <w:t>Usher, 2000:165-6</w:t>
      </w:r>
      <w:r w:rsidR="00441EC9">
        <w:t xml:space="preserve">). </w:t>
      </w:r>
      <w:r>
        <w:t xml:space="preserve">The project was to be a qualitative one to enable exploration of the student voice but I was ever mindful of the need to offer all students the chance to become involved </w:t>
      </w:r>
      <w:r w:rsidR="00441EC9">
        <w:t xml:space="preserve">so that I could not be accused of choosing those I liked, those who were articulate high achievers, or those who were easily accessible as they had chosen to stay in touch. Thus I </w:t>
      </w:r>
      <w:r w:rsidR="00892376">
        <w:t xml:space="preserve">eventually </w:t>
      </w:r>
      <w:r w:rsidR="00441EC9">
        <w:t>contact</w:t>
      </w:r>
      <w:r w:rsidR="00892376">
        <w:t>ed</w:t>
      </w:r>
      <w:r w:rsidR="00441EC9">
        <w:t xml:space="preserve"> </w:t>
      </w:r>
      <w:r w:rsidR="00892376">
        <w:t xml:space="preserve">nearly </w:t>
      </w:r>
      <w:r w:rsidR="00441EC9">
        <w:t xml:space="preserve">all </w:t>
      </w:r>
      <w:r w:rsidR="00892376">
        <w:t xml:space="preserve">the </w:t>
      </w:r>
      <w:r w:rsidR="00441EC9">
        <w:t>students eligible to participate and establish</w:t>
      </w:r>
      <w:r w:rsidR="00892376">
        <w:t>ed</w:t>
      </w:r>
      <w:r w:rsidR="00441EC9">
        <w:t xml:space="preserve"> a process to ensure fair sample selection even though this is not a requirement for qualitative studies.</w:t>
      </w:r>
    </w:p>
    <w:p w14:paraId="7320BB48" w14:textId="77777777" w:rsidR="001D6ACC" w:rsidRDefault="001D6ACC" w:rsidP="005F26BA">
      <w:pPr>
        <w:jc w:val="both"/>
      </w:pPr>
    </w:p>
    <w:p w14:paraId="3B1FEC31" w14:textId="77777777" w:rsidR="000B4AC7" w:rsidRDefault="000B4AC7" w:rsidP="005F26BA">
      <w:pPr>
        <w:jc w:val="both"/>
      </w:pPr>
    </w:p>
    <w:p w14:paraId="49BDB22A" w14:textId="43C33160" w:rsidR="001D6ACC" w:rsidRPr="00DB1172" w:rsidRDefault="00C372BA" w:rsidP="00DB1172">
      <w:pPr>
        <w:pStyle w:val="Heading2"/>
      </w:pPr>
      <w:r w:rsidRPr="00DB1172">
        <w:t>2.1</w:t>
      </w:r>
      <w:r w:rsidR="000B4AC7" w:rsidRPr="00DB1172">
        <w:t xml:space="preserve"> Population and s</w:t>
      </w:r>
      <w:r w:rsidR="001D6ACC" w:rsidRPr="00DB1172">
        <w:t>ample</w:t>
      </w:r>
    </w:p>
    <w:p w14:paraId="52B4EE8A" w14:textId="77777777" w:rsidR="000B4AC7" w:rsidRPr="003D4FCF" w:rsidRDefault="000B4AC7" w:rsidP="005F26BA">
      <w:pPr>
        <w:jc w:val="both"/>
        <w:rPr>
          <w:b/>
        </w:rPr>
      </w:pPr>
    </w:p>
    <w:p w14:paraId="043B1709" w14:textId="72DD8E43" w:rsidR="00266C36" w:rsidRDefault="00FD74CD" w:rsidP="005F26BA">
      <w:pPr>
        <w:jc w:val="both"/>
      </w:pPr>
      <w:r>
        <w:t>In total there were 170 students in the population</w:t>
      </w:r>
      <w:r w:rsidR="00892376">
        <w:t xml:space="preserve">. </w:t>
      </w:r>
      <w:r>
        <w:t xml:space="preserve">I was able to contact almost of all them and 150 </w:t>
      </w:r>
      <w:r w:rsidR="00614E68">
        <w:t xml:space="preserve">agreed to </w:t>
      </w:r>
      <w:r>
        <w:t>complete simple surveys</w:t>
      </w:r>
      <w:r w:rsidR="00614E68">
        <w:t>.</w:t>
      </w:r>
      <w:r>
        <w:t xml:space="preserve"> </w:t>
      </w:r>
      <w:r w:rsidR="00614E68">
        <w:t xml:space="preserve">These </w:t>
      </w:r>
      <w:r>
        <w:t>later enab</w:t>
      </w:r>
      <w:r w:rsidR="00614E68">
        <w:t>led me to determine whether the complete group</w:t>
      </w:r>
      <w:r>
        <w:t xml:space="preserve"> w</w:t>
      </w:r>
      <w:r w:rsidR="00614E68">
        <w:t xml:space="preserve">as representative of the </w:t>
      </w:r>
      <w:r>
        <w:t xml:space="preserve">larger cohort of </w:t>
      </w:r>
      <w:r w:rsidR="00614E68">
        <w:t xml:space="preserve">childcare </w:t>
      </w:r>
      <w:r>
        <w:t>workers (which they we</w:t>
      </w:r>
      <w:r w:rsidR="00136BDD">
        <w:t xml:space="preserve">re according to the </w:t>
      </w:r>
      <w:r w:rsidR="00136BDD" w:rsidRPr="005A42F3">
        <w:rPr>
          <w:i/>
        </w:rPr>
        <w:t>Labour Force Survey</w:t>
      </w:r>
      <w:r w:rsidR="00136BDD">
        <w:t>, Simon et al, 2007</w:t>
      </w:r>
      <w:r>
        <w:t xml:space="preserve">) and </w:t>
      </w:r>
      <w:r w:rsidR="00614E68">
        <w:t xml:space="preserve">to </w:t>
      </w:r>
      <w:r>
        <w:t xml:space="preserve">ensure that those </w:t>
      </w:r>
      <w:r w:rsidR="00892376">
        <w:t xml:space="preserve">students </w:t>
      </w:r>
      <w:r>
        <w:t xml:space="preserve">that I was able to interview in depth represented the larger group. </w:t>
      </w:r>
      <w:r w:rsidR="00892376">
        <w:t>This</w:t>
      </w:r>
      <w:r w:rsidR="00614E68">
        <w:t xml:space="preserve"> </w:t>
      </w:r>
      <w:r>
        <w:t xml:space="preserve">was achieved by drawing up a matrix that set cohort against type of childcare work to </w:t>
      </w:r>
      <w:r w:rsidR="00EE305A">
        <w:t>ensure</w:t>
      </w:r>
      <w:r>
        <w:t xml:space="preserve"> </w:t>
      </w:r>
      <w:r w:rsidR="00EE305A">
        <w:t xml:space="preserve">that data spanned </w:t>
      </w:r>
      <w:r>
        <w:t xml:space="preserve">the Early Years sector </w:t>
      </w:r>
      <w:r w:rsidR="00EE305A">
        <w:t>before</w:t>
      </w:r>
      <w:r>
        <w:t xml:space="preserve"> cross-cut</w:t>
      </w:r>
      <w:r w:rsidR="005E31E7">
        <w:t>ting</w:t>
      </w:r>
      <w:r>
        <w:t xml:space="preserve"> the sample with known characteristics like age, marital and maternal status, ethnicity, prior educational </w:t>
      </w:r>
      <w:r w:rsidR="005E31E7">
        <w:t xml:space="preserve">qualification </w:t>
      </w:r>
      <w:r>
        <w:t xml:space="preserve">and work experience. By grouping the </w:t>
      </w:r>
      <w:r w:rsidR="006350B6">
        <w:t xml:space="preserve">nine main </w:t>
      </w:r>
      <w:r>
        <w:t xml:space="preserve">cohorts into threes, </w:t>
      </w:r>
      <w:r w:rsidR="001D6ACC">
        <w:t>and then selecting two out of three possible interviewees for each category</w:t>
      </w:r>
      <w:r w:rsidR="00EE305A">
        <w:t xml:space="preserve"> of work</w:t>
      </w:r>
      <w:r w:rsidR="001D6ACC">
        <w:t xml:space="preserve"> I was able to correct for differences in cohort size and add another level of anonymity to protect student identity. One cohort only comprised six students so this was necessary to </w:t>
      </w:r>
      <w:r w:rsidR="00892376">
        <w:t xml:space="preserve">avoid exposing an entire group </w:t>
      </w:r>
      <w:r w:rsidR="001D6ACC">
        <w:t xml:space="preserve">at the interview stage. </w:t>
      </w:r>
      <w:r w:rsidR="005E31E7">
        <w:t>Through this process I was able to select 33 students to interview in person.</w:t>
      </w:r>
    </w:p>
    <w:p w14:paraId="21B0AD72" w14:textId="77777777" w:rsidR="00266C36" w:rsidRDefault="00266C36" w:rsidP="005F26BA">
      <w:pPr>
        <w:jc w:val="both"/>
      </w:pPr>
    </w:p>
    <w:p w14:paraId="022FFCB4" w14:textId="77777777" w:rsidR="000B4AC7" w:rsidRDefault="000B4AC7" w:rsidP="005F26BA">
      <w:pPr>
        <w:jc w:val="both"/>
      </w:pPr>
    </w:p>
    <w:p w14:paraId="11FAC27D" w14:textId="769CA62F" w:rsidR="00266C36" w:rsidRPr="000B4AC7" w:rsidRDefault="00C372BA" w:rsidP="00DB1172">
      <w:pPr>
        <w:pStyle w:val="Heading2"/>
      </w:pPr>
      <w:r w:rsidRPr="000B4AC7">
        <w:t>2</w:t>
      </w:r>
      <w:r w:rsidR="00266C36" w:rsidRPr="000B4AC7">
        <w:t>.2 Interview style</w:t>
      </w:r>
    </w:p>
    <w:p w14:paraId="05FE2D55" w14:textId="77777777" w:rsidR="000B4AC7" w:rsidRPr="003D4FCF" w:rsidRDefault="000B4AC7" w:rsidP="005F26BA">
      <w:pPr>
        <w:jc w:val="both"/>
        <w:rPr>
          <w:b/>
        </w:rPr>
      </w:pPr>
    </w:p>
    <w:p w14:paraId="10626537" w14:textId="749EA9AA" w:rsidR="005E31E7" w:rsidRDefault="005E31E7" w:rsidP="005F26BA">
      <w:pPr>
        <w:jc w:val="both"/>
      </w:pPr>
      <w:r>
        <w:t xml:space="preserve">There was a level of adjustment in the first three interviews as I </w:t>
      </w:r>
      <w:r w:rsidR="00CD75C2">
        <w:t xml:space="preserve">experimented to find the best way to exploit </w:t>
      </w:r>
      <w:r w:rsidR="00892376">
        <w:t>my insider knowledge without allow</w:t>
      </w:r>
      <w:r w:rsidR="00CD75C2">
        <w:t xml:space="preserve">ing my own role </w:t>
      </w:r>
      <w:r w:rsidR="00892376">
        <w:t>to domina</w:t>
      </w:r>
      <w:r w:rsidR="00CD75C2">
        <w:t>t</w:t>
      </w:r>
      <w:r w:rsidR="00892376">
        <w:t>e</w:t>
      </w:r>
      <w:r w:rsidR="00CD75C2">
        <w:t xml:space="preserve"> </w:t>
      </w:r>
      <w:r w:rsidR="00EE305A">
        <w:t xml:space="preserve">and </w:t>
      </w:r>
      <w:r w:rsidR="005A42F3">
        <w:t xml:space="preserve">thereby </w:t>
      </w:r>
      <w:r w:rsidR="00892376">
        <w:t>diminish</w:t>
      </w:r>
      <w:r w:rsidR="00CD75C2">
        <w:t xml:space="preserve"> the student voice. I had decided to use an open biographical approach to interviewing so that ultimately the choice of topic and level of depth was determined by the student. </w:t>
      </w:r>
      <w:r w:rsidR="00266C36">
        <w:t xml:space="preserve">Asking them to consider </w:t>
      </w:r>
      <w:r w:rsidR="00CD75C2">
        <w:t>their whole life in relation to education</w:t>
      </w:r>
      <w:r w:rsidR="00266C36">
        <w:t xml:space="preserve"> encouraged them to talk about aspects that were new to me rather than just the educational process we had shared. </w:t>
      </w:r>
      <w:r w:rsidR="00266C36">
        <w:lastRenderedPageBreak/>
        <w:t xml:space="preserve">I </w:t>
      </w:r>
      <w:r w:rsidR="00EE305A">
        <w:t>went</w:t>
      </w:r>
      <w:r w:rsidR="00266C36">
        <w:t xml:space="preserve"> to the interviews with a list of prompts I could use if the conversation failed to flow but rarely needed to do more than express interest in their views. However, I found my insider knowledge enabled me to question areas of discourse that seemed problematic and learned from the literature that I was instinctively adopting a psycho-social method of interviewing whereby I probed any hesitations, contradictions and juxtapositions as they arose</w:t>
      </w:r>
      <w:r w:rsidR="00EE305A">
        <w:t>,</w:t>
      </w:r>
      <w:r w:rsidR="00266C36">
        <w:t xml:space="preserve"> taking my understanding (and often the student’s too) to a higher level. This is a method clearly exp</w:t>
      </w:r>
      <w:r w:rsidR="00EE305A">
        <w:t>ound</w:t>
      </w:r>
      <w:r w:rsidR="00266C36">
        <w:t>ed by Hollway and Jefferson (</w:t>
      </w:r>
      <w:r w:rsidR="001956CA">
        <w:t>2000</w:t>
      </w:r>
      <w:r w:rsidR="00266C36">
        <w:t>) in their invaluable text</w:t>
      </w:r>
      <w:r w:rsidR="00892376">
        <w:t>,</w:t>
      </w:r>
      <w:r w:rsidR="00266C36">
        <w:t xml:space="preserve"> </w:t>
      </w:r>
      <w:r w:rsidR="00266C36" w:rsidRPr="00266C36">
        <w:rPr>
          <w:i/>
        </w:rPr>
        <w:t>Doing Qualitative Research Differently</w:t>
      </w:r>
      <w:r w:rsidR="00266C36">
        <w:t>.</w:t>
      </w:r>
    </w:p>
    <w:p w14:paraId="5BA9D333" w14:textId="77777777" w:rsidR="00266C36" w:rsidRDefault="00266C36" w:rsidP="005F26BA">
      <w:pPr>
        <w:jc w:val="both"/>
      </w:pPr>
    </w:p>
    <w:p w14:paraId="771AA4E4" w14:textId="77777777" w:rsidR="00892376" w:rsidRDefault="00892376" w:rsidP="005F26BA">
      <w:pPr>
        <w:jc w:val="both"/>
      </w:pPr>
    </w:p>
    <w:p w14:paraId="1D182957" w14:textId="0A2C65F6" w:rsidR="00266C36" w:rsidRPr="000B4AC7" w:rsidRDefault="00C372BA" w:rsidP="00DB1172">
      <w:pPr>
        <w:pStyle w:val="Heading2"/>
      </w:pPr>
      <w:r w:rsidRPr="000B4AC7">
        <w:t>2</w:t>
      </w:r>
      <w:r w:rsidR="00266C36" w:rsidRPr="000B4AC7">
        <w:t>.3 Data analysis</w:t>
      </w:r>
    </w:p>
    <w:p w14:paraId="031DC23E" w14:textId="77777777" w:rsidR="000B4AC7" w:rsidRPr="003D4FCF" w:rsidRDefault="000B4AC7" w:rsidP="005F26BA">
      <w:pPr>
        <w:jc w:val="both"/>
        <w:rPr>
          <w:b/>
        </w:rPr>
      </w:pPr>
    </w:p>
    <w:p w14:paraId="04270A4A" w14:textId="79F7FC00" w:rsidR="00FD2981" w:rsidRDefault="00266C36" w:rsidP="005F26BA">
      <w:pPr>
        <w:jc w:val="both"/>
      </w:pPr>
      <w:r>
        <w:t xml:space="preserve">One problem inherent in this style of interviewing is that </w:t>
      </w:r>
      <w:r w:rsidR="00EE305A">
        <w:t>the researcher</w:t>
      </w:r>
      <w:r>
        <w:t xml:space="preserve"> amasses vast quantities of </w:t>
      </w:r>
      <w:r w:rsidR="00EE305A">
        <w:t>highly variable</w:t>
      </w:r>
      <w:r>
        <w:t xml:space="preserve"> data</w:t>
      </w:r>
      <w:r w:rsidR="00B104AB">
        <w:t>. Transcription itself is time-consuming and analysis very demanding (bu</w:t>
      </w:r>
      <w:r w:rsidR="000949CD">
        <w:t>t also exciting). Immersion (Strauss, 1987</w:t>
      </w:r>
      <w:r w:rsidR="00B104AB">
        <w:t>) enabled</w:t>
      </w:r>
      <w:r w:rsidR="00EE305A">
        <w:t xml:space="preserve"> a degree of holistic analysis and I bega</w:t>
      </w:r>
      <w:r w:rsidR="00B104AB">
        <w:t>n to see patterns within and across the narratives</w:t>
      </w:r>
      <w:r w:rsidR="00EE305A">
        <w:t>.</w:t>
      </w:r>
      <w:r w:rsidR="00B104AB">
        <w:t xml:space="preserve"> </w:t>
      </w:r>
      <w:r w:rsidR="00EE305A">
        <w:t xml:space="preserve">This </w:t>
      </w:r>
      <w:r w:rsidR="00B104AB">
        <w:t>led me to create two sets of typologies</w:t>
      </w:r>
      <w:r w:rsidR="007D325A">
        <w:t xml:space="preserve"> (see Tables 1 and 2)</w:t>
      </w:r>
      <w:r w:rsidR="00AD10FD">
        <w:t>, categorising students by their</w:t>
      </w:r>
      <w:r w:rsidR="00B104AB">
        <w:t xml:space="preserve"> </w:t>
      </w:r>
      <w:r w:rsidR="00AD10FD">
        <w:t xml:space="preserve">occupational level (a form of educational outcome given this was vocational training) and their attitude to life (a means of identifying their sense of agency, in part their personality). This </w:t>
      </w:r>
      <w:r w:rsidR="00B104AB">
        <w:t>served two purposes.</w:t>
      </w:r>
    </w:p>
    <w:p w14:paraId="52D2A395" w14:textId="77777777" w:rsidR="005B5136" w:rsidRDefault="005B5136" w:rsidP="005F26BA">
      <w:pPr>
        <w:jc w:val="both"/>
      </w:pPr>
    </w:p>
    <w:p w14:paraId="1BDDCBE1" w14:textId="5301955D" w:rsidR="005B7D47" w:rsidRDefault="005B7D47" w:rsidP="000B4AC7">
      <w:pPr>
        <w:jc w:val="center"/>
      </w:pPr>
    </w:p>
    <w:tbl>
      <w:tblPr>
        <w:tblStyle w:val="TableGrid"/>
        <w:tblW w:w="0" w:type="auto"/>
        <w:tblLook w:val="04A0" w:firstRow="1" w:lastRow="0" w:firstColumn="1" w:lastColumn="0" w:noHBand="0" w:noVBand="1"/>
      </w:tblPr>
      <w:tblGrid>
        <w:gridCol w:w="1526"/>
        <w:gridCol w:w="7710"/>
      </w:tblGrid>
      <w:tr w:rsidR="00AA279D" w14:paraId="35FB4BF7" w14:textId="77777777" w:rsidTr="004A7AFB">
        <w:tc>
          <w:tcPr>
            <w:tcW w:w="9236" w:type="dxa"/>
            <w:gridSpan w:val="2"/>
            <w:tcBorders>
              <w:top w:val="nil"/>
              <w:left w:val="nil"/>
              <w:bottom w:val="nil"/>
              <w:right w:val="nil"/>
            </w:tcBorders>
          </w:tcPr>
          <w:p w14:paraId="2B4FF874" w14:textId="7ECBFF00" w:rsidR="00AA279D" w:rsidRPr="004B6B54" w:rsidRDefault="005B5136" w:rsidP="000B4AC7">
            <w:pPr>
              <w:jc w:val="center"/>
              <w:rPr>
                <w:b/>
              </w:rPr>
            </w:pPr>
            <w:r w:rsidRPr="004B6B54">
              <w:rPr>
                <w:b/>
              </w:rPr>
              <w:t>Table 1: Typology based on occupation</w:t>
            </w:r>
          </w:p>
        </w:tc>
      </w:tr>
      <w:tr w:rsidR="00AD10FD" w14:paraId="58AD71CE" w14:textId="77777777" w:rsidTr="004A7AFB">
        <w:tc>
          <w:tcPr>
            <w:tcW w:w="1526" w:type="dxa"/>
            <w:tcBorders>
              <w:top w:val="nil"/>
              <w:left w:val="nil"/>
              <w:bottom w:val="single" w:sz="4" w:space="0" w:color="auto"/>
              <w:right w:val="nil"/>
            </w:tcBorders>
          </w:tcPr>
          <w:p w14:paraId="049E03B2" w14:textId="77777777" w:rsidR="00AD10FD" w:rsidRDefault="00AD10FD" w:rsidP="005F26BA">
            <w:pPr>
              <w:jc w:val="both"/>
            </w:pPr>
          </w:p>
        </w:tc>
        <w:tc>
          <w:tcPr>
            <w:tcW w:w="7710" w:type="dxa"/>
            <w:tcBorders>
              <w:top w:val="nil"/>
              <w:left w:val="nil"/>
              <w:bottom w:val="single" w:sz="4" w:space="0" w:color="auto"/>
              <w:right w:val="nil"/>
            </w:tcBorders>
          </w:tcPr>
          <w:p w14:paraId="3D0089A6" w14:textId="77777777" w:rsidR="00AD10FD" w:rsidRDefault="00AD10FD" w:rsidP="005F26BA">
            <w:pPr>
              <w:jc w:val="both"/>
            </w:pPr>
          </w:p>
        </w:tc>
      </w:tr>
      <w:tr w:rsidR="0088436E" w14:paraId="3C4DD843" w14:textId="77777777" w:rsidTr="004A7AFB">
        <w:tc>
          <w:tcPr>
            <w:tcW w:w="1526" w:type="dxa"/>
            <w:tcBorders>
              <w:top w:val="single" w:sz="4" w:space="0" w:color="auto"/>
              <w:left w:val="single" w:sz="4" w:space="0" w:color="auto"/>
              <w:bottom w:val="single" w:sz="4" w:space="0" w:color="auto"/>
              <w:right w:val="nil"/>
            </w:tcBorders>
          </w:tcPr>
          <w:p w14:paraId="7B540FBF" w14:textId="47A49741" w:rsidR="0088436E" w:rsidRPr="004A7AFB" w:rsidRDefault="0088436E" w:rsidP="005F26BA">
            <w:pPr>
              <w:jc w:val="both"/>
              <w:rPr>
                <w:i/>
              </w:rPr>
            </w:pPr>
            <w:r w:rsidRPr="004A7AFB">
              <w:rPr>
                <w:i/>
              </w:rPr>
              <w:t>Name</w:t>
            </w:r>
          </w:p>
        </w:tc>
        <w:tc>
          <w:tcPr>
            <w:tcW w:w="7710" w:type="dxa"/>
            <w:tcBorders>
              <w:top w:val="single" w:sz="4" w:space="0" w:color="auto"/>
              <w:left w:val="nil"/>
              <w:right w:val="single" w:sz="4" w:space="0" w:color="auto"/>
            </w:tcBorders>
          </w:tcPr>
          <w:p w14:paraId="62ED150F" w14:textId="104B7CB9" w:rsidR="0088436E" w:rsidRPr="004A7AFB" w:rsidRDefault="0088436E" w:rsidP="005F26BA">
            <w:pPr>
              <w:jc w:val="both"/>
              <w:rPr>
                <w:i/>
              </w:rPr>
            </w:pPr>
            <w:r w:rsidRPr="004A7AFB">
              <w:rPr>
                <w:i/>
              </w:rPr>
              <w:t>Definition</w:t>
            </w:r>
          </w:p>
        </w:tc>
      </w:tr>
      <w:tr w:rsidR="00AD10FD" w14:paraId="5954DB3B" w14:textId="77777777" w:rsidTr="004A7AFB">
        <w:tc>
          <w:tcPr>
            <w:tcW w:w="1526" w:type="dxa"/>
            <w:tcBorders>
              <w:bottom w:val="single" w:sz="4" w:space="0" w:color="auto"/>
              <w:right w:val="nil"/>
            </w:tcBorders>
          </w:tcPr>
          <w:p w14:paraId="10F3D723" w14:textId="29AF701B" w:rsidR="00AD10FD" w:rsidRDefault="005A77C8" w:rsidP="005F26BA">
            <w:pPr>
              <w:jc w:val="both"/>
            </w:pPr>
            <w:r>
              <w:t>Sampler</w:t>
            </w:r>
          </w:p>
        </w:tc>
        <w:tc>
          <w:tcPr>
            <w:tcW w:w="7710" w:type="dxa"/>
            <w:tcBorders>
              <w:left w:val="nil"/>
            </w:tcBorders>
          </w:tcPr>
          <w:p w14:paraId="75911162" w14:textId="52E902FA" w:rsidR="00AD10FD" w:rsidRDefault="005A77C8" w:rsidP="005F26BA">
            <w:pPr>
              <w:jc w:val="both"/>
            </w:pPr>
            <w:r w:rsidRPr="005A77C8">
              <w:rPr>
                <w:lang w:val="en-US"/>
              </w:rPr>
              <w:t>One who drifted into childcare, found it lacking and</w:t>
            </w:r>
            <w:r>
              <w:rPr>
                <w:lang w:val="en-US"/>
              </w:rPr>
              <w:tab/>
              <w:t xml:space="preserve">quickly </w:t>
            </w:r>
            <w:r w:rsidRPr="005A77C8">
              <w:rPr>
                <w:lang w:val="en-US"/>
              </w:rPr>
              <w:t>moved on</w:t>
            </w:r>
          </w:p>
        </w:tc>
      </w:tr>
      <w:tr w:rsidR="00AD10FD" w14:paraId="1E6ABB26" w14:textId="77777777" w:rsidTr="004A7AFB">
        <w:tc>
          <w:tcPr>
            <w:tcW w:w="1526" w:type="dxa"/>
            <w:tcBorders>
              <w:bottom w:val="single" w:sz="4" w:space="0" w:color="auto"/>
              <w:right w:val="nil"/>
            </w:tcBorders>
          </w:tcPr>
          <w:p w14:paraId="276B3F60" w14:textId="4A6C804B" w:rsidR="00AD10FD" w:rsidRDefault="005A77C8" w:rsidP="005F26BA">
            <w:pPr>
              <w:jc w:val="both"/>
            </w:pPr>
            <w:r>
              <w:t>Stager</w:t>
            </w:r>
          </w:p>
        </w:tc>
        <w:tc>
          <w:tcPr>
            <w:tcW w:w="7710" w:type="dxa"/>
            <w:tcBorders>
              <w:left w:val="nil"/>
            </w:tcBorders>
          </w:tcPr>
          <w:p w14:paraId="586B10A7" w14:textId="5024148D" w:rsidR="00AD10FD" w:rsidRDefault="005A77C8" w:rsidP="005F26BA">
            <w:pPr>
              <w:jc w:val="both"/>
            </w:pPr>
            <w:r w:rsidRPr="005A77C8">
              <w:rPr>
                <w:lang w:val="en-US"/>
              </w:rPr>
              <w:t>One who found ch</w:t>
            </w:r>
            <w:r>
              <w:rPr>
                <w:lang w:val="en-US"/>
              </w:rPr>
              <w:t xml:space="preserve">ildcare work convenient when </w:t>
            </w:r>
            <w:r w:rsidRPr="005A77C8">
              <w:rPr>
                <w:lang w:val="en-US"/>
              </w:rPr>
              <w:t>the children were small</w:t>
            </w:r>
          </w:p>
        </w:tc>
      </w:tr>
      <w:tr w:rsidR="00AD10FD" w14:paraId="2FA2BB02" w14:textId="77777777" w:rsidTr="004A7AFB">
        <w:tc>
          <w:tcPr>
            <w:tcW w:w="1526" w:type="dxa"/>
            <w:tcBorders>
              <w:bottom w:val="single" w:sz="4" w:space="0" w:color="auto"/>
              <w:right w:val="nil"/>
            </w:tcBorders>
          </w:tcPr>
          <w:p w14:paraId="7F9A6A88" w14:textId="3F8297D6" w:rsidR="00AD10FD" w:rsidRDefault="005A77C8" w:rsidP="005F26BA">
            <w:pPr>
              <w:jc w:val="both"/>
            </w:pPr>
            <w:r>
              <w:t>Settler</w:t>
            </w:r>
          </w:p>
        </w:tc>
        <w:tc>
          <w:tcPr>
            <w:tcW w:w="7710" w:type="dxa"/>
            <w:tcBorders>
              <w:left w:val="nil"/>
            </w:tcBorders>
          </w:tcPr>
          <w:p w14:paraId="61F5D96B" w14:textId="13353600" w:rsidR="00AD10FD" w:rsidRDefault="005A77C8" w:rsidP="005F26BA">
            <w:pPr>
              <w:jc w:val="both"/>
            </w:pPr>
            <w:r w:rsidRPr="005A77C8">
              <w:rPr>
                <w:lang w:val="en-US"/>
              </w:rPr>
              <w:t>One who cho</w:t>
            </w:r>
            <w:r>
              <w:rPr>
                <w:lang w:val="en-US"/>
              </w:rPr>
              <w:t xml:space="preserve">se childcare as a career after </w:t>
            </w:r>
            <w:r w:rsidRPr="005A77C8">
              <w:rPr>
                <w:lang w:val="en-US"/>
              </w:rPr>
              <w:t>experiencing a range of alternatives</w:t>
            </w:r>
          </w:p>
        </w:tc>
      </w:tr>
      <w:tr w:rsidR="00AD10FD" w14:paraId="6800CB13" w14:textId="77777777" w:rsidTr="004A7AFB">
        <w:tc>
          <w:tcPr>
            <w:tcW w:w="1526" w:type="dxa"/>
            <w:tcBorders>
              <w:bottom w:val="single" w:sz="4" w:space="0" w:color="auto"/>
              <w:right w:val="nil"/>
            </w:tcBorders>
          </w:tcPr>
          <w:p w14:paraId="10ED0D1A" w14:textId="1007B760" w:rsidR="00AD10FD" w:rsidRDefault="005A77C8" w:rsidP="005F26BA">
            <w:pPr>
              <w:jc w:val="both"/>
            </w:pPr>
            <w:r>
              <w:t>Switcher</w:t>
            </w:r>
          </w:p>
        </w:tc>
        <w:tc>
          <w:tcPr>
            <w:tcW w:w="7710" w:type="dxa"/>
            <w:tcBorders>
              <w:left w:val="nil"/>
            </w:tcBorders>
          </w:tcPr>
          <w:p w14:paraId="711C5BF5" w14:textId="7B654A21" w:rsidR="00AD10FD" w:rsidRDefault="005A77C8" w:rsidP="005F26BA">
            <w:pPr>
              <w:jc w:val="both"/>
            </w:pPr>
            <w:r w:rsidRPr="005A77C8">
              <w:rPr>
                <w:lang w:val="en-US"/>
              </w:rPr>
              <w:t>One who chose childc</w:t>
            </w:r>
            <w:r>
              <w:rPr>
                <w:lang w:val="en-US"/>
              </w:rPr>
              <w:t xml:space="preserve">are as an alternative career </w:t>
            </w:r>
            <w:r w:rsidRPr="005A77C8">
              <w:rPr>
                <w:lang w:val="en-US"/>
              </w:rPr>
              <w:t>to a previous one</w:t>
            </w:r>
          </w:p>
        </w:tc>
      </w:tr>
      <w:tr w:rsidR="00AD10FD" w14:paraId="2919DFD1" w14:textId="77777777" w:rsidTr="004A7AFB">
        <w:tc>
          <w:tcPr>
            <w:tcW w:w="1526" w:type="dxa"/>
            <w:tcBorders>
              <w:right w:val="nil"/>
            </w:tcBorders>
          </w:tcPr>
          <w:p w14:paraId="017B8886" w14:textId="13128E0F" w:rsidR="00AD10FD" w:rsidRDefault="005A77C8" w:rsidP="005F26BA">
            <w:pPr>
              <w:jc w:val="both"/>
            </w:pPr>
            <w:r>
              <w:t>Step-upper</w:t>
            </w:r>
          </w:p>
        </w:tc>
        <w:tc>
          <w:tcPr>
            <w:tcW w:w="7710" w:type="dxa"/>
            <w:tcBorders>
              <w:left w:val="nil"/>
            </w:tcBorders>
          </w:tcPr>
          <w:p w14:paraId="7B313060" w14:textId="77D9D3AA" w:rsidR="00AD10FD" w:rsidRDefault="005A77C8" w:rsidP="005F26BA">
            <w:pPr>
              <w:jc w:val="both"/>
            </w:pPr>
            <w:r w:rsidRPr="005A77C8">
              <w:rPr>
                <w:lang w:val="en-US"/>
              </w:rPr>
              <w:t>One using childcare work to access a</w:t>
            </w:r>
            <w:r>
              <w:rPr>
                <w:lang w:val="en-US"/>
              </w:rPr>
              <w:t xml:space="preserve">n associated, </w:t>
            </w:r>
            <w:r w:rsidRPr="005A77C8">
              <w:rPr>
                <w:lang w:val="en-US"/>
              </w:rPr>
              <w:t>better paid position/career</w:t>
            </w:r>
          </w:p>
        </w:tc>
      </w:tr>
    </w:tbl>
    <w:p w14:paraId="084C1050" w14:textId="77777777" w:rsidR="00AD10FD" w:rsidRDefault="00AD10FD" w:rsidP="005F26BA">
      <w:pPr>
        <w:jc w:val="both"/>
      </w:pPr>
    </w:p>
    <w:tbl>
      <w:tblPr>
        <w:tblStyle w:val="TableGrid"/>
        <w:tblW w:w="0" w:type="auto"/>
        <w:tblLook w:val="04A0" w:firstRow="1" w:lastRow="0" w:firstColumn="1" w:lastColumn="0" w:noHBand="0" w:noVBand="1"/>
      </w:tblPr>
      <w:tblGrid>
        <w:gridCol w:w="1526"/>
        <w:gridCol w:w="7710"/>
      </w:tblGrid>
      <w:tr w:rsidR="00AA279D" w14:paraId="617EFC98" w14:textId="77777777" w:rsidTr="004A7AFB">
        <w:tc>
          <w:tcPr>
            <w:tcW w:w="9236" w:type="dxa"/>
            <w:gridSpan w:val="2"/>
            <w:tcBorders>
              <w:top w:val="nil"/>
              <w:left w:val="nil"/>
              <w:bottom w:val="nil"/>
              <w:right w:val="nil"/>
            </w:tcBorders>
          </w:tcPr>
          <w:p w14:paraId="078DAEFE" w14:textId="2B5BA29A" w:rsidR="00AA279D" w:rsidRPr="004B6B54" w:rsidRDefault="00AA279D" w:rsidP="000B4AC7">
            <w:pPr>
              <w:jc w:val="center"/>
              <w:rPr>
                <w:b/>
              </w:rPr>
            </w:pPr>
            <w:r w:rsidRPr="004B6B54">
              <w:rPr>
                <w:b/>
              </w:rPr>
              <w:t>Table 2: Typology based on attitude toward life</w:t>
            </w:r>
          </w:p>
        </w:tc>
      </w:tr>
      <w:tr w:rsidR="00AD10FD" w14:paraId="475A040E" w14:textId="77777777" w:rsidTr="004A7AFB">
        <w:tc>
          <w:tcPr>
            <w:tcW w:w="1526" w:type="dxa"/>
            <w:tcBorders>
              <w:top w:val="nil"/>
              <w:left w:val="nil"/>
              <w:bottom w:val="single" w:sz="4" w:space="0" w:color="auto"/>
              <w:right w:val="nil"/>
            </w:tcBorders>
          </w:tcPr>
          <w:p w14:paraId="5FAD4781" w14:textId="77777777" w:rsidR="00AD10FD" w:rsidRDefault="00AD10FD" w:rsidP="005F26BA">
            <w:pPr>
              <w:jc w:val="both"/>
            </w:pPr>
          </w:p>
        </w:tc>
        <w:tc>
          <w:tcPr>
            <w:tcW w:w="7710" w:type="dxa"/>
            <w:tcBorders>
              <w:top w:val="nil"/>
              <w:left w:val="nil"/>
              <w:bottom w:val="single" w:sz="4" w:space="0" w:color="auto"/>
              <w:right w:val="nil"/>
            </w:tcBorders>
          </w:tcPr>
          <w:p w14:paraId="159D1C79" w14:textId="77777777" w:rsidR="00AD10FD" w:rsidRDefault="00AD10FD" w:rsidP="005F26BA">
            <w:pPr>
              <w:jc w:val="both"/>
            </w:pPr>
          </w:p>
        </w:tc>
      </w:tr>
      <w:tr w:rsidR="0088436E" w14:paraId="4E344E17" w14:textId="77777777" w:rsidTr="004A7AFB">
        <w:tc>
          <w:tcPr>
            <w:tcW w:w="1526" w:type="dxa"/>
            <w:tcBorders>
              <w:top w:val="single" w:sz="4" w:space="0" w:color="auto"/>
              <w:left w:val="single" w:sz="4" w:space="0" w:color="auto"/>
              <w:bottom w:val="single" w:sz="4" w:space="0" w:color="auto"/>
              <w:right w:val="nil"/>
            </w:tcBorders>
          </w:tcPr>
          <w:p w14:paraId="67770026" w14:textId="709DCFB0" w:rsidR="0088436E" w:rsidRPr="004A7AFB" w:rsidRDefault="0088436E" w:rsidP="005F26BA">
            <w:pPr>
              <w:jc w:val="both"/>
              <w:rPr>
                <w:i/>
              </w:rPr>
            </w:pPr>
            <w:r w:rsidRPr="004A7AFB">
              <w:rPr>
                <w:i/>
              </w:rPr>
              <w:t>Name</w:t>
            </w:r>
          </w:p>
        </w:tc>
        <w:tc>
          <w:tcPr>
            <w:tcW w:w="7710" w:type="dxa"/>
            <w:tcBorders>
              <w:top w:val="single" w:sz="4" w:space="0" w:color="auto"/>
              <w:left w:val="nil"/>
              <w:right w:val="single" w:sz="4" w:space="0" w:color="auto"/>
            </w:tcBorders>
          </w:tcPr>
          <w:p w14:paraId="5B4DAEB5" w14:textId="71358414" w:rsidR="0088436E" w:rsidRPr="004A7AFB" w:rsidRDefault="0088436E" w:rsidP="005F26BA">
            <w:pPr>
              <w:jc w:val="both"/>
              <w:rPr>
                <w:i/>
              </w:rPr>
            </w:pPr>
            <w:r w:rsidRPr="004A7AFB">
              <w:rPr>
                <w:i/>
              </w:rPr>
              <w:t>Definition</w:t>
            </w:r>
          </w:p>
        </w:tc>
      </w:tr>
      <w:tr w:rsidR="0088436E" w14:paraId="61F9F1DD" w14:textId="77777777" w:rsidTr="004A7AFB">
        <w:tc>
          <w:tcPr>
            <w:tcW w:w="1526" w:type="dxa"/>
            <w:tcBorders>
              <w:bottom w:val="single" w:sz="4" w:space="0" w:color="auto"/>
              <w:right w:val="nil"/>
            </w:tcBorders>
          </w:tcPr>
          <w:p w14:paraId="635A6C78" w14:textId="5FEE3043" w:rsidR="0088436E" w:rsidRDefault="0088436E" w:rsidP="005F26BA">
            <w:pPr>
              <w:jc w:val="both"/>
            </w:pPr>
            <w:r>
              <w:t>Accepter</w:t>
            </w:r>
          </w:p>
        </w:tc>
        <w:tc>
          <w:tcPr>
            <w:tcW w:w="7710" w:type="dxa"/>
            <w:tcBorders>
              <w:left w:val="nil"/>
            </w:tcBorders>
          </w:tcPr>
          <w:p w14:paraId="1F001A34" w14:textId="7A9A0E60" w:rsidR="0088436E" w:rsidRDefault="0088436E" w:rsidP="005F26BA">
            <w:pPr>
              <w:jc w:val="both"/>
            </w:pPr>
            <w:r w:rsidRPr="005A77C8">
              <w:rPr>
                <w:lang w:val="en-US"/>
              </w:rPr>
              <w:t>One wi</w:t>
            </w:r>
            <w:r>
              <w:rPr>
                <w:lang w:val="en-US"/>
              </w:rPr>
              <w:t xml:space="preserve">th a relaxed, opportunistic </w:t>
            </w:r>
            <w:r w:rsidRPr="005A77C8">
              <w:rPr>
                <w:lang w:val="en-US"/>
              </w:rPr>
              <w:t xml:space="preserve">approach; </w:t>
            </w:r>
            <w:r>
              <w:rPr>
                <w:lang w:val="en-US"/>
              </w:rPr>
              <w:t xml:space="preserve">often </w:t>
            </w:r>
            <w:r w:rsidRPr="005A77C8">
              <w:rPr>
                <w:lang w:val="en-US"/>
              </w:rPr>
              <w:t>a reactive decision-maker</w:t>
            </w:r>
          </w:p>
        </w:tc>
      </w:tr>
      <w:tr w:rsidR="0088436E" w14:paraId="4B48A17E" w14:textId="77777777" w:rsidTr="004A7AFB">
        <w:tc>
          <w:tcPr>
            <w:tcW w:w="1526" w:type="dxa"/>
            <w:tcBorders>
              <w:bottom w:val="single" w:sz="4" w:space="0" w:color="auto"/>
              <w:right w:val="nil"/>
            </w:tcBorders>
          </w:tcPr>
          <w:p w14:paraId="4CC0953C" w14:textId="4FBE5B26" w:rsidR="0088436E" w:rsidRDefault="0088436E" w:rsidP="005F26BA">
            <w:pPr>
              <w:jc w:val="both"/>
            </w:pPr>
            <w:r>
              <w:t>Agoniser</w:t>
            </w:r>
          </w:p>
        </w:tc>
        <w:tc>
          <w:tcPr>
            <w:tcW w:w="7710" w:type="dxa"/>
            <w:tcBorders>
              <w:left w:val="nil"/>
            </w:tcBorders>
          </w:tcPr>
          <w:p w14:paraId="1329F27F" w14:textId="3689E819" w:rsidR="0088436E" w:rsidRDefault="0088436E" w:rsidP="005F26BA">
            <w:pPr>
              <w:jc w:val="both"/>
            </w:pPr>
            <w:r w:rsidRPr="005A77C8">
              <w:rPr>
                <w:lang w:val="en-US"/>
              </w:rPr>
              <w:t>One wh</w:t>
            </w:r>
            <w:r>
              <w:rPr>
                <w:lang w:val="en-US"/>
              </w:rPr>
              <w:t xml:space="preserve">o reflects intensely before </w:t>
            </w:r>
            <w:r w:rsidRPr="005A77C8">
              <w:rPr>
                <w:lang w:val="en-US"/>
              </w:rPr>
              <w:t xml:space="preserve">making decisions; may </w:t>
            </w:r>
            <w:r w:rsidR="004B6B54" w:rsidRPr="005A77C8">
              <w:rPr>
                <w:lang w:val="en-US"/>
              </w:rPr>
              <w:t>analyze</w:t>
            </w:r>
            <w:r w:rsidRPr="005A77C8">
              <w:rPr>
                <w:lang w:val="en-US"/>
              </w:rPr>
              <w:t xml:space="preserve"> guilt</w:t>
            </w:r>
          </w:p>
        </w:tc>
      </w:tr>
      <w:tr w:rsidR="0088436E" w14:paraId="36FCE484" w14:textId="77777777" w:rsidTr="004A7AFB">
        <w:tc>
          <w:tcPr>
            <w:tcW w:w="1526" w:type="dxa"/>
            <w:tcBorders>
              <w:bottom w:val="single" w:sz="4" w:space="0" w:color="auto"/>
              <w:right w:val="nil"/>
            </w:tcBorders>
          </w:tcPr>
          <w:p w14:paraId="3C6830D2" w14:textId="54BB8E5B" w:rsidR="0088436E" w:rsidRDefault="0088436E" w:rsidP="005F26BA">
            <w:pPr>
              <w:jc w:val="both"/>
            </w:pPr>
            <w:r>
              <w:t>Accumulater</w:t>
            </w:r>
          </w:p>
        </w:tc>
        <w:tc>
          <w:tcPr>
            <w:tcW w:w="7710" w:type="dxa"/>
            <w:tcBorders>
              <w:left w:val="nil"/>
            </w:tcBorders>
          </w:tcPr>
          <w:p w14:paraId="0425BE29" w14:textId="74845715" w:rsidR="0088436E" w:rsidRDefault="0088436E" w:rsidP="005F26BA">
            <w:pPr>
              <w:jc w:val="both"/>
            </w:pPr>
            <w:r>
              <w:rPr>
                <w:lang w:val="en-US"/>
              </w:rPr>
              <w:t xml:space="preserve">One </w:t>
            </w:r>
            <w:r w:rsidRPr="005A77C8">
              <w:rPr>
                <w:lang w:val="en-US"/>
              </w:rPr>
              <w:t>stea</w:t>
            </w:r>
            <w:r>
              <w:rPr>
                <w:lang w:val="en-US"/>
              </w:rPr>
              <w:t xml:space="preserve">dily acquiring qualifications </w:t>
            </w:r>
            <w:r w:rsidRPr="005A77C8">
              <w:rPr>
                <w:lang w:val="en-US"/>
              </w:rPr>
              <w:t>and experiences; maybe with a focus</w:t>
            </w:r>
          </w:p>
        </w:tc>
      </w:tr>
      <w:tr w:rsidR="0088436E" w14:paraId="41967C15" w14:textId="77777777" w:rsidTr="004A7AFB">
        <w:tc>
          <w:tcPr>
            <w:tcW w:w="1526" w:type="dxa"/>
            <w:tcBorders>
              <w:right w:val="nil"/>
            </w:tcBorders>
          </w:tcPr>
          <w:p w14:paraId="1ED76995" w14:textId="3A5112D3" w:rsidR="0088436E" w:rsidRDefault="0088436E" w:rsidP="005F26BA">
            <w:pPr>
              <w:jc w:val="both"/>
            </w:pPr>
            <w:r>
              <w:t>Asserter</w:t>
            </w:r>
          </w:p>
        </w:tc>
        <w:tc>
          <w:tcPr>
            <w:tcW w:w="7710" w:type="dxa"/>
            <w:tcBorders>
              <w:left w:val="nil"/>
            </w:tcBorders>
          </w:tcPr>
          <w:p w14:paraId="48FA337F" w14:textId="140DA7E3" w:rsidR="0088436E" w:rsidRDefault="0088436E" w:rsidP="005F26BA">
            <w:pPr>
              <w:jc w:val="both"/>
            </w:pPr>
            <w:r w:rsidRPr="005A77C8">
              <w:rPr>
                <w:lang w:val="en-US"/>
              </w:rPr>
              <w:t>One with goal-o</w:t>
            </w:r>
            <w:r>
              <w:rPr>
                <w:lang w:val="en-US"/>
              </w:rPr>
              <w:t xml:space="preserve">riented behaviour; a striver </w:t>
            </w:r>
            <w:r w:rsidRPr="005A77C8">
              <w:rPr>
                <w:lang w:val="en-US"/>
              </w:rPr>
              <w:t xml:space="preserve">to </w:t>
            </w:r>
            <w:r w:rsidRPr="005A77C8">
              <w:t>‘</w:t>
            </w:r>
            <w:r w:rsidRPr="005A77C8">
              <w:rPr>
                <w:lang w:val="en-US"/>
              </w:rPr>
              <w:t>get on</w:t>
            </w:r>
            <w:r w:rsidRPr="005A77C8">
              <w:t>’</w:t>
            </w:r>
            <w:r>
              <w:t xml:space="preserve"> in life</w:t>
            </w:r>
          </w:p>
        </w:tc>
      </w:tr>
    </w:tbl>
    <w:p w14:paraId="47EAA27C" w14:textId="77777777" w:rsidR="00C372BA" w:rsidRDefault="00C372BA" w:rsidP="005F26BA">
      <w:pPr>
        <w:jc w:val="both"/>
      </w:pPr>
    </w:p>
    <w:p w14:paraId="5E654060" w14:textId="38A78D96" w:rsidR="008B36A5" w:rsidRDefault="008B36A5" w:rsidP="008B36A5">
      <w:pPr>
        <w:jc w:val="both"/>
      </w:pPr>
      <w:r>
        <w:t>Initially the typologies provided me with a “handle” on the data, a means of starting the process of seeing connections across the different life stories. Later they enabled further analysis in association with Amartya Sen’s Capability Approach (CA) (Sen, 1999). Their contribution to the CA lies beyond the current paper and is addressed elsewhere (Wright 2012, 2013a,b,c) but for completeness the two typologies are included here (Table</w:t>
      </w:r>
      <w:r w:rsidR="006350B6">
        <w:t>s</w:t>
      </w:r>
      <w:r>
        <w:t xml:space="preserve"> 1 and 2).</w:t>
      </w:r>
    </w:p>
    <w:p w14:paraId="6D639151" w14:textId="77777777" w:rsidR="008B36A5" w:rsidRDefault="008B36A5" w:rsidP="008B36A5">
      <w:pPr>
        <w:jc w:val="both"/>
      </w:pPr>
      <w:r>
        <w:t>Some understanding of the capability approach is useful, too. Briefly, Sen recognises that policy making can be more effective when personal choice is enabled. There is less wastage and individuals and groups derive satisfaction, and consequent efficacy, from being able to decide what they want to achieve from the possibilities open to them. He claims that resources are no more than a means to an end “u</w:t>
      </w:r>
      <w:r w:rsidRPr="00675B5D">
        <w:t>ltimately the focus has to be on what life we lead and what we can or cannot do, can or cannot be”</w:t>
      </w:r>
      <w:r>
        <w:t xml:space="preserve"> (Sen, 1987: 16) and calls for </w:t>
      </w:r>
      <w:r>
        <w:lastRenderedPageBreak/>
        <w:t>governments to abandon utilitarian practices and, instead, provide options so that individuals can turn (</w:t>
      </w:r>
      <w:r w:rsidRPr="005B7D47">
        <w:rPr>
          <w:i/>
        </w:rPr>
        <w:t>convert)</w:t>
      </w:r>
      <w:r>
        <w:t xml:space="preserve"> their potential abilities (</w:t>
      </w:r>
      <w:r w:rsidRPr="005B7D47">
        <w:rPr>
          <w:i/>
        </w:rPr>
        <w:t>capabilities</w:t>
      </w:r>
      <w:r>
        <w:t>) into actions or achievements (</w:t>
      </w:r>
      <w:r w:rsidRPr="00FD2981">
        <w:rPr>
          <w:i/>
        </w:rPr>
        <w:t>functionings</w:t>
      </w:r>
      <w:r>
        <w:t>) that they find desirable.</w:t>
      </w:r>
    </w:p>
    <w:p w14:paraId="0C70CC96" w14:textId="77777777" w:rsidR="008B36A5" w:rsidRDefault="008B36A5" w:rsidP="005F26BA">
      <w:pPr>
        <w:jc w:val="both"/>
      </w:pPr>
    </w:p>
    <w:p w14:paraId="0D1635E3" w14:textId="0EEF870A" w:rsidR="00266C36" w:rsidRDefault="00420C7C" w:rsidP="005F26BA">
      <w:pPr>
        <w:jc w:val="both"/>
      </w:pPr>
      <w:r>
        <w:t xml:space="preserve">I chose not to use mechanical means of data analysis but hand-coded the transcripts, marking recurrent themes and conceptualisations, significant words and phrases, apt quotations, and embedded stories; able to keep these within the individual narrative structure even when I saw connections across the narratives. This is important in biographical research to avoid fragmentation of the data (West, </w:t>
      </w:r>
      <w:r w:rsidR="001956CA">
        <w:t>1996</w:t>
      </w:r>
      <w:r>
        <w:t xml:space="preserve">) and reduction of people’s lives to disconnected elements. At times the transcripts </w:t>
      </w:r>
      <w:r w:rsidR="00EE305A">
        <w:t>failed to</w:t>
      </w:r>
      <w:r>
        <w:t xml:space="preserve"> reflect the nuances of the interview process</w:t>
      </w:r>
      <w:r w:rsidR="00892376" w:rsidRPr="00892376">
        <w:t xml:space="preserve"> </w:t>
      </w:r>
      <w:r w:rsidR="00892376">
        <w:t>fully</w:t>
      </w:r>
      <w:r>
        <w:t xml:space="preserve">. Where I prompted a student it could appear that I was asking the question and then answering it. To </w:t>
      </w:r>
      <w:r w:rsidR="00EE305A">
        <w:t>record</w:t>
      </w:r>
      <w:r w:rsidR="00F22105">
        <w:t xml:space="preserve"> the </w:t>
      </w:r>
      <w:r w:rsidR="00EE305A">
        <w:t xml:space="preserve">verbal interchanges accurately </w:t>
      </w:r>
      <w:r w:rsidR="004908A3">
        <w:t xml:space="preserve">I decided to </w:t>
      </w:r>
      <w:r w:rsidR="00892376">
        <w:t>adopt</w:t>
      </w:r>
      <w:r w:rsidR="004908A3">
        <w:t xml:space="preserve"> the coding</w:t>
      </w:r>
      <w:r w:rsidR="00F22105">
        <w:t xml:space="preserve"> common to con</w:t>
      </w:r>
      <w:r w:rsidR="001956CA">
        <w:t>versation analysis (Ten Have, 1999</w:t>
      </w:r>
      <w:r w:rsidR="00F22105">
        <w:t>)</w:t>
      </w:r>
      <w:r w:rsidR="00892376">
        <w:t>,</w:t>
      </w:r>
      <w:r w:rsidR="00F22105">
        <w:t xml:space="preserve"> </w:t>
      </w:r>
      <w:r w:rsidR="00892376">
        <w:t xml:space="preserve">using this </w:t>
      </w:r>
      <w:r w:rsidR="00EE305A">
        <w:t xml:space="preserve">selectively </w:t>
      </w:r>
      <w:r w:rsidR="00F22105">
        <w:t>within the text</w:t>
      </w:r>
      <w:r w:rsidR="00EE305A">
        <w:t xml:space="preserve"> for areas</w:t>
      </w:r>
      <w:r w:rsidR="00F22105">
        <w:t xml:space="preserve"> where </w:t>
      </w:r>
      <w:r w:rsidR="00892376">
        <w:t>it</w:t>
      </w:r>
      <w:r w:rsidR="00F22105">
        <w:t xml:space="preserve"> assisted </w:t>
      </w:r>
      <w:r w:rsidR="00892376">
        <w:t>a more accurate interpretation</w:t>
      </w:r>
      <w:r w:rsidR="00F22105">
        <w:t>. Such coding can highlight examples of hesitation (which can reveal uncertainty as well as need to recall) and places where we were working with a high level of intersubjectivity through marking cut-ins and simultaneous talk. By showing tone of voice</w:t>
      </w:r>
      <w:r w:rsidR="006350B6">
        <w:t>,</w:t>
      </w:r>
      <w:r w:rsidR="00F22105">
        <w:t xml:space="preserve"> </w:t>
      </w:r>
      <w:r w:rsidR="00892376">
        <w:t xml:space="preserve">codes </w:t>
      </w:r>
      <w:r w:rsidR="00F22105">
        <w:t xml:space="preserve">can </w:t>
      </w:r>
      <w:r w:rsidR="00892376">
        <w:t>make visible</w:t>
      </w:r>
      <w:r w:rsidR="00F22105">
        <w:t xml:space="preserve"> irony, jest, negativity, exaggeration and many other linguistic devices </w:t>
      </w:r>
      <w:r w:rsidR="00BA1A47">
        <w:t>where</w:t>
      </w:r>
      <w:r w:rsidR="00F22105">
        <w:t xml:space="preserve"> the words do not </w:t>
      </w:r>
      <w:r w:rsidR="00BA1A47">
        <w:t>precisely convey</w:t>
      </w:r>
      <w:r w:rsidR="00F22105">
        <w:t xml:space="preserve"> the intended meaning. Possibly this occurs more frequently when the interviewer and interviewee already know each other</w:t>
      </w:r>
      <w:r w:rsidR="00416FD6">
        <w:t>,</w:t>
      </w:r>
      <w:r w:rsidR="00F22105">
        <w:t xml:space="preserve"> so interact informally.</w:t>
      </w:r>
    </w:p>
    <w:p w14:paraId="049088AE" w14:textId="77777777" w:rsidR="00F22105" w:rsidRDefault="00F22105" w:rsidP="005F26BA">
      <w:pPr>
        <w:jc w:val="both"/>
      </w:pPr>
    </w:p>
    <w:p w14:paraId="1D288578" w14:textId="2B4A153B" w:rsidR="008B36A5" w:rsidRDefault="00F22105" w:rsidP="005F26BA">
      <w:pPr>
        <w:jc w:val="both"/>
      </w:pPr>
      <w:r>
        <w:t xml:space="preserve">Together these processes enabled me to make initial sense of the data and I chose to </w:t>
      </w:r>
      <w:r w:rsidR="00BA1A47">
        <w:t>develop</w:t>
      </w:r>
      <w:r>
        <w:t xml:space="preserve"> </w:t>
      </w:r>
      <w:r w:rsidR="00273E05">
        <w:t>a process of analysis</w:t>
      </w:r>
      <w:r w:rsidR="005C1130">
        <w:t>-</w:t>
      </w:r>
      <w:r w:rsidR="00273E05">
        <w:t>through-</w:t>
      </w:r>
      <w:r w:rsidR="00EB7BB9">
        <w:t xml:space="preserve">writing </w:t>
      </w:r>
      <w:r w:rsidR="00BA1A47">
        <w:t xml:space="preserve">whereby </w:t>
      </w:r>
      <w:r w:rsidR="00EB7BB9">
        <w:t xml:space="preserve">I </w:t>
      </w:r>
      <w:r w:rsidR="005C1130">
        <w:t xml:space="preserve">turned my hunches and themes into argued narrative </w:t>
      </w:r>
      <w:r w:rsidR="006350B6">
        <w:t xml:space="preserve">that </w:t>
      </w:r>
      <w:r w:rsidR="00BA1A47">
        <w:t>enabl</w:t>
      </w:r>
      <w:r w:rsidR="006350B6">
        <w:t>ed</w:t>
      </w:r>
      <w:r w:rsidR="00BA1A47">
        <w:t xml:space="preserve"> me to consider</w:t>
      </w:r>
      <w:r w:rsidR="005C1130">
        <w:t xml:space="preserve"> every piece of evidence </w:t>
      </w:r>
      <w:r w:rsidR="00BA1A47">
        <w:t>and add</w:t>
      </w:r>
      <w:r w:rsidR="005C1130">
        <w:t xml:space="preserve"> to the bigger picture. Like Richardson </w:t>
      </w:r>
      <w:r w:rsidR="001956CA">
        <w:t xml:space="preserve">(1994) </w:t>
      </w:r>
      <w:r w:rsidR="005C1130">
        <w:t>before me</w:t>
      </w:r>
      <w:r w:rsidR="001956CA">
        <w:t>,</w:t>
      </w:r>
      <w:r w:rsidR="005C1130">
        <w:t xml:space="preserve"> I found that through the process of writing I reached new understandings that I had not anticipated. This process gave me lengthy texts from which to write my thesis chapters but did not greatly assist me in reining in the data to enable a focus on education. Eventually, I came to understand that th</w:t>
      </w:r>
      <w:r w:rsidR="00273E05">
        <w:t>ere was a reason for this</w:t>
      </w:r>
      <w:r w:rsidR="005C1130">
        <w:t xml:space="preserve">. If I listened to the data rather than trying to bend it to my own ends it was telling me very clearly that </w:t>
      </w:r>
      <w:r w:rsidR="00273E05">
        <w:t xml:space="preserve">the women sought an integrated </w:t>
      </w:r>
      <w:r w:rsidR="005C1130">
        <w:t>lifestyle</w:t>
      </w:r>
      <w:r w:rsidR="007D665E">
        <w:t xml:space="preserve">, </w:t>
      </w:r>
      <w:r w:rsidR="005C1130">
        <w:t xml:space="preserve">that embraced family, work and study </w:t>
      </w:r>
      <w:r w:rsidR="00416FD6">
        <w:t>with</w:t>
      </w:r>
      <w:r w:rsidR="005C1130">
        <w:t xml:space="preserve">in a single framework, </w:t>
      </w:r>
      <w:r w:rsidR="007D665E">
        <w:t>enabling them to avoid cognitive dissonance (</w:t>
      </w:r>
      <w:r w:rsidR="008C1E1A">
        <w:t>Festinger, 1957</w:t>
      </w:r>
      <w:r w:rsidR="007D665E">
        <w:t>). This shared focus ga</w:t>
      </w:r>
      <w:r w:rsidR="00416FD6">
        <w:t>ve</w:t>
      </w:r>
      <w:r w:rsidR="00677649">
        <w:t xml:space="preserve"> them what one student termed “</w:t>
      </w:r>
      <w:r w:rsidR="005C1130">
        <w:t>the best of both wor</w:t>
      </w:r>
      <w:r w:rsidR="00677649">
        <w:t>lds”</w:t>
      </w:r>
      <w:r w:rsidR="005C1130">
        <w:t xml:space="preserve">, </w:t>
      </w:r>
      <w:r w:rsidR="00273E05">
        <w:t xml:space="preserve">a foot in </w:t>
      </w:r>
      <w:r w:rsidR="005C1130">
        <w:t xml:space="preserve">both </w:t>
      </w:r>
      <w:r w:rsidR="00416FD6">
        <w:t xml:space="preserve">the </w:t>
      </w:r>
      <w:r w:rsidR="005C1130">
        <w:t>private and public sphere</w:t>
      </w:r>
      <w:r w:rsidR="00273E05">
        <w:t>s</w:t>
      </w:r>
      <w:r w:rsidR="005C1130">
        <w:t xml:space="preserve"> (</w:t>
      </w:r>
      <w:r w:rsidR="000D6A37">
        <w:t>Landes, 1998</w:t>
      </w:r>
      <w:r w:rsidR="005C1130">
        <w:t xml:space="preserve">). </w:t>
      </w:r>
    </w:p>
    <w:p w14:paraId="0CDD27F7" w14:textId="77777777" w:rsidR="008B36A5" w:rsidRDefault="008B36A5" w:rsidP="005F26BA">
      <w:pPr>
        <w:jc w:val="both"/>
      </w:pPr>
    </w:p>
    <w:p w14:paraId="31056E31" w14:textId="3694FDE6" w:rsidR="00C372BA" w:rsidRDefault="005C1130" w:rsidP="005F26BA">
      <w:pPr>
        <w:jc w:val="both"/>
      </w:pPr>
      <w:r>
        <w:t>My analysis changed direction and I ex</w:t>
      </w:r>
      <w:r w:rsidR="00416FD6">
        <w:t>amin</w:t>
      </w:r>
      <w:r>
        <w:t>ed t</w:t>
      </w:r>
      <w:r w:rsidR="00416FD6">
        <w:t>he data anew</w:t>
      </w:r>
      <w:r>
        <w:t xml:space="preserve">, realising that it supported a </w:t>
      </w:r>
      <w:r w:rsidR="00416FD6">
        <w:t>theoretical</w:t>
      </w:r>
      <w:r>
        <w:t xml:space="preserve"> </w:t>
      </w:r>
      <w:r w:rsidR="00677649">
        <w:t>“</w:t>
      </w:r>
      <w:r w:rsidR="00DF4E3E">
        <w:t>Model of Integrated L</w:t>
      </w:r>
      <w:r w:rsidR="00677649">
        <w:t>ives”</w:t>
      </w:r>
      <w:r w:rsidR="00416FD6">
        <w:t>.</w:t>
      </w:r>
      <w:r>
        <w:t xml:space="preserve"> </w:t>
      </w:r>
      <w:r w:rsidR="00416FD6">
        <w:t>This</w:t>
      </w:r>
      <w:r w:rsidR="00273E05">
        <w:t xml:space="preserve"> shows </w:t>
      </w:r>
      <w:r w:rsidR="00416FD6">
        <w:t xml:space="preserve">diagrammatically </w:t>
      </w:r>
      <w:r w:rsidR="00273E05">
        <w:t>how</w:t>
      </w:r>
      <w:r>
        <w:t xml:space="preserve"> the student </w:t>
      </w:r>
      <w:r w:rsidR="00416FD6">
        <w:t xml:space="preserve">is </w:t>
      </w:r>
      <w:r>
        <w:t>reciprocally</w:t>
      </w:r>
      <w:r w:rsidR="00273E05">
        <w:t xml:space="preserve"> </w:t>
      </w:r>
      <w:r w:rsidR="00416FD6">
        <w:t xml:space="preserve">linked </w:t>
      </w:r>
      <w:r>
        <w:t xml:space="preserve">to elements of family, work and study, </w:t>
      </w:r>
      <w:r w:rsidR="00DF4E3E">
        <w:t xml:space="preserve">and </w:t>
      </w:r>
      <w:r>
        <w:t xml:space="preserve">where the community </w:t>
      </w:r>
      <w:r w:rsidR="00DF4E3E">
        <w:t xml:space="preserve">aspect </w:t>
      </w:r>
      <w:r>
        <w:t xml:space="preserve">of the </w:t>
      </w:r>
      <w:r w:rsidR="00DF4E3E">
        <w:t>childcare work further strengthen</w:t>
      </w:r>
      <w:r w:rsidR="00273E05">
        <w:t>s</w:t>
      </w:r>
      <w:r w:rsidR="00DF4E3E">
        <w:t xml:space="preserve"> these </w:t>
      </w:r>
      <w:r w:rsidR="00416FD6">
        <w:t>connection</w:t>
      </w:r>
      <w:r w:rsidR="00DF4E3E">
        <w:t xml:space="preserve">s. I have discussed this model in detail elsewhere (Wright, 2011) </w:t>
      </w:r>
      <w:r w:rsidR="008C1E1A">
        <w:t>and</w:t>
      </w:r>
      <w:r w:rsidR="00DF4E3E">
        <w:t xml:space="preserve"> here </w:t>
      </w:r>
      <w:r w:rsidR="008C1E1A">
        <w:t xml:space="preserve">show </w:t>
      </w:r>
      <w:r w:rsidR="00DF4E3E">
        <w:t xml:space="preserve">the community as an encircling power protecting the </w:t>
      </w:r>
      <w:r w:rsidR="00416FD6">
        <w:t>relational associations</w:t>
      </w:r>
      <w:r w:rsidR="00DF4E3E">
        <w:t xml:space="preserve"> (Figure 1).</w:t>
      </w:r>
    </w:p>
    <w:p w14:paraId="00912365" w14:textId="77777777" w:rsidR="00C372BA" w:rsidRDefault="00C372BA" w:rsidP="005F26BA">
      <w:pPr>
        <w:jc w:val="both"/>
      </w:pPr>
    </w:p>
    <w:p w14:paraId="1FCAC697" w14:textId="77777777" w:rsidR="008B36A5" w:rsidRDefault="007D325A" w:rsidP="007D325A">
      <w:pPr>
        <w:jc w:val="both"/>
      </w:pPr>
      <w:r>
        <w:t xml:space="preserve">Over time it has become clear that this model has some relevance to women in general (or so I have been told at conferences) but it was the positioning of the childcare settings – mainly committee-run pre-schools – in the local community that enabled me to see the reciprocal links so clearly. </w:t>
      </w:r>
    </w:p>
    <w:p w14:paraId="1C5FAACF" w14:textId="77777777" w:rsidR="008B36A5" w:rsidRDefault="008B36A5" w:rsidP="007D325A">
      <w:pPr>
        <w:jc w:val="both"/>
      </w:pPr>
    </w:p>
    <w:p w14:paraId="55C6CFB0" w14:textId="1B52E62E" w:rsidR="007D325A" w:rsidRDefault="007D325A" w:rsidP="005F26BA">
      <w:pPr>
        <w:jc w:val="both"/>
      </w:pPr>
      <w:r>
        <w:t>In recent years these pre-school groups have been threatened by new policy initiatives in the early years sector so before proceeding further I need to provide an overview of the English context.</w:t>
      </w:r>
    </w:p>
    <w:p w14:paraId="4B592163" w14:textId="2B573326" w:rsidR="005A77C8" w:rsidRDefault="005A77C8" w:rsidP="008B36A5">
      <w:pPr>
        <w:jc w:val="center"/>
      </w:pPr>
      <w:r>
        <w:rPr>
          <w:b/>
          <w:noProof/>
          <w:lang w:val="en-US"/>
        </w:rPr>
        <w:lastRenderedPageBreak/>
        <w:drawing>
          <wp:inline distT="0" distB="0" distL="0" distR="0" wp14:anchorId="3562C18F" wp14:editId="59479CCC">
            <wp:extent cx="4368800" cy="4907280"/>
            <wp:effectExtent l="0" t="0" r="0" b="0"/>
            <wp:docPr id="1" name="Picture 1" descr="dia plus circle v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 plus circle vii"/>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68800" cy="4907280"/>
                    </a:xfrm>
                    <a:prstGeom prst="rect">
                      <a:avLst/>
                    </a:prstGeom>
                    <a:noFill/>
                    <a:ln>
                      <a:noFill/>
                    </a:ln>
                  </pic:spPr>
                </pic:pic>
              </a:graphicData>
            </a:graphic>
          </wp:inline>
        </w:drawing>
      </w:r>
    </w:p>
    <w:p w14:paraId="4D49EF24" w14:textId="77777777" w:rsidR="008B36A5" w:rsidRPr="004B6B54" w:rsidRDefault="00C372BA" w:rsidP="005F26BA">
      <w:pPr>
        <w:jc w:val="both"/>
        <w:rPr>
          <w:b/>
        </w:rPr>
      </w:pPr>
      <w:r w:rsidRPr="004B6B54">
        <w:rPr>
          <w:b/>
        </w:rPr>
        <w:t>Figure 1</w:t>
      </w:r>
      <w:r w:rsidR="005A77C8" w:rsidRPr="004B6B54">
        <w:rPr>
          <w:b/>
        </w:rPr>
        <w:t xml:space="preserve"> </w:t>
      </w:r>
    </w:p>
    <w:p w14:paraId="101C3072" w14:textId="3D899EC4" w:rsidR="00C372BA" w:rsidRDefault="005A77C8" w:rsidP="005F26BA">
      <w:pPr>
        <w:jc w:val="both"/>
      </w:pPr>
      <w:r w:rsidRPr="008B36A5">
        <w:t>The Model of Integrated Lives showing how the students are vital to their local communities</w:t>
      </w:r>
    </w:p>
    <w:p w14:paraId="498927AB" w14:textId="77777777" w:rsidR="0021175F" w:rsidRDefault="0021175F" w:rsidP="005F26BA">
      <w:pPr>
        <w:jc w:val="both"/>
      </w:pPr>
    </w:p>
    <w:p w14:paraId="27B17D03" w14:textId="77777777" w:rsidR="000B4AC7" w:rsidRDefault="000B4AC7" w:rsidP="005F26BA">
      <w:pPr>
        <w:jc w:val="both"/>
      </w:pPr>
    </w:p>
    <w:p w14:paraId="5F15A506" w14:textId="6DB57BD3" w:rsidR="000B4AC7" w:rsidRDefault="00C372BA" w:rsidP="00DB1172">
      <w:pPr>
        <w:pStyle w:val="Heading1"/>
      </w:pPr>
      <w:r>
        <w:t>3</w:t>
      </w:r>
      <w:r w:rsidR="004B6B54">
        <w:t>.</w:t>
      </w:r>
      <w:r w:rsidR="0021175F" w:rsidRPr="0021175F">
        <w:t xml:space="preserve"> The English </w:t>
      </w:r>
      <w:r w:rsidR="000B4AC7">
        <w:t>context of Early Years provision</w:t>
      </w:r>
    </w:p>
    <w:p w14:paraId="16FD532C" w14:textId="77777777" w:rsidR="000B4AC7" w:rsidRDefault="000B4AC7" w:rsidP="005F26BA">
      <w:pPr>
        <w:jc w:val="both"/>
        <w:rPr>
          <w:b/>
        </w:rPr>
      </w:pPr>
    </w:p>
    <w:p w14:paraId="4789E848" w14:textId="4517127C" w:rsidR="00273E05" w:rsidRPr="00273E05" w:rsidRDefault="00273E05" w:rsidP="005F26BA">
      <w:pPr>
        <w:jc w:val="both"/>
      </w:pPr>
      <w:r w:rsidRPr="00273E05">
        <w:t>In England the compulsory school age was arbitrarily set at 5 by Disraeli’s liberal government</w:t>
      </w:r>
      <w:r>
        <w:t xml:space="preserve"> in 1870 and provision for children below that age remained largely voluntary for</w:t>
      </w:r>
    </w:p>
    <w:p w14:paraId="60758833" w14:textId="2CB48656" w:rsidR="00B104AB" w:rsidRDefault="000F6C5D" w:rsidP="005F26BA">
      <w:pPr>
        <w:jc w:val="both"/>
      </w:pPr>
      <w:r>
        <w:t>m</w:t>
      </w:r>
      <w:r w:rsidR="00273E05">
        <w:t>ore than a century. Fortunat</w:t>
      </w:r>
      <w:r>
        <w:t>e children were able to attend</w:t>
      </w:r>
      <w:r w:rsidR="00273E05">
        <w:t xml:space="preserve"> the pioneering nurseries</w:t>
      </w:r>
      <w:r>
        <w:t xml:space="preserve"> established by innovators – the followers of well-known European figures, Froebel, Steiner, Montessori, and</w:t>
      </w:r>
      <w:r w:rsidR="00BA1A47">
        <w:t xml:space="preserve"> British pioneer,</w:t>
      </w:r>
      <w:r>
        <w:t xml:space="preserve"> Margaret McMillan. Some children attended Dame schools, where unqualified </w:t>
      </w:r>
      <w:r w:rsidR="00416FD6">
        <w:t>women</w:t>
      </w:r>
      <w:r>
        <w:t xml:space="preserve"> </w:t>
      </w:r>
      <w:r w:rsidR="00677649">
        <w:t>“</w:t>
      </w:r>
      <w:r>
        <w:t>minded</w:t>
      </w:r>
      <w:r w:rsidR="00677649">
        <w:t>”</w:t>
      </w:r>
      <w:r w:rsidR="00DE0DCC">
        <w:t xml:space="preserve"> multiple children, often in </w:t>
      </w:r>
      <w:r>
        <w:t xml:space="preserve">premises on or close to a private home. A very few children were accommodated in the </w:t>
      </w:r>
      <w:r w:rsidR="00416FD6">
        <w:t>state</w:t>
      </w:r>
      <w:r>
        <w:t xml:space="preserve"> nursery schools </w:t>
      </w:r>
      <w:r w:rsidR="00416FD6">
        <w:t xml:space="preserve">that were </w:t>
      </w:r>
      <w:r>
        <w:t>set up during World War II to enabl</w:t>
      </w:r>
      <w:r w:rsidR="00416FD6">
        <w:t>e women to do war work or train</w:t>
      </w:r>
      <w:r>
        <w:t xml:space="preserve"> as teachers to fill roles vacated by serving men (Wright, 2015). Even in the 1950s the majority of mothers and toddlers were isolated in their homes and this was viewed as normal in a society where Parsonian views of domesticity prevailed: in a functionalist society men </w:t>
      </w:r>
      <w:r w:rsidR="00416FD6">
        <w:t>went out to work and mothers did</w:t>
      </w:r>
      <w:r>
        <w:t xml:space="preserve"> the household tasks and care</w:t>
      </w:r>
      <w:r w:rsidR="00416FD6">
        <w:t>d</w:t>
      </w:r>
      <w:r w:rsidR="00DE0DCC">
        <w:t xml:space="preserve"> for children (</w:t>
      </w:r>
      <w:r w:rsidR="00781B99">
        <w:rPr>
          <w:color w:val="000000"/>
          <w:lang w:val="en-US"/>
        </w:rPr>
        <w:t xml:space="preserve">Parsons </w:t>
      </w:r>
      <w:r w:rsidR="004908A3">
        <w:rPr>
          <w:color w:val="000000"/>
          <w:lang w:val="en-US"/>
        </w:rPr>
        <w:t>&amp;</w:t>
      </w:r>
      <w:r w:rsidR="00781B99">
        <w:rPr>
          <w:color w:val="000000"/>
          <w:lang w:val="en-US"/>
        </w:rPr>
        <w:t xml:space="preserve"> Bales, 1956</w:t>
      </w:r>
      <w:r w:rsidR="00DE0DCC">
        <w:t>).</w:t>
      </w:r>
    </w:p>
    <w:p w14:paraId="1B8FDE97" w14:textId="77777777" w:rsidR="000F6C5D" w:rsidRDefault="000F6C5D" w:rsidP="005F26BA">
      <w:pPr>
        <w:jc w:val="both"/>
      </w:pPr>
    </w:p>
    <w:p w14:paraId="347B97BD" w14:textId="249269CF" w:rsidR="007215A2" w:rsidRDefault="000F6C5D" w:rsidP="005F26BA">
      <w:pPr>
        <w:jc w:val="both"/>
      </w:pPr>
      <w:r>
        <w:t xml:space="preserve">This </w:t>
      </w:r>
      <w:r w:rsidR="00416FD6">
        <w:t xml:space="preserve">social isolation </w:t>
      </w:r>
      <w:r w:rsidR="00AA279D">
        <w:t>was public</w:t>
      </w:r>
      <w:r>
        <w:t>ly challenged by a</w:t>
      </w:r>
      <w:r w:rsidR="00577BB9">
        <w:t xml:space="preserve"> newcomer to Britain</w:t>
      </w:r>
      <w:r>
        <w:t>, Bell</w:t>
      </w:r>
      <w:r w:rsidR="00577BB9">
        <w:t>e Tutaev. W</w:t>
      </w:r>
      <w:r>
        <w:t xml:space="preserve">ith friends </w:t>
      </w:r>
      <w:r w:rsidR="00577BB9">
        <w:t xml:space="preserve">she </w:t>
      </w:r>
      <w:r>
        <w:t>set up the first</w:t>
      </w:r>
      <w:r w:rsidR="00577BB9">
        <w:t xml:space="preserve"> community playgroup where</w:t>
      </w:r>
      <w:r>
        <w:t xml:space="preserve">by groups of mothers met together in a local hall </w:t>
      </w:r>
      <w:r w:rsidR="00416FD6">
        <w:t xml:space="preserve">and </w:t>
      </w:r>
      <w:r>
        <w:t>t</w:t>
      </w:r>
      <w:r w:rsidR="00416FD6">
        <w:t xml:space="preserve">ook </w:t>
      </w:r>
      <w:r>
        <w:t xml:space="preserve">it in turns to care for their collective children while others enjoyed some </w:t>
      </w:r>
      <w:r>
        <w:lastRenderedPageBreak/>
        <w:t>child-free space</w:t>
      </w:r>
      <w:r w:rsidR="00577BB9">
        <w:t xml:space="preserve"> (</w:t>
      </w:r>
      <w:r w:rsidR="008C1E1A">
        <w:t>Playgroup Movement, 2014</w:t>
      </w:r>
      <w:r w:rsidR="00577BB9">
        <w:t>)</w:t>
      </w:r>
      <w:r>
        <w:t>.</w:t>
      </w:r>
      <w:r w:rsidR="00642D9A">
        <w:t xml:space="preserve"> </w:t>
      </w:r>
      <w:r w:rsidR="00416FD6">
        <w:t>Tutaev</w:t>
      </w:r>
      <w:r w:rsidR="00642D9A">
        <w:t xml:space="preserve"> encourage</w:t>
      </w:r>
      <w:r w:rsidR="00416FD6">
        <w:t>d</w:t>
      </w:r>
      <w:r w:rsidR="00642D9A">
        <w:t xml:space="preserve"> other mothers to set up </w:t>
      </w:r>
      <w:r w:rsidR="00416FD6">
        <w:t xml:space="preserve">similar </w:t>
      </w:r>
      <w:r w:rsidR="00642D9A">
        <w:t>groups and f</w:t>
      </w:r>
      <w:r w:rsidR="00577BB9">
        <w:t>rom this first endeavour in 1961 a flourishing association of playgroups developed, supporting each other through the Pre-school Playgroups Association</w:t>
      </w:r>
      <w:r w:rsidR="00416FD6">
        <w:t>. L</w:t>
      </w:r>
      <w:r w:rsidR="00577BB9">
        <w:t>ater</w:t>
      </w:r>
      <w:r w:rsidR="00FF0D6C">
        <w:t xml:space="preserve"> (1995</w:t>
      </w:r>
      <w:r w:rsidR="007215A2">
        <w:t>)</w:t>
      </w:r>
      <w:r w:rsidR="00577BB9">
        <w:t xml:space="preserve">, bowing to political pressures for reform, </w:t>
      </w:r>
      <w:r w:rsidR="00416FD6">
        <w:t xml:space="preserve">this </w:t>
      </w:r>
      <w:r w:rsidR="00577BB9">
        <w:t>became the Pre-school Learning Alliance</w:t>
      </w:r>
      <w:r w:rsidR="00FF0D6C">
        <w:t xml:space="preserve"> (2013)</w:t>
      </w:r>
      <w:r w:rsidR="00577BB9">
        <w:t xml:space="preserve">. Groups continued to flourish </w:t>
      </w:r>
      <w:r w:rsidR="00BA1A47">
        <w:t>and largely filled the role of Early Y</w:t>
      </w:r>
      <w:r w:rsidR="00577BB9">
        <w:t xml:space="preserve">ears provision despite </w:t>
      </w:r>
      <w:r w:rsidR="00642D9A">
        <w:t xml:space="preserve">the </w:t>
      </w:r>
      <w:r w:rsidR="00577BB9">
        <w:t>ad</w:t>
      </w:r>
      <w:r w:rsidR="00642D9A">
        <w:t xml:space="preserve">vocacy </w:t>
      </w:r>
      <w:r w:rsidR="00416FD6">
        <w:t xml:space="preserve">for state nurseries </w:t>
      </w:r>
      <w:r w:rsidR="00642D9A">
        <w:t>of the Plowden Report (</w:t>
      </w:r>
      <w:r w:rsidR="00577BB9">
        <w:t>CACE, 1967)</w:t>
      </w:r>
      <w:r w:rsidR="00642D9A">
        <w:t xml:space="preserve">, </w:t>
      </w:r>
      <w:r w:rsidR="00663A98">
        <w:t xml:space="preserve">and </w:t>
      </w:r>
      <w:r w:rsidR="00642D9A">
        <w:t xml:space="preserve">Margaret Thatcher’s White Paper </w:t>
      </w:r>
      <w:r w:rsidR="00642D9A" w:rsidRPr="00642D9A">
        <w:rPr>
          <w:i/>
        </w:rPr>
        <w:t>A framework for Expansion</w:t>
      </w:r>
      <w:r w:rsidR="00642D9A">
        <w:t xml:space="preserve"> (</w:t>
      </w:r>
      <w:r w:rsidR="00A126D8">
        <w:t xml:space="preserve">Thatcher, </w:t>
      </w:r>
      <w:r w:rsidR="00642D9A">
        <w:t>1972)</w:t>
      </w:r>
      <w:r w:rsidR="00C372BA">
        <w:t>.</w:t>
      </w:r>
    </w:p>
    <w:p w14:paraId="3263A833" w14:textId="77777777" w:rsidR="007215A2" w:rsidRDefault="007215A2" w:rsidP="005F26BA">
      <w:pPr>
        <w:jc w:val="both"/>
      </w:pPr>
    </w:p>
    <w:p w14:paraId="1B85D72A" w14:textId="1DCFF804" w:rsidR="00A15DA7" w:rsidRDefault="00C372BA" w:rsidP="005F26BA">
      <w:pPr>
        <w:jc w:val="both"/>
      </w:pPr>
      <w:r>
        <w:t>Following the Education R</w:t>
      </w:r>
      <w:r w:rsidR="00D6106D">
        <w:t xml:space="preserve">eform Act </w:t>
      </w:r>
      <w:r w:rsidR="00663A98">
        <w:t xml:space="preserve">(1988) </w:t>
      </w:r>
      <w:r>
        <w:t>that established a National Curriculum for compulsory education</w:t>
      </w:r>
      <w:r w:rsidR="00D6106D">
        <w:t xml:space="preserve"> (Taylor, 1999)</w:t>
      </w:r>
      <w:r>
        <w:t xml:space="preserve">, </w:t>
      </w:r>
      <w:r w:rsidR="00DE0DCC">
        <w:t>attention turned again to the Early Y</w:t>
      </w:r>
      <w:r w:rsidR="00663A98">
        <w:t xml:space="preserve">ears </w:t>
      </w:r>
      <w:r>
        <w:t>sector. A</w:t>
      </w:r>
      <w:r w:rsidR="00663A98">
        <w:t xml:space="preserve"> series of influential reports (</w:t>
      </w:r>
      <w:r w:rsidR="00067ED0">
        <w:t>DES, 1990,</w:t>
      </w:r>
      <w:r w:rsidR="00067ED0" w:rsidRPr="00067ED0">
        <w:t xml:space="preserve"> </w:t>
      </w:r>
      <w:r w:rsidR="00067ED0" w:rsidRPr="00067ED0">
        <w:rPr>
          <w:i/>
        </w:rPr>
        <w:t>Rumbold</w:t>
      </w:r>
      <w:r w:rsidR="00067ED0">
        <w:t>;</w:t>
      </w:r>
      <w:r w:rsidR="00663A98">
        <w:t xml:space="preserve"> </w:t>
      </w:r>
      <w:r w:rsidR="00067ED0" w:rsidRPr="00162E19">
        <w:rPr>
          <w:lang w:val="en-US"/>
        </w:rPr>
        <w:t>Nationa</w:t>
      </w:r>
      <w:r w:rsidR="00067ED0">
        <w:rPr>
          <w:lang w:val="en-US"/>
        </w:rPr>
        <w:t>l Commission on Education, 1993,</w:t>
      </w:r>
      <w:r w:rsidR="00067ED0" w:rsidRPr="00162E19">
        <w:rPr>
          <w:i/>
          <w:lang w:val="en-US"/>
        </w:rPr>
        <w:t xml:space="preserve"> Learning to Succeed</w:t>
      </w:r>
      <w:r w:rsidR="00067ED0">
        <w:rPr>
          <w:i/>
          <w:lang w:val="en-US"/>
        </w:rPr>
        <w:t>;</w:t>
      </w:r>
      <w:r w:rsidR="00067ED0">
        <w:t xml:space="preserve"> Ball, 1994, </w:t>
      </w:r>
      <w:r w:rsidR="00067ED0" w:rsidRPr="00067ED0">
        <w:rPr>
          <w:i/>
        </w:rPr>
        <w:t>Start Right</w:t>
      </w:r>
      <w:r w:rsidR="00067ED0">
        <w:t xml:space="preserve">; </w:t>
      </w:r>
      <w:r w:rsidR="00067ED0">
        <w:rPr>
          <w:lang w:val="en-US"/>
        </w:rPr>
        <w:t>Audit Commission, 1996a,b</w:t>
      </w:r>
      <w:r w:rsidR="00663A98">
        <w:t xml:space="preserve">) led </w:t>
      </w:r>
      <w:r>
        <w:t xml:space="preserve">the Conservative government </w:t>
      </w:r>
      <w:r w:rsidR="00663A98">
        <w:t xml:space="preserve">to </w:t>
      </w:r>
      <w:r>
        <w:t xml:space="preserve">introduce </w:t>
      </w:r>
      <w:r w:rsidR="00663A98">
        <w:t xml:space="preserve">a new curriculum initiative </w:t>
      </w:r>
      <w:r>
        <w:t>for Early Years in</w:t>
      </w:r>
      <w:r w:rsidR="00663A98">
        <w:t xml:space="preserve"> 1996 </w:t>
      </w:r>
      <w:r>
        <w:t>and this</w:t>
      </w:r>
      <w:r w:rsidR="00663A98">
        <w:t xml:space="preserve"> was taken up and modified by Tony Blair’s New Labo</w:t>
      </w:r>
      <w:r>
        <w:t>ur government in 1997. In a fre</w:t>
      </w:r>
      <w:r w:rsidR="00663A98">
        <w:t xml:space="preserve">netic effort to revolutionise the sector (the then Minister of State for </w:t>
      </w:r>
      <w:r w:rsidR="00972409">
        <w:t>Children</w:t>
      </w:r>
      <w:r w:rsidR="00663A98">
        <w:t xml:space="preserve">, </w:t>
      </w:r>
      <w:r w:rsidR="00722A91">
        <w:t>Margaret Hodge</w:t>
      </w:r>
      <w:r w:rsidR="007215A2">
        <w:t xml:space="preserve"> </w:t>
      </w:r>
      <w:r w:rsidR="00677649">
        <w:t>talks of a “silent revolution”</w:t>
      </w:r>
      <w:r w:rsidR="00663A98">
        <w:t xml:space="preserve">) </w:t>
      </w:r>
      <w:r w:rsidR="00BA1A47">
        <w:t>Early Years provision</w:t>
      </w:r>
      <w:r w:rsidR="00663A98">
        <w:t xml:space="preserve"> was brought, in stages, firmly into the education fold</w:t>
      </w:r>
      <w:r w:rsidR="00972409">
        <w:t>.</w:t>
      </w:r>
      <w:r w:rsidR="00663A98">
        <w:t xml:space="preserve"> </w:t>
      </w:r>
      <w:r w:rsidR="00972409">
        <w:t>A new</w:t>
      </w:r>
      <w:r w:rsidR="00663A98">
        <w:t xml:space="preserve"> curriculum</w:t>
      </w:r>
      <w:r w:rsidR="00D6106D">
        <w:t xml:space="preserve"> </w:t>
      </w:r>
      <w:r w:rsidR="00663A98">
        <w:t xml:space="preserve">and inspections </w:t>
      </w:r>
      <w:r w:rsidR="00972409">
        <w:t xml:space="preserve">were effectively made </w:t>
      </w:r>
      <w:r w:rsidR="00663A98">
        <w:t>compulsory</w:t>
      </w:r>
      <w:r w:rsidR="00972409">
        <w:t xml:space="preserve"> in 2000 (in reality in 2002). T</w:t>
      </w:r>
      <w:r w:rsidR="00663A98">
        <w:t>o survive</w:t>
      </w:r>
      <w:r>
        <w:t xml:space="preserve"> financially</w:t>
      </w:r>
      <w:r w:rsidR="00972409">
        <w:t>,</w:t>
      </w:r>
      <w:r w:rsidR="00663A98">
        <w:t xml:space="preserve"> </w:t>
      </w:r>
      <w:r w:rsidR="00972409">
        <w:t xml:space="preserve">settings had to conform </w:t>
      </w:r>
      <w:r w:rsidR="00663A98">
        <w:t xml:space="preserve">as children could only receive funding in </w:t>
      </w:r>
      <w:r w:rsidR="00670DC4">
        <w:t>those</w:t>
      </w:r>
      <w:r w:rsidR="00663A98">
        <w:t xml:space="preserve"> that </w:t>
      </w:r>
      <w:r>
        <w:t>met</w:t>
      </w:r>
      <w:r w:rsidR="00663A98">
        <w:t xml:space="preserve"> government </w:t>
      </w:r>
      <w:r>
        <w:t>expectations. Alongside the reforms</w:t>
      </w:r>
      <w:r w:rsidR="00663A98">
        <w:t>, initiatives to increase provis</w:t>
      </w:r>
      <w:r w:rsidR="007215A2">
        <w:t>i</w:t>
      </w:r>
      <w:r w:rsidR="00663A98">
        <w:t>on encouraged the private sector to invest he</w:t>
      </w:r>
      <w:r w:rsidR="007215A2">
        <w:t>avily in nurseries</w:t>
      </w:r>
      <w:r>
        <w:t>.</w:t>
      </w:r>
      <w:r w:rsidR="007215A2">
        <w:t xml:space="preserve"> </w:t>
      </w:r>
      <w:r>
        <w:t xml:space="preserve">Commercial chains set up new premises that offered all-day care, </w:t>
      </w:r>
      <w:r w:rsidR="007215A2">
        <w:t>leading to a</w:t>
      </w:r>
      <w:r w:rsidR="00663A98">
        <w:t xml:space="preserve"> situatio</w:t>
      </w:r>
      <w:r w:rsidR="00972409">
        <w:t>n where</w:t>
      </w:r>
      <w:r w:rsidR="00663A98">
        <w:t xml:space="preserve"> community provision was often </w:t>
      </w:r>
      <w:r w:rsidR="004B6B54">
        <w:t>sidelined</w:t>
      </w:r>
      <w:r>
        <w:t>.</w:t>
      </w:r>
    </w:p>
    <w:p w14:paraId="1A8AF0D4" w14:textId="77777777" w:rsidR="00A15DA7" w:rsidRDefault="00A15DA7" w:rsidP="005F26BA">
      <w:pPr>
        <w:jc w:val="both"/>
      </w:pPr>
    </w:p>
    <w:p w14:paraId="40E5434E" w14:textId="20D71939" w:rsidR="0044308A" w:rsidRDefault="00663A98" w:rsidP="005F26BA">
      <w:pPr>
        <w:jc w:val="both"/>
      </w:pPr>
      <w:r>
        <w:t xml:space="preserve">For a time </w:t>
      </w:r>
      <w:r w:rsidR="00C372BA">
        <w:t xml:space="preserve">the </w:t>
      </w:r>
      <w:r>
        <w:t>Sure Start pro</w:t>
      </w:r>
      <w:r w:rsidR="00C372BA">
        <w:t>gramme</w:t>
      </w:r>
      <w:r>
        <w:t xml:space="preserve"> guaranteed subsidised places in a range of newly established Children’s Centres but </w:t>
      </w:r>
      <w:r w:rsidR="003E2987">
        <w:t xml:space="preserve">the continual reduction in funding, 28% from 2010 </w:t>
      </w:r>
      <w:r w:rsidR="007F4F83">
        <w:t>t</w:t>
      </w:r>
      <w:r w:rsidR="003E2987">
        <w:t>o 2013 (Waldegrave, 2013)</w:t>
      </w:r>
      <w:r>
        <w:t xml:space="preserve"> left </w:t>
      </w:r>
      <w:r w:rsidR="007F4F83">
        <w:t>many struggling</w:t>
      </w:r>
      <w:r>
        <w:t xml:space="preserve"> to survive, often doing so only when supported b</w:t>
      </w:r>
      <w:r w:rsidR="00C372BA">
        <w:t>y</w:t>
      </w:r>
      <w:r w:rsidR="007F4F83">
        <w:t xml:space="preserve"> other charitable organisations.</w:t>
      </w:r>
      <w:r>
        <w:t xml:space="preserve"> </w:t>
      </w:r>
      <w:r w:rsidR="007F4F83">
        <w:t xml:space="preserve">This </w:t>
      </w:r>
      <w:r>
        <w:t xml:space="preserve">situation </w:t>
      </w:r>
      <w:r w:rsidR="007F4F83">
        <w:t>can be</w:t>
      </w:r>
      <w:r>
        <w:t xml:space="preserve"> problematic</w:t>
      </w:r>
      <w:r w:rsidR="007215A2">
        <w:t xml:space="preserve"> for some new</w:t>
      </w:r>
      <w:r>
        <w:t xml:space="preserve">comers to Britain </w:t>
      </w:r>
      <w:r w:rsidR="007F4F83">
        <w:t xml:space="preserve">who need </w:t>
      </w:r>
      <w:r w:rsidR="00C372BA">
        <w:t>Children’s Centre</w:t>
      </w:r>
      <w:r w:rsidR="007F4F83">
        <w:t xml:space="preserve"> services but </w:t>
      </w:r>
      <w:r>
        <w:t>who still associate our charities with enforced institutionalisation of needy children.</w:t>
      </w:r>
      <w:r w:rsidR="0006622F">
        <w:t xml:space="preserve"> The erosion of local pre-schools is problematic for</w:t>
      </w:r>
      <w:r w:rsidR="00067ED0">
        <w:t xml:space="preserve"> </w:t>
      </w:r>
      <w:r w:rsidR="0006622F">
        <w:t>communities as informal self-help initiatives that grew up to serve the local people are replaced by profit-seeking facilities staffed by personnel who may, or may not live nearby.</w:t>
      </w:r>
    </w:p>
    <w:p w14:paraId="5069D3C7" w14:textId="77777777" w:rsidR="000B4AC7" w:rsidRDefault="000B4AC7" w:rsidP="005F26BA">
      <w:pPr>
        <w:jc w:val="both"/>
      </w:pPr>
    </w:p>
    <w:p w14:paraId="06EE5648" w14:textId="77777777" w:rsidR="000B4AC7" w:rsidRDefault="000B4AC7" w:rsidP="005F26BA">
      <w:pPr>
        <w:jc w:val="both"/>
      </w:pPr>
    </w:p>
    <w:p w14:paraId="7C1E4A13" w14:textId="665C3BA5" w:rsidR="006142FE" w:rsidRPr="00F4375C" w:rsidRDefault="006142FE" w:rsidP="00DB1172">
      <w:pPr>
        <w:pStyle w:val="Heading1"/>
      </w:pPr>
      <w:r w:rsidRPr="00F4375C">
        <w:t>4</w:t>
      </w:r>
      <w:r w:rsidR="004B6B54">
        <w:t>.</w:t>
      </w:r>
      <w:r w:rsidRPr="00F4375C">
        <w:t xml:space="preserve"> Community benefits of childcare training</w:t>
      </w:r>
    </w:p>
    <w:p w14:paraId="0046EF2F" w14:textId="77777777" w:rsidR="006142FE" w:rsidRDefault="006142FE" w:rsidP="005F26BA">
      <w:pPr>
        <w:jc w:val="both"/>
      </w:pPr>
    </w:p>
    <w:p w14:paraId="3C529A8B" w14:textId="2AEFC426" w:rsidR="006142FE" w:rsidRDefault="00067ED0" w:rsidP="005F26BA">
      <w:pPr>
        <w:jc w:val="both"/>
      </w:pPr>
      <w:r>
        <w:t xml:space="preserve">A closer examination of the benefits that a trained pre-school workforce brought to local communities draws attention to what is potentially being lost as this transition takes place. </w:t>
      </w:r>
      <w:r w:rsidR="006142FE">
        <w:t>The research revealed significant benefits to individuals in terms of confidence, social contacts, accreditation, upskilling, and employability</w:t>
      </w:r>
      <w:r w:rsidR="007D619A">
        <w:t>. Like Ingrid, who c</w:t>
      </w:r>
      <w:r w:rsidR="00677649">
        <w:t>laims the course helped to “</w:t>
      </w:r>
      <w:r w:rsidR="007D619A">
        <w:t>bring myself into perspe</w:t>
      </w:r>
      <w:r w:rsidR="00677649">
        <w:t>ctive and become another person”</w:t>
      </w:r>
      <w:r w:rsidR="007D619A">
        <w:t xml:space="preserve">, many students described aspects of self-development, </w:t>
      </w:r>
      <w:r w:rsidR="006142FE">
        <w:t xml:space="preserve">but these are set aside as they are not the main focus of this paper. </w:t>
      </w:r>
      <w:r w:rsidR="007D619A">
        <w:t xml:space="preserve">Nor </w:t>
      </w:r>
      <w:r w:rsidR="006142FE">
        <w:t>will this paper explore the evidence for deeper learning when claimed by individual students</w:t>
      </w:r>
      <w:r w:rsidR="007D619A">
        <w:t xml:space="preserve">, </w:t>
      </w:r>
      <w:r w:rsidR="009E2325">
        <w:t xml:space="preserve">beyond </w:t>
      </w:r>
      <w:r w:rsidR="00BC155B">
        <w:t xml:space="preserve">reporting </w:t>
      </w:r>
      <w:r w:rsidR="009E2325">
        <w:t xml:space="preserve">Frieda’s </w:t>
      </w:r>
      <w:r w:rsidR="00BC155B">
        <w:t>statement</w:t>
      </w:r>
      <w:r w:rsidR="00677649">
        <w:t xml:space="preserve"> that what matters is “</w:t>
      </w:r>
      <w:r w:rsidR="009E2325">
        <w:t xml:space="preserve">what has really gone into making your brain </w:t>
      </w:r>
      <w:r w:rsidR="009E2325" w:rsidRPr="009E2325">
        <w:rPr>
          <w:i/>
        </w:rPr>
        <w:t xml:space="preserve">think </w:t>
      </w:r>
      <w:r w:rsidR="009E2325">
        <w:t xml:space="preserve">about how you feel about things rather </w:t>
      </w:r>
      <w:r w:rsidR="00677649">
        <w:t>than just pleasing the examiner”</w:t>
      </w:r>
      <w:r w:rsidR="006142FE">
        <w:t>.</w:t>
      </w:r>
      <w:r w:rsidR="007D619A">
        <w:t xml:space="preserve"> </w:t>
      </w:r>
      <w:r w:rsidR="006142FE">
        <w:t>It would be inaccurate</w:t>
      </w:r>
      <w:r w:rsidR="00DE0DCC">
        <w:t>,</w:t>
      </w:r>
      <w:r w:rsidR="006142FE">
        <w:t xml:space="preserve"> too</w:t>
      </w:r>
      <w:r w:rsidR="00DE0DCC">
        <w:t>,</w:t>
      </w:r>
      <w:r w:rsidR="006142FE">
        <w:t xml:space="preserve"> to </w:t>
      </w:r>
      <w:r w:rsidR="00BC155B">
        <w:t xml:space="preserve">explore community benefits by </w:t>
      </w:r>
      <w:r w:rsidR="006142FE">
        <w:t xml:space="preserve">merely examining the reciprocal connections between the individual and education or education and the workplace as analysis shows that </w:t>
      </w:r>
      <w:r w:rsidR="00BC155B">
        <w:t xml:space="preserve">when </w:t>
      </w:r>
      <w:r w:rsidR="006142FE">
        <w:t>community benefits</w:t>
      </w:r>
      <w:r w:rsidR="00BC155B">
        <w:t xml:space="preserve"> are</w:t>
      </w:r>
      <w:r w:rsidR="006142FE">
        <w:t xml:space="preserve"> </w:t>
      </w:r>
      <w:r w:rsidR="00AF3960">
        <w:t xml:space="preserve">captured through open dialogue, </w:t>
      </w:r>
      <w:r w:rsidR="00BC155B">
        <w:t xml:space="preserve">they </w:t>
      </w:r>
      <w:r w:rsidR="006142FE">
        <w:t>emanate from a number of areas</w:t>
      </w:r>
      <w:r w:rsidR="00AF3960">
        <w:t xml:space="preserve"> and differ from student to student</w:t>
      </w:r>
      <w:r w:rsidR="006142FE">
        <w:t>.</w:t>
      </w:r>
      <w:r w:rsidR="009E2325">
        <w:t xml:space="preserve"> At times, </w:t>
      </w:r>
      <w:r w:rsidR="009E2325">
        <w:lastRenderedPageBreak/>
        <w:t>however, to</w:t>
      </w:r>
      <w:r w:rsidR="007D619A">
        <w:t xml:space="preserve"> </w:t>
      </w:r>
      <w:r w:rsidR="008E6603">
        <w:t>reveal how factors work</w:t>
      </w:r>
      <w:r w:rsidR="009E2325">
        <w:t xml:space="preserve"> together </w:t>
      </w:r>
      <w:r w:rsidR="007D619A">
        <w:t xml:space="preserve">to </w:t>
      </w:r>
      <w:r w:rsidR="008E6603">
        <w:t xml:space="preserve">create </w:t>
      </w:r>
      <w:r w:rsidR="007D619A">
        <w:t>direct benefits for local communities</w:t>
      </w:r>
      <w:r w:rsidR="009E2325">
        <w:t>, the</w:t>
      </w:r>
      <w:r w:rsidR="009E2325" w:rsidRPr="009E2325">
        <w:t xml:space="preserve"> </w:t>
      </w:r>
      <w:r w:rsidR="009E2325">
        <w:t xml:space="preserve">paper will draw on elements that </w:t>
      </w:r>
      <w:r w:rsidR="008E6603">
        <w:t>present</w:t>
      </w:r>
      <w:r w:rsidR="009E2325">
        <w:t xml:space="preserve"> as individual attributes</w:t>
      </w:r>
      <w:r w:rsidR="007D619A">
        <w:t>.</w:t>
      </w:r>
    </w:p>
    <w:p w14:paraId="6DAF1852" w14:textId="77777777" w:rsidR="00AF3960" w:rsidRDefault="00AF3960" w:rsidP="005F26BA">
      <w:pPr>
        <w:jc w:val="both"/>
      </w:pPr>
    </w:p>
    <w:p w14:paraId="0070CB99" w14:textId="77777777" w:rsidR="000B4AC7" w:rsidRDefault="000B4AC7" w:rsidP="005F26BA">
      <w:pPr>
        <w:jc w:val="both"/>
      </w:pPr>
    </w:p>
    <w:p w14:paraId="4F2B1B4C" w14:textId="6C59C6AC" w:rsidR="006142FE" w:rsidRPr="00DB1172" w:rsidRDefault="008E6603" w:rsidP="00DB1172">
      <w:pPr>
        <w:pStyle w:val="Heading2"/>
        <w:rPr>
          <w:i w:val="0"/>
          <w:iCs/>
        </w:rPr>
      </w:pPr>
      <w:r w:rsidRPr="00DB1172">
        <w:rPr>
          <w:i w:val="0"/>
          <w:iCs/>
        </w:rPr>
        <w:t>4.1 Second chances within education</w:t>
      </w:r>
    </w:p>
    <w:p w14:paraId="515293C8" w14:textId="77777777" w:rsidR="000B4AC7" w:rsidRDefault="000B4AC7" w:rsidP="005F26BA">
      <w:pPr>
        <w:jc w:val="both"/>
        <w:rPr>
          <w:b/>
        </w:rPr>
      </w:pPr>
    </w:p>
    <w:p w14:paraId="560C0C3D" w14:textId="72596AF5" w:rsidR="00C164A9" w:rsidRPr="00DB1172" w:rsidRDefault="00C164A9" w:rsidP="00DB1172">
      <w:pPr>
        <w:pStyle w:val="Heading3"/>
      </w:pPr>
      <w:r w:rsidRPr="00DB1172">
        <w:t>4.1.1 Direct benefits of adult learning</w:t>
      </w:r>
    </w:p>
    <w:p w14:paraId="023F4BFB" w14:textId="77777777" w:rsidR="000B4AC7" w:rsidRPr="00155B7B" w:rsidRDefault="000B4AC7" w:rsidP="005F26BA">
      <w:pPr>
        <w:jc w:val="both"/>
        <w:rPr>
          <w:b/>
        </w:rPr>
      </w:pPr>
    </w:p>
    <w:p w14:paraId="6077EAF9" w14:textId="77777777" w:rsidR="008B36A5" w:rsidRDefault="008E6603" w:rsidP="005F26BA">
      <w:pPr>
        <w:jc w:val="both"/>
      </w:pPr>
      <w:r>
        <w:t>The rhetoric around social justice in Brit</w:t>
      </w:r>
      <w:r w:rsidR="00C6343C">
        <w:t>ain talks of excluded minorities</w:t>
      </w:r>
      <w:r>
        <w:t xml:space="preserve"> (</w:t>
      </w:r>
      <w:hyperlink r:id="rId6" w:history="1">
        <w:r w:rsidR="00856421" w:rsidRPr="008073CC">
          <w:rPr>
            <w:lang w:val="en-US" w:eastAsia="ja-JP"/>
          </w:rPr>
          <w:t>Craig</w:t>
        </w:r>
      </w:hyperlink>
      <w:r w:rsidR="004908A3">
        <w:rPr>
          <w:lang w:val="en-US" w:eastAsia="ja-JP"/>
        </w:rPr>
        <w:t>, Burchardt</w:t>
      </w:r>
      <w:r w:rsidR="00856421">
        <w:rPr>
          <w:lang w:val="en-US" w:eastAsia="ja-JP"/>
        </w:rPr>
        <w:t xml:space="preserve"> </w:t>
      </w:r>
      <w:r w:rsidR="004908A3">
        <w:rPr>
          <w:lang w:val="en-US" w:eastAsia="ja-JP"/>
        </w:rPr>
        <w:t>&amp;</w:t>
      </w:r>
      <w:r w:rsidR="00856421" w:rsidRPr="008073CC">
        <w:rPr>
          <w:lang w:val="en-US" w:eastAsia="ja-JP"/>
        </w:rPr>
        <w:t xml:space="preserve"> </w:t>
      </w:r>
      <w:hyperlink r:id="rId7" w:history="1">
        <w:r w:rsidR="00856421" w:rsidRPr="008073CC">
          <w:rPr>
            <w:lang w:val="en-US" w:eastAsia="ja-JP"/>
          </w:rPr>
          <w:t>Gordon</w:t>
        </w:r>
      </w:hyperlink>
      <w:r w:rsidR="00856421">
        <w:rPr>
          <w:lang w:val="en-US" w:eastAsia="ja-JP"/>
        </w:rPr>
        <w:t>, 2008</w:t>
      </w:r>
      <w:r>
        <w:t xml:space="preserve">) </w:t>
      </w:r>
      <w:r w:rsidR="00C6343C">
        <w:t xml:space="preserve">but </w:t>
      </w:r>
      <w:r>
        <w:t xml:space="preserve">acknowledges </w:t>
      </w:r>
      <w:r w:rsidR="00C6343C">
        <w:t xml:space="preserve">that the incidence of inequality </w:t>
      </w:r>
      <w:r>
        <w:t xml:space="preserve">extends beyond the </w:t>
      </w:r>
      <w:r w:rsidR="00C6343C">
        <w:t xml:space="preserve">geographically defined </w:t>
      </w:r>
      <w:r>
        <w:t>area</w:t>
      </w:r>
      <w:r w:rsidR="00C6343C">
        <w:t>s of social deprivation</w:t>
      </w:r>
      <w:r>
        <w:t xml:space="preserve">. </w:t>
      </w:r>
      <w:r w:rsidR="00DA1D1F">
        <w:t>There are people who lack qualification scattered across the country. Because</w:t>
      </w:r>
      <w:r>
        <w:t xml:space="preserve"> students were eligible for financial supp</w:t>
      </w:r>
      <w:r w:rsidR="00DA1D1F">
        <w:t>ort for the childcare diploma it</w:t>
      </w:r>
      <w:r>
        <w:t xml:space="preserve"> offered an opportunity for further education at a ti</w:t>
      </w:r>
      <w:r w:rsidR="004442CB">
        <w:t>m</w:t>
      </w:r>
      <w:r>
        <w:t xml:space="preserve">e when many routes into adult education were being closed </w:t>
      </w:r>
      <w:r w:rsidR="00DA1D1F">
        <w:t xml:space="preserve">to reduce public expenditure </w:t>
      </w:r>
      <w:r w:rsidR="004442CB">
        <w:t>(</w:t>
      </w:r>
      <w:r w:rsidR="009F2221">
        <w:t>Parrott, 2007)</w:t>
      </w:r>
      <w:r w:rsidR="004442CB">
        <w:t xml:space="preserve"> </w:t>
      </w:r>
      <w:r w:rsidR="00DA1D1F" w:rsidRPr="00DA1D1F">
        <w:t xml:space="preserve">When she started the course </w:t>
      </w:r>
      <w:r w:rsidR="00677649">
        <w:t>Irma claims that: “</w:t>
      </w:r>
      <w:r w:rsidR="004442CB">
        <w:t>I’d never done anything like this before and a</w:t>
      </w:r>
      <w:r w:rsidR="00677649">
        <w:t>t school I just didn't enjoy it”</w:t>
      </w:r>
      <w:r w:rsidR="004442CB">
        <w:t>.</w:t>
      </w:r>
      <w:r w:rsidR="00DA1D1F">
        <w:t xml:space="preserve"> S</w:t>
      </w:r>
      <w:r w:rsidR="00677649">
        <w:t>he says: “</w:t>
      </w:r>
      <w:r w:rsidR="004442CB">
        <w:t>I didn't e</w:t>
      </w:r>
      <w:r w:rsidR="00677649">
        <w:t>ven know what an assignment was”</w:t>
      </w:r>
      <w:r w:rsidR="004442CB">
        <w:t>. Nor did she realise that comp</w:t>
      </w:r>
      <w:r w:rsidR="00677649">
        <w:t>uters lightened routine tasks: “</w:t>
      </w:r>
      <w:r w:rsidR="004442CB">
        <w:t>when it came to a word count I am manually adding</w:t>
      </w:r>
      <w:r w:rsidR="00677649">
        <w:t xml:space="preserve"> them up”</w:t>
      </w:r>
      <w:r w:rsidR="00280783">
        <w:t>. By</w:t>
      </w:r>
      <w:r w:rsidR="00DA1D1F">
        <w:t xml:space="preserve"> the end she</w:t>
      </w:r>
      <w:r w:rsidR="004442CB">
        <w:t xml:space="preserve"> know</w:t>
      </w:r>
      <w:r w:rsidR="00DA1D1F">
        <w:t>s how</w:t>
      </w:r>
      <w:r w:rsidR="004442CB">
        <w:t xml:space="preserve"> to stu</w:t>
      </w:r>
      <w:r w:rsidR="00DA1D1F">
        <w:t>d</w:t>
      </w:r>
      <w:r w:rsidR="004442CB">
        <w:t xml:space="preserve">y </w:t>
      </w:r>
      <w:r w:rsidR="00DA1D1F">
        <w:t xml:space="preserve">and </w:t>
      </w:r>
      <w:r w:rsidR="004442CB">
        <w:t>i</w:t>
      </w:r>
      <w:r w:rsidR="00DA1D1F">
        <w:t>s confident she</w:t>
      </w:r>
      <w:r w:rsidR="004442CB">
        <w:t xml:space="preserve"> can</w:t>
      </w:r>
      <w:r w:rsidR="007771C5">
        <w:t xml:space="preserve"> cope: “</w:t>
      </w:r>
      <w:r w:rsidR="00DA1D1F">
        <w:t xml:space="preserve">if somebody said to me, </w:t>
      </w:r>
      <w:r w:rsidR="004442CB">
        <w:t>now</w:t>
      </w:r>
      <w:r w:rsidR="00DA1D1F">
        <w:t>,</w:t>
      </w:r>
      <w:r w:rsidR="004442CB">
        <w:t xml:space="preserve"> it wou</w:t>
      </w:r>
      <w:r w:rsidR="007771C5">
        <w:t>ld be absolutely fine. I'd say ‘Okay, yes, I can do that’</w:t>
      </w:r>
      <w:r w:rsidR="004442CB">
        <w:t xml:space="preserve"> but</w:t>
      </w:r>
      <w:r w:rsidR="00DA1D1F">
        <w:t>,</w:t>
      </w:r>
      <w:r w:rsidR="004442CB">
        <w:t xml:space="preserve"> before</w:t>
      </w:r>
      <w:r w:rsidR="00DA1D1F">
        <w:t xml:space="preserve">, </w:t>
      </w:r>
      <w:r w:rsidR="004442CB">
        <w:t>I’d have said I can’t</w:t>
      </w:r>
      <w:r w:rsidR="00DA1D1F">
        <w:t xml:space="preserve"> do that but I </w:t>
      </w:r>
      <w:r w:rsidR="00DA1D1F" w:rsidRPr="00DA1D1F">
        <w:rPr>
          <w:i/>
        </w:rPr>
        <w:t>did</w:t>
      </w:r>
      <w:r w:rsidR="00DA1D1F">
        <w:t xml:space="preserve"> it, a</w:t>
      </w:r>
      <w:r w:rsidR="007771C5">
        <w:t>nd that was a good thing for me”</w:t>
      </w:r>
      <w:r w:rsidR="00DA1D1F">
        <w:t>.</w:t>
      </w:r>
      <w:r w:rsidR="008B36A5">
        <w:t xml:space="preserve"> </w:t>
      </w:r>
    </w:p>
    <w:p w14:paraId="4A39D3FF" w14:textId="77777777" w:rsidR="008B36A5" w:rsidRDefault="008B36A5" w:rsidP="005F26BA">
      <w:pPr>
        <w:jc w:val="both"/>
      </w:pPr>
    </w:p>
    <w:p w14:paraId="1818DE7C" w14:textId="737E2AB8" w:rsidR="00BE3943" w:rsidRDefault="007771C5" w:rsidP="005F26BA">
      <w:pPr>
        <w:jc w:val="both"/>
      </w:pPr>
      <w:r>
        <w:t>Irma’s story represents a “second chance”</w:t>
      </w:r>
      <w:r w:rsidR="00280783">
        <w:t xml:space="preserve"> opportunity at its starkest but there are many others who see the diploma as an opportunity to strengthen their level of accreditation. For Heidi the diploma repre</w:t>
      </w:r>
      <w:r>
        <w:t>sented job security: “</w:t>
      </w:r>
      <w:r w:rsidR="00280783">
        <w:t>yes, I’ve passed. I</w:t>
      </w:r>
      <w:r>
        <w:t xml:space="preserve"> can keep my job. I’m happy now”</w:t>
      </w:r>
      <w:r w:rsidR="00280783">
        <w:t xml:space="preserve">. </w:t>
      </w:r>
      <w:r w:rsidR="00BE3943">
        <w:t>Hansa, recently arrived in Britain from Asia, already had a degree but sought to improve her English and find a place within her local community, perhaps with a view to becoming a teacher at a later date. She worked a forty-hour week in a local supermarket to support herself and her husband and still found time to come to college one day a week and to carry out the compulsory session</w:t>
      </w:r>
      <w:r w:rsidR="00D41A31">
        <w:t>s</w:t>
      </w:r>
      <w:r w:rsidR="00BE3943">
        <w:t xml:space="preserve"> in a pre-school s</w:t>
      </w:r>
      <w:r>
        <w:t>etting. This shows commitment: “</w:t>
      </w:r>
      <w:r w:rsidR="00BE3943">
        <w:t xml:space="preserve">I really wanted to finish and get a qualification but the thing was because I had not time to read books and </w:t>
      </w:r>
      <w:r w:rsidR="00BE3943" w:rsidRPr="00BE3943">
        <w:rPr>
          <w:i/>
        </w:rPr>
        <w:t>enjoy</w:t>
      </w:r>
      <w:r>
        <w:t>, yes”</w:t>
      </w:r>
      <w:r w:rsidR="00BE3943">
        <w:t>.</w:t>
      </w:r>
    </w:p>
    <w:p w14:paraId="0B9CA4B8" w14:textId="77777777" w:rsidR="008E6603" w:rsidRDefault="008E6603" w:rsidP="005F26BA">
      <w:pPr>
        <w:jc w:val="both"/>
      </w:pPr>
    </w:p>
    <w:p w14:paraId="2786C0EB" w14:textId="77777777" w:rsidR="008B36A5" w:rsidRDefault="00D41A31" w:rsidP="005F26BA">
      <w:pPr>
        <w:jc w:val="both"/>
      </w:pPr>
      <w:r>
        <w:t xml:space="preserve">Hansa’s story </w:t>
      </w:r>
      <w:r w:rsidR="007771C5">
        <w:t>was partially one of conversion;</w:t>
      </w:r>
      <w:r>
        <w:t xml:space="preserve"> someone with an exi</w:t>
      </w:r>
      <w:r w:rsidR="00BA1A47">
        <w:t>s</w:t>
      </w:r>
      <w:r>
        <w:t>ting qualification adding another to achieve a change of direction. Graduates, Gina and Greta, saw the diploma as giving them vocational knowledge so that they could apply their broader knowledge to their working lives; Fiona used it to meet the entry requirement for a nursing degree,</w:t>
      </w:r>
      <w:r w:rsidR="00155B7B">
        <w:t xml:space="preserve"> Irene and Ilsa saw that it would make them eligible for teacher training at a later date.  </w:t>
      </w:r>
    </w:p>
    <w:p w14:paraId="60BDCBE3" w14:textId="77777777" w:rsidR="008B36A5" w:rsidRDefault="008B36A5" w:rsidP="005F26BA">
      <w:pPr>
        <w:jc w:val="both"/>
      </w:pPr>
    </w:p>
    <w:p w14:paraId="1367DB5F" w14:textId="6C439A9B" w:rsidR="008E6603" w:rsidRDefault="00155B7B" w:rsidP="005F26BA">
      <w:pPr>
        <w:jc w:val="both"/>
      </w:pPr>
      <w:r>
        <w:t xml:space="preserve">Thus </w:t>
      </w:r>
      <w:r w:rsidRPr="00155B7B">
        <w:rPr>
          <w:i/>
        </w:rPr>
        <w:t xml:space="preserve">real </w:t>
      </w:r>
      <w:r>
        <w:t>second chances need not be confined to basic skills as is commonly the case in the literature, and at whatever level, benefit local communities in that they enable individual members to improve their own lives and their ability to contribute to the public good.</w:t>
      </w:r>
      <w:r w:rsidR="009C421F">
        <w:t xml:space="preserve"> They are turning capability into functioning. An important part of this transformation lies in the way that adult educators treat their students. Many of the students were pleasantly surprised to find the atmosphere at odds with their school experience, commenting that they could come and go as they pleased, that tea and coff</w:t>
      </w:r>
      <w:r w:rsidR="007771C5">
        <w:t>ee breaks and opportunities to “chat”</w:t>
      </w:r>
      <w:r w:rsidR="008B36A5">
        <w:t xml:space="preserve"> </w:t>
      </w:r>
      <w:r w:rsidR="009C421F">
        <w:t>were encouraged</w:t>
      </w:r>
      <w:r w:rsidR="0055690C">
        <w:t>,</w:t>
      </w:r>
      <w:r w:rsidR="009C421F">
        <w:t xml:space="preserve"> as were supportive working practices.  </w:t>
      </w:r>
      <w:r w:rsidR="0055690C">
        <w:t>Arianne, for example, thought that</w:t>
      </w:r>
      <w:r w:rsidR="007771C5">
        <w:t>: “</w:t>
      </w:r>
      <w:r w:rsidR="0055690C">
        <w:t xml:space="preserve">I was going to sit there at a desk, be told off for talking, but no, it was great. You could go to the loo </w:t>
      </w:r>
      <w:r w:rsidR="007771C5">
        <w:t xml:space="preserve">[toilet] </w:t>
      </w:r>
      <w:r w:rsidR="0055690C">
        <w:t>when</w:t>
      </w:r>
      <w:r w:rsidR="007771C5">
        <w:t xml:space="preserve"> you had to, that sort of thing”</w:t>
      </w:r>
      <w:r w:rsidR="0055690C">
        <w:t>.</w:t>
      </w:r>
    </w:p>
    <w:p w14:paraId="0ABDB5F0" w14:textId="77777777" w:rsidR="00155B7B" w:rsidRDefault="00155B7B" w:rsidP="005F26BA">
      <w:pPr>
        <w:jc w:val="both"/>
      </w:pPr>
    </w:p>
    <w:p w14:paraId="67FC3C73" w14:textId="77777777" w:rsidR="000B4AC7" w:rsidRDefault="000B4AC7" w:rsidP="005F26BA">
      <w:pPr>
        <w:jc w:val="both"/>
      </w:pPr>
    </w:p>
    <w:p w14:paraId="2AF973C2" w14:textId="30053427" w:rsidR="00155B7B" w:rsidRPr="000B4AC7" w:rsidRDefault="00155B7B" w:rsidP="00DB1172">
      <w:pPr>
        <w:pStyle w:val="Heading3"/>
      </w:pPr>
      <w:r w:rsidRPr="000B4AC7">
        <w:lastRenderedPageBreak/>
        <w:t>4.</w:t>
      </w:r>
      <w:r w:rsidR="00C164A9" w:rsidRPr="000B4AC7">
        <w:t>1.</w:t>
      </w:r>
      <w:r w:rsidRPr="000B4AC7">
        <w:t>2 Generational benefits of adult learning</w:t>
      </w:r>
    </w:p>
    <w:p w14:paraId="52A802BC" w14:textId="77777777" w:rsidR="000B4AC7" w:rsidRPr="00155B7B" w:rsidRDefault="000B4AC7" w:rsidP="005F26BA">
      <w:pPr>
        <w:jc w:val="both"/>
        <w:rPr>
          <w:b/>
        </w:rPr>
      </w:pPr>
    </w:p>
    <w:p w14:paraId="7739497A" w14:textId="21F6FC4F" w:rsidR="00D41A31" w:rsidRDefault="00155B7B" w:rsidP="005F26BA">
      <w:pPr>
        <w:jc w:val="both"/>
      </w:pPr>
      <w:r>
        <w:t xml:space="preserve">There is evidence within this research </w:t>
      </w:r>
      <w:r w:rsidR="00BA1A47">
        <w:t>that</w:t>
      </w:r>
      <w:r>
        <w:t xml:space="preserve"> having a parent who studies successfully encourages children to achieve a better education. This can be because the parent feels knowledgeable and is confident to intervene directly </w:t>
      </w:r>
      <w:r w:rsidR="00BA1A47">
        <w:t>in</w:t>
      </w:r>
      <w:r>
        <w:t xml:space="preserve"> chil</w:t>
      </w:r>
      <w:r w:rsidR="00BA1A47">
        <w:t>dren’s studies. Heidi recognised</w:t>
      </w:r>
      <w:r>
        <w:t xml:space="preserve"> the need for her children to have IT facilities, Evelyn the need for a place to study away from the distraction of tele</w:t>
      </w:r>
      <w:r w:rsidR="008B4EA9">
        <w:t>vision. For Celia new learning</w:t>
      </w:r>
      <w:r w:rsidR="007771C5">
        <w:t xml:space="preserve"> was limited to understanding: “</w:t>
      </w:r>
      <w:r w:rsidR="008B4EA9">
        <w:t xml:space="preserve">it certainly did awaken in me an understanding of why my son struggled </w:t>
      </w:r>
      <w:r w:rsidR="007771C5">
        <w:t>so badly through primary school”</w:t>
      </w:r>
      <w:r w:rsidR="008B4EA9">
        <w:t xml:space="preserve"> but she felt that her voice was not strong enough to stand against the combi</w:t>
      </w:r>
      <w:r w:rsidR="00BA1A47">
        <w:t>ned forces of school practic</w:t>
      </w:r>
      <w:r w:rsidR="007771C5">
        <w:t>e: “</w:t>
      </w:r>
      <w:r w:rsidR="008B4EA9">
        <w:t>I didn't go and address it with the teachers because it felt pointless but it was not the teachers but the whole system, how the system worked at th</w:t>
      </w:r>
      <w:r w:rsidR="007771C5">
        <w:t>at particular school”</w:t>
      </w:r>
      <w:r w:rsidR="008B4EA9">
        <w:t>. However, for A</w:t>
      </w:r>
      <w:r w:rsidR="007771C5">
        <w:t>lex certification meant that: “</w:t>
      </w:r>
      <w:r w:rsidR="008B4EA9">
        <w:t>I can go and check</w:t>
      </w:r>
      <w:r w:rsidR="007771C5">
        <w:t xml:space="preserve"> out whatever life throws at me”.</w:t>
      </w:r>
      <w:r w:rsidR="008B4EA9">
        <w:t xml:space="preserve"> When her son had probl</w:t>
      </w:r>
      <w:r w:rsidR="007771C5">
        <w:t>ems in school she took action: “</w:t>
      </w:r>
      <w:r w:rsidR="008B4EA9">
        <w:t>because now I know if I push and I push and I push I am going to get somewhere. You have to persever</w:t>
      </w:r>
      <w:r w:rsidR="006B3702">
        <w:t>e</w:t>
      </w:r>
      <w:r w:rsidR="008B4EA9">
        <w:t>…</w:t>
      </w:r>
      <w:r w:rsidR="007771C5">
        <w:t>”. It was her “</w:t>
      </w:r>
      <w:r w:rsidR="008B4EA9">
        <w:t>background know</w:t>
      </w:r>
      <w:r w:rsidR="007771C5">
        <w:t>ledge into how the systems work”</w:t>
      </w:r>
      <w:r w:rsidR="008B4EA9">
        <w:t xml:space="preserve"> </w:t>
      </w:r>
      <w:r w:rsidR="006B3702">
        <w:t>that</w:t>
      </w:r>
      <w:r w:rsidR="008B4EA9">
        <w:t xml:space="preserve"> enabled her to sort matters out for her son. E</w:t>
      </w:r>
      <w:r w:rsidR="006B3702">
        <w:t>nabling even one more child to achieve</w:t>
      </w:r>
      <w:r w:rsidR="008B4EA9">
        <w:t xml:space="preserve"> his goals in life</w:t>
      </w:r>
      <w:r w:rsidR="006B3702">
        <w:t xml:space="preserve"> reduces the chances of him becoming unemployed, possibly in trouble with the police, and eventually a d</w:t>
      </w:r>
      <w:r w:rsidR="008B4EA9">
        <w:t>rain on the local community.</w:t>
      </w:r>
    </w:p>
    <w:p w14:paraId="529752A4" w14:textId="77777777" w:rsidR="006B3702" w:rsidRDefault="006B3702" w:rsidP="005F26BA">
      <w:pPr>
        <w:jc w:val="both"/>
      </w:pPr>
    </w:p>
    <w:p w14:paraId="124A35EC" w14:textId="1EF5C813" w:rsidR="006B3702" w:rsidRDefault="006B3702" w:rsidP="005F26BA">
      <w:pPr>
        <w:jc w:val="both"/>
      </w:pPr>
      <w:r>
        <w:t xml:space="preserve">Although </w:t>
      </w:r>
      <w:r w:rsidR="00BA1A47">
        <w:t xml:space="preserve">most </w:t>
      </w:r>
      <w:r>
        <w:t xml:space="preserve">long-term benefits of success have similar consequences for communities, sometimes the impact of women studying </w:t>
      </w:r>
      <w:r w:rsidR="00A77A83">
        <w:t>is</w:t>
      </w:r>
      <w:r>
        <w:t xml:space="preserve"> visible only within the family.</w:t>
      </w:r>
      <w:r w:rsidR="00A77A83">
        <w:t xml:space="preserve"> Ingrid persuaded her teenage children to help her out when her assignments were due and this role modell</w:t>
      </w:r>
      <w:r w:rsidR="007771C5">
        <w:t>ed the importance of studying: “</w:t>
      </w:r>
      <w:r w:rsidR="00A77A83">
        <w:t>they typed up notes for me, they, you know they were really</w:t>
      </w:r>
      <w:r w:rsidR="007771C5">
        <w:t xml:space="preserve"> interested in what I was doing”. Heena specifies that it is “</w:t>
      </w:r>
      <w:r w:rsidR="00A77A83">
        <w:t>good for my kids to see me working and studying. It’s good for t</w:t>
      </w:r>
      <w:r w:rsidR="007771C5">
        <w:t>hem to see that they can do it.”</w:t>
      </w:r>
      <w:r w:rsidR="00C164A9">
        <w:t xml:space="preserve"> When children see that their parents value education it encourages them to value it too, making it more likely that they will be able to make a positive contribution to their local communities in later life.</w:t>
      </w:r>
      <w:r w:rsidR="00FD2981">
        <w:t xml:space="preserve"> In terms of the capability approach, they are more likely to turn their capability into useful functionings.</w:t>
      </w:r>
    </w:p>
    <w:p w14:paraId="21CB3A3F" w14:textId="77777777" w:rsidR="006B3702" w:rsidRDefault="006B3702" w:rsidP="005F26BA">
      <w:pPr>
        <w:jc w:val="both"/>
      </w:pPr>
    </w:p>
    <w:p w14:paraId="127DC2E9" w14:textId="77777777" w:rsidR="000B4AC7" w:rsidRDefault="000B4AC7" w:rsidP="005F26BA">
      <w:pPr>
        <w:jc w:val="both"/>
      </w:pPr>
    </w:p>
    <w:p w14:paraId="0C863910" w14:textId="482BB740" w:rsidR="006B3702" w:rsidRPr="00DB1172" w:rsidRDefault="00C164A9" w:rsidP="00DB1172">
      <w:pPr>
        <w:pStyle w:val="Heading2"/>
        <w:rPr>
          <w:i w:val="0"/>
          <w:iCs/>
        </w:rPr>
      </w:pPr>
      <w:r w:rsidRPr="00DB1172">
        <w:rPr>
          <w:i w:val="0"/>
          <w:iCs/>
        </w:rPr>
        <w:t>4.2 Social impacts beyond education</w:t>
      </w:r>
    </w:p>
    <w:p w14:paraId="5021DD2D" w14:textId="5A85B3B2" w:rsidR="00C164A9" w:rsidRPr="00C164A9" w:rsidRDefault="00C164A9" w:rsidP="005F26BA">
      <w:pPr>
        <w:jc w:val="both"/>
      </w:pPr>
    </w:p>
    <w:p w14:paraId="44AB5971" w14:textId="2426BC43" w:rsidR="00C164A9" w:rsidRPr="000B4AC7" w:rsidRDefault="00FD6BB8" w:rsidP="00DB1172">
      <w:pPr>
        <w:pStyle w:val="Heading3"/>
      </w:pPr>
      <w:r w:rsidRPr="000B4AC7">
        <w:t>4.2.1</w:t>
      </w:r>
      <w:r w:rsidR="00C164A9" w:rsidRPr="000B4AC7">
        <w:t xml:space="preserve"> Inclusive ethos</w:t>
      </w:r>
    </w:p>
    <w:p w14:paraId="7DAB2B99" w14:textId="77777777" w:rsidR="000B4AC7" w:rsidRDefault="000B4AC7" w:rsidP="005F26BA">
      <w:pPr>
        <w:jc w:val="both"/>
        <w:rPr>
          <w:b/>
        </w:rPr>
      </w:pPr>
    </w:p>
    <w:p w14:paraId="52134B79" w14:textId="72704270" w:rsidR="007B20F2" w:rsidRDefault="005B7D47" w:rsidP="005F26BA">
      <w:pPr>
        <w:jc w:val="both"/>
      </w:pPr>
      <w:r>
        <w:t>Communities benefit when their mem</w:t>
      </w:r>
      <w:r w:rsidR="00FD2981">
        <w:t xml:space="preserve">bers support each other. Putnam (2000) clearly demonstrates in </w:t>
      </w:r>
      <w:r w:rsidR="00FD2981" w:rsidRPr="00FD2981">
        <w:rPr>
          <w:i/>
        </w:rPr>
        <w:t>Bowling Alone</w:t>
      </w:r>
      <w:r w:rsidR="00FD2981">
        <w:t xml:space="preserve"> how diminishing cultural cohesion leads to a loss of shared values and undermines trust, starting a vicious </w:t>
      </w:r>
      <w:r w:rsidR="009C421F">
        <w:t>cycle of further deterioration.</w:t>
      </w:r>
      <w:r w:rsidR="00FD2981">
        <w:t xml:space="preserve"> He uses a social capital framework in this </w:t>
      </w:r>
      <w:r w:rsidR="009C421F">
        <w:t xml:space="preserve">American </w:t>
      </w:r>
      <w:r w:rsidR="00FD2981">
        <w:t>study</w:t>
      </w:r>
      <w:r w:rsidR="009C421F">
        <w:t>,</w:t>
      </w:r>
      <w:r w:rsidR="00FD2981">
        <w:t xml:space="preserve"> adding real world examples to extend Bourdieu’s original theorisation that value is not confined to monetary exchanges.</w:t>
      </w:r>
      <w:r w:rsidR="009C421F" w:rsidRPr="009C421F">
        <w:t xml:space="preserve"> </w:t>
      </w:r>
      <w:r w:rsidR="006350B6">
        <w:t>Putnam’s account</w:t>
      </w:r>
      <w:r w:rsidR="009C421F">
        <w:t xml:space="preserve"> is a st</w:t>
      </w:r>
      <w:r w:rsidR="00B02AD6">
        <w:t>ory of social capital lost (Fuku</w:t>
      </w:r>
      <w:r w:rsidR="009C421F">
        <w:t>yama</w:t>
      </w:r>
      <w:r w:rsidR="00811E0D">
        <w:t>, 1999</w:t>
      </w:r>
      <w:r w:rsidR="00BA1A47">
        <w:t xml:space="preserve">) but </w:t>
      </w:r>
      <w:r w:rsidR="009C421F">
        <w:t>my research study, although on a local scale</w:t>
      </w:r>
      <w:r w:rsidR="00BA1A47">
        <w:t>,</w:t>
      </w:r>
      <w:r w:rsidR="009C421F">
        <w:t xml:space="preserve"> clearly </w:t>
      </w:r>
      <w:r w:rsidR="00BA1A47">
        <w:t xml:space="preserve">captured social capital formation </w:t>
      </w:r>
      <w:r w:rsidR="009C421F">
        <w:t xml:space="preserve">among the women and young children </w:t>
      </w:r>
      <w:r w:rsidR="00BA1A47">
        <w:t xml:space="preserve">at neighbourhood level. </w:t>
      </w:r>
      <w:r w:rsidR="009C421F">
        <w:t>Students were aware that they contributed to the community and often saw themselves as altruistic, seeing that as compensation for low levels of remuneration.</w:t>
      </w:r>
      <w:r w:rsidR="004908A3">
        <w:t xml:space="preserve"> </w:t>
      </w:r>
      <w:r w:rsidR="007B20F2">
        <w:t>Evelyn clearly states that ‘for me, the reward is</w:t>
      </w:r>
      <w:r w:rsidR="007771C5">
        <w:t>n’t the pay’ and is proud that “</w:t>
      </w:r>
      <w:r w:rsidR="007B20F2">
        <w:t xml:space="preserve">I went into work [in school] on Sunday for two hours and didn't get paid for it and I won’t get paid for it…they don't need to know but I know that </w:t>
      </w:r>
      <w:r w:rsidR="007771C5">
        <w:t>I went in and I’ve done my best”</w:t>
      </w:r>
      <w:r w:rsidR="007B20F2">
        <w:t>.</w:t>
      </w:r>
      <w:r w:rsidR="00FC4AF9">
        <w:t xml:space="preserve"> Frances quite explicitly states that sh</w:t>
      </w:r>
      <w:r w:rsidR="007771C5">
        <w:t>e and her fellow staff “</w:t>
      </w:r>
      <w:r w:rsidR="00FC4AF9">
        <w:t>loved children and we wanted to help them and we wanted to help the community and the mothers that perhaps cou</w:t>
      </w:r>
      <w:r w:rsidR="00811E0D">
        <w:t>l</w:t>
      </w:r>
      <w:r w:rsidR="007771C5">
        <w:t>dn’t do that”</w:t>
      </w:r>
      <w:r w:rsidR="00FC4AF9">
        <w:t>.</w:t>
      </w:r>
    </w:p>
    <w:p w14:paraId="20AA383A" w14:textId="77777777" w:rsidR="007B20F2" w:rsidRDefault="007B20F2" w:rsidP="005F26BA">
      <w:pPr>
        <w:jc w:val="both"/>
      </w:pPr>
    </w:p>
    <w:p w14:paraId="6E2631ED" w14:textId="32BE5AE9" w:rsidR="00AC5D66" w:rsidRDefault="0055690C" w:rsidP="005F26BA">
      <w:pPr>
        <w:jc w:val="both"/>
      </w:pPr>
      <w:r>
        <w:lastRenderedPageBreak/>
        <w:t xml:space="preserve">Danni was persuaded to take on the job of playgroup </w:t>
      </w:r>
      <w:r w:rsidR="004B6B54">
        <w:t>leader,</w:t>
      </w:r>
      <w:r>
        <w:t xml:space="preserve"> as </w:t>
      </w:r>
      <w:r w:rsidR="004B6B54">
        <w:t>no one</w:t>
      </w:r>
      <w:r>
        <w:t xml:space="preserve"> else would do it.</w:t>
      </w:r>
    </w:p>
    <w:p w14:paraId="461B697D" w14:textId="1EF8B6A5" w:rsidR="0055690C" w:rsidRDefault="0055690C" w:rsidP="005F26BA">
      <w:pPr>
        <w:jc w:val="both"/>
      </w:pPr>
      <w:r>
        <w:t xml:space="preserve">Her own children were quite young </w:t>
      </w:r>
      <w:r w:rsidR="00D2422A">
        <w:t>causing her</w:t>
      </w:r>
      <w:r w:rsidR="007771C5">
        <w:t xml:space="preserve"> to “lock myself away in the bedroom”</w:t>
      </w:r>
      <w:r>
        <w:t xml:space="preserve"> in order to achieve the </w:t>
      </w:r>
      <w:r w:rsidR="00D2422A">
        <w:t xml:space="preserve">necessary </w:t>
      </w:r>
      <w:r>
        <w:t>diploma</w:t>
      </w:r>
      <w:r w:rsidR="00D2422A">
        <w:t>.</w:t>
      </w:r>
      <w:r>
        <w:t xml:space="preserve"> </w:t>
      </w:r>
      <w:r w:rsidR="00D2422A">
        <w:t>She clearly knew</w:t>
      </w:r>
      <w:r>
        <w:t xml:space="preserve"> that she was making sacrifices to carry out the role</w:t>
      </w:r>
      <w:r w:rsidR="00D2422A">
        <w:t xml:space="preserve"> for she declined to complete a fur</w:t>
      </w:r>
      <w:r w:rsidR="007771C5">
        <w:t>ther optional qualification as “</w:t>
      </w:r>
      <w:r w:rsidR="00D2422A">
        <w:t xml:space="preserve">to pass the course I would have needed to have given up everything else in my life and </w:t>
      </w:r>
      <w:r w:rsidR="007771C5">
        <w:t>I felt that was asking too much”</w:t>
      </w:r>
      <w:r>
        <w:t>.</w:t>
      </w:r>
      <w:r w:rsidR="00D2422A">
        <w:t xml:space="preserve"> Her altruism is clearly displayed when she recognises that she </w:t>
      </w:r>
      <w:r w:rsidR="00BA1A47">
        <w:t xml:space="preserve">is </w:t>
      </w:r>
      <w:r w:rsidR="00D2422A">
        <w:t>subs</w:t>
      </w:r>
      <w:r w:rsidR="007771C5">
        <w:t>tituting for other parents who “</w:t>
      </w:r>
      <w:r w:rsidR="00D2422A">
        <w:t xml:space="preserve">just don't seem to spend five minutes with their children and </w:t>
      </w:r>
      <w:r w:rsidR="007771C5">
        <w:t>I f</w:t>
      </w:r>
      <w:r w:rsidR="008B36A5">
        <w:t>ind that just very, very sad”. It can a</w:t>
      </w:r>
      <w:r w:rsidR="007771C5">
        <w:t>lso</w:t>
      </w:r>
      <w:r w:rsidR="008B36A5">
        <w:t xml:space="preserve"> be seen</w:t>
      </w:r>
      <w:r w:rsidR="007771C5">
        <w:t xml:space="preserve"> in her comment that “</w:t>
      </w:r>
      <w:r w:rsidR="00D2422A">
        <w:t>being village-based you know that you're going to see them [the children] for the rest of their primary lives… and you hope t</w:t>
      </w:r>
      <w:r w:rsidR="007771C5">
        <w:t xml:space="preserve">hat </w:t>
      </w:r>
      <w:r w:rsidR="00BA1A47">
        <w:t xml:space="preserve">you </w:t>
      </w:r>
      <w:r w:rsidR="007771C5">
        <w:t>have done the best for them”</w:t>
      </w:r>
      <w:r w:rsidR="00D2422A">
        <w:t>.</w:t>
      </w:r>
    </w:p>
    <w:p w14:paraId="44BDBAAA" w14:textId="77777777" w:rsidR="0055690C" w:rsidRDefault="0055690C" w:rsidP="005F26BA">
      <w:pPr>
        <w:jc w:val="both"/>
      </w:pPr>
    </w:p>
    <w:p w14:paraId="2B48FD42" w14:textId="55B1AAD6" w:rsidR="00AF2793" w:rsidRDefault="007B20F2" w:rsidP="005F26BA">
      <w:pPr>
        <w:jc w:val="both"/>
      </w:pPr>
      <w:r>
        <w:t>Daisy derives personal satisfaction from w</w:t>
      </w:r>
      <w:r w:rsidR="007771C5">
        <w:t>orking with children, claiming: “I love them like my own really”</w:t>
      </w:r>
      <w:r>
        <w:t xml:space="preserve"> an</w:t>
      </w:r>
      <w:r w:rsidR="007771C5">
        <w:t>d found that a return to study “</w:t>
      </w:r>
      <w:r>
        <w:t>was t</w:t>
      </w:r>
      <w:r w:rsidR="007771C5">
        <w:t>he highlight of the week really”</w:t>
      </w:r>
      <w:r>
        <w:t>. However, she too, recognises wha</w:t>
      </w:r>
      <w:r w:rsidR="007771C5">
        <w:t>t she gives up, describing her “worst Sunday”</w:t>
      </w:r>
      <w:r>
        <w:t xml:space="preserve"> as one in which she w</w:t>
      </w:r>
      <w:r w:rsidR="007771C5">
        <w:t>as “</w:t>
      </w:r>
      <w:r>
        <w:t xml:space="preserve">locked in the bedroom doing an assignment and </w:t>
      </w:r>
      <w:r w:rsidRPr="007B20F2">
        <w:rPr>
          <w:i/>
        </w:rPr>
        <w:t xml:space="preserve">all </w:t>
      </w:r>
      <w:r w:rsidR="007771C5">
        <w:t>my family were downstairs”</w:t>
      </w:r>
      <w:r>
        <w:t>.</w:t>
      </w:r>
      <w:r w:rsidR="00FC4AF9">
        <w:t xml:space="preserve"> </w:t>
      </w:r>
      <w:r w:rsidR="00AF2793">
        <w:t xml:space="preserve">Bethany sees her playgroup as playing an important role in attracting children outside her village into the local school to maintain its numbers and reputation. She talks of </w:t>
      </w:r>
      <w:r w:rsidR="007771C5">
        <w:t>“</w:t>
      </w:r>
      <w:r w:rsidR="00AF2793">
        <w:t xml:space="preserve">being successful for the benefit of the school of which </w:t>
      </w:r>
      <w:r w:rsidR="007771C5">
        <w:t>I’m governor”</w:t>
      </w:r>
      <w:r w:rsidR="0055690C">
        <w:t>, revealing an additional</w:t>
      </w:r>
      <w:r w:rsidR="00D2422A">
        <w:t>, and</w:t>
      </w:r>
      <w:r w:rsidR="0055690C">
        <w:t xml:space="preserve"> completely</w:t>
      </w:r>
      <w:r w:rsidR="00AF2793">
        <w:t xml:space="preserve"> voluntary</w:t>
      </w:r>
      <w:r w:rsidR="00D2422A">
        <w:t>,</w:t>
      </w:r>
      <w:r w:rsidR="00AF2793">
        <w:t xml:space="preserve"> role that she takes seriously.</w:t>
      </w:r>
      <w:r w:rsidR="00FC4AF9">
        <w:t xml:space="preserve"> There is plentiful evidence that the diploma students contributed to an inclusive ethos in their local communities.</w:t>
      </w:r>
    </w:p>
    <w:p w14:paraId="3CB81A41" w14:textId="77777777" w:rsidR="00D2422A" w:rsidRDefault="00D2422A" w:rsidP="005F26BA">
      <w:pPr>
        <w:jc w:val="both"/>
      </w:pPr>
    </w:p>
    <w:p w14:paraId="2AB48D4F" w14:textId="77777777" w:rsidR="000B4AC7" w:rsidRDefault="000B4AC7" w:rsidP="005F26BA">
      <w:pPr>
        <w:jc w:val="both"/>
      </w:pPr>
    </w:p>
    <w:p w14:paraId="564B9239" w14:textId="1A31F346" w:rsidR="00FD6BB8" w:rsidRPr="000B4AC7" w:rsidRDefault="00FD6BB8" w:rsidP="00DB1172">
      <w:pPr>
        <w:pStyle w:val="Heading3"/>
      </w:pPr>
      <w:r w:rsidRPr="000B4AC7">
        <w:t>4.2.2 Broadening outlook</w:t>
      </w:r>
    </w:p>
    <w:p w14:paraId="6B9DEBEF" w14:textId="77777777" w:rsidR="000B4AC7" w:rsidRDefault="000B4AC7" w:rsidP="005F26BA">
      <w:pPr>
        <w:jc w:val="both"/>
        <w:rPr>
          <w:b/>
        </w:rPr>
      </w:pPr>
    </w:p>
    <w:p w14:paraId="67AFE5CF" w14:textId="5964E091" w:rsidR="00C21B6F" w:rsidRDefault="00FD6BB8" w:rsidP="005F26BA">
      <w:pPr>
        <w:jc w:val="both"/>
        <w:rPr>
          <w:lang w:eastAsia="ja-JP"/>
        </w:rPr>
      </w:pPr>
      <w:r>
        <w:rPr>
          <w:lang w:eastAsia="ja-JP"/>
        </w:rPr>
        <w:t>An inclusive ethos relies on personal attitudes that are tolerant and collaborative and the study provides evidence that many students shed underpinning prejudices as a result of the diploma course. At a practical level, simply experiencing</w:t>
      </w:r>
      <w:r w:rsidR="00116C86">
        <w:rPr>
          <w:lang w:eastAsia="ja-JP"/>
        </w:rPr>
        <w:t xml:space="preserve"> adult education – </w:t>
      </w:r>
      <w:r>
        <w:rPr>
          <w:lang w:eastAsia="ja-JP"/>
        </w:rPr>
        <w:t>regular involvement in a class that catered f</w:t>
      </w:r>
      <w:r w:rsidR="0044308A">
        <w:rPr>
          <w:lang w:eastAsia="ja-JP"/>
        </w:rPr>
        <w:t xml:space="preserve">or mature and younger students, and </w:t>
      </w:r>
      <w:r>
        <w:rPr>
          <w:lang w:eastAsia="ja-JP"/>
        </w:rPr>
        <w:t>that welcomed students whatever their ethnicity or ability</w:t>
      </w:r>
      <w:r w:rsidR="00116C86">
        <w:rPr>
          <w:lang w:eastAsia="ja-JP"/>
        </w:rPr>
        <w:t xml:space="preserve"> –</w:t>
      </w:r>
      <w:r>
        <w:rPr>
          <w:lang w:eastAsia="ja-JP"/>
        </w:rPr>
        <w:t xml:space="preserve"> </w:t>
      </w:r>
      <w:r w:rsidR="00C21B6F">
        <w:rPr>
          <w:lang w:eastAsia="ja-JP"/>
        </w:rPr>
        <w:t>paid dividends</w:t>
      </w:r>
      <w:r>
        <w:rPr>
          <w:lang w:eastAsia="ja-JP"/>
        </w:rPr>
        <w:t>. Some classes tended to be inclusive from the outset, with others it was necessary to work quite hard to prevent cliques forming and to smooth over fundame</w:t>
      </w:r>
      <w:r w:rsidR="004E0C6D">
        <w:rPr>
          <w:lang w:eastAsia="ja-JP"/>
        </w:rPr>
        <w:t xml:space="preserve">ntal disagreements. </w:t>
      </w:r>
      <w:r w:rsidR="00C21B6F">
        <w:rPr>
          <w:lang w:eastAsia="ja-JP"/>
        </w:rPr>
        <w:t xml:space="preserve"> Denise, one of the more nervous st</w:t>
      </w:r>
      <w:r w:rsidR="007771C5">
        <w:rPr>
          <w:lang w:eastAsia="ja-JP"/>
        </w:rPr>
        <w:t>udents, describes her class as “altogether” but claims that they also “went into, like, groups”</w:t>
      </w:r>
      <w:r w:rsidR="00C21B6F">
        <w:rPr>
          <w:lang w:eastAsia="ja-JP"/>
        </w:rPr>
        <w:t xml:space="preserve"> and believes tha</w:t>
      </w:r>
      <w:r w:rsidR="007771C5">
        <w:rPr>
          <w:lang w:eastAsia="ja-JP"/>
        </w:rPr>
        <w:t>t even if I had shaken them up “</w:t>
      </w:r>
      <w:r w:rsidR="00C21B6F">
        <w:rPr>
          <w:lang w:eastAsia="ja-JP"/>
        </w:rPr>
        <w:t>we would have all quietly have wiggled our way</w:t>
      </w:r>
      <w:r w:rsidR="007771C5">
        <w:rPr>
          <w:lang w:eastAsia="ja-JP"/>
        </w:rPr>
        <w:t xml:space="preserve"> back to where we wanted to sit”</w:t>
      </w:r>
      <w:r w:rsidR="00C21B6F">
        <w:rPr>
          <w:lang w:eastAsia="ja-JP"/>
        </w:rPr>
        <w:t>. However, she also be</w:t>
      </w:r>
      <w:r w:rsidR="007771C5">
        <w:rPr>
          <w:lang w:eastAsia="ja-JP"/>
        </w:rPr>
        <w:t>lieves that “it worked”</w:t>
      </w:r>
      <w:r w:rsidR="00116C86">
        <w:rPr>
          <w:lang w:eastAsia="ja-JP"/>
        </w:rPr>
        <w:t xml:space="preserve"> and </w:t>
      </w:r>
      <w:r w:rsidR="00C21B6F">
        <w:rPr>
          <w:lang w:eastAsia="ja-JP"/>
        </w:rPr>
        <w:t>that</w:t>
      </w:r>
      <w:r w:rsidR="007771C5">
        <w:rPr>
          <w:lang w:eastAsia="ja-JP"/>
        </w:rPr>
        <w:t xml:space="preserve"> she became more confident and “</w:t>
      </w:r>
      <w:r w:rsidR="00C21B6F">
        <w:rPr>
          <w:lang w:eastAsia="ja-JP"/>
        </w:rPr>
        <w:t xml:space="preserve">enjoyed </w:t>
      </w:r>
      <w:r w:rsidR="007771C5">
        <w:rPr>
          <w:lang w:eastAsia="ja-JP"/>
        </w:rPr>
        <w:t>going in for a laugh in the end”</w:t>
      </w:r>
      <w:r w:rsidR="00C21B6F">
        <w:rPr>
          <w:lang w:eastAsia="ja-JP"/>
        </w:rPr>
        <w:t>.</w:t>
      </w:r>
    </w:p>
    <w:p w14:paraId="471A2505" w14:textId="77777777" w:rsidR="00C21B6F" w:rsidRDefault="00C21B6F" w:rsidP="005F26BA">
      <w:pPr>
        <w:jc w:val="both"/>
        <w:rPr>
          <w:lang w:eastAsia="ja-JP"/>
        </w:rPr>
      </w:pPr>
    </w:p>
    <w:p w14:paraId="78B2EB27" w14:textId="7BA11798" w:rsidR="007B20F2" w:rsidRDefault="004E0C6D" w:rsidP="005F26BA">
      <w:pPr>
        <w:jc w:val="both"/>
        <w:rPr>
          <w:lang w:eastAsia="ja-JP"/>
        </w:rPr>
      </w:pPr>
      <w:r>
        <w:rPr>
          <w:lang w:eastAsia="ja-JP"/>
        </w:rPr>
        <w:t>That stude</w:t>
      </w:r>
      <w:r w:rsidR="00FD6BB8">
        <w:rPr>
          <w:lang w:eastAsia="ja-JP"/>
        </w:rPr>
        <w:t>n</w:t>
      </w:r>
      <w:r>
        <w:rPr>
          <w:lang w:eastAsia="ja-JP"/>
        </w:rPr>
        <w:t>t</w:t>
      </w:r>
      <w:r w:rsidR="00FD6BB8">
        <w:rPr>
          <w:lang w:eastAsia="ja-JP"/>
        </w:rPr>
        <w:t>s were prepared to discuss this situation during individual interviews suggests that they felt secure in</w:t>
      </w:r>
      <w:r>
        <w:rPr>
          <w:lang w:eastAsia="ja-JP"/>
        </w:rPr>
        <w:t xml:space="preserve"> their relationship with me, and indicated that they felt that they had moved on in their thinking during the cou</w:t>
      </w:r>
      <w:r w:rsidR="00A8326D">
        <w:rPr>
          <w:lang w:eastAsia="ja-JP"/>
        </w:rPr>
        <w:t>rse. The talk was generally of “others”</w:t>
      </w:r>
      <w:r>
        <w:rPr>
          <w:lang w:eastAsia="ja-JP"/>
        </w:rPr>
        <w:t xml:space="preserve"> who used to irritate them rather than of ongoing irritation.</w:t>
      </w:r>
      <w:r w:rsidR="00136BDD">
        <w:rPr>
          <w:lang w:eastAsia="ja-JP"/>
        </w:rPr>
        <w:t xml:space="preserve"> One student (of several), </w:t>
      </w:r>
      <w:r w:rsidR="00116C86">
        <w:rPr>
          <w:lang w:eastAsia="ja-JP"/>
        </w:rPr>
        <w:t>who fou</w:t>
      </w:r>
      <w:r w:rsidR="00C21B6F">
        <w:rPr>
          <w:lang w:eastAsia="ja-JP"/>
        </w:rPr>
        <w:t>nd mixing in a class quite difficult</w:t>
      </w:r>
      <w:r w:rsidR="007771C5">
        <w:rPr>
          <w:lang w:eastAsia="ja-JP"/>
        </w:rPr>
        <w:t>, claimed that she “</w:t>
      </w:r>
      <w:r w:rsidR="00116C86">
        <w:rPr>
          <w:lang w:eastAsia="ja-JP"/>
        </w:rPr>
        <w:t>found working with women horrendous, studyin</w:t>
      </w:r>
      <w:r w:rsidR="007771C5">
        <w:rPr>
          <w:lang w:eastAsia="ja-JP"/>
        </w:rPr>
        <w:t>g with women is slightly better”</w:t>
      </w:r>
      <w:r w:rsidR="00116C86">
        <w:rPr>
          <w:lang w:eastAsia="ja-JP"/>
        </w:rPr>
        <w:t>. However, she did eventually realise that she could only change her own behaviour not that of the others and explained how</w:t>
      </w:r>
      <w:r w:rsidR="00C21B6F">
        <w:rPr>
          <w:lang w:eastAsia="ja-JP"/>
        </w:rPr>
        <w:t xml:space="preserve"> </w:t>
      </w:r>
      <w:r w:rsidR="00116C86">
        <w:rPr>
          <w:lang w:eastAsia="ja-JP"/>
        </w:rPr>
        <w:t>through watching someone who sought a lot of intentio</w:t>
      </w:r>
      <w:r w:rsidR="007771C5">
        <w:rPr>
          <w:lang w:eastAsia="ja-JP"/>
        </w:rPr>
        <w:t>n, she learned to curb her own “</w:t>
      </w:r>
      <w:r w:rsidR="00116C86">
        <w:rPr>
          <w:lang w:eastAsia="ja-JP"/>
        </w:rPr>
        <w:t>urg</w:t>
      </w:r>
      <w:r w:rsidR="007771C5">
        <w:rPr>
          <w:lang w:eastAsia="ja-JP"/>
        </w:rPr>
        <w:t>e to tell your own little story”.</w:t>
      </w:r>
    </w:p>
    <w:p w14:paraId="41372643" w14:textId="77777777" w:rsidR="004E0C6D" w:rsidRDefault="004E0C6D" w:rsidP="005F26BA">
      <w:pPr>
        <w:jc w:val="both"/>
        <w:rPr>
          <w:lang w:eastAsia="ja-JP"/>
        </w:rPr>
      </w:pPr>
    </w:p>
    <w:p w14:paraId="415EFA31" w14:textId="76E9A477" w:rsidR="00116C86" w:rsidRDefault="004E0C6D" w:rsidP="005F26BA">
      <w:pPr>
        <w:jc w:val="both"/>
        <w:rPr>
          <w:lang w:eastAsia="ja-JP"/>
        </w:rPr>
      </w:pPr>
      <w:r>
        <w:rPr>
          <w:lang w:eastAsia="ja-JP"/>
        </w:rPr>
        <w:t>My strategy of asking the more able to supp</w:t>
      </w:r>
      <w:r w:rsidR="00116C86">
        <w:rPr>
          <w:lang w:eastAsia="ja-JP"/>
        </w:rPr>
        <w:t>ort others played a role in the integration</w:t>
      </w:r>
      <w:r>
        <w:rPr>
          <w:lang w:eastAsia="ja-JP"/>
        </w:rPr>
        <w:t xml:space="preserve"> process and Deirdre </w:t>
      </w:r>
      <w:r w:rsidR="00116C86">
        <w:rPr>
          <w:lang w:eastAsia="ja-JP"/>
        </w:rPr>
        <w:t xml:space="preserve">specifically </w:t>
      </w:r>
      <w:r>
        <w:rPr>
          <w:lang w:eastAsia="ja-JP"/>
        </w:rPr>
        <w:t>talks of going to v</w:t>
      </w:r>
      <w:r w:rsidR="007771C5">
        <w:rPr>
          <w:lang w:eastAsia="ja-JP"/>
        </w:rPr>
        <w:t>isit another student for help. “I’d go round and say, ‘I can't do it’.  She’d say ‘</w:t>
      </w:r>
      <w:r>
        <w:rPr>
          <w:lang w:eastAsia="ja-JP"/>
        </w:rPr>
        <w:t>yes you can. Sit yourself down and I’ll read it through</w:t>
      </w:r>
      <w:r w:rsidR="007771C5">
        <w:rPr>
          <w:lang w:eastAsia="ja-JP"/>
        </w:rPr>
        <w:t>’</w:t>
      </w:r>
      <w:r>
        <w:rPr>
          <w:lang w:eastAsia="ja-JP"/>
        </w:rPr>
        <w:t>. As soon as</w:t>
      </w:r>
      <w:r w:rsidR="007771C5">
        <w:rPr>
          <w:lang w:eastAsia="ja-JP"/>
        </w:rPr>
        <w:t xml:space="preserve"> she read it through I’d think ‘yes I do understand’ but some of the words…!”</w:t>
      </w:r>
      <w:r w:rsidR="00116C86">
        <w:rPr>
          <w:lang w:eastAsia="ja-JP"/>
        </w:rPr>
        <w:t xml:space="preserve">. Others choose </w:t>
      </w:r>
      <w:r w:rsidR="00116C86">
        <w:rPr>
          <w:lang w:eastAsia="ja-JP"/>
        </w:rPr>
        <w:lastRenderedPageBreak/>
        <w:t xml:space="preserve">to work in </w:t>
      </w:r>
      <w:r w:rsidR="00BA1A47">
        <w:rPr>
          <w:lang w:eastAsia="ja-JP"/>
        </w:rPr>
        <w:t>pairs that were more evenly balanced. Arianne, for</w:t>
      </w:r>
      <w:r w:rsidR="00116C86">
        <w:rPr>
          <w:lang w:eastAsia="ja-JP"/>
        </w:rPr>
        <w:t xml:space="preserve"> instance used to</w:t>
      </w:r>
      <w:r w:rsidR="007771C5">
        <w:rPr>
          <w:lang w:eastAsia="ja-JP"/>
        </w:rPr>
        <w:t xml:space="preserve"> go to Alice’s house weekly to “do it between us”</w:t>
      </w:r>
      <w:r w:rsidR="00116C86">
        <w:rPr>
          <w:lang w:eastAsia="ja-JP"/>
        </w:rPr>
        <w:t>.</w:t>
      </w:r>
    </w:p>
    <w:p w14:paraId="6A106ECC" w14:textId="77777777" w:rsidR="00116C86" w:rsidRDefault="00116C86" w:rsidP="005F26BA">
      <w:pPr>
        <w:jc w:val="both"/>
        <w:rPr>
          <w:lang w:eastAsia="ja-JP"/>
        </w:rPr>
      </w:pPr>
    </w:p>
    <w:p w14:paraId="27879760" w14:textId="415D6E85" w:rsidR="004E0C6D" w:rsidRDefault="00116C86" w:rsidP="005F26BA">
      <w:pPr>
        <w:jc w:val="both"/>
        <w:rPr>
          <w:lang w:eastAsia="ja-JP"/>
        </w:rPr>
      </w:pPr>
      <w:r>
        <w:rPr>
          <w:lang w:eastAsia="ja-JP"/>
        </w:rPr>
        <w:t>More importantly for community</w:t>
      </w:r>
      <w:r w:rsidR="00AB00B3">
        <w:rPr>
          <w:lang w:eastAsia="ja-JP"/>
        </w:rPr>
        <w:t xml:space="preserve"> cohesion, there is evidence that growing tolerance spread </w:t>
      </w:r>
      <w:r w:rsidR="00BA1A47">
        <w:rPr>
          <w:lang w:eastAsia="ja-JP"/>
        </w:rPr>
        <w:t>beyond their direct work with children.</w:t>
      </w:r>
      <w:r w:rsidR="004E0C6D">
        <w:rPr>
          <w:lang w:eastAsia="ja-JP"/>
        </w:rPr>
        <w:t xml:space="preserve"> </w:t>
      </w:r>
      <w:r w:rsidR="00AB00B3">
        <w:rPr>
          <w:lang w:eastAsia="ja-JP"/>
        </w:rPr>
        <w:t xml:space="preserve"> Several students</w:t>
      </w:r>
      <w:r w:rsidR="003B311E">
        <w:rPr>
          <w:lang w:eastAsia="ja-JP"/>
        </w:rPr>
        <w:t xml:space="preserve"> (</w:t>
      </w:r>
      <w:r w:rsidR="00C64D63">
        <w:rPr>
          <w:lang w:eastAsia="ja-JP"/>
        </w:rPr>
        <w:t xml:space="preserve">Celia, </w:t>
      </w:r>
      <w:r w:rsidR="003B311E">
        <w:rPr>
          <w:lang w:eastAsia="ja-JP"/>
        </w:rPr>
        <w:t xml:space="preserve">Evelyn, Emily, </w:t>
      </w:r>
      <w:r w:rsidR="00C64D63">
        <w:rPr>
          <w:lang w:eastAsia="ja-JP"/>
        </w:rPr>
        <w:t xml:space="preserve">Frieda, </w:t>
      </w:r>
      <w:r w:rsidR="003B311E">
        <w:rPr>
          <w:lang w:eastAsia="ja-JP"/>
        </w:rPr>
        <w:t>Heid</w:t>
      </w:r>
      <w:r w:rsidR="00F45000">
        <w:rPr>
          <w:lang w:eastAsia="ja-JP"/>
        </w:rPr>
        <w:t>i) t</w:t>
      </w:r>
      <w:r w:rsidR="00AB00B3">
        <w:rPr>
          <w:lang w:eastAsia="ja-JP"/>
        </w:rPr>
        <w:t>alk of becoming more confident in addressing parents</w:t>
      </w:r>
      <w:r w:rsidR="00377FF4">
        <w:rPr>
          <w:lang w:eastAsia="ja-JP"/>
        </w:rPr>
        <w:t>, others of being more aware of how to do that appropriately (Avril, Beryl</w:t>
      </w:r>
      <w:r w:rsidR="00C64D63">
        <w:rPr>
          <w:lang w:eastAsia="ja-JP"/>
        </w:rPr>
        <w:t>,</w:t>
      </w:r>
      <w:r w:rsidR="00C64D63" w:rsidRPr="00C64D63">
        <w:rPr>
          <w:lang w:eastAsia="ja-JP"/>
        </w:rPr>
        <w:t xml:space="preserve"> </w:t>
      </w:r>
      <w:r w:rsidR="00C64D63">
        <w:rPr>
          <w:lang w:eastAsia="ja-JP"/>
        </w:rPr>
        <w:t xml:space="preserve">Cindy, </w:t>
      </w:r>
      <w:r w:rsidR="00F45000">
        <w:rPr>
          <w:lang w:eastAsia="ja-JP"/>
        </w:rPr>
        <w:t>Heena, Irma</w:t>
      </w:r>
      <w:r w:rsidR="00377FF4">
        <w:rPr>
          <w:lang w:eastAsia="ja-JP"/>
        </w:rPr>
        <w:t>)</w:t>
      </w:r>
      <w:r w:rsidR="00AB00B3">
        <w:rPr>
          <w:lang w:eastAsia="ja-JP"/>
        </w:rPr>
        <w:t xml:space="preserve"> and Ingrid very noticeably embraces cultural diversity. This is clearly spelled out:</w:t>
      </w:r>
    </w:p>
    <w:p w14:paraId="35F6CF2B" w14:textId="77777777" w:rsidR="00AB00B3" w:rsidRDefault="00AB00B3" w:rsidP="005F26BA">
      <w:pPr>
        <w:jc w:val="both"/>
        <w:rPr>
          <w:lang w:eastAsia="ja-JP"/>
        </w:rPr>
      </w:pPr>
    </w:p>
    <w:p w14:paraId="55B2FCF8" w14:textId="3ABC57C7" w:rsidR="00AB00B3" w:rsidRDefault="007771C5" w:rsidP="005F26BA">
      <w:pPr>
        <w:ind w:left="567" w:right="515"/>
        <w:jc w:val="both"/>
        <w:rPr>
          <w:lang w:eastAsia="ja-JP"/>
        </w:rPr>
      </w:pPr>
      <w:r>
        <w:rPr>
          <w:lang w:eastAsia="ja-JP"/>
        </w:rPr>
        <w:t>“</w:t>
      </w:r>
      <w:r w:rsidR="00AB00B3">
        <w:rPr>
          <w:lang w:eastAsia="ja-JP"/>
        </w:rPr>
        <w:t>… you sort of explained to us about the different cultures and then I would go back to the group and think “Oh that’s why they do that and this is why they do that” because I know now why they do that. Instead of looking at their habits as being “strange” or not right you look at their habit and think but this is part of their culture, this is why they do this, and I am now in the knowledge so I know this instead of looking at them</w:t>
      </w:r>
      <w:r>
        <w:rPr>
          <w:lang w:eastAsia="ja-JP"/>
        </w:rPr>
        <w:t xml:space="preserve"> as being totally – a bit…weird</w:t>
      </w:r>
      <w:r w:rsidR="00AB00B3">
        <w:rPr>
          <w:lang w:eastAsia="ja-JP"/>
        </w:rPr>
        <w:t>.</w:t>
      </w:r>
      <w:r>
        <w:rPr>
          <w:lang w:eastAsia="ja-JP"/>
        </w:rPr>
        <w:t>”</w:t>
      </w:r>
    </w:p>
    <w:p w14:paraId="4E73F157" w14:textId="77777777" w:rsidR="00AB00B3" w:rsidRDefault="00AB00B3" w:rsidP="005F26BA">
      <w:pPr>
        <w:jc w:val="both"/>
        <w:rPr>
          <w:lang w:eastAsia="ja-JP"/>
        </w:rPr>
      </w:pPr>
    </w:p>
    <w:p w14:paraId="5201473E" w14:textId="0D810E44" w:rsidR="00E169B9" w:rsidRDefault="007771C5" w:rsidP="005F26BA">
      <w:pPr>
        <w:jc w:val="both"/>
        <w:rPr>
          <w:lang w:eastAsia="ja-JP"/>
        </w:rPr>
      </w:pPr>
      <w:r>
        <w:rPr>
          <w:lang w:eastAsia="ja-JP"/>
        </w:rPr>
        <w:t>She feels “less judgemental” and “a lot nicer person for it”</w:t>
      </w:r>
      <w:r w:rsidR="00AB00B3">
        <w:rPr>
          <w:lang w:eastAsia="ja-JP"/>
        </w:rPr>
        <w:t xml:space="preserve"> and really enjoyed inviting people to celebrate </w:t>
      </w:r>
      <w:r w:rsidR="00DE0E9F">
        <w:rPr>
          <w:lang w:eastAsia="ja-JP"/>
        </w:rPr>
        <w:t xml:space="preserve">the Hindu festival, </w:t>
      </w:r>
      <w:r w:rsidR="00AB00B3">
        <w:rPr>
          <w:lang w:eastAsia="ja-JP"/>
        </w:rPr>
        <w:t>Holi</w:t>
      </w:r>
      <w:r w:rsidR="00DE0E9F">
        <w:rPr>
          <w:lang w:eastAsia="ja-JP"/>
        </w:rPr>
        <w:t>,</w:t>
      </w:r>
      <w:r w:rsidR="00AB00B3">
        <w:rPr>
          <w:lang w:eastAsia="ja-JP"/>
        </w:rPr>
        <w:t xml:space="preserve"> in her setting. Most importantly she now talks to people outside of her immediate circle whereas</w:t>
      </w:r>
      <w:r>
        <w:rPr>
          <w:lang w:eastAsia="ja-JP"/>
        </w:rPr>
        <w:t>: “</w:t>
      </w:r>
      <w:r w:rsidR="00AB00B3">
        <w:rPr>
          <w:lang w:eastAsia="ja-JP"/>
        </w:rPr>
        <w:t>I would probably have just pass</w:t>
      </w:r>
      <w:r>
        <w:rPr>
          <w:lang w:eastAsia="ja-JP"/>
        </w:rPr>
        <w:t>ed them by in the street before”</w:t>
      </w:r>
      <w:r w:rsidR="00AB00B3">
        <w:rPr>
          <w:lang w:eastAsia="ja-JP"/>
        </w:rPr>
        <w:t>.</w:t>
      </w:r>
      <w:r w:rsidR="0044308A">
        <w:rPr>
          <w:lang w:eastAsia="ja-JP"/>
        </w:rPr>
        <w:t xml:space="preserve"> </w:t>
      </w:r>
      <w:r w:rsidR="00AB00B3">
        <w:rPr>
          <w:lang w:eastAsia="ja-JP"/>
        </w:rPr>
        <w:t>Given her role in</w:t>
      </w:r>
      <w:r w:rsidR="00E169B9">
        <w:rPr>
          <w:lang w:eastAsia="ja-JP"/>
        </w:rPr>
        <w:t xml:space="preserve"> a community p</w:t>
      </w:r>
      <w:r w:rsidR="00AB00B3">
        <w:rPr>
          <w:lang w:eastAsia="ja-JP"/>
        </w:rPr>
        <w:t>re-schoo</w:t>
      </w:r>
      <w:r w:rsidR="00E169B9">
        <w:rPr>
          <w:lang w:eastAsia="ja-JP"/>
        </w:rPr>
        <w:t>l</w:t>
      </w:r>
      <w:r w:rsidR="00AB00B3">
        <w:rPr>
          <w:lang w:eastAsia="ja-JP"/>
        </w:rPr>
        <w:t xml:space="preserve"> this must have significant cons</w:t>
      </w:r>
      <w:r w:rsidR="00BA1A47">
        <w:rPr>
          <w:lang w:eastAsia="ja-JP"/>
        </w:rPr>
        <w:t>equences for the way it operated</w:t>
      </w:r>
      <w:r w:rsidR="00AB00B3">
        <w:rPr>
          <w:lang w:eastAsia="ja-JP"/>
        </w:rPr>
        <w:t xml:space="preserve"> and the hidden mess</w:t>
      </w:r>
      <w:r w:rsidR="00E169B9">
        <w:rPr>
          <w:lang w:eastAsia="ja-JP"/>
        </w:rPr>
        <w:t>ages conveyed to pare</w:t>
      </w:r>
      <w:r w:rsidR="00AB00B3">
        <w:rPr>
          <w:lang w:eastAsia="ja-JP"/>
        </w:rPr>
        <w:t>n</w:t>
      </w:r>
      <w:r w:rsidR="00E169B9">
        <w:rPr>
          <w:lang w:eastAsia="ja-JP"/>
        </w:rPr>
        <w:t xml:space="preserve">ts and children </w:t>
      </w:r>
      <w:r w:rsidR="00AB00B3">
        <w:rPr>
          <w:lang w:eastAsia="ja-JP"/>
        </w:rPr>
        <w:t>and to other staff.</w:t>
      </w:r>
      <w:r w:rsidR="0044308A">
        <w:rPr>
          <w:lang w:eastAsia="ja-JP"/>
        </w:rPr>
        <w:t xml:space="preserve"> </w:t>
      </w:r>
      <w:r>
        <w:rPr>
          <w:lang w:eastAsia="ja-JP"/>
        </w:rPr>
        <w:t>Avril too believes the course “</w:t>
      </w:r>
      <w:r w:rsidR="00E169B9">
        <w:rPr>
          <w:lang w:eastAsia="ja-JP"/>
        </w:rPr>
        <w:t>te</w:t>
      </w:r>
      <w:r>
        <w:rPr>
          <w:lang w:eastAsia="ja-JP"/>
        </w:rPr>
        <w:t>aches you not to be judgemental”</w:t>
      </w:r>
      <w:r w:rsidR="00E169B9">
        <w:rPr>
          <w:lang w:eastAsia="ja-JP"/>
        </w:rPr>
        <w:t xml:space="preserve"> </w:t>
      </w:r>
      <w:r w:rsidR="003B311E">
        <w:rPr>
          <w:lang w:eastAsia="ja-JP"/>
        </w:rPr>
        <w:t>and Beryl claims tha</w:t>
      </w:r>
      <w:r>
        <w:rPr>
          <w:lang w:eastAsia="ja-JP"/>
        </w:rPr>
        <w:t>t simply working with children “broadens your mind”</w:t>
      </w:r>
      <w:r w:rsidR="003B311E">
        <w:rPr>
          <w:lang w:eastAsia="ja-JP"/>
        </w:rPr>
        <w:t xml:space="preserve"> as you see a wide range of family practices. Bethany believ</w:t>
      </w:r>
      <w:r>
        <w:rPr>
          <w:lang w:eastAsia="ja-JP"/>
        </w:rPr>
        <w:t>es that she “is growing with the children”</w:t>
      </w:r>
      <w:r w:rsidR="003B311E">
        <w:rPr>
          <w:lang w:eastAsia="ja-JP"/>
        </w:rPr>
        <w:t xml:space="preserve">. </w:t>
      </w:r>
      <w:r w:rsidR="00E169B9">
        <w:rPr>
          <w:lang w:eastAsia="ja-JP"/>
        </w:rPr>
        <w:t xml:space="preserve">Arianne demonstrates </w:t>
      </w:r>
      <w:r>
        <w:rPr>
          <w:lang w:eastAsia="ja-JP"/>
        </w:rPr>
        <w:t>a “broader”</w:t>
      </w:r>
      <w:r w:rsidR="003B311E">
        <w:rPr>
          <w:lang w:eastAsia="ja-JP"/>
        </w:rPr>
        <w:t xml:space="preserve"> outlook</w:t>
      </w:r>
      <w:r w:rsidR="00E169B9">
        <w:rPr>
          <w:lang w:eastAsia="ja-JP"/>
        </w:rPr>
        <w:t xml:space="preserve"> </w:t>
      </w:r>
      <w:r w:rsidR="003B311E">
        <w:rPr>
          <w:lang w:eastAsia="ja-JP"/>
        </w:rPr>
        <w:t>when she allows</w:t>
      </w:r>
      <w:r w:rsidR="00E169B9">
        <w:rPr>
          <w:lang w:eastAsia="ja-JP"/>
        </w:rPr>
        <w:t xml:space="preserve"> a grandmother with no English language skills to sit in on sessions. </w:t>
      </w:r>
      <w:r w:rsidR="003B311E">
        <w:rPr>
          <w:lang w:eastAsia="ja-JP"/>
        </w:rPr>
        <w:t>Grandma’s</w:t>
      </w:r>
      <w:r w:rsidR="00E169B9">
        <w:rPr>
          <w:lang w:eastAsia="ja-JP"/>
        </w:rPr>
        <w:t xml:space="preserve"> initia</w:t>
      </w:r>
      <w:r w:rsidR="003B311E">
        <w:rPr>
          <w:lang w:eastAsia="ja-JP"/>
        </w:rPr>
        <w:t>l attendance was</w:t>
      </w:r>
      <w:r w:rsidR="00E169B9">
        <w:rPr>
          <w:lang w:eastAsia="ja-JP"/>
        </w:rPr>
        <w:t xml:space="preserve"> to help the g</w:t>
      </w:r>
      <w:r w:rsidR="003B311E">
        <w:rPr>
          <w:lang w:eastAsia="ja-JP"/>
        </w:rPr>
        <w:t>randchild settle but when this wa</w:t>
      </w:r>
      <w:r w:rsidR="00E169B9">
        <w:rPr>
          <w:lang w:eastAsia="ja-JP"/>
        </w:rPr>
        <w:t>s achieved she t</w:t>
      </w:r>
      <w:r w:rsidR="003B311E">
        <w:rPr>
          <w:lang w:eastAsia="ja-JP"/>
        </w:rPr>
        <w:t>old her working daughter that she wa</w:t>
      </w:r>
      <w:r w:rsidR="00E169B9">
        <w:rPr>
          <w:lang w:eastAsia="ja-JP"/>
        </w:rPr>
        <w:t>s lonely at home. Slowly she began to undertake small tasks unasked – like washing up – so may progress to greater involvement. Certainly the group offered an opportunity to observe English life and hear the language spoken in a friendly environment</w:t>
      </w:r>
      <w:r w:rsidR="003B311E">
        <w:rPr>
          <w:lang w:eastAsia="ja-JP"/>
        </w:rPr>
        <w:t>. As the building was sufficiently large to cater for additional people her pre</w:t>
      </w:r>
      <w:r w:rsidR="00A76FCE">
        <w:rPr>
          <w:lang w:eastAsia="ja-JP"/>
        </w:rPr>
        <w:t>sence was not a problem for the pre-school</w:t>
      </w:r>
      <w:r w:rsidR="00E169B9">
        <w:rPr>
          <w:lang w:eastAsia="ja-JP"/>
        </w:rPr>
        <w:t>.</w:t>
      </w:r>
    </w:p>
    <w:p w14:paraId="7F5EAB76" w14:textId="77777777" w:rsidR="00E169B9" w:rsidRDefault="00E169B9" w:rsidP="005F26BA">
      <w:pPr>
        <w:jc w:val="both"/>
        <w:rPr>
          <w:lang w:eastAsia="ja-JP"/>
        </w:rPr>
      </w:pPr>
    </w:p>
    <w:p w14:paraId="1616EBC5" w14:textId="2F4D8133" w:rsidR="00E169B9" w:rsidRDefault="00E169B9" w:rsidP="005F26BA">
      <w:pPr>
        <w:jc w:val="both"/>
        <w:rPr>
          <w:lang w:eastAsia="ja-JP"/>
        </w:rPr>
      </w:pPr>
      <w:r>
        <w:rPr>
          <w:lang w:eastAsia="ja-JP"/>
        </w:rPr>
        <w:t>As former students move on to new jobs, or their children progress through the system, the inclusive ethos that we strove to develop on the course may</w:t>
      </w:r>
      <w:r w:rsidR="00A76FCE">
        <w:rPr>
          <w:lang w:eastAsia="ja-JP"/>
        </w:rPr>
        <w:t>be</w:t>
      </w:r>
      <w:r>
        <w:rPr>
          <w:lang w:eastAsia="ja-JP"/>
        </w:rPr>
        <w:t xml:space="preserve"> go</w:t>
      </w:r>
      <w:r w:rsidR="00A76FCE">
        <w:rPr>
          <w:lang w:eastAsia="ja-JP"/>
        </w:rPr>
        <w:t>es</w:t>
      </w:r>
      <w:r>
        <w:rPr>
          <w:lang w:eastAsia="ja-JP"/>
        </w:rPr>
        <w:t xml:space="preserve"> with them, following certain students into schools, into hospitals, into local authority work and into different nurseries and pre-schools.</w:t>
      </w:r>
    </w:p>
    <w:p w14:paraId="6452C6FC" w14:textId="77777777" w:rsidR="008370D8" w:rsidRDefault="008370D8" w:rsidP="005F26BA">
      <w:pPr>
        <w:jc w:val="both"/>
        <w:rPr>
          <w:lang w:eastAsia="ja-JP"/>
        </w:rPr>
      </w:pPr>
    </w:p>
    <w:p w14:paraId="247120AB" w14:textId="77777777" w:rsidR="000B4AC7" w:rsidRDefault="000B4AC7" w:rsidP="005F26BA">
      <w:pPr>
        <w:jc w:val="both"/>
        <w:rPr>
          <w:lang w:eastAsia="ja-JP"/>
        </w:rPr>
      </w:pPr>
    </w:p>
    <w:p w14:paraId="71EA6676" w14:textId="4869BF64" w:rsidR="00090EED" w:rsidRPr="000B4AC7" w:rsidRDefault="00090EED" w:rsidP="00DB1172">
      <w:pPr>
        <w:pStyle w:val="Heading3"/>
        <w:rPr>
          <w:lang w:eastAsia="ja-JP"/>
        </w:rPr>
      </w:pPr>
      <w:r w:rsidRPr="000B4AC7">
        <w:rPr>
          <w:lang w:eastAsia="ja-JP"/>
        </w:rPr>
        <w:t>4.2.3 Knowledge resource</w:t>
      </w:r>
    </w:p>
    <w:p w14:paraId="22FF08E1" w14:textId="77777777" w:rsidR="000B4AC7" w:rsidRDefault="000B4AC7" w:rsidP="005F26BA">
      <w:pPr>
        <w:jc w:val="both"/>
        <w:rPr>
          <w:b/>
          <w:lang w:eastAsia="ja-JP"/>
        </w:rPr>
      </w:pPr>
    </w:p>
    <w:p w14:paraId="1BE0495B" w14:textId="3AD2458A" w:rsidR="00090EED" w:rsidRPr="004C2443" w:rsidRDefault="00090EED" w:rsidP="005F26BA">
      <w:pPr>
        <w:jc w:val="both"/>
        <w:rPr>
          <w:lang w:eastAsia="ja-JP"/>
        </w:rPr>
      </w:pPr>
      <w:r w:rsidRPr="00090EED">
        <w:rPr>
          <w:lang w:eastAsia="ja-JP"/>
        </w:rPr>
        <w:t>In a society where mobility means that many new parents lack nearby familial support, pre-school staff who have qualified</w:t>
      </w:r>
      <w:r w:rsidR="0027764C">
        <w:rPr>
          <w:lang w:eastAsia="ja-JP"/>
        </w:rPr>
        <w:t>,</w:t>
      </w:r>
      <w:r w:rsidRPr="00090EED">
        <w:rPr>
          <w:lang w:eastAsia="ja-JP"/>
        </w:rPr>
        <w:t xml:space="preserve"> play an important role as a knowledge source for other parents. Semi-voluntary, semi-professional, often living in the communities in which they work, they are available to give non-threatening </w:t>
      </w:r>
      <w:r w:rsidR="0027764C" w:rsidRPr="00090EED">
        <w:rPr>
          <w:lang w:eastAsia="ja-JP"/>
        </w:rPr>
        <w:t xml:space="preserve">advice </w:t>
      </w:r>
      <w:r w:rsidRPr="00090EED">
        <w:rPr>
          <w:lang w:eastAsia="ja-JP"/>
        </w:rPr>
        <w:t>to parents</w:t>
      </w:r>
      <w:r>
        <w:rPr>
          <w:lang w:eastAsia="ja-JP"/>
        </w:rPr>
        <w:t xml:space="preserve"> and this role is frequently mentioned within the interviews</w:t>
      </w:r>
      <w:r w:rsidRPr="00090EED">
        <w:rPr>
          <w:lang w:eastAsia="ja-JP"/>
        </w:rPr>
        <w:t>.</w:t>
      </w:r>
      <w:r w:rsidR="00DE0E9F" w:rsidRPr="00DE0E9F">
        <w:rPr>
          <w:b/>
          <w:lang w:eastAsia="ja-JP"/>
        </w:rPr>
        <w:t xml:space="preserve"> </w:t>
      </w:r>
      <w:r w:rsidR="001B7EB7" w:rsidRPr="001B7EB7">
        <w:rPr>
          <w:lang w:eastAsia="ja-JP"/>
        </w:rPr>
        <w:t xml:space="preserve">Emily </w:t>
      </w:r>
      <w:r w:rsidR="001B7EB7">
        <w:rPr>
          <w:lang w:eastAsia="ja-JP"/>
        </w:rPr>
        <w:t xml:space="preserve">mentions </w:t>
      </w:r>
      <w:r w:rsidR="007771C5">
        <w:rPr>
          <w:lang w:eastAsia="ja-JP"/>
        </w:rPr>
        <w:t>parents who “</w:t>
      </w:r>
      <w:r w:rsidR="001B7EB7" w:rsidRPr="001B7EB7">
        <w:rPr>
          <w:lang w:eastAsia="ja-JP"/>
        </w:rPr>
        <w:t>wanted to kn</w:t>
      </w:r>
      <w:r w:rsidR="007771C5">
        <w:rPr>
          <w:lang w:eastAsia="ja-JP"/>
        </w:rPr>
        <w:t>ow what was normal at what age”</w:t>
      </w:r>
      <w:r w:rsidR="004C2443">
        <w:rPr>
          <w:lang w:eastAsia="ja-JP"/>
        </w:rPr>
        <w:t xml:space="preserve"> and</w:t>
      </w:r>
      <w:r w:rsidR="001B7EB7">
        <w:rPr>
          <w:lang w:eastAsia="ja-JP"/>
        </w:rPr>
        <w:t xml:space="preserve"> Gina is asked to work specifically wit</w:t>
      </w:r>
      <w:r w:rsidR="007771C5">
        <w:rPr>
          <w:lang w:eastAsia="ja-JP"/>
        </w:rPr>
        <w:t xml:space="preserve">h teenage mothers </w:t>
      </w:r>
      <w:r w:rsidR="00A76FCE">
        <w:rPr>
          <w:lang w:eastAsia="ja-JP"/>
        </w:rPr>
        <w:t xml:space="preserve">experiencing difficulty </w:t>
      </w:r>
      <w:r w:rsidR="007771C5">
        <w:rPr>
          <w:lang w:eastAsia="ja-JP"/>
        </w:rPr>
        <w:t>so finds the “</w:t>
      </w:r>
      <w:r w:rsidR="001B7EB7">
        <w:rPr>
          <w:lang w:eastAsia="ja-JP"/>
        </w:rPr>
        <w:t>childcare sid</w:t>
      </w:r>
      <w:r w:rsidR="007771C5">
        <w:rPr>
          <w:lang w:eastAsia="ja-JP"/>
        </w:rPr>
        <w:t>e of it”</w:t>
      </w:r>
      <w:r w:rsidR="004C2443">
        <w:rPr>
          <w:lang w:eastAsia="ja-JP"/>
        </w:rPr>
        <w:t xml:space="preserve"> essential to her work.</w:t>
      </w:r>
      <w:r w:rsidR="004908A3">
        <w:rPr>
          <w:lang w:eastAsia="ja-JP"/>
        </w:rPr>
        <w:t xml:space="preserve"> </w:t>
      </w:r>
      <w:r w:rsidR="001B7EB7" w:rsidRPr="001B7EB7">
        <w:rPr>
          <w:lang w:eastAsia="ja-JP"/>
        </w:rPr>
        <w:t>Fiona demonstrates the retention of considerable theory and claims to have used her knowledge</w:t>
      </w:r>
      <w:r w:rsidR="0027764C">
        <w:rPr>
          <w:lang w:eastAsia="ja-JP"/>
        </w:rPr>
        <w:t xml:space="preserve"> to help her fellow nursing students grasp the</w:t>
      </w:r>
      <w:r w:rsidR="001B7EB7" w:rsidRPr="001B7EB7">
        <w:rPr>
          <w:lang w:eastAsia="ja-JP"/>
        </w:rPr>
        <w:t xml:space="preserve"> principles that were poorly taught on their course</w:t>
      </w:r>
      <w:r w:rsidR="0027764C">
        <w:rPr>
          <w:b/>
          <w:lang w:eastAsia="ja-JP"/>
        </w:rPr>
        <w:t>.</w:t>
      </w:r>
      <w:r w:rsidR="001B7EB7">
        <w:rPr>
          <w:b/>
          <w:lang w:eastAsia="ja-JP"/>
        </w:rPr>
        <w:t xml:space="preserve"> </w:t>
      </w:r>
      <w:r w:rsidR="0027764C">
        <w:rPr>
          <w:lang w:eastAsia="ja-JP"/>
        </w:rPr>
        <w:t>H</w:t>
      </w:r>
      <w:r w:rsidR="001B7EB7" w:rsidRPr="001B7EB7">
        <w:rPr>
          <w:lang w:eastAsia="ja-JP"/>
        </w:rPr>
        <w:t>ere knowledge is crossing into a different community of learners.</w:t>
      </w:r>
      <w:r w:rsidR="001B7EB7">
        <w:rPr>
          <w:b/>
          <w:lang w:eastAsia="ja-JP"/>
        </w:rPr>
        <w:t xml:space="preserve"> </w:t>
      </w:r>
      <w:r w:rsidR="004C2443">
        <w:rPr>
          <w:b/>
          <w:lang w:eastAsia="ja-JP"/>
        </w:rPr>
        <w:t xml:space="preserve"> </w:t>
      </w:r>
      <w:r w:rsidR="004C2443" w:rsidRPr="004C2443">
        <w:rPr>
          <w:lang w:eastAsia="ja-JP"/>
        </w:rPr>
        <w:t>Ilsa share</w:t>
      </w:r>
      <w:r w:rsidR="004C2443">
        <w:rPr>
          <w:lang w:eastAsia="ja-JP"/>
        </w:rPr>
        <w:t>s</w:t>
      </w:r>
      <w:r w:rsidR="004C2443" w:rsidRPr="004C2443">
        <w:rPr>
          <w:lang w:eastAsia="ja-JP"/>
        </w:rPr>
        <w:t xml:space="preserve"> her new </w:t>
      </w:r>
      <w:r w:rsidR="004C2443" w:rsidRPr="004C2443">
        <w:rPr>
          <w:lang w:eastAsia="ja-JP"/>
        </w:rPr>
        <w:lastRenderedPageBreak/>
        <w:t>knowledge within the family</w:t>
      </w:r>
      <w:r w:rsidR="004C2443">
        <w:rPr>
          <w:lang w:eastAsia="ja-JP"/>
        </w:rPr>
        <w:t>. Her</w:t>
      </w:r>
      <w:r w:rsidR="007771C5">
        <w:rPr>
          <w:lang w:eastAsia="ja-JP"/>
        </w:rPr>
        <w:t xml:space="preserve"> “</w:t>
      </w:r>
      <w:r w:rsidR="00E3417C">
        <w:rPr>
          <w:lang w:eastAsia="ja-JP"/>
        </w:rPr>
        <w:t>sister-in-law is struggling with her youngest at the moment</w:t>
      </w:r>
      <w:r w:rsidR="00E57712">
        <w:rPr>
          <w:lang w:eastAsia="ja-JP"/>
        </w:rPr>
        <w:t xml:space="preserve"> … ‘and I can advise her’.</w:t>
      </w:r>
      <w:r w:rsidR="00E3417C">
        <w:rPr>
          <w:lang w:eastAsia="ja-JP"/>
        </w:rPr>
        <w:t>.. whereas if I hadn't done child development I shouldn't have b</w:t>
      </w:r>
      <w:r w:rsidR="00E57712">
        <w:rPr>
          <w:lang w:eastAsia="ja-JP"/>
        </w:rPr>
        <w:t>een saying that”</w:t>
      </w:r>
      <w:r w:rsidR="00E3417C">
        <w:rPr>
          <w:lang w:eastAsia="ja-JP"/>
        </w:rPr>
        <w:t>.</w:t>
      </w:r>
    </w:p>
    <w:p w14:paraId="2ABDBAD0" w14:textId="77777777" w:rsidR="001B7EB7" w:rsidRPr="00090EED" w:rsidRDefault="001B7EB7" w:rsidP="005F26BA">
      <w:pPr>
        <w:jc w:val="both"/>
        <w:rPr>
          <w:lang w:eastAsia="ja-JP"/>
        </w:rPr>
      </w:pPr>
    </w:p>
    <w:p w14:paraId="687677B6" w14:textId="726563B4" w:rsidR="00576270" w:rsidRDefault="00576270" w:rsidP="005F26BA">
      <w:pPr>
        <w:jc w:val="both"/>
        <w:rPr>
          <w:lang w:eastAsia="ja-JP"/>
        </w:rPr>
      </w:pPr>
      <w:r w:rsidRPr="00576270">
        <w:rPr>
          <w:lang w:eastAsia="ja-JP"/>
        </w:rPr>
        <w:t xml:space="preserve">We should </w:t>
      </w:r>
      <w:r w:rsidR="0027764C">
        <w:rPr>
          <w:lang w:eastAsia="ja-JP"/>
        </w:rPr>
        <w:t>remember</w:t>
      </w:r>
      <w:r>
        <w:rPr>
          <w:lang w:eastAsia="ja-JP"/>
        </w:rPr>
        <w:t>,</w:t>
      </w:r>
      <w:r w:rsidRPr="00576270">
        <w:rPr>
          <w:lang w:eastAsia="ja-JP"/>
        </w:rPr>
        <w:t xml:space="preserve"> too</w:t>
      </w:r>
      <w:r>
        <w:rPr>
          <w:lang w:eastAsia="ja-JP"/>
        </w:rPr>
        <w:t xml:space="preserve">, that this </w:t>
      </w:r>
      <w:r w:rsidR="00E3417C">
        <w:rPr>
          <w:lang w:eastAsia="ja-JP"/>
        </w:rPr>
        <w:t xml:space="preserve">supportive </w:t>
      </w:r>
      <w:r>
        <w:rPr>
          <w:lang w:eastAsia="ja-JP"/>
        </w:rPr>
        <w:t xml:space="preserve">role developed out of the women’s greater insights into children and their needs and many felt that this </w:t>
      </w:r>
      <w:r w:rsidR="00E3417C">
        <w:rPr>
          <w:lang w:eastAsia="ja-JP"/>
        </w:rPr>
        <w:t>benefited</w:t>
      </w:r>
      <w:r>
        <w:rPr>
          <w:lang w:eastAsia="ja-JP"/>
        </w:rPr>
        <w:t xml:space="preserve"> their personal parenting skil</w:t>
      </w:r>
      <w:r w:rsidR="00E57712">
        <w:rPr>
          <w:lang w:eastAsia="ja-JP"/>
        </w:rPr>
        <w:t>ls. Cindy talks of now knowing “</w:t>
      </w:r>
      <w:r>
        <w:rPr>
          <w:lang w:eastAsia="ja-JP"/>
        </w:rPr>
        <w:t>how to understa</w:t>
      </w:r>
      <w:r w:rsidR="00E57712">
        <w:rPr>
          <w:lang w:eastAsia="ja-JP"/>
        </w:rPr>
        <w:t>nd children”</w:t>
      </w:r>
      <w:r>
        <w:rPr>
          <w:lang w:eastAsia="ja-JP"/>
        </w:rPr>
        <w:t xml:space="preserve">; </w:t>
      </w:r>
      <w:r w:rsidR="00100726">
        <w:rPr>
          <w:lang w:eastAsia="ja-JP"/>
        </w:rPr>
        <w:t>Holly says</w:t>
      </w:r>
      <w:r w:rsidR="00E57712">
        <w:rPr>
          <w:lang w:eastAsia="ja-JP"/>
        </w:rPr>
        <w:t>: “</w:t>
      </w:r>
      <w:r w:rsidR="00100726">
        <w:rPr>
          <w:lang w:eastAsia="ja-JP"/>
        </w:rPr>
        <w:t>If I learn all this I can transfer it to my children,</w:t>
      </w:r>
      <w:r w:rsidR="00E57712">
        <w:rPr>
          <w:lang w:eastAsia="ja-JP"/>
        </w:rPr>
        <w:t xml:space="preserve"> my children shouldn't go amiss”</w:t>
      </w:r>
      <w:r w:rsidR="00100726">
        <w:rPr>
          <w:lang w:eastAsia="ja-JP"/>
        </w:rPr>
        <w:t xml:space="preserve"> even as she plans career progression</w:t>
      </w:r>
      <w:r w:rsidR="00E3417C">
        <w:rPr>
          <w:lang w:eastAsia="ja-JP"/>
        </w:rPr>
        <w:t xml:space="preserve"> within childcare</w:t>
      </w:r>
      <w:r w:rsidR="00100726">
        <w:rPr>
          <w:lang w:eastAsia="ja-JP"/>
        </w:rPr>
        <w:t>.</w:t>
      </w:r>
      <w:r w:rsidR="00745DB1">
        <w:rPr>
          <w:lang w:eastAsia="ja-JP"/>
        </w:rPr>
        <w:t xml:space="preserve"> </w:t>
      </w:r>
      <w:r w:rsidR="00100726">
        <w:rPr>
          <w:lang w:eastAsia="ja-JP"/>
        </w:rPr>
        <w:t>There is evidence in the interview</w:t>
      </w:r>
      <w:r w:rsidR="00745DB1">
        <w:rPr>
          <w:lang w:eastAsia="ja-JP"/>
        </w:rPr>
        <w:t xml:space="preserve">s of </w:t>
      </w:r>
      <w:r w:rsidR="00A76FCE">
        <w:rPr>
          <w:lang w:eastAsia="ja-JP"/>
        </w:rPr>
        <w:t xml:space="preserve">significant </w:t>
      </w:r>
      <w:r w:rsidR="00745DB1">
        <w:rPr>
          <w:lang w:eastAsia="ja-JP"/>
        </w:rPr>
        <w:t>learning taking place</w:t>
      </w:r>
      <w:r w:rsidR="00E57712">
        <w:rPr>
          <w:lang w:eastAsia="ja-JP"/>
        </w:rPr>
        <w:t>: Ingrid says “</w:t>
      </w:r>
      <w:r w:rsidR="00100726">
        <w:rPr>
          <w:lang w:eastAsia="ja-JP"/>
        </w:rPr>
        <w:t>you then taught us to so</w:t>
      </w:r>
      <w:r w:rsidR="00E57712">
        <w:rPr>
          <w:lang w:eastAsia="ja-JP"/>
        </w:rPr>
        <w:t>rt of look behind the behaviour”</w:t>
      </w:r>
      <w:r w:rsidR="00100726">
        <w:rPr>
          <w:lang w:eastAsia="ja-JP"/>
        </w:rPr>
        <w:t xml:space="preserve">; </w:t>
      </w:r>
      <w:r w:rsidR="00E57712">
        <w:rPr>
          <w:lang w:eastAsia="ja-JP"/>
        </w:rPr>
        <w:t>Daisy claims that “</w:t>
      </w:r>
      <w:r w:rsidR="00745DB1">
        <w:rPr>
          <w:lang w:eastAsia="ja-JP"/>
        </w:rPr>
        <w:t>some things you learn and you ar</w:t>
      </w:r>
      <w:r w:rsidR="00E57712">
        <w:rPr>
          <w:lang w:eastAsia="ja-JP"/>
        </w:rPr>
        <w:t>e not quite the same afterwards”</w:t>
      </w:r>
      <w:r w:rsidR="00745DB1">
        <w:rPr>
          <w:lang w:eastAsia="ja-JP"/>
        </w:rPr>
        <w:t>;</w:t>
      </w:r>
      <w:r w:rsidR="00E57712">
        <w:rPr>
          <w:lang w:eastAsia="ja-JP"/>
        </w:rPr>
        <w:t xml:space="preserve"> Heidi believes “</w:t>
      </w:r>
      <w:r w:rsidR="00100726">
        <w:rPr>
          <w:lang w:eastAsia="ja-JP"/>
        </w:rPr>
        <w:t xml:space="preserve">if you tie it all together there is no reason why you should </w:t>
      </w:r>
      <w:r w:rsidR="00E57712">
        <w:rPr>
          <w:lang w:eastAsia="ja-JP"/>
        </w:rPr>
        <w:t>ever have a child every crying…”</w:t>
      </w:r>
      <w:r w:rsidR="004B6B54">
        <w:rPr>
          <w:lang w:eastAsia="ja-JP"/>
        </w:rPr>
        <w:t>; and</w:t>
      </w:r>
      <w:r w:rsidR="00745DB1">
        <w:rPr>
          <w:lang w:eastAsia="ja-JP"/>
        </w:rPr>
        <w:t xml:space="preserve"> </w:t>
      </w:r>
      <w:r w:rsidR="00100726">
        <w:rPr>
          <w:lang w:eastAsia="ja-JP"/>
        </w:rPr>
        <w:t>Imogen, one of the younger and childless students</w:t>
      </w:r>
      <w:r w:rsidR="00745DB1">
        <w:rPr>
          <w:lang w:eastAsia="ja-JP"/>
        </w:rPr>
        <w:t>,</w:t>
      </w:r>
      <w:r w:rsidR="00100726">
        <w:rPr>
          <w:lang w:eastAsia="ja-JP"/>
        </w:rPr>
        <w:t xml:space="preserve"> begins t</w:t>
      </w:r>
      <w:r w:rsidR="00E57712">
        <w:rPr>
          <w:lang w:eastAsia="ja-JP"/>
        </w:rPr>
        <w:t>o really understand children:  “</w:t>
      </w:r>
      <w:r w:rsidR="00100726">
        <w:rPr>
          <w:lang w:eastAsia="ja-JP"/>
        </w:rPr>
        <w:t>I see them as people who need to be treated well and given respec</w:t>
      </w:r>
      <w:r w:rsidR="00E57712">
        <w:rPr>
          <w:lang w:eastAsia="ja-JP"/>
        </w:rPr>
        <w:t>t and love mainly – and cuddles”</w:t>
      </w:r>
      <w:r w:rsidR="00100726">
        <w:rPr>
          <w:lang w:eastAsia="ja-JP"/>
        </w:rPr>
        <w:t>.</w:t>
      </w:r>
    </w:p>
    <w:p w14:paraId="498F09A1" w14:textId="77777777" w:rsidR="00745DB1" w:rsidRDefault="00745DB1" w:rsidP="005F26BA">
      <w:pPr>
        <w:jc w:val="both"/>
        <w:rPr>
          <w:lang w:eastAsia="ja-JP"/>
        </w:rPr>
      </w:pPr>
    </w:p>
    <w:p w14:paraId="066ADC5D" w14:textId="6D348CDC" w:rsidR="00090EED" w:rsidRDefault="00576270" w:rsidP="005F26BA">
      <w:pPr>
        <w:jc w:val="both"/>
        <w:rPr>
          <w:lang w:eastAsia="ja-JP"/>
        </w:rPr>
      </w:pPr>
      <w:r>
        <w:rPr>
          <w:lang w:eastAsia="ja-JP"/>
        </w:rPr>
        <w:t xml:space="preserve">The community benefits whenever children are treated with compassion and insight, whoever the </w:t>
      </w:r>
      <w:r w:rsidR="00745DB1">
        <w:rPr>
          <w:lang w:eastAsia="ja-JP"/>
        </w:rPr>
        <w:t xml:space="preserve">parents are, and even when the </w:t>
      </w:r>
      <w:r>
        <w:rPr>
          <w:lang w:eastAsia="ja-JP"/>
        </w:rPr>
        <w:t>new knowledge is accessed aft</w:t>
      </w:r>
      <w:r w:rsidR="00745DB1">
        <w:rPr>
          <w:lang w:eastAsia="ja-JP"/>
        </w:rPr>
        <w:t>er the familial need has passed. C</w:t>
      </w:r>
      <w:r>
        <w:rPr>
          <w:lang w:eastAsia="ja-JP"/>
        </w:rPr>
        <w:t>hildren are very adaptable and parents have many opportunities to put matters right as they learn better ways to show they care</w:t>
      </w:r>
      <w:r w:rsidR="00745DB1">
        <w:rPr>
          <w:lang w:eastAsia="ja-JP"/>
        </w:rPr>
        <w:t>,</w:t>
      </w:r>
      <w:r>
        <w:rPr>
          <w:lang w:eastAsia="ja-JP"/>
        </w:rPr>
        <w:t xml:space="preserve"> and the retrospective anguish reinforces the new lea</w:t>
      </w:r>
      <w:r w:rsidR="00E57712">
        <w:rPr>
          <w:lang w:eastAsia="ja-JP"/>
        </w:rPr>
        <w:t>rning.  So when Celia talks of “saying out LOUD ‘</w:t>
      </w:r>
      <w:r>
        <w:rPr>
          <w:lang w:eastAsia="ja-JP"/>
        </w:rPr>
        <w:t>I wish I'd known that when C</w:t>
      </w:r>
      <w:r w:rsidR="004908A3">
        <w:rPr>
          <w:lang w:eastAsia="ja-JP"/>
        </w:rPr>
        <w:t>[</w:t>
      </w:r>
      <w:r>
        <w:rPr>
          <w:lang w:eastAsia="ja-JP"/>
        </w:rPr>
        <w:t>xxx</w:t>
      </w:r>
      <w:r w:rsidR="004908A3">
        <w:rPr>
          <w:lang w:eastAsia="ja-JP"/>
        </w:rPr>
        <w:t>]</w:t>
      </w:r>
      <w:r w:rsidR="00E57712">
        <w:rPr>
          <w:lang w:eastAsia="ja-JP"/>
        </w:rPr>
        <w:t xml:space="preserve"> was two years old’</w:t>
      </w:r>
      <w:r>
        <w:rPr>
          <w:lang w:eastAsia="ja-JP"/>
        </w:rPr>
        <w:t>, why doesn</w:t>
      </w:r>
      <w:r w:rsidR="00E57712">
        <w:rPr>
          <w:lang w:eastAsia="ja-JP"/>
        </w:rPr>
        <w:t>’t anyone tell us these things?”</w:t>
      </w:r>
      <w:r>
        <w:rPr>
          <w:lang w:eastAsia="ja-JP"/>
        </w:rPr>
        <w:t xml:space="preserve"> society still benefits. She </w:t>
      </w:r>
      <w:r w:rsidR="00745DB1">
        <w:rPr>
          <w:lang w:eastAsia="ja-JP"/>
        </w:rPr>
        <w:t>can see that</w:t>
      </w:r>
      <w:r>
        <w:rPr>
          <w:lang w:eastAsia="ja-JP"/>
        </w:rPr>
        <w:t xml:space="preserve"> the new knowledge </w:t>
      </w:r>
      <w:r w:rsidR="00745DB1">
        <w:rPr>
          <w:lang w:eastAsia="ja-JP"/>
        </w:rPr>
        <w:t>has</w:t>
      </w:r>
      <w:r w:rsidR="00E57712">
        <w:rPr>
          <w:lang w:eastAsia="ja-JP"/>
        </w:rPr>
        <w:t xml:space="preserve"> been “</w:t>
      </w:r>
      <w:r>
        <w:rPr>
          <w:lang w:eastAsia="ja-JP"/>
        </w:rPr>
        <w:t>the most useful, specifically because I have been working with mu</w:t>
      </w:r>
      <w:r w:rsidR="00E57712">
        <w:rPr>
          <w:lang w:eastAsia="ja-JP"/>
        </w:rPr>
        <w:t>ms and two-year-olds …</w:t>
      </w:r>
      <w:r w:rsidR="004B6B54">
        <w:rPr>
          <w:lang w:eastAsia="ja-JP"/>
        </w:rPr>
        <w:t>saying:</w:t>
      </w:r>
      <w:r w:rsidR="00E57712">
        <w:rPr>
          <w:lang w:eastAsia="ja-JP"/>
        </w:rPr>
        <w:t xml:space="preserve"> ‘</w:t>
      </w:r>
      <w:r>
        <w:rPr>
          <w:lang w:eastAsia="ja-JP"/>
        </w:rPr>
        <w:t>that’s okay, that’s normal, don’t worry</w:t>
      </w:r>
      <w:r w:rsidR="00E57712">
        <w:rPr>
          <w:lang w:eastAsia="ja-JP"/>
        </w:rPr>
        <w:t>’.”</w:t>
      </w:r>
    </w:p>
    <w:p w14:paraId="108CB964" w14:textId="77777777" w:rsidR="00576270" w:rsidRDefault="00576270" w:rsidP="005F26BA">
      <w:pPr>
        <w:jc w:val="both"/>
        <w:rPr>
          <w:lang w:eastAsia="ja-JP"/>
        </w:rPr>
      </w:pPr>
    </w:p>
    <w:p w14:paraId="01B0EFE6" w14:textId="77777777" w:rsidR="00576270" w:rsidRPr="00576270" w:rsidRDefault="00576270" w:rsidP="005F26BA">
      <w:pPr>
        <w:jc w:val="both"/>
        <w:rPr>
          <w:lang w:eastAsia="ja-JP"/>
        </w:rPr>
      </w:pPr>
    </w:p>
    <w:p w14:paraId="56A89D38" w14:textId="17FD77D2" w:rsidR="008370D8" w:rsidRPr="000B4AC7" w:rsidRDefault="00090EED" w:rsidP="00DB1172">
      <w:pPr>
        <w:pStyle w:val="Heading3"/>
        <w:rPr>
          <w:lang w:eastAsia="ja-JP"/>
        </w:rPr>
      </w:pPr>
      <w:r w:rsidRPr="000B4AC7">
        <w:rPr>
          <w:lang w:eastAsia="ja-JP"/>
        </w:rPr>
        <w:t>4.2.4</w:t>
      </w:r>
      <w:r w:rsidR="008370D8" w:rsidRPr="000B4AC7">
        <w:rPr>
          <w:lang w:eastAsia="ja-JP"/>
        </w:rPr>
        <w:t xml:space="preserve"> </w:t>
      </w:r>
      <w:r w:rsidRPr="000B4AC7">
        <w:rPr>
          <w:lang w:eastAsia="ja-JP"/>
        </w:rPr>
        <w:t>Active</w:t>
      </w:r>
      <w:r w:rsidR="008370D8" w:rsidRPr="000B4AC7">
        <w:rPr>
          <w:lang w:eastAsia="ja-JP"/>
        </w:rPr>
        <w:t xml:space="preserve"> contribution</w:t>
      </w:r>
    </w:p>
    <w:p w14:paraId="2D046187" w14:textId="77777777" w:rsidR="000B4AC7" w:rsidRDefault="000B4AC7" w:rsidP="005F26BA">
      <w:pPr>
        <w:jc w:val="both"/>
        <w:rPr>
          <w:b/>
          <w:lang w:eastAsia="ja-JP"/>
        </w:rPr>
      </w:pPr>
    </w:p>
    <w:p w14:paraId="0B21074C" w14:textId="73D6D74D" w:rsidR="0015500E" w:rsidRDefault="00055D97" w:rsidP="005F26BA">
      <w:pPr>
        <w:jc w:val="both"/>
        <w:rPr>
          <w:lang w:eastAsia="ja-JP"/>
        </w:rPr>
      </w:pPr>
      <w:r>
        <w:rPr>
          <w:lang w:eastAsia="ja-JP"/>
        </w:rPr>
        <w:t xml:space="preserve">Just through being members of the community, through their roles as parents, and as workers, all the students were directly contributing to society. </w:t>
      </w:r>
      <w:r w:rsidR="0015500E">
        <w:rPr>
          <w:lang w:eastAsia="ja-JP"/>
        </w:rPr>
        <w:t>Overall, there is evidence that most of the students were running pre-schools on minimum rates of pay</w:t>
      </w:r>
      <w:r w:rsidR="00A76FCE">
        <w:rPr>
          <w:lang w:eastAsia="ja-JP"/>
        </w:rPr>
        <w:t xml:space="preserve"> and working far longer hours than they were paid for</w:t>
      </w:r>
      <w:r w:rsidR="0015500E">
        <w:rPr>
          <w:lang w:eastAsia="ja-JP"/>
        </w:rPr>
        <w:t xml:space="preserve">. Even those working in schools, like Evelyn, were doing far more than they were expected to </w:t>
      </w:r>
      <w:r w:rsidR="00A76FCE">
        <w:rPr>
          <w:lang w:eastAsia="ja-JP"/>
        </w:rPr>
        <w:t xml:space="preserve">do, </w:t>
      </w:r>
      <w:r w:rsidR="0015500E">
        <w:rPr>
          <w:lang w:eastAsia="ja-JP"/>
        </w:rPr>
        <w:t>according to their contracts. Some were seeking to further their experience to support personal career development but many were simply continuing to do whatever they could to be helpful and to support the children in their care, raising ques</w:t>
      </w:r>
      <w:r w:rsidR="00E57712">
        <w:rPr>
          <w:lang w:eastAsia="ja-JP"/>
        </w:rPr>
        <w:t>tions about where working with “fuzzy boundaries”</w:t>
      </w:r>
      <w:r w:rsidR="0015500E">
        <w:rPr>
          <w:lang w:eastAsia="ja-JP"/>
        </w:rPr>
        <w:t xml:space="preserve"> crosses into exploitation. H</w:t>
      </w:r>
      <w:r w:rsidR="0031482B">
        <w:rPr>
          <w:lang w:eastAsia="ja-JP"/>
        </w:rPr>
        <w:t>eena</w:t>
      </w:r>
      <w:r w:rsidR="0015500E">
        <w:rPr>
          <w:lang w:eastAsia="ja-JP"/>
        </w:rPr>
        <w:t xml:space="preserve"> </w:t>
      </w:r>
      <w:r w:rsidR="0031482B">
        <w:rPr>
          <w:lang w:eastAsia="ja-JP"/>
        </w:rPr>
        <w:t xml:space="preserve">makes this problem </w:t>
      </w:r>
      <w:r w:rsidR="0015500E">
        <w:rPr>
          <w:lang w:eastAsia="ja-JP"/>
        </w:rPr>
        <w:t>apparent when she complains that willingness s</w:t>
      </w:r>
      <w:r w:rsidR="00E57712">
        <w:rPr>
          <w:lang w:eastAsia="ja-JP"/>
        </w:rPr>
        <w:t>ets up new expectations. “</w:t>
      </w:r>
      <w:r w:rsidR="0031482B">
        <w:rPr>
          <w:lang w:eastAsia="ja-JP"/>
        </w:rPr>
        <w:t>W</w:t>
      </w:r>
      <w:r w:rsidR="009C6D6E">
        <w:rPr>
          <w:lang w:eastAsia="ja-JP"/>
        </w:rPr>
        <w:t>hy we take on all that extr</w:t>
      </w:r>
      <w:r w:rsidR="0031482B">
        <w:rPr>
          <w:lang w:eastAsia="ja-JP"/>
        </w:rPr>
        <w:t>a</w:t>
      </w:r>
      <w:r w:rsidR="009C6D6E">
        <w:rPr>
          <w:lang w:eastAsia="ja-JP"/>
        </w:rPr>
        <w:t xml:space="preserve"> work is because we are asked to do it </w:t>
      </w:r>
      <w:r w:rsidR="009C6D6E" w:rsidRPr="0031482B">
        <w:rPr>
          <w:i/>
          <w:lang w:eastAsia="ja-JP"/>
        </w:rPr>
        <w:t xml:space="preserve">slowly </w:t>
      </w:r>
      <w:r w:rsidR="0031482B">
        <w:rPr>
          <w:lang w:eastAsia="ja-JP"/>
        </w:rPr>
        <w:t>and i</w:t>
      </w:r>
      <w:r w:rsidR="009C6D6E">
        <w:rPr>
          <w:lang w:eastAsia="ja-JP"/>
        </w:rPr>
        <w:t>t build</w:t>
      </w:r>
      <w:r w:rsidR="0031482B">
        <w:rPr>
          <w:lang w:eastAsia="ja-JP"/>
        </w:rPr>
        <w:t>s up, that’</w:t>
      </w:r>
      <w:r w:rsidR="009C6D6E">
        <w:rPr>
          <w:lang w:eastAsia="ja-JP"/>
        </w:rPr>
        <w:t>s what I found, it b</w:t>
      </w:r>
      <w:r w:rsidR="0031482B">
        <w:rPr>
          <w:lang w:eastAsia="ja-JP"/>
        </w:rPr>
        <w:t>uilds up, builds up, builds up u</w:t>
      </w:r>
      <w:r w:rsidR="00E57712">
        <w:rPr>
          <w:lang w:eastAsia="ja-JP"/>
        </w:rPr>
        <w:t>ntil it's too much”</w:t>
      </w:r>
      <w:r w:rsidR="0031482B">
        <w:rPr>
          <w:lang w:eastAsia="ja-JP"/>
        </w:rPr>
        <w:t xml:space="preserve">. In contrast, Irene has walked away from a leader’s job </w:t>
      </w:r>
      <w:r w:rsidR="00A76FCE">
        <w:rPr>
          <w:lang w:eastAsia="ja-JP"/>
        </w:rPr>
        <w:t>as</w:t>
      </w:r>
      <w:r w:rsidR="0031482B">
        <w:rPr>
          <w:lang w:eastAsia="ja-JP"/>
        </w:rPr>
        <w:t xml:space="preserve"> the voluntary committee challenged her judgement</w:t>
      </w:r>
      <w:r w:rsidR="00A76FCE">
        <w:rPr>
          <w:lang w:eastAsia="ja-JP"/>
        </w:rPr>
        <w:t>,</w:t>
      </w:r>
      <w:r w:rsidR="0031482B">
        <w:rPr>
          <w:lang w:eastAsia="ja-JP"/>
        </w:rPr>
        <w:t xml:space="preserve"> and is turning down offers of new fu</w:t>
      </w:r>
      <w:r w:rsidR="00E57712">
        <w:rPr>
          <w:lang w:eastAsia="ja-JP"/>
        </w:rPr>
        <w:t>ll-time posts. She thinks that “</w:t>
      </w:r>
      <w:r w:rsidR="0031482B">
        <w:rPr>
          <w:lang w:eastAsia="ja-JP"/>
        </w:rPr>
        <w:t xml:space="preserve">what is expected of volunteer parents is </w:t>
      </w:r>
      <w:r w:rsidR="00E57712">
        <w:rPr>
          <w:lang w:eastAsia="ja-JP"/>
        </w:rPr>
        <w:t>too much”</w:t>
      </w:r>
      <w:r w:rsidR="0031482B">
        <w:rPr>
          <w:lang w:eastAsia="ja-JP"/>
        </w:rPr>
        <w:t xml:space="preserve"> and does not intend to go down that route again, preferring instead to undertake some advisory work for a local private nursery.</w:t>
      </w:r>
    </w:p>
    <w:p w14:paraId="4497780A" w14:textId="77777777" w:rsidR="0015500E" w:rsidRDefault="0015500E" w:rsidP="005F26BA">
      <w:pPr>
        <w:jc w:val="both"/>
        <w:rPr>
          <w:lang w:eastAsia="ja-JP"/>
        </w:rPr>
      </w:pPr>
    </w:p>
    <w:p w14:paraId="5DE63B4D" w14:textId="6CDD74D8" w:rsidR="00E01F3C" w:rsidRDefault="00A76FCE" w:rsidP="005F26BA">
      <w:pPr>
        <w:jc w:val="both"/>
        <w:rPr>
          <w:lang w:eastAsia="ja-JP"/>
        </w:rPr>
      </w:pPr>
      <w:r>
        <w:rPr>
          <w:lang w:eastAsia="ja-JP"/>
        </w:rPr>
        <w:t>For some</w:t>
      </w:r>
      <w:r w:rsidR="0031482B">
        <w:rPr>
          <w:lang w:eastAsia="ja-JP"/>
        </w:rPr>
        <w:t xml:space="preserve"> students</w:t>
      </w:r>
      <w:r w:rsidR="00055D97">
        <w:rPr>
          <w:lang w:eastAsia="ja-JP"/>
        </w:rPr>
        <w:t xml:space="preserve">, however, it is possible </w:t>
      </w:r>
      <w:r w:rsidR="009C6D6E">
        <w:rPr>
          <w:lang w:eastAsia="ja-JP"/>
        </w:rPr>
        <w:t xml:space="preserve">to </w:t>
      </w:r>
      <w:r w:rsidR="00055D97">
        <w:rPr>
          <w:lang w:eastAsia="ja-JP"/>
        </w:rPr>
        <w:t xml:space="preserve">claim that the diploma course </w:t>
      </w:r>
      <w:r w:rsidR="0015500E">
        <w:rPr>
          <w:lang w:eastAsia="ja-JP"/>
        </w:rPr>
        <w:t xml:space="preserve">enabled them to </w:t>
      </w:r>
      <w:r w:rsidR="00971C09">
        <w:rPr>
          <w:lang w:eastAsia="ja-JP"/>
        </w:rPr>
        <w:t xml:space="preserve">stand up </w:t>
      </w:r>
      <w:r w:rsidR="0015500E">
        <w:rPr>
          <w:lang w:eastAsia="ja-JP"/>
        </w:rPr>
        <w:t>for values they believe to be important.</w:t>
      </w:r>
      <w:r w:rsidR="009C6D6E">
        <w:rPr>
          <w:lang w:eastAsia="ja-JP"/>
        </w:rPr>
        <w:t xml:space="preserve"> </w:t>
      </w:r>
      <w:r w:rsidR="00E57712">
        <w:rPr>
          <w:lang w:eastAsia="ja-JP"/>
        </w:rPr>
        <w:t>Despite not being a “</w:t>
      </w:r>
      <w:r w:rsidR="00971C09">
        <w:rPr>
          <w:lang w:eastAsia="ja-JP"/>
        </w:rPr>
        <w:t>joining-committee-er-running- thing</w:t>
      </w:r>
      <w:r w:rsidR="00E57712">
        <w:rPr>
          <w:lang w:eastAsia="ja-JP"/>
        </w:rPr>
        <w:t>s-type person really”,</w:t>
      </w:r>
      <w:r w:rsidR="00E01F3C">
        <w:rPr>
          <w:lang w:eastAsia="ja-JP"/>
        </w:rPr>
        <w:t xml:space="preserve"> Avril went</w:t>
      </w:r>
      <w:r w:rsidR="00971C09">
        <w:rPr>
          <w:lang w:eastAsia="ja-JP"/>
        </w:rPr>
        <w:t xml:space="preserve"> on to become an adult education tutor and spends a great deal of energy trying to shape the future of the Early Years</w:t>
      </w:r>
      <w:r w:rsidR="00E01F3C">
        <w:rPr>
          <w:lang w:eastAsia="ja-JP"/>
        </w:rPr>
        <w:t xml:space="preserve"> profession in appropriate ways. She is vocal in favouring external </w:t>
      </w:r>
      <w:r w:rsidR="00971C09">
        <w:rPr>
          <w:lang w:eastAsia="ja-JP"/>
        </w:rPr>
        <w:t xml:space="preserve">taught courses </w:t>
      </w:r>
      <w:r w:rsidR="00E01F3C">
        <w:rPr>
          <w:lang w:eastAsia="ja-JP"/>
        </w:rPr>
        <w:t xml:space="preserve">over in-house training </w:t>
      </w:r>
      <w:r w:rsidR="0015500E">
        <w:rPr>
          <w:lang w:eastAsia="ja-JP"/>
        </w:rPr>
        <w:t xml:space="preserve">as this </w:t>
      </w:r>
      <w:r w:rsidR="00E01F3C">
        <w:rPr>
          <w:lang w:eastAsia="ja-JP"/>
        </w:rPr>
        <w:t xml:space="preserve">perpetuates local practice rather than enabling change. She is also concerned about </w:t>
      </w:r>
      <w:r w:rsidR="00971C09">
        <w:rPr>
          <w:lang w:eastAsia="ja-JP"/>
        </w:rPr>
        <w:lastRenderedPageBreak/>
        <w:t xml:space="preserve">competence-based National Vocation Qualifications </w:t>
      </w:r>
      <w:r w:rsidR="00E01F3C">
        <w:rPr>
          <w:lang w:eastAsia="ja-JP"/>
        </w:rPr>
        <w:t xml:space="preserve">as the assessment for these is a tick-box exercise and </w:t>
      </w:r>
      <w:r w:rsidR="00E57712">
        <w:rPr>
          <w:lang w:eastAsia="ja-JP"/>
        </w:rPr>
        <w:t>“</w:t>
      </w:r>
      <w:r w:rsidR="00971C09">
        <w:rPr>
          <w:lang w:eastAsia="ja-JP"/>
        </w:rPr>
        <w:t>doe</w:t>
      </w:r>
      <w:r w:rsidR="00E01F3C">
        <w:rPr>
          <w:lang w:eastAsia="ja-JP"/>
        </w:rPr>
        <w:t>sn’</w:t>
      </w:r>
      <w:r w:rsidR="00971C09">
        <w:rPr>
          <w:lang w:eastAsia="ja-JP"/>
        </w:rPr>
        <w:t xml:space="preserve">t mean they </w:t>
      </w:r>
      <w:r w:rsidR="0015500E">
        <w:rPr>
          <w:lang w:eastAsia="ja-JP"/>
        </w:rPr>
        <w:t xml:space="preserve">[students] </w:t>
      </w:r>
      <w:r w:rsidR="00971C09">
        <w:rPr>
          <w:lang w:eastAsia="ja-JP"/>
        </w:rPr>
        <w:t>can do it, or understand it, or have gai</w:t>
      </w:r>
      <w:r w:rsidR="00E57712">
        <w:rPr>
          <w:lang w:eastAsia="ja-JP"/>
        </w:rPr>
        <w:t>ned anything form it whatsoever”</w:t>
      </w:r>
      <w:r w:rsidR="00055D97">
        <w:rPr>
          <w:lang w:eastAsia="ja-JP"/>
        </w:rPr>
        <w:t>.</w:t>
      </w:r>
      <w:r w:rsidR="009C6D6E">
        <w:rPr>
          <w:lang w:eastAsia="ja-JP"/>
        </w:rPr>
        <w:t xml:space="preserve"> </w:t>
      </w:r>
      <w:r w:rsidR="00E01F3C">
        <w:rPr>
          <w:lang w:eastAsia="ja-JP"/>
        </w:rPr>
        <w:t>Beryl took a job in a school but stand</w:t>
      </w:r>
      <w:r w:rsidR="00532AF0">
        <w:rPr>
          <w:lang w:eastAsia="ja-JP"/>
        </w:rPr>
        <w:t>s</w:t>
      </w:r>
      <w:r w:rsidR="00E01F3C">
        <w:rPr>
          <w:lang w:eastAsia="ja-JP"/>
        </w:rPr>
        <w:t xml:space="preserve"> up to practice tha</w:t>
      </w:r>
      <w:r w:rsidR="00E57712">
        <w:rPr>
          <w:lang w:eastAsia="ja-JP"/>
        </w:rPr>
        <w:t>t permits school ideas to come “</w:t>
      </w:r>
      <w:r w:rsidR="00E01F3C">
        <w:rPr>
          <w:lang w:eastAsia="ja-JP"/>
        </w:rPr>
        <w:t>right the way down to th</w:t>
      </w:r>
      <w:r w:rsidR="00532AF0">
        <w:rPr>
          <w:lang w:eastAsia="ja-JP"/>
        </w:rPr>
        <w:t>e</w:t>
      </w:r>
      <w:r w:rsidR="00E57712">
        <w:rPr>
          <w:lang w:eastAsia="ja-JP"/>
        </w:rPr>
        <w:t xml:space="preserve"> nursery”</w:t>
      </w:r>
      <w:r w:rsidR="00A8326D">
        <w:rPr>
          <w:lang w:eastAsia="ja-JP"/>
        </w:rPr>
        <w:t>. Her Head</w:t>
      </w:r>
      <w:r w:rsidR="00E01F3C">
        <w:rPr>
          <w:lang w:eastAsia="ja-JP"/>
        </w:rPr>
        <w:t>teacher, unaware of the needs of young children</w:t>
      </w:r>
      <w:r w:rsidR="00E57712">
        <w:rPr>
          <w:lang w:eastAsia="ja-JP"/>
        </w:rPr>
        <w:t>,</w:t>
      </w:r>
      <w:r w:rsidR="00E01F3C">
        <w:rPr>
          <w:lang w:eastAsia="ja-JP"/>
        </w:rPr>
        <w:t xml:space="preserve"> imposes success criteria incomprehensible to </w:t>
      </w:r>
      <w:r w:rsidR="00532AF0">
        <w:rPr>
          <w:lang w:eastAsia="ja-JP"/>
        </w:rPr>
        <w:t>them</w:t>
      </w:r>
      <w:r w:rsidR="00E57712">
        <w:rPr>
          <w:lang w:eastAsia="ja-JP"/>
        </w:rPr>
        <w:t xml:space="preserve"> on all classes – </w:t>
      </w:r>
      <w:r w:rsidR="00E01F3C">
        <w:rPr>
          <w:lang w:eastAsia="ja-JP"/>
        </w:rPr>
        <w:t>paperwork</w:t>
      </w:r>
      <w:r w:rsidR="00532AF0">
        <w:rPr>
          <w:lang w:eastAsia="ja-JP"/>
        </w:rPr>
        <w:t>, and parental consul</w:t>
      </w:r>
      <w:r w:rsidR="00E01F3C">
        <w:rPr>
          <w:lang w:eastAsia="ja-JP"/>
        </w:rPr>
        <w:t>tations</w:t>
      </w:r>
      <w:r w:rsidR="00532AF0">
        <w:rPr>
          <w:lang w:eastAsia="ja-JP"/>
        </w:rPr>
        <w:t>, management strategies (like formal absence reporting) and curric</w:t>
      </w:r>
      <w:r w:rsidR="00E01F3C">
        <w:rPr>
          <w:lang w:eastAsia="ja-JP"/>
        </w:rPr>
        <w:t>ulum behaviours</w:t>
      </w:r>
      <w:r w:rsidR="00532AF0">
        <w:rPr>
          <w:lang w:eastAsia="ja-JP"/>
        </w:rPr>
        <w:t xml:space="preserve"> (set literacy and numeracy policies, zoned activity planning to share scarce resources)</w:t>
      </w:r>
      <w:r w:rsidR="00E01F3C">
        <w:rPr>
          <w:lang w:eastAsia="ja-JP"/>
        </w:rPr>
        <w:t xml:space="preserve"> </w:t>
      </w:r>
      <w:r w:rsidR="00E57712">
        <w:rPr>
          <w:lang w:eastAsia="ja-JP"/>
        </w:rPr>
        <w:t xml:space="preserve">– </w:t>
      </w:r>
      <w:r w:rsidR="00E01F3C">
        <w:rPr>
          <w:lang w:eastAsia="ja-JP"/>
        </w:rPr>
        <w:t>that are inappropriate.</w:t>
      </w:r>
    </w:p>
    <w:p w14:paraId="64472073" w14:textId="77777777" w:rsidR="00532AF0" w:rsidRDefault="00532AF0" w:rsidP="005F26BA">
      <w:pPr>
        <w:jc w:val="both"/>
        <w:rPr>
          <w:lang w:eastAsia="ja-JP"/>
        </w:rPr>
      </w:pPr>
    </w:p>
    <w:p w14:paraId="17B4D264" w14:textId="2E27F68E" w:rsidR="00532AF0" w:rsidRDefault="0015500E" w:rsidP="005F26BA">
      <w:pPr>
        <w:jc w:val="both"/>
        <w:rPr>
          <w:lang w:eastAsia="ja-JP"/>
        </w:rPr>
      </w:pPr>
      <w:r>
        <w:rPr>
          <w:lang w:eastAsia="ja-JP"/>
        </w:rPr>
        <w:t xml:space="preserve">A few </w:t>
      </w:r>
      <w:r w:rsidR="00A76FCE">
        <w:rPr>
          <w:lang w:eastAsia="ja-JP"/>
        </w:rPr>
        <w:t xml:space="preserve">students </w:t>
      </w:r>
      <w:r>
        <w:rPr>
          <w:lang w:eastAsia="ja-JP"/>
        </w:rPr>
        <w:t xml:space="preserve">take on </w:t>
      </w:r>
      <w:r w:rsidR="00A76FCE">
        <w:rPr>
          <w:lang w:eastAsia="ja-JP"/>
        </w:rPr>
        <w:t>additional voluntary roles</w:t>
      </w:r>
      <w:r>
        <w:rPr>
          <w:lang w:eastAsia="ja-JP"/>
        </w:rPr>
        <w:t xml:space="preserve"> but the incidence of this was less than I expected and maybe reflects the </w:t>
      </w:r>
      <w:r w:rsidR="0031482B">
        <w:rPr>
          <w:lang w:eastAsia="ja-JP"/>
        </w:rPr>
        <w:t>unbounded expectations of</w:t>
      </w:r>
      <w:r>
        <w:rPr>
          <w:lang w:eastAsia="ja-JP"/>
        </w:rPr>
        <w:t xml:space="preserve"> their main </w:t>
      </w:r>
      <w:r w:rsidR="0031482B">
        <w:rPr>
          <w:lang w:eastAsia="ja-JP"/>
        </w:rPr>
        <w:t>roles V</w:t>
      </w:r>
      <w:r>
        <w:rPr>
          <w:lang w:eastAsia="ja-JP"/>
        </w:rPr>
        <w:t>ery busy people balancing family, study and workp</w:t>
      </w:r>
      <w:r w:rsidR="009C6D6E">
        <w:rPr>
          <w:lang w:eastAsia="ja-JP"/>
        </w:rPr>
        <w:t>l</w:t>
      </w:r>
      <w:r>
        <w:rPr>
          <w:lang w:eastAsia="ja-JP"/>
        </w:rPr>
        <w:t>ace needs have little time left f</w:t>
      </w:r>
      <w:r w:rsidR="0031482B">
        <w:rPr>
          <w:lang w:eastAsia="ja-JP"/>
        </w:rPr>
        <w:t>or</w:t>
      </w:r>
      <w:r>
        <w:rPr>
          <w:lang w:eastAsia="ja-JP"/>
        </w:rPr>
        <w:t xml:space="preserve"> other activities and certainly not those that i</w:t>
      </w:r>
      <w:r w:rsidR="009C6D6E">
        <w:rPr>
          <w:lang w:eastAsia="ja-JP"/>
        </w:rPr>
        <w:t>m</w:t>
      </w:r>
      <w:r>
        <w:rPr>
          <w:lang w:eastAsia="ja-JP"/>
        </w:rPr>
        <w:t xml:space="preserve">pinge on family time at week ends and in the evenings. </w:t>
      </w:r>
      <w:r w:rsidR="00532AF0">
        <w:rPr>
          <w:lang w:eastAsia="ja-JP"/>
        </w:rPr>
        <w:t xml:space="preserve">Bethany and Ingrid serve as parent governors, Celia runs a Sunday school class, </w:t>
      </w:r>
      <w:r w:rsidR="0031482B">
        <w:rPr>
          <w:lang w:eastAsia="ja-JP"/>
        </w:rPr>
        <w:t xml:space="preserve">and </w:t>
      </w:r>
      <w:r w:rsidR="00532AF0">
        <w:rPr>
          <w:lang w:eastAsia="ja-JP"/>
        </w:rPr>
        <w:t>Irene helps with the local Rainbows groups (but mainly as her daughter attends).</w:t>
      </w:r>
      <w:r w:rsidR="00090EED">
        <w:rPr>
          <w:lang w:eastAsia="ja-JP"/>
        </w:rPr>
        <w:t xml:space="preserve"> Any energy left over is focused on maintaining their integrated lives</w:t>
      </w:r>
      <w:r w:rsidR="00A76FCE">
        <w:rPr>
          <w:lang w:eastAsia="ja-JP"/>
        </w:rPr>
        <w:t xml:space="preserve"> rather than engaging in further voluntary work</w:t>
      </w:r>
      <w:r w:rsidR="00090EED">
        <w:rPr>
          <w:lang w:eastAsia="ja-JP"/>
        </w:rPr>
        <w:t>.</w:t>
      </w:r>
      <w:r w:rsidR="00A76FCE">
        <w:rPr>
          <w:lang w:eastAsia="ja-JP"/>
        </w:rPr>
        <w:t xml:space="preserve"> Fiona sums up this attitude when she states: “</w:t>
      </w:r>
      <w:r w:rsidR="00A76FCE">
        <w:t>I’ve done my bit of free stuff and now’s my turn to get paid”.</w:t>
      </w:r>
    </w:p>
    <w:p w14:paraId="26CA9642" w14:textId="77777777" w:rsidR="00090EED" w:rsidRDefault="00090EED" w:rsidP="005F26BA">
      <w:pPr>
        <w:jc w:val="both"/>
        <w:rPr>
          <w:lang w:eastAsia="ja-JP"/>
        </w:rPr>
      </w:pPr>
    </w:p>
    <w:p w14:paraId="1C1E3DF4" w14:textId="77777777" w:rsidR="000B4AC7" w:rsidRDefault="000B4AC7" w:rsidP="005F26BA">
      <w:pPr>
        <w:jc w:val="both"/>
        <w:rPr>
          <w:lang w:eastAsia="ja-JP"/>
        </w:rPr>
      </w:pPr>
    </w:p>
    <w:p w14:paraId="44F3311A" w14:textId="04405DC8" w:rsidR="00090EED" w:rsidRPr="000B4AC7" w:rsidRDefault="00090EED" w:rsidP="00DB1172">
      <w:pPr>
        <w:pStyle w:val="Heading2"/>
        <w:rPr>
          <w:lang w:eastAsia="ja-JP"/>
        </w:rPr>
      </w:pPr>
      <w:r w:rsidRPr="000B4AC7">
        <w:rPr>
          <w:lang w:eastAsia="ja-JP"/>
        </w:rPr>
        <w:t>4.3 Economic impact</w:t>
      </w:r>
    </w:p>
    <w:p w14:paraId="4E0AE261" w14:textId="77777777" w:rsidR="00A15DA7" w:rsidRDefault="00A15DA7" w:rsidP="005F26BA">
      <w:pPr>
        <w:jc w:val="both"/>
        <w:rPr>
          <w:b/>
          <w:lang w:eastAsia="ja-JP"/>
        </w:rPr>
      </w:pPr>
    </w:p>
    <w:p w14:paraId="4F3B7F2C" w14:textId="5F815ABC" w:rsidR="000B4AC7" w:rsidRDefault="00745DB1" w:rsidP="005F26BA">
      <w:pPr>
        <w:jc w:val="both"/>
        <w:rPr>
          <w:lang w:eastAsia="ja-JP"/>
        </w:rPr>
      </w:pPr>
      <w:r>
        <w:rPr>
          <w:lang w:eastAsia="ja-JP"/>
        </w:rPr>
        <w:t>Any activity that helps women to be gainfully employed makes an economic contribution to society. That they are working willingly in the communities in which they live bring benefit to those communities, as professional and personal ties work together to create social capital.</w:t>
      </w:r>
    </w:p>
    <w:p w14:paraId="0082D104" w14:textId="77777777" w:rsidR="000B4AC7" w:rsidRDefault="000B4AC7" w:rsidP="005F26BA">
      <w:pPr>
        <w:jc w:val="both"/>
        <w:rPr>
          <w:lang w:eastAsia="ja-JP"/>
        </w:rPr>
      </w:pPr>
    </w:p>
    <w:p w14:paraId="51ADCCA6" w14:textId="77777777" w:rsidR="003F04E7" w:rsidRPr="00745DB1" w:rsidRDefault="003F04E7" w:rsidP="005F26BA">
      <w:pPr>
        <w:jc w:val="both"/>
        <w:rPr>
          <w:lang w:eastAsia="ja-JP"/>
        </w:rPr>
      </w:pPr>
    </w:p>
    <w:p w14:paraId="388AAA67" w14:textId="324A17D7" w:rsidR="000B4AC7" w:rsidRPr="00DB1172" w:rsidRDefault="00090EED" w:rsidP="00DB1172">
      <w:pPr>
        <w:pStyle w:val="Heading3"/>
        <w:rPr>
          <w:b w:val="0"/>
          <w:bCs/>
          <w:lang w:eastAsia="ja-JP"/>
        </w:rPr>
      </w:pPr>
      <w:r w:rsidRPr="00DB1172">
        <w:rPr>
          <w:b w:val="0"/>
          <w:bCs/>
          <w:lang w:eastAsia="ja-JP"/>
        </w:rPr>
        <w:t>4.3.1 Return to work</w:t>
      </w:r>
    </w:p>
    <w:p w14:paraId="5165BE3E" w14:textId="77777777" w:rsidR="008B36A5" w:rsidRPr="000B4AC7" w:rsidRDefault="008B36A5" w:rsidP="005F26BA">
      <w:pPr>
        <w:jc w:val="both"/>
        <w:rPr>
          <w:i/>
          <w:lang w:eastAsia="ja-JP"/>
        </w:rPr>
      </w:pPr>
    </w:p>
    <w:p w14:paraId="63836ED4" w14:textId="5100C937" w:rsidR="003F0FBA" w:rsidRDefault="00745DB1" w:rsidP="005F26BA">
      <w:pPr>
        <w:jc w:val="both"/>
        <w:rPr>
          <w:b/>
          <w:lang w:eastAsia="ja-JP"/>
        </w:rPr>
      </w:pPr>
      <w:r>
        <w:rPr>
          <w:lang w:eastAsia="ja-JP"/>
        </w:rPr>
        <w:t>Community childcare work is renowned for its flexibility and convenience. It is work that fits in with the school day and with school holidays so enables many women to return to work part-time without incurring travel costs. The low rates of pay reflect the market situation. There is a continual supply of new mothers with children reaching pre-</w:t>
      </w:r>
      <w:r w:rsidR="003F0FBA">
        <w:rPr>
          <w:lang w:eastAsia="ja-JP"/>
        </w:rPr>
        <w:t>school age and many want a gent</w:t>
      </w:r>
      <w:r>
        <w:rPr>
          <w:lang w:eastAsia="ja-JP"/>
        </w:rPr>
        <w:t>le re-introduction to the workplace. Pre-school leader Arianne states that:</w:t>
      </w:r>
      <w:r w:rsidR="00E57712">
        <w:rPr>
          <w:lang w:eastAsia="ja-JP"/>
        </w:rPr>
        <w:t xml:space="preserve"> “</w:t>
      </w:r>
      <w:r w:rsidR="003F0FBA">
        <w:rPr>
          <w:lang w:eastAsia="ja-JP"/>
        </w:rPr>
        <w:t>All of these girls, do this job because i</w:t>
      </w:r>
      <w:r w:rsidR="00E57712">
        <w:rPr>
          <w:lang w:eastAsia="ja-JP"/>
        </w:rPr>
        <w:t>t goes well with their children”</w:t>
      </w:r>
      <w:r w:rsidR="003F0FBA">
        <w:rPr>
          <w:lang w:eastAsia="ja-JP"/>
        </w:rPr>
        <w:t>. The course enabled the women to achieve a qualification that allowed them to manage a setting</w:t>
      </w:r>
      <w:r w:rsidR="00473CC6">
        <w:rPr>
          <w:lang w:eastAsia="ja-JP"/>
        </w:rPr>
        <w:t>, t</w:t>
      </w:r>
      <w:r w:rsidR="003F0FBA">
        <w:rPr>
          <w:lang w:eastAsia="ja-JP"/>
        </w:rPr>
        <w:t>herefore opening doors for future advancement (but since the research was carried out the requirement is slowly being raised).</w:t>
      </w:r>
    </w:p>
    <w:p w14:paraId="57639A0A" w14:textId="77777777" w:rsidR="003F0FBA" w:rsidRDefault="003F0FBA" w:rsidP="005F26BA">
      <w:pPr>
        <w:jc w:val="both"/>
        <w:rPr>
          <w:b/>
          <w:lang w:eastAsia="ja-JP"/>
        </w:rPr>
      </w:pPr>
    </w:p>
    <w:p w14:paraId="200D195C" w14:textId="52D74B0E" w:rsidR="00E57712" w:rsidRDefault="00922CEB" w:rsidP="005F26BA">
      <w:pPr>
        <w:jc w:val="both"/>
        <w:rPr>
          <w:lang w:eastAsia="ja-JP"/>
        </w:rPr>
      </w:pPr>
      <w:r>
        <w:rPr>
          <w:lang w:eastAsia="ja-JP"/>
        </w:rPr>
        <w:t>For some students the diploma represented a horizontal progression. Several</w:t>
      </w:r>
      <w:r w:rsidR="003F0FBA" w:rsidRPr="003F0FBA">
        <w:rPr>
          <w:lang w:eastAsia="ja-JP"/>
        </w:rPr>
        <w:t xml:space="preserve"> graduate entrants sought out the diploma to provide them with a vocational qualification, seeing their original degrees as insufficiently focused for work.</w:t>
      </w:r>
      <w:r w:rsidR="003F0FBA">
        <w:rPr>
          <w:lang w:eastAsia="ja-JP"/>
        </w:rPr>
        <w:t xml:space="preserve"> </w:t>
      </w:r>
      <w:r w:rsidR="00BB486D">
        <w:rPr>
          <w:lang w:eastAsia="ja-JP"/>
        </w:rPr>
        <w:t>Amy descri</w:t>
      </w:r>
      <w:r w:rsidR="00E57712">
        <w:rPr>
          <w:lang w:eastAsia="ja-JP"/>
        </w:rPr>
        <w:t>bed her undergraduate study as “absolutely brilliant”</w:t>
      </w:r>
      <w:r w:rsidR="00BB486D">
        <w:rPr>
          <w:lang w:eastAsia="ja-JP"/>
        </w:rPr>
        <w:t xml:space="preserve"> but a</w:t>
      </w:r>
      <w:r w:rsidR="00E57712">
        <w:rPr>
          <w:lang w:eastAsia="ja-JP"/>
        </w:rPr>
        <w:t>dmitted that at the end of it: “</w:t>
      </w:r>
      <w:r w:rsidR="00BB486D">
        <w:rPr>
          <w:lang w:eastAsia="ja-JP"/>
        </w:rPr>
        <w:t>I wasn’t</w:t>
      </w:r>
      <w:r w:rsidR="00E57712">
        <w:rPr>
          <w:lang w:eastAsia="ja-JP"/>
        </w:rPr>
        <w:t xml:space="preserve"> quite sure what I wanted to do”</w:t>
      </w:r>
      <w:r w:rsidR="00BB486D">
        <w:rPr>
          <w:lang w:eastAsia="ja-JP"/>
        </w:rPr>
        <w:t>. She</w:t>
      </w:r>
      <w:r w:rsidR="00E57712">
        <w:rPr>
          <w:lang w:eastAsia="ja-JP"/>
        </w:rPr>
        <w:t xml:space="preserve"> is very clear that she wanted “to be at home with the children”</w:t>
      </w:r>
      <w:r w:rsidR="00BB486D">
        <w:rPr>
          <w:lang w:eastAsia="ja-JP"/>
        </w:rPr>
        <w:t xml:space="preserve"> and, on starting to work, to have th</w:t>
      </w:r>
      <w:r w:rsidR="00E57712">
        <w:rPr>
          <w:lang w:eastAsia="ja-JP"/>
        </w:rPr>
        <w:t>e flexibility to avoid that “</w:t>
      </w:r>
      <w:r w:rsidR="00BB486D">
        <w:rPr>
          <w:lang w:eastAsia="ja-JP"/>
        </w:rPr>
        <w:t>can’t come into wo</w:t>
      </w:r>
      <w:r w:rsidR="00E57712">
        <w:rPr>
          <w:lang w:eastAsia="ja-JP"/>
        </w:rPr>
        <w:t>rk today because someone is ill”</w:t>
      </w:r>
      <w:r w:rsidR="00BB486D">
        <w:rPr>
          <w:lang w:eastAsia="ja-JP"/>
        </w:rPr>
        <w:t xml:space="preserve">. Gina knew that she would like to work with children after graduating and, exceptionally, </w:t>
      </w:r>
      <w:r w:rsidR="00E57712">
        <w:rPr>
          <w:lang w:eastAsia="ja-JP"/>
        </w:rPr>
        <w:t>sought out the diploma as “</w:t>
      </w:r>
      <w:r w:rsidR="00BB486D">
        <w:rPr>
          <w:lang w:eastAsia="ja-JP"/>
        </w:rPr>
        <w:t>there were a lot of thi</w:t>
      </w:r>
      <w:r w:rsidR="00E57712">
        <w:rPr>
          <w:lang w:eastAsia="ja-JP"/>
        </w:rPr>
        <w:t>ngs that I needed to know about”</w:t>
      </w:r>
      <w:r w:rsidR="00BB486D">
        <w:rPr>
          <w:lang w:eastAsia="ja-JP"/>
        </w:rPr>
        <w:t xml:space="preserve">. Greta, enrolled on the diploma as the </w:t>
      </w:r>
      <w:r w:rsidR="00473CC6">
        <w:rPr>
          <w:lang w:eastAsia="ja-JP"/>
        </w:rPr>
        <w:t xml:space="preserve">local </w:t>
      </w:r>
      <w:r w:rsidR="00BB486D">
        <w:rPr>
          <w:lang w:eastAsia="ja-JP"/>
        </w:rPr>
        <w:t>pre-school asked her to,</w:t>
      </w:r>
      <w:r w:rsidR="00E57712">
        <w:rPr>
          <w:lang w:eastAsia="ja-JP"/>
        </w:rPr>
        <w:t xml:space="preserve"> but was “quite keen to learn more”</w:t>
      </w:r>
      <w:r w:rsidR="00473CC6">
        <w:rPr>
          <w:lang w:eastAsia="ja-JP"/>
        </w:rPr>
        <w:t xml:space="preserve"> not seeing her</w:t>
      </w:r>
      <w:r w:rsidR="00E57712">
        <w:rPr>
          <w:lang w:eastAsia="ja-JP"/>
        </w:rPr>
        <w:t xml:space="preserve"> history degree as sufficient: “</w:t>
      </w:r>
      <w:r w:rsidR="00473CC6">
        <w:rPr>
          <w:lang w:eastAsia="ja-JP"/>
        </w:rPr>
        <w:t>I didn'</w:t>
      </w:r>
      <w:r w:rsidR="00E57712">
        <w:rPr>
          <w:lang w:eastAsia="ja-JP"/>
        </w:rPr>
        <w:t>t know what to do with a degree”</w:t>
      </w:r>
      <w:r w:rsidR="00473CC6">
        <w:rPr>
          <w:lang w:eastAsia="ja-JP"/>
        </w:rPr>
        <w:t>.</w:t>
      </w:r>
    </w:p>
    <w:p w14:paraId="3EFB7FE1" w14:textId="77777777" w:rsidR="008B36A5" w:rsidRDefault="008B36A5" w:rsidP="005F26BA">
      <w:pPr>
        <w:jc w:val="both"/>
        <w:rPr>
          <w:lang w:eastAsia="ja-JP"/>
        </w:rPr>
      </w:pPr>
    </w:p>
    <w:p w14:paraId="42274E0E" w14:textId="35993D74" w:rsidR="000B4AC7" w:rsidRPr="00DB1172" w:rsidRDefault="0063747C" w:rsidP="00DB1172">
      <w:pPr>
        <w:pStyle w:val="Heading3"/>
        <w:rPr>
          <w:b w:val="0"/>
          <w:bCs/>
          <w:lang w:eastAsia="ja-JP"/>
        </w:rPr>
      </w:pPr>
      <w:r w:rsidRPr="00DB1172">
        <w:rPr>
          <w:b w:val="0"/>
          <w:bCs/>
          <w:lang w:eastAsia="ja-JP"/>
        </w:rPr>
        <w:lastRenderedPageBreak/>
        <w:t>4.3.2 Upskilling</w:t>
      </w:r>
    </w:p>
    <w:p w14:paraId="1390CE21" w14:textId="77777777" w:rsidR="003F04E7" w:rsidRPr="000B4AC7" w:rsidRDefault="003F04E7" w:rsidP="005F26BA">
      <w:pPr>
        <w:jc w:val="both"/>
        <w:rPr>
          <w:i/>
          <w:lang w:eastAsia="ja-JP"/>
        </w:rPr>
      </w:pPr>
    </w:p>
    <w:p w14:paraId="55E7645D" w14:textId="62B32443" w:rsidR="0063747C" w:rsidRDefault="0063747C" w:rsidP="005F26BA">
      <w:pPr>
        <w:jc w:val="both"/>
        <w:rPr>
          <w:lang w:eastAsia="ja-JP"/>
        </w:rPr>
      </w:pPr>
      <w:r w:rsidRPr="0063747C">
        <w:rPr>
          <w:lang w:eastAsia="ja-JP"/>
        </w:rPr>
        <w:t xml:space="preserve">Many of the students were able to articulate the consequences of studying for the diploma and </w:t>
      </w:r>
      <w:r w:rsidR="00461435">
        <w:rPr>
          <w:lang w:eastAsia="ja-JP"/>
        </w:rPr>
        <w:t xml:space="preserve">at the outset I </w:t>
      </w:r>
      <w:r w:rsidRPr="0063747C">
        <w:rPr>
          <w:lang w:eastAsia="ja-JP"/>
        </w:rPr>
        <w:t>stated that the personal benefits in terms of confidence were significant.</w:t>
      </w:r>
    </w:p>
    <w:p w14:paraId="77A17C58" w14:textId="77777777" w:rsidR="0063747C" w:rsidRDefault="0063747C" w:rsidP="005F26BA">
      <w:pPr>
        <w:jc w:val="both"/>
        <w:rPr>
          <w:lang w:eastAsia="ja-JP"/>
        </w:rPr>
      </w:pPr>
    </w:p>
    <w:p w14:paraId="351781AE" w14:textId="2634327A" w:rsidR="00695BC8" w:rsidRDefault="0063747C" w:rsidP="005F26BA">
      <w:pPr>
        <w:jc w:val="both"/>
        <w:rPr>
          <w:lang w:eastAsia="ja-JP"/>
        </w:rPr>
      </w:pPr>
      <w:r>
        <w:rPr>
          <w:lang w:eastAsia="ja-JP"/>
        </w:rPr>
        <w:t>Some particularly mention</w:t>
      </w:r>
      <w:r w:rsidR="00461435">
        <w:rPr>
          <w:lang w:eastAsia="ja-JP"/>
        </w:rPr>
        <w:t>ed</w:t>
      </w:r>
      <w:r>
        <w:rPr>
          <w:lang w:eastAsia="ja-JP"/>
        </w:rPr>
        <w:t xml:space="preserve"> how studying update</w:t>
      </w:r>
      <w:r w:rsidR="00D557F1">
        <w:rPr>
          <w:lang w:eastAsia="ja-JP"/>
        </w:rPr>
        <w:t>d</w:t>
      </w:r>
      <w:r>
        <w:rPr>
          <w:lang w:eastAsia="ja-JP"/>
        </w:rPr>
        <w:t xml:space="preserve"> their skill set, making them eligible to return to the workplace</w:t>
      </w:r>
      <w:r w:rsidR="00461435">
        <w:rPr>
          <w:lang w:eastAsia="ja-JP"/>
        </w:rPr>
        <w:t>. One of the older g</w:t>
      </w:r>
      <w:r>
        <w:rPr>
          <w:lang w:eastAsia="ja-JP"/>
        </w:rPr>
        <w:t>raduate</w:t>
      </w:r>
      <w:r w:rsidR="00461435">
        <w:rPr>
          <w:lang w:eastAsia="ja-JP"/>
        </w:rPr>
        <w:t>s</w:t>
      </w:r>
      <w:r>
        <w:rPr>
          <w:lang w:eastAsia="ja-JP"/>
        </w:rPr>
        <w:t xml:space="preserve">, Amy, </w:t>
      </w:r>
      <w:r w:rsidR="00306CA7">
        <w:rPr>
          <w:lang w:eastAsia="ja-JP"/>
        </w:rPr>
        <w:t>found commonplace jargon new to her. She had already completed a word-processing course before coming on</w:t>
      </w:r>
      <w:r w:rsidR="00695BC8">
        <w:rPr>
          <w:lang w:eastAsia="ja-JP"/>
        </w:rPr>
        <w:t>to</w:t>
      </w:r>
      <w:r w:rsidR="00306CA7">
        <w:rPr>
          <w:lang w:eastAsia="ja-JP"/>
        </w:rPr>
        <w:t xml:space="preserve"> the diploma but still felt </w:t>
      </w:r>
      <w:r w:rsidR="00461435">
        <w:rPr>
          <w:lang w:eastAsia="ja-JP"/>
        </w:rPr>
        <w:t>insec</w:t>
      </w:r>
      <w:r w:rsidR="00E57712">
        <w:rPr>
          <w:lang w:eastAsia="ja-JP"/>
        </w:rPr>
        <w:t>ure when people talked about “orientation”, “presentation skills”</w:t>
      </w:r>
      <w:r w:rsidR="00306CA7">
        <w:rPr>
          <w:lang w:eastAsia="ja-JP"/>
        </w:rPr>
        <w:t xml:space="preserve"> and </w:t>
      </w:r>
      <w:r w:rsidR="00E57712">
        <w:rPr>
          <w:lang w:eastAsia="ja-JP"/>
        </w:rPr>
        <w:t>“</w:t>
      </w:r>
      <w:r w:rsidR="00306CA7">
        <w:rPr>
          <w:lang w:eastAsia="ja-JP"/>
        </w:rPr>
        <w:t>teamwork</w:t>
      </w:r>
      <w:r w:rsidR="00E57712">
        <w:rPr>
          <w:lang w:eastAsia="ja-JP"/>
        </w:rPr>
        <w:t>”</w:t>
      </w:r>
      <w:r w:rsidR="00461435">
        <w:rPr>
          <w:lang w:eastAsia="ja-JP"/>
        </w:rPr>
        <w:t xml:space="preserve">; </w:t>
      </w:r>
      <w:r w:rsidR="00306CA7">
        <w:rPr>
          <w:lang w:eastAsia="ja-JP"/>
        </w:rPr>
        <w:t>ideas that had not been important when she gradua</w:t>
      </w:r>
      <w:r w:rsidR="00E57712">
        <w:rPr>
          <w:lang w:eastAsia="ja-JP"/>
        </w:rPr>
        <w:t>ted. She felt that the diploma “</w:t>
      </w:r>
      <w:r w:rsidR="00306CA7">
        <w:rPr>
          <w:lang w:eastAsia="ja-JP"/>
        </w:rPr>
        <w:t>bump</w:t>
      </w:r>
      <w:r w:rsidR="00E57712">
        <w:rPr>
          <w:lang w:eastAsia="ja-JP"/>
        </w:rPr>
        <w:t>-started you back into studying”</w:t>
      </w:r>
      <w:r w:rsidR="00306CA7">
        <w:rPr>
          <w:lang w:eastAsia="ja-JP"/>
        </w:rPr>
        <w:t xml:space="preserve"> and gave her the opportunity to rehearse these new skills. Felicity, too, felt that learning to do </w:t>
      </w:r>
      <w:r w:rsidR="00461435">
        <w:rPr>
          <w:lang w:eastAsia="ja-JP"/>
        </w:rPr>
        <w:t>a good presentation</w:t>
      </w:r>
      <w:r w:rsidR="00306CA7">
        <w:rPr>
          <w:lang w:eastAsia="ja-JP"/>
        </w:rPr>
        <w:t xml:space="preserve"> </w:t>
      </w:r>
      <w:r w:rsidR="00461435">
        <w:rPr>
          <w:lang w:eastAsia="ja-JP"/>
        </w:rPr>
        <w:t>contributed</w:t>
      </w:r>
      <w:r w:rsidR="00306CA7">
        <w:rPr>
          <w:lang w:eastAsia="ja-JP"/>
        </w:rPr>
        <w:t xml:space="preserve"> significant</w:t>
      </w:r>
      <w:r w:rsidR="00461435">
        <w:rPr>
          <w:lang w:eastAsia="ja-JP"/>
        </w:rPr>
        <w:t>ly</w:t>
      </w:r>
      <w:r w:rsidR="00306CA7">
        <w:rPr>
          <w:lang w:eastAsia="ja-JP"/>
        </w:rPr>
        <w:t xml:space="preserve"> </w:t>
      </w:r>
      <w:r w:rsidR="00461435">
        <w:rPr>
          <w:lang w:eastAsia="ja-JP"/>
        </w:rPr>
        <w:t>to</w:t>
      </w:r>
      <w:r w:rsidR="00306CA7">
        <w:rPr>
          <w:lang w:eastAsia="ja-JP"/>
        </w:rPr>
        <w:t xml:space="preserve"> her gaining her advisory job but attributed most of the learning</w:t>
      </w:r>
      <w:r w:rsidR="0044308A">
        <w:rPr>
          <w:lang w:eastAsia="ja-JP"/>
        </w:rPr>
        <w:t xml:space="preserve"> to the foundation d</w:t>
      </w:r>
      <w:r w:rsidR="00306CA7">
        <w:rPr>
          <w:lang w:eastAsia="ja-JP"/>
        </w:rPr>
        <w:t xml:space="preserve">egree that </w:t>
      </w:r>
      <w:r w:rsidR="00461435">
        <w:rPr>
          <w:lang w:eastAsia="ja-JP"/>
        </w:rPr>
        <w:t xml:space="preserve">built upon </w:t>
      </w:r>
      <w:r w:rsidR="00306CA7">
        <w:rPr>
          <w:lang w:eastAsia="ja-JP"/>
        </w:rPr>
        <w:t>her diploma.</w:t>
      </w:r>
    </w:p>
    <w:p w14:paraId="08710221" w14:textId="77777777" w:rsidR="00695BC8" w:rsidRDefault="00695BC8" w:rsidP="005F26BA">
      <w:pPr>
        <w:jc w:val="both"/>
        <w:rPr>
          <w:lang w:eastAsia="ja-JP"/>
        </w:rPr>
      </w:pPr>
    </w:p>
    <w:p w14:paraId="092C2ADE" w14:textId="391FE8FE" w:rsidR="0063747C" w:rsidRDefault="00461435" w:rsidP="005F26BA">
      <w:pPr>
        <w:jc w:val="both"/>
        <w:rPr>
          <w:lang w:eastAsia="ja-JP"/>
        </w:rPr>
      </w:pPr>
      <w:r>
        <w:rPr>
          <w:lang w:eastAsia="ja-JP"/>
        </w:rPr>
        <w:t>Barbara talked</w:t>
      </w:r>
      <w:r w:rsidR="00695BC8">
        <w:rPr>
          <w:lang w:eastAsia="ja-JP"/>
        </w:rPr>
        <w:t xml:space="preserve"> about getting help with her grammar and spellings</w:t>
      </w:r>
      <w:r>
        <w:rPr>
          <w:lang w:eastAsia="ja-JP"/>
        </w:rPr>
        <w:t>,</w:t>
      </w:r>
      <w:r w:rsidR="00695BC8">
        <w:rPr>
          <w:lang w:eastAsia="ja-JP"/>
        </w:rPr>
        <w:t xml:space="preserve"> and </w:t>
      </w:r>
      <w:r w:rsidR="00306CA7">
        <w:rPr>
          <w:lang w:eastAsia="ja-JP"/>
        </w:rPr>
        <w:t xml:space="preserve">Avril, </w:t>
      </w:r>
      <w:r w:rsidR="00A8326D">
        <w:rPr>
          <w:lang w:eastAsia="ja-JP"/>
        </w:rPr>
        <w:t>the</w:t>
      </w:r>
      <w:r w:rsidR="00306CA7">
        <w:rPr>
          <w:lang w:eastAsia="ja-JP"/>
        </w:rPr>
        <w:t xml:space="preserve"> most organised </w:t>
      </w:r>
      <w:r w:rsidR="00D557F1" w:rsidRPr="00D557F1">
        <w:rPr>
          <w:i/>
          <w:lang w:eastAsia="ja-JP"/>
        </w:rPr>
        <w:t>Accumulater,</w:t>
      </w:r>
      <w:r w:rsidR="00D557F1">
        <w:rPr>
          <w:lang w:eastAsia="ja-JP"/>
        </w:rPr>
        <w:t xml:space="preserve"> set out to acquire every skill she could</w:t>
      </w:r>
      <w:r>
        <w:rPr>
          <w:lang w:eastAsia="ja-JP"/>
        </w:rPr>
        <w:t xml:space="preserve"> by </w:t>
      </w:r>
      <w:r w:rsidR="00695BC8">
        <w:rPr>
          <w:lang w:eastAsia="ja-JP"/>
        </w:rPr>
        <w:t xml:space="preserve">joining most </w:t>
      </w:r>
      <w:r>
        <w:rPr>
          <w:lang w:eastAsia="ja-JP"/>
        </w:rPr>
        <w:t xml:space="preserve">of the </w:t>
      </w:r>
      <w:r w:rsidR="00D557F1">
        <w:rPr>
          <w:lang w:eastAsia="ja-JP"/>
        </w:rPr>
        <w:t>course</w:t>
      </w:r>
      <w:r w:rsidR="00695BC8">
        <w:rPr>
          <w:lang w:eastAsia="ja-JP"/>
        </w:rPr>
        <w:t xml:space="preserve">s available to her, </w:t>
      </w:r>
      <w:r w:rsidR="00D557F1">
        <w:rPr>
          <w:lang w:eastAsia="ja-JP"/>
        </w:rPr>
        <w:t xml:space="preserve">before pouring all this knowledge back into the community as an adult education tutor. Aileen, who had returned to study to gain her own GCSE (level 2) qualification in Maths and English, similarly chose to share her new knowledge with others, and </w:t>
      </w:r>
      <w:r w:rsidR="00695BC8">
        <w:rPr>
          <w:lang w:eastAsia="ja-JP"/>
        </w:rPr>
        <w:t xml:space="preserve">set out to </w:t>
      </w:r>
      <w:r w:rsidR="00D557F1">
        <w:rPr>
          <w:lang w:eastAsia="ja-JP"/>
        </w:rPr>
        <w:t>help children struggling to acquire numeracy and literacy skills in a school setting. She is very conc</w:t>
      </w:r>
      <w:r w:rsidR="00E57712">
        <w:rPr>
          <w:lang w:eastAsia="ja-JP"/>
        </w:rPr>
        <w:t>erned that in current society: “</w:t>
      </w:r>
      <w:r w:rsidR="00D557F1">
        <w:rPr>
          <w:lang w:eastAsia="ja-JP"/>
        </w:rPr>
        <w:t xml:space="preserve">there are a few people around still that still can't </w:t>
      </w:r>
      <w:r w:rsidR="00E57712">
        <w:rPr>
          <w:lang w:eastAsia="ja-JP"/>
        </w:rPr>
        <w:t>read and write”</w:t>
      </w:r>
      <w:r w:rsidR="00D557F1">
        <w:rPr>
          <w:lang w:eastAsia="ja-JP"/>
        </w:rPr>
        <w:t xml:space="preserve"> pointing out th</w:t>
      </w:r>
      <w:r w:rsidR="00E57712">
        <w:rPr>
          <w:lang w:eastAsia="ja-JP"/>
        </w:rPr>
        <w:t>at when they have these skills “we can educate them more”</w:t>
      </w:r>
      <w:r w:rsidR="00D557F1">
        <w:rPr>
          <w:lang w:eastAsia="ja-JP"/>
        </w:rPr>
        <w:t>.</w:t>
      </w:r>
      <w:r w:rsidR="00695BC8">
        <w:rPr>
          <w:lang w:eastAsia="ja-JP"/>
        </w:rPr>
        <w:t xml:space="preserve"> </w:t>
      </w:r>
      <w:r w:rsidR="00A76FCE">
        <w:rPr>
          <w:lang w:eastAsia="ja-JP"/>
        </w:rPr>
        <w:t>All the</w:t>
      </w:r>
      <w:r w:rsidR="00D557F1">
        <w:rPr>
          <w:lang w:eastAsia="ja-JP"/>
        </w:rPr>
        <w:t xml:space="preserve"> students </w:t>
      </w:r>
      <w:r w:rsidR="00A76FCE">
        <w:rPr>
          <w:lang w:eastAsia="ja-JP"/>
        </w:rPr>
        <w:t xml:space="preserve">agreed that they learned </w:t>
      </w:r>
      <w:r w:rsidR="00D557F1">
        <w:rPr>
          <w:lang w:eastAsia="ja-JP"/>
        </w:rPr>
        <w:t>useful</w:t>
      </w:r>
      <w:r w:rsidR="00695BC8">
        <w:rPr>
          <w:lang w:eastAsia="ja-JP"/>
        </w:rPr>
        <w:t xml:space="preserve"> </w:t>
      </w:r>
      <w:r w:rsidR="00A76FCE">
        <w:rPr>
          <w:lang w:eastAsia="ja-JP"/>
        </w:rPr>
        <w:t xml:space="preserve">knowledge </w:t>
      </w:r>
      <w:r w:rsidR="00695BC8">
        <w:rPr>
          <w:lang w:eastAsia="ja-JP"/>
        </w:rPr>
        <w:t>and most can list specific instances of the skills they acquired or improved as a result of the diploma</w:t>
      </w:r>
      <w:r w:rsidR="00D557F1">
        <w:rPr>
          <w:lang w:eastAsia="ja-JP"/>
        </w:rPr>
        <w:t>.</w:t>
      </w:r>
    </w:p>
    <w:p w14:paraId="40981F34" w14:textId="77777777" w:rsidR="00695BC8" w:rsidRDefault="00695BC8" w:rsidP="005F26BA">
      <w:pPr>
        <w:jc w:val="both"/>
        <w:rPr>
          <w:lang w:eastAsia="ja-JP"/>
        </w:rPr>
      </w:pPr>
    </w:p>
    <w:p w14:paraId="3D82603F" w14:textId="4BD0BA55" w:rsidR="00306CA7" w:rsidRDefault="00695BC8" w:rsidP="005F26BA">
      <w:pPr>
        <w:jc w:val="both"/>
        <w:rPr>
          <w:lang w:eastAsia="ja-JP"/>
        </w:rPr>
      </w:pPr>
      <w:r>
        <w:rPr>
          <w:lang w:eastAsia="ja-JP"/>
        </w:rPr>
        <w:t>As the women were working in community pre-schools, these childcare institut</w:t>
      </w:r>
      <w:r w:rsidR="00A76FCE">
        <w:rPr>
          <w:lang w:eastAsia="ja-JP"/>
        </w:rPr>
        <w:t>ions benefited f</w:t>
      </w:r>
      <w:r>
        <w:rPr>
          <w:lang w:eastAsia="ja-JP"/>
        </w:rPr>
        <w:t>r</w:t>
      </w:r>
      <w:r w:rsidR="00A76FCE">
        <w:rPr>
          <w:lang w:eastAsia="ja-JP"/>
        </w:rPr>
        <w:t>o</w:t>
      </w:r>
      <w:r>
        <w:rPr>
          <w:lang w:eastAsia="ja-JP"/>
        </w:rPr>
        <w:t xml:space="preserve">m their upskilling. There are multiple narratives of students making changes to raise quality in their settings. Sometimes these centred around bringing existing practice up to an appropriate level </w:t>
      </w:r>
      <w:r w:rsidR="00461435">
        <w:rPr>
          <w:lang w:eastAsia="ja-JP"/>
        </w:rPr>
        <w:t>as in the case of Celia, who found that her manager saved money by reducing the number of purification tablets in the bottle steriliser to below adequate levels. O</w:t>
      </w:r>
      <w:r>
        <w:rPr>
          <w:lang w:eastAsia="ja-JP"/>
        </w:rPr>
        <w:t xml:space="preserve">thers were </w:t>
      </w:r>
      <w:r w:rsidR="00461435">
        <w:rPr>
          <w:lang w:eastAsia="ja-JP"/>
        </w:rPr>
        <w:t xml:space="preserve">able to initiate new ideas in their settings. </w:t>
      </w:r>
      <w:r w:rsidR="002250E6">
        <w:rPr>
          <w:lang w:eastAsia="ja-JP"/>
        </w:rPr>
        <w:t xml:space="preserve"> Arianne, too, took on Leader of her setting knowing that it needed a management committee that supported its charitable status. She had</w:t>
      </w:r>
      <w:r w:rsidR="00E57712">
        <w:rPr>
          <w:lang w:eastAsia="ja-JP"/>
        </w:rPr>
        <w:t xml:space="preserve"> the confidence to do this </w:t>
      </w:r>
      <w:r w:rsidR="004B6B54">
        <w:rPr>
          <w:lang w:eastAsia="ja-JP"/>
        </w:rPr>
        <w:t>as:</w:t>
      </w:r>
      <w:r w:rsidR="00E57712">
        <w:rPr>
          <w:lang w:eastAsia="ja-JP"/>
        </w:rPr>
        <w:t xml:space="preserve"> “</w:t>
      </w:r>
      <w:r w:rsidR="002250E6">
        <w:rPr>
          <w:lang w:eastAsia="ja-JP"/>
        </w:rPr>
        <w:t>I knew what had to happen, I knew what I ha</w:t>
      </w:r>
      <w:r w:rsidR="00E57712">
        <w:rPr>
          <w:lang w:eastAsia="ja-JP"/>
        </w:rPr>
        <w:t>d to do to legally make it work”</w:t>
      </w:r>
      <w:r w:rsidR="002250E6">
        <w:rPr>
          <w:lang w:eastAsia="ja-JP"/>
        </w:rPr>
        <w:t>. She rejoices th</w:t>
      </w:r>
      <w:r w:rsidR="00E57712">
        <w:rPr>
          <w:lang w:eastAsia="ja-JP"/>
        </w:rPr>
        <w:t>at: “</w:t>
      </w:r>
      <w:r w:rsidR="002250E6">
        <w:rPr>
          <w:lang w:eastAsia="ja-JP"/>
        </w:rPr>
        <w:t xml:space="preserve">the whole thing changed </w:t>
      </w:r>
      <w:r w:rsidR="00E57712">
        <w:rPr>
          <w:lang w:eastAsia="ja-JP"/>
        </w:rPr>
        <w:t>really with me going to college”</w:t>
      </w:r>
      <w:r w:rsidR="002250E6">
        <w:rPr>
          <w:lang w:eastAsia="ja-JP"/>
        </w:rPr>
        <w:t xml:space="preserve">. Felicity </w:t>
      </w:r>
      <w:r w:rsidR="00E57712">
        <w:rPr>
          <w:lang w:eastAsia="ja-JP"/>
        </w:rPr>
        <w:t>and Frieda</w:t>
      </w:r>
      <w:r w:rsidR="00566043">
        <w:rPr>
          <w:lang w:eastAsia="ja-JP"/>
        </w:rPr>
        <w:t xml:space="preserve"> jointly took on m</w:t>
      </w:r>
      <w:r w:rsidR="002250E6">
        <w:rPr>
          <w:lang w:eastAsia="ja-JP"/>
        </w:rPr>
        <w:t>an</w:t>
      </w:r>
      <w:r w:rsidR="00566043">
        <w:rPr>
          <w:lang w:eastAsia="ja-JP"/>
        </w:rPr>
        <w:t>a</w:t>
      </w:r>
      <w:r w:rsidR="002250E6">
        <w:rPr>
          <w:lang w:eastAsia="ja-JP"/>
        </w:rPr>
        <w:t>gement of their community setting</w:t>
      </w:r>
      <w:r w:rsidR="00566043">
        <w:rPr>
          <w:lang w:eastAsia="ja-JP"/>
        </w:rPr>
        <w:t xml:space="preserve"> on the retirement of a senior member of staff. Coming on the d</w:t>
      </w:r>
      <w:r w:rsidR="00E57712">
        <w:rPr>
          <w:lang w:eastAsia="ja-JP"/>
        </w:rPr>
        <w:t>iploma together they felt that “</w:t>
      </w:r>
      <w:r w:rsidR="00566043">
        <w:rPr>
          <w:lang w:eastAsia="ja-JP"/>
        </w:rPr>
        <w:t>if we were going to be learning how to run a playgroup it made sense th</w:t>
      </w:r>
      <w:r w:rsidR="00E57712">
        <w:rPr>
          <w:lang w:eastAsia="ja-JP"/>
        </w:rPr>
        <w:t>at we were learning it together” and saw all their studying as “</w:t>
      </w:r>
      <w:r w:rsidR="00566043">
        <w:rPr>
          <w:lang w:eastAsia="ja-JP"/>
        </w:rPr>
        <w:t>for the ben</w:t>
      </w:r>
      <w:r w:rsidR="00E57712">
        <w:rPr>
          <w:lang w:eastAsia="ja-JP"/>
        </w:rPr>
        <w:t>efit of the future of the group”</w:t>
      </w:r>
      <w:r w:rsidR="00566043">
        <w:rPr>
          <w:lang w:eastAsia="ja-JP"/>
        </w:rPr>
        <w:t>.</w:t>
      </w:r>
      <w:r w:rsidR="00196524">
        <w:rPr>
          <w:lang w:eastAsia="ja-JP"/>
        </w:rPr>
        <w:t xml:space="preserve"> Danni was not only able to make improvements in her setting but also to support her local community primary school. Her setting was temporarily relocated onto the school site and the Headteacher, impressed with what he saw in the pre-school, sent his newly qualified reception clas</w:t>
      </w:r>
      <w:r w:rsidR="00E57712">
        <w:rPr>
          <w:lang w:eastAsia="ja-JP"/>
        </w:rPr>
        <w:t>s teacher into the pre-school: “</w:t>
      </w:r>
      <w:r w:rsidR="00196524">
        <w:rPr>
          <w:lang w:eastAsia="ja-JP"/>
        </w:rPr>
        <w:t>just to see what we d</w:t>
      </w:r>
      <w:r w:rsidR="003E58FC">
        <w:rPr>
          <w:lang w:eastAsia="ja-JP"/>
        </w:rPr>
        <w:t>o and to see how we operate”, as</w:t>
      </w:r>
      <w:r w:rsidR="00196524">
        <w:rPr>
          <w:lang w:eastAsia="ja-JP"/>
        </w:rPr>
        <w:t xml:space="preserve"> </w:t>
      </w:r>
      <w:r w:rsidR="00E57712">
        <w:rPr>
          <w:lang w:eastAsia="ja-JP"/>
        </w:rPr>
        <w:t xml:space="preserve">she was </w:t>
      </w:r>
      <w:r w:rsidR="003E58FC">
        <w:rPr>
          <w:lang w:eastAsia="ja-JP"/>
        </w:rPr>
        <w:t>“</w:t>
      </w:r>
      <w:r w:rsidR="00E57712">
        <w:rPr>
          <w:lang w:eastAsia="ja-JP"/>
        </w:rPr>
        <w:t>really struggling”</w:t>
      </w:r>
      <w:r w:rsidR="00196524">
        <w:rPr>
          <w:lang w:eastAsia="ja-JP"/>
        </w:rPr>
        <w:t xml:space="preserve"> to control the behaviour of some children.</w:t>
      </w:r>
    </w:p>
    <w:p w14:paraId="3AE7CCA1" w14:textId="77777777" w:rsidR="003F04E7" w:rsidRDefault="003F04E7" w:rsidP="005F26BA">
      <w:pPr>
        <w:jc w:val="both"/>
        <w:rPr>
          <w:lang w:eastAsia="ja-JP"/>
        </w:rPr>
      </w:pPr>
    </w:p>
    <w:p w14:paraId="69A2016C" w14:textId="77777777" w:rsidR="003F04E7" w:rsidRPr="0063747C" w:rsidRDefault="003F04E7" w:rsidP="005F26BA">
      <w:pPr>
        <w:jc w:val="both"/>
        <w:rPr>
          <w:lang w:eastAsia="ja-JP"/>
        </w:rPr>
      </w:pPr>
    </w:p>
    <w:p w14:paraId="78EA361D" w14:textId="28673B11" w:rsidR="000B4AC7" w:rsidRPr="00DB1172" w:rsidRDefault="0063747C" w:rsidP="00DB1172">
      <w:pPr>
        <w:pStyle w:val="Heading3"/>
        <w:rPr>
          <w:b w:val="0"/>
          <w:bCs/>
          <w:lang w:eastAsia="ja-JP"/>
        </w:rPr>
      </w:pPr>
      <w:r w:rsidRPr="00DB1172">
        <w:rPr>
          <w:b w:val="0"/>
          <w:bCs/>
          <w:lang w:eastAsia="ja-JP"/>
        </w:rPr>
        <w:t>4.3.3</w:t>
      </w:r>
      <w:r w:rsidR="00090EED" w:rsidRPr="00DB1172">
        <w:rPr>
          <w:b w:val="0"/>
          <w:bCs/>
          <w:lang w:eastAsia="ja-JP"/>
        </w:rPr>
        <w:t xml:space="preserve"> Career progression or change</w:t>
      </w:r>
    </w:p>
    <w:p w14:paraId="354088F4" w14:textId="77777777" w:rsidR="003F04E7" w:rsidRPr="000B4AC7" w:rsidRDefault="003F04E7" w:rsidP="005F26BA">
      <w:pPr>
        <w:jc w:val="both"/>
        <w:rPr>
          <w:i/>
          <w:lang w:eastAsia="ja-JP"/>
        </w:rPr>
      </w:pPr>
    </w:p>
    <w:p w14:paraId="01329AE3" w14:textId="3B813096" w:rsidR="00090EED" w:rsidRDefault="00566043" w:rsidP="005F26BA">
      <w:pPr>
        <w:jc w:val="both"/>
        <w:rPr>
          <w:lang w:eastAsia="ja-JP"/>
        </w:rPr>
      </w:pPr>
      <w:r>
        <w:rPr>
          <w:lang w:eastAsia="ja-JP"/>
        </w:rPr>
        <w:t xml:space="preserve">Time has lapsed since I carried out the initial interviews and progression onto a foundation </w:t>
      </w:r>
      <w:r w:rsidR="00647685">
        <w:rPr>
          <w:lang w:eastAsia="ja-JP"/>
        </w:rPr>
        <w:t xml:space="preserve">(two-year) </w:t>
      </w:r>
      <w:r>
        <w:rPr>
          <w:lang w:eastAsia="ja-JP"/>
        </w:rPr>
        <w:t xml:space="preserve">degree has become commonplace. </w:t>
      </w:r>
      <w:r w:rsidR="00647685">
        <w:rPr>
          <w:lang w:eastAsia="ja-JP"/>
        </w:rPr>
        <w:t xml:space="preserve">Many of the 150 students in the population </w:t>
      </w:r>
      <w:r w:rsidR="00647685">
        <w:rPr>
          <w:lang w:eastAsia="ja-JP"/>
        </w:rPr>
        <w:lastRenderedPageBreak/>
        <w:t xml:space="preserve">have since enrolled for higher-level study. </w:t>
      </w:r>
      <w:r w:rsidR="00E77003">
        <w:rPr>
          <w:lang w:eastAsia="ja-JP"/>
        </w:rPr>
        <w:t xml:space="preserve">At the time of </w:t>
      </w:r>
      <w:r w:rsidR="00647685">
        <w:rPr>
          <w:lang w:eastAsia="ja-JP"/>
        </w:rPr>
        <w:t xml:space="preserve">the </w:t>
      </w:r>
      <w:r w:rsidR="00E77003">
        <w:rPr>
          <w:lang w:eastAsia="ja-JP"/>
        </w:rPr>
        <w:t>interview</w:t>
      </w:r>
      <w:r w:rsidR="00196524">
        <w:rPr>
          <w:lang w:eastAsia="ja-JP"/>
        </w:rPr>
        <w:t>s</w:t>
      </w:r>
      <w:r w:rsidR="00647685">
        <w:rPr>
          <w:lang w:eastAsia="ja-JP"/>
        </w:rPr>
        <w:t>, the</w:t>
      </w:r>
      <w:r w:rsidR="00E77003">
        <w:rPr>
          <w:lang w:eastAsia="ja-JP"/>
        </w:rPr>
        <w:t xml:space="preserve"> </w:t>
      </w:r>
      <w:r w:rsidR="00647685">
        <w:rPr>
          <w:lang w:eastAsia="ja-JP"/>
        </w:rPr>
        <w:t>foundation degree was</w:t>
      </w:r>
      <w:r w:rsidR="00E77003">
        <w:rPr>
          <w:lang w:eastAsia="ja-JP"/>
        </w:rPr>
        <w:t xml:space="preserve"> still a new </w:t>
      </w:r>
      <w:r w:rsidR="0063747C">
        <w:rPr>
          <w:lang w:eastAsia="ja-JP"/>
        </w:rPr>
        <w:t>initiative but</w:t>
      </w:r>
      <w:r>
        <w:rPr>
          <w:lang w:eastAsia="ja-JP"/>
        </w:rPr>
        <w:t>, from this smaller sample,</w:t>
      </w:r>
      <w:r w:rsidR="0063747C">
        <w:rPr>
          <w:lang w:eastAsia="ja-JP"/>
        </w:rPr>
        <w:t xml:space="preserve"> Danni had started undergraduate study and Felicity had just completed the award. She had</w:t>
      </w:r>
      <w:r w:rsidR="00473CC6">
        <w:rPr>
          <w:lang w:eastAsia="ja-JP"/>
        </w:rPr>
        <w:t xml:space="preserve"> moved rapidly into </w:t>
      </w:r>
      <w:r>
        <w:rPr>
          <w:lang w:eastAsia="ja-JP"/>
        </w:rPr>
        <w:t>a higher-</w:t>
      </w:r>
      <w:r w:rsidR="0063747C">
        <w:rPr>
          <w:lang w:eastAsia="ja-JP"/>
        </w:rPr>
        <w:t xml:space="preserve">level </w:t>
      </w:r>
      <w:r w:rsidR="00473CC6">
        <w:rPr>
          <w:lang w:eastAsia="ja-JP"/>
        </w:rPr>
        <w:t>career</w:t>
      </w:r>
      <w:r w:rsidR="00647685">
        <w:rPr>
          <w:lang w:eastAsia="ja-JP"/>
        </w:rPr>
        <w:t xml:space="preserve"> (as Early Y</w:t>
      </w:r>
      <w:r w:rsidR="0063747C">
        <w:rPr>
          <w:lang w:eastAsia="ja-JP"/>
        </w:rPr>
        <w:t>ears business advisor)</w:t>
      </w:r>
      <w:r w:rsidR="00473CC6">
        <w:rPr>
          <w:lang w:eastAsia="ja-JP"/>
        </w:rPr>
        <w:t xml:space="preserve">, </w:t>
      </w:r>
      <w:r w:rsidR="0063747C">
        <w:rPr>
          <w:lang w:eastAsia="ja-JP"/>
        </w:rPr>
        <w:t xml:space="preserve">and </w:t>
      </w:r>
      <w:r>
        <w:rPr>
          <w:lang w:eastAsia="ja-JP"/>
        </w:rPr>
        <w:t xml:space="preserve">several </w:t>
      </w:r>
      <w:r w:rsidR="00647685">
        <w:rPr>
          <w:lang w:eastAsia="ja-JP"/>
        </w:rPr>
        <w:t xml:space="preserve">students </w:t>
      </w:r>
      <w:r w:rsidR="0063747C">
        <w:rPr>
          <w:lang w:eastAsia="ja-JP"/>
        </w:rPr>
        <w:t xml:space="preserve">(Aileen, Beryl, Ingrid and Evelyn) </w:t>
      </w:r>
      <w:r>
        <w:rPr>
          <w:lang w:eastAsia="ja-JP"/>
        </w:rPr>
        <w:t xml:space="preserve">had </w:t>
      </w:r>
      <w:r w:rsidR="0063747C">
        <w:rPr>
          <w:lang w:eastAsia="ja-JP"/>
        </w:rPr>
        <w:t>found jobs as teaching assistants in schools.</w:t>
      </w:r>
      <w:r w:rsidR="00473CC6">
        <w:rPr>
          <w:lang w:eastAsia="ja-JP"/>
        </w:rPr>
        <w:t xml:space="preserve"> </w:t>
      </w:r>
      <w:r>
        <w:rPr>
          <w:lang w:eastAsia="ja-JP"/>
        </w:rPr>
        <w:t>Some students were planning progre</w:t>
      </w:r>
      <w:r w:rsidR="00647685">
        <w:rPr>
          <w:lang w:eastAsia="ja-JP"/>
        </w:rPr>
        <w:t xml:space="preserve">ssions within education, while </w:t>
      </w:r>
      <w:r>
        <w:rPr>
          <w:lang w:eastAsia="ja-JP"/>
        </w:rPr>
        <w:t xml:space="preserve">a few </w:t>
      </w:r>
      <w:r w:rsidR="0063747C">
        <w:rPr>
          <w:lang w:eastAsia="ja-JP"/>
        </w:rPr>
        <w:t xml:space="preserve">moved </w:t>
      </w:r>
      <w:r>
        <w:rPr>
          <w:lang w:eastAsia="ja-JP"/>
        </w:rPr>
        <w:t>into parallel sector</w:t>
      </w:r>
      <w:r w:rsidR="00E57712">
        <w:rPr>
          <w:lang w:eastAsia="ja-JP"/>
        </w:rPr>
        <w:t>s where their “</w:t>
      </w:r>
      <w:r w:rsidR="00196524">
        <w:rPr>
          <w:lang w:eastAsia="ja-JP"/>
        </w:rPr>
        <w:t>caring</w:t>
      </w:r>
      <w:r w:rsidR="00E57712">
        <w:rPr>
          <w:lang w:eastAsia="ja-JP"/>
        </w:rPr>
        <w:t>”</w:t>
      </w:r>
      <w:r w:rsidR="00196524">
        <w:rPr>
          <w:lang w:eastAsia="ja-JP"/>
        </w:rPr>
        <w:t xml:space="preserve"> skills were equally valued</w:t>
      </w:r>
      <w:r w:rsidR="0063747C">
        <w:rPr>
          <w:lang w:eastAsia="ja-JP"/>
        </w:rPr>
        <w:t>. U</w:t>
      </w:r>
      <w:r w:rsidR="00473CC6">
        <w:rPr>
          <w:lang w:eastAsia="ja-JP"/>
        </w:rPr>
        <w:t xml:space="preserve">sing the diploma as evidence of recent study and of achievement, </w:t>
      </w:r>
      <w:r w:rsidR="0063747C">
        <w:rPr>
          <w:lang w:eastAsia="ja-JP"/>
        </w:rPr>
        <w:t>Amy took up a p</w:t>
      </w:r>
      <w:r>
        <w:rPr>
          <w:lang w:eastAsia="ja-JP"/>
        </w:rPr>
        <w:t>ost as hospital play specialist while</w:t>
      </w:r>
      <w:r w:rsidR="0063747C">
        <w:rPr>
          <w:lang w:eastAsia="ja-JP"/>
        </w:rPr>
        <w:t xml:space="preserve"> Fiona enrolled on a nursing degree, the diploma enabling her to meet the </w:t>
      </w:r>
      <w:r w:rsidR="00473CC6">
        <w:rPr>
          <w:lang w:eastAsia="ja-JP"/>
        </w:rPr>
        <w:t>threshold requirement</w:t>
      </w:r>
      <w:r w:rsidR="0063747C">
        <w:rPr>
          <w:lang w:eastAsia="ja-JP"/>
        </w:rPr>
        <w:t>s</w:t>
      </w:r>
      <w:r w:rsidR="00473CC6">
        <w:rPr>
          <w:lang w:eastAsia="ja-JP"/>
        </w:rPr>
        <w:t xml:space="preserve"> for </w:t>
      </w:r>
      <w:r w:rsidR="0063747C">
        <w:rPr>
          <w:lang w:eastAsia="ja-JP"/>
        </w:rPr>
        <w:t xml:space="preserve">this. </w:t>
      </w:r>
      <w:r w:rsidR="00473CC6">
        <w:rPr>
          <w:lang w:eastAsia="ja-JP"/>
        </w:rPr>
        <w:t xml:space="preserve">Thus, in Sen’s terms, the diploma </w:t>
      </w:r>
      <w:r>
        <w:rPr>
          <w:lang w:eastAsia="ja-JP"/>
        </w:rPr>
        <w:t xml:space="preserve">was </w:t>
      </w:r>
      <w:r w:rsidR="00473CC6">
        <w:rPr>
          <w:lang w:eastAsia="ja-JP"/>
        </w:rPr>
        <w:t xml:space="preserve">a functioning </w:t>
      </w:r>
      <w:r w:rsidR="00647685">
        <w:rPr>
          <w:lang w:eastAsia="ja-JP"/>
        </w:rPr>
        <w:t xml:space="preserve">in itself </w:t>
      </w:r>
      <w:r w:rsidR="00473CC6">
        <w:rPr>
          <w:lang w:eastAsia="ja-JP"/>
        </w:rPr>
        <w:t xml:space="preserve">but </w:t>
      </w:r>
      <w:r>
        <w:rPr>
          <w:lang w:eastAsia="ja-JP"/>
        </w:rPr>
        <w:t xml:space="preserve">it </w:t>
      </w:r>
      <w:r w:rsidR="00473CC6">
        <w:rPr>
          <w:lang w:eastAsia="ja-JP"/>
        </w:rPr>
        <w:t xml:space="preserve">also opened up </w:t>
      </w:r>
      <w:r w:rsidR="00647685">
        <w:rPr>
          <w:lang w:eastAsia="ja-JP"/>
        </w:rPr>
        <w:t>new</w:t>
      </w:r>
      <w:r w:rsidR="00473CC6">
        <w:rPr>
          <w:lang w:eastAsia="ja-JP"/>
        </w:rPr>
        <w:t xml:space="preserve"> capabilities for students</w:t>
      </w:r>
      <w:r w:rsidR="00647685">
        <w:rPr>
          <w:lang w:eastAsia="ja-JP"/>
        </w:rPr>
        <w:t xml:space="preserve"> to convert into further functionings</w:t>
      </w:r>
      <w:r w:rsidR="00473CC6">
        <w:rPr>
          <w:lang w:eastAsia="ja-JP"/>
        </w:rPr>
        <w:t xml:space="preserve">. </w:t>
      </w:r>
      <w:r w:rsidR="00196524">
        <w:rPr>
          <w:lang w:eastAsia="ja-JP"/>
        </w:rPr>
        <w:t xml:space="preserve">Exceptionally, </w:t>
      </w:r>
      <w:r w:rsidR="00E77003">
        <w:rPr>
          <w:lang w:eastAsia="ja-JP"/>
        </w:rPr>
        <w:t>Diane moved into a job that more closely aligned with her previous en</w:t>
      </w:r>
      <w:r w:rsidR="00E57712">
        <w:rPr>
          <w:lang w:eastAsia="ja-JP"/>
        </w:rPr>
        <w:t>vironmental work but was still “working with community groups”</w:t>
      </w:r>
      <w:r w:rsidR="00E77003">
        <w:rPr>
          <w:lang w:eastAsia="ja-JP"/>
        </w:rPr>
        <w:t xml:space="preserve"> so found the diploma provided useful transferable skills. </w:t>
      </w:r>
      <w:r w:rsidR="00196524">
        <w:rPr>
          <w:lang w:eastAsia="ja-JP"/>
        </w:rPr>
        <w:t>Of the 33 interviewed, o</w:t>
      </w:r>
      <w:r w:rsidR="00E77003">
        <w:rPr>
          <w:lang w:eastAsia="ja-JP"/>
        </w:rPr>
        <w:t xml:space="preserve">nly Irma had decided to </w:t>
      </w:r>
      <w:r w:rsidR="00196524">
        <w:rPr>
          <w:lang w:eastAsia="ja-JP"/>
        </w:rPr>
        <w:t xml:space="preserve">move away from work that directly benefited the community. She decided to </w:t>
      </w:r>
      <w:r w:rsidR="00E77003">
        <w:rPr>
          <w:lang w:eastAsia="ja-JP"/>
        </w:rPr>
        <w:t xml:space="preserve">return to running her own business, </w:t>
      </w:r>
      <w:r w:rsidR="00196524">
        <w:rPr>
          <w:lang w:eastAsia="ja-JP"/>
        </w:rPr>
        <w:t>but</w:t>
      </w:r>
      <w:r w:rsidR="00E77003">
        <w:rPr>
          <w:lang w:eastAsia="ja-JP"/>
        </w:rPr>
        <w:t xml:space="preserve"> there were clearly stated personal reasons to take her away from the Early Years sector</w:t>
      </w:r>
      <w:r w:rsidR="00196524">
        <w:rPr>
          <w:lang w:eastAsia="ja-JP"/>
        </w:rPr>
        <w:t>.</w:t>
      </w:r>
    </w:p>
    <w:p w14:paraId="39BA6631" w14:textId="77777777" w:rsidR="00647685" w:rsidRDefault="00647685" w:rsidP="005F26BA">
      <w:pPr>
        <w:jc w:val="both"/>
        <w:rPr>
          <w:lang w:eastAsia="ja-JP"/>
        </w:rPr>
      </w:pPr>
    </w:p>
    <w:p w14:paraId="714E231E" w14:textId="77777777" w:rsidR="00A15DA7" w:rsidRDefault="00A15DA7" w:rsidP="005F26BA">
      <w:pPr>
        <w:jc w:val="both"/>
        <w:rPr>
          <w:lang w:eastAsia="ja-JP"/>
        </w:rPr>
      </w:pPr>
    </w:p>
    <w:p w14:paraId="3EEF3C0B" w14:textId="7B691BA7" w:rsidR="00647685" w:rsidRDefault="00647685" w:rsidP="00DB1172">
      <w:pPr>
        <w:pStyle w:val="Heading1"/>
        <w:rPr>
          <w:lang w:eastAsia="ja-JP"/>
        </w:rPr>
      </w:pPr>
      <w:r w:rsidRPr="00647685">
        <w:rPr>
          <w:lang w:eastAsia="ja-JP"/>
        </w:rPr>
        <w:t>5</w:t>
      </w:r>
      <w:r w:rsidR="004B6B54">
        <w:rPr>
          <w:lang w:eastAsia="ja-JP"/>
        </w:rPr>
        <w:t>.</w:t>
      </w:r>
      <w:r w:rsidRPr="00647685">
        <w:rPr>
          <w:lang w:eastAsia="ja-JP"/>
        </w:rPr>
        <w:t xml:space="preserve"> Conclusion</w:t>
      </w:r>
    </w:p>
    <w:p w14:paraId="129B77C3" w14:textId="77777777" w:rsidR="00A15DA7" w:rsidRPr="00647685" w:rsidRDefault="00A15DA7" w:rsidP="005F26BA">
      <w:pPr>
        <w:jc w:val="both"/>
        <w:rPr>
          <w:b/>
          <w:lang w:eastAsia="ja-JP"/>
        </w:rPr>
      </w:pPr>
    </w:p>
    <w:p w14:paraId="0FBB6BCD" w14:textId="6631C228" w:rsidR="0063747C" w:rsidRDefault="00647685" w:rsidP="005F26BA">
      <w:pPr>
        <w:jc w:val="both"/>
        <w:rPr>
          <w:lang w:eastAsia="ja-JP"/>
        </w:rPr>
      </w:pPr>
      <w:r>
        <w:rPr>
          <w:lang w:eastAsia="ja-JP"/>
        </w:rPr>
        <w:t>This paper has used narrative evidence to sho</w:t>
      </w:r>
      <w:r w:rsidR="00493DAE">
        <w:rPr>
          <w:lang w:eastAsia="ja-JP"/>
        </w:rPr>
        <w:t>w</w:t>
      </w:r>
      <w:r>
        <w:rPr>
          <w:lang w:eastAsia="ja-JP"/>
        </w:rPr>
        <w:t xml:space="preserve"> how enrolment on the dipl</w:t>
      </w:r>
      <w:r w:rsidR="00493DAE">
        <w:rPr>
          <w:lang w:eastAsia="ja-JP"/>
        </w:rPr>
        <w:t>o</w:t>
      </w:r>
      <w:r>
        <w:rPr>
          <w:lang w:eastAsia="ja-JP"/>
        </w:rPr>
        <w:t>ma course together with the accompanying work within childcare settings significantly contributed to commun</w:t>
      </w:r>
      <w:r w:rsidR="00493DAE">
        <w:rPr>
          <w:lang w:eastAsia="ja-JP"/>
        </w:rPr>
        <w:t>ity cohesion. It shoul</w:t>
      </w:r>
      <w:r>
        <w:rPr>
          <w:lang w:eastAsia="ja-JP"/>
        </w:rPr>
        <w:t>d be remembered that the focus has bee</w:t>
      </w:r>
      <w:r w:rsidR="00493DAE">
        <w:rPr>
          <w:lang w:eastAsia="ja-JP"/>
        </w:rPr>
        <w:t xml:space="preserve">n on the effects of </w:t>
      </w:r>
      <w:r w:rsidR="003E58FC">
        <w:rPr>
          <w:lang w:eastAsia="ja-JP"/>
        </w:rPr>
        <w:t xml:space="preserve">coming on </w:t>
      </w:r>
      <w:r w:rsidR="00493DAE">
        <w:rPr>
          <w:lang w:eastAsia="ja-JP"/>
        </w:rPr>
        <w:t>the course</w:t>
      </w:r>
      <w:r w:rsidR="003E58FC">
        <w:rPr>
          <w:lang w:eastAsia="ja-JP"/>
        </w:rPr>
        <w:t>;</w:t>
      </w:r>
      <w:r w:rsidR="00493DAE">
        <w:rPr>
          <w:lang w:eastAsia="ja-JP"/>
        </w:rPr>
        <w:t xml:space="preserve"> </w:t>
      </w:r>
      <w:r w:rsidR="003E58FC">
        <w:rPr>
          <w:lang w:eastAsia="ja-JP"/>
        </w:rPr>
        <w:t xml:space="preserve">a </w:t>
      </w:r>
      <w:r>
        <w:rPr>
          <w:lang w:eastAsia="ja-JP"/>
        </w:rPr>
        <w:t>discussi</w:t>
      </w:r>
      <w:r w:rsidR="003E58FC">
        <w:rPr>
          <w:lang w:eastAsia="ja-JP"/>
        </w:rPr>
        <w:t>on of</w:t>
      </w:r>
      <w:r>
        <w:rPr>
          <w:lang w:eastAsia="ja-JP"/>
        </w:rPr>
        <w:t xml:space="preserve"> the benefits to local communities of having </w:t>
      </w:r>
      <w:r w:rsidR="003E58FC">
        <w:rPr>
          <w:lang w:eastAsia="ja-JP"/>
        </w:rPr>
        <w:t xml:space="preserve">a more </w:t>
      </w:r>
      <w:r>
        <w:rPr>
          <w:lang w:eastAsia="ja-JP"/>
        </w:rPr>
        <w:t xml:space="preserve">educated female population, the intergenerational consequences of mothers being better qualified, </w:t>
      </w:r>
      <w:r w:rsidR="00493DAE">
        <w:rPr>
          <w:lang w:eastAsia="ja-JP"/>
        </w:rPr>
        <w:t>and the ways in which the qualified stude</w:t>
      </w:r>
      <w:r>
        <w:rPr>
          <w:lang w:eastAsia="ja-JP"/>
        </w:rPr>
        <w:t>n</w:t>
      </w:r>
      <w:r w:rsidR="00493DAE">
        <w:rPr>
          <w:lang w:eastAsia="ja-JP"/>
        </w:rPr>
        <w:t>t</w:t>
      </w:r>
      <w:r>
        <w:rPr>
          <w:lang w:eastAsia="ja-JP"/>
        </w:rPr>
        <w:t>s contribute</w:t>
      </w:r>
      <w:r w:rsidR="00493DAE">
        <w:rPr>
          <w:lang w:eastAsia="ja-JP"/>
        </w:rPr>
        <w:t>d</w:t>
      </w:r>
      <w:r>
        <w:rPr>
          <w:lang w:eastAsia="ja-JP"/>
        </w:rPr>
        <w:t xml:space="preserve"> to change </w:t>
      </w:r>
      <w:r w:rsidR="003E58FC">
        <w:rPr>
          <w:lang w:eastAsia="ja-JP"/>
        </w:rPr>
        <w:t>within local community settings by</w:t>
      </w:r>
      <w:r>
        <w:rPr>
          <w:lang w:eastAsia="ja-JP"/>
        </w:rPr>
        <w:t xml:space="preserve"> </w:t>
      </w:r>
      <w:r w:rsidR="005A041C">
        <w:rPr>
          <w:lang w:eastAsia="ja-JP"/>
        </w:rPr>
        <w:t>challenging poor practi</w:t>
      </w:r>
      <w:r w:rsidR="00493DAE">
        <w:rPr>
          <w:lang w:eastAsia="ja-JP"/>
        </w:rPr>
        <w:t>ce and brin</w:t>
      </w:r>
      <w:r w:rsidR="005A041C">
        <w:rPr>
          <w:lang w:eastAsia="ja-JP"/>
        </w:rPr>
        <w:t>g</w:t>
      </w:r>
      <w:r w:rsidR="00493DAE">
        <w:rPr>
          <w:lang w:eastAsia="ja-JP"/>
        </w:rPr>
        <w:t>ing</w:t>
      </w:r>
      <w:r w:rsidR="005A041C">
        <w:rPr>
          <w:lang w:eastAsia="ja-JP"/>
        </w:rPr>
        <w:t xml:space="preserve"> </w:t>
      </w:r>
      <w:r w:rsidR="00493DAE">
        <w:rPr>
          <w:lang w:eastAsia="ja-JP"/>
        </w:rPr>
        <w:t>this</w:t>
      </w:r>
      <w:r w:rsidR="005A041C">
        <w:rPr>
          <w:lang w:eastAsia="ja-JP"/>
        </w:rPr>
        <w:t xml:space="preserve"> up-to-date.</w:t>
      </w:r>
    </w:p>
    <w:p w14:paraId="1ADEEC5F" w14:textId="77777777" w:rsidR="00493DAE" w:rsidRDefault="00493DAE" w:rsidP="005F26BA">
      <w:pPr>
        <w:jc w:val="both"/>
        <w:rPr>
          <w:lang w:eastAsia="ja-JP"/>
        </w:rPr>
      </w:pPr>
    </w:p>
    <w:p w14:paraId="3F8B4F3F" w14:textId="1DF2664E" w:rsidR="00493DAE" w:rsidRDefault="005A041C" w:rsidP="005F26BA">
      <w:pPr>
        <w:jc w:val="both"/>
        <w:rPr>
          <w:lang w:eastAsia="ja-JP"/>
        </w:rPr>
      </w:pPr>
      <w:r>
        <w:rPr>
          <w:lang w:eastAsia="ja-JP"/>
        </w:rPr>
        <w:t xml:space="preserve">In its entirety, the research found significant additional benefits, </w:t>
      </w:r>
      <w:r w:rsidR="00493DAE">
        <w:rPr>
          <w:lang w:eastAsia="ja-JP"/>
        </w:rPr>
        <w:t xml:space="preserve">but </w:t>
      </w:r>
      <w:r>
        <w:rPr>
          <w:lang w:eastAsia="ja-JP"/>
        </w:rPr>
        <w:t xml:space="preserve">it </w:t>
      </w:r>
      <w:r w:rsidR="00493DAE">
        <w:rPr>
          <w:lang w:eastAsia="ja-JP"/>
        </w:rPr>
        <w:t>lies</w:t>
      </w:r>
      <w:r>
        <w:rPr>
          <w:lang w:eastAsia="ja-JP"/>
        </w:rPr>
        <w:t xml:space="preserve"> outside the scope of the curre</w:t>
      </w:r>
      <w:r w:rsidR="00493DAE">
        <w:rPr>
          <w:lang w:eastAsia="ja-JP"/>
        </w:rPr>
        <w:t xml:space="preserve">nt paper to </w:t>
      </w:r>
      <w:r w:rsidR="003E58FC">
        <w:rPr>
          <w:lang w:eastAsia="ja-JP"/>
        </w:rPr>
        <w:t>do more than mention</w:t>
      </w:r>
      <w:r w:rsidR="00493DAE">
        <w:rPr>
          <w:lang w:eastAsia="ja-JP"/>
        </w:rPr>
        <w:t xml:space="preserve"> the horizontal</w:t>
      </w:r>
      <w:r>
        <w:rPr>
          <w:lang w:eastAsia="ja-JP"/>
        </w:rPr>
        <w:t xml:space="preserve"> socia</w:t>
      </w:r>
      <w:r w:rsidR="00493DAE">
        <w:rPr>
          <w:lang w:eastAsia="ja-JP"/>
        </w:rPr>
        <w:t>l capital consequences of stude</w:t>
      </w:r>
      <w:r>
        <w:rPr>
          <w:lang w:eastAsia="ja-JP"/>
        </w:rPr>
        <w:t>n</w:t>
      </w:r>
      <w:r w:rsidR="00493DAE">
        <w:rPr>
          <w:lang w:eastAsia="ja-JP"/>
        </w:rPr>
        <w:t>t</w:t>
      </w:r>
      <w:r>
        <w:rPr>
          <w:lang w:eastAsia="ja-JP"/>
        </w:rPr>
        <w:t>s f</w:t>
      </w:r>
      <w:r w:rsidR="00493DAE">
        <w:rPr>
          <w:lang w:eastAsia="ja-JP"/>
        </w:rPr>
        <w:t>or</w:t>
      </w:r>
      <w:r>
        <w:rPr>
          <w:lang w:eastAsia="ja-JP"/>
        </w:rPr>
        <w:t>ming new friendships</w:t>
      </w:r>
      <w:r w:rsidR="00493DAE">
        <w:rPr>
          <w:lang w:eastAsia="ja-JP"/>
        </w:rPr>
        <w:t xml:space="preserve"> or the vertical links when a s</w:t>
      </w:r>
      <w:r>
        <w:rPr>
          <w:lang w:eastAsia="ja-JP"/>
        </w:rPr>
        <w:t xml:space="preserve">uccession of staff members enrol sequentially on the diploma course, enabling the management </w:t>
      </w:r>
      <w:r w:rsidR="00493DAE">
        <w:rPr>
          <w:lang w:eastAsia="ja-JP"/>
        </w:rPr>
        <w:t xml:space="preserve">team to develop a shared outlook. Nor </w:t>
      </w:r>
      <w:r>
        <w:rPr>
          <w:lang w:eastAsia="ja-JP"/>
        </w:rPr>
        <w:t xml:space="preserve">does this paper </w:t>
      </w:r>
      <w:r w:rsidR="003E58FC">
        <w:rPr>
          <w:lang w:eastAsia="ja-JP"/>
        </w:rPr>
        <w:t>truly reflect</w:t>
      </w:r>
      <w:r>
        <w:rPr>
          <w:lang w:eastAsia="ja-JP"/>
        </w:rPr>
        <w:t xml:space="preserve"> the m</w:t>
      </w:r>
      <w:r w:rsidR="00493DAE">
        <w:rPr>
          <w:lang w:eastAsia="ja-JP"/>
        </w:rPr>
        <w:t>o</w:t>
      </w:r>
      <w:r>
        <w:rPr>
          <w:lang w:eastAsia="ja-JP"/>
        </w:rPr>
        <w:t>re per</w:t>
      </w:r>
      <w:r w:rsidR="00493DAE">
        <w:rPr>
          <w:lang w:eastAsia="ja-JP"/>
        </w:rPr>
        <w:t>so</w:t>
      </w:r>
      <w:r>
        <w:rPr>
          <w:lang w:eastAsia="ja-JP"/>
        </w:rPr>
        <w:t>n</w:t>
      </w:r>
      <w:r w:rsidR="00493DAE">
        <w:rPr>
          <w:lang w:eastAsia="ja-JP"/>
        </w:rPr>
        <w:t>a</w:t>
      </w:r>
      <w:r>
        <w:rPr>
          <w:lang w:eastAsia="ja-JP"/>
        </w:rPr>
        <w:t>l and fami</w:t>
      </w:r>
      <w:r w:rsidR="00493DAE">
        <w:rPr>
          <w:lang w:eastAsia="ja-JP"/>
        </w:rPr>
        <w:t>lial</w:t>
      </w:r>
      <w:r>
        <w:rPr>
          <w:lang w:eastAsia="ja-JP"/>
        </w:rPr>
        <w:t xml:space="preserve"> elements that help to weave the public threads together.</w:t>
      </w:r>
      <w:r w:rsidR="00493DAE">
        <w:rPr>
          <w:lang w:eastAsia="ja-JP"/>
        </w:rPr>
        <w:t xml:space="preserve"> These are addressed elsewhere (</w:t>
      </w:r>
      <w:r w:rsidR="003D4FCF">
        <w:rPr>
          <w:lang w:eastAsia="ja-JP"/>
        </w:rPr>
        <w:t xml:space="preserve">see </w:t>
      </w:r>
      <w:r w:rsidR="00493DAE">
        <w:rPr>
          <w:lang w:eastAsia="ja-JP"/>
        </w:rPr>
        <w:t>Wright, 2011).</w:t>
      </w:r>
    </w:p>
    <w:p w14:paraId="6DCF72D0" w14:textId="77777777" w:rsidR="00493DAE" w:rsidRDefault="00493DAE" w:rsidP="005F26BA">
      <w:pPr>
        <w:jc w:val="both"/>
        <w:rPr>
          <w:lang w:eastAsia="ja-JP"/>
        </w:rPr>
      </w:pPr>
    </w:p>
    <w:p w14:paraId="24234C26" w14:textId="6BF2F930" w:rsidR="0063747C" w:rsidRDefault="00493DAE" w:rsidP="005F26BA">
      <w:pPr>
        <w:jc w:val="both"/>
        <w:rPr>
          <w:lang w:eastAsia="ja-JP"/>
        </w:rPr>
      </w:pPr>
      <w:r>
        <w:rPr>
          <w:lang w:eastAsia="ja-JP"/>
        </w:rPr>
        <w:t>This research</w:t>
      </w:r>
      <w:r w:rsidR="003E58FC">
        <w:rPr>
          <w:lang w:eastAsia="ja-JP"/>
        </w:rPr>
        <w:t xml:space="preserve"> captured</w:t>
      </w:r>
      <w:r w:rsidR="005A041C">
        <w:rPr>
          <w:lang w:eastAsia="ja-JP"/>
        </w:rPr>
        <w:t xml:space="preserve"> Early Years practice at a time of</w:t>
      </w:r>
      <w:r>
        <w:rPr>
          <w:lang w:eastAsia="ja-JP"/>
        </w:rPr>
        <w:t xml:space="preserve"> </w:t>
      </w:r>
      <w:r w:rsidR="005A041C">
        <w:rPr>
          <w:lang w:eastAsia="ja-JP"/>
        </w:rPr>
        <w:t>significant change</w:t>
      </w:r>
      <w:r>
        <w:rPr>
          <w:lang w:eastAsia="ja-JP"/>
        </w:rPr>
        <w:t>.</w:t>
      </w:r>
      <w:r w:rsidR="005A041C">
        <w:rPr>
          <w:lang w:eastAsia="ja-JP"/>
        </w:rPr>
        <w:t xml:space="preserve"> </w:t>
      </w:r>
      <w:r>
        <w:rPr>
          <w:lang w:eastAsia="ja-JP"/>
        </w:rPr>
        <w:t>H</w:t>
      </w:r>
      <w:r w:rsidR="00E57712">
        <w:rPr>
          <w:lang w:eastAsia="ja-JP"/>
        </w:rPr>
        <w:t>odges (2000) “silent revolution”</w:t>
      </w:r>
      <w:r>
        <w:rPr>
          <w:lang w:eastAsia="ja-JP"/>
        </w:rPr>
        <w:t xml:space="preserve"> in the Early Years saw a significant </w:t>
      </w:r>
      <w:r w:rsidR="005A041C">
        <w:rPr>
          <w:lang w:eastAsia="ja-JP"/>
        </w:rPr>
        <w:t xml:space="preserve">expansion of the sector and </w:t>
      </w:r>
      <w:r w:rsidR="003E58FC">
        <w:rPr>
          <w:lang w:eastAsia="ja-JP"/>
        </w:rPr>
        <w:t>an</w:t>
      </w:r>
      <w:r w:rsidR="00A345FE">
        <w:rPr>
          <w:lang w:eastAsia="ja-JP"/>
        </w:rPr>
        <w:t xml:space="preserve"> imposition of professional standards </w:t>
      </w:r>
      <w:r>
        <w:rPr>
          <w:lang w:eastAsia="ja-JP"/>
        </w:rPr>
        <w:t>that brought</w:t>
      </w:r>
      <w:r w:rsidR="005A041C">
        <w:rPr>
          <w:lang w:eastAsia="ja-JP"/>
        </w:rPr>
        <w:t xml:space="preserve"> </w:t>
      </w:r>
      <w:r w:rsidR="00E57712">
        <w:rPr>
          <w:lang w:eastAsia="ja-JP"/>
        </w:rPr>
        <w:t>the traditional practice of “drifting”</w:t>
      </w:r>
      <w:r w:rsidR="00A345FE">
        <w:rPr>
          <w:lang w:eastAsia="ja-JP"/>
        </w:rPr>
        <w:t xml:space="preserve"> into childcare work and then choosing to qualify,</w:t>
      </w:r>
      <w:r w:rsidR="005A041C">
        <w:rPr>
          <w:lang w:eastAsia="ja-JP"/>
        </w:rPr>
        <w:t xml:space="preserve"> into question. However, </w:t>
      </w:r>
      <w:r>
        <w:rPr>
          <w:lang w:eastAsia="ja-JP"/>
        </w:rPr>
        <w:t>with the change of g</w:t>
      </w:r>
      <w:r w:rsidR="005A041C">
        <w:rPr>
          <w:lang w:eastAsia="ja-JP"/>
        </w:rPr>
        <w:t>ove</w:t>
      </w:r>
      <w:r>
        <w:rPr>
          <w:lang w:eastAsia="ja-JP"/>
        </w:rPr>
        <w:t>rn</w:t>
      </w:r>
      <w:r w:rsidR="005A041C">
        <w:rPr>
          <w:lang w:eastAsia="ja-JP"/>
        </w:rPr>
        <w:t xml:space="preserve">ment in </w:t>
      </w:r>
      <w:r w:rsidR="00A345FE">
        <w:rPr>
          <w:lang w:eastAsia="ja-JP"/>
        </w:rPr>
        <w:t xml:space="preserve">the UK in 2010, </w:t>
      </w:r>
      <w:r w:rsidR="005A041C">
        <w:rPr>
          <w:lang w:eastAsia="ja-JP"/>
        </w:rPr>
        <w:t>the pa</w:t>
      </w:r>
      <w:r>
        <w:rPr>
          <w:lang w:eastAsia="ja-JP"/>
        </w:rPr>
        <w:t>c</w:t>
      </w:r>
      <w:r w:rsidR="005A041C">
        <w:rPr>
          <w:lang w:eastAsia="ja-JP"/>
        </w:rPr>
        <w:t xml:space="preserve">e of change </w:t>
      </w:r>
      <w:r>
        <w:rPr>
          <w:lang w:eastAsia="ja-JP"/>
        </w:rPr>
        <w:t>slowed down</w:t>
      </w:r>
      <w:r w:rsidR="00A345FE">
        <w:rPr>
          <w:lang w:eastAsia="ja-JP"/>
        </w:rPr>
        <w:t>, argua</w:t>
      </w:r>
      <w:r w:rsidR="00E57712">
        <w:rPr>
          <w:lang w:eastAsia="ja-JP"/>
        </w:rPr>
        <w:t xml:space="preserve">bly </w:t>
      </w:r>
      <w:r w:rsidR="003E58FC">
        <w:rPr>
          <w:lang w:eastAsia="ja-JP"/>
        </w:rPr>
        <w:t>before the revolution was complete</w:t>
      </w:r>
      <w:r w:rsidR="00A345FE">
        <w:rPr>
          <w:lang w:eastAsia="ja-JP"/>
        </w:rPr>
        <w:t>. W</w:t>
      </w:r>
      <w:r w:rsidR="005A041C">
        <w:rPr>
          <w:lang w:eastAsia="ja-JP"/>
        </w:rPr>
        <w:t xml:space="preserve">e are yet to see how </w:t>
      </w:r>
      <w:r>
        <w:rPr>
          <w:lang w:eastAsia="ja-JP"/>
        </w:rPr>
        <w:t xml:space="preserve">well </w:t>
      </w:r>
      <w:r w:rsidR="005A041C">
        <w:rPr>
          <w:lang w:eastAsia="ja-JP"/>
        </w:rPr>
        <w:t>the community pre-school sits al</w:t>
      </w:r>
      <w:r>
        <w:rPr>
          <w:lang w:eastAsia="ja-JP"/>
        </w:rPr>
        <w:t>ong</w:t>
      </w:r>
      <w:r w:rsidR="005A041C">
        <w:rPr>
          <w:lang w:eastAsia="ja-JP"/>
        </w:rPr>
        <w:t>s</w:t>
      </w:r>
      <w:r>
        <w:rPr>
          <w:lang w:eastAsia="ja-JP"/>
        </w:rPr>
        <w:t>i</w:t>
      </w:r>
      <w:r w:rsidR="005A041C">
        <w:rPr>
          <w:lang w:eastAsia="ja-JP"/>
        </w:rPr>
        <w:t xml:space="preserve">de the </w:t>
      </w:r>
      <w:r w:rsidR="00A345FE">
        <w:rPr>
          <w:lang w:eastAsia="ja-JP"/>
        </w:rPr>
        <w:t>private nursery chains and c</w:t>
      </w:r>
      <w:r>
        <w:rPr>
          <w:lang w:eastAsia="ja-JP"/>
        </w:rPr>
        <w:t>hildren’</w:t>
      </w:r>
      <w:r w:rsidR="00A345FE">
        <w:rPr>
          <w:lang w:eastAsia="ja-JP"/>
        </w:rPr>
        <w:t>s c</w:t>
      </w:r>
      <w:r w:rsidR="005A041C">
        <w:rPr>
          <w:lang w:eastAsia="ja-JP"/>
        </w:rPr>
        <w:t>entres</w:t>
      </w:r>
      <w:r w:rsidR="003E58FC">
        <w:rPr>
          <w:lang w:eastAsia="ja-JP"/>
        </w:rPr>
        <w:t>,</w:t>
      </w:r>
      <w:r w:rsidR="005A041C">
        <w:rPr>
          <w:lang w:eastAsia="ja-JP"/>
        </w:rPr>
        <w:t xml:space="preserve"> </w:t>
      </w:r>
      <w:r>
        <w:rPr>
          <w:lang w:eastAsia="ja-JP"/>
        </w:rPr>
        <w:t xml:space="preserve">established when public </w:t>
      </w:r>
      <w:r w:rsidR="00A345FE">
        <w:rPr>
          <w:lang w:eastAsia="ja-JP"/>
        </w:rPr>
        <w:t xml:space="preserve">funding </w:t>
      </w:r>
      <w:r w:rsidR="005A041C">
        <w:rPr>
          <w:lang w:eastAsia="ja-JP"/>
        </w:rPr>
        <w:t>was mo</w:t>
      </w:r>
      <w:r w:rsidR="00A345FE">
        <w:rPr>
          <w:lang w:eastAsia="ja-JP"/>
        </w:rPr>
        <w:t xml:space="preserve">re readily available. Nor can we tell whether newly established groups will function as community centres </w:t>
      </w:r>
      <w:r w:rsidR="003E58FC">
        <w:rPr>
          <w:lang w:eastAsia="ja-JP"/>
        </w:rPr>
        <w:t xml:space="preserve">providing </w:t>
      </w:r>
      <w:r w:rsidR="003A5342">
        <w:rPr>
          <w:lang w:eastAsia="ja-JP"/>
        </w:rPr>
        <w:t xml:space="preserve">nuclei for </w:t>
      </w:r>
      <w:r w:rsidR="003E58FC">
        <w:rPr>
          <w:lang w:eastAsia="ja-JP"/>
        </w:rPr>
        <w:t>social cohesion</w:t>
      </w:r>
      <w:r w:rsidR="003A5342">
        <w:rPr>
          <w:lang w:eastAsia="ja-JP"/>
        </w:rPr>
        <w:t xml:space="preserve"> </w:t>
      </w:r>
      <w:r w:rsidR="00A345FE">
        <w:rPr>
          <w:lang w:eastAsia="ja-JP"/>
        </w:rPr>
        <w:t xml:space="preserve">like those that grew out of the </w:t>
      </w:r>
      <w:r w:rsidR="003A5342">
        <w:rPr>
          <w:lang w:eastAsia="ja-JP"/>
        </w:rPr>
        <w:t>neighbourhoods</w:t>
      </w:r>
      <w:r w:rsidR="00A345FE">
        <w:rPr>
          <w:lang w:eastAsia="ja-JP"/>
        </w:rPr>
        <w:t xml:space="preserve"> they served; set</w:t>
      </w:r>
      <w:r w:rsidR="003A5342">
        <w:rPr>
          <w:lang w:eastAsia="ja-JP"/>
        </w:rPr>
        <w:t xml:space="preserve"> up, staffed and managed by </w:t>
      </w:r>
      <w:r w:rsidR="00A345FE">
        <w:rPr>
          <w:lang w:eastAsia="ja-JP"/>
        </w:rPr>
        <w:t>local residents and</w:t>
      </w:r>
      <w:r w:rsidR="003A5342">
        <w:rPr>
          <w:lang w:eastAsia="ja-JP"/>
        </w:rPr>
        <w:t xml:space="preserve"> catering collectively for the</w:t>
      </w:r>
      <w:r w:rsidR="00A345FE">
        <w:rPr>
          <w:lang w:eastAsia="ja-JP"/>
        </w:rPr>
        <w:t xml:space="preserve"> children</w:t>
      </w:r>
      <w:r w:rsidR="003A5342">
        <w:rPr>
          <w:lang w:eastAsia="ja-JP"/>
        </w:rPr>
        <w:t xml:space="preserve"> living nearby</w:t>
      </w:r>
      <w:r w:rsidR="00A345FE">
        <w:rPr>
          <w:lang w:eastAsia="ja-JP"/>
        </w:rPr>
        <w:t>.</w:t>
      </w:r>
      <w:r w:rsidR="0069452A">
        <w:rPr>
          <w:lang w:eastAsia="ja-JP"/>
        </w:rPr>
        <w:t xml:space="preserve"> However, the findings of thi</w:t>
      </w:r>
      <w:r w:rsidR="00A31989">
        <w:rPr>
          <w:lang w:eastAsia="ja-JP"/>
        </w:rPr>
        <w:t xml:space="preserve">s study suggest that care should </w:t>
      </w:r>
      <w:r w:rsidR="0069452A">
        <w:rPr>
          <w:lang w:eastAsia="ja-JP"/>
        </w:rPr>
        <w:t>be taken to protect init</w:t>
      </w:r>
      <w:r w:rsidR="00A31989">
        <w:rPr>
          <w:lang w:eastAsia="ja-JP"/>
        </w:rPr>
        <w:t>i</w:t>
      </w:r>
      <w:r w:rsidR="0069452A">
        <w:rPr>
          <w:lang w:eastAsia="ja-JP"/>
        </w:rPr>
        <w:t>atives that work and that grew up to serve the needs of loca</w:t>
      </w:r>
      <w:r w:rsidR="003A5342">
        <w:rPr>
          <w:lang w:eastAsia="ja-JP"/>
        </w:rPr>
        <w:t>l people as the benefits may exceed those that are immediately apparent within</w:t>
      </w:r>
      <w:r w:rsidR="0069452A">
        <w:rPr>
          <w:lang w:eastAsia="ja-JP"/>
        </w:rPr>
        <w:t xml:space="preserve"> narratives of ‘raising standards’ and</w:t>
      </w:r>
      <w:r w:rsidR="003A5342">
        <w:rPr>
          <w:lang w:eastAsia="ja-JP"/>
        </w:rPr>
        <w:t xml:space="preserve"> extending</w:t>
      </w:r>
      <w:r w:rsidR="0069452A">
        <w:rPr>
          <w:lang w:eastAsia="ja-JP"/>
        </w:rPr>
        <w:t xml:space="preserve"> ‘cost-effective childcare’.</w:t>
      </w:r>
    </w:p>
    <w:p w14:paraId="71BBDA30" w14:textId="77777777" w:rsidR="00E57712" w:rsidRDefault="00E57712" w:rsidP="005F26BA">
      <w:pPr>
        <w:jc w:val="both"/>
        <w:rPr>
          <w:lang w:eastAsia="ja-JP"/>
        </w:rPr>
      </w:pPr>
    </w:p>
    <w:p w14:paraId="16919840" w14:textId="77777777" w:rsidR="004908A3" w:rsidRDefault="004908A3" w:rsidP="00DB1172">
      <w:pPr>
        <w:pStyle w:val="Heading1"/>
      </w:pPr>
      <w:r w:rsidRPr="00AD704D">
        <w:lastRenderedPageBreak/>
        <w:t>References</w:t>
      </w:r>
    </w:p>
    <w:p w14:paraId="6A8A8C8A" w14:textId="77777777" w:rsidR="004908A3" w:rsidRDefault="004908A3" w:rsidP="005F26BA">
      <w:pPr>
        <w:jc w:val="both"/>
        <w:rPr>
          <w:b/>
        </w:rPr>
      </w:pPr>
    </w:p>
    <w:p w14:paraId="603E7A4C" w14:textId="77777777" w:rsidR="004908A3" w:rsidRPr="00162E19" w:rsidRDefault="004908A3" w:rsidP="004B6B54">
      <w:pPr>
        <w:tabs>
          <w:tab w:val="left" w:pos="426"/>
        </w:tabs>
        <w:jc w:val="both"/>
        <w:rPr>
          <w:lang w:val="en-US"/>
        </w:rPr>
      </w:pPr>
      <w:r w:rsidRPr="00162E19">
        <w:rPr>
          <w:lang w:val="en-US"/>
        </w:rPr>
        <w:t>Audit Commission (1996a)</w:t>
      </w:r>
      <w:r>
        <w:rPr>
          <w:lang w:val="en-US"/>
        </w:rPr>
        <w:t>.</w:t>
      </w:r>
      <w:r w:rsidRPr="00162E19">
        <w:rPr>
          <w:lang w:val="en-US"/>
        </w:rPr>
        <w:t xml:space="preserve"> </w:t>
      </w:r>
      <w:r w:rsidRPr="00162E19">
        <w:rPr>
          <w:i/>
          <w:lang w:val="en-US"/>
        </w:rPr>
        <w:t xml:space="preserve">Counting to five. </w:t>
      </w:r>
      <w:r w:rsidRPr="00162E19">
        <w:rPr>
          <w:lang w:val="en-US"/>
        </w:rPr>
        <w:t>London: HMSO.</w:t>
      </w:r>
    </w:p>
    <w:p w14:paraId="57E6B297" w14:textId="77777777" w:rsidR="004908A3" w:rsidRDefault="004908A3" w:rsidP="004B6B54">
      <w:pPr>
        <w:tabs>
          <w:tab w:val="left" w:pos="426"/>
        </w:tabs>
        <w:jc w:val="both"/>
        <w:rPr>
          <w:lang w:val="en-US"/>
        </w:rPr>
      </w:pPr>
      <w:r w:rsidRPr="00162E19">
        <w:rPr>
          <w:lang w:val="en-US"/>
        </w:rPr>
        <w:t>Audit Commission (1996b)</w:t>
      </w:r>
      <w:r>
        <w:rPr>
          <w:lang w:val="en-US"/>
        </w:rPr>
        <w:t>.</w:t>
      </w:r>
      <w:r w:rsidRPr="00162E19">
        <w:rPr>
          <w:lang w:val="en-US"/>
        </w:rPr>
        <w:t xml:space="preserve"> </w:t>
      </w:r>
      <w:r w:rsidRPr="00162E19">
        <w:rPr>
          <w:i/>
          <w:lang w:val="en-US"/>
        </w:rPr>
        <w:t>Under fives count.</w:t>
      </w:r>
      <w:r w:rsidRPr="00162E19">
        <w:rPr>
          <w:lang w:val="en-US"/>
        </w:rPr>
        <w:t xml:space="preserve"> London: HMSO.</w:t>
      </w:r>
    </w:p>
    <w:p w14:paraId="485E23CC" w14:textId="77777777" w:rsidR="004908A3" w:rsidRPr="00185F4C" w:rsidRDefault="004908A3" w:rsidP="004B6B54">
      <w:pPr>
        <w:tabs>
          <w:tab w:val="left" w:pos="426"/>
        </w:tabs>
        <w:jc w:val="both"/>
      </w:pPr>
      <w:r w:rsidRPr="00162E19">
        <w:t>Ball, C. (1994)</w:t>
      </w:r>
      <w:r>
        <w:t>.</w:t>
      </w:r>
      <w:r w:rsidRPr="00162E19">
        <w:t xml:space="preserve"> </w:t>
      </w:r>
      <w:r w:rsidRPr="00162E19">
        <w:rPr>
          <w:i/>
        </w:rPr>
        <w:t>Start right</w:t>
      </w:r>
      <w:r w:rsidRPr="00162E19">
        <w:t>. London: Royal S</w:t>
      </w:r>
      <w:r>
        <w:t>ociety of Arts.</w:t>
      </w:r>
    </w:p>
    <w:p w14:paraId="5E9013E3" w14:textId="77777777" w:rsidR="004908A3" w:rsidRPr="00DB13FD" w:rsidRDefault="004908A3" w:rsidP="004B6B54">
      <w:pPr>
        <w:jc w:val="both"/>
      </w:pPr>
      <w:r>
        <w:t>CACE (</w:t>
      </w:r>
      <w:r w:rsidRPr="00DB13FD">
        <w:t>Central Advisory Council for Education</w:t>
      </w:r>
      <w:r>
        <w:t>)</w:t>
      </w:r>
      <w:r w:rsidRPr="00DB13FD">
        <w:t xml:space="preserve"> (1967)</w:t>
      </w:r>
      <w:r>
        <w:t>.</w:t>
      </w:r>
      <w:r w:rsidRPr="00DB13FD">
        <w:t xml:space="preserve"> </w:t>
      </w:r>
      <w:r w:rsidRPr="00DB13FD">
        <w:rPr>
          <w:i/>
        </w:rPr>
        <w:t>Children and their primary schools</w:t>
      </w:r>
      <w:r w:rsidRPr="00DB13FD">
        <w:t xml:space="preserve"> </w:t>
      </w:r>
      <w:r w:rsidRPr="00DB13FD">
        <w:rPr>
          <w:i/>
        </w:rPr>
        <w:t>(The Plowden Report)</w:t>
      </w:r>
      <w:r>
        <w:rPr>
          <w:i/>
        </w:rPr>
        <w:t>.</w:t>
      </w:r>
      <w:r w:rsidRPr="00DB13FD">
        <w:t xml:space="preserve"> London: HMSO.</w:t>
      </w:r>
    </w:p>
    <w:p w14:paraId="5857CFF1" w14:textId="2F4D4286" w:rsidR="004908A3" w:rsidRPr="008073CC" w:rsidRDefault="00DB1172" w:rsidP="004B6B54">
      <w:pPr>
        <w:jc w:val="both"/>
        <w:rPr>
          <w:bCs/>
          <w:lang w:val="en-US" w:eastAsia="ja-JP"/>
        </w:rPr>
      </w:pPr>
      <w:hyperlink r:id="rId8" w:history="1">
        <w:r w:rsidR="004908A3" w:rsidRPr="008073CC">
          <w:rPr>
            <w:lang w:val="en-US" w:eastAsia="ja-JP"/>
          </w:rPr>
          <w:t>Craig</w:t>
        </w:r>
      </w:hyperlink>
      <w:r w:rsidR="004908A3" w:rsidRPr="008073CC">
        <w:rPr>
          <w:lang w:val="en-US" w:eastAsia="ja-JP"/>
        </w:rPr>
        <w:t xml:space="preserve">, G., Burchardt, T. </w:t>
      </w:r>
      <w:r w:rsidR="004908A3">
        <w:rPr>
          <w:lang w:val="en-US" w:eastAsia="ja-JP"/>
        </w:rPr>
        <w:t>&amp;</w:t>
      </w:r>
      <w:r w:rsidR="004908A3" w:rsidRPr="008073CC">
        <w:rPr>
          <w:lang w:val="en-US" w:eastAsia="ja-JP"/>
        </w:rPr>
        <w:t xml:space="preserve"> </w:t>
      </w:r>
      <w:hyperlink r:id="rId9" w:history="1">
        <w:r w:rsidR="004908A3" w:rsidRPr="008073CC">
          <w:rPr>
            <w:lang w:val="en-US" w:eastAsia="ja-JP"/>
          </w:rPr>
          <w:t>Gordon</w:t>
        </w:r>
      </w:hyperlink>
      <w:r w:rsidR="004908A3" w:rsidRPr="008073CC">
        <w:rPr>
          <w:lang w:val="en-US" w:eastAsia="ja-JP"/>
        </w:rPr>
        <w:t xml:space="preserve">, D. </w:t>
      </w:r>
      <w:r w:rsidR="004908A3">
        <w:rPr>
          <w:lang w:val="en-US" w:eastAsia="ja-JP"/>
        </w:rPr>
        <w:t xml:space="preserve">(2008). </w:t>
      </w:r>
      <w:r w:rsidR="004B6B54" w:rsidRPr="008073CC">
        <w:rPr>
          <w:bCs/>
          <w:i/>
          <w:lang w:val="en-US" w:eastAsia="ja-JP"/>
        </w:rPr>
        <w:t>Social</w:t>
      </w:r>
      <w:r w:rsidR="004908A3">
        <w:rPr>
          <w:bCs/>
          <w:i/>
          <w:lang w:val="en-US" w:eastAsia="ja-JP"/>
        </w:rPr>
        <w:t xml:space="preserve"> justice and public policy: S</w:t>
      </w:r>
      <w:r w:rsidR="004908A3" w:rsidRPr="008073CC">
        <w:rPr>
          <w:bCs/>
          <w:i/>
          <w:lang w:val="en-US" w:eastAsia="ja-JP"/>
        </w:rPr>
        <w:t>eeking fairness in diverse societies.</w:t>
      </w:r>
      <w:r w:rsidR="004908A3" w:rsidRPr="008073CC">
        <w:rPr>
          <w:bCs/>
          <w:lang w:val="en-US" w:eastAsia="ja-JP"/>
        </w:rPr>
        <w:t xml:space="preserve"> Bristol: Policy Press.</w:t>
      </w:r>
    </w:p>
    <w:p w14:paraId="3BD140A5" w14:textId="77777777" w:rsidR="004908A3" w:rsidRPr="00162E19" w:rsidRDefault="004908A3" w:rsidP="004B6B54">
      <w:pPr>
        <w:tabs>
          <w:tab w:val="left" w:pos="426"/>
        </w:tabs>
        <w:jc w:val="both"/>
      </w:pPr>
      <w:r w:rsidRPr="00162E19">
        <w:t>DES (1990)</w:t>
      </w:r>
      <w:r>
        <w:t>.</w:t>
      </w:r>
      <w:r w:rsidRPr="00162E19">
        <w:t xml:space="preserve"> </w:t>
      </w:r>
      <w:r w:rsidRPr="00162E19">
        <w:rPr>
          <w:i/>
        </w:rPr>
        <w:t>Starting with quality (The Rumbold Report)</w:t>
      </w:r>
      <w:r w:rsidRPr="00162E19">
        <w:t xml:space="preserve"> London: Department of Education and Science.</w:t>
      </w:r>
    </w:p>
    <w:p w14:paraId="65A9C997" w14:textId="77777777" w:rsidR="004908A3" w:rsidRPr="00F04A76" w:rsidRDefault="004908A3" w:rsidP="004B6B54">
      <w:pPr>
        <w:jc w:val="both"/>
      </w:pPr>
      <w:r w:rsidRPr="00B90010">
        <w:t xml:space="preserve">Festinger, </w:t>
      </w:r>
      <w:r w:rsidRPr="00B90010">
        <w:rPr>
          <w:lang w:val="en-US"/>
        </w:rPr>
        <w:t>L (1957)</w:t>
      </w:r>
      <w:r>
        <w:rPr>
          <w:lang w:val="en-US"/>
        </w:rPr>
        <w:t>.</w:t>
      </w:r>
      <w:r w:rsidRPr="00B90010">
        <w:rPr>
          <w:lang w:val="en-US"/>
        </w:rPr>
        <w:t xml:space="preserve"> </w:t>
      </w:r>
      <w:r w:rsidRPr="00B90010">
        <w:rPr>
          <w:i/>
          <w:lang w:val="en-US"/>
        </w:rPr>
        <w:t>A theory of c</w:t>
      </w:r>
      <w:r w:rsidRPr="00493FFE">
        <w:rPr>
          <w:i/>
          <w:lang w:val="en-US"/>
        </w:rPr>
        <w:t>ognitive dissonance.</w:t>
      </w:r>
      <w:r w:rsidRPr="00493FFE">
        <w:rPr>
          <w:lang w:val="en-US"/>
        </w:rPr>
        <w:t xml:space="preserve"> Stanford: Stanford University Press</w:t>
      </w:r>
      <w:r>
        <w:rPr>
          <w:lang w:val="en-US"/>
        </w:rPr>
        <w:t>.</w:t>
      </w:r>
    </w:p>
    <w:p w14:paraId="3DA782EB" w14:textId="77777777" w:rsidR="004908A3" w:rsidRPr="00B8424E" w:rsidRDefault="004908A3" w:rsidP="004B6B54">
      <w:pPr>
        <w:jc w:val="both"/>
      </w:pPr>
      <w:r>
        <w:rPr>
          <w:color w:val="141413"/>
          <w:lang w:val="en-US" w:eastAsia="ja-JP"/>
        </w:rPr>
        <w:t>Fukuyama, F. (1999).</w:t>
      </w:r>
      <w:r w:rsidRPr="00B8424E">
        <w:rPr>
          <w:color w:val="141413"/>
          <w:lang w:val="en-US" w:eastAsia="ja-JP"/>
        </w:rPr>
        <w:t xml:space="preserve"> </w:t>
      </w:r>
      <w:r w:rsidRPr="00C51677">
        <w:rPr>
          <w:i/>
          <w:color w:val="141413"/>
          <w:lang w:val="en-US" w:eastAsia="ja-JP"/>
        </w:rPr>
        <w:t>The great disruption: human nature and reconstitution of social orde</w:t>
      </w:r>
      <w:r>
        <w:rPr>
          <w:i/>
          <w:color w:val="141413"/>
          <w:lang w:val="en-US" w:eastAsia="ja-JP"/>
        </w:rPr>
        <w:t>r.</w:t>
      </w:r>
      <w:r w:rsidRPr="00C51677">
        <w:rPr>
          <w:i/>
          <w:color w:val="141413"/>
          <w:lang w:val="en-US" w:eastAsia="ja-JP"/>
        </w:rPr>
        <w:t xml:space="preserve"> </w:t>
      </w:r>
      <w:r w:rsidRPr="00B8424E">
        <w:rPr>
          <w:color w:val="141413"/>
          <w:lang w:val="en-US" w:eastAsia="ja-JP"/>
        </w:rPr>
        <w:t>New York: Free Press.</w:t>
      </w:r>
    </w:p>
    <w:p w14:paraId="5E563BC6" w14:textId="77777777" w:rsidR="004908A3" w:rsidRDefault="004908A3" w:rsidP="004B6B54">
      <w:pPr>
        <w:jc w:val="both"/>
      </w:pPr>
      <w:r>
        <w:t xml:space="preserve">Hammersley, M. &amp; Atkinson, P. (1995). </w:t>
      </w:r>
      <w:r w:rsidRPr="00A33858">
        <w:rPr>
          <w:i/>
        </w:rPr>
        <w:t>Ethnography: Principles in practice,</w:t>
      </w:r>
      <w:r>
        <w:t xml:space="preserve"> 2</w:t>
      </w:r>
      <w:r w:rsidRPr="00A33858">
        <w:rPr>
          <w:vertAlign w:val="superscript"/>
        </w:rPr>
        <w:t>nd</w:t>
      </w:r>
      <w:r>
        <w:t xml:space="preserve"> ed. London: Routledge.</w:t>
      </w:r>
    </w:p>
    <w:p w14:paraId="2D4002EE" w14:textId="77777777" w:rsidR="004908A3" w:rsidRDefault="004908A3" w:rsidP="004B6B54">
      <w:pPr>
        <w:jc w:val="both"/>
      </w:pPr>
      <w:r>
        <w:t>Hodge, M. (2000,</w:t>
      </w:r>
      <w:r w:rsidRPr="00D02C15">
        <w:t xml:space="preserve"> </w:t>
      </w:r>
      <w:r>
        <w:t>February 3). Matter of fact, BBC1.</w:t>
      </w:r>
    </w:p>
    <w:p w14:paraId="0BBD42CD" w14:textId="77777777" w:rsidR="004908A3" w:rsidRDefault="004908A3" w:rsidP="004B6B54">
      <w:pPr>
        <w:jc w:val="both"/>
      </w:pPr>
      <w:r w:rsidRPr="00F767C2">
        <w:t>Hollway, W. &amp; Jefferson, T. (2000)</w:t>
      </w:r>
      <w:r>
        <w:t>.</w:t>
      </w:r>
      <w:r w:rsidRPr="00F767C2">
        <w:t xml:space="preserve"> </w:t>
      </w:r>
      <w:r w:rsidRPr="00F767C2">
        <w:rPr>
          <w:i/>
        </w:rPr>
        <w:t>Doing qualitative research differently: Free association, narrative and the interview method</w:t>
      </w:r>
      <w:r>
        <w:rPr>
          <w:i/>
        </w:rPr>
        <w:t>.</w:t>
      </w:r>
      <w:r w:rsidRPr="00F767C2">
        <w:t xml:space="preserve"> London: Sage.</w:t>
      </w:r>
    </w:p>
    <w:p w14:paraId="76B859E2" w14:textId="77777777" w:rsidR="004908A3" w:rsidRDefault="004908A3" w:rsidP="004B6B54">
      <w:pPr>
        <w:jc w:val="both"/>
      </w:pPr>
      <w:r>
        <w:t xml:space="preserve">Landes, J. B. (1998). </w:t>
      </w:r>
      <w:r w:rsidRPr="003E51EA">
        <w:rPr>
          <w:i/>
        </w:rPr>
        <w:t xml:space="preserve">Feminism, the </w:t>
      </w:r>
      <w:r w:rsidRPr="00D02C15">
        <w:rPr>
          <w:i/>
        </w:rPr>
        <w:t>public and the private</w:t>
      </w:r>
      <w:r w:rsidRPr="003E51EA">
        <w:rPr>
          <w:i/>
        </w:rPr>
        <w:t>.</w:t>
      </w:r>
      <w:r>
        <w:t xml:space="preserve"> Oxford: Oxford University Press.</w:t>
      </w:r>
    </w:p>
    <w:p w14:paraId="195D21C6" w14:textId="77777777" w:rsidR="004908A3" w:rsidRDefault="004908A3" w:rsidP="004B6B54">
      <w:pPr>
        <w:jc w:val="both"/>
      </w:pPr>
      <w:r>
        <w:t>McNiff, J. (2013). Action research: Principles and practice, 3</w:t>
      </w:r>
      <w:r w:rsidRPr="0019651A">
        <w:rPr>
          <w:vertAlign w:val="superscript"/>
        </w:rPr>
        <w:t>rd</w:t>
      </w:r>
      <w:r>
        <w:t xml:space="preserve"> ed. London: Routledge.</w:t>
      </w:r>
    </w:p>
    <w:p w14:paraId="24E56759" w14:textId="774B75C8" w:rsidR="004908A3" w:rsidRPr="00162E19" w:rsidRDefault="004908A3" w:rsidP="004B6B54">
      <w:pPr>
        <w:tabs>
          <w:tab w:val="left" w:pos="426"/>
        </w:tabs>
        <w:jc w:val="both"/>
        <w:rPr>
          <w:lang w:val="en-US"/>
        </w:rPr>
      </w:pPr>
      <w:r w:rsidRPr="00162E19">
        <w:rPr>
          <w:lang w:val="en-US"/>
        </w:rPr>
        <w:t>National Commission on Education (1993)</w:t>
      </w:r>
      <w:r>
        <w:rPr>
          <w:lang w:val="en-US"/>
        </w:rPr>
        <w:t>.</w:t>
      </w:r>
      <w:r w:rsidRPr="00162E19">
        <w:rPr>
          <w:i/>
          <w:lang w:val="en-US"/>
        </w:rPr>
        <w:t xml:space="preserve"> Learning to succeed. </w:t>
      </w:r>
      <w:r w:rsidRPr="00162E19">
        <w:rPr>
          <w:lang w:val="en-US"/>
        </w:rPr>
        <w:t>London:</w:t>
      </w:r>
      <w:r w:rsidRPr="00162E19">
        <w:rPr>
          <w:i/>
          <w:lang w:val="en-US"/>
        </w:rPr>
        <w:t xml:space="preserve"> </w:t>
      </w:r>
      <w:r w:rsidRPr="00162E19">
        <w:rPr>
          <w:lang w:val="en-US"/>
        </w:rPr>
        <w:t>Heinemann for Paul Hamlyn Foundation.</w:t>
      </w:r>
    </w:p>
    <w:p w14:paraId="0FBA8093" w14:textId="77777777" w:rsidR="004908A3" w:rsidRPr="00C51677" w:rsidRDefault="004908A3" w:rsidP="004B6B54">
      <w:pPr>
        <w:jc w:val="both"/>
        <w:rPr>
          <w:lang w:val="en-US" w:eastAsia="ja-JP"/>
        </w:rPr>
      </w:pPr>
      <w:r w:rsidRPr="00C51677">
        <w:rPr>
          <w:lang w:val="en-US" w:eastAsia="ja-JP"/>
        </w:rPr>
        <w:t>Parrott, A. (2007)</w:t>
      </w:r>
      <w:r>
        <w:rPr>
          <w:lang w:val="en-US" w:eastAsia="ja-JP"/>
        </w:rPr>
        <w:t>.</w:t>
      </w:r>
      <w:r w:rsidRPr="00C51677">
        <w:rPr>
          <w:lang w:val="en-US" w:eastAsia="ja-JP"/>
        </w:rPr>
        <w:t xml:space="preserve"> Testing times. </w:t>
      </w:r>
      <w:r w:rsidRPr="00C51677">
        <w:rPr>
          <w:bCs/>
          <w:i/>
          <w:iCs/>
          <w:lang w:val="en-US" w:eastAsia="ja-JP"/>
        </w:rPr>
        <w:t>Adults Learning</w:t>
      </w:r>
      <w:r w:rsidRPr="00C51677">
        <w:rPr>
          <w:i/>
          <w:iCs/>
          <w:lang w:val="en-US" w:eastAsia="ja-JP"/>
        </w:rPr>
        <w:t xml:space="preserve">. </w:t>
      </w:r>
      <w:r>
        <w:rPr>
          <w:lang w:val="en-US" w:eastAsia="ja-JP"/>
        </w:rPr>
        <w:t>November, 19(3),</w:t>
      </w:r>
      <w:r w:rsidRPr="00C51677">
        <w:rPr>
          <w:lang w:val="en-US" w:eastAsia="ja-JP"/>
        </w:rPr>
        <w:t xml:space="preserve"> 24-27.</w:t>
      </w:r>
    </w:p>
    <w:p w14:paraId="00E34692" w14:textId="77777777" w:rsidR="004908A3" w:rsidRDefault="004908A3" w:rsidP="004B6B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lang w:val="en-US"/>
        </w:rPr>
      </w:pPr>
      <w:r>
        <w:rPr>
          <w:color w:val="000000"/>
          <w:lang w:val="en-US"/>
        </w:rPr>
        <w:t>Parsons, T. &amp; Bales, R. F. (1956). Family, socialization and interaction process. London: Routledge &amp; Kegan Paul.</w:t>
      </w:r>
    </w:p>
    <w:p w14:paraId="2A17073D" w14:textId="77777777" w:rsidR="004908A3" w:rsidRDefault="004908A3" w:rsidP="004B6B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lang w:val="en-US"/>
        </w:rPr>
      </w:pPr>
      <w:r>
        <w:t xml:space="preserve">Playgroup movement website  (2014).  Retrieved December 5, from </w:t>
      </w:r>
      <w:r w:rsidRPr="00D338F0">
        <w:rPr>
          <w:color w:val="000000"/>
          <w:lang w:val="en-US"/>
        </w:rPr>
        <w:t>http://www.playgroupmovement.org.uk/</w:t>
      </w:r>
      <w:r>
        <w:rPr>
          <w:color w:val="000000"/>
          <w:lang w:val="en-US"/>
        </w:rPr>
        <w:t>.</w:t>
      </w:r>
    </w:p>
    <w:p w14:paraId="507D6B7A" w14:textId="77777777" w:rsidR="004908A3" w:rsidRDefault="004908A3" w:rsidP="004B6B54">
      <w:pPr>
        <w:jc w:val="both"/>
      </w:pPr>
      <w:r>
        <w:t xml:space="preserve">Pre-school Learning Alliance (2013). </w:t>
      </w:r>
      <w:r w:rsidRPr="008A0938">
        <w:rPr>
          <w:i/>
          <w:color w:val="262626"/>
          <w:lang w:val="en-US" w:eastAsia="ja-JP"/>
        </w:rPr>
        <w:t>Our history.</w:t>
      </w:r>
      <w:r>
        <w:rPr>
          <w:color w:val="262626"/>
          <w:lang w:val="en-US" w:eastAsia="ja-JP"/>
        </w:rPr>
        <w:t xml:space="preserve"> Retrieved December 5, from </w:t>
      </w:r>
      <w:r w:rsidRPr="008A0938">
        <w:t>https://www.pre-school.org.uk/about-us/history</w:t>
      </w:r>
      <w:r>
        <w:t>.</w:t>
      </w:r>
    </w:p>
    <w:p w14:paraId="76911520" w14:textId="77777777" w:rsidR="004908A3" w:rsidRPr="00F767C2" w:rsidRDefault="004908A3" w:rsidP="004B6B54">
      <w:pPr>
        <w:jc w:val="both"/>
      </w:pPr>
      <w:r w:rsidRPr="00F767C2">
        <w:t>Putn</w:t>
      </w:r>
      <w:r>
        <w:t xml:space="preserve">am, R. </w:t>
      </w:r>
      <w:r w:rsidRPr="00F767C2">
        <w:t>D. (2000)</w:t>
      </w:r>
      <w:r>
        <w:t>.</w:t>
      </w:r>
      <w:r w:rsidRPr="00F767C2">
        <w:t xml:space="preserve"> </w:t>
      </w:r>
      <w:r w:rsidRPr="00F767C2">
        <w:rPr>
          <w:i/>
        </w:rPr>
        <w:t>Bowling alone: The collapse an</w:t>
      </w:r>
      <w:r>
        <w:rPr>
          <w:i/>
        </w:rPr>
        <w:t>d revival of American community.</w:t>
      </w:r>
      <w:r w:rsidRPr="00F767C2">
        <w:rPr>
          <w:i/>
        </w:rPr>
        <w:t xml:space="preserve"> </w:t>
      </w:r>
      <w:r>
        <w:t>New York:</w:t>
      </w:r>
      <w:r w:rsidRPr="00F767C2">
        <w:t xml:space="preserve"> Simon &amp; Schuster.</w:t>
      </w:r>
    </w:p>
    <w:p w14:paraId="36E46111" w14:textId="444F8DAE" w:rsidR="004908A3" w:rsidRPr="00F767C2" w:rsidRDefault="004908A3" w:rsidP="004B6B54">
      <w:pPr>
        <w:jc w:val="both"/>
      </w:pPr>
      <w:r>
        <w:t>Richardson, L. (1994). Writing: A method of inquiry. I</w:t>
      </w:r>
      <w:r w:rsidRPr="00F767C2">
        <w:t>n</w:t>
      </w:r>
      <w:r>
        <w:t xml:space="preserve"> N. K. Denzin &amp; Y. S. Lincoln (E</w:t>
      </w:r>
      <w:r w:rsidRPr="00F767C2">
        <w:t>ds</w:t>
      </w:r>
      <w:r>
        <w:t>.</w:t>
      </w:r>
      <w:r w:rsidRPr="00F767C2">
        <w:t xml:space="preserve">), </w:t>
      </w:r>
      <w:r w:rsidRPr="00F767C2">
        <w:rPr>
          <w:i/>
        </w:rPr>
        <w:t>Handbook of Qualitative Research</w:t>
      </w:r>
      <w:r>
        <w:rPr>
          <w:i/>
        </w:rPr>
        <w:t>.</w:t>
      </w:r>
      <w:r>
        <w:t xml:space="preserve"> Thousand Oaks, </w:t>
      </w:r>
      <w:r w:rsidR="004B6B54">
        <w:t>CA</w:t>
      </w:r>
      <w:r>
        <w:t>:</w:t>
      </w:r>
      <w:r w:rsidRPr="00F767C2">
        <w:t xml:space="preserve"> Sage.</w:t>
      </w:r>
    </w:p>
    <w:p w14:paraId="726C8724" w14:textId="24F26362" w:rsidR="004908A3" w:rsidRDefault="004908A3" w:rsidP="004B6B54">
      <w:pPr>
        <w:jc w:val="both"/>
      </w:pPr>
      <w:r w:rsidRPr="00F767C2">
        <w:t>Robson, C. (2002)</w:t>
      </w:r>
      <w:r>
        <w:t>.</w:t>
      </w:r>
      <w:r w:rsidRPr="00F767C2">
        <w:t xml:space="preserve"> </w:t>
      </w:r>
      <w:r w:rsidRPr="00F767C2">
        <w:rPr>
          <w:i/>
        </w:rPr>
        <w:t>Real world research</w:t>
      </w:r>
      <w:r w:rsidRPr="00F767C2">
        <w:t xml:space="preserve"> (2</w:t>
      </w:r>
      <w:r w:rsidRPr="00F767C2">
        <w:rPr>
          <w:vertAlign w:val="superscript"/>
        </w:rPr>
        <w:t>nd</w:t>
      </w:r>
      <w:r>
        <w:t xml:space="preserve"> ed.).</w:t>
      </w:r>
      <w:r w:rsidRPr="00F767C2">
        <w:t xml:space="preserve"> Oxford: Blackwell</w:t>
      </w:r>
      <w:r>
        <w:t>.</w:t>
      </w:r>
    </w:p>
    <w:p w14:paraId="70B8EA26" w14:textId="592E1572" w:rsidR="00067F6B" w:rsidRDefault="00067F6B" w:rsidP="004B6B54">
      <w:pPr>
        <w:jc w:val="both"/>
      </w:pPr>
      <w:r w:rsidRPr="00067F6B">
        <w:rPr>
          <w:lang w:val="en-US"/>
        </w:rPr>
        <w:t xml:space="preserve">Sen, A. </w:t>
      </w:r>
      <w:r>
        <w:rPr>
          <w:lang w:val="en-US"/>
        </w:rPr>
        <w:t>(</w:t>
      </w:r>
      <w:r w:rsidRPr="00067F6B">
        <w:rPr>
          <w:lang w:val="en-US"/>
        </w:rPr>
        <w:t>1987</w:t>
      </w:r>
      <w:r>
        <w:rPr>
          <w:lang w:val="en-US"/>
        </w:rPr>
        <w:t xml:space="preserve">) </w:t>
      </w:r>
      <w:r>
        <w:rPr>
          <w:i/>
          <w:iCs/>
          <w:lang w:val="en-US"/>
        </w:rPr>
        <w:t>The Standard of l</w:t>
      </w:r>
      <w:r w:rsidRPr="00067F6B">
        <w:rPr>
          <w:i/>
          <w:iCs/>
          <w:lang w:val="en-US"/>
        </w:rPr>
        <w:t>iving</w:t>
      </w:r>
      <w:r>
        <w:rPr>
          <w:i/>
          <w:iCs/>
          <w:lang w:val="en-US"/>
        </w:rPr>
        <w:t>.</w:t>
      </w:r>
      <w:r>
        <w:rPr>
          <w:lang w:val="en-US"/>
        </w:rPr>
        <w:t xml:space="preserve"> Cambridge: </w:t>
      </w:r>
      <w:r w:rsidRPr="00067F6B">
        <w:rPr>
          <w:lang w:val="en-US"/>
        </w:rPr>
        <w:t>Cambridge U</w:t>
      </w:r>
      <w:r>
        <w:rPr>
          <w:lang w:val="en-US"/>
        </w:rPr>
        <w:t xml:space="preserve">niversity </w:t>
      </w:r>
      <w:r w:rsidRPr="00067F6B">
        <w:rPr>
          <w:lang w:val="en-US"/>
        </w:rPr>
        <w:t>P</w:t>
      </w:r>
      <w:r>
        <w:rPr>
          <w:lang w:val="en-US"/>
        </w:rPr>
        <w:t>ress.</w:t>
      </w:r>
    </w:p>
    <w:p w14:paraId="4889523C" w14:textId="77777777" w:rsidR="004908A3" w:rsidRPr="00F767C2" w:rsidRDefault="004908A3" w:rsidP="004B6B54">
      <w:pPr>
        <w:jc w:val="both"/>
      </w:pPr>
      <w:r w:rsidRPr="00F767C2">
        <w:t>Sen, A. (1999)</w:t>
      </w:r>
      <w:r>
        <w:t>.</w:t>
      </w:r>
      <w:r w:rsidRPr="00F767C2">
        <w:t xml:space="preserve"> </w:t>
      </w:r>
      <w:r w:rsidRPr="00F767C2">
        <w:rPr>
          <w:i/>
        </w:rPr>
        <w:t>Development as freedom</w:t>
      </w:r>
      <w:r>
        <w:rPr>
          <w:i/>
        </w:rPr>
        <w:t>.</w:t>
      </w:r>
      <w:r>
        <w:t xml:space="preserve"> Oxford:</w:t>
      </w:r>
      <w:r w:rsidRPr="00F767C2">
        <w:t xml:space="preserve"> Oxford University Press.</w:t>
      </w:r>
    </w:p>
    <w:p w14:paraId="57249FD6" w14:textId="77777777" w:rsidR="004908A3" w:rsidRPr="00F767C2" w:rsidRDefault="004908A3" w:rsidP="004B6B54">
      <w:pPr>
        <w:jc w:val="both"/>
        <w:rPr>
          <w:szCs w:val="28"/>
          <w:lang w:val="en-US"/>
        </w:rPr>
      </w:pPr>
      <w:r w:rsidRPr="00F767C2">
        <w:rPr>
          <w:szCs w:val="28"/>
          <w:lang w:val="en-US"/>
        </w:rPr>
        <w:t xml:space="preserve">Simon, A., Owen, C., Moss, P., Petrie, P., Cameron, C., Potts, P. </w:t>
      </w:r>
      <w:r>
        <w:rPr>
          <w:szCs w:val="28"/>
          <w:lang w:val="en-US"/>
        </w:rPr>
        <w:t xml:space="preserve">&amp; </w:t>
      </w:r>
      <w:r w:rsidRPr="00F767C2">
        <w:rPr>
          <w:szCs w:val="28"/>
          <w:lang w:val="en-US"/>
        </w:rPr>
        <w:t xml:space="preserve">Wigfall, V. </w:t>
      </w:r>
      <w:r w:rsidRPr="00F767C2">
        <w:t>(2007)</w:t>
      </w:r>
      <w:r>
        <w:t>.</w:t>
      </w:r>
      <w:r w:rsidRPr="00F767C2">
        <w:t xml:space="preserve"> </w:t>
      </w:r>
      <w:r w:rsidRPr="00F767C2">
        <w:rPr>
          <w:i/>
        </w:rPr>
        <w:t>Working together: Volume 1, Secondary analysis of the Labour Force Survey to map the numbers and characteristics of the occupations working within social care, childcare, nursing and education</w:t>
      </w:r>
      <w:r>
        <w:rPr>
          <w:i/>
        </w:rPr>
        <w:t>.</w:t>
      </w:r>
      <w:r>
        <w:t xml:space="preserve"> London:</w:t>
      </w:r>
      <w:r w:rsidRPr="00F767C2">
        <w:t xml:space="preserve"> Thomas Coram Research Unit, Institute of Education.</w:t>
      </w:r>
    </w:p>
    <w:p w14:paraId="3314BEFE" w14:textId="77777777" w:rsidR="004908A3" w:rsidRDefault="004908A3" w:rsidP="004B6B54">
      <w:pPr>
        <w:jc w:val="both"/>
      </w:pPr>
      <w:r>
        <w:t xml:space="preserve">Strauss, A. L. (1987). </w:t>
      </w:r>
      <w:r w:rsidRPr="00157659">
        <w:rPr>
          <w:i/>
        </w:rPr>
        <w:t xml:space="preserve">Qualitative analysis for social scientists. </w:t>
      </w:r>
      <w:r>
        <w:t>Cambridge: Cambridge University Press.</w:t>
      </w:r>
    </w:p>
    <w:p w14:paraId="3DEFDF7B" w14:textId="77777777" w:rsidR="004908A3" w:rsidRPr="00F556F3" w:rsidRDefault="004908A3" w:rsidP="004B6B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lang w:val="en-US"/>
        </w:rPr>
      </w:pPr>
      <w:r>
        <w:rPr>
          <w:color w:val="000000"/>
          <w:lang w:val="en-US"/>
        </w:rPr>
        <w:t xml:space="preserve">Taylor, T. (1999). Movers and shakers: High politics and the origins of the English National Curriculum. In B. Moon &amp; P. Murphy. </w:t>
      </w:r>
      <w:r w:rsidRPr="001C6A8B">
        <w:rPr>
          <w:i/>
          <w:color w:val="000000"/>
          <w:lang w:val="en-US"/>
        </w:rPr>
        <w:t>Curriculum in context.</w:t>
      </w:r>
      <w:r>
        <w:rPr>
          <w:color w:val="000000"/>
          <w:lang w:val="en-US"/>
        </w:rPr>
        <w:t xml:space="preserve"> London: Paul Chapman Publishing.</w:t>
      </w:r>
    </w:p>
    <w:p w14:paraId="365D36EB" w14:textId="77777777" w:rsidR="004908A3" w:rsidRPr="00F767C2" w:rsidRDefault="004908A3" w:rsidP="004B6B54">
      <w:pPr>
        <w:jc w:val="both"/>
      </w:pPr>
      <w:r w:rsidRPr="00F767C2">
        <w:t>Ten Have, P. (1999)</w:t>
      </w:r>
      <w:r>
        <w:t>.</w:t>
      </w:r>
      <w:r w:rsidRPr="00F767C2">
        <w:t xml:space="preserve"> </w:t>
      </w:r>
      <w:r w:rsidRPr="00F767C2">
        <w:rPr>
          <w:i/>
        </w:rPr>
        <w:t>Doing conversation analysis: A practical guide</w:t>
      </w:r>
      <w:r>
        <w:rPr>
          <w:i/>
        </w:rPr>
        <w:t>.</w:t>
      </w:r>
      <w:r>
        <w:t xml:space="preserve"> London:</w:t>
      </w:r>
      <w:r w:rsidRPr="00F767C2">
        <w:t xml:space="preserve"> Sage.</w:t>
      </w:r>
    </w:p>
    <w:p w14:paraId="3110A8EB" w14:textId="17FAB706" w:rsidR="004908A3" w:rsidRPr="00EB4CD2" w:rsidRDefault="004908A3" w:rsidP="004B6B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en-US"/>
        </w:rPr>
      </w:pPr>
      <w:r w:rsidRPr="00EB4CD2">
        <w:rPr>
          <w:lang w:val="en-US"/>
        </w:rPr>
        <w:t>Thatcher, M. (1972)</w:t>
      </w:r>
      <w:r>
        <w:rPr>
          <w:lang w:val="en-US"/>
        </w:rPr>
        <w:t>.</w:t>
      </w:r>
      <w:r w:rsidRPr="00EB4CD2">
        <w:rPr>
          <w:lang w:val="en-US"/>
        </w:rPr>
        <w:t xml:space="preserve"> </w:t>
      </w:r>
      <w:r w:rsidRPr="00EB4CD2">
        <w:rPr>
          <w:lang w:val="en-US" w:eastAsia="ja-JP"/>
        </w:rPr>
        <w:t>Written statement launching education white paper (</w:t>
      </w:r>
      <w:r w:rsidRPr="00EB4CD2">
        <w:rPr>
          <w:i/>
          <w:iCs/>
          <w:lang w:val="en-US" w:eastAsia="ja-JP"/>
        </w:rPr>
        <w:t>A framework for expansion</w:t>
      </w:r>
      <w:r w:rsidRPr="00EB4CD2">
        <w:rPr>
          <w:lang w:val="en-US" w:eastAsia="ja-JP"/>
        </w:rPr>
        <w:t xml:space="preserve">), 6 December, DES Press release. </w:t>
      </w:r>
      <w:r w:rsidR="00AD10FD">
        <w:rPr>
          <w:lang w:val="en-US" w:eastAsia="ja-JP"/>
        </w:rPr>
        <w:t xml:space="preserve">Retrieved December 1, </w:t>
      </w:r>
      <w:r w:rsidRPr="00EB4CD2">
        <w:rPr>
          <w:lang w:val="en-US" w:eastAsia="ja-JP"/>
        </w:rPr>
        <w:t xml:space="preserve">from </w:t>
      </w:r>
      <w:r w:rsidR="00AD10FD">
        <w:rPr>
          <w:lang w:val="en-US" w:eastAsia="ja-JP"/>
        </w:rPr>
        <w:t>the Thatcher Archive,</w:t>
      </w:r>
      <w:r w:rsidRPr="00EB4CD2">
        <w:rPr>
          <w:lang w:val="en-US" w:eastAsia="ja-JP"/>
        </w:rPr>
        <w:t xml:space="preserve"> http://www.margaretthatcher.org/document/102233.</w:t>
      </w:r>
    </w:p>
    <w:p w14:paraId="672D0726" w14:textId="77777777" w:rsidR="004908A3" w:rsidRDefault="004908A3" w:rsidP="004B6B54">
      <w:pPr>
        <w:jc w:val="both"/>
      </w:pPr>
      <w:r>
        <w:lastRenderedPageBreak/>
        <w:t xml:space="preserve">Usher, R. (2000). Deconstructive happening: Ethical moment. In H. Simons &amp; R. Usher. </w:t>
      </w:r>
      <w:r w:rsidRPr="006E412B">
        <w:rPr>
          <w:i/>
        </w:rPr>
        <w:t>Situated ethics in educational research.</w:t>
      </w:r>
      <w:r>
        <w:t xml:space="preserve"> London: RoutledgeFalmer.</w:t>
      </w:r>
    </w:p>
    <w:p w14:paraId="45783D75" w14:textId="77777777" w:rsidR="004908A3" w:rsidRDefault="004908A3" w:rsidP="004B6B54">
      <w:pPr>
        <w:jc w:val="both"/>
      </w:pPr>
      <w:r>
        <w:t xml:space="preserve">Waldegrave, H. (2013). </w:t>
      </w:r>
      <w:r w:rsidRPr="005463E2">
        <w:rPr>
          <w:i/>
        </w:rPr>
        <w:t>Centres of excellence? The role of children’s centres in early intervention. London</w:t>
      </w:r>
      <w:r>
        <w:t xml:space="preserve">: Policy exchange. Retrieved December 5, from </w:t>
      </w:r>
      <w:r w:rsidRPr="00534CBD">
        <w:t>http://www.policyexchange.org.uk/images/publications/centres%20of%20excellence.pdf</w:t>
      </w:r>
      <w:r>
        <w:t>.</w:t>
      </w:r>
    </w:p>
    <w:p w14:paraId="30DA86A0" w14:textId="01DB6578" w:rsidR="004908A3" w:rsidRPr="00F767C2" w:rsidRDefault="004908A3" w:rsidP="004B6B54">
      <w:pPr>
        <w:jc w:val="both"/>
      </w:pPr>
      <w:r w:rsidRPr="00F767C2">
        <w:t>West, L.</w:t>
      </w:r>
      <w:r w:rsidRPr="00F767C2">
        <w:rPr>
          <w:i/>
        </w:rPr>
        <w:t xml:space="preserve"> </w:t>
      </w:r>
      <w:r w:rsidRPr="00F767C2">
        <w:t>(1996)</w:t>
      </w:r>
      <w:r>
        <w:t>.</w:t>
      </w:r>
      <w:r w:rsidRPr="00F767C2">
        <w:t xml:space="preserve"> </w:t>
      </w:r>
      <w:r w:rsidRPr="00F767C2">
        <w:rPr>
          <w:i/>
        </w:rPr>
        <w:t>Beyond fragments: Adults, motivation and higher education, a biographical analysis</w:t>
      </w:r>
      <w:r>
        <w:rPr>
          <w:i/>
        </w:rPr>
        <w:t>.</w:t>
      </w:r>
      <w:r>
        <w:t xml:space="preserve"> London:</w:t>
      </w:r>
      <w:r w:rsidRPr="00F767C2">
        <w:t xml:space="preserve"> Taylor &amp; Francis.</w:t>
      </w:r>
    </w:p>
    <w:p w14:paraId="4A6B68CA" w14:textId="77777777" w:rsidR="004908A3" w:rsidRPr="002F267F" w:rsidRDefault="004908A3" w:rsidP="004B6B54">
      <w:pPr>
        <w:jc w:val="both"/>
      </w:pPr>
      <w:r w:rsidRPr="0066555D">
        <w:t>Wright, H.</w:t>
      </w:r>
      <w:r>
        <w:t xml:space="preserve"> </w:t>
      </w:r>
      <w:r w:rsidRPr="0066555D">
        <w:t>R. (2011)</w:t>
      </w:r>
      <w:r>
        <w:t>.</w:t>
      </w:r>
      <w:r w:rsidRPr="0066555D">
        <w:t xml:space="preserve"> </w:t>
      </w:r>
      <w:r>
        <w:rPr>
          <w:i/>
        </w:rPr>
        <w:t>Women studying childcare: Integrating lives through adult education.</w:t>
      </w:r>
      <w:r w:rsidRPr="0066555D">
        <w:rPr>
          <w:i/>
        </w:rPr>
        <w:t xml:space="preserve"> </w:t>
      </w:r>
      <w:r>
        <w:t>Stoke-on-</w:t>
      </w:r>
      <w:r w:rsidRPr="0066555D">
        <w:t>Trent: Trentham Books.</w:t>
      </w:r>
    </w:p>
    <w:p w14:paraId="159FDDDC" w14:textId="58D06F47" w:rsidR="004908A3" w:rsidRPr="00475ACB" w:rsidRDefault="004908A3" w:rsidP="004B6B54">
      <w:pPr>
        <w:jc w:val="both"/>
        <w:rPr>
          <w:rFonts w:cs="Arial"/>
          <w:szCs w:val="20"/>
        </w:rPr>
      </w:pPr>
      <w:r w:rsidRPr="00475ACB">
        <w:rPr>
          <w:rFonts w:cs="Arial"/>
          <w:szCs w:val="20"/>
        </w:rPr>
        <w:t>Wright, H. R. (2012)</w:t>
      </w:r>
      <w:r>
        <w:rPr>
          <w:rFonts w:cs="Arial"/>
          <w:szCs w:val="20"/>
        </w:rPr>
        <w:t>.</w:t>
      </w:r>
      <w:r w:rsidRPr="00475ACB">
        <w:rPr>
          <w:rFonts w:cs="Arial"/>
          <w:szCs w:val="20"/>
        </w:rPr>
        <w:t xml:space="preserve"> Childcare, children and capability.</w:t>
      </w:r>
      <w:r w:rsidRPr="00475ACB">
        <w:rPr>
          <w:rFonts w:cs="Arial"/>
          <w:b/>
          <w:szCs w:val="20"/>
        </w:rPr>
        <w:t xml:space="preserve"> </w:t>
      </w:r>
      <w:r w:rsidRPr="00475ACB">
        <w:rPr>
          <w:rFonts w:cs="Arial"/>
          <w:i/>
          <w:szCs w:val="20"/>
        </w:rPr>
        <w:t>Cambridge Journal of Education</w:t>
      </w:r>
      <w:r w:rsidRPr="00475ACB">
        <w:rPr>
          <w:rFonts w:cs="Arial"/>
          <w:szCs w:val="20"/>
        </w:rPr>
        <w:t xml:space="preserve"> (Special Issue on children and capability approach),</w:t>
      </w:r>
      <w:r w:rsidRPr="00475ACB">
        <w:rPr>
          <w:rFonts w:cs="Arial"/>
          <w:i/>
          <w:szCs w:val="20"/>
        </w:rPr>
        <w:t xml:space="preserve"> </w:t>
      </w:r>
      <w:r>
        <w:rPr>
          <w:rFonts w:cs="Arial"/>
          <w:szCs w:val="20"/>
        </w:rPr>
        <w:t xml:space="preserve">September, 42(3), </w:t>
      </w:r>
      <w:r w:rsidRPr="00475ACB">
        <w:rPr>
          <w:rFonts w:cs="Arial"/>
          <w:szCs w:val="20"/>
        </w:rPr>
        <w:t>409-424.</w:t>
      </w:r>
    </w:p>
    <w:p w14:paraId="310EF78C" w14:textId="70C722EC" w:rsidR="004908A3" w:rsidRPr="00475ACB" w:rsidRDefault="004908A3" w:rsidP="004B6B54">
      <w:pPr>
        <w:jc w:val="both"/>
        <w:rPr>
          <w:rFonts w:cs="Arial"/>
          <w:szCs w:val="20"/>
        </w:rPr>
      </w:pPr>
      <w:r w:rsidRPr="00475ACB">
        <w:rPr>
          <w:rFonts w:cs="Arial"/>
          <w:szCs w:val="20"/>
        </w:rPr>
        <w:t>Wright, H.</w:t>
      </w:r>
      <w:r>
        <w:rPr>
          <w:rFonts w:cs="Arial"/>
          <w:szCs w:val="20"/>
        </w:rPr>
        <w:t xml:space="preserve"> </w:t>
      </w:r>
      <w:r w:rsidRPr="00475ACB">
        <w:rPr>
          <w:rFonts w:cs="Arial"/>
          <w:szCs w:val="20"/>
        </w:rPr>
        <w:t xml:space="preserve">R. </w:t>
      </w:r>
      <w:r w:rsidRPr="00475ACB">
        <w:rPr>
          <w:rFonts w:cs="Arial"/>
          <w:szCs w:val="20"/>
          <w:lang w:val="en-US" w:bidi="en-US"/>
        </w:rPr>
        <w:t>(2013</w:t>
      </w:r>
      <w:r w:rsidR="00A8326D">
        <w:rPr>
          <w:rFonts w:cs="Arial"/>
          <w:szCs w:val="20"/>
          <w:lang w:val="en-US" w:bidi="en-US"/>
        </w:rPr>
        <w:t>a</w:t>
      </w:r>
      <w:r w:rsidRPr="00475ACB">
        <w:rPr>
          <w:rFonts w:cs="Arial"/>
          <w:szCs w:val="20"/>
          <w:lang w:val="en-US" w:bidi="en-US"/>
        </w:rPr>
        <w:t>)</w:t>
      </w:r>
      <w:r>
        <w:rPr>
          <w:rFonts w:cs="Arial"/>
          <w:szCs w:val="20"/>
          <w:lang w:val="en-US" w:bidi="en-US"/>
        </w:rPr>
        <w:t>.</w:t>
      </w:r>
      <w:r w:rsidRPr="00475ACB">
        <w:rPr>
          <w:rFonts w:cs="Arial"/>
          <w:szCs w:val="20"/>
          <w:lang w:val="en-US" w:bidi="en-US"/>
        </w:rPr>
        <w:t xml:space="preserve"> Choosing to compromise: Women studying childcare</w:t>
      </w:r>
      <w:r w:rsidRPr="00475ACB">
        <w:rPr>
          <w:rFonts w:cs="Arial"/>
          <w:szCs w:val="20"/>
        </w:rPr>
        <w:t xml:space="preserve"> in an English further education college.</w:t>
      </w:r>
      <w:r w:rsidRPr="00475ACB">
        <w:rPr>
          <w:rFonts w:cs="Arial"/>
          <w:i/>
          <w:szCs w:val="20"/>
        </w:rPr>
        <w:t xml:space="preserve"> Gender and Education,</w:t>
      </w:r>
      <w:r>
        <w:rPr>
          <w:rFonts w:cs="Arial"/>
          <w:szCs w:val="20"/>
        </w:rPr>
        <w:t xml:space="preserve"> 25(2), </w:t>
      </w:r>
      <w:r w:rsidRPr="00475ACB">
        <w:rPr>
          <w:rFonts w:cs="Arial"/>
          <w:szCs w:val="20"/>
        </w:rPr>
        <w:t>206-219.</w:t>
      </w:r>
    </w:p>
    <w:p w14:paraId="263B794C" w14:textId="2293ADE6" w:rsidR="004908A3" w:rsidRPr="00534CBD" w:rsidRDefault="004908A3" w:rsidP="004B6B54">
      <w:pPr>
        <w:jc w:val="both"/>
        <w:rPr>
          <w:rFonts w:cs="Arial"/>
          <w:szCs w:val="20"/>
        </w:rPr>
      </w:pPr>
      <w:r w:rsidRPr="00475ACB">
        <w:rPr>
          <w:rFonts w:cs="Arial"/>
          <w:szCs w:val="20"/>
        </w:rPr>
        <w:t>Wright, H. R. (2013</w:t>
      </w:r>
      <w:r w:rsidR="00A8326D">
        <w:rPr>
          <w:rFonts w:cs="Arial"/>
          <w:szCs w:val="20"/>
        </w:rPr>
        <w:t>b</w:t>
      </w:r>
      <w:r w:rsidRPr="00475ACB">
        <w:rPr>
          <w:rFonts w:cs="Arial"/>
          <w:szCs w:val="20"/>
        </w:rPr>
        <w:t>)</w:t>
      </w:r>
      <w:r>
        <w:rPr>
          <w:rFonts w:cs="Arial"/>
          <w:szCs w:val="20"/>
        </w:rPr>
        <w:t>.</w:t>
      </w:r>
      <w:r w:rsidRPr="00475ACB">
        <w:rPr>
          <w:rFonts w:cs="Arial"/>
          <w:szCs w:val="20"/>
        </w:rPr>
        <w:t xml:space="preserve"> From individual choice to social good. </w:t>
      </w:r>
      <w:r w:rsidRPr="00475ACB">
        <w:rPr>
          <w:rFonts w:cs="Arial"/>
          <w:i/>
          <w:szCs w:val="20"/>
        </w:rPr>
        <w:t>Higher Education Skills and Work-based Learning</w:t>
      </w:r>
      <w:r w:rsidRPr="00475ACB">
        <w:rPr>
          <w:rFonts w:cs="Arial"/>
          <w:szCs w:val="20"/>
        </w:rPr>
        <w:t>, UALL Conference Sp</w:t>
      </w:r>
      <w:r>
        <w:rPr>
          <w:rFonts w:cs="Arial"/>
          <w:szCs w:val="20"/>
        </w:rPr>
        <w:t>ecial Issue, 3(2), 141-148.</w:t>
      </w:r>
    </w:p>
    <w:p w14:paraId="52A91E5E" w14:textId="16831544" w:rsidR="004908A3" w:rsidRPr="00534CBD" w:rsidRDefault="004908A3" w:rsidP="004B6B54">
      <w:pPr>
        <w:jc w:val="both"/>
        <w:rPr>
          <w:rFonts w:cs="Arial"/>
          <w:i/>
          <w:szCs w:val="20"/>
        </w:rPr>
      </w:pPr>
      <w:r w:rsidRPr="00475ACB">
        <w:rPr>
          <w:rFonts w:cs="Arial"/>
          <w:szCs w:val="20"/>
        </w:rPr>
        <w:t>Wright, H. R. (2013</w:t>
      </w:r>
      <w:r w:rsidR="00A8326D">
        <w:rPr>
          <w:rFonts w:cs="Arial"/>
          <w:szCs w:val="20"/>
        </w:rPr>
        <w:t>c</w:t>
      </w:r>
      <w:r w:rsidRPr="00475ACB">
        <w:rPr>
          <w:rFonts w:cs="Arial"/>
          <w:szCs w:val="20"/>
        </w:rPr>
        <w:t>)</w:t>
      </w:r>
      <w:r>
        <w:rPr>
          <w:rFonts w:cs="Arial"/>
          <w:szCs w:val="20"/>
        </w:rPr>
        <w:t>.</w:t>
      </w:r>
      <w:r w:rsidRPr="00475ACB">
        <w:rPr>
          <w:rFonts w:cs="Arial"/>
          <w:szCs w:val="20"/>
        </w:rPr>
        <w:t xml:space="preserve"> In search of stability: Women studying childcare. </w:t>
      </w:r>
      <w:r w:rsidRPr="00475ACB">
        <w:rPr>
          <w:rFonts w:cs="Arial"/>
          <w:i/>
          <w:szCs w:val="20"/>
        </w:rPr>
        <w:t>Journal of Further and Higher Education,</w:t>
      </w:r>
      <w:r>
        <w:rPr>
          <w:rFonts w:cs="Arial"/>
          <w:szCs w:val="20"/>
        </w:rPr>
        <w:t xml:space="preserve"> 37(1), </w:t>
      </w:r>
      <w:r w:rsidRPr="00475ACB">
        <w:rPr>
          <w:rFonts w:cs="Arial"/>
          <w:szCs w:val="20"/>
        </w:rPr>
        <w:t>89-108.</w:t>
      </w:r>
    </w:p>
    <w:p w14:paraId="3CFEDA1C" w14:textId="77777777" w:rsidR="004908A3" w:rsidRPr="00EB4CD2" w:rsidRDefault="004908A3" w:rsidP="004B6B54">
      <w:pPr>
        <w:pStyle w:val="BodyText"/>
        <w:widowControl/>
        <w:rPr>
          <w:i/>
          <w:szCs w:val="24"/>
        </w:rPr>
      </w:pPr>
      <w:r w:rsidRPr="00EB4CD2">
        <w:rPr>
          <w:szCs w:val="24"/>
        </w:rPr>
        <w:t>Wright, H.</w:t>
      </w:r>
      <w:r>
        <w:rPr>
          <w:szCs w:val="24"/>
        </w:rPr>
        <w:t xml:space="preserve"> </w:t>
      </w:r>
      <w:r w:rsidRPr="00EB4CD2">
        <w:rPr>
          <w:szCs w:val="24"/>
        </w:rPr>
        <w:t>R. (2014)</w:t>
      </w:r>
      <w:r>
        <w:rPr>
          <w:szCs w:val="24"/>
        </w:rPr>
        <w:t>.</w:t>
      </w:r>
      <w:r w:rsidRPr="00EB4CD2">
        <w:rPr>
          <w:szCs w:val="24"/>
        </w:rPr>
        <w:t xml:space="preserve"> </w:t>
      </w:r>
      <w:r w:rsidRPr="00EB4CD2">
        <w:rPr>
          <w:i/>
          <w:szCs w:val="24"/>
        </w:rPr>
        <w:t>The child in society</w:t>
      </w:r>
      <w:r w:rsidRPr="00EB4CD2">
        <w:rPr>
          <w:szCs w:val="24"/>
        </w:rPr>
        <w:t>. London: Sage</w:t>
      </w:r>
      <w:r w:rsidRPr="00EB4CD2">
        <w:rPr>
          <w:i/>
          <w:szCs w:val="24"/>
        </w:rPr>
        <w:t>.</w:t>
      </w:r>
    </w:p>
    <w:p w14:paraId="018D87F0" w14:textId="2607DFFE" w:rsidR="004908A3" w:rsidRDefault="004908A3" w:rsidP="004B6B54">
      <w:pPr>
        <w:jc w:val="both"/>
        <w:rPr>
          <w:lang w:eastAsia="ja-JP"/>
        </w:rPr>
      </w:pPr>
    </w:p>
    <w:p w14:paraId="1728CED8" w14:textId="1393F775" w:rsidR="009437CC" w:rsidRDefault="009437CC" w:rsidP="004B6B54">
      <w:pPr>
        <w:jc w:val="both"/>
        <w:rPr>
          <w:lang w:eastAsia="ja-JP"/>
        </w:rPr>
      </w:pPr>
    </w:p>
    <w:p w14:paraId="2E8905D1" w14:textId="65D85655" w:rsidR="009437CC" w:rsidRPr="009437CC" w:rsidRDefault="009437CC" w:rsidP="004B6B54">
      <w:pPr>
        <w:jc w:val="both"/>
        <w:rPr>
          <w:rFonts w:asciiTheme="majorHAnsi" w:hAnsiTheme="majorHAnsi" w:cstheme="majorHAnsi"/>
          <w:lang w:eastAsia="ja-JP"/>
        </w:rPr>
      </w:pPr>
      <w:r w:rsidRPr="009437CC">
        <w:rPr>
          <w:rFonts w:asciiTheme="majorHAnsi" w:hAnsiTheme="majorHAnsi" w:cstheme="majorHAnsi"/>
          <w:lang w:eastAsia="ja-JP"/>
        </w:rPr>
        <w:t>Published as:</w:t>
      </w:r>
    </w:p>
    <w:p w14:paraId="3774E6DA" w14:textId="1AC90939" w:rsidR="009437CC" w:rsidRPr="009437CC" w:rsidRDefault="009437CC" w:rsidP="004B6B54">
      <w:pPr>
        <w:jc w:val="both"/>
        <w:rPr>
          <w:rFonts w:asciiTheme="majorHAnsi" w:hAnsiTheme="majorHAnsi" w:cstheme="majorHAnsi"/>
          <w:lang w:eastAsia="ja-JP"/>
        </w:rPr>
      </w:pPr>
    </w:p>
    <w:p w14:paraId="2D7382E2" w14:textId="0046F399" w:rsidR="009437CC" w:rsidRPr="009437CC" w:rsidRDefault="009437CC" w:rsidP="004B6B54">
      <w:pPr>
        <w:jc w:val="both"/>
        <w:rPr>
          <w:rFonts w:asciiTheme="majorHAnsi" w:hAnsiTheme="majorHAnsi" w:cstheme="majorHAnsi"/>
          <w:color w:val="0E0E0E"/>
          <w:lang w:val="en-US"/>
        </w:rPr>
      </w:pPr>
      <w:r w:rsidRPr="009437CC">
        <w:rPr>
          <w:rFonts w:asciiTheme="majorHAnsi" w:hAnsiTheme="majorHAnsi" w:cstheme="majorHAnsi"/>
        </w:rPr>
        <w:t xml:space="preserve">Wright, H.R. (2014) </w:t>
      </w:r>
      <w:r w:rsidRPr="009437CC">
        <w:rPr>
          <w:rFonts w:asciiTheme="majorHAnsi" w:hAnsiTheme="majorHAnsi" w:cstheme="majorHAnsi"/>
          <w:color w:val="0E0E0E"/>
          <w:lang w:val="en-US"/>
        </w:rPr>
        <w:t xml:space="preserve">Education and community cohesion: How training in childcare adds benefit. </w:t>
      </w:r>
      <w:r w:rsidRPr="009437CC">
        <w:rPr>
          <w:rFonts w:asciiTheme="majorHAnsi" w:hAnsiTheme="majorHAnsi" w:cstheme="majorHAnsi"/>
          <w:i/>
          <w:color w:val="0E0E0E"/>
          <w:lang w:val="en-US"/>
        </w:rPr>
        <w:t>Journal Plus Education</w:t>
      </w:r>
      <w:r w:rsidRPr="009437CC">
        <w:rPr>
          <w:rFonts w:asciiTheme="majorHAnsi" w:hAnsiTheme="majorHAnsi" w:cstheme="majorHAnsi"/>
          <w:color w:val="0E0E0E"/>
          <w:lang w:val="en-US"/>
        </w:rPr>
        <w:t>, 11 (2) (Online, December 2014): 223-243.</w:t>
      </w:r>
    </w:p>
    <w:p w14:paraId="3CFBDFE4" w14:textId="25C90739" w:rsidR="009437CC" w:rsidRPr="009437CC" w:rsidRDefault="009437CC" w:rsidP="004B6B54">
      <w:pPr>
        <w:jc w:val="both"/>
        <w:rPr>
          <w:rFonts w:asciiTheme="majorHAnsi" w:hAnsiTheme="majorHAnsi" w:cstheme="majorHAnsi"/>
          <w:color w:val="0E0E0E"/>
          <w:lang w:val="en-US"/>
        </w:rPr>
      </w:pPr>
    </w:p>
    <w:p w14:paraId="2C26CBF5" w14:textId="03F01902" w:rsidR="009437CC" w:rsidRPr="009437CC" w:rsidRDefault="009437CC" w:rsidP="004B6B54">
      <w:pPr>
        <w:jc w:val="both"/>
        <w:rPr>
          <w:rFonts w:asciiTheme="majorHAnsi" w:hAnsiTheme="majorHAnsi" w:cstheme="majorHAnsi"/>
          <w:lang w:eastAsia="ja-JP"/>
        </w:rPr>
      </w:pPr>
      <w:r w:rsidRPr="009437CC">
        <w:rPr>
          <w:rFonts w:asciiTheme="majorHAnsi" w:hAnsiTheme="majorHAnsi" w:cstheme="majorHAnsi"/>
          <w:color w:val="0E0E0E"/>
          <w:lang w:val="en-US"/>
        </w:rPr>
        <w:t>For preference, please cite the published version.</w:t>
      </w:r>
    </w:p>
    <w:sectPr w:rsidR="009437CC" w:rsidRPr="009437CC" w:rsidSect="009E3A2E">
      <w:pgSz w:w="11900" w:h="16840"/>
      <w:pgMar w:top="1440" w:right="1440" w:bottom="1440" w:left="1440"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AE3261"/>
    <w:multiLevelType w:val="hybridMultilevel"/>
    <w:tmpl w:val="012AFEAA"/>
    <w:lvl w:ilvl="0" w:tplc="8B2CA468">
      <w:start w:val="1"/>
      <w:numFmt w:val="bullet"/>
      <w:lvlText w:val=""/>
      <w:lvlJc w:val="left"/>
      <w:pPr>
        <w:tabs>
          <w:tab w:val="num" w:pos="720"/>
        </w:tabs>
        <w:ind w:left="720" w:hanging="360"/>
      </w:pPr>
      <w:rPr>
        <w:rFonts w:ascii="Wingdings 2" w:hAnsi="Wingdings 2" w:hint="default"/>
      </w:rPr>
    </w:lvl>
    <w:lvl w:ilvl="1" w:tplc="D0C21BA0" w:tentative="1">
      <w:start w:val="1"/>
      <w:numFmt w:val="bullet"/>
      <w:lvlText w:val=""/>
      <w:lvlJc w:val="left"/>
      <w:pPr>
        <w:tabs>
          <w:tab w:val="num" w:pos="1440"/>
        </w:tabs>
        <w:ind w:left="1440" w:hanging="360"/>
      </w:pPr>
      <w:rPr>
        <w:rFonts w:ascii="Wingdings 2" w:hAnsi="Wingdings 2" w:hint="default"/>
      </w:rPr>
    </w:lvl>
    <w:lvl w:ilvl="2" w:tplc="3C8AE922" w:tentative="1">
      <w:start w:val="1"/>
      <w:numFmt w:val="bullet"/>
      <w:lvlText w:val=""/>
      <w:lvlJc w:val="left"/>
      <w:pPr>
        <w:tabs>
          <w:tab w:val="num" w:pos="2160"/>
        </w:tabs>
        <w:ind w:left="2160" w:hanging="360"/>
      </w:pPr>
      <w:rPr>
        <w:rFonts w:ascii="Wingdings 2" w:hAnsi="Wingdings 2" w:hint="default"/>
      </w:rPr>
    </w:lvl>
    <w:lvl w:ilvl="3" w:tplc="5AC229C2" w:tentative="1">
      <w:start w:val="1"/>
      <w:numFmt w:val="bullet"/>
      <w:lvlText w:val=""/>
      <w:lvlJc w:val="left"/>
      <w:pPr>
        <w:tabs>
          <w:tab w:val="num" w:pos="2880"/>
        </w:tabs>
        <w:ind w:left="2880" w:hanging="360"/>
      </w:pPr>
      <w:rPr>
        <w:rFonts w:ascii="Wingdings 2" w:hAnsi="Wingdings 2" w:hint="default"/>
      </w:rPr>
    </w:lvl>
    <w:lvl w:ilvl="4" w:tplc="813A0CB2" w:tentative="1">
      <w:start w:val="1"/>
      <w:numFmt w:val="bullet"/>
      <w:lvlText w:val=""/>
      <w:lvlJc w:val="left"/>
      <w:pPr>
        <w:tabs>
          <w:tab w:val="num" w:pos="3600"/>
        </w:tabs>
        <w:ind w:left="3600" w:hanging="360"/>
      </w:pPr>
      <w:rPr>
        <w:rFonts w:ascii="Wingdings 2" w:hAnsi="Wingdings 2" w:hint="default"/>
      </w:rPr>
    </w:lvl>
    <w:lvl w:ilvl="5" w:tplc="81DA0658" w:tentative="1">
      <w:start w:val="1"/>
      <w:numFmt w:val="bullet"/>
      <w:lvlText w:val=""/>
      <w:lvlJc w:val="left"/>
      <w:pPr>
        <w:tabs>
          <w:tab w:val="num" w:pos="4320"/>
        </w:tabs>
        <w:ind w:left="4320" w:hanging="360"/>
      </w:pPr>
      <w:rPr>
        <w:rFonts w:ascii="Wingdings 2" w:hAnsi="Wingdings 2" w:hint="default"/>
      </w:rPr>
    </w:lvl>
    <w:lvl w:ilvl="6" w:tplc="CD3E5586" w:tentative="1">
      <w:start w:val="1"/>
      <w:numFmt w:val="bullet"/>
      <w:lvlText w:val=""/>
      <w:lvlJc w:val="left"/>
      <w:pPr>
        <w:tabs>
          <w:tab w:val="num" w:pos="5040"/>
        </w:tabs>
        <w:ind w:left="5040" w:hanging="360"/>
      </w:pPr>
      <w:rPr>
        <w:rFonts w:ascii="Wingdings 2" w:hAnsi="Wingdings 2" w:hint="default"/>
      </w:rPr>
    </w:lvl>
    <w:lvl w:ilvl="7" w:tplc="459E4056" w:tentative="1">
      <w:start w:val="1"/>
      <w:numFmt w:val="bullet"/>
      <w:lvlText w:val=""/>
      <w:lvlJc w:val="left"/>
      <w:pPr>
        <w:tabs>
          <w:tab w:val="num" w:pos="5760"/>
        </w:tabs>
        <w:ind w:left="5760" w:hanging="360"/>
      </w:pPr>
      <w:rPr>
        <w:rFonts w:ascii="Wingdings 2" w:hAnsi="Wingdings 2" w:hint="default"/>
      </w:rPr>
    </w:lvl>
    <w:lvl w:ilvl="8" w:tplc="A926A96C"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3A2E"/>
    <w:rsid w:val="00042390"/>
    <w:rsid w:val="00055D97"/>
    <w:rsid w:val="0006622F"/>
    <w:rsid w:val="00067ED0"/>
    <w:rsid w:val="00067F6B"/>
    <w:rsid w:val="00090EED"/>
    <w:rsid w:val="000949CD"/>
    <w:rsid w:val="000A716A"/>
    <w:rsid w:val="000A7CAA"/>
    <w:rsid w:val="000B4AC7"/>
    <w:rsid w:val="000D6A37"/>
    <w:rsid w:val="000F6C5D"/>
    <w:rsid w:val="00100726"/>
    <w:rsid w:val="00116C86"/>
    <w:rsid w:val="00136BDD"/>
    <w:rsid w:val="0015500E"/>
    <w:rsid w:val="00155B7B"/>
    <w:rsid w:val="001956CA"/>
    <w:rsid w:val="00196524"/>
    <w:rsid w:val="001B7EB7"/>
    <w:rsid w:val="001D6ACC"/>
    <w:rsid w:val="0021175F"/>
    <w:rsid w:val="002250E6"/>
    <w:rsid w:val="00266C36"/>
    <w:rsid w:val="00273E05"/>
    <w:rsid w:val="0027764C"/>
    <w:rsid w:val="00280783"/>
    <w:rsid w:val="0029518C"/>
    <w:rsid w:val="00306CA7"/>
    <w:rsid w:val="0031482B"/>
    <w:rsid w:val="00377FF4"/>
    <w:rsid w:val="003A5342"/>
    <w:rsid w:val="003B311E"/>
    <w:rsid w:val="003D4FCF"/>
    <w:rsid w:val="003E2987"/>
    <w:rsid w:val="003E58FC"/>
    <w:rsid w:val="003F04E7"/>
    <w:rsid w:val="003F0FBA"/>
    <w:rsid w:val="00416FD6"/>
    <w:rsid w:val="00420C7C"/>
    <w:rsid w:val="00441EC9"/>
    <w:rsid w:val="0044308A"/>
    <w:rsid w:val="004442CB"/>
    <w:rsid w:val="00461435"/>
    <w:rsid w:val="00473CC6"/>
    <w:rsid w:val="004908A3"/>
    <w:rsid w:val="00493DAE"/>
    <w:rsid w:val="004A6D53"/>
    <w:rsid w:val="004A7AFB"/>
    <w:rsid w:val="004B6B54"/>
    <w:rsid w:val="004C2443"/>
    <w:rsid w:val="004D2A25"/>
    <w:rsid w:val="004E0C6D"/>
    <w:rsid w:val="004E7164"/>
    <w:rsid w:val="00532AF0"/>
    <w:rsid w:val="0055690C"/>
    <w:rsid w:val="00566043"/>
    <w:rsid w:val="00570270"/>
    <w:rsid w:val="005711AD"/>
    <w:rsid w:val="00576270"/>
    <w:rsid w:val="00577BB9"/>
    <w:rsid w:val="005A041C"/>
    <w:rsid w:val="005A42F3"/>
    <w:rsid w:val="005A77C8"/>
    <w:rsid w:val="005B5136"/>
    <w:rsid w:val="005B7D47"/>
    <w:rsid w:val="005C1130"/>
    <w:rsid w:val="005E31E7"/>
    <w:rsid w:val="005F26BA"/>
    <w:rsid w:val="00607CF2"/>
    <w:rsid w:val="006142FE"/>
    <w:rsid w:val="00614E68"/>
    <w:rsid w:val="0062177D"/>
    <w:rsid w:val="006350B6"/>
    <w:rsid w:val="0063747C"/>
    <w:rsid w:val="00642D9A"/>
    <w:rsid w:val="00647685"/>
    <w:rsid w:val="00663A98"/>
    <w:rsid w:val="00670DC4"/>
    <w:rsid w:val="00675B5D"/>
    <w:rsid w:val="00677649"/>
    <w:rsid w:val="0069452A"/>
    <w:rsid w:val="00695BC8"/>
    <w:rsid w:val="006A4D38"/>
    <w:rsid w:val="006B3702"/>
    <w:rsid w:val="007215A2"/>
    <w:rsid w:val="00722A91"/>
    <w:rsid w:val="00745DB1"/>
    <w:rsid w:val="007771C5"/>
    <w:rsid w:val="00781B99"/>
    <w:rsid w:val="007A25CF"/>
    <w:rsid w:val="007B20F2"/>
    <w:rsid w:val="007D325A"/>
    <w:rsid w:val="007D619A"/>
    <w:rsid w:val="007D665E"/>
    <w:rsid w:val="007F4F83"/>
    <w:rsid w:val="00811E0D"/>
    <w:rsid w:val="008370D8"/>
    <w:rsid w:val="00856421"/>
    <w:rsid w:val="0088436E"/>
    <w:rsid w:val="00892376"/>
    <w:rsid w:val="008B36A5"/>
    <w:rsid w:val="008B4EA9"/>
    <w:rsid w:val="008C1E1A"/>
    <w:rsid w:val="008E6603"/>
    <w:rsid w:val="00922CEB"/>
    <w:rsid w:val="009437CC"/>
    <w:rsid w:val="00971C09"/>
    <w:rsid w:val="00972409"/>
    <w:rsid w:val="009C421F"/>
    <w:rsid w:val="009C6D6E"/>
    <w:rsid w:val="009E2325"/>
    <w:rsid w:val="009E3A2E"/>
    <w:rsid w:val="009F2221"/>
    <w:rsid w:val="00A126D8"/>
    <w:rsid w:val="00A15DA7"/>
    <w:rsid w:val="00A31989"/>
    <w:rsid w:val="00A345FE"/>
    <w:rsid w:val="00A76FCE"/>
    <w:rsid w:val="00A77A83"/>
    <w:rsid w:val="00A8326D"/>
    <w:rsid w:val="00AA279D"/>
    <w:rsid w:val="00AB00B3"/>
    <w:rsid w:val="00AC5D66"/>
    <w:rsid w:val="00AD10FD"/>
    <w:rsid w:val="00AF2793"/>
    <w:rsid w:val="00AF3960"/>
    <w:rsid w:val="00B02AD6"/>
    <w:rsid w:val="00B104AB"/>
    <w:rsid w:val="00B80744"/>
    <w:rsid w:val="00BA1A47"/>
    <w:rsid w:val="00BB486D"/>
    <w:rsid w:val="00BC155B"/>
    <w:rsid w:val="00BE3943"/>
    <w:rsid w:val="00C164A9"/>
    <w:rsid w:val="00C21B6F"/>
    <w:rsid w:val="00C372BA"/>
    <w:rsid w:val="00C6343C"/>
    <w:rsid w:val="00C64D63"/>
    <w:rsid w:val="00CD75C2"/>
    <w:rsid w:val="00D2422A"/>
    <w:rsid w:val="00D310A5"/>
    <w:rsid w:val="00D41A31"/>
    <w:rsid w:val="00D557F1"/>
    <w:rsid w:val="00D6106D"/>
    <w:rsid w:val="00D90BC0"/>
    <w:rsid w:val="00D92FD9"/>
    <w:rsid w:val="00DA1D1F"/>
    <w:rsid w:val="00DB1172"/>
    <w:rsid w:val="00DE0DCC"/>
    <w:rsid w:val="00DE0E9F"/>
    <w:rsid w:val="00DF4E3E"/>
    <w:rsid w:val="00E01F3C"/>
    <w:rsid w:val="00E0408B"/>
    <w:rsid w:val="00E169B9"/>
    <w:rsid w:val="00E3417C"/>
    <w:rsid w:val="00E45C03"/>
    <w:rsid w:val="00E57712"/>
    <w:rsid w:val="00E77003"/>
    <w:rsid w:val="00EB7BB9"/>
    <w:rsid w:val="00EE305A"/>
    <w:rsid w:val="00EF1A69"/>
    <w:rsid w:val="00F22105"/>
    <w:rsid w:val="00F4375C"/>
    <w:rsid w:val="00F45000"/>
    <w:rsid w:val="00FC4AF9"/>
    <w:rsid w:val="00FD2981"/>
    <w:rsid w:val="00FD6BB8"/>
    <w:rsid w:val="00FD74CD"/>
    <w:rsid w:val="00FF0D6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482E10D2"/>
  <w14:defaultImageDpi w14:val="300"/>
  <w15:docId w15:val="{ACC51A33-9F86-BF4A-B9C2-804A9A5CC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DB1172"/>
    <w:pPr>
      <w:jc w:val="both"/>
      <w:outlineLvl w:val="0"/>
    </w:pPr>
    <w:rPr>
      <w:b/>
    </w:rPr>
  </w:style>
  <w:style w:type="paragraph" w:styleId="Heading2">
    <w:name w:val="heading 2"/>
    <w:basedOn w:val="Normal"/>
    <w:next w:val="Normal"/>
    <w:link w:val="Heading2Char"/>
    <w:uiPriority w:val="9"/>
    <w:unhideWhenUsed/>
    <w:qFormat/>
    <w:rsid w:val="00DB1172"/>
    <w:pPr>
      <w:jc w:val="both"/>
      <w:outlineLvl w:val="1"/>
    </w:pPr>
    <w:rPr>
      <w:b/>
      <w:i/>
    </w:rPr>
  </w:style>
  <w:style w:type="paragraph" w:styleId="Heading3">
    <w:name w:val="heading 3"/>
    <w:basedOn w:val="Normal"/>
    <w:next w:val="Normal"/>
    <w:link w:val="Heading3Char"/>
    <w:uiPriority w:val="9"/>
    <w:unhideWhenUsed/>
    <w:qFormat/>
    <w:rsid w:val="00DB1172"/>
    <w:pPr>
      <w:jc w:val="both"/>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2987"/>
    <w:rPr>
      <w:color w:val="0000FF" w:themeColor="hyperlink"/>
      <w:u w:val="single"/>
    </w:rPr>
  </w:style>
  <w:style w:type="paragraph" w:styleId="BodyText">
    <w:name w:val="Body Text"/>
    <w:basedOn w:val="Normal"/>
    <w:link w:val="BodyTextChar"/>
    <w:rsid w:val="004908A3"/>
    <w:pPr>
      <w:widowControl w:val="0"/>
      <w:suppressAutoHyphens/>
      <w:jc w:val="both"/>
    </w:pPr>
    <w:rPr>
      <w:rFonts w:eastAsia="Times New Roman"/>
      <w:spacing w:val="-3"/>
      <w:szCs w:val="20"/>
      <w:lang w:val="en-US" w:eastAsia="en-GB"/>
    </w:rPr>
  </w:style>
  <w:style w:type="character" w:customStyle="1" w:styleId="BodyTextChar">
    <w:name w:val="Body Text Char"/>
    <w:basedOn w:val="DefaultParagraphFont"/>
    <w:link w:val="BodyText"/>
    <w:rsid w:val="004908A3"/>
    <w:rPr>
      <w:rFonts w:eastAsia="Times New Roman"/>
      <w:spacing w:val="-3"/>
      <w:sz w:val="24"/>
      <w:lang w:val="en-US" w:eastAsia="en-GB"/>
    </w:rPr>
  </w:style>
  <w:style w:type="paragraph" w:styleId="ListParagraph">
    <w:name w:val="List Paragraph"/>
    <w:basedOn w:val="Normal"/>
    <w:uiPriority w:val="34"/>
    <w:qFormat/>
    <w:rsid w:val="00675B5D"/>
    <w:pPr>
      <w:ind w:left="720"/>
      <w:contextualSpacing/>
    </w:pPr>
    <w:rPr>
      <w:rFonts w:ascii="Times" w:hAnsi="Times"/>
      <w:sz w:val="20"/>
      <w:szCs w:val="20"/>
    </w:rPr>
  </w:style>
  <w:style w:type="table" w:styleId="TableGrid">
    <w:name w:val="Table Grid"/>
    <w:basedOn w:val="TableNormal"/>
    <w:uiPriority w:val="59"/>
    <w:rsid w:val="00AD1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77C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77C8"/>
    <w:rPr>
      <w:rFonts w:ascii="Lucida Grande" w:hAnsi="Lucida Grande" w:cs="Lucida Grande"/>
      <w:sz w:val="18"/>
      <w:szCs w:val="18"/>
      <w:lang w:eastAsia="en-US"/>
    </w:rPr>
  </w:style>
  <w:style w:type="paragraph" w:styleId="Title">
    <w:name w:val="Title"/>
    <w:basedOn w:val="Normal"/>
    <w:next w:val="Normal"/>
    <w:link w:val="TitleChar"/>
    <w:uiPriority w:val="10"/>
    <w:qFormat/>
    <w:rsid w:val="00DB1172"/>
    <w:pPr>
      <w:spacing w:after="120"/>
      <w:jc w:val="center"/>
    </w:pPr>
    <w:rPr>
      <w:b/>
      <w:sz w:val="28"/>
      <w:szCs w:val="28"/>
    </w:rPr>
  </w:style>
  <w:style w:type="character" w:customStyle="1" w:styleId="TitleChar">
    <w:name w:val="Title Char"/>
    <w:basedOn w:val="DefaultParagraphFont"/>
    <w:link w:val="Title"/>
    <w:uiPriority w:val="10"/>
    <w:rsid w:val="00DB1172"/>
    <w:rPr>
      <w:b/>
      <w:sz w:val="28"/>
      <w:szCs w:val="28"/>
      <w:lang w:eastAsia="en-US"/>
    </w:rPr>
  </w:style>
  <w:style w:type="character" w:customStyle="1" w:styleId="Heading1Char">
    <w:name w:val="Heading 1 Char"/>
    <w:basedOn w:val="DefaultParagraphFont"/>
    <w:link w:val="Heading1"/>
    <w:uiPriority w:val="9"/>
    <w:rsid w:val="00DB1172"/>
    <w:rPr>
      <w:b/>
      <w:sz w:val="24"/>
      <w:szCs w:val="24"/>
      <w:lang w:eastAsia="en-US"/>
    </w:rPr>
  </w:style>
  <w:style w:type="character" w:customStyle="1" w:styleId="Heading2Char">
    <w:name w:val="Heading 2 Char"/>
    <w:basedOn w:val="DefaultParagraphFont"/>
    <w:link w:val="Heading2"/>
    <w:uiPriority w:val="9"/>
    <w:rsid w:val="00DB1172"/>
    <w:rPr>
      <w:b/>
      <w:i/>
      <w:sz w:val="24"/>
      <w:szCs w:val="24"/>
      <w:lang w:eastAsia="en-US"/>
    </w:rPr>
  </w:style>
  <w:style w:type="character" w:customStyle="1" w:styleId="Heading3Char">
    <w:name w:val="Heading 3 Char"/>
    <w:basedOn w:val="DefaultParagraphFont"/>
    <w:link w:val="Heading3"/>
    <w:uiPriority w:val="9"/>
    <w:rsid w:val="00DB1172"/>
    <w:rPr>
      <w:b/>
      <w: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253926">
      <w:bodyDiv w:val="1"/>
      <w:marLeft w:val="0"/>
      <w:marRight w:val="0"/>
      <w:marTop w:val="0"/>
      <w:marBottom w:val="0"/>
      <w:divBdr>
        <w:top w:val="none" w:sz="0" w:space="0" w:color="auto"/>
        <w:left w:val="none" w:sz="0" w:space="0" w:color="auto"/>
        <w:bottom w:val="none" w:sz="0" w:space="0" w:color="auto"/>
        <w:right w:val="none" w:sz="0" w:space="0" w:color="auto"/>
      </w:divBdr>
    </w:div>
    <w:div w:id="487937807">
      <w:bodyDiv w:val="1"/>
      <w:marLeft w:val="0"/>
      <w:marRight w:val="0"/>
      <w:marTop w:val="0"/>
      <w:marBottom w:val="0"/>
      <w:divBdr>
        <w:top w:val="none" w:sz="0" w:space="0" w:color="auto"/>
        <w:left w:val="none" w:sz="0" w:space="0" w:color="auto"/>
        <w:bottom w:val="none" w:sz="0" w:space="0" w:color="auto"/>
        <w:right w:val="none" w:sz="0" w:space="0" w:color="auto"/>
      </w:divBdr>
    </w:div>
    <w:div w:id="684405823">
      <w:bodyDiv w:val="1"/>
      <w:marLeft w:val="0"/>
      <w:marRight w:val="0"/>
      <w:marTop w:val="0"/>
      <w:marBottom w:val="0"/>
      <w:divBdr>
        <w:top w:val="none" w:sz="0" w:space="0" w:color="auto"/>
        <w:left w:val="none" w:sz="0" w:space="0" w:color="auto"/>
        <w:bottom w:val="none" w:sz="0" w:space="0" w:color="auto"/>
        <w:right w:val="none" w:sz="0" w:space="0" w:color="auto"/>
      </w:divBdr>
    </w:div>
    <w:div w:id="724062099">
      <w:bodyDiv w:val="1"/>
      <w:marLeft w:val="0"/>
      <w:marRight w:val="0"/>
      <w:marTop w:val="0"/>
      <w:marBottom w:val="0"/>
      <w:divBdr>
        <w:top w:val="none" w:sz="0" w:space="0" w:color="auto"/>
        <w:left w:val="none" w:sz="0" w:space="0" w:color="auto"/>
        <w:bottom w:val="none" w:sz="0" w:space="0" w:color="auto"/>
        <w:right w:val="none" w:sz="0" w:space="0" w:color="auto"/>
      </w:divBdr>
    </w:div>
    <w:div w:id="886260676">
      <w:bodyDiv w:val="1"/>
      <w:marLeft w:val="0"/>
      <w:marRight w:val="0"/>
      <w:marTop w:val="0"/>
      <w:marBottom w:val="0"/>
      <w:divBdr>
        <w:top w:val="none" w:sz="0" w:space="0" w:color="auto"/>
        <w:left w:val="none" w:sz="0" w:space="0" w:color="auto"/>
        <w:bottom w:val="none" w:sz="0" w:space="0" w:color="auto"/>
        <w:right w:val="none" w:sz="0" w:space="0" w:color="auto"/>
      </w:divBdr>
    </w:div>
    <w:div w:id="903180125">
      <w:bodyDiv w:val="1"/>
      <w:marLeft w:val="0"/>
      <w:marRight w:val="0"/>
      <w:marTop w:val="0"/>
      <w:marBottom w:val="0"/>
      <w:divBdr>
        <w:top w:val="none" w:sz="0" w:space="0" w:color="auto"/>
        <w:left w:val="none" w:sz="0" w:space="0" w:color="auto"/>
        <w:bottom w:val="none" w:sz="0" w:space="0" w:color="auto"/>
        <w:right w:val="none" w:sz="0" w:space="0" w:color="auto"/>
      </w:divBdr>
    </w:div>
    <w:div w:id="942689146">
      <w:bodyDiv w:val="1"/>
      <w:marLeft w:val="0"/>
      <w:marRight w:val="0"/>
      <w:marTop w:val="0"/>
      <w:marBottom w:val="0"/>
      <w:divBdr>
        <w:top w:val="none" w:sz="0" w:space="0" w:color="auto"/>
        <w:left w:val="none" w:sz="0" w:space="0" w:color="auto"/>
        <w:bottom w:val="none" w:sz="0" w:space="0" w:color="auto"/>
        <w:right w:val="none" w:sz="0" w:space="0" w:color="auto"/>
      </w:divBdr>
    </w:div>
    <w:div w:id="1010060420">
      <w:bodyDiv w:val="1"/>
      <w:marLeft w:val="0"/>
      <w:marRight w:val="0"/>
      <w:marTop w:val="0"/>
      <w:marBottom w:val="0"/>
      <w:divBdr>
        <w:top w:val="none" w:sz="0" w:space="0" w:color="auto"/>
        <w:left w:val="none" w:sz="0" w:space="0" w:color="auto"/>
        <w:bottom w:val="none" w:sz="0" w:space="0" w:color="auto"/>
        <w:right w:val="none" w:sz="0" w:space="0" w:color="auto"/>
      </w:divBdr>
      <w:divsChild>
        <w:div w:id="739864782">
          <w:marLeft w:val="547"/>
          <w:marRight w:val="0"/>
          <w:marTop w:val="400"/>
          <w:marBottom w:val="0"/>
          <w:divBdr>
            <w:top w:val="none" w:sz="0" w:space="0" w:color="auto"/>
            <w:left w:val="none" w:sz="0" w:space="0" w:color="auto"/>
            <w:bottom w:val="none" w:sz="0" w:space="0" w:color="auto"/>
            <w:right w:val="none" w:sz="0" w:space="0" w:color="auto"/>
          </w:divBdr>
        </w:div>
      </w:divsChild>
    </w:div>
    <w:div w:id="1249772922">
      <w:bodyDiv w:val="1"/>
      <w:marLeft w:val="0"/>
      <w:marRight w:val="0"/>
      <w:marTop w:val="0"/>
      <w:marBottom w:val="0"/>
      <w:divBdr>
        <w:top w:val="none" w:sz="0" w:space="0" w:color="auto"/>
        <w:left w:val="none" w:sz="0" w:space="0" w:color="auto"/>
        <w:bottom w:val="none" w:sz="0" w:space="0" w:color="auto"/>
        <w:right w:val="none" w:sz="0" w:space="0" w:color="auto"/>
      </w:divBdr>
    </w:div>
    <w:div w:id="1880818733">
      <w:bodyDiv w:val="1"/>
      <w:marLeft w:val="0"/>
      <w:marRight w:val="0"/>
      <w:marTop w:val="0"/>
      <w:marBottom w:val="0"/>
      <w:divBdr>
        <w:top w:val="none" w:sz="0" w:space="0" w:color="auto"/>
        <w:left w:val="none" w:sz="0" w:space="0" w:color="auto"/>
        <w:bottom w:val="none" w:sz="0" w:space="0" w:color="auto"/>
        <w:right w:val="none" w:sz="0" w:space="0" w:color="auto"/>
      </w:divBdr>
    </w:div>
    <w:div w:id="20839160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uk/s/ref=dp_byline_sr_book_1?ie=UTF8&amp;field-author=Gary+Craig&amp;search-alias=books-uk&amp;text=Gary+Craig&amp;sort=relevancerank" TargetMode="External"/><Relationship Id="rId3" Type="http://schemas.openxmlformats.org/officeDocument/2006/relationships/settings" Target="settings.xml"/><Relationship Id="rId7" Type="http://schemas.openxmlformats.org/officeDocument/2006/relationships/hyperlink" Target="http://www.amazon.co.uk/s/ref=dp_byline_sr_book_2?ie=UTF8&amp;field-author=Dave+Gordon&amp;search-alias=books-uk&amp;text=Dave+Gordon&amp;sort=relevancer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uk/s/ref=dp_byline_sr_book_1?ie=UTF8&amp;field-author=Gary+Craig&amp;search-alias=books-uk&amp;text=Gary+Craig&amp;sort=relevancerank"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mazon.co.uk/s/ref=dp_byline_sr_book_2?ie=UTF8&amp;field-author=Dave+Gordon&amp;search-alias=books-uk&amp;text=Dave+Gordon&amp;sort=relevancer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8954</Words>
  <Characters>44328</Characters>
  <Application>Microsoft Office Word</Application>
  <DocSecurity>0</DocSecurity>
  <Lines>764</Lines>
  <Paragraphs>133</Paragraphs>
  <ScaleCrop>false</ScaleCrop>
  <Company/>
  <LinksUpToDate>false</LinksUpToDate>
  <CharactersWithSpaces>53149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Hazel Wright</dc:creator>
  <cp:keywords/>
  <dc:description/>
  <cp:lastModifiedBy>Blanshard, Lisa</cp:lastModifiedBy>
  <cp:revision>5</cp:revision>
  <dcterms:created xsi:type="dcterms:W3CDTF">2022-03-26T01:48:00Z</dcterms:created>
  <dcterms:modified xsi:type="dcterms:W3CDTF">2022-04-12T14:38:00Z</dcterms:modified>
</cp:coreProperties>
</file>