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8719C" w14:textId="68EB711D" w:rsidR="00114534" w:rsidRPr="00130744" w:rsidRDefault="00C4353D" w:rsidP="00130744">
      <w:pPr>
        <w:pStyle w:val="Title"/>
      </w:pPr>
      <w:r w:rsidRPr="00130744">
        <w:t>T</w:t>
      </w:r>
      <w:r w:rsidR="003354CE" w:rsidRPr="00130744">
        <w:t xml:space="preserve">he mental health </w:t>
      </w:r>
      <w:r w:rsidRPr="00130744">
        <w:t xml:space="preserve">support needs </w:t>
      </w:r>
      <w:r w:rsidR="003354CE" w:rsidRPr="00130744">
        <w:t xml:space="preserve">of university students with long-term </w:t>
      </w:r>
      <w:r w:rsidRPr="00130744">
        <w:t xml:space="preserve">physical </w:t>
      </w:r>
      <w:r w:rsidR="003354CE" w:rsidRPr="00130744">
        <w:t>health conditions</w:t>
      </w:r>
      <w:r w:rsidR="00D43A10" w:rsidRPr="00130744">
        <w:t>.</w:t>
      </w:r>
    </w:p>
    <w:p w14:paraId="2B5F661D" w14:textId="77777777" w:rsidR="006C578E" w:rsidRPr="00E13E45" w:rsidRDefault="006C578E" w:rsidP="001B100D">
      <w:pPr>
        <w:spacing w:line="480" w:lineRule="auto"/>
        <w:jc w:val="center"/>
        <w:rPr>
          <w:b/>
          <w:bCs/>
          <w:lang w:val="en-US"/>
        </w:rPr>
      </w:pPr>
    </w:p>
    <w:p w14:paraId="1E6167E9" w14:textId="7821F6A3" w:rsidR="00A32B69" w:rsidRPr="00130744" w:rsidRDefault="008C40E6" w:rsidP="00130744">
      <w:pPr>
        <w:pStyle w:val="Heading1"/>
      </w:pPr>
      <w:r w:rsidRPr="00130744">
        <w:t xml:space="preserve">Abstract </w:t>
      </w:r>
    </w:p>
    <w:p w14:paraId="49FFB34A" w14:textId="77777777" w:rsidR="000D5458" w:rsidRDefault="000D5458" w:rsidP="00D43A10">
      <w:pPr>
        <w:spacing w:line="480" w:lineRule="auto"/>
        <w:rPr>
          <w:b/>
          <w:bCs/>
          <w:lang w:val="en-US"/>
        </w:rPr>
      </w:pPr>
    </w:p>
    <w:p w14:paraId="777E7496" w14:textId="51B35C5E" w:rsidR="00A32B69" w:rsidRPr="003960F5" w:rsidRDefault="00186B53" w:rsidP="00D43A10">
      <w:pPr>
        <w:spacing w:line="480" w:lineRule="auto"/>
      </w:pPr>
      <w:r>
        <w:rPr>
          <w:bCs/>
          <w:i/>
          <w:iCs/>
          <w:lang w:val="en-US"/>
        </w:rPr>
        <w:t>Purpose</w:t>
      </w:r>
      <w:r w:rsidR="00687002">
        <w:rPr>
          <w:bCs/>
          <w:lang w:val="en-US"/>
        </w:rPr>
        <w:t xml:space="preserve">: </w:t>
      </w:r>
      <w:r w:rsidR="00D02D73">
        <w:rPr>
          <w:bCs/>
          <w:lang w:val="en-US"/>
        </w:rPr>
        <w:t>Supporting t</w:t>
      </w:r>
      <w:r w:rsidR="00A32B69">
        <w:rPr>
          <w:bCs/>
          <w:lang w:val="en-US"/>
        </w:rPr>
        <w:t>he mental health</w:t>
      </w:r>
      <w:r w:rsidR="00D02D73">
        <w:rPr>
          <w:bCs/>
          <w:lang w:val="en-US"/>
        </w:rPr>
        <w:t xml:space="preserve"> </w:t>
      </w:r>
      <w:r w:rsidR="00A32B69">
        <w:rPr>
          <w:bCs/>
          <w:lang w:val="en-US"/>
        </w:rPr>
        <w:t xml:space="preserve">of university students is </w:t>
      </w:r>
      <w:r w:rsidR="00D02D73">
        <w:rPr>
          <w:bCs/>
          <w:lang w:val="en-US"/>
        </w:rPr>
        <w:t>a key priority for higher education</w:t>
      </w:r>
      <w:r w:rsidR="00AA08AE">
        <w:rPr>
          <w:bCs/>
          <w:lang w:val="en-US"/>
        </w:rPr>
        <w:t xml:space="preserve">. </w:t>
      </w:r>
      <w:r w:rsidR="00A718AB">
        <w:rPr>
          <w:bCs/>
          <w:lang w:val="en-US"/>
        </w:rPr>
        <w:t>Students living with long-term health conditions</w:t>
      </w:r>
      <w:r w:rsidR="005575D5">
        <w:rPr>
          <w:bCs/>
          <w:lang w:val="en-US"/>
        </w:rPr>
        <w:t xml:space="preserve"> </w:t>
      </w:r>
      <w:r w:rsidR="00F42C14">
        <w:rPr>
          <w:bCs/>
          <w:lang w:val="en-US"/>
        </w:rPr>
        <w:t xml:space="preserve">are at increased risk of poor mental health; </w:t>
      </w:r>
      <w:r w:rsidR="00A718AB">
        <w:rPr>
          <w:bCs/>
          <w:lang w:val="en-US"/>
        </w:rPr>
        <w:t>yet</w:t>
      </w:r>
      <w:r w:rsidR="00F42C14">
        <w:rPr>
          <w:bCs/>
          <w:lang w:val="en-US"/>
        </w:rPr>
        <w:t xml:space="preserve"> little work has focused on the</w:t>
      </w:r>
      <w:r w:rsidR="00234B69">
        <w:rPr>
          <w:bCs/>
          <w:lang w:val="en-US"/>
        </w:rPr>
        <w:t>ir</w:t>
      </w:r>
      <w:r w:rsidR="00F42C14">
        <w:rPr>
          <w:bCs/>
          <w:lang w:val="en-US"/>
        </w:rPr>
        <w:t xml:space="preserve"> </w:t>
      </w:r>
      <w:r w:rsidR="00390990">
        <w:rPr>
          <w:bCs/>
          <w:lang w:val="en-US"/>
        </w:rPr>
        <w:t xml:space="preserve">particular </w:t>
      </w:r>
      <w:r w:rsidR="00F42C14">
        <w:rPr>
          <w:bCs/>
          <w:lang w:val="en-US"/>
        </w:rPr>
        <w:t>mental health needs</w:t>
      </w:r>
      <w:r w:rsidR="00850AC0">
        <w:rPr>
          <w:bCs/>
          <w:lang w:val="en-US"/>
        </w:rPr>
        <w:t xml:space="preserve"> </w:t>
      </w:r>
      <w:r w:rsidR="00CF6D40">
        <w:rPr>
          <w:bCs/>
          <w:lang w:val="en-US"/>
        </w:rPr>
        <w:t>or indeed, the implications for health education in the university setting</w:t>
      </w:r>
      <w:r w:rsidR="000A0435">
        <w:rPr>
          <w:bCs/>
          <w:lang w:val="en-US"/>
        </w:rPr>
        <w:t>.</w:t>
      </w:r>
      <w:r w:rsidR="00F42C14">
        <w:rPr>
          <w:bCs/>
          <w:lang w:val="en-US"/>
        </w:rPr>
        <w:t xml:space="preserve"> </w:t>
      </w:r>
      <w:r w:rsidR="00390990">
        <w:t>Th</w:t>
      </w:r>
      <w:r w:rsidR="001761D9">
        <w:t>is</w:t>
      </w:r>
      <w:r w:rsidR="00390990">
        <w:t xml:space="preserve"> study </w:t>
      </w:r>
      <w:r w:rsidR="00CF6D40">
        <w:t>sought</w:t>
      </w:r>
      <w:r w:rsidR="00390990">
        <w:t xml:space="preserve"> to identify </w:t>
      </w:r>
      <w:r w:rsidR="00850AC0">
        <w:t xml:space="preserve">the mental health support needs of students with </w:t>
      </w:r>
      <w:r w:rsidR="005C7702">
        <w:t>long-term conditions</w:t>
      </w:r>
      <w:r w:rsidR="00850AC0">
        <w:t xml:space="preserve">, including </w:t>
      </w:r>
      <w:r w:rsidR="00390990">
        <w:t>best ways for universities to support these students</w:t>
      </w:r>
      <w:r w:rsidR="00A718AB">
        <w:t xml:space="preserve">. </w:t>
      </w:r>
      <w:r>
        <w:rPr>
          <w:i/>
          <w:iCs/>
        </w:rPr>
        <w:t>Design/methodology/approach</w:t>
      </w:r>
      <w:r w:rsidR="001F5DE7">
        <w:t xml:space="preserve">: </w:t>
      </w:r>
      <w:r w:rsidR="00BE1E5A">
        <w:t>A</w:t>
      </w:r>
      <w:r w:rsidR="00C61F95">
        <w:t xml:space="preserve"> UK national online survey of 200 university students living with long-term physical health condition</w:t>
      </w:r>
      <w:r w:rsidR="001761D9">
        <w:t>s</w:t>
      </w:r>
      <w:r w:rsidR="00C61F95">
        <w:t xml:space="preserve"> (e.g. asthma, endometriosis, epilepsy)</w:t>
      </w:r>
      <w:r w:rsidR="00CF6D40">
        <w:t xml:space="preserve"> was conducted in 2019</w:t>
      </w:r>
      <w:r w:rsidR="00C61F95">
        <w:t xml:space="preserve">. </w:t>
      </w:r>
      <w:r>
        <w:rPr>
          <w:i/>
          <w:iCs/>
        </w:rPr>
        <w:t>Findings</w:t>
      </w:r>
      <w:r w:rsidR="00C61F95">
        <w:t xml:space="preserve">: </w:t>
      </w:r>
      <w:r w:rsidR="00390990" w:rsidRPr="00E13E45">
        <w:t xml:space="preserve">95% </w:t>
      </w:r>
      <w:r w:rsidR="00390990">
        <w:t xml:space="preserve">of respondents </w:t>
      </w:r>
      <w:r w:rsidR="00390990" w:rsidRPr="00E13E45">
        <w:t xml:space="preserve">reported that their </w:t>
      </w:r>
      <w:r w:rsidR="005C7702">
        <w:t>long-term condition/s</w:t>
      </w:r>
      <w:r w:rsidR="00390990" w:rsidRPr="00E13E45">
        <w:t xml:space="preserve"> had a</w:t>
      </w:r>
      <w:r w:rsidR="00390990">
        <w:t>t</w:t>
      </w:r>
      <w:r w:rsidR="00390990" w:rsidRPr="00E13E45">
        <w:t xml:space="preserve"> least a moderate i</w:t>
      </w:r>
      <w:r w:rsidR="00390990">
        <w:t>mpact on their mental wellbeing, with 81% reporting that they felt depressed and anxious at least once a month because of their health</w:t>
      </w:r>
      <w:r w:rsidR="00390990" w:rsidRPr="00E13E45">
        <w:t>.</w:t>
      </w:r>
      <w:r w:rsidR="00390990">
        <w:t xml:space="preserve"> The most common </w:t>
      </w:r>
      <w:r w:rsidR="00390990" w:rsidRPr="00E13E45">
        <w:rPr>
          <w:bCs/>
          <w:lang w:val="en-US"/>
        </w:rPr>
        <w:t>suggestion for how universities can better support the</w:t>
      </w:r>
      <w:r w:rsidR="00390990">
        <w:rPr>
          <w:bCs/>
          <w:lang w:val="en-US"/>
        </w:rPr>
        <w:t>ir</w:t>
      </w:r>
      <w:r w:rsidR="00390990" w:rsidRPr="00E13E45">
        <w:rPr>
          <w:bCs/>
          <w:lang w:val="en-US"/>
        </w:rPr>
        <w:t xml:space="preserve"> mental wellbeing </w:t>
      </w:r>
      <w:r w:rsidR="00390990">
        <w:rPr>
          <w:bCs/>
          <w:lang w:val="en-US"/>
        </w:rPr>
        <w:t xml:space="preserve">was to raise awareness </w:t>
      </w:r>
      <w:r w:rsidR="00390990" w:rsidRPr="00E13E45">
        <w:rPr>
          <w:bCs/>
          <w:lang w:val="en-US"/>
        </w:rPr>
        <w:t>about</w:t>
      </w:r>
      <w:r w:rsidR="005C7702">
        <w:rPr>
          <w:bCs/>
          <w:lang w:val="en-US"/>
        </w:rPr>
        <w:t xml:space="preserve"> long-term conditions</w:t>
      </w:r>
      <w:r w:rsidR="00390990" w:rsidRPr="00E13E45">
        <w:rPr>
          <w:bCs/>
          <w:lang w:val="en-US"/>
        </w:rPr>
        <w:t xml:space="preserve"> on campuses</w:t>
      </w:r>
      <w:r w:rsidR="00A718AB">
        <w:rPr>
          <w:bCs/>
          <w:lang w:val="en-US"/>
        </w:rPr>
        <w:t xml:space="preserve">, with </w:t>
      </w:r>
      <w:r w:rsidR="008C40E6" w:rsidRPr="008C40E6">
        <w:rPr>
          <w:bCs/>
          <w:lang w:val="en-US"/>
        </w:rPr>
        <w:t>many</w:t>
      </w:r>
      <w:r w:rsidR="00390990">
        <w:rPr>
          <w:bCs/>
          <w:lang w:val="en-US"/>
        </w:rPr>
        <w:t xml:space="preserve"> report</w:t>
      </w:r>
      <w:r w:rsidR="00A718AB">
        <w:rPr>
          <w:bCs/>
          <w:lang w:val="en-US"/>
        </w:rPr>
        <w:t>ing</w:t>
      </w:r>
      <w:r w:rsidR="00390990">
        <w:rPr>
          <w:bCs/>
          <w:lang w:val="en-US"/>
        </w:rPr>
        <w:t xml:space="preserve"> </w:t>
      </w:r>
      <w:r w:rsidR="00390990">
        <w:t xml:space="preserve">a </w:t>
      </w:r>
      <w:r w:rsidR="00234B69">
        <w:t xml:space="preserve">lack of understanding </w:t>
      </w:r>
      <w:r w:rsidR="00390990">
        <w:t xml:space="preserve">about </w:t>
      </w:r>
      <w:r w:rsidR="005C7702">
        <w:t>long-term conditions</w:t>
      </w:r>
      <w:r w:rsidR="00390990">
        <w:t xml:space="preserve"> </w:t>
      </w:r>
      <w:r w:rsidR="005575D5">
        <w:t xml:space="preserve">from </w:t>
      </w:r>
      <w:r w:rsidR="00340CD6">
        <w:t xml:space="preserve">academic and support services </w:t>
      </w:r>
      <w:r w:rsidR="00234B69">
        <w:t>staff members</w:t>
      </w:r>
      <w:r w:rsidR="005575D5">
        <w:t xml:space="preserve"> </w:t>
      </w:r>
      <w:r w:rsidR="00390990">
        <w:t>– with negative impacts on their mental health</w:t>
      </w:r>
      <w:r w:rsidR="00234B69">
        <w:t>.</w:t>
      </w:r>
      <w:r w:rsidR="00390990">
        <w:t xml:space="preserve"> Because of this, </w:t>
      </w:r>
      <w:r w:rsidR="00245A4C">
        <w:t xml:space="preserve">some </w:t>
      </w:r>
      <w:r w:rsidR="00390990">
        <w:t>respondents reported a reluctance to come forward and seek help from university services</w:t>
      </w:r>
      <w:r w:rsidR="00245A4C">
        <w:t>, with 25% not formally disclosing their conditions</w:t>
      </w:r>
      <w:r w:rsidR="00390990">
        <w:t>.</w:t>
      </w:r>
      <w:r w:rsidR="005575D5">
        <w:t xml:space="preserve"> </w:t>
      </w:r>
      <w:r w:rsidRPr="00186B53">
        <w:rPr>
          <w:i/>
          <w:iCs/>
        </w:rPr>
        <w:t>Originality</w:t>
      </w:r>
      <w:r>
        <w:t xml:space="preserve">: </w:t>
      </w:r>
      <w:r w:rsidR="00390990">
        <w:rPr>
          <w:bCs/>
          <w:lang w:val="en-US"/>
        </w:rPr>
        <w:t xml:space="preserve">These reported concerns underscore </w:t>
      </w:r>
      <w:r w:rsidR="00B81ADD">
        <w:rPr>
          <w:bCs/>
          <w:lang w:val="en-US"/>
        </w:rPr>
        <w:t>the need</w:t>
      </w:r>
      <w:r w:rsidR="00390990">
        <w:rPr>
          <w:bCs/>
          <w:lang w:val="en-US"/>
        </w:rPr>
        <w:t xml:space="preserve"> to </w:t>
      </w:r>
      <w:r w:rsidR="00CF6D40">
        <w:rPr>
          <w:bCs/>
          <w:lang w:val="en-US"/>
        </w:rPr>
        <w:t xml:space="preserve">develop health education </w:t>
      </w:r>
      <w:r w:rsidR="00390990">
        <w:rPr>
          <w:bCs/>
          <w:lang w:val="en-US"/>
        </w:rPr>
        <w:t xml:space="preserve">amongst university staff about </w:t>
      </w:r>
      <w:r w:rsidR="005C7702">
        <w:rPr>
          <w:bCs/>
          <w:lang w:val="en-US"/>
        </w:rPr>
        <w:t>long-term conditions</w:t>
      </w:r>
      <w:r w:rsidR="00390990">
        <w:rPr>
          <w:bCs/>
          <w:lang w:val="en-US"/>
        </w:rPr>
        <w:t xml:space="preserve"> and to ensure these </w:t>
      </w:r>
      <w:r w:rsidR="00AF3E50">
        <w:rPr>
          <w:bCs/>
          <w:lang w:val="en-US"/>
        </w:rPr>
        <w:t>students</w:t>
      </w:r>
      <w:r w:rsidR="006C578E">
        <w:rPr>
          <w:bCs/>
          <w:lang w:val="en-US"/>
        </w:rPr>
        <w:t xml:space="preserve"> are</w:t>
      </w:r>
      <w:r w:rsidR="00390990">
        <w:rPr>
          <w:bCs/>
          <w:lang w:val="en-US"/>
        </w:rPr>
        <w:t xml:space="preserve"> supported</w:t>
      </w:r>
      <w:r>
        <w:rPr>
          <w:bCs/>
          <w:lang w:val="en-US"/>
        </w:rPr>
        <w:t xml:space="preserve"> </w:t>
      </w:r>
      <w:r w:rsidR="00CF6D40">
        <w:rPr>
          <w:bCs/>
          <w:lang w:val="en-US"/>
        </w:rPr>
        <w:t>with their health at university</w:t>
      </w:r>
      <w:r w:rsidR="00390990">
        <w:rPr>
          <w:bCs/>
          <w:lang w:val="en-US"/>
        </w:rPr>
        <w:t xml:space="preserve">.   </w:t>
      </w:r>
    </w:p>
    <w:p w14:paraId="366B688E" w14:textId="05DD34B0" w:rsidR="00C66E05" w:rsidRDefault="00A32B69" w:rsidP="00D43A10">
      <w:pPr>
        <w:spacing w:line="480" w:lineRule="auto"/>
        <w:rPr>
          <w:bCs/>
          <w:lang w:val="en-US"/>
        </w:rPr>
      </w:pPr>
      <w:r w:rsidRPr="00111E3C">
        <w:rPr>
          <w:b/>
          <w:bCs/>
          <w:lang w:val="en-US"/>
        </w:rPr>
        <w:lastRenderedPageBreak/>
        <w:t>Keywords</w:t>
      </w:r>
      <w:r>
        <w:rPr>
          <w:bCs/>
          <w:lang w:val="en-US"/>
        </w:rPr>
        <w:t>:</w:t>
      </w:r>
      <w:r w:rsidR="0097178D">
        <w:rPr>
          <w:bCs/>
          <w:lang w:val="en-US"/>
        </w:rPr>
        <w:t xml:space="preserve"> chronic illness; disability; long-term conditions; mental health</w:t>
      </w:r>
      <w:r w:rsidR="00111E3C">
        <w:rPr>
          <w:bCs/>
          <w:lang w:val="en-US"/>
        </w:rPr>
        <w:t xml:space="preserve">; </w:t>
      </w:r>
      <w:r w:rsidR="00111E3C" w:rsidRPr="00111E3C">
        <w:rPr>
          <w:bCs/>
          <w:lang w:val="en-US"/>
        </w:rPr>
        <w:t xml:space="preserve">university students; </w:t>
      </w:r>
      <w:r w:rsidR="00111E3C">
        <w:rPr>
          <w:bCs/>
          <w:lang w:val="en-US"/>
        </w:rPr>
        <w:t>wellbeing.</w:t>
      </w:r>
    </w:p>
    <w:p w14:paraId="123B08BA" w14:textId="77777777" w:rsidR="006C578E" w:rsidRDefault="006C578E" w:rsidP="00D43A10">
      <w:pPr>
        <w:spacing w:line="480" w:lineRule="auto"/>
        <w:rPr>
          <w:bCs/>
          <w:lang w:val="en-US"/>
        </w:rPr>
      </w:pPr>
    </w:p>
    <w:p w14:paraId="63F2AC47" w14:textId="2428FD92" w:rsidR="00186B53" w:rsidRDefault="00EA7E2F" w:rsidP="00D43A10">
      <w:pPr>
        <w:spacing w:line="480" w:lineRule="auto"/>
        <w:rPr>
          <w:bCs/>
          <w:lang w:val="en-US"/>
        </w:rPr>
      </w:pPr>
      <w:r w:rsidRPr="00EA7E2F">
        <w:rPr>
          <w:b/>
          <w:lang w:val="en-US"/>
        </w:rPr>
        <w:t>Article Classification</w:t>
      </w:r>
      <w:r>
        <w:rPr>
          <w:bCs/>
          <w:lang w:val="en-US"/>
        </w:rPr>
        <w:t xml:space="preserve">: </w:t>
      </w:r>
      <w:r w:rsidR="00186B53">
        <w:rPr>
          <w:bCs/>
          <w:lang w:val="en-US"/>
        </w:rPr>
        <w:t>Original article</w:t>
      </w:r>
      <w:r>
        <w:rPr>
          <w:bCs/>
          <w:lang w:val="en-US"/>
        </w:rPr>
        <w:t>.</w:t>
      </w:r>
    </w:p>
    <w:p w14:paraId="5A699DD8" w14:textId="77777777" w:rsidR="006C578E" w:rsidRDefault="006C578E" w:rsidP="00D43A10">
      <w:pPr>
        <w:spacing w:line="480" w:lineRule="auto"/>
        <w:rPr>
          <w:bCs/>
          <w:lang w:val="en-US"/>
        </w:rPr>
      </w:pPr>
    </w:p>
    <w:p w14:paraId="167B16C8" w14:textId="1C1099CC" w:rsidR="00114534" w:rsidRDefault="00114534" w:rsidP="00130744">
      <w:pPr>
        <w:pStyle w:val="Heading1"/>
      </w:pPr>
      <w:r w:rsidRPr="00E13E45">
        <w:t>Introduction</w:t>
      </w:r>
    </w:p>
    <w:p w14:paraId="60805AE7" w14:textId="3337864E" w:rsidR="00990ECD" w:rsidRDefault="00B60677" w:rsidP="00D43A10">
      <w:pPr>
        <w:spacing w:line="480" w:lineRule="auto"/>
      </w:pPr>
      <w:r>
        <w:rPr>
          <w:bCs/>
          <w:lang w:val="en-US"/>
        </w:rPr>
        <w:t>Supporting t</w:t>
      </w:r>
      <w:r w:rsidR="00990ECD" w:rsidRPr="00E13E45">
        <w:rPr>
          <w:bCs/>
          <w:lang w:val="en-US"/>
        </w:rPr>
        <w:t xml:space="preserve">he mental health of university students </w:t>
      </w:r>
      <w:r>
        <w:rPr>
          <w:bCs/>
          <w:lang w:val="en-US"/>
        </w:rPr>
        <w:t xml:space="preserve">is a </w:t>
      </w:r>
      <w:r w:rsidR="00B81ADD">
        <w:rPr>
          <w:bCs/>
          <w:lang w:val="en-US"/>
        </w:rPr>
        <w:t>key</w:t>
      </w:r>
      <w:r>
        <w:rPr>
          <w:bCs/>
          <w:lang w:val="en-US"/>
        </w:rPr>
        <w:t xml:space="preserve"> priority for the </w:t>
      </w:r>
      <w:r w:rsidR="00B81ADD">
        <w:rPr>
          <w:bCs/>
          <w:lang w:val="en-US"/>
        </w:rPr>
        <w:t xml:space="preserve">UK </w:t>
      </w:r>
      <w:r>
        <w:rPr>
          <w:bCs/>
          <w:lang w:val="en-US"/>
        </w:rPr>
        <w:t>higher education sector</w:t>
      </w:r>
      <w:r w:rsidR="00990ECD" w:rsidRPr="00E13E45">
        <w:rPr>
          <w:bCs/>
          <w:lang w:val="en-US"/>
        </w:rPr>
        <w:t xml:space="preserve"> (</w:t>
      </w:r>
      <w:proofErr w:type="gramStart"/>
      <w:r w:rsidR="00990ECD" w:rsidRPr="00E13E45">
        <w:rPr>
          <w:bCs/>
          <w:lang w:val="en-US"/>
        </w:rPr>
        <w:t>e.g.</w:t>
      </w:r>
      <w:proofErr w:type="gramEnd"/>
      <w:r w:rsidR="00990ECD" w:rsidRPr="00E13E45">
        <w:rPr>
          <w:bCs/>
          <w:lang w:val="en-US"/>
        </w:rPr>
        <w:t xml:space="preserve"> Universities UK</w:t>
      </w:r>
      <w:r w:rsidR="006C578E">
        <w:rPr>
          <w:bCs/>
          <w:lang w:val="en-US"/>
        </w:rPr>
        <w:t>,</w:t>
      </w:r>
      <w:r w:rsidR="00990ECD" w:rsidRPr="00E13E45">
        <w:rPr>
          <w:bCs/>
          <w:lang w:val="en-US"/>
        </w:rPr>
        <w:t xml:space="preserve"> 2015; Department of Health/Department for Education</w:t>
      </w:r>
      <w:r w:rsidR="006C578E">
        <w:rPr>
          <w:bCs/>
          <w:lang w:val="en-US"/>
        </w:rPr>
        <w:t>,</w:t>
      </w:r>
      <w:r w:rsidR="00990ECD" w:rsidRPr="00E13E45">
        <w:rPr>
          <w:bCs/>
          <w:lang w:val="en-US"/>
        </w:rPr>
        <w:t xml:space="preserve"> 2017)</w:t>
      </w:r>
      <w:r w:rsidR="00990ECD" w:rsidRPr="00E13E45">
        <w:t xml:space="preserve">. For many young </w:t>
      </w:r>
      <w:r>
        <w:t>adults</w:t>
      </w:r>
      <w:r w:rsidR="00990ECD" w:rsidRPr="00E13E45">
        <w:t>, beginning university represents a</w:t>
      </w:r>
      <w:r>
        <w:t xml:space="preserve">n important </w:t>
      </w:r>
      <w:r w:rsidR="00990ECD" w:rsidRPr="00E13E45">
        <w:t>transition</w:t>
      </w:r>
      <w:r>
        <w:t xml:space="preserve"> point with significant</w:t>
      </w:r>
      <w:r w:rsidR="00990ECD" w:rsidRPr="00E13E45">
        <w:t xml:space="preserve"> changes </w:t>
      </w:r>
      <w:r>
        <w:t>to personal, family and social relati</w:t>
      </w:r>
      <w:r w:rsidR="00AD1E7D">
        <w:t xml:space="preserve">onships and living situations. </w:t>
      </w:r>
      <w:r>
        <w:t>Coupled with academic demands, such changes have triggered concerns about the impacts on students’ mental health at university</w:t>
      </w:r>
      <w:r w:rsidR="006C578E">
        <w:t xml:space="preserve"> (</w:t>
      </w:r>
      <w:r w:rsidR="002377EE">
        <w:t xml:space="preserve">Wilcox </w:t>
      </w:r>
      <w:r w:rsidR="002377EE" w:rsidRPr="00A0279C">
        <w:rPr>
          <w:i/>
        </w:rPr>
        <w:t>et al</w:t>
      </w:r>
      <w:r w:rsidR="00AD1E7D">
        <w:t>.</w:t>
      </w:r>
      <w:r w:rsidR="002377EE">
        <w:t>, 2005)</w:t>
      </w:r>
      <w:r w:rsidR="00CF6D40">
        <w:t xml:space="preserve"> and there are increasing calls to develop new forms of health education and mental health promotion to better support students.  </w:t>
      </w:r>
    </w:p>
    <w:p w14:paraId="277BF726" w14:textId="77777777" w:rsidR="00583AEE" w:rsidRPr="00E13E45" w:rsidRDefault="00583AEE" w:rsidP="00D43A10">
      <w:pPr>
        <w:spacing w:line="480" w:lineRule="auto"/>
      </w:pPr>
    </w:p>
    <w:p w14:paraId="3475E736" w14:textId="705A811A" w:rsidR="00990ECD" w:rsidRPr="00E13E45" w:rsidRDefault="00A3216B" w:rsidP="00D43A10">
      <w:pPr>
        <w:spacing w:line="480" w:lineRule="auto"/>
        <w:rPr>
          <w:bCs/>
          <w:lang w:val="en-US"/>
        </w:rPr>
      </w:pPr>
      <w:r w:rsidRPr="00561425">
        <w:t xml:space="preserve">Despite </w:t>
      </w:r>
      <w:r w:rsidR="00CD7EC6" w:rsidRPr="00561425">
        <w:t xml:space="preserve">an </w:t>
      </w:r>
      <w:r w:rsidRPr="00561425">
        <w:t xml:space="preserve">increasing </w:t>
      </w:r>
      <w:r w:rsidR="00CD7EC6" w:rsidRPr="00561425">
        <w:t>focus on</w:t>
      </w:r>
      <w:r w:rsidRPr="00561425">
        <w:t xml:space="preserve"> mental health, relatively little attention has been directed towards students with a long-term physical health condition and how this may affect their </w:t>
      </w:r>
      <w:r w:rsidR="00AD1E7D" w:rsidRPr="00561425">
        <w:t>mental wellbeing</w:t>
      </w:r>
      <w:r w:rsidR="00CF6D40" w:rsidRPr="00561425">
        <w:t xml:space="preserve"> or the additional forms of support these students might need</w:t>
      </w:r>
      <w:r w:rsidR="00AD1E7D" w:rsidRPr="00561425">
        <w:t>.</w:t>
      </w:r>
      <w:r w:rsidR="00CD0EF1" w:rsidRPr="00561425">
        <w:t xml:space="preserve">  </w:t>
      </w:r>
      <w:r w:rsidR="00CD0EF1">
        <w:t xml:space="preserve">Indeed, there is a paucity of research that focuses specifically on the mental health of students </w:t>
      </w:r>
      <w:r w:rsidR="00702AEB">
        <w:t xml:space="preserve">living </w:t>
      </w:r>
      <w:r w:rsidR="00CD0EF1">
        <w:t>with chronic conditions</w:t>
      </w:r>
      <w:r w:rsidR="00A0279C">
        <w:t xml:space="preserve"> (some exceptions are discussed shortly).</w:t>
      </w:r>
      <w:r w:rsidR="00AD1E7D">
        <w:t xml:space="preserve"> </w:t>
      </w:r>
      <w:r w:rsidR="00990ECD" w:rsidRPr="00E13E45">
        <w:t>Long-term conditions (LTCs)</w:t>
      </w:r>
      <w:r w:rsidR="00C71529">
        <w:t>,</w:t>
      </w:r>
      <w:r w:rsidR="00A138C1">
        <w:t xml:space="preserve"> such as</w:t>
      </w:r>
      <w:r>
        <w:t xml:space="preserve"> </w:t>
      </w:r>
      <w:r w:rsidR="00990ECD" w:rsidRPr="00E13E45">
        <w:t xml:space="preserve">epilepsy, diabetes, </w:t>
      </w:r>
      <w:r w:rsidR="006C578E" w:rsidRPr="00E13E45">
        <w:t>autoimmune</w:t>
      </w:r>
      <w:r w:rsidR="00990ECD" w:rsidRPr="00E13E45">
        <w:t xml:space="preserve"> disorders and asthma</w:t>
      </w:r>
      <w:r w:rsidR="00C71529">
        <w:t>,</w:t>
      </w:r>
      <w:r w:rsidR="00A138C1">
        <w:t xml:space="preserve"> </w:t>
      </w:r>
      <w:r w:rsidR="00C14D4A">
        <w:t xml:space="preserve">often </w:t>
      </w:r>
      <w:r w:rsidR="00990ECD" w:rsidRPr="00E13E45">
        <w:t>require management of complex symptoms and treatme</w:t>
      </w:r>
      <w:r w:rsidR="000447BB" w:rsidRPr="00E13E45">
        <w:t>nts (Department of Health: DH</w:t>
      </w:r>
      <w:r w:rsidR="00990ECD" w:rsidRPr="00E13E45">
        <w:t xml:space="preserve"> 2012). </w:t>
      </w:r>
      <w:r w:rsidR="00AD1E7D">
        <w:t>Research with young adults has found that l</w:t>
      </w:r>
      <w:r w:rsidR="00990ECD" w:rsidRPr="00E13E45">
        <w:t xml:space="preserve">iving with LTCs </w:t>
      </w:r>
      <w:r w:rsidR="00281B69">
        <w:t>can lead</w:t>
      </w:r>
      <w:r w:rsidR="00990ECD" w:rsidRPr="00E13E45">
        <w:t xml:space="preserve"> to poor</w:t>
      </w:r>
      <w:r w:rsidR="00A138C1">
        <w:t>er</w:t>
      </w:r>
      <w:r w:rsidR="00990ECD" w:rsidRPr="00E13E45">
        <w:t xml:space="preserve"> mental wellbeing due to pain, fear for the fu</w:t>
      </w:r>
      <w:r w:rsidR="00FD32C0" w:rsidRPr="00E13E45">
        <w:t>ture, stigma, social isolation</w:t>
      </w:r>
      <w:r w:rsidR="00990ECD" w:rsidRPr="00E13E45">
        <w:t xml:space="preserve">, and struggling to adapt to changes to lifestyle and </w:t>
      </w:r>
      <w:r w:rsidR="00990ECD" w:rsidRPr="00E13E45">
        <w:lastRenderedPageBreak/>
        <w:t>identity</w:t>
      </w:r>
      <w:r w:rsidR="000447BB" w:rsidRPr="00E13E45">
        <w:t xml:space="preserve"> (e.g. </w:t>
      </w:r>
      <w:proofErr w:type="spellStart"/>
      <w:r w:rsidR="00A70B29" w:rsidRPr="00E13E45">
        <w:t>Tunnicliffe</w:t>
      </w:r>
      <w:proofErr w:type="spellEnd"/>
      <w:r w:rsidR="00A70B29" w:rsidRPr="00E13E45">
        <w:t xml:space="preserve"> </w:t>
      </w:r>
      <w:r w:rsidR="00A70B29" w:rsidRPr="006C578E">
        <w:rPr>
          <w:i/>
          <w:iCs/>
        </w:rPr>
        <w:t>et al</w:t>
      </w:r>
      <w:r w:rsidR="00A70B29" w:rsidRPr="00E13E45">
        <w:t>.</w:t>
      </w:r>
      <w:r w:rsidR="006C578E">
        <w:t xml:space="preserve">, </w:t>
      </w:r>
      <w:r w:rsidR="00A70B29" w:rsidRPr="00E13E45">
        <w:t>2016; Wilson and</w:t>
      </w:r>
      <w:r w:rsidR="000447BB" w:rsidRPr="00E13E45">
        <w:t xml:space="preserve"> Stock</w:t>
      </w:r>
      <w:r w:rsidR="006C578E">
        <w:t xml:space="preserve">, </w:t>
      </w:r>
      <w:r w:rsidR="00A70B29" w:rsidRPr="00E13E45">
        <w:t>2019</w:t>
      </w:r>
      <w:r w:rsidR="00990ECD" w:rsidRPr="00E13E45">
        <w:t xml:space="preserve">). </w:t>
      </w:r>
      <w:r w:rsidR="00C14D4A">
        <w:t xml:space="preserve">The added stresses and pressures of </w:t>
      </w:r>
      <w:r w:rsidR="00990ECD" w:rsidRPr="00E13E45">
        <w:t>university life</w:t>
      </w:r>
      <w:r w:rsidR="00AD1E7D">
        <w:t xml:space="preserve"> may well have</w:t>
      </w:r>
      <w:r w:rsidR="00990ECD" w:rsidRPr="00E13E45">
        <w:t xml:space="preserve"> greater impacts on </w:t>
      </w:r>
      <w:r w:rsidR="00AD5FF9">
        <w:t xml:space="preserve">the </w:t>
      </w:r>
      <w:r w:rsidR="00990ECD" w:rsidRPr="00E13E45">
        <w:t>mental health</w:t>
      </w:r>
      <w:r w:rsidR="00AD5FF9">
        <w:t xml:space="preserve"> of</w:t>
      </w:r>
      <w:r w:rsidR="00315255">
        <w:t xml:space="preserve"> young adults with LTCs</w:t>
      </w:r>
      <w:r w:rsidR="00A138C1">
        <w:t xml:space="preserve"> and there is a need for universities to consider how health education might be enhanced to better support the needs of these students</w:t>
      </w:r>
      <w:r w:rsidR="00990ECD" w:rsidRPr="00E13E45">
        <w:t xml:space="preserve">. </w:t>
      </w:r>
    </w:p>
    <w:p w14:paraId="2A33C48E" w14:textId="77777777" w:rsidR="00990ECD" w:rsidRPr="00E13E45" w:rsidRDefault="00990ECD" w:rsidP="00D43A10">
      <w:pPr>
        <w:spacing w:line="480" w:lineRule="auto"/>
        <w:rPr>
          <w:bCs/>
          <w:lang w:val="en-US"/>
        </w:rPr>
      </w:pPr>
    </w:p>
    <w:p w14:paraId="21A2A31B" w14:textId="3BB22D18" w:rsidR="00112AAF" w:rsidRDefault="00990ECD" w:rsidP="00D43A10">
      <w:pPr>
        <w:spacing w:line="480" w:lineRule="auto"/>
      </w:pPr>
      <w:r w:rsidRPr="00E13E45">
        <w:t>In the UK</w:t>
      </w:r>
      <w:r w:rsidR="00C14D4A">
        <w:t>,</w:t>
      </w:r>
      <w:r w:rsidRPr="00E13E45">
        <w:t xml:space="preserve"> one-in-five young people aged 16-24 </w:t>
      </w:r>
      <w:r w:rsidR="00C14D4A">
        <w:t xml:space="preserve">years </w:t>
      </w:r>
      <w:r w:rsidRPr="00E13E45">
        <w:t xml:space="preserve">live with at least one LTC (Shah </w:t>
      </w:r>
      <w:r w:rsidRPr="006C578E">
        <w:rPr>
          <w:i/>
          <w:iCs/>
        </w:rPr>
        <w:t>et al</w:t>
      </w:r>
      <w:r w:rsidRPr="00E13E45">
        <w:t>.</w:t>
      </w:r>
      <w:r w:rsidR="006C578E">
        <w:t>,</w:t>
      </w:r>
      <w:r w:rsidRPr="00E13E45">
        <w:t xml:space="preserve"> 2019). The Higher Education Student Statistics Agency (HESA</w:t>
      </w:r>
      <w:r w:rsidR="006C578E">
        <w:t>,</w:t>
      </w:r>
      <w:r w:rsidR="000447BB" w:rsidRPr="00E13E45">
        <w:t xml:space="preserve"> </w:t>
      </w:r>
      <w:r w:rsidR="00851C48" w:rsidRPr="00E13E45">
        <w:t>2019</w:t>
      </w:r>
      <w:r w:rsidRPr="00E13E45">
        <w:t>) report</w:t>
      </w:r>
      <w:r w:rsidR="00B646FC">
        <w:t>ed</w:t>
      </w:r>
      <w:r w:rsidRPr="00E13E45">
        <w:t xml:space="preserve"> that in 2018/19</w:t>
      </w:r>
      <w:r w:rsidR="00ED35DC" w:rsidRPr="00E13E45">
        <w:t>,</w:t>
      </w:r>
      <w:r w:rsidRPr="00E13E45">
        <w:t xml:space="preserve"> 14% of UK students declared that they had a disability. </w:t>
      </w:r>
      <w:r w:rsidR="00C14D4A">
        <w:t>Yet, evidence suggests that this is likely to be a</w:t>
      </w:r>
      <w:r w:rsidR="00A138C1">
        <w:t xml:space="preserve"> gross</w:t>
      </w:r>
      <w:r w:rsidR="00C14D4A">
        <w:t xml:space="preserve"> underrepresentation of the numbers of students with LTCs because of complex issues tied to disclosure and the term ‘disability’</w:t>
      </w:r>
      <w:r w:rsidR="00B646FC">
        <w:t>, which many student</w:t>
      </w:r>
      <w:r w:rsidR="00C255FA">
        <w:t>s with chronic conditions</w:t>
      </w:r>
      <w:r w:rsidR="00B646FC">
        <w:t xml:space="preserve"> do not see as being relevant to them</w:t>
      </w:r>
      <w:r w:rsidR="00C14D4A">
        <w:t xml:space="preserve"> (Grimes </w:t>
      </w:r>
      <w:r w:rsidR="00C14D4A" w:rsidRPr="006C578E">
        <w:rPr>
          <w:i/>
          <w:iCs/>
        </w:rPr>
        <w:t>et al</w:t>
      </w:r>
      <w:r w:rsidR="006C578E">
        <w:rPr>
          <w:i/>
          <w:iCs/>
        </w:rPr>
        <w:t>.,</w:t>
      </w:r>
      <w:r w:rsidR="00C14D4A">
        <w:t xml:space="preserve"> 2019, Spencer </w:t>
      </w:r>
      <w:r w:rsidR="00C14D4A" w:rsidRPr="006C578E">
        <w:rPr>
          <w:i/>
          <w:iCs/>
        </w:rPr>
        <w:t>et al</w:t>
      </w:r>
      <w:r w:rsidR="00C14D4A">
        <w:t>.</w:t>
      </w:r>
      <w:r w:rsidR="006C578E">
        <w:t>,</w:t>
      </w:r>
      <w:r w:rsidR="00C14D4A">
        <w:t xml:space="preserve"> 2018, 2019). </w:t>
      </w:r>
      <w:r w:rsidR="00B646FC">
        <w:t>Under reporting of</w:t>
      </w:r>
      <w:r w:rsidR="002377EE">
        <w:t xml:space="preserve"> LTCs </w:t>
      </w:r>
      <w:r w:rsidR="005440D2">
        <w:t xml:space="preserve">is likely to </w:t>
      </w:r>
      <w:r w:rsidR="002377EE">
        <w:t xml:space="preserve">mean that </w:t>
      </w:r>
      <w:r w:rsidR="005440D2">
        <w:t xml:space="preserve">many </w:t>
      </w:r>
      <w:r w:rsidR="002377EE">
        <w:t xml:space="preserve">students </w:t>
      </w:r>
      <w:r w:rsidR="005440D2">
        <w:t>do</w:t>
      </w:r>
      <w:r w:rsidR="00980AB9">
        <w:t xml:space="preserve"> not receive</w:t>
      </w:r>
      <w:r w:rsidR="002377EE">
        <w:t xml:space="preserve"> appropriate support for their health. </w:t>
      </w:r>
      <w:r w:rsidR="005440D2">
        <w:t>Other r</w:t>
      </w:r>
      <w:r w:rsidR="00583AEE">
        <w:t>esearch indicates</w:t>
      </w:r>
      <w:r w:rsidR="002377EE">
        <w:t xml:space="preserve"> </w:t>
      </w:r>
      <w:r w:rsidR="005440D2">
        <w:t>how</w:t>
      </w:r>
      <w:r w:rsidR="00112AAF">
        <w:t xml:space="preserve"> fear of</w:t>
      </w:r>
      <w:r w:rsidR="002377EE">
        <w:t xml:space="preserve"> stigma and labelling </w:t>
      </w:r>
      <w:r w:rsidR="005440D2">
        <w:t xml:space="preserve">as ‘different’ </w:t>
      </w:r>
      <w:r w:rsidR="002377EE">
        <w:t>deter</w:t>
      </w:r>
      <w:r w:rsidR="00583AEE">
        <w:t>s</w:t>
      </w:r>
      <w:r w:rsidR="002377EE">
        <w:t xml:space="preserve"> students with LTCs from disclosing their conditions and seeking support (e.g. </w:t>
      </w:r>
      <w:r w:rsidR="00A70B29" w:rsidRPr="00E13E45">
        <w:rPr>
          <w:color w:val="000000"/>
        </w:rPr>
        <w:t xml:space="preserve">Hill </w:t>
      </w:r>
      <w:r w:rsidR="00A70B29" w:rsidRPr="006C578E">
        <w:rPr>
          <w:i/>
          <w:iCs/>
          <w:color w:val="000000"/>
        </w:rPr>
        <w:t>et al.</w:t>
      </w:r>
      <w:r w:rsidR="006C578E">
        <w:rPr>
          <w:i/>
          <w:iCs/>
          <w:color w:val="000000"/>
        </w:rPr>
        <w:t>,</w:t>
      </w:r>
      <w:r w:rsidR="00A70B29" w:rsidRPr="00E13E45">
        <w:rPr>
          <w:color w:val="000000"/>
        </w:rPr>
        <w:t xml:space="preserve"> 2013;</w:t>
      </w:r>
      <w:r w:rsidR="000447BB" w:rsidRPr="00E13E45">
        <w:t xml:space="preserve"> </w:t>
      </w:r>
      <w:r w:rsidR="00A70B29" w:rsidRPr="00E13E45">
        <w:t xml:space="preserve">Sheridan </w:t>
      </w:r>
      <w:r w:rsidR="00A70B29" w:rsidRPr="006C578E">
        <w:rPr>
          <w:i/>
          <w:iCs/>
        </w:rPr>
        <w:t>et al.</w:t>
      </w:r>
      <w:r w:rsidR="006C578E">
        <w:rPr>
          <w:i/>
          <w:iCs/>
        </w:rPr>
        <w:t>,</w:t>
      </w:r>
      <w:r w:rsidR="00A70B29" w:rsidRPr="00E13E45">
        <w:t xml:space="preserve"> 2016; </w:t>
      </w:r>
      <w:proofErr w:type="spellStart"/>
      <w:r w:rsidR="00A70B29" w:rsidRPr="00E13E45">
        <w:rPr>
          <w:color w:val="000000"/>
        </w:rPr>
        <w:t>Habenicht</w:t>
      </w:r>
      <w:proofErr w:type="spellEnd"/>
      <w:r w:rsidR="00A70B29" w:rsidRPr="00E13E45">
        <w:rPr>
          <w:color w:val="000000"/>
        </w:rPr>
        <w:t xml:space="preserve"> </w:t>
      </w:r>
      <w:r w:rsidR="00A70B29" w:rsidRPr="006C578E">
        <w:rPr>
          <w:i/>
          <w:iCs/>
          <w:color w:val="000000"/>
        </w:rPr>
        <w:t>et al.</w:t>
      </w:r>
      <w:r w:rsidR="006C578E">
        <w:rPr>
          <w:i/>
          <w:iCs/>
          <w:color w:val="000000"/>
        </w:rPr>
        <w:t xml:space="preserve">, </w:t>
      </w:r>
      <w:r w:rsidR="00A70B29" w:rsidRPr="00E13E45">
        <w:rPr>
          <w:color w:val="000000"/>
        </w:rPr>
        <w:t xml:space="preserve">2018; </w:t>
      </w:r>
      <w:r w:rsidRPr="00E13E45">
        <w:t>Thompso</w:t>
      </w:r>
      <w:r w:rsidR="000447BB" w:rsidRPr="00E13E45">
        <w:t>n-</w:t>
      </w:r>
      <w:proofErr w:type="spellStart"/>
      <w:r w:rsidR="000447BB" w:rsidRPr="00E13E45">
        <w:t>Ebanks</w:t>
      </w:r>
      <w:proofErr w:type="spellEnd"/>
      <w:r w:rsidR="000447BB" w:rsidRPr="00E13E45">
        <w:t xml:space="preserve"> and </w:t>
      </w:r>
      <w:proofErr w:type="spellStart"/>
      <w:r w:rsidR="000447BB" w:rsidRPr="00E13E45">
        <w:t>Jarman</w:t>
      </w:r>
      <w:proofErr w:type="spellEnd"/>
      <w:r w:rsidR="006C578E">
        <w:t>,</w:t>
      </w:r>
      <w:r w:rsidR="00A70B29" w:rsidRPr="00E13E45">
        <w:t xml:space="preserve"> 2018</w:t>
      </w:r>
      <w:r w:rsidRPr="00E13E45">
        <w:t xml:space="preserve">). </w:t>
      </w:r>
      <w:r w:rsidR="00112AAF">
        <w:t>Indeed, a recent survey found</w:t>
      </w:r>
      <w:r w:rsidR="006C578E">
        <w:t xml:space="preserve"> that 91% of 584 students with T</w:t>
      </w:r>
      <w:r w:rsidR="00112AAF">
        <w:t xml:space="preserve">ype 1 diabetes </w:t>
      </w:r>
      <w:r w:rsidR="00A138C1">
        <w:t xml:space="preserve">had </w:t>
      </w:r>
      <w:r w:rsidR="00112AAF">
        <w:t>never or rarely contact</w:t>
      </w:r>
      <w:r w:rsidR="00980AB9">
        <w:t>ed</w:t>
      </w:r>
      <w:r w:rsidR="00112AAF">
        <w:t xml:space="preserve"> university support services (Kellett </w:t>
      </w:r>
      <w:r w:rsidR="00112AAF" w:rsidRPr="00A0279C">
        <w:rPr>
          <w:i/>
        </w:rPr>
        <w:t>et al</w:t>
      </w:r>
      <w:r w:rsidR="00112AAF">
        <w:t>., 2018).</w:t>
      </w:r>
    </w:p>
    <w:p w14:paraId="1CDC129E" w14:textId="77777777" w:rsidR="00990ECD" w:rsidRPr="00E13E45" w:rsidRDefault="00990ECD" w:rsidP="00D43A10">
      <w:pPr>
        <w:spacing w:line="480" w:lineRule="auto"/>
        <w:rPr>
          <w:b/>
        </w:rPr>
      </w:pPr>
    </w:p>
    <w:p w14:paraId="2FF9EB90" w14:textId="7C72606A" w:rsidR="00070D7F" w:rsidRDefault="00990ECD" w:rsidP="00D43A10">
      <w:pPr>
        <w:spacing w:line="480" w:lineRule="auto"/>
      </w:pPr>
      <w:r w:rsidRPr="00E13E45">
        <w:t>A small body of research has explored the prevalence of mental health difficulties amongst students living with LTCs. Studies have shown that university students with LTCs have increased feelings of loneliness, depression and anxiety, decreased quality of life, and are less likely to graduate compared</w:t>
      </w:r>
      <w:r w:rsidR="000447BB" w:rsidRPr="00E13E45">
        <w:t xml:space="preserve"> to healthy peers (</w:t>
      </w:r>
      <w:r w:rsidR="00A70B29" w:rsidRPr="00E13E45">
        <w:t xml:space="preserve">Maslow </w:t>
      </w:r>
      <w:r w:rsidR="006C578E">
        <w:rPr>
          <w:i/>
          <w:iCs/>
        </w:rPr>
        <w:t>et al.,</w:t>
      </w:r>
      <w:r w:rsidR="00A70B29" w:rsidRPr="00E13E45">
        <w:t xml:space="preserve"> 2011; </w:t>
      </w:r>
      <w:r w:rsidR="000447BB" w:rsidRPr="00E13E45">
        <w:t xml:space="preserve">Herts </w:t>
      </w:r>
      <w:r w:rsidR="000447BB" w:rsidRPr="006C578E">
        <w:rPr>
          <w:i/>
          <w:iCs/>
        </w:rPr>
        <w:t>et al.</w:t>
      </w:r>
      <w:r w:rsidR="006C578E">
        <w:rPr>
          <w:i/>
          <w:iCs/>
        </w:rPr>
        <w:t>,</w:t>
      </w:r>
      <w:r w:rsidR="000447BB" w:rsidRPr="00E13E45">
        <w:t xml:space="preserve"> 2014; Mullins </w:t>
      </w:r>
      <w:r w:rsidR="000447BB" w:rsidRPr="006C578E">
        <w:rPr>
          <w:i/>
          <w:iCs/>
        </w:rPr>
        <w:t>et al.</w:t>
      </w:r>
      <w:r w:rsidR="006C578E">
        <w:rPr>
          <w:i/>
          <w:iCs/>
        </w:rPr>
        <w:t>,</w:t>
      </w:r>
      <w:r w:rsidRPr="00E13E45">
        <w:t xml:space="preserve"> 2017). </w:t>
      </w:r>
      <w:r w:rsidR="00ED35DC" w:rsidRPr="00E13E45">
        <w:t>Research specifically with students living with asthma also indicates that these students have</w:t>
      </w:r>
      <w:r w:rsidRPr="00E13E45">
        <w:t xml:space="preserve"> lower quality of life, lower social </w:t>
      </w:r>
      <w:r w:rsidRPr="00E13E45">
        <w:lastRenderedPageBreak/>
        <w:t xml:space="preserve">functioning, greater anxiety and distress, and </w:t>
      </w:r>
      <w:r w:rsidR="00A0279C">
        <w:t xml:space="preserve">have </w:t>
      </w:r>
      <w:r w:rsidRPr="00E13E45">
        <w:t>more missed university days compared to healthy peers (</w:t>
      </w:r>
      <w:proofErr w:type="spellStart"/>
      <w:r w:rsidR="00A70B29" w:rsidRPr="00E13E45">
        <w:t>Carpentier</w:t>
      </w:r>
      <w:proofErr w:type="spellEnd"/>
      <w:r w:rsidR="00A70B29" w:rsidRPr="00E13E45">
        <w:t xml:space="preserve"> </w:t>
      </w:r>
      <w:r w:rsidR="00A70B29" w:rsidRPr="006C578E">
        <w:rPr>
          <w:i/>
          <w:iCs/>
        </w:rPr>
        <w:t>et al.</w:t>
      </w:r>
      <w:r w:rsidR="006C578E">
        <w:rPr>
          <w:i/>
          <w:iCs/>
        </w:rPr>
        <w:t>,</w:t>
      </w:r>
      <w:r w:rsidR="00A70B29" w:rsidRPr="00E13E45">
        <w:t xml:space="preserve"> 2007; </w:t>
      </w:r>
      <w:r w:rsidRPr="00E13E45">
        <w:t xml:space="preserve">Fedele </w:t>
      </w:r>
      <w:r w:rsidRPr="006C578E">
        <w:rPr>
          <w:i/>
          <w:iCs/>
        </w:rPr>
        <w:t>et al</w:t>
      </w:r>
      <w:r w:rsidR="00A70B29" w:rsidRPr="006C578E">
        <w:rPr>
          <w:i/>
          <w:iCs/>
        </w:rPr>
        <w:t>.</w:t>
      </w:r>
      <w:r w:rsidR="006C578E">
        <w:rPr>
          <w:i/>
          <w:iCs/>
        </w:rPr>
        <w:t xml:space="preserve">, </w:t>
      </w:r>
      <w:r w:rsidR="00A70B29" w:rsidRPr="00E13E45">
        <w:t>2009</w:t>
      </w:r>
      <w:r w:rsidRPr="00E13E45">
        <w:t>). Additio</w:t>
      </w:r>
      <w:r w:rsidR="002F2B61" w:rsidRPr="00E13E45">
        <w:t xml:space="preserve">nally, students with </w:t>
      </w:r>
      <w:r w:rsidR="00B81ADD">
        <w:t>Irritable Bowel Syndrome (</w:t>
      </w:r>
      <w:r w:rsidR="002F2B61" w:rsidRPr="00E13E45">
        <w:t>IBS</w:t>
      </w:r>
      <w:r w:rsidR="00B81ADD">
        <w:t>)</w:t>
      </w:r>
      <w:r w:rsidRPr="00E13E45">
        <w:t xml:space="preserve"> have been found to </w:t>
      </w:r>
      <w:r w:rsidR="002F2B61" w:rsidRPr="00E13E45">
        <w:t>experience</w:t>
      </w:r>
      <w:r w:rsidRPr="00E13E45">
        <w:t xml:space="preserve"> increased mental strain and chronic stress compared to healthy p</w:t>
      </w:r>
      <w:r w:rsidR="000447BB" w:rsidRPr="00E13E45">
        <w:t>eers (</w:t>
      </w:r>
      <w:proofErr w:type="spellStart"/>
      <w:r w:rsidR="000447BB" w:rsidRPr="00E13E45">
        <w:t>Gulewitsch</w:t>
      </w:r>
      <w:proofErr w:type="spellEnd"/>
      <w:r w:rsidR="000447BB" w:rsidRPr="00E13E45">
        <w:t xml:space="preserve"> </w:t>
      </w:r>
      <w:r w:rsidR="006C578E">
        <w:rPr>
          <w:i/>
          <w:iCs/>
        </w:rPr>
        <w:t>et al.,</w:t>
      </w:r>
      <w:r w:rsidRPr="00E13E45">
        <w:t xml:space="preserve"> 2013). </w:t>
      </w:r>
      <w:r w:rsidR="00A138C1">
        <w:t xml:space="preserve">Other research with </w:t>
      </w:r>
      <w:r w:rsidR="005A5B32">
        <w:t>students with Type 1 diabetes</w:t>
      </w:r>
      <w:r w:rsidR="00A138C1">
        <w:t xml:space="preserve"> highlights the</w:t>
      </w:r>
      <w:r w:rsidR="005440D2">
        <w:t xml:space="preserve"> </w:t>
      </w:r>
      <w:r w:rsidR="00112AAF">
        <w:t xml:space="preserve">lack of awareness about </w:t>
      </w:r>
      <w:r w:rsidR="00A138C1">
        <w:t>LTCs, resulting in increased</w:t>
      </w:r>
      <w:r w:rsidR="005A5B32">
        <w:t xml:space="preserve"> anxiety</w:t>
      </w:r>
      <w:r w:rsidR="00490B22">
        <w:t xml:space="preserve"> (Kellet </w:t>
      </w:r>
      <w:r w:rsidR="00490B22">
        <w:rPr>
          <w:i/>
        </w:rPr>
        <w:t xml:space="preserve">et al. </w:t>
      </w:r>
      <w:r w:rsidR="00490B22">
        <w:t>2018)</w:t>
      </w:r>
      <w:r w:rsidR="00A138C1">
        <w:t>.  For these students,</w:t>
      </w:r>
      <w:r w:rsidR="005A5B32">
        <w:t xml:space="preserve"> not being believed</w:t>
      </w:r>
      <w:r w:rsidR="00A138C1">
        <w:t xml:space="preserve"> or having their conditions taken seriously adds to the </w:t>
      </w:r>
      <w:r w:rsidR="00112AAF">
        <w:t>struggle</w:t>
      </w:r>
      <w:r w:rsidR="00A138C1">
        <w:t>s they experience, all the while trying to navigate</w:t>
      </w:r>
      <w:r w:rsidR="00112AAF">
        <w:t xml:space="preserve"> </w:t>
      </w:r>
      <w:r w:rsidRPr="00E13E45">
        <w:t>academic demands</w:t>
      </w:r>
      <w:r w:rsidR="00A138C1">
        <w:t xml:space="preserve"> and </w:t>
      </w:r>
      <w:r w:rsidR="005A5B32">
        <w:t>inflexible</w:t>
      </w:r>
      <w:r w:rsidRPr="00E13E45">
        <w:t xml:space="preserve"> univ</w:t>
      </w:r>
      <w:r w:rsidR="00D77C40">
        <w:t>ersity environment</w:t>
      </w:r>
      <w:r w:rsidR="005440D2">
        <w:t>s and processes</w:t>
      </w:r>
      <w:r w:rsidR="00490B22">
        <w:t xml:space="preserve"> (Spencer </w:t>
      </w:r>
      <w:r w:rsidR="00490B22">
        <w:rPr>
          <w:i/>
        </w:rPr>
        <w:t xml:space="preserve">et al., </w:t>
      </w:r>
      <w:r w:rsidR="00490B22">
        <w:t>2018, 2019; Spencer and Almack</w:t>
      </w:r>
      <w:r w:rsidR="001603D1">
        <w:t>,</w:t>
      </w:r>
      <w:r w:rsidR="00490B22">
        <w:t xml:space="preserve"> 2022)</w:t>
      </w:r>
      <w:r w:rsidR="00A138C1">
        <w:t>.  Access to a university</w:t>
      </w:r>
      <w:r w:rsidR="00BB6535">
        <w:t xml:space="preserve"> </w:t>
      </w:r>
      <w:r w:rsidRPr="00E13E45">
        <w:t xml:space="preserve">support network (e.g. friends/peers, lecturers, disability services) is critical to their success at university </w:t>
      </w:r>
      <w:r w:rsidR="000447BB" w:rsidRPr="00E13E45">
        <w:t>(</w:t>
      </w:r>
      <w:r w:rsidR="00A70B29" w:rsidRPr="00E13E45">
        <w:t xml:space="preserve"> Balfe 2007, 2009a, 2009b; </w:t>
      </w:r>
      <w:r w:rsidR="000447BB" w:rsidRPr="00E13E45">
        <w:t xml:space="preserve">Hill </w:t>
      </w:r>
      <w:r w:rsidR="000447BB" w:rsidRPr="006C578E">
        <w:rPr>
          <w:i/>
          <w:iCs/>
        </w:rPr>
        <w:t>et al.</w:t>
      </w:r>
      <w:r w:rsidR="006C578E">
        <w:rPr>
          <w:i/>
          <w:iCs/>
        </w:rPr>
        <w:t>,</w:t>
      </w:r>
      <w:r w:rsidRPr="00E13E45">
        <w:t xml:space="preserve"> 2013; </w:t>
      </w:r>
      <w:r w:rsidR="000447BB" w:rsidRPr="00E13E45">
        <w:t xml:space="preserve">Fredette </w:t>
      </w:r>
      <w:r w:rsidR="000447BB" w:rsidRPr="006C578E">
        <w:rPr>
          <w:i/>
          <w:iCs/>
        </w:rPr>
        <w:t>et al.</w:t>
      </w:r>
      <w:r w:rsidR="006C578E">
        <w:rPr>
          <w:i/>
          <w:iCs/>
        </w:rPr>
        <w:t>,</w:t>
      </w:r>
      <w:r w:rsidRPr="00E13E45">
        <w:t xml:space="preserve"> 2016</w:t>
      </w:r>
      <w:r w:rsidR="000447BB" w:rsidRPr="00E13E45">
        <w:t xml:space="preserve">; </w:t>
      </w:r>
      <w:r w:rsidR="005A5B32">
        <w:t xml:space="preserve">Spencer </w:t>
      </w:r>
      <w:r w:rsidR="005A5B32" w:rsidRPr="006C578E">
        <w:rPr>
          <w:i/>
          <w:iCs/>
        </w:rPr>
        <w:t>et al.,</w:t>
      </w:r>
      <w:r w:rsidR="005A5B32">
        <w:t xml:space="preserve"> 2018, 2019; </w:t>
      </w:r>
      <w:r w:rsidR="000447BB" w:rsidRPr="00E13E45">
        <w:t xml:space="preserve">Saylor </w:t>
      </w:r>
      <w:r w:rsidR="000447BB" w:rsidRPr="006C578E">
        <w:rPr>
          <w:i/>
          <w:iCs/>
        </w:rPr>
        <w:t>et al.</w:t>
      </w:r>
      <w:r w:rsidR="006C578E">
        <w:rPr>
          <w:i/>
          <w:iCs/>
        </w:rPr>
        <w:t xml:space="preserve">, </w:t>
      </w:r>
      <w:r w:rsidRPr="00E13E45">
        <w:t xml:space="preserve">2019). </w:t>
      </w:r>
      <w:r w:rsidR="00AB4492">
        <w:t xml:space="preserve">A recent report from the </w:t>
      </w:r>
      <w:r w:rsidR="00A138C1">
        <w:t xml:space="preserve">UK’s </w:t>
      </w:r>
      <w:r w:rsidR="00A23515" w:rsidRPr="00E13E45">
        <w:t xml:space="preserve">Association of Young People’s Health (AYPH) </w:t>
      </w:r>
      <w:r w:rsidR="00AB4492">
        <w:t>call</w:t>
      </w:r>
      <w:r w:rsidR="009158FA">
        <w:t>s</w:t>
      </w:r>
      <w:r w:rsidR="00AB4492">
        <w:t xml:space="preserve"> for</w:t>
      </w:r>
      <w:r w:rsidR="006C578E">
        <w:t>,</w:t>
      </w:r>
      <w:r w:rsidR="009158FA">
        <w:t xml:space="preserve"> </w:t>
      </w:r>
      <w:r w:rsidR="00A23515" w:rsidRPr="00E13E45">
        <w:t>“a greater</w:t>
      </w:r>
      <w:r w:rsidR="00980AB9">
        <w:t xml:space="preserve"> </w:t>
      </w:r>
      <w:r w:rsidR="009158FA">
        <w:t>understanding…</w:t>
      </w:r>
      <w:r w:rsidR="00A23515" w:rsidRPr="00E13E45">
        <w:t>across…the Higher Education sector of the challenges that students face when managing a long-term condition” (</w:t>
      </w:r>
      <w:r w:rsidR="009E76BE" w:rsidRPr="00E13E45">
        <w:t xml:space="preserve">AYPH 2019 </w:t>
      </w:r>
      <w:r w:rsidR="00A23515" w:rsidRPr="00E13E45">
        <w:t>p.8).</w:t>
      </w:r>
      <w:r w:rsidR="00A138C1">
        <w:t xml:space="preserve"> Here, we see an important opportunity for university-based health education to </w:t>
      </w:r>
      <w:r w:rsidR="00BE406A">
        <w:t>enhance the support offered to these students.</w:t>
      </w:r>
    </w:p>
    <w:p w14:paraId="6C87621A" w14:textId="77777777" w:rsidR="003960F5" w:rsidRPr="00E13E45" w:rsidRDefault="003960F5" w:rsidP="00D43A10">
      <w:pPr>
        <w:spacing w:line="480" w:lineRule="auto"/>
      </w:pPr>
    </w:p>
    <w:p w14:paraId="404AC53A" w14:textId="06A7718B" w:rsidR="00D24DD9" w:rsidRDefault="00AB4492" w:rsidP="00B0370C">
      <w:pPr>
        <w:spacing w:line="480" w:lineRule="auto"/>
      </w:pPr>
      <w:r>
        <w:t xml:space="preserve">Against these concerns, this paper reports </w:t>
      </w:r>
      <w:r w:rsidR="006C578E">
        <w:t xml:space="preserve">survey </w:t>
      </w:r>
      <w:r>
        <w:t>findings from a</w:t>
      </w:r>
      <w:r w:rsidR="00BE406A">
        <w:t xml:space="preserve"> mixed-methods </w:t>
      </w:r>
      <w:r>
        <w:t xml:space="preserve">study that aimed to examine </w:t>
      </w:r>
      <w:r w:rsidR="00070D7F" w:rsidRPr="00E13E45">
        <w:t xml:space="preserve">the mental health needs of </w:t>
      </w:r>
      <w:r w:rsidR="002F2B61" w:rsidRPr="00E13E45">
        <w:t xml:space="preserve">university </w:t>
      </w:r>
      <w:r w:rsidR="00070D7F" w:rsidRPr="00E13E45">
        <w:t xml:space="preserve">students </w:t>
      </w:r>
      <w:r w:rsidR="002F2B61" w:rsidRPr="00E13E45">
        <w:t xml:space="preserve">living </w:t>
      </w:r>
      <w:r w:rsidR="00070D7F" w:rsidRPr="00E13E45">
        <w:t xml:space="preserve">with LTCs and </w:t>
      </w:r>
      <w:r>
        <w:t xml:space="preserve">to </w:t>
      </w:r>
      <w:r w:rsidR="00070D7F" w:rsidRPr="00E13E45">
        <w:t xml:space="preserve">identify </w:t>
      </w:r>
      <w:r>
        <w:t>relevant</w:t>
      </w:r>
      <w:r w:rsidR="00792271">
        <w:t xml:space="preserve"> </w:t>
      </w:r>
      <w:r w:rsidR="00070D7F" w:rsidRPr="00E13E45">
        <w:t xml:space="preserve">forms of support </w:t>
      </w:r>
      <w:r>
        <w:t xml:space="preserve">for these </w:t>
      </w:r>
      <w:r w:rsidR="00792271">
        <w:t>students whilst at university.</w:t>
      </w:r>
      <w:r w:rsidR="00B0370C" w:rsidRPr="00B0370C">
        <w:t xml:space="preserve"> </w:t>
      </w:r>
      <w:r w:rsidR="00A0279C">
        <w:t>D</w:t>
      </w:r>
      <w:r w:rsidR="00B0370C">
        <w:t>ata w</w:t>
      </w:r>
      <w:r w:rsidR="001B66A2">
        <w:t>ere</w:t>
      </w:r>
      <w:r w:rsidR="00B0370C">
        <w:t xml:space="preserve"> collected prior to the Covid-19 pandemic</w:t>
      </w:r>
      <w:r w:rsidR="00692E56">
        <w:t>.</w:t>
      </w:r>
    </w:p>
    <w:p w14:paraId="60A131D8" w14:textId="317005E6" w:rsidR="009158FA" w:rsidRDefault="009158FA" w:rsidP="00D43A10">
      <w:pPr>
        <w:spacing w:line="480" w:lineRule="auto"/>
      </w:pPr>
    </w:p>
    <w:p w14:paraId="319F06E5" w14:textId="3CD85DD4" w:rsidR="00056710" w:rsidRDefault="00056710" w:rsidP="00D43A10">
      <w:pPr>
        <w:spacing w:line="480" w:lineRule="auto"/>
      </w:pPr>
    </w:p>
    <w:p w14:paraId="5394514D" w14:textId="77777777" w:rsidR="00056710" w:rsidRDefault="00056710" w:rsidP="00D43A10">
      <w:pPr>
        <w:spacing w:line="480" w:lineRule="auto"/>
      </w:pPr>
    </w:p>
    <w:p w14:paraId="625A5D78" w14:textId="2FDC4C83" w:rsidR="001F1BD8" w:rsidRPr="00E13E45" w:rsidRDefault="00D43A10" w:rsidP="00130744">
      <w:pPr>
        <w:pStyle w:val="Heading1"/>
      </w:pPr>
      <w:r w:rsidRPr="00E13E45">
        <w:lastRenderedPageBreak/>
        <w:t>Materials and m</w:t>
      </w:r>
      <w:r w:rsidR="003354CE" w:rsidRPr="00E13E45">
        <w:t>ethods</w:t>
      </w:r>
    </w:p>
    <w:p w14:paraId="40547FCC" w14:textId="7EE66F9A" w:rsidR="00FE44BA" w:rsidRDefault="00BE406A" w:rsidP="00D43A10">
      <w:pPr>
        <w:spacing w:line="480" w:lineRule="auto"/>
      </w:pPr>
      <w:r>
        <w:t>I</w:t>
      </w:r>
      <w:r w:rsidR="001E42B2" w:rsidRPr="00E13E45">
        <w:t>n March 2019</w:t>
      </w:r>
      <w:r>
        <w:t>,</w:t>
      </w:r>
      <w:r w:rsidR="001E42B2" w:rsidRPr="00E13E45">
        <w:t xml:space="preserve"> w</w:t>
      </w:r>
      <w:r w:rsidR="003354CE" w:rsidRPr="00E13E45">
        <w:t>e launched a national survey targeting cur</w:t>
      </w:r>
      <w:r w:rsidR="00661520" w:rsidRPr="00E13E45">
        <w:t xml:space="preserve">rent </w:t>
      </w:r>
      <w:r w:rsidR="00792271">
        <w:t xml:space="preserve">UK </w:t>
      </w:r>
      <w:r w:rsidR="00661520" w:rsidRPr="00E13E45">
        <w:t xml:space="preserve">university students </w:t>
      </w:r>
      <w:r w:rsidR="00792271">
        <w:t xml:space="preserve">(undergraduate and postgraduate) </w:t>
      </w:r>
      <w:r w:rsidR="00661520" w:rsidRPr="00E13E45">
        <w:t xml:space="preserve">with </w:t>
      </w:r>
      <w:r w:rsidR="00D43A10" w:rsidRPr="00E13E45">
        <w:t>LTCs</w:t>
      </w:r>
      <w:r w:rsidR="00661520" w:rsidRPr="00E13E45">
        <w:t xml:space="preserve">. </w:t>
      </w:r>
      <w:r w:rsidR="00CB2D17">
        <w:t>Follow-up individual interviews were conducted with 1</w:t>
      </w:r>
      <w:r w:rsidR="00045D9D">
        <w:t>2</w:t>
      </w:r>
      <w:r w:rsidR="00CB2D17">
        <w:t xml:space="preserve"> participants</w:t>
      </w:r>
      <w:r>
        <w:t>; f</w:t>
      </w:r>
      <w:r w:rsidR="00045D9D">
        <w:t xml:space="preserve">indings </w:t>
      </w:r>
      <w:r>
        <w:t xml:space="preserve">from these </w:t>
      </w:r>
      <w:r w:rsidR="00CB2D17">
        <w:t>are reported elsewhere (</w:t>
      </w:r>
      <w:r w:rsidR="006C578E">
        <w:rPr>
          <w:i/>
          <w:iCs/>
        </w:rPr>
        <w:t>under review</w:t>
      </w:r>
      <w:r w:rsidR="00CB2D17">
        <w:t xml:space="preserve">). </w:t>
      </w:r>
      <w:r w:rsidR="00661520" w:rsidRPr="00E13E45">
        <w:t>The survey was open for three months</w:t>
      </w:r>
      <w:r w:rsidR="002A5835">
        <w:t xml:space="preserve"> and </w:t>
      </w:r>
      <w:r w:rsidR="002E7AE6">
        <w:t xml:space="preserve">was </w:t>
      </w:r>
      <w:r w:rsidR="003354CE" w:rsidRPr="00E13E45">
        <w:t>advertis</w:t>
      </w:r>
      <w:r w:rsidR="002A5835">
        <w:t>ed</w:t>
      </w:r>
      <w:r w:rsidR="003354CE" w:rsidRPr="00E13E45">
        <w:t xml:space="preserve"> via UK university and student unions’ social media accounts (e.g. Facebook, Twitter), as well as by a number of UK charities supporting individuals with </w:t>
      </w:r>
      <w:r w:rsidR="001F1BD8" w:rsidRPr="00E13E45">
        <w:t>LTCs</w:t>
      </w:r>
      <w:r w:rsidR="000F6A3B" w:rsidRPr="00E13E45">
        <w:t xml:space="preserve">. </w:t>
      </w:r>
    </w:p>
    <w:p w14:paraId="695464D3" w14:textId="65ACD27C" w:rsidR="008B2BC8" w:rsidRDefault="008B2BC8" w:rsidP="00D43A10">
      <w:pPr>
        <w:spacing w:line="480" w:lineRule="auto"/>
      </w:pPr>
    </w:p>
    <w:p w14:paraId="3B7D390F" w14:textId="77777777" w:rsidR="008B2BC8" w:rsidRDefault="008B2BC8" w:rsidP="008B2BC8">
      <w:pPr>
        <w:spacing w:line="480" w:lineRule="auto"/>
      </w:pPr>
      <w:r>
        <w:t xml:space="preserve">The study was approved by a university Research Ethics Panel and participants were provided with information at the beginning of the online survey to explain the aims of the study and what the survey would involve. Information about data protection requirements and storage of anonymised data was provided. Consent was ascertained at the start of the survey and before the participant was able to proceed with the questions. Respondents were free to skip any questions they did not want to answer, and at the end of the survey a list of organisations that support young people with LTCs were provided. All data were anonymised and stored electronically in line with </w:t>
      </w:r>
      <w:r w:rsidRPr="009344E5">
        <w:t>General Data Protection Regulation</w:t>
      </w:r>
      <w:r>
        <w:t xml:space="preserve"> (GDPR) requirements.</w:t>
      </w:r>
    </w:p>
    <w:p w14:paraId="3213C51A" w14:textId="77777777" w:rsidR="008B2BC8" w:rsidRPr="00E13E45" w:rsidRDefault="008B2BC8" w:rsidP="00D43A10">
      <w:pPr>
        <w:spacing w:line="480" w:lineRule="auto"/>
      </w:pPr>
    </w:p>
    <w:p w14:paraId="3815AF38" w14:textId="03832082" w:rsidR="00A70B29" w:rsidRPr="00E13E45" w:rsidRDefault="00C67F72" w:rsidP="00D43A10">
      <w:pPr>
        <w:spacing w:line="480" w:lineRule="auto"/>
      </w:pPr>
      <w:r w:rsidRPr="006C0985">
        <w:t xml:space="preserve">The survey comprised </w:t>
      </w:r>
      <w:r w:rsidR="001B66A2">
        <w:t xml:space="preserve">both </w:t>
      </w:r>
      <w:r w:rsidRPr="006C0985">
        <w:t>closed</w:t>
      </w:r>
      <w:r w:rsidR="001E42B2" w:rsidRPr="006C0985">
        <w:t>-ended</w:t>
      </w:r>
      <w:r w:rsidRPr="006C0985">
        <w:t xml:space="preserve"> and </w:t>
      </w:r>
      <w:r w:rsidR="001E42B2" w:rsidRPr="006C0985">
        <w:t>open/</w:t>
      </w:r>
      <w:r w:rsidRPr="006C0985">
        <w:t>free-text</w:t>
      </w:r>
      <w:r w:rsidR="001E42B2" w:rsidRPr="006C0985">
        <w:t xml:space="preserve"> response</w:t>
      </w:r>
      <w:r w:rsidRPr="006C0985">
        <w:t xml:space="preserve"> questions</w:t>
      </w:r>
      <w:r w:rsidR="002A5835" w:rsidRPr="006C0985">
        <w:t>,</w:t>
      </w:r>
      <w:r w:rsidR="000F308C" w:rsidRPr="006C0985">
        <w:t xml:space="preserve"> divided into three sections: ‘a</w:t>
      </w:r>
      <w:r w:rsidRPr="006C0985">
        <w:t>bout you</w:t>
      </w:r>
      <w:r w:rsidR="000F308C" w:rsidRPr="006C0985">
        <w:t>’</w:t>
      </w:r>
      <w:r w:rsidR="003332D6" w:rsidRPr="006C0985">
        <w:t xml:space="preserve"> (demographic questions</w:t>
      </w:r>
      <w:r w:rsidR="00DA5528" w:rsidRPr="006C0985">
        <w:t xml:space="preserve">: </w:t>
      </w:r>
      <w:r w:rsidR="003332D6" w:rsidRPr="006C0985">
        <w:t xml:space="preserve">age, gender, year of study, </w:t>
      </w:r>
      <w:r w:rsidR="00375719" w:rsidRPr="006C0985">
        <w:t>level of study</w:t>
      </w:r>
      <w:r w:rsidR="00A0279C">
        <w:t>,</w:t>
      </w:r>
      <w:r w:rsidR="00375719" w:rsidRPr="006C0985">
        <w:t xml:space="preserve"> i.e. undergraduate or postgraduate, </w:t>
      </w:r>
      <w:r w:rsidR="003332D6" w:rsidRPr="006C0985">
        <w:t>region of study</w:t>
      </w:r>
      <w:r w:rsidR="002041C6" w:rsidRPr="006C0985">
        <w:t>, course subject</w:t>
      </w:r>
      <w:r w:rsidR="00E843AF" w:rsidRPr="006C0985">
        <w:t>, any breaks from their course</w:t>
      </w:r>
      <w:r w:rsidR="003332D6" w:rsidRPr="006C0985">
        <w:t>)</w:t>
      </w:r>
      <w:r w:rsidRPr="006C0985">
        <w:t xml:space="preserve">, </w:t>
      </w:r>
      <w:r w:rsidR="000F308C" w:rsidRPr="006C0985">
        <w:t>‘</w:t>
      </w:r>
      <w:r w:rsidRPr="006C0985">
        <w:t xml:space="preserve">about your </w:t>
      </w:r>
      <w:r w:rsidR="001E36C1" w:rsidRPr="006C0985">
        <w:t>LTC/s</w:t>
      </w:r>
      <w:r w:rsidR="000F308C" w:rsidRPr="006C0985">
        <w:t>’</w:t>
      </w:r>
      <w:r w:rsidRPr="006C0985">
        <w:t xml:space="preserve"> </w:t>
      </w:r>
      <w:r w:rsidR="003332D6" w:rsidRPr="006C0985">
        <w:t>(</w:t>
      </w:r>
      <w:r w:rsidR="00F51FDA" w:rsidRPr="006C0985">
        <w:t>questions asking which LTCs they ha</w:t>
      </w:r>
      <w:r w:rsidR="00EE2840" w:rsidRPr="006C0985">
        <w:t>d</w:t>
      </w:r>
      <w:r w:rsidR="00F51FDA" w:rsidRPr="006C0985">
        <w:t xml:space="preserve"> been </w:t>
      </w:r>
      <w:r w:rsidR="003332D6" w:rsidRPr="006C0985">
        <w:t xml:space="preserve">diagnosed </w:t>
      </w:r>
      <w:r w:rsidR="00F51FDA" w:rsidRPr="006C0985">
        <w:t>with</w:t>
      </w:r>
      <w:r w:rsidR="00A70B29" w:rsidRPr="006C0985">
        <w:t>, symptoms that ha</w:t>
      </w:r>
      <w:r w:rsidR="00EE2840" w:rsidRPr="006C0985">
        <w:t>d</w:t>
      </w:r>
      <w:r w:rsidR="00A70B29" w:rsidRPr="006C0985">
        <w:t xml:space="preserve"> </w:t>
      </w:r>
      <w:r w:rsidR="003332D6" w:rsidRPr="006C0985">
        <w:t>significant impact</w:t>
      </w:r>
      <w:r w:rsidR="00A70B29" w:rsidRPr="006C0985">
        <w:t>s</w:t>
      </w:r>
      <w:r w:rsidR="003332D6" w:rsidRPr="006C0985">
        <w:t xml:space="preserve"> on their </w:t>
      </w:r>
      <w:r w:rsidR="004B24C6" w:rsidRPr="006C0985">
        <w:t>lives</w:t>
      </w:r>
      <w:r w:rsidR="003332D6" w:rsidRPr="006C0985">
        <w:t xml:space="preserve">, lifestyle adjustments made, </w:t>
      </w:r>
      <w:r w:rsidR="00435533" w:rsidRPr="006C0985">
        <w:t xml:space="preserve">frequency of contact with healthcare professionals, </w:t>
      </w:r>
      <w:r w:rsidR="003332D6" w:rsidRPr="006C0985">
        <w:t>and impact</w:t>
      </w:r>
      <w:r w:rsidR="004B24C6" w:rsidRPr="006C0985">
        <w:t>s</w:t>
      </w:r>
      <w:r w:rsidR="003332D6" w:rsidRPr="006C0985">
        <w:t xml:space="preserve"> on their mental wellbeing</w:t>
      </w:r>
      <w:r w:rsidR="00435533" w:rsidRPr="006C0985">
        <w:t xml:space="preserve"> – see below</w:t>
      </w:r>
      <w:r w:rsidR="00EE2840" w:rsidRPr="006C0985">
        <w:t xml:space="preserve"> for </w:t>
      </w:r>
      <w:r w:rsidR="00A0279C">
        <w:t xml:space="preserve">full </w:t>
      </w:r>
      <w:r w:rsidR="00EE2840" w:rsidRPr="006C0985">
        <w:t>details</w:t>
      </w:r>
      <w:r w:rsidR="003332D6" w:rsidRPr="006C0985">
        <w:t xml:space="preserve">), </w:t>
      </w:r>
      <w:r w:rsidRPr="006C0985">
        <w:t xml:space="preserve">and </w:t>
      </w:r>
      <w:r w:rsidR="00153FFC" w:rsidRPr="006C0985">
        <w:t>support</w:t>
      </w:r>
      <w:r w:rsidRPr="006C0985">
        <w:t xml:space="preserve"> for </w:t>
      </w:r>
      <w:r w:rsidRPr="006C0985">
        <w:lastRenderedPageBreak/>
        <w:t xml:space="preserve">your </w:t>
      </w:r>
      <w:r w:rsidR="001E36C1" w:rsidRPr="006C0985">
        <w:t>LTC/s</w:t>
      </w:r>
      <w:r w:rsidR="003332D6" w:rsidRPr="006C0985">
        <w:t>’ (questions about disclosure, types of support received,</w:t>
      </w:r>
      <w:r w:rsidR="00EC4CC6" w:rsidRPr="006C0985">
        <w:t xml:space="preserve"> strategies used to promote their mental wellbeing,</w:t>
      </w:r>
      <w:r w:rsidR="003332D6" w:rsidRPr="006C0985">
        <w:t xml:space="preserve"> </w:t>
      </w:r>
      <w:r w:rsidR="00F51FDA" w:rsidRPr="006C0985">
        <w:t>w</w:t>
      </w:r>
      <w:r w:rsidR="003332D6" w:rsidRPr="006C0985">
        <w:t xml:space="preserve">hat </w:t>
      </w:r>
      <w:r w:rsidR="00F51FDA" w:rsidRPr="006C0985">
        <w:t>they would like</w:t>
      </w:r>
      <w:r w:rsidR="003332D6" w:rsidRPr="006C0985">
        <w:t xml:space="preserve"> to see available at universities to support students </w:t>
      </w:r>
      <w:r w:rsidR="00F51FDA" w:rsidRPr="006C0985">
        <w:t>with LTCs</w:t>
      </w:r>
      <w:r w:rsidR="00722BFE" w:rsidRPr="006C0985">
        <w:t>, examples of how their university ha</w:t>
      </w:r>
      <w:r w:rsidR="00EE2840" w:rsidRPr="006C0985">
        <w:t>d</w:t>
      </w:r>
      <w:r w:rsidR="00722BFE" w:rsidRPr="006C0985">
        <w:t xml:space="preserve"> supported them in living with</w:t>
      </w:r>
      <w:r w:rsidR="00EE2840" w:rsidRPr="006C0985">
        <w:t xml:space="preserve"> their</w:t>
      </w:r>
      <w:r w:rsidR="00722BFE" w:rsidRPr="006C0985">
        <w:t xml:space="preserve"> LTCs, and examples where their university could have improved how they supported them</w:t>
      </w:r>
      <w:r w:rsidR="00F51FDA" w:rsidRPr="006C0985">
        <w:t>)</w:t>
      </w:r>
      <w:r w:rsidR="005D58FE" w:rsidRPr="006C0985">
        <w:t>.</w:t>
      </w:r>
      <w:r w:rsidR="005D58FE" w:rsidRPr="00E13E45">
        <w:t xml:space="preserve"> </w:t>
      </w:r>
    </w:p>
    <w:p w14:paraId="33A09C1D" w14:textId="77777777" w:rsidR="00A70B29" w:rsidRPr="00E13E45" w:rsidRDefault="00A70B29" w:rsidP="00D43A10">
      <w:pPr>
        <w:spacing w:line="480" w:lineRule="auto"/>
      </w:pPr>
    </w:p>
    <w:p w14:paraId="4F6903C4" w14:textId="1F3E1F4D" w:rsidR="00F43511" w:rsidRPr="00E13E45" w:rsidRDefault="00F43511" w:rsidP="00D43A10">
      <w:pPr>
        <w:spacing w:line="480" w:lineRule="auto"/>
      </w:pPr>
      <w:r w:rsidRPr="00E13E45">
        <w:t xml:space="preserve">Impacts on mental wellbeing were </w:t>
      </w:r>
      <w:r w:rsidR="00C75D1E">
        <w:t xml:space="preserve">identified via </w:t>
      </w:r>
      <w:r w:rsidRPr="00E13E45">
        <w:t>four questions</w:t>
      </w:r>
      <w:r w:rsidR="00153FFC">
        <w:t>,</w:t>
      </w:r>
      <w:r w:rsidR="00F753C8">
        <w:t xml:space="preserve"> which </w:t>
      </w:r>
      <w:r w:rsidR="008A0443">
        <w:t>we developed</w:t>
      </w:r>
      <w:r w:rsidR="00F753C8">
        <w:t xml:space="preserve"> based on our previous research </w:t>
      </w:r>
      <w:r w:rsidR="008A0443">
        <w:t xml:space="preserve">in </w:t>
      </w:r>
      <w:r w:rsidR="00F753C8">
        <w:t>this area</w:t>
      </w:r>
      <w:r w:rsidR="00153FFC">
        <w:t xml:space="preserve"> (references removed for blind review)</w:t>
      </w:r>
      <w:r w:rsidR="0006744D">
        <w:t>.  Our intention was not to measure levels of anxiety/depression through a standardised tool, but rather to identify the impacts of their LTCs on the</w:t>
      </w:r>
      <w:r w:rsidR="00A0279C">
        <w:t xml:space="preserve">ir mental wellbeing.  As such, </w:t>
      </w:r>
      <w:r w:rsidR="00C75D1E">
        <w:t>p</w:t>
      </w:r>
      <w:r w:rsidRPr="00E13E45">
        <w:t xml:space="preserve">articipants </w:t>
      </w:r>
      <w:r w:rsidR="00C75D1E">
        <w:t>were</w:t>
      </w:r>
      <w:r w:rsidR="00A0279C">
        <w:t xml:space="preserve"> first</w:t>
      </w:r>
      <w:r w:rsidR="00C75D1E">
        <w:t xml:space="preserve"> asked </w:t>
      </w:r>
      <w:r w:rsidRPr="00E13E45">
        <w:t xml:space="preserve">to rate on a scale of 1-10 (with 1 indicating no impact, </w:t>
      </w:r>
      <w:r w:rsidR="007C7B56">
        <w:t xml:space="preserve">5 indicating a moderate impact, </w:t>
      </w:r>
      <w:r w:rsidRPr="00E13E45">
        <w:t>and 10 indicating a very large impact), how much of an impact does their LTC/s generally have on their mental wellbeing. The following</w:t>
      </w:r>
      <w:r w:rsidR="00A70B29" w:rsidRPr="00E13E45">
        <w:t xml:space="preserve"> three</w:t>
      </w:r>
      <w:r w:rsidRPr="00E13E45">
        <w:t xml:space="preserve"> questions asked</w:t>
      </w:r>
      <w:r w:rsidR="00C75D1E">
        <w:t>,</w:t>
      </w:r>
      <w:r w:rsidRPr="00E13E45">
        <w:t xml:space="preserve"> on average, how often </w:t>
      </w:r>
      <w:r w:rsidR="00A70B29" w:rsidRPr="00E13E45">
        <w:t>they fe</w:t>
      </w:r>
      <w:r w:rsidR="00C75D1E">
        <w:t>lt</w:t>
      </w:r>
      <w:r w:rsidR="00A70B29" w:rsidRPr="00E13E45">
        <w:t xml:space="preserve"> </w:t>
      </w:r>
      <w:r w:rsidRPr="00E13E45">
        <w:t>down or depressed</w:t>
      </w:r>
      <w:r w:rsidR="00A70B29" w:rsidRPr="00E13E45">
        <w:t>,</w:t>
      </w:r>
      <w:r w:rsidRPr="00E13E45">
        <w:t xml:space="preserve"> </w:t>
      </w:r>
      <w:r w:rsidR="00A70B29" w:rsidRPr="00E13E45">
        <w:t>anxious, and</w:t>
      </w:r>
      <w:r w:rsidRPr="00E13E45">
        <w:t xml:space="preserve"> stressed, as a result of </w:t>
      </w:r>
      <w:r w:rsidR="00A70B29" w:rsidRPr="00E13E45">
        <w:t>their</w:t>
      </w:r>
      <w:r w:rsidRPr="00E13E45">
        <w:t xml:space="preserve"> LTC/s</w:t>
      </w:r>
      <w:r w:rsidR="00A70B29" w:rsidRPr="00E13E45">
        <w:t xml:space="preserve">. </w:t>
      </w:r>
      <w:r w:rsidR="006C4263">
        <w:t>Available r</w:t>
      </w:r>
      <w:r w:rsidRPr="00E13E45">
        <w:t>esponse</w:t>
      </w:r>
      <w:r w:rsidR="006C4263">
        <w:t>s included</w:t>
      </w:r>
      <w:r w:rsidRPr="00E13E45">
        <w:t xml:space="preserve">: none of the time (1), rarely e.g. once a year (2), some of the time e.g. a few times a year (3), often e.g. once a month (4), usually e.g. once a week (5) and all of the time e.g. every day (6). </w:t>
      </w:r>
      <w:r w:rsidR="00AB1ABB" w:rsidRPr="00137424">
        <w:t>Cronbach’s alpha for these three items was .</w:t>
      </w:r>
      <w:r w:rsidR="006A0FBD" w:rsidRPr="00137424">
        <w:t>854</w:t>
      </w:r>
      <w:r w:rsidR="008764DD" w:rsidRPr="00137424">
        <w:t>, indicating high internal consistency.</w:t>
      </w:r>
    </w:p>
    <w:p w14:paraId="5B8587AB" w14:textId="77777777" w:rsidR="00F43511" w:rsidRPr="00E13E45" w:rsidRDefault="00F43511" w:rsidP="00D43A10">
      <w:pPr>
        <w:spacing w:line="480" w:lineRule="auto"/>
      </w:pPr>
    </w:p>
    <w:p w14:paraId="5778053C" w14:textId="2D439F18" w:rsidR="00EF706B" w:rsidRDefault="005D58FE" w:rsidP="008B2454">
      <w:pPr>
        <w:spacing w:line="480" w:lineRule="auto"/>
      </w:pPr>
      <w:r w:rsidRPr="00E13E45">
        <w:t>Closed-</w:t>
      </w:r>
      <w:r w:rsidR="001E42B2" w:rsidRPr="00E13E45">
        <w:t>ended</w:t>
      </w:r>
      <w:r w:rsidRPr="00E13E45">
        <w:t xml:space="preserve"> questions were analysed using simple descriptive statistics</w:t>
      </w:r>
      <w:r w:rsidR="00F43511" w:rsidRPr="00E13E45">
        <w:t>. I</w:t>
      </w:r>
      <w:r w:rsidR="00F5637A" w:rsidRPr="00E13E45">
        <w:t xml:space="preserve">nferential statistics </w:t>
      </w:r>
      <w:r w:rsidR="00F43511" w:rsidRPr="00E13E45">
        <w:t>were</w:t>
      </w:r>
      <w:r w:rsidR="00A70B29" w:rsidRPr="00E13E45">
        <w:t xml:space="preserve"> </w:t>
      </w:r>
      <w:r w:rsidR="00F43511" w:rsidRPr="00E13E45">
        <w:t xml:space="preserve">used </w:t>
      </w:r>
      <w:r w:rsidR="00F5637A" w:rsidRPr="00E13E45">
        <w:t xml:space="preserve">to assess </w:t>
      </w:r>
      <w:r w:rsidR="00FF6CBB">
        <w:t xml:space="preserve">any </w:t>
      </w:r>
      <w:r w:rsidR="00F5637A" w:rsidRPr="00E13E45">
        <w:t xml:space="preserve">significant differences in </w:t>
      </w:r>
      <w:r w:rsidR="008967C9" w:rsidRPr="00E13E45">
        <w:t xml:space="preserve">reported </w:t>
      </w:r>
      <w:r w:rsidR="00F5637A" w:rsidRPr="00E13E45">
        <w:t xml:space="preserve">mental wellbeing impacts between undergraduate and postgraduate </w:t>
      </w:r>
      <w:r w:rsidR="00F5637A" w:rsidRPr="00D330CD">
        <w:t>students</w:t>
      </w:r>
      <w:r w:rsidR="00057276" w:rsidRPr="00153FFC">
        <w:t xml:space="preserve">, </w:t>
      </w:r>
      <w:r w:rsidR="00057276" w:rsidRPr="00CA599D">
        <w:t>and between students who had formally disclosed their LTC/s and those who had not</w:t>
      </w:r>
      <w:r w:rsidR="00153FFC">
        <w:t xml:space="preserve">.  </w:t>
      </w:r>
      <w:r w:rsidR="00F43511" w:rsidRPr="00E13E45">
        <w:t>Due to non-normally distributed data</w:t>
      </w:r>
      <w:r w:rsidR="00A70B29" w:rsidRPr="00E13E45">
        <w:t>,</w:t>
      </w:r>
      <w:r w:rsidR="00F43511" w:rsidRPr="00E13E45">
        <w:t xml:space="preserve"> Mann Whitney U-tests </w:t>
      </w:r>
      <w:r w:rsidR="00FF6CBB">
        <w:t xml:space="preserve">using SPSS version 27 </w:t>
      </w:r>
      <w:r w:rsidR="00F43511" w:rsidRPr="00E13E45">
        <w:t>were</w:t>
      </w:r>
      <w:r w:rsidR="00FF6CBB">
        <w:t xml:space="preserve"> conducted</w:t>
      </w:r>
      <w:r w:rsidR="00F43511" w:rsidRPr="00E13E45">
        <w:t xml:space="preserve"> to </w:t>
      </w:r>
      <w:r w:rsidR="00F43511" w:rsidRPr="00E13E45">
        <w:lastRenderedPageBreak/>
        <w:t xml:space="preserve">compare undergraduate and postgraduate students, </w:t>
      </w:r>
      <w:r w:rsidR="000778DF" w:rsidRPr="00E33362">
        <w:t>and those who had and had not disclosed their LTC/s</w:t>
      </w:r>
      <w:r w:rsidR="00F43511" w:rsidRPr="00E33362">
        <w:t xml:space="preserve">. </w:t>
      </w:r>
      <w:r w:rsidR="007E29BB" w:rsidRPr="00E33362">
        <w:t xml:space="preserve">The significance level </w:t>
      </w:r>
      <w:r w:rsidR="00467697" w:rsidRPr="00E33362">
        <w:t xml:space="preserve">was adjusted </w:t>
      </w:r>
      <w:r w:rsidR="001C75DA" w:rsidRPr="00E33362">
        <w:t>to</w:t>
      </w:r>
      <w:r w:rsidR="00467697" w:rsidRPr="00E33362">
        <w:t xml:space="preserve"> account for carrying out </w:t>
      </w:r>
      <w:r w:rsidR="00BC1861">
        <w:t xml:space="preserve">multiple tests. We divided the typical alpha level of 0.5 by the number of </w:t>
      </w:r>
      <w:r w:rsidR="00981B01">
        <w:t xml:space="preserve">tests (four) </w:t>
      </w:r>
      <w:r w:rsidR="00467697" w:rsidRPr="00E33362">
        <w:t>for each group comparison</w:t>
      </w:r>
      <w:r w:rsidR="00181F5D">
        <w:t>, leading to a significance level of .0125.</w:t>
      </w:r>
      <w:r w:rsidR="008307CC">
        <w:t xml:space="preserve"> </w:t>
      </w:r>
    </w:p>
    <w:p w14:paraId="3406A129" w14:textId="77777777" w:rsidR="00EF706B" w:rsidRDefault="00EF706B" w:rsidP="008B2454">
      <w:pPr>
        <w:spacing w:line="480" w:lineRule="auto"/>
      </w:pPr>
    </w:p>
    <w:p w14:paraId="36287BE0" w14:textId="673B337B" w:rsidR="000D5CAD" w:rsidRPr="00676641" w:rsidRDefault="00B23AB3" w:rsidP="008B2454">
      <w:pPr>
        <w:spacing w:line="480" w:lineRule="auto"/>
      </w:pPr>
      <w:r w:rsidRPr="00E13E45">
        <w:t>F</w:t>
      </w:r>
      <w:r w:rsidR="005D58FE" w:rsidRPr="00E13E45">
        <w:t>ree-text responses were analysed</w:t>
      </w:r>
      <w:r w:rsidR="00924CDE">
        <w:t xml:space="preserve"> using a combination of content and thematic analysis</w:t>
      </w:r>
      <w:r w:rsidR="00413A9F" w:rsidRPr="00676641">
        <w:t xml:space="preserve">. </w:t>
      </w:r>
      <w:r w:rsidR="00924CDE">
        <w:t xml:space="preserve">Content analysis involved identifying the presence of words, phrases and meanings and the relationship between them. To enable a deeper understanding of responses, a thematic analysis (following Braun &amp; Clarke, 2006) was also conducted.  </w:t>
      </w:r>
      <w:r w:rsidR="00413A9F" w:rsidRPr="00676641">
        <w:t>The first author read</w:t>
      </w:r>
      <w:r w:rsidR="004E06B8" w:rsidRPr="00676641">
        <w:t xml:space="preserve"> and then re-read</w:t>
      </w:r>
      <w:r w:rsidR="00413A9F" w:rsidRPr="00676641">
        <w:t xml:space="preserve"> all responses for each open-response question, making notes about potential themes. </w:t>
      </w:r>
      <w:r w:rsidR="008B2454" w:rsidRPr="00676641">
        <w:t>Initial codes were discussed with</w:t>
      </w:r>
      <w:r w:rsidR="00413A9F" w:rsidRPr="00676641">
        <w:t xml:space="preserve"> </w:t>
      </w:r>
      <w:r w:rsidR="008B2454" w:rsidRPr="00676641">
        <w:t xml:space="preserve">the second author and codes were </w:t>
      </w:r>
      <w:r w:rsidR="00E135D6" w:rsidRPr="00676641">
        <w:t xml:space="preserve">then </w:t>
      </w:r>
      <w:r w:rsidR="008B2454" w:rsidRPr="00676641">
        <w:t xml:space="preserve">grouped into </w:t>
      </w:r>
      <w:r w:rsidR="00E135D6" w:rsidRPr="00676641">
        <w:t xml:space="preserve">emergent </w:t>
      </w:r>
      <w:r w:rsidR="008B2454" w:rsidRPr="00676641">
        <w:t xml:space="preserve">themes by the first author. </w:t>
      </w:r>
      <w:r w:rsidR="001577EA" w:rsidRPr="00676641">
        <w:t>Both authors reviewed the themes</w:t>
      </w:r>
      <w:r w:rsidR="00153CC7" w:rsidRPr="00676641">
        <w:t xml:space="preserve"> by re-reading the open-response data</w:t>
      </w:r>
      <w:r w:rsidR="00E135D6" w:rsidRPr="00676641">
        <w:t xml:space="preserve"> to reach </w:t>
      </w:r>
      <w:r w:rsidR="008B2454" w:rsidRPr="00676641">
        <w:t xml:space="preserve">consensus </w:t>
      </w:r>
      <w:r w:rsidR="00E135D6" w:rsidRPr="00676641">
        <w:t>on the core themes</w:t>
      </w:r>
      <w:r w:rsidR="007D3D43">
        <w:t>.  These identified themes aided our explanations and understandings of the closed-ended responses.</w:t>
      </w:r>
    </w:p>
    <w:p w14:paraId="5A52F476" w14:textId="77777777" w:rsidR="00672323" w:rsidRDefault="00672323" w:rsidP="00D44C6C">
      <w:pPr>
        <w:spacing w:line="480" w:lineRule="auto"/>
      </w:pPr>
    </w:p>
    <w:p w14:paraId="1AE401DA" w14:textId="7BFFD527" w:rsidR="00D44C6C" w:rsidRPr="00D44C6C" w:rsidRDefault="00501A0E" w:rsidP="00CD726F">
      <w:pPr>
        <w:pStyle w:val="Heading1"/>
        <w:rPr>
          <w:noProof/>
        </w:rPr>
      </w:pPr>
      <w:r>
        <w:rPr>
          <w:noProof/>
        </w:rPr>
        <w:t>Results</w:t>
      </w:r>
    </w:p>
    <w:p w14:paraId="572F41B9" w14:textId="77777777" w:rsidR="003354CE" w:rsidRPr="00E13E45" w:rsidRDefault="00441308" w:rsidP="00D44C6C">
      <w:pPr>
        <w:spacing w:line="480" w:lineRule="auto"/>
        <w:rPr>
          <w:b/>
          <w:i/>
        </w:rPr>
      </w:pPr>
      <w:r w:rsidRPr="00E13E45">
        <w:rPr>
          <w:b/>
          <w:i/>
        </w:rPr>
        <w:t>Participant demographics</w:t>
      </w:r>
      <w:r w:rsidR="003354CE" w:rsidRPr="00E13E45">
        <w:rPr>
          <w:b/>
          <w:i/>
        </w:rPr>
        <w:t xml:space="preserve"> </w:t>
      </w:r>
    </w:p>
    <w:p w14:paraId="5B617FAF" w14:textId="63A33ADE" w:rsidR="00176888" w:rsidRDefault="00947C99" w:rsidP="00D43A10">
      <w:pPr>
        <w:spacing w:line="480" w:lineRule="auto"/>
      </w:pPr>
      <w:r w:rsidRPr="00E13E45">
        <w:t xml:space="preserve">The survey was completed by </w:t>
      </w:r>
      <w:r w:rsidR="003354CE" w:rsidRPr="00E13E45">
        <w:t>200 students, of which 198 were female</w:t>
      </w:r>
      <w:r w:rsidR="000F6A3B" w:rsidRPr="00E13E45">
        <w:t xml:space="preserve"> (</w:t>
      </w:r>
      <w:r w:rsidR="000638B2">
        <w:t>reasons for this are</w:t>
      </w:r>
      <w:r w:rsidR="002A5835">
        <w:t xml:space="preserve"> explored in the discussion</w:t>
      </w:r>
      <w:r w:rsidR="00671A04" w:rsidRPr="00E13E45">
        <w:t>)</w:t>
      </w:r>
      <w:r w:rsidR="003354CE" w:rsidRPr="00E13E45">
        <w:t xml:space="preserve">. </w:t>
      </w:r>
      <w:r w:rsidR="00E135D6">
        <w:t>P</w:t>
      </w:r>
      <w:r w:rsidR="003354CE" w:rsidRPr="00E13E45">
        <w:t xml:space="preserve">articipants ranged between 18 </w:t>
      </w:r>
      <w:r w:rsidR="00E135D6">
        <w:t>to</w:t>
      </w:r>
      <w:r w:rsidR="003354CE" w:rsidRPr="00E13E45">
        <w:t xml:space="preserve"> 67</w:t>
      </w:r>
      <w:r w:rsidR="00E135D6">
        <w:t xml:space="preserve"> years</w:t>
      </w:r>
      <w:r w:rsidR="000F6A3B" w:rsidRPr="00E13E45">
        <w:t>, with a mean age of 26.87.</w:t>
      </w:r>
      <w:r w:rsidR="003354CE" w:rsidRPr="00E13E45">
        <w:t xml:space="preserve"> The majority</w:t>
      </w:r>
      <w:r w:rsidR="000F6A3B" w:rsidRPr="00E13E45">
        <w:t xml:space="preserve"> of respondents</w:t>
      </w:r>
      <w:r w:rsidR="003354CE" w:rsidRPr="00E13E45">
        <w:t xml:space="preserve"> (71%) were aged </w:t>
      </w:r>
      <w:r w:rsidR="00671A04" w:rsidRPr="00E13E45">
        <w:t xml:space="preserve">between 18 and </w:t>
      </w:r>
      <w:r w:rsidR="003354CE" w:rsidRPr="00E13E45">
        <w:t>28</w:t>
      </w:r>
      <w:r w:rsidR="000638B2">
        <w:t xml:space="preserve"> years</w:t>
      </w:r>
      <w:r w:rsidR="003354CE" w:rsidRPr="00E13E45">
        <w:t xml:space="preserve">. </w:t>
      </w:r>
      <w:r w:rsidR="000638B2">
        <w:t>Most</w:t>
      </w:r>
      <w:r w:rsidRPr="00E13E45">
        <w:t xml:space="preserve"> respondents were undergraduate students (</w:t>
      </w:r>
      <w:r w:rsidRPr="00E13E45">
        <w:rPr>
          <w:i/>
        </w:rPr>
        <w:t>n</w:t>
      </w:r>
      <w:r w:rsidRPr="00E13E45">
        <w:t>=130: 65%)</w:t>
      </w:r>
      <w:r w:rsidR="001630A6" w:rsidRPr="00E13E45">
        <w:t>, were studying full-time</w:t>
      </w:r>
      <w:r w:rsidR="003354CE" w:rsidRPr="00E13E45">
        <w:t xml:space="preserve"> </w:t>
      </w:r>
      <w:r w:rsidR="001630A6" w:rsidRPr="00E13E45">
        <w:t>(</w:t>
      </w:r>
      <w:r w:rsidR="001630A6" w:rsidRPr="00E13E45">
        <w:rPr>
          <w:i/>
        </w:rPr>
        <w:t>n</w:t>
      </w:r>
      <w:r w:rsidR="001630A6" w:rsidRPr="00E13E45">
        <w:t>=</w:t>
      </w:r>
      <w:r w:rsidR="003354CE" w:rsidRPr="00E13E45">
        <w:t>154</w:t>
      </w:r>
      <w:r w:rsidR="001630A6" w:rsidRPr="00E13E45">
        <w:t>: 77%), and were in their first (</w:t>
      </w:r>
      <w:r w:rsidR="001630A6" w:rsidRPr="00E13E45">
        <w:rPr>
          <w:i/>
        </w:rPr>
        <w:t>n</w:t>
      </w:r>
      <w:r w:rsidR="001630A6" w:rsidRPr="00E13E45">
        <w:t>=74: 37%), second (</w:t>
      </w:r>
      <w:r w:rsidR="001630A6" w:rsidRPr="00E13E45">
        <w:rPr>
          <w:i/>
        </w:rPr>
        <w:t>n</w:t>
      </w:r>
      <w:r w:rsidR="001630A6" w:rsidRPr="00E13E45">
        <w:t>=55: 28%) or third year (</w:t>
      </w:r>
      <w:r w:rsidR="001630A6" w:rsidRPr="00E13E45">
        <w:rPr>
          <w:i/>
        </w:rPr>
        <w:t>n</w:t>
      </w:r>
      <w:r w:rsidR="001630A6" w:rsidRPr="00E13E45">
        <w:t xml:space="preserve">=49: 25%) of study. Out of those participants who were studying part-time, the majority were postgraduates (58.7%). </w:t>
      </w:r>
      <w:r w:rsidR="00671A04" w:rsidRPr="00E13E45">
        <w:t xml:space="preserve">Respondents studied across a </w:t>
      </w:r>
      <w:r w:rsidR="00EC7952">
        <w:t>range</w:t>
      </w:r>
      <w:r w:rsidR="002266E0" w:rsidRPr="00E13E45">
        <w:t xml:space="preserve"> of </w:t>
      </w:r>
      <w:r w:rsidR="002266E0" w:rsidRPr="00E13E45">
        <w:lastRenderedPageBreak/>
        <w:t>disciplines (</w:t>
      </w:r>
      <w:proofErr w:type="gramStart"/>
      <w:r w:rsidR="002266E0" w:rsidRPr="00E13E45">
        <w:t>e.g.</w:t>
      </w:r>
      <w:proofErr w:type="gramEnd"/>
      <w:r w:rsidR="002266E0" w:rsidRPr="00E13E45">
        <w:t xml:space="preserve"> Politics, History, Geography, L</w:t>
      </w:r>
      <w:r w:rsidR="001E42B2" w:rsidRPr="00E13E45">
        <w:t>aw, Philosophy, English, Chemistry, Nursing</w:t>
      </w:r>
      <w:r w:rsidR="00FD7350" w:rsidRPr="00E13E45">
        <w:t>, Computer Technology</w:t>
      </w:r>
      <w:r w:rsidR="002266E0" w:rsidRPr="00E13E45">
        <w:t>)</w:t>
      </w:r>
      <w:r w:rsidR="00671A04" w:rsidRPr="00E13E45">
        <w:t>. Respondents were</w:t>
      </w:r>
      <w:r w:rsidR="00FE2D30" w:rsidRPr="00E13E45">
        <w:t xml:space="preserve"> relatively equally</w:t>
      </w:r>
      <w:r w:rsidR="00671A04" w:rsidRPr="00E13E45">
        <w:t xml:space="preserve"> s</w:t>
      </w:r>
      <w:r w:rsidR="002266E0" w:rsidRPr="00E13E45">
        <w:t xml:space="preserve">pread across </w:t>
      </w:r>
      <w:r w:rsidR="00671A04" w:rsidRPr="00E13E45">
        <w:t>all</w:t>
      </w:r>
      <w:r w:rsidR="00FD7350" w:rsidRPr="00E13E45">
        <w:t xml:space="preserve"> regions of the</w:t>
      </w:r>
      <w:r w:rsidR="00671A04" w:rsidRPr="00E13E45">
        <w:t xml:space="preserve"> </w:t>
      </w:r>
      <w:r w:rsidR="00661520" w:rsidRPr="00E13E45">
        <w:t>UK</w:t>
      </w:r>
      <w:r w:rsidR="00FE2D30" w:rsidRPr="00E13E45">
        <w:t>, except for low representation from the North East of England (</w:t>
      </w:r>
      <w:r w:rsidR="00FE2D30" w:rsidRPr="00E13E45">
        <w:rPr>
          <w:i/>
        </w:rPr>
        <w:t>n</w:t>
      </w:r>
      <w:r w:rsidR="00FE2D30" w:rsidRPr="00E13E45">
        <w:t>=2).</w:t>
      </w:r>
      <w:r w:rsidR="0063309D" w:rsidRPr="00E13E45">
        <w:t xml:space="preserve"> See Table </w:t>
      </w:r>
      <w:r w:rsidR="002C45F4">
        <w:t>I</w:t>
      </w:r>
      <w:r w:rsidR="00F12EBE">
        <w:t xml:space="preserve"> </w:t>
      </w:r>
      <w:r w:rsidR="0063309D" w:rsidRPr="00E13E45">
        <w:t>for participant demographics.</w:t>
      </w:r>
    </w:p>
    <w:p w14:paraId="2754C1B8" w14:textId="3DCA83EA" w:rsidR="00FD7350" w:rsidRDefault="00980AB9" w:rsidP="00120607">
      <w:pPr>
        <w:spacing w:line="480" w:lineRule="auto"/>
        <w:jc w:val="center"/>
      </w:pPr>
      <w:r>
        <w:t xml:space="preserve">[INSERT TABLE </w:t>
      </w:r>
      <w:r w:rsidR="00667840">
        <w:t>I</w:t>
      </w:r>
      <w:r w:rsidR="00D44C6C">
        <w:t xml:space="preserve"> NEAR</w:t>
      </w:r>
      <w:r>
        <w:t xml:space="preserve"> HERE]</w:t>
      </w:r>
    </w:p>
    <w:p w14:paraId="1D336E11" w14:textId="77777777" w:rsidR="00F12EBE" w:rsidRDefault="00F12EBE" w:rsidP="00120607">
      <w:pPr>
        <w:spacing w:line="480" w:lineRule="auto"/>
        <w:jc w:val="center"/>
      </w:pPr>
    </w:p>
    <w:p w14:paraId="5E47E83B" w14:textId="45D45C71" w:rsidR="000638B2" w:rsidRDefault="00176888" w:rsidP="00D43A10">
      <w:pPr>
        <w:spacing w:line="480" w:lineRule="auto"/>
        <w:rPr>
          <w:b/>
          <w:i/>
        </w:rPr>
      </w:pPr>
      <w:r w:rsidRPr="00176888">
        <w:rPr>
          <w:b/>
          <w:i/>
        </w:rPr>
        <w:t xml:space="preserve">Conditions and </w:t>
      </w:r>
      <w:r w:rsidR="00E135D6">
        <w:rPr>
          <w:b/>
          <w:i/>
        </w:rPr>
        <w:t xml:space="preserve">related </w:t>
      </w:r>
      <w:r w:rsidRPr="00176888">
        <w:rPr>
          <w:b/>
          <w:i/>
        </w:rPr>
        <w:t>symptoms</w:t>
      </w:r>
    </w:p>
    <w:p w14:paraId="0BADF22B" w14:textId="5E0C5993" w:rsidR="000638B2" w:rsidRDefault="00FD7350" w:rsidP="00A528AA">
      <w:pPr>
        <w:spacing w:line="480" w:lineRule="auto"/>
      </w:pPr>
      <w:r w:rsidRPr="00E13E45">
        <w:t xml:space="preserve">75 different </w:t>
      </w:r>
      <w:r w:rsidR="001E36C1" w:rsidRPr="00E13E45">
        <w:t>LTC/s</w:t>
      </w:r>
      <w:r w:rsidR="007E739C">
        <w:t xml:space="preserve"> were reported by participants, with many</w:t>
      </w:r>
      <w:r w:rsidRPr="00E13E45">
        <w:t xml:space="preserve"> </w:t>
      </w:r>
      <w:r w:rsidR="000638B2">
        <w:t>report</w:t>
      </w:r>
      <w:r w:rsidR="007E739C">
        <w:t>ing</w:t>
      </w:r>
      <w:r w:rsidRPr="00E13E45">
        <w:t xml:space="preserve"> more than one condition</w:t>
      </w:r>
      <w:r w:rsidR="008B2BC8">
        <w:t xml:space="preserve"> (for this reason the total percentages combined </w:t>
      </w:r>
      <w:r w:rsidR="007D3D43">
        <w:t xml:space="preserve">in Table II </w:t>
      </w:r>
      <w:r w:rsidR="008B2BC8">
        <w:t>exceed 100% as participants reported multiple conditions)</w:t>
      </w:r>
      <w:r w:rsidRPr="00E13E45">
        <w:t xml:space="preserve">. The most commonly </w:t>
      </w:r>
      <w:r w:rsidR="009B005E" w:rsidRPr="00E13E45">
        <w:t>stated</w:t>
      </w:r>
      <w:r w:rsidRPr="00E13E45">
        <w:t xml:space="preserve"> condition was endometriosis</w:t>
      </w:r>
      <w:r w:rsidR="00F75250" w:rsidRPr="00E13E45">
        <w:t>, with</w:t>
      </w:r>
      <w:r w:rsidR="00176888">
        <w:t xml:space="preserve"> </w:t>
      </w:r>
      <w:r w:rsidRPr="00E13E45">
        <w:t>162</w:t>
      </w:r>
      <w:r w:rsidR="00F75250" w:rsidRPr="00E13E45">
        <w:t xml:space="preserve"> respondents</w:t>
      </w:r>
      <w:r w:rsidRPr="00E13E45">
        <w:t xml:space="preserve"> </w:t>
      </w:r>
      <w:r w:rsidR="00AB7FD5" w:rsidRPr="00E13E45">
        <w:t>(81%)</w:t>
      </w:r>
      <w:r w:rsidR="00F75250" w:rsidRPr="00E13E45">
        <w:t xml:space="preserve"> having been diagnosed with this condition</w:t>
      </w:r>
      <w:r w:rsidR="00D6341E" w:rsidRPr="00E13E45">
        <w:t xml:space="preserve"> (</w:t>
      </w:r>
      <w:r w:rsidR="007E739C">
        <w:t>most likely due to the largely female sample</w:t>
      </w:r>
      <w:r w:rsidR="00D6341E" w:rsidRPr="00E13E45">
        <w:t>)</w:t>
      </w:r>
      <w:r w:rsidR="00176888">
        <w:t>, with 96 (60%) of those respondents</w:t>
      </w:r>
      <w:r w:rsidR="00F75250" w:rsidRPr="00E13E45">
        <w:t xml:space="preserve"> </w:t>
      </w:r>
      <w:r w:rsidR="00176888">
        <w:t xml:space="preserve">having </w:t>
      </w:r>
      <w:r w:rsidR="007D2AD0" w:rsidRPr="00E13E45">
        <w:t xml:space="preserve">also </w:t>
      </w:r>
      <w:r w:rsidR="00176888">
        <w:t xml:space="preserve">been </w:t>
      </w:r>
      <w:r w:rsidR="007D2AD0" w:rsidRPr="00E13E45">
        <w:t>diagnosed with at least one other LTC (such as as</w:t>
      </w:r>
      <w:r w:rsidR="009B3835" w:rsidRPr="00E13E45">
        <w:t>thma, IBS</w:t>
      </w:r>
      <w:r w:rsidR="007D2AD0" w:rsidRPr="00E13E45">
        <w:t>, or Chronic Fatigue Syndrome</w:t>
      </w:r>
      <w:r w:rsidR="00EC7952">
        <w:t xml:space="preserve"> [CFS]</w:t>
      </w:r>
      <w:r w:rsidR="007D2AD0" w:rsidRPr="00E13E45">
        <w:t>). The second most commonly reported conditions</w:t>
      </w:r>
      <w:r w:rsidR="00F75250" w:rsidRPr="00E13E45">
        <w:t xml:space="preserve"> </w:t>
      </w:r>
      <w:r w:rsidR="007D2AD0" w:rsidRPr="00E13E45">
        <w:t>were</w:t>
      </w:r>
      <w:r w:rsidR="00F75250" w:rsidRPr="00E13E45">
        <w:t xml:space="preserve"> </w:t>
      </w:r>
      <w:r w:rsidR="004B24C6" w:rsidRPr="00E13E45">
        <w:t>IBS</w:t>
      </w:r>
      <w:r w:rsidR="00F75250" w:rsidRPr="00E13E45">
        <w:t xml:space="preserve"> and chronic pain, both reported by 42 participants each (21%). The next most commonly reported condition </w:t>
      </w:r>
      <w:r w:rsidR="00BA6B28" w:rsidRPr="00E13E45">
        <w:t>was asthma (35 respondents: 18</w:t>
      </w:r>
      <w:r w:rsidR="00E207C3" w:rsidRPr="00E13E45">
        <w:t>%), followed by p</w:t>
      </w:r>
      <w:r w:rsidR="00F75250" w:rsidRPr="00E13E45">
        <w:t>olycystic ovar</w:t>
      </w:r>
      <w:r w:rsidR="00E207C3" w:rsidRPr="00E13E45">
        <w:t>y syndrome (25 respondents:</w:t>
      </w:r>
      <w:r w:rsidR="00BA6B28" w:rsidRPr="00E13E45">
        <w:t xml:space="preserve"> 13</w:t>
      </w:r>
      <w:r w:rsidR="003606A9" w:rsidRPr="00E13E45">
        <w:t xml:space="preserve">%). See Table </w:t>
      </w:r>
      <w:r w:rsidR="007D3D43">
        <w:t>II</w:t>
      </w:r>
      <w:r w:rsidR="00F75250" w:rsidRPr="00E13E45">
        <w:t xml:space="preserve"> for details of conditions reported by five or more participants.</w:t>
      </w:r>
      <w:r w:rsidR="008953F9" w:rsidRPr="00E13E45">
        <w:t xml:space="preserve"> </w:t>
      </w:r>
    </w:p>
    <w:p w14:paraId="6B981C95" w14:textId="591255A5" w:rsidR="000638B2" w:rsidRDefault="00176888" w:rsidP="00176888">
      <w:pPr>
        <w:spacing w:line="480" w:lineRule="auto"/>
        <w:jc w:val="center"/>
      </w:pPr>
      <w:r>
        <w:t xml:space="preserve">[INSERT TABLE </w:t>
      </w:r>
      <w:r w:rsidR="00667840">
        <w:t>II</w:t>
      </w:r>
      <w:r>
        <w:t xml:space="preserve"> </w:t>
      </w:r>
      <w:r w:rsidR="00C11B18">
        <w:t xml:space="preserve">NEAR </w:t>
      </w:r>
      <w:r>
        <w:t>HERE]</w:t>
      </w:r>
    </w:p>
    <w:p w14:paraId="37B8F901" w14:textId="77777777" w:rsidR="003960F5" w:rsidRDefault="003960F5" w:rsidP="00176888">
      <w:pPr>
        <w:spacing w:line="480" w:lineRule="auto"/>
        <w:jc w:val="center"/>
      </w:pPr>
    </w:p>
    <w:p w14:paraId="696E6CB2" w14:textId="13121187" w:rsidR="00FD7350" w:rsidRPr="00E13E45" w:rsidRDefault="008953F9" w:rsidP="00A528AA">
      <w:pPr>
        <w:spacing w:line="480" w:lineRule="auto"/>
      </w:pPr>
      <w:r w:rsidRPr="00E13E45">
        <w:t xml:space="preserve">Despite the variety of conditions reported, </w:t>
      </w:r>
      <w:r w:rsidR="005A1BB1">
        <w:t xml:space="preserve">the most commonly reported symptoms with a significant impact on their </w:t>
      </w:r>
      <w:r w:rsidR="007E739C">
        <w:t xml:space="preserve">everyday </w:t>
      </w:r>
      <w:r w:rsidR="005A1BB1">
        <w:t>life were</w:t>
      </w:r>
      <w:r w:rsidR="00FD7350" w:rsidRPr="00E13E45">
        <w:t xml:space="preserve"> pain (91%) and fatigue (85%)</w:t>
      </w:r>
      <w:r w:rsidRPr="00E13E45">
        <w:t>.</w:t>
      </w:r>
      <w:r w:rsidR="000E2980" w:rsidRPr="00E13E45">
        <w:t xml:space="preserve"> </w:t>
      </w:r>
      <w:r w:rsidR="005A1BB1">
        <w:t>T</w:t>
      </w:r>
      <w:r w:rsidR="000E2980" w:rsidRPr="00E13E45">
        <w:t>he most common</w:t>
      </w:r>
      <w:r w:rsidR="00176888">
        <w:t>ly</w:t>
      </w:r>
      <w:r w:rsidR="000E2980" w:rsidRPr="00E13E45">
        <w:t xml:space="preserve"> </w:t>
      </w:r>
      <w:r w:rsidR="005A1BB1">
        <w:t xml:space="preserve">reported lifestyle </w:t>
      </w:r>
      <w:r w:rsidR="00176888">
        <w:t>adjustments</w:t>
      </w:r>
      <w:r w:rsidR="007E739C">
        <w:t xml:space="preserve"> included</w:t>
      </w:r>
      <w:r w:rsidR="003A07EA">
        <w:t>:</w:t>
      </w:r>
      <w:r w:rsidR="000E2980" w:rsidRPr="00E13E45">
        <w:t xml:space="preserve"> dietary changes</w:t>
      </w:r>
      <w:r w:rsidR="00451238">
        <w:t xml:space="preserve"> </w:t>
      </w:r>
      <w:r w:rsidR="00176888">
        <w:t>(</w:t>
      </w:r>
      <w:r w:rsidR="00451238">
        <w:t>34%</w:t>
      </w:r>
      <w:r w:rsidR="00176888">
        <w:t>)</w:t>
      </w:r>
      <w:r w:rsidR="000E2980" w:rsidRPr="00E13E45">
        <w:t xml:space="preserve"> (</w:t>
      </w:r>
      <w:proofErr w:type="gramStart"/>
      <w:r w:rsidR="000E2980" w:rsidRPr="00E13E45">
        <w:t>e.g.</w:t>
      </w:r>
      <w:proofErr w:type="gramEnd"/>
      <w:r w:rsidR="000E2980" w:rsidRPr="00E13E45">
        <w:t xml:space="preserve"> </w:t>
      </w:r>
      <w:r w:rsidR="00661520" w:rsidRPr="00E13E45">
        <w:t>reducing or excluding</w:t>
      </w:r>
      <w:r w:rsidR="000E2980" w:rsidRPr="00E13E45">
        <w:t xml:space="preserve"> gluten, dairy, sugar, caffeine, alcohol</w:t>
      </w:r>
      <w:r w:rsidR="00451238">
        <w:t>)</w:t>
      </w:r>
      <w:r w:rsidR="00661520" w:rsidRPr="00E13E45">
        <w:t xml:space="preserve">; </w:t>
      </w:r>
      <w:r w:rsidR="000E2980" w:rsidRPr="00E13E45">
        <w:t>red</w:t>
      </w:r>
      <w:r w:rsidR="00661520" w:rsidRPr="00E13E45">
        <w:t>uced physical activity/exercise</w:t>
      </w:r>
      <w:r w:rsidR="000E2980" w:rsidRPr="00E13E45">
        <w:t xml:space="preserve"> </w:t>
      </w:r>
      <w:r w:rsidR="00661520" w:rsidRPr="00E13E45">
        <w:t>(</w:t>
      </w:r>
      <w:r w:rsidR="000E2980" w:rsidRPr="00E13E45">
        <w:t>24%</w:t>
      </w:r>
      <w:r w:rsidR="00661520" w:rsidRPr="00E13E45">
        <w:t>)</w:t>
      </w:r>
      <w:r w:rsidR="000E2980" w:rsidRPr="00E13E45">
        <w:t xml:space="preserve">; reduced/adjusted work/study hours </w:t>
      </w:r>
      <w:r w:rsidR="00451238">
        <w:t xml:space="preserve">(21%) </w:t>
      </w:r>
      <w:r w:rsidR="000E2980" w:rsidRPr="00E13E45">
        <w:t xml:space="preserve">(including later </w:t>
      </w:r>
      <w:r w:rsidR="000E2980" w:rsidRPr="00E13E45">
        <w:lastRenderedPageBreak/>
        <w:t>starts, regular breaks, missing some classes)</w:t>
      </w:r>
      <w:r w:rsidR="00661520" w:rsidRPr="00E13E45">
        <w:t>;</w:t>
      </w:r>
      <w:r w:rsidR="000E2980" w:rsidRPr="00E13E45">
        <w:t xml:space="preserve"> more sleep/rest</w:t>
      </w:r>
      <w:r w:rsidR="00661520" w:rsidRPr="00E13E45">
        <w:t xml:space="preserve"> and </w:t>
      </w:r>
      <w:r w:rsidR="00451238">
        <w:t>‘</w:t>
      </w:r>
      <w:r w:rsidR="00661520" w:rsidRPr="00E13E45">
        <w:t>pacing</w:t>
      </w:r>
      <w:r w:rsidR="00451238">
        <w:t>’</w:t>
      </w:r>
      <w:r w:rsidR="00661520" w:rsidRPr="00E13E45">
        <w:t xml:space="preserve"> (21%); </w:t>
      </w:r>
      <w:r w:rsidR="00441308" w:rsidRPr="00E13E45">
        <w:t xml:space="preserve">and </w:t>
      </w:r>
      <w:r w:rsidR="00661520" w:rsidRPr="00E13E45">
        <w:t xml:space="preserve">engaging in </w:t>
      </w:r>
      <w:r w:rsidR="000E2980" w:rsidRPr="00E13E45">
        <w:t xml:space="preserve">less social activities </w:t>
      </w:r>
      <w:r w:rsidR="00661520" w:rsidRPr="00E13E45">
        <w:t>(</w:t>
      </w:r>
      <w:r w:rsidR="000E2980" w:rsidRPr="00E13E45">
        <w:t>14%</w:t>
      </w:r>
      <w:r w:rsidR="00661520" w:rsidRPr="00E13E45">
        <w:t>)</w:t>
      </w:r>
      <w:r w:rsidR="00441308" w:rsidRPr="00E13E45">
        <w:t>.</w:t>
      </w:r>
      <w:r w:rsidR="00BA6B28" w:rsidRPr="00E13E45">
        <w:t xml:space="preserve"> 57</w:t>
      </w:r>
      <w:r w:rsidR="006328BC" w:rsidRPr="00E13E45">
        <w:t xml:space="preserve">% of respondents reported </w:t>
      </w:r>
      <w:r w:rsidR="00451238">
        <w:t>they had</w:t>
      </w:r>
      <w:r w:rsidR="006328BC" w:rsidRPr="00E13E45">
        <w:t xml:space="preserve"> taken a short break from th</w:t>
      </w:r>
      <w:r w:rsidR="00BA6B28" w:rsidRPr="00E13E45">
        <w:t>eir course (e.g. one term), 39</w:t>
      </w:r>
      <w:r w:rsidR="006328BC" w:rsidRPr="00E13E45">
        <w:t>% reported having a long break from their course (e.g. one year),</w:t>
      </w:r>
      <w:r w:rsidR="00C14A87" w:rsidRPr="00E13E45">
        <w:t xml:space="preserve"> </w:t>
      </w:r>
      <w:r w:rsidR="00BA6B28" w:rsidRPr="00E13E45">
        <w:t>21</w:t>
      </w:r>
      <w:r w:rsidR="006328BC" w:rsidRPr="00E13E45">
        <w:t>% reported havin</w:t>
      </w:r>
      <w:r w:rsidR="00BA6B28" w:rsidRPr="00E13E45">
        <w:t>g changed their course, and 11</w:t>
      </w:r>
      <w:r w:rsidR="006328BC" w:rsidRPr="00E13E45">
        <w:t>% reported having repeated a year of their course</w:t>
      </w:r>
      <w:r w:rsidR="007E739C">
        <w:t xml:space="preserve"> – with </w:t>
      </w:r>
      <w:r w:rsidR="006328BC" w:rsidRPr="00E13E45">
        <w:t>92% report</w:t>
      </w:r>
      <w:r w:rsidR="007E739C">
        <w:t>ing</w:t>
      </w:r>
      <w:r w:rsidR="00985D75">
        <w:t xml:space="preserve"> </w:t>
      </w:r>
      <w:r w:rsidR="006328BC" w:rsidRPr="00E13E45">
        <w:t>that this was due to health reasons.</w:t>
      </w:r>
    </w:p>
    <w:p w14:paraId="3501F944" w14:textId="0D272FE1" w:rsidR="001E36C1" w:rsidRPr="00E13E45" w:rsidRDefault="001E36C1" w:rsidP="004D58A8">
      <w:pPr>
        <w:spacing w:line="480" w:lineRule="auto"/>
      </w:pPr>
    </w:p>
    <w:p w14:paraId="1C6A181A" w14:textId="4E357F05" w:rsidR="00176888" w:rsidRDefault="00176888" w:rsidP="00D43A10">
      <w:pPr>
        <w:spacing w:line="480" w:lineRule="auto"/>
        <w:rPr>
          <w:b/>
          <w:i/>
        </w:rPr>
      </w:pPr>
      <w:r>
        <w:rPr>
          <w:b/>
          <w:i/>
        </w:rPr>
        <w:t>University support</w:t>
      </w:r>
    </w:p>
    <w:p w14:paraId="4F11E730" w14:textId="1C85F310" w:rsidR="002A2D01" w:rsidRDefault="00D75025" w:rsidP="002A2D01">
      <w:pPr>
        <w:spacing w:line="480" w:lineRule="auto"/>
      </w:pPr>
      <w:r>
        <w:t xml:space="preserve">As part of the survey, we </w:t>
      </w:r>
      <w:r w:rsidR="00985D75">
        <w:t xml:space="preserve">also </w:t>
      </w:r>
      <w:r>
        <w:t>aimed to capture students’ experiences of support for their LTC</w:t>
      </w:r>
      <w:r w:rsidR="00D44C6C">
        <w:t>/s</w:t>
      </w:r>
      <w:r>
        <w:t xml:space="preserve">. </w:t>
      </w:r>
      <w:r w:rsidR="002A2D01" w:rsidRPr="00E13E45">
        <w:t>The most common response to the question</w:t>
      </w:r>
      <w:r w:rsidR="00985D75">
        <w:t>,</w:t>
      </w:r>
      <w:r w:rsidR="002A2D01" w:rsidRPr="00E13E45">
        <w:t xml:space="preserve"> ‘Where do you get support from for managing your </w:t>
      </w:r>
      <w:r w:rsidR="00257FAC">
        <w:t>LTC/s</w:t>
      </w:r>
      <w:r w:rsidR="002A2D01" w:rsidRPr="00E13E45">
        <w:t>?’ (</w:t>
      </w:r>
      <w:r w:rsidR="001603D1" w:rsidRPr="00E13E45">
        <w:t>See</w:t>
      </w:r>
      <w:r w:rsidR="002A2D01" w:rsidRPr="00E13E45">
        <w:t xml:space="preserve"> Figure </w:t>
      </w:r>
      <w:r w:rsidR="00EF0494">
        <w:t>1</w:t>
      </w:r>
      <w:r w:rsidR="002A2D01" w:rsidRPr="00E13E45">
        <w:t>) was family members</w:t>
      </w:r>
      <w:r w:rsidR="00985D75">
        <w:t xml:space="preserve"> (</w:t>
      </w:r>
      <w:r w:rsidR="00985D75" w:rsidRPr="00997C2C">
        <w:rPr>
          <w:i/>
          <w:iCs/>
        </w:rPr>
        <w:t>n</w:t>
      </w:r>
      <w:r w:rsidR="00985D75">
        <w:t>=</w:t>
      </w:r>
      <w:r w:rsidR="002A2D01" w:rsidRPr="00E13E45">
        <w:t>141</w:t>
      </w:r>
      <w:r w:rsidR="005B3EF9">
        <w:t>:</w:t>
      </w:r>
      <w:r w:rsidR="00997C2C">
        <w:t xml:space="preserve"> </w:t>
      </w:r>
      <w:r w:rsidR="002A2D01" w:rsidRPr="00E13E45">
        <w:t xml:space="preserve">70.5%). This was followed by General Practitioners (GPs) </w:t>
      </w:r>
      <w:r w:rsidR="00985D75">
        <w:t>(</w:t>
      </w:r>
      <w:r w:rsidR="00985D75" w:rsidRPr="00997C2C">
        <w:rPr>
          <w:i/>
          <w:iCs/>
        </w:rPr>
        <w:t>n</w:t>
      </w:r>
      <w:r w:rsidR="00985D75">
        <w:t>=</w:t>
      </w:r>
      <w:r w:rsidR="002A2D01" w:rsidRPr="00E13E45">
        <w:t>125</w:t>
      </w:r>
      <w:r w:rsidR="005B3EF9">
        <w:t>:</w:t>
      </w:r>
      <w:r w:rsidR="00997C2C">
        <w:t xml:space="preserve"> </w:t>
      </w:r>
      <w:r w:rsidR="002A2D01" w:rsidRPr="00E13E45">
        <w:t>62.5%). University services was selected by 46 respondents (23%)</w:t>
      </w:r>
      <w:r>
        <w:t>.</w:t>
      </w:r>
      <w:r w:rsidR="00E72C87">
        <w:t xml:space="preserve"> A</w:t>
      </w:r>
      <w:r w:rsidR="002A2D01" w:rsidRPr="00E13E45">
        <w:t xml:space="preserve"> follow-up question asked those who selected ‘university services’ as a source of support to specify the nature of this support. The most common source of support was from the university disability services (</w:t>
      </w:r>
      <w:r w:rsidR="002A2D01" w:rsidRPr="00E13E45">
        <w:rPr>
          <w:i/>
        </w:rPr>
        <w:t>n</w:t>
      </w:r>
      <w:r w:rsidR="002A2D01" w:rsidRPr="00E13E45">
        <w:t>=36: 76.6%), followed by a university staff member such as a personal tutor (</w:t>
      </w:r>
      <w:r w:rsidR="002A2D01" w:rsidRPr="00E13E45">
        <w:rPr>
          <w:i/>
        </w:rPr>
        <w:t>n</w:t>
      </w:r>
      <w:r w:rsidR="002A2D01" w:rsidRPr="00E13E45">
        <w:t xml:space="preserve">=28: 59.6%). Only seven respondents (14.9%) reported receiving support from university counselling services, and only three (6.4%) cited receiving support from their student’s union. </w:t>
      </w:r>
    </w:p>
    <w:p w14:paraId="641A61B5" w14:textId="77777777" w:rsidR="009B3835" w:rsidRPr="00E13E45" w:rsidRDefault="009B3835" w:rsidP="002A2D01">
      <w:pPr>
        <w:spacing w:line="480" w:lineRule="auto"/>
      </w:pPr>
    </w:p>
    <w:p w14:paraId="10B81064" w14:textId="7F66A367" w:rsidR="002A2D01" w:rsidRPr="00E13E45" w:rsidRDefault="002A2D01" w:rsidP="002A2D01">
      <w:pPr>
        <w:spacing w:line="480" w:lineRule="auto"/>
      </w:pPr>
      <w:r w:rsidRPr="00E13E45">
        <w:t xml:space="preserve">When asked whether they had any good examples of how their university had supported them in living with their </w:t>
      </w:r>
      <w:r w:rsidR="005A55A2" w:rsidRPr="00E13E45">
        <w:t>LTC/s,</w:t>
      </w:r>
      <w:r w:rsidRPr="00E13E45">
        <w:t xml:space="preserve"> 59 out of 140 </w:t>
      </w:r>
      <w:r w:rsidR="005A55A2" w:rsidRPr="00E13E45">
        <w:t xml:space="preserve">(42%) </w:t>
      </w:r>
      <w:r w:rsidRPr="00E13E45">
        <w:t>respondents said ‘no’ or ‘not applicable’. Of the remaining respondents,</w:t>
      </w:r>
      <w:r w:rsidR="005A55A2" w:rsidRPr="00E13E45">
        <w:t xml:space="preserve"> the most common </w:t>
      </w:r>
      <w:r w:rsidR="00985D75">
        <w:t>responses included: the</w:t>
      </w:r>
      <w:r w:rsidR="005A55A2" w:rsidRPr="00E13E45">
        <w:t xml:space="preserve"> university granting extensions</w:t>
      </w:r>
      <w:r w:rsidR="00985D75">
        <w:t xml:space="preserve"> for academic work</w:t>
      </w:r>
      <w:r w:rsidR="003D2689" w:rsidRPr="00E13E45">
        <w:t xml:space="preserve"> (</w:t>
      </w:r>
      <w:r w:rsidR="003D2689" w:rsidRPr="00E13E45">
        <w:rPr>
          <w:i/>
        </w:rPr>
        <w:t>n</w:t>
      </w:r>
      <w:r w:rsidR="003D2689" w:rsidRPr="00E13E45">
        <w:t>=26);</w:t>
      </w:r>
      <w:r w:rsidR="005A55A2" w:rsidRPr="00E13E45">
        <w:t xml:space="preserve"> </w:t>
      </w:r>
      <w:r w:rsidR="003D2689" w:rsidRPr="00E13E45">
        <w:t xml:space="preserve">individual staff members </w:t>
      </w:r>
      <w:r w:rsidR="00E72C87">
        <w:t>(e.g.</w:t>
      </w:r>
      <w:r w:rsidR="003D2689" w:rsidRPr="00E13E45">
        <w:t xml:space="preserve"> personal tutors, dissertation supervisors, lecturers</w:t>
      </w:r>
      <w:r w:rsidR="00985D75">
        <w:t>,</w:t>
      </w:r>
      <w:r w:rsidR="003D2689" w:rsidRPr="00E13E45">
        <w:t xml:space="preserve"> disability </w:t>
      </w:r>
      <w:r w:rsidR="003D2689" w:rsidRPr="00E13E45">
        <w:lastRenderedPageBreak/>
        <w:t>advisors</w:t>
      </w:r>
      <w:r w:rsidR="00E72C87">
        <w:t>)</w:t>
      </w:r>
      <w:r w:rsidR="003D2689" w:rsidRPr="00E13E45">
        <w:t xml:space="preserve"> being understanding and supportive </w:t>
      </w:r>
      <w:r w:rsidR="005A55A2" w:rsidRPr="00E13E45">
        <w:t>(</w:t>
      </w:r>
      <w:r w:rsidR="005A55A2" w:rsidRPr="00E13E45">
        <w:rPr>
          <w:i/>
        </w:rPr>
        <w:t>n</w:t>
      </w:r>
      <w:r w:rsidR="005A55A2" w:rsidRPr="00E13E45">
        <w:t>=22)</w:t>
      </w:r>
      <w:r w:rsidR="003D2689" w:rsidRPr="00E13E45">
        <w:t>;</w:t>
      </w:r>
      <w:r w:rsidR="005A55A2" w:rsidRPr="00E13E45">
        <w:t xml:space="preserve"> the university a</w:t>
      </w:r>
      <w:r w:rsidR="003D2689" w:rsidRPr="00E13E45">
        <w:t>llowing for</w:t>
      </w:r>
      <w:r w:rsidR="005A55A2" w:rsidRPr="00E13E45">
        <w:t xml:space="preserve"> </w:t>
      </w:r>
      <w:r w:rsidR="003D2689" w:rsidRPr="00E13E45">
        <w:t xml:space="preserve">short-term </w:t>
      </w:r>
      <w:r w:rsidR="005A55A2" w:rsidRPr="00E13E45">
        <w:t>absences (</w:t>
      </w:r>
      <w:r w:rsidR="005A55A2" w:rsidRPr="00E13E45">
        <w:rPr>
          <w:i/>
        </w:rPr>
        <w:t>n</w:t>
      </w:r>
      <w:r w:rsidR="00C4504B" w:rsidRPr="00E13E45">
        <w:t>=14);</w:t>
      </w:r>
      <w:r w:rsidR="005A55A2" w:rsidRPr="00E13E45">
        <w:t xml:space="preserve"> the university allowing for special examination accommodations</w:t>
      </w:r>
      <w:r w:rsidR="00985D75">
        <w:t>,</w:t>
      </w:r>
      <w:r w:rsidR="005A55A2" w:rsidRPr="00E13E45">
        <w:t xml:space="preserve"> </w:t>
      </w:r>
      <w:r w:rsidR="00C4504B" w:rsidRPr="00E13E45">
        <w:t>such as</w:t>
      </w:r>
      <w:r w:rsidR="005A55A2" w:rsidRPr="00E13E45">
        <w:t xml:space="preserve"> </w:t>
      </w:r>
      <w:r w:rsidR="00C4504B" w:rsidRPr="00E13E45">
        <w:t xml:space="preserve">rest </w:t>
      </w:r>
      <w:r w:rsidR="005A55A2" w:rsidRPr="00E13E45">
        <w:t>breaks</w:t>
      </w:r>
      <w:r w:rsidR="00C4504B" w:rsidRPr="00E13E45">
        <w:t xml:space="preserve"> or extra time </w:t>
      </w:r>
      <w:r w:rsidR="005A55A2" w:rsidRPr="00E13E45">
        <w:t>(</w:t>
      </w:r>
      <w:r w:rsidR="005A55A2" w:rsidRPr="00E13E45">
        <w:rPr>
          <w:i/>
        </w:rPr>
        <w:t>n</w:t>
      </w:r>
      <w:r w:rsidR="00C4504B" w:rsidRPr="00E13E45">
        <w:t>=11); s</w:t>
      </w:r>
      <w:r w:rsidR="005A55A2" w:rsidRPr="00E13E45">
        <w:t>tudent support plan</w:t>
      </w:r>
      <w:r w:rsidR="00C4504B" w:rsidRPr="00E13E45">
        <w:t xml:space="preserve">s being put in place </w:t>
      </w:r>
      <w:r w:rsidR="005A55A2" w:rsidRPr="00E13E45">
        <w:t>(</w:t>
      </w:r>
      <w:r w:rsidR="005A55A2" w:rsidRPr="00E13E45">
        <w:rPr>
          <w:i/>
        </w:rPr>
        <w:t>n</w:t>
      </w:r>
      <w:r w:rsidR="00C4504B" w:rsidRPr="00E13E45">
        <w:t>=6); and having</w:t>
      </w:r>
      <w:r w:rsidR="005A55A2" w:rsidRPr="00E13E45">
        <w:t xml:space="preserve"> </w:t>
      </w:r>
      <w:r w:rsidR="00C4504B" w:rsidRPr="00E13E45">
        <w:t>a</w:t>
      </w:r>
      <w:r w:rsidR="005A55A2" w:rsidRPr="00E13E45">
        <w:t>ccess to free university counselling</w:t>
      </w:r>
      <w:r w:rsidR="00412C60" w:rsidRPr="00E13E45">
        <w:t xml:space="preserve"> services</w:t>
      </w:r>
      <w:r w:rsidR="005A55A2" w:rsidRPr="00E13E45">
        <w:t xml:space="preserve"> (</w:t>
      </w:r>
      <w:r w:rsidR="005A55A2" w:rsidRPr="00E13E45">
        <w:rPr>
          <w:i/>
        </w:rPr>
        <w:t>n</w:t>
      </w:r>
      <w:r w:rsidR="005A55A2" w:rsidRPr="00E13E45">
        <w:t>=5)</w:t>
      </w:r>
      <w:r w:rsidR="00C4504B" w:rsidRPr="00E13E45">
        <w:t>.</w:t>
      </w:r>
      <w:r w:rsidR="003A53E6" w:rsidRPr="00E13E45">
        <w:t xml:space="preserve"> </w:t>
      </w:r>
      <w:r w:rsidR="00A3589A">
        <w:t xml:space="preserve"> Open-ended responses provided insights into how students valued these forms of support:</w:t>
      </w:r>
    </w:p>
    <w:p w14:paraId="005982CE" w14:textId="77777777" w:rsidR="002A2D01" w:rsidRPr="00E13E45" w:rsidRDefault="002A2D01" w:rsidP="002A2D01">
      <w:pPr>
        <w:spacing w:line="480" w:lineRule="auto"/>
      </w:pPr>
    </w:p>
    <w:p w14:paraId="04FBCE57" w14:textId="77777777" w:rsidR="002A2D01" w:rsidRPr="00E13E45" w:rsidRDefault="002A2D01" w:rsidP="002A2D01">
      <w:pPr>
        <w:spacing w:line="480" w:lineRule="auto"/>
        <w:ind w:left="567"/>
        <w:rPr>
          <w:lang w:val="en-US"/>
        </w:rPr>
      </w:pPr>
      <w:r w:rsidRPr="00E13E45">
        <w:rPr>
          <w:lang w:val="en-US"/>
        </w:rPr>
        <w:t xml:space="preserve">The student disability services team have been great this year - allowing me to have extensions, special exam arrangements and allowances for absences. </w:t>
      </w:r>
    </w:p>
    <w:p w14:paraId="4B27873E" w14:textId="469F09E6" w:rsidR="002A2D01" w:rsidRPr="00E13E45" w:rsidRDefault="002A2D01" w:rsidP="002A2D01">
      <w:pPr>
        <w:spacing w:line="480" w:lineRule="auto"/>
        <w:ind w:left="567"/>
        <w:rPr>
          <w:lang w:val="en-US"/>
        </w:rPr>
      </w:pPr>
      <w:r w:rsidRPr="00E13E45">
        <w:rPr>
          <w:lang w:val="en-US"/>
        </w:rPr>
        <w:t xml:space="preserve">My lecturer is very helpful when it comes to understanding my condition. She allows me to link into lectures from home and keep in contact through email as and when it's needed. </w:t>
      </w:r>
    </w:p>
    <w:p w14:paraId="06347C13" w14:textId="3A869CFC" w:rsidR="002A2D01" w:rsidRPr="00E13E45" w:rsidRDefault="002A2D01" w:rsidP="0076703B">
      <w:pPr>
        <w:spacing w:line="480" w:lineRule="auto"/>
        <w:rPr>
          <w:lang w:val="en-US"/>
        </w:rPr>
      </w:pPr>
    </w:p>
    <w:p w14:paraId="26888FC3" w14:textId="77777777" w:rsidR="002A2D01" w:rsidRPr="00E13E45" w:rsidRDefault="002A2D01" w:rsidP="002A2D01">
      <w:pPr>
        <w:spacing w:line="480" w:lineRule="auto"/>
        <w:ind w:left="567"/>
        <w:rPr>
          <w:lang w:val="en-US"/>
        </w:rPr>
      </w:pPr>
      <w:r w:rsidRPr="00E13E45">
        <w:rPr>
          <w:lang w:val="en-US"/>
        </w:rPr>
        <w:t xml:space="preserve">My department has been excellent at allowing me time to recover, extending deadlines, and supporting me in my course. When I needed it, I was also fast tracked on the university counselling services. </w:t>
      </w:r>
    </w:p>
    <w:p w14:paraId="7B513C9B" w14:textId="77777777" w:rsidR="002A2D01" w:rsidRPr="00E13E45" w:rsidRDefault="002A2D01" w:rsidP="002A2D01">
      <w:pPr>
        <w:spacing w:line="480" w:lineRule="auto"/>
        <w:ind w:left="567"/>
      </w:pPr>
      <w:r w:rsidRPr="00E13E45">
        <w:rPr>
          <w:lang w:val="en-US"/>
        </w:rPr>
        <w:t xml:space="preserve">My university designs Learning Support </w:t>
      </w:r>
      <w:proofErr w:type="spellStart"/>
      <w:r w:rsidRPr="00E13E45">
        <w:rPr>
          <w:lang w:val="en-US"/>
        </w:rPr>
        <w:t>Programmes</w:t>
      </w:r>
      <w:proofErr w:type="spellEnd"/>
      <w:r w:rsidRPr="00E13E45">
        <w:rPr>
          <w:lang w:val="en-US"/>
        </w:rPr>
        <w:t xml:space="preserve"> which are tailored to each student and sent to departments/lecturers…mine has a section specifically on the result of absences and how this isn't my fault, a section on assessments giving me access to extensions without having to provide medical proof…and advice on fieldwork and how I may not be able to do anything/everything so lecturers should have contingency plans in place. </w:t>
      </w:r>
    </w:p>
    <w:p w14:paraId="768EF62C" w14:textId="0890644C" w:rsidR="002A2D01" w:rsidRDefault="002A2D01" w:rsidP="002A2D01">
      <w:pPr>
        <w:spacing w:line="480" w:lineRule="auto"/>
      </w:pPr>
    </w:p>
    <w:p w14:paraId="2664670A" w14:textId="77777777" w:rsidR="007D3D43" w:rsidRPr="00E13E45" w:rsidRDefault="007D3D43" w:rsidP="002A2D01">
      <w:pPr>
        <w:spacing w:line="480" w:lineRule="auto"/>
      </w:pPr>
    </w:p>
    <w:p w14:paraId="61703FD5" w14:textId="6581CE97" w:rsidR="00176888" w:rsidRPr="00E13E45" w:rsidRDefault="00A3589A" w:rsidP="00176888">
      <w:pPr>
        <w:spacing w:line="480" w:lineRule="auto"/>
      </w:pPr>
      <w:r>
        <w:lastRenderedPageBreak/>
        <w:t>As suggested, a</w:t>
      </w:r>
      <w:r w:rsidR="002F02DD">
        <w:t xml:space="preserve">ccessing </w:t>
      </w:r>
      <w:r>
        <w:t>university-based</w:t>
      </w:r>
      <w:r w:rsidR="002F02DD">
        <w:t xml:space="preserve"> support is usually dependent on disclosure. </w:t>
      </w:r>
      <w:r w:rsidR="00176888" w:rsidRPr="00E13E45">
        <w:t xml:space="preserve">When asked whether they had disclosed their LTC/s to their university, 147 participants (75%) said </w:t>
      </w:r>
      <w:r>
        <w:t>‘</w:t>
      </w:r>
      <w:r w:rsidR="00176888" w:rsidRPr="00E13E45">
        <w:t>yes</w:t>
      </w:r>
      <w:r>
        <w:t>’</w:t>
      </w:r>
      <w:r w:rsidR="00176888" w:rsidRPr="00E13E45">
        <w:t xml:space="preserve">. </w:t>
      </w:r>
      <w:r w:rsidR="003D2476">
        <w:t xml:space="preserve">Reasons for disclosure </w:t>
      </w:r>
      <w:r>
        <w:t>includ</w:t>
      </w:r>
      <w:r w:rsidR="003D2476">
        <w:t>ed</w:t>
      </w:r>
      <w:r>
        <w:t xml:space="preserve">: the </w:t>
      </w:r>
      <w:r w:rsidR="00176888" w:rsidRPr="00E13E45">
        <w:t xml:space="preserve">impact of their condition/s on their attendance and performance (36%), having specific needs and requiring adjustments to their course or assessment </w:t>
      </w:r>
      <w:r w:rsidR="003D2476">
        <w:t>(</w:t>
      </w:r>
      <w:r w:rsidR="00176888" w:rsidRPr="00E13E45">
        <w:t>e.g. requiring extensions to deadlines or needing specialised equipment</w:t>
      </w:r>
      <w:r w:rsidR="003D2476">
        <w:t>)</w:t>
      </w:r>
      <w:r w:rsidR="00176888" w:rsidRPr="00E13E45">
        <w:t xml:space="preserve"> (21%), needing time off </w:t>
      </w:r>
      <w:r w:rsidR="003D2476">
        <w:t>(</w:t>
      </w:r>
      <w:r w:rsidR="00176888" w:rsidRPr="00E13E45">
        <w:t>e.g. for operations, appointments, tests/procedures</w:t>
      </w:r>
      <w:r w:rsidR="003D2476">
        <w:t xml:space="preserve">) </w:t>
      </w:r>
      <w:r w:rsidR="00176888" w:rsidRPr="00E13E45">
        <w:t xml:space="preserve">(17%), and needing general support (16%). </w:t>
      </w:r>
      <w:r w:rsidR="003D2476">
        <w:t>R</w:t>
      </w:r>
      <w:r w:rsidR="00176888" w:rsidRPr="00E13E45">
        <w:t xml:space="preserve">easons for non-disclosure </w:t>
      </w:r>
      <w:r w:rsidR="003D2476">
        <w:t xml:space="preserve">from the remaining 48 respondents (25%) </w:t>
      </w:r>
      <w:r w:rsidR="00176888" w:rsidRPr="00E13E45">
        <w:t>included fear of stigma/lack of understanding (22%), not envisioning getting any help/support (20%), not seeing the need to disclose (20%), the word ‘disability’ (7%)</w:t>
      </w:r>
      <w:r w:rsidR="00D43F17">
        <w:t xml:space="preserve"> – a term that has been previously reported as not seeming relevant to students with chronic conditions </w:t>
      </w:r>
      <w:r w:rsidR="00E1549B">
        <w:t xml:space="preserve">and because they do not see themselves as being ‘disabled’ </w:t>
      </w:r>
      <w:r w:rsidR="00D43F17">
        <w:t>(</w:t>
      </w:r>
      <w:r w:rsidR="001603D1">
        <w:t xml:space="preserve">see </w:t>
      </w:r>
      <w:r w:rsidR="00D43F17">
        <w:t xml:space="preserve">Grimes </w:t>
      </w:r>
      <w:r w:rsidR="00D43F17" w:rsidRPr="006C578E">
        <w:rPr>
          <w:i/>
          <w:iCs/>
        </w:rPr>
        <w:t>et al</w:t>
      </w:r>
      <w:r w:rsidR="00D43F17">
        <w:rPr>
          <w:i/>
          <w:iCs/>
        </w:rPr>
        <w:t>.,</w:t>
      </w:r>
      <w:r w:rsidR="00D43F17">
        <w:t xml:space="preserve"> 2019, Spencer </w:t>
      </w:r>
      <w:r w:rsidR="00D43F17" w:rsidRPr="006C578E">
        <w:rPr>
          <w:i/>
          <w:iCs/>
        </w:rPr>
        <w:t>et al</w:t>
      </w:r>
      <w:r w:rsidR="00D43F17">
        <w:t>., 2018, 2019)</w:t>
      </w:r>
      <w:r w:rsidR="00176888" w:rsidRPr="00E13E45">
        <w:t xml:space="preserve">, not knowing how to disclose (7%) and not having been asked </w:t>
      </w:r>
      <w:r w:rsidR="003D2476">
        <w:t xml:space="preserve">about their health </w:t>
      </w:r>
      <w:r w:rsidR="00176888" w:rsidRPr="00E13E45">
        <w:t>(7%).</w:t>
      </w:r>
    </w:p>
    <w:p w14:paraId="55BD54B4" w14:textId="4297D998" w:rsidR="00F57ACF" w:rsidRDefault="00F57ACF" w:rsidP="002A2D01">
      <w:pPr>
        <w:spacing w:line="480" w:lineRule="auto"/>
        <w:rPr>
          <w:bCs/>
          <w:lang w:val="en-US"/>
        </w:rPr>
      </w:pPr>
    </w:p>
    <w:p w14:paraId="6586FD87" w14:textId="1AD554D1" w:rsidR="002A2D01" w:rsidRPr="00E13E45" w:rsidRDefault="003D2476" w:rsidP="002A2D01">
      <w:pPr>
        <w:spacing w:line="480" w:lineRule="auto"/>
        <w:rPr>
          <w:bCs/>
          <w:lang w:val="en-US"/>
        </w:rPr>
      </w:pPr>
      <w:r>
        <w:rPr>
          <w:bCs/>
          <w:lang w:val="en-US"/>
        </w:rPr>
        <w:t xml:space="preserve">We </w:t>
      </w:r>
      <w:r w:rsidR="001E7980">
        <w:rPr>
          <w:bCs/>
          <w:lang w:val="en-US"/>
        </w:rPr>
        <w:t>also asked</w:t>
      </w:r>
      <w:r>
        <w:rPr>
          <w:bCs/>
          <w:lang w:val="en-US"/>
        </w:rPr>
        <w:t xml:space="preserve"> respondents</w:t>
      </w:r>
      <w:r w:rsidR="0010714C">
        <w:rPr>
          <w:bCs/>
          <w:lang w:val="en-US"/>
        </w:rPr>
        <w:t xml:space="preserve"> to provide </w:t>
      </w:r>
      <w:r w:rsidR="002A2D01" w:rsidRPr="00E13E45">
        <w:rPr>
          <w:bCs/>
          <w:lang w:val="en-US"/>
        </w:rPr>
        <w:t>examples of how their university could have improved how they had supported them in living with</w:t>
      </w:r>
      <w:r w:rsidR="00C74C09" w:rsidRPr="00E13E45">
        <w:rPr>
          <w:bCs/>
          <w:lang w:val="en-US"/>
        </w:rPr>
        <w:t xml:space="preserve"> their </w:t>
      </w:r>
      <w:r w:rsidR="007664E8" w:rsidRPr="00E13E45">
        <w:rPr>
          <w:bCs/>
          <w:lang w:val="en-US"/>
        </w:rPr>
        <w:t>LTC/s</w:t>
      </w:r>
      <w:r w:rsidR="00C74C09" w:rsidRPr="00E13E45">
        <w:rPr>
          <w:bCs/>
          <w:lang w:val="en-US"/>
        </w:rPr>
        <w:t xml:space="preserve">. </w:t>
      </w:r>
      <w:r w:rsidR="00E1549B">
        <w:rPr>
          <w:bCs/>
          <w:lang w:val="en-US"/>
        </w:rPr>
        <w:t>Responses to this question highlighted the issues students encountered at university</w:t>
      </w:r>
      <w:r w:rsidR="001B66A2">
        <w:rPr>
          <w:bCs/>
          <w:lang w:val="en-US"/>
        </w:rPr>
        <w:t xml:space="preserve"> to illustrate areas that need</w:t>
      </w:r>
      <w:r w:rsidR="001603D1">
        <w:rPr>
          <w:bCs/>
          <w:lang w:val="en-US"/>
        </w:rPr>
        <w:t>ed</w:t>
      </w:r>
      <w:r w:rsidR="00E1549B">
        <w:rPr>
          <w:bCs/>
          <w:lang w:val="en-US"/>
        </w:rPr>
        <w:t xml:space="preserve"> improvement.  For example, m</w:t>
      </w:r>
      <w:r>
        <w:rPr>
          <w:bCs/>
          <w:lang w:val="en-US"/>
        </w:rPr>
        <w:t>any cited</w:t>
      </w:r>
      <w:r w:rsidR="009D1CDA">
        <w:rPr>
          <w:bCs/>
          <w:lang w:val="en-US"/>
        </w:rPr>
        <w:t xml:space="preserve"> being inadequately supported</w:t>
      </w:r>
      <w:r>
        <w:rPr>
          <w:bCs/>
          <w:lang w:val="en-US"/>
        </w:rPr>
        <w:t xml:space="preserve"> and reported</w:t>
      </w:r>
      <w:r w:rsidR="00412C60" w:rsidRPr="00E13E45">
        <w:rPr>
          <w:bCs/>
          <w:lang w:val="en-US"/>
        </w:rPr>
        <w:t xml:space="preserve"> </w:t>
      </w:r>
      <w:r w:rsidR="007664E8" w:rsidRPr="00E13E45">
        <w:rPr>
          <w:bCs/>
          <w:lang w:val="en-US"/>
        </w:rPr>
        <w:t>a l</w:t>
      </w:r>
      <w:r w:rsidR="00412C60" w:rsidRPr="00E13E45">
        <w:rPr>
          <w:bCs/>
          <w:lang w:val="en-US"/>
        </w:rPr>
        <w:t>ack of understanding</w:t>
      </w:r>
      <w:r w:rsidR="009B005E">
        <w:rPr>
          <w:bCs/>
          <w:lang w:val="en-US"/>
        </w:rPr>
        <w:t>/</w:t>
      </w:r>
      <w:r w:rsidR="00412C60" w:rsidRPr="00E13E45">
        <w:rPr>
          <w:bCs/>
          <w:lang w:val="en-US"/>
        </w:rPr>
        <w:t>sensitivity and/or not being believed by</w:t>
      </w:r>
      <w:r w:rsidR="007664E8" w:rsidRPr="00E13E45">
        <w:rPr>
          <w:bCs/>
          <w:lang w:val="en-US"/>
        </w:rPr>
        <w:t xml:space="preserve"> staff members</w:t>
      </w:r>
      <w:r w:rsidR="003106FC">
        <w:rPr>
          <w:bCs/>
          <w:lang w:val="en-US"/>
        </w:rPr>
        <w:t xml:space="preserve"> (e.g. lecturers/tutors, professional services)</w:t>
      </w:r>
      <w:r w:rsidR="00412C60" w:rsidRPr="00E13E45">
        <w:rPr>
          <w:bCs/>
          <w:lang w:val="en-US"/>
        </w:rPr>
        <w:t xml:space="preserve"> (</w:t>
      </w:r>
      <w:r w:rsidR="00412C60" w:rsidRPr="00E13E45">
        <w:rPr>
          <w:bCs/>
          <w:i/>
          <w:lang w:val="en-US"/>
        </w:rPr>
        <w:t>n</w:t>
      </w:r>
      <w:r w:rsidR="00412C60" w:rsidRPr="00E13E45">
        <w:rPr>
          <w:bCs/>
          <w:lang w:val="en-US"/>
        </w:rPr>
        <w:t>=20). The second most common</w:t>
      </w:r>
      <w:r w:rsidR="009B3835" w:rsidRPr="00E13E45">
        <w:rPr>
          <w:bCs/>
          <w:lang w:val="en-US"/>
        </w:rPr>
        <w:t>ly provided</w:t>
      </w:r>
      <w:r w:rsidR="00412C60" w:rsidRPr="00E13E45">
        <w:rPr>
          <w:bCs/>
          <w:lang w:val="en-US"/>
        </w:rPr>
        <w:t xml:space="preserve"> examples related </w:t>
      </w:r>
      <w:r w:rsidR="00114185" w:rsidRPr="00E13E45">
        <w:rPr>
          <w:bCs/>
          <w:lang w:val="en-US"/>
        </w:rPr>
        <w:t>to the university’s appr</w:t>
      </w:r>
      <w:r w:rsidR="001E36C1" w:rsidRPr="00E13E45">
        <w:rPr>
          <w:bCs/>
          <w:lang w:val="en-US"/>
        </w:rPr>
        <w:t>oach to poor attendance</w:t>
      </w:r>
      <w:r w:rsidR="00114185" w:rsidRPr="00E13E45">
        <w:rPr>
          <w:bCs/>
          <w:lang w:val="en-US"/>
        </w:rPr>
        <w:t xml:space="preserve"> due to</w:t>
      </w:r>
      <w:r w:rsidR="001E36C1" w:rsidRPr="00E13E45">
        <w:rPr>
          <w:bCs/>
          <w:lang w:val="en-US"/>
        </w:rPr>
        <w:t xml:space="preserve"> their LTC/s (e.g. being </w:t>
      </w:r>
      <w:proofErr w:type="spellStart"/>
      <w:r w:rsidR="001E36C1" w:rsidRPr="00E13E45">
        <w:rPr>
          <w:bCs/>
          <w:lang w:val="en-US"/>
        </w:rPr>
        <w:t>penalis</w:t>
      </w:r>
      <w:r w:rsidR="00114185" w:rsidRPr="00E13E45">
        <w:rPr>
          <w:bCs/>
          <w:lang w:val="en-US"/>
        </w:rPr>
        <w:t>ed</w:t>
      </w:r>
      <w:proofErr w:type="spellEnd"/>
      <w:r w:rsidR="00114185" w:rsidRPr="00E13E45">
        <w:rPr>
          <w:bCs/>
          <w:lang w:val="en-US"/>
        </w:rPr>
        <w:t xml:space="preserve"> </w:t>
      </w:r>
      <w:r w:rsidR="003106FC">
        <w:rPr>
          <w:bCs/>
          <w:lang w:val="en-US"/>
        </w:rPr>
        <w:t>for absence</w:t>
      </w:r>
      <w:r w:rsidR="00114185" w:rsidRPr="00E13E45">
        <w:rPr>
          <w:bCs/>
          <w:lang w:val="en-US"/>
        </w:rPr>
        <w:t>) (</w:t>
      </w:r>
      <w:r w:rsidR="00114185" w:rsidRPr="00E13E45">
        <w:rPr>
          <w:bCs/>
          <w:i/>
          <w:lang w:val="en-US"/>
        </w:rPr>
        <w:t>n</w:t>
      </w:r>
      <w:r w:rsidR="00412C60" w:rsidRPr="00E13E45">
        <w:rPr>
          <w:bCs/>
          <w:lang w:val="en-US"/>
        </w:rPr>
        <w:t xml:space="preserve">=10). </w:t>
      </w:r>
      <w:r w:rsidR="003106FC">
        <w:rPr>
          <w:bCs/>
          <w:lang w:val="en-US"/>
        </w:rPr>
        <w:t xml:space="preserve">Other responses included staff not </w:t>
      </w:r>
      <w:r w:rsidR="009B005E">
        <w:rPr>
          <w:bCs/>
          <w:lang w:val="en-US"/>
        </w:rPr>
        <w:t>‘</w:t>
      </w:r>
      <w:r w:rsidR="003F7797" w:rsidRPr="00E13E45">
        <w:rPr>
          <w:bCs/>
          <w:lang w:val="en-US"/>
        </w:rPr>
        <w:t>checking-in</w:t>
      </w:r>
      <w:r w:rsidR="009B005E">
        <w:rPr>
          <w:bCs/>
          <w:lang w:val="en-US"/>
        </w:rPr>
        <w:t>’</w:t>
      </w:r>
      <w:r w:rsidR="003F7797" w:rsidRPr="00E13E45">
        <w:rPr>
          <w:bCs/>
          <w:lang w:val="en-US"/>
        </w:rPr>
        <w:t xml:space="preserve"> on students </w:t>
      </w:r>
      <w:r w:rsidR="00412C60" w:rsidRPr="00E13E45">
        <w:rPr>
          <w:bCs/>
          <w:lang w:val="en-US"/>
        </w:rPr>
        <w:t xml:space="preserve">with LTCs </w:t>
      </w:r>
      <w:r w:rsidR="003F7797" w:rsidRPr="00E13E45">
        <w:rPr>
          <w:bCs/>
          <w:lang w:val="en-US"/>
        </w:rPr>
        <w:t>(</w:t>
      </w:r>
      <w:r w:rsidR="003F7797" w:rsidRPr="00E13E45">
        <w:rPr>
          <w:bCs/>
          <w:i/>
          <w:lang w:val="en-US"/>
        </w:rPr>
        <w:t>n</w:t>
      </w:r>
      <w:r w:rsidR="00412C60" w:rsidRPr="00E13E45">
        <w:rPr>
          <w:bCs/>
          <w:lang w:val="en-US"/>
        </w:rPr>
        <w:t>=7);</w:t>
      </w:r>
      <w:r w:rsidR="003F7797" w:rsidRPr="00E13E45">
        <w:rPr>
          <w:bCs/>
          <w:lang w:val="en-US"/>
        </w:rPr>
        <w:t xml:space="preserve"> delays accessing support (</w:t>
      </w:r>
      <w:r w:rsidR="003F7797" w:rsidRPr="00E13E45">
        <w:rPr>
          <w:bCs/>
          <w:i/>
          <w:lang w:val="en-US"/>
        </w:rPr>
        <w:t>n</w:t>
      </w:r>
      <w:r w:rsidR="003F7797" w:rsidRPr="00E13E45">
        <w:rPr>
          <w:bCs/>
          <w:lang w:val="en-US"/>
        </w:rPr>
        <w:t xml:space="preserve">=6); </w:t>
      </w:r>
      <w:r w:rsidR="001E36C1" w:rsidRPr="00E13E45">
        <w:rPr>
          <w:bCs/>
          <w:lang w:val="en-US"/>
        </w:rPr>
        <w:t xml:space="preserve">a lack of </w:t>
      </w:r>
      <w:r w:rsidR="003F7797" w:rsidRPr="00E13E45">
        <w:rPr>
          <w:bCs/>
          <w:lang w:val="en-US"/>
        </w:rPr>
        <w:t xml:space="preserve">support with catching up </w:t>
      </w:r>
      <w:r w:rsidR="009B3835" w:rsidRPr="00E13E45">
        <w:rPr>
          <w:bCs/>
          <w:lang w:val="en-US"/>
        </w:rPr>
        <w:t>with</w:t>
      </w:r>
      <w:r w:rsidR="00412C60" w:rsidRPr="00E13E45">
        <w:rPr>
          <w:bCs/>
          <w:lang w:val="en-US"/>
        </w:rPr>
        <w:t xml:space="preserve"> work</w:t>
      </w:r>
      <w:r w:rsidR="00C11AD2">
        <w:rPr>
          <w:bCs/>
          <w:lang w:val="en-US"/>
        </w:rPr>
        <w:t xml:space="preserve"> </w:t>
      </w:r>
      <w:r w:rsidR="003F7797" w:rsidRPr="00E13E45">
        <w:rPr>
          <w:bCs/>
          <w:lang w:val="en-US"/>
        </w:rPr>
        <w:t>(</w:t>
      </w:r>
      <w:r w:rsidR="003F7797" w:rsidRPr="00E13E45">
        <w:rPr>
          <w:bCs/>
          <w:i/>
          <w:lang w:val="en-US"/>
        </w:rPr>
        <w:t>n</w:t>
      </w:r>
      <w:r w:rsidR="003F7797" w:rsidRPr="00E13E45">
        <w:rPr>
          <w:bCs/>
          <w:lang w:val="en-US"/>
        </w:rPr>
        <w:t xml:space="preserve">=4); </w:t>
      </w:r>
      <w:r w:rsidR="00412C60" w:rsidRPr="00E13E45">
        <w:rPr>
          <w:bCs/>
          <w:lang w:val="en-US"/>
        </w:rPr>
        <w:t xml:space="preserve">a </w:t>
      </w:r>
      <w:r w:rsidR="003F7797" w:rsidRPr="00E13E45">
        <w:rPr>
          <w:bCs/>
          <w:lang w:val="en-US"/>
        </w:rPr>
        <w:t xml:space="preserve">need for better </w:t>
      </w:r>
      <w:r w:rsidR="003F7797" w:rsidRPr="00E13E45">
        <w:rPr>
          <w:bCs/>
          <w:lang w:val="en-US"/>
        </w:rPr>
        <w:lastRenderedPageBreak/>
        <w:t xml:space="preserve">communication </w:t>
      </w:r>
      <w:r w:rsidR="003106FC">
        <w:rPr>
          <w:bCs/>
          <w:lang w:val="en-US"/>
        </w:rPr>
        <w:t>between</w:t>
      </w:r>
      <w:r w:rsidR="00D46DC4">
        <w:rPr>
          <w:bCs/>
          <w:lang w:val="en-US"/>
        </w:rPr>
        <w:t xml:space="preserve"> </w:t>
      </w:r>
      <w:r w:rsidR="003F7797" w:rsidRPr="00E13E45">
        <w:rPr>
          <w:bCs/>
          <w:lang w:val="en-US"/>
        </w:rPr>
        <w:t>disability services and</w:t>
      </w:r>
      <w:r w:rsidR="00412C60" w:rsidRPr="00E13E45">
        <w:rPr>
          <w:bCs/>
          <w:lang w:val="en-US"/>
        </w:rPr>
        <w:t xml:space="preserve"> </w:t>
      </w:r>
      <w:r w:rsidR="00D46DC4">
        <w:rPr>
          <w:bCs/>
          <w:lang w:val="en-US"/>
        </w:rPr>
        <w:t xml:space="preserve">other </w:t>
      </w:r>
      <w:r w:rsidR="00412C60" w:rsidRPr="00E13E45">
        <w:rPr>
          <w:bCs/>
          <w:lang w:val="en-US"/>
        </w:rPr>
        <w:t>university</w:t>
      </w:r>
      <w:r w:rsidR="003F7797" w:rsidRPr="00E13E45">
        <w:rPr>
          <w:bCs/>
          <w:lang w:val="en-US"/>
        </w:rPr>
        <w:t xml:space="preserve"> services</w:t>
      </w:r>
      <w:r w:rsidR="00412C60" w:rsidRPr="00E13E45">
        <w:rPr>
          <w:bCs/>
          <w:lang w:val="en-US"/>
        </w:rPr>
        <w:t>/staff members</w:t>
      </w:r>
      <w:r w:rsidR="003F7797" w:rsidRPr="00E13E45">
        <w:rPr>
          <w:bCs/>
          <w:lang w:val="en-US"/>
        </w:rPr>
        <w:t xml:space="preserve"> (</w:t>
      </w:r>
      <w:r w:rsidR="003F7797" w:rsidRPr="00E13E45">
        <w:rPr>
          <w:bCs/>
          <w:i/>
          <w:lang w:val="en-US"/>
        </w:rPr>
        <w:t>n</w:t>
      </w:r>
      <w:r w:rsidR="003F7797" w:rsidRPr="00E13E45">
        <w:rPr>
          <w:bCs/>
          <w:lang w:val="en-US"/>
        </w:rPr>
        <w:t xml:space="preserve">=4); </w:t>
      </w:r>
      <w:r w:rsidR="001E36C1" w:rsidRPr="00E13E45">
        <w:rPr>
          <w:bCs/>
          <w:lang w:val="en-US"/>
        </w:rPr>
        <w:t xml:space="preserve">a lack of </w:t>
      </w:r>
      <w:r w:rsidR="003F7797" w:rsidRPr="00E13E45">
        <w:rPr>
          <w:bCs/>
          <w:lang w:val="en-US"/>
        </w:rPr>
        <w:t>financial support (</w:t>
      </w:r>
      <w:r w:rsidR="003F7797" w:rsidRPr="00E13E45">
        <w:rPr>
          <w:bCs/>
          <w:i/>
          <w:lang w:val="en-US"/>
        </w:rPr>
        <w:t>n</w:t>
      </w:r>
      <w:r w:rsidR="003F7797" w:rsidRPr="00E13E45">
        <w:rPr>
          <w:bCs/>
          <w:lang w:val="en-US"/>
        </w:rPr>
        <w:t>=4)</w:t>
      </w:r>
      <w:r w:rsidR="0055542E" w:rsidRPr="00E13E45">
        <w:rPr>
          <w:bCs/>
          <w:lang w:val="en-US"/>
        </w:rPr>
        <w:t xml:space="preserve">; </w:t>
      </w:r>
      <w:r w:rsidR="00412C60" w:rsidRPr="00E13E45">
        <w:rPr>
          <w:bCs/>
          <w:lang w:val="en-US"/>
        </w:rPr>
        <w:t xml:space="preserve">a </w:t>
      </w:r>
      <w:r w:rsidR="003106FC">
        <w:rPr>
          <w:bCs/>
          <w:lang w:val="en-US"/>
        </w:rPr>
        <w:t xml:space="preserve">general </w:t>
      </w:r>
      <w:r w:rsidR="00412C60" w:rsidRPr="00E13E45">
        <w:rPr>
          <w:bCs/>
          <w:lang w:val="en-US"/>
        </w:rPr>
        <w:t xml:space="preserve">lack </w:t>
      </w:r>
      <w:r w:rsidR="00D46DC4">
        <w:rPr>
          <w:bCs/>
          <w:lang w:val="en-US"/>
        </w:rPr>
        <w:t xml:space="preserve">of </w:t>
      </w:r>
      <w:r w:rsidR="0055542E" w:rsidRPr="00E13E45">
        <w:rPr>
          <w:bCs/>
          <w:lang w:val="en-US"/>
        </w:rPr>
        <w:t>suppor</w:t>
      </w:r>
      <w:r w:rsidR="00D46DC4">
        <w:rPr>
          <w:bCs/>
          <w:lang w:val="en-US"/>
        </w:rPr>
        <w:t>t</w:t>
      </w:r>
      <w:r w:rsidR="0055542E" w:rsidRPr="00E13E45">
        <w:rPr>
          <w:bCs/>
          <w:lang w:val="en-US"/>
        </w:rPr>
        <w:t xml:space="preserve"> from disability services for invisible LTCs (</w:t>
      </w:r>
      <w:r w:rsidR="0055542E" w:rsidRPr="00E13E45">
        <w:rPr>
          <w:bCs/>
          <w:i/>
          <w:lang w:val="en-US"/>
        </w:rPr>
        <w:t>n</w:t>
      </w:r>
      <w:r w:rsidR="0055542E" w:rsidRPr="00E13E45">
        <w:rPr>
          <w:bCs/>
          <w:lang w:val="en-US"/>
        </w:rPr>
        <w:t xml:space="preserve">=3); </w:t>
      </w:r>
      <w:r w:rsidR="00412C60" w:rsidRPr="00E13E45">
        <w:rPr>
          <w:bCs/>
          <w:lang w:val="en-US"/>
        </w:rPr>
        <w:t xml:space="preserve">experiencing only </w:t>
      </w:r>
      <w:r w:rsidR="0055542E" w:rsidRPr="00E13E45">
        <w:rPr>
          <w:bCs/>
          <w:lang w:val="en-US"/>
        </w:rPr>
        <w:t>short-term and or infrequent support (</w:t>
      </w:r>
      <w:r w:rsidR="00412C60" w:rsidRPr="00E13E45">
        <w:rPr>
          <w:bCs/>
          <w:lang w:val="en-US"/>
        </w:rPr>
        <w:t xml:space="preserve">from </w:t>
      </w:r>
      <w:r w:rsidR="0055542E" w:rsidRPr="00E13E45">
        <w:rPr>
          <w:bCs/>
          <w:lang w:val="en-US"/>
        </w:rPr>
        <w:t>disability</w:t>
      </w:r>
      <w:r w:rsidR="00412C60" w:rsidRPr="00E13E45">
        <w:rPr>
          <w:bCs/>
          <w:lang w:val="en-US"/>
        </w:rPr>
        <w:t xml:space="preserve"> and counselling services</w:t>
      </w:r>
      <w:r w:rsidR="0055542E" w:rsidRPr="00E13E45">
        <w:rPr>
          <w:bCs/>
          <w:lang w:val="en-US"/>
        </w:rPr>
        <w:t>) (</w:t>
      </w:r>
      <w:r w:rsidR="0055542E" w:rsidRPr="00E13E45">
        <w:rPr>
          <w:bCs/>
          <w:i/>
          <w:lang w:val="en-US"/>
        </w:rPr>
        <w:t>n</w:t>
      </w:r>
      <w:r w:rsidR="0055542E" w:rsidRPr="00E13E45">
        <w:rPr>
          <w:bCs/>
          <w:lang w:val="en-US"/>
        </w:rPr>
        <w:t xml:space="preserve">=3); </w:t>
      </w:r>
      <w:r w:rsidR="00412C60" w:rsidRPr="00E13E45">
        <w:rPr>
          <w:bCs/>
          <w:lang w:val="en-US"/>
        </w:rPr>
        <w:t xml:space="preserve">and </w:t>
      </w:r>
      <w:r w:rsidR="003106FC">
        <w:rPr>
          <w:bCs/>
          <w:lang w:val="en-US"/>
        </w:rPr>
        <w:t>difficulties related to the need to provide ongoing</w:t>
      </w:r>
      <w:r w:rsidR="0055542E" w:rsidRPr="00E13E45">
        <w:rPr>
          <w:bCs/>
          <w:lang w:val="en-US"/>
        </w:rPr>
        <w:t xml:space="preserve"> </w:t>
      </w:r>
      <w:r w:rsidR="00412C60" w:rsidRPr="00E13E45">
        <w:rPr>
          <w:bCs/>
          <w:lang w:val="en-US"/>
        </w:rPr>
        <w:t xml:space="preserve">medical </w:t>
      </w:r>
      <w:r w:rsidR="0055542E" w:rsidRPr="00E13E45">
        <w:rPr>
          <w:bCs/>
          <w:lang w:val="en-US"/>
        </w:rPr>
        <w:t>evidence (</w:t>
      </w:r>
      <w:r w:rsidR="0055542E" w:rsidRPr="00E13E45">
        <w:rPr>
          <w:bCs/>
          <w:i/>
          <w:lang w:val="en-US"/>
        </w:rPr>
        <w:t>n</w:t>
      </w:r>
      <w:r w:rsidR="0055542E" w:rsidRPr="00E13E45">
        <w:rPr>
          <w:bCs/>
          <w:lang w:val="en-US"/>
        </w:rPr>
        <w:t>=2)</w:t>
      </w:r>
      <w:r w:rsidR="002A2D01" w:rsidRPr="00E13E45">
        <w:rPr>
          <w:bCs/>
          <w:lang w:val="en-US"/>
        </w:rPr>
        <w:t xml:space="preserve">: </w:t>
      </w:r>
    </w:p>
    <w:p w14:paraId="06B91484" w14:textId="77777777" w:rsidR="002A2D01" w:rsidRPr="00E13E45" w:rsidRDefault="002A2D01" w:rsidP="002A2D01">
      <w:pPr>
        <w:spacing w:line="480" w:lineRule="auto"/>
        <w:rPr>
          <w:bCs/>
          <w:lang w:val="en-US"/>
        </w:rPr>
      </w:pPr>
    </w:p>
    <w:p w14:paraId="3159DAF5" w14:textId="6BBA62C4" w:rsidR="001E4A13" w:rsidRPr="00E13E45" w:rsidRDefault="001E4A13" w:rsidP="001E4A13">
      <w:pPr>
        <w:spacing w:line="480" w:lineRule="auto"/>
        <w:ind w:left="567"/>
      </w:pPr>
      <w:r w:rsidRPr="00E13E45">
        <w:rPr>
          <w:lang w:val="en-US"/>
        </w:rPr>
        <w:t xml:space="preserve">They </w:t>
      </w:r>
      <w:r w:rsidR="00AC61D8">
        <w:rPr>
          <w:lang w:val="en-US"/>
        </w:rPr>
        <w:t xml:space="preserve">[staff] </w:t>
      </w:r>
      <w:r w:rsidRPr="00E13E45">
        <w:rPr>
          <w:lang w:val="en-US"/>
        </w:rPr>
        <w:t xml:space="preserve">could be more understanding and sensitive. My tutor wasn't professional when it came to talking about my medical conditions. She made me talk about it out in the open with other students and staff around and made me feel so humiliated and judged. Definitely more staff is needed at the student services department too. A lot of conversations got miscommunicated or lost and payments and situations delayed a lot because of the lack of educated/knowledgeable staff in that particular area. </w:t>
      </w:r>
    </w:p>
    <w:p w14:paraId="1EFB7F93" w14:textId="77777777" w:rsidR="001E4A13" w:rsidRPr="00E13E45" w:rsidRDefault="001E4A13" w:rsidP="002A2D01">
      <w:pPr>
        <w:spacing w:line="480" w:lineRule="auto"/>
        <w:ind w:left="567"/>
        <w:rPr>
          <w:lang w:val="en-US"/>
        </w:rPr>
      </w:pPr>
    </w:p>
    <w:p w14:paraId="0554B1B9" w14:textId="3049EC50" w:rsidR="002A2D01" w:rsidRPr="00E13E45" w:rsidRDefault="002A2D01" w:rsidP="002A2D01">
      <w:pPr>
        <w:spacing w:line="480" w:lineRule="auto"/>
        <w:ind w:left="567"/>
      </w:pPr>
      <w:r w:rsidRPr="00E13E45">
        <w:rPr>
          <w:lang w:val="en-US"/>
        </w:rPr>
        <w:t xml:space="preserve">The university gave me an awful reference for my postgraduate job due to my attendance surrounding sickness. They failed to mention this was due to a long-term condition and could have affected my future employment. </w:t>
      </w:r>
    </w:p>
    <w:p w14:paraId="3B6F5E40" w14:textId="37BBE0B2" w:rsidR="002A2D01" w:rsidRPr="00E13E45" w:rsidRDefault="002A2D01" w:rsidP="002A2D01">
      <w:pPr>
        <w:spacing w:line="480" w:lineRule="auto"/>
        <w:ind w:left="567"/>
        <w:rPr>
          <w:lang w:val="en-US"/>
        </w:rPr>
      </w:pPr>
      <w:r w:rsidRPr="00E13E45">
        <w:rPr>
          <w:lang w:val="en-US"/>
        </w:rPr>
        <w:t xml:space="preserve">Not loading disabled students with more </w:t>
      </w:r>
      <w:proofErr w:type="spellStart"/>
      <w:r w:rsidRPr="00E13E45">
        <w:rPr>
          <w:lang w:val="en-US"/>
        </w:rPr>
        <w:t>labour</w:t>
      </w:r>
      <w:proofErr w:type="spellEnd"/>
      <w:r w:rsidRPr="00E13E45">
        <w:rPr>
          <w:lang w:val="en-US"/>
        </w:rPr>
        <w:t xml:space="preserve"> or providing ‘evidence’ via ne</w:t>
      </w:r>
      <w:r w:rsidR="009B3835" w:rsidRPr="00E13E45">
        <w:rPr>
          <w:lang w:val="en-US"/>
        </w:rPr>
        <w:t>ver-ending cycles of paperwork</w:t>
      </w:r>
      <w:r w:rsidRPr="00E13E45">
        <w:rPr>
          <w:lang w:val="en-US"/>
        </w:rPr>
        <w:t>…</w:t>
      </w:r>
    </w:p>
    <w:p w14:paraId="3A7F93A5" w14:textId="77777777" w:rsidR="002A2D01" w:rsidRPr="00E13E45" w:rsidRDefault="002A2D01" w:rsidP="002A2D01">
      <w:pPr>
        <w:spacing w:line="480" w:lineRule="auto"/>
        <w:ind w:left="567"/>
      </w:pPr>
    </w:p>
    <w:p w14:paraId="7B9E5109" w14:textId="04492FAD" w:rsidR="0068365D" w:rsidRDefault="002A2D01" w:rsidP="002A7A73">
      <w:pPr>
        <w:spacing w:line="480" w:lineRule="auto"/>
        <w:ind w:left="567"/>
      </w:pPr>
      <w:r w:rsidRPr="00E13E45">
        <w:rPr>
          <w:lang w:val="en-US"/>
        </w:rPr>
        <w:t>My university initially sent me to student services who sen</w:t>
      </w:r>
      <w:r w:rsidR="001E36C1" w:rsidRPr="00E13E45">
        <w:rPr>
          <w:lang w:val="en-US"/>
        </w:rPr>
        <w:t>t me to disability services but…</w:t>
      </w:r>
      <w:r w:rsidRPr="00E13E45">
        <w:rPr>
          <w:lang w:val="en-US"/>
        </w:rPr>
        <w:t>it was a</w:t>
      </w:r>
      <w:r w:rsidR="001E4A13" w:rsidRPr="00E13E45">
        <w:rPr>
          <w:lang w:val="en-US"/>
        </w:rPr>
        <w:t xml:space="preserve"> waste of time and the lady at d</w:t>
      </w:r>
      <w:r w:rsidRPr="00E13E45">
        <w:rPr>
          <w:lang w:val="en-US"/>
        </w:rPr>
        <w:t xml:space="preserve">isability services wasn't very supportive at all and started to question my condition. </w:t>
      </w:r>
    </w:p>
    <w:p w14:paraId="6EB777F2" w14:textId="70C8974E" w:rsidR="0068365D" w:rsidRDefault="0068365D" w:rsidP="00D43A10">
      <w:pPr>
        <w:spacing w:line="480" w:lineRule="auto"/>
      </w:pPr>
    </w:p>
    <w:p w14:paraId="5A618671" w14:textId="77777777" w:rsidR="00F12EBE" w:rsidRPr="00E13E45" w:rsidRDefault="00F12EBE" w:rsidP="00D43A10">
      <w:pPr>
        <w:spacing w:line="480" w:lineRule="auto"/>
      </w:pPr>
    </w:p>
    <w:p w14:paraId="7095AD48" w14:textId="77F10153" w:rsidR="008975FB" w:rsidRPr="00E13E45" w:rsidRDefault="00D55263" w:rsidP="00D43A10">
      <w:pPr>
        <w:spacing w:line="480" w:lineRule="auto"/>
        <w:rPr>
          <w:b/>
          <w:i/>
        </w:rPr>
      </w:pPr>
      <w:r w:rsidRPr="00E13E45">
        <w:rPr>
          <w:b/>
          <w:i/>
        </w:rPr>
        <w:lastRenderedPageBreak/>
        <w:t>M</w:t>
      </w:r>
      <w:r w:rsidR="008975FB" w:rsidRPr="00E13E45">
        <w:rPr>
          <w:b/>
          <w:i/>
        </w:rPr>
        <w:t>ental wellbeing</w:t>
      </w:r>
    </w:p>
    <w:p w14:paraId="758700AB" w14:textId="6A6F87AC" w:rsidR="00FD2693" w:rsidRPr="00E13E45" w:rsidRDefault="003D2476" w:rsidP="00D43A10">
      <w:pPr>
        <w:spacing w:line="480" w:lineRule="auto"/>
      </w:pPr>
      <w:r>
        <w:t>Perhaps unsurprisingly</w:t>
      </w:r>
      <w:r w:rsidR="0010714C">
        <w:t xml:space="preserve">, survey responses revealed important impacts on </w:t>
      </w:r>
      <w:r>
        <w:t>respondents’</w:t>
      </w:r>
      <w:r w:rsidR="0010714C">
        <w:t xml:space="preserve"> mental health. </w:t>
      </w:r>
      <w:r w:rsidR="009B2FEA" w:rsidRPr="00E13E45">
        <w:t>When a</w:t>
      </w:r>
      <w:r w:rsidR="00FD2693" w:rsidRPr="00E13E45">
        <w:t xml:space="preserve">sked to rate on a scale of 1-10 </w:t>
      </w:r>
      <w:r w:rsidR="009B2FEA" w:rsidRPr="00E13E45">
        <w:t xml:space="preserve">how much of an impact their </w:t>
      </w:r>
      <w:r w:rsidR="0092646E" w:rsidRPr="00E13E45">
        <w:t>LTC/s</w:t>
      </w:r>
      <w:r w:rsidR="009B2FEA" w:rsidRPr="00E13E45">
        <w:t xml:space="preserve"> generally have on their mental wellbeing, 95% of respondents (</w:t>
      </w:r>
      <w:r w:rsidR="009B2FEA" w:rsidRPr="00E13E45">
        <w:rPr>
          <w:i/>
        </w:rPr>
        <w:t>n</w:t>
      </w:r>
      <w:r w:rsidR="009B2FEA" w:rsidRPr="00E13E45">
        <w:t xml:space="preserve">=190) reported experiencing at least a moderate impact on their mental wellbeing (i.e. a score of 5 or more). </w:t>
      </w:r>
      <w:r w:rsidR="00CD2A4C" w:rsidRPr="00E13E45">
        <w:t xml:space="preserve">The maximum impact was reported by </w:t>
      </w:r>
      <w:r w:rsidR="00FD2693" w:rsidRPr="00E13E45">
        <w:t>24.5% of respondents (</w:t>
      </w:r>
      <w:r w:rsidR="00FD2693" w:rsidRPr="00E13E45">
        <w:rPr>
          <w:i/>
        </w:rPr>
        <w:t>n</w:t>
      </w:r>
      <w:r w:rsidR="00FD2693" w:rsidRPr="00E13E45">
        <w:t xml:space="preserve">=49) (see Figure </w:t>
      </w:r>
      <w:r w:rsidR="00DB0927">
        <w:t>2</w:t>
      </w:r>
      <w:r w:rsidR="00FD2693" w:rsidRPr="00E13E45">
        <w:t>). The mean score overall was 7.79 (</w:t>
      </w:r>
      <w:r w:rsidR="00FD2693" w:rsidRPr="00E13E45">
        <w:rPr>
          <w:i/>
        </w:rPr>
        <w:t>SD</w:t>
      </w:r>
      <w:r w:rsidR="00FD2693" w:rsidRPr="00E13E45">
        <w:t>=1.86)</w:t>
      </w:r>
      <w:r w:rsidR="001E7980">
        <w:t>. A</w:t>
      </w:r>
      <w:r w:rsidR="00FD2693" w:rsidRPr="00E13E45">
        <w:t xml:space="preserve"> Mann-Whitney U Test revealed that undergraduate students reported a significantly larger impact on their mental wellbeing than postgraduate students: </w:t>
      </w:r>
      <w:r w:rsidR="00FD2693" w:rsidRPr="00E13E45">
        <w:rPr>
          <w:i/>
        </w:rPr>
        <w:t>z</w:t>
      </w:r>
      <w:r w:rsidR="00FD2693" w:rsidRPr="00E13E45">
        <w:t xml:space="preserve">=-3.115, </w:t>
      </w:r>
      <w:r w:rsidR="00FD2693" w:rsidRPr="00E13E45">
        <w:rPr>
          <w:i/>
        </w:rPr>
        <w:t>p</w:t>
      </w:r>
      <w:r w:rsidR="00FD2693" w:rsidRPr="00E13E45">
        <w:t xml:space="preserve">=.002. </w:t>
      </w:r>
      <w:r w:rsidR="009A5AFD" w:rsidRPr="003724A7">
        <w:t xml:space="preserve">There was no significant difference between students who had </w:t>
      </w:r>
      <w:r w:rsidRPr="003724A7">
        <w:t>or</w:t>
      </w:r>
      <w:r w:rsidR="003724A7" w:rsidRPr="003724A7">
        <w:t xml:space="preserve"> </w:t>
      </w:r>
      <w:r w:rsidR="009A5AFD" w:rsidRPr="003724A7">
        <w:t>had not formally disclosed their LTCs:</w:t>
      </w:r>
      <w:r w:rsidR="009A5AFD" w:rsidRPr="003724A7">
        <w:rPr>
          <w:i/>
          <w:iCs/>
        </w:rPr>
        <w:t xml:space="preserve"> z</w:t>
      </w:r>
      <w:r w:rsidR="009A5AFD" w:rsidRPr="003724A7">
        <w:t xml:space="preserve">=-1.699, </w:t>
      </w:r>
      <w:r w:rsidR="009A5AFD" w:rsidRPr="003724A7">
        <w:rPr>
          <w:i/>
          <w:iCs/>
        </w:rPr>
        <w:t>p</w:t>
      </w:r>
      <w:r w:rsidR="009A5AFD" w:rsidRPr="003724A7">
        <w:t>=.089.</w:t>
      </w:r>
    </w:p>
    <w:p w14:paraId="2505EBBB" w14:textId="77777777" w:rsidR="00FD2693" w:rsidRPr="00E13E45" w:rsidRDefault="00FD2693" w:rsidP="00D43A10">
      <w:pPr>
        <w:spacing w:line="480" w:lineRule="auto"/>
      </w:pPr>
    </w:p>
    <w:p w14:paraId="0306F31C" w14:textId="0FEEDB7A" w:rsidR="00DB1338" w:rsidRDefault="00E207C3" w:rsidP="00AC3DC4">
      <w:pPr>
        <w:spacing w:line="480" w:lineRule="auto"/>
      </w:pPr>
      <w:r w:rsidRPr="004C58C7">
        <w:t>80.5% (</w:t>
      </w:r>
      <w:r w:rsidRPr="004C58C7">
        <w:rPr>
          <w:i/>
        </w:rPr>
        <w:t>n</w:t>
      </w:r>
      <w:r w:rsidRPr="004C58C7">
        <w:t xml:space="preserve">=161) </w:t>
      </w:r>
      <w:r w:rsidR="001E7980" w:rsidRPr="004C58C7">
        <w:t xml:space="preserve">of respondents </w:t>
      </w:r>
      <w:r w:rsidRPr="004C58C7">
        <w:t xml:space="preserve">reported feeling </w:t>
      </w:r>
      <w:r w:rsidR="001E7980" w:rsidRPr="004C58C7">
        <w:t>down or depressed</w:t>
      </w:r>
      <w:r w:rsidR="00257FAC" w:rsidRPr="004C58C7">
        <w:t xml:space="preserve"> at least once a month</w:t>
      </w:r>
      <w:r w:rsidR="001E7980" w:rsidRPr="004C58C7">
        <w:t xml:space="preserve"> because of their LTC</w:t>
      </w:r>
      <w:r w:rsidR="00257FAC" w:rsidRPr="004C58C7">
        <w:t>,</w:t>
      </w:r>
      <w:r w:rsidRPr="004C58C7">
        <w:t xml:space="preserve"> with 21.5% feeling thi</w:t>
      </w:r>
      <w:r w:rsidR="00FD2693" w:rsidRPr="004C58C7">
        <w:t xml:space="preserve">s way every day (see Figure </w:t>
      </w:r>
      <w:r w:rsidR="00300556">
        <w:t>3</w:t>
      </w:r>
      <w:r w:rsidR="00FD2693" w:rsidRPr="004C58C7">
        <w:t xml:space="preserve">). Undergraduate students reported feeling down or depressed significantly more frequently than postgraduate students: </w:t>
      </w:r>
      <w:r w:rsidR="00FD2693" w:rsidRPr="004C58C7">
        <w:rPr>
          <w:i/>
        </w:rPr>
        <w:t>z</w:t>
      </w:r>
      <w:r w:rsidR="00FD2693" w:rsidRPr="004C58C7">
        <w:t xml:space="preserve">=-2.653, </w:t>
      </w:r>
      <w:r w:rsidR="00FD2693" w:rsidRPr="004C58C7">
        <w:rPr>
          <w:i/>
        </w:rPr>
        <w:t>p</w:t>
      </w:r>
      <w:r w:rsidR="00FD2693" w:rsidRPr="004C58C7">
        <w:t>=.008.</w:t>
      </w:r>
      <w:r w:rsidR="002B0025" w:rsidRPr="004C58C7">
        <w:t xml:space="preserve"> </w:t>
      </w:r>
      <w:r w:rsidR="003D2476" w:rsidRPr="004C58C7">
        <w:t>Again, t</w:t>
      </w:r>
      <w:r w:rsidR="002B0025" w:rsidRPr="004C58C7">
        <w:t xml:space="preserve">here was no significant difference between students who had </w:t>
      </w:r>
      <w:r w:rsidR="003D2476" w:rsidRPr="004C58C7">
        <w:t>or</w:t>
      </w:r>
      <w:r w:rsidR="002B0025" w:rsidRPr="004C58C7">
        <w:t xml:space="preserve"> had not formally disclosed their LTCs: </w:t>
      </w:r>
      <w:r w:rsidR="002B0025" w:rsidRPr="004C58C7">
        <w:rPr>
          <w:i/>
          <w:iCs/>
        </w:rPr>
        <w:t>z</w:t>
      </w:r>
      <w:r w:rsidR="002B0025" w:rsidRPr="004C58C7">
        <w:t xml:space="preserve">=-1.428, </w:t>
      </w:r>
      <w:r w:rsidR="002B0025" w:rsidRPr="004C58C7">
        <w:rPr>
          <w:i/>
          <w:iCs/>
        </w:rPr>
        <w:t>p</w:t>
      </w:r>
      <w:r w:rsidR="002B0025" w:rsidRPr="004C58C7">
        <w:t>=.153.</w:t>
      </w:r>
      <w:r w:rsidR="005A0D0D" w:rsidRPr="004C58C7">
        <w:t xml:space="preserve"> </w:t>
      </w:r>
      <w:r w:rsidR="00AD78D3" w:rsidRPr="004C58C7">
        <w:t xml:space="preserve">81% </w:t>
      </w:r>
      <w:r w:rsidR="005A0D0D" w:rsidRPr="004C58C7">
        <w:t xml:space="preserve">of participants </w:t>
      </w:r>
      <w:r w:rsidR="00AD78D3" w:rsidRPr="004C58C7">
        <w:t>(</w:t>
      </w:r>
      <w:r w:rsidR="00AD78D3" w:rsidRPr="004C58C7">
        <w:rPr>
          <w:i/>
        </w:rPr>
        <w:t>n</w:t>
      </w:r>
      <w:r w:rsidR="00AD78D3" w:rsidRPr="004C58C7">
        <w:t xml:space="preserve">=162) reported feeling anxious as a result of their LTC/s at least once a month, with 26.5% reporting feeling anxious every day (see Figure </w:t>
      </w:r>
      <w:r w:rsidR="00912D83">
        <w:t>4</w:t>
      </w:r>
      <w:r w:rsidR="00AD78D3" w:rsidRPr="004C58C7">
        <w:t xml:space="preserve">). </w:t>
      </w:r>
      <w:r w:rsidR="005A0D0D" w:rsidRPr="004C58C7">
        <w:t>U</w:t>
      </w:r>
      <w:r w:rsidR="00AD78D3" w:rsidRPr="004C58C7">
        <w:t>ndergraduate students reported feeling anxious more frequently than postgraduate students</w:t>
      </w:r>
      <w:r w:rsidR="005A0D0D" w:rsidRPr="004C58C7">
        <w:t>, but this was non-significant</w:t>
      </w:r>
      <w:r w:rsidR="00AD78D3" w:rsidRPr="004C58C7">
        <w:t xml:space="preserve">: </w:t>
      </w:r>
      <w:r w:rsidR="00AD78D3" w:rsidRPr="004C58C7">
        <w:rPr>
          <w:i/>
        </w:rPr>
        <w:t>z</w:t>
      </w:r>
      <w:r w:rsidR="00AD78D3" w:rsidRPr="004C58C7">
        <w:t xml:space="preserve">=-2.011, </w:t>
      </w:r>
      <w:r w:rsidR="00AD78D3" w:rsidRPr="004C58C7">
        <w:rPr>
          <w:i/>
        </w:rPr>
        <w:t>p</w:t>
      </w:r>
      <w:r w:rsidR="00AD78D3" w:rsidRPr="004C58C7">
        <w:t xml:space="preserve">=.044. </w:t>
      </w:r>
      <w:r w:rsidR="005A0D0D" w:rsidRPr="004C58C7">
        <w:t xml:space="preserve">There was no significant difference between those who had </w:t>
      </w:r>
      <w:r w:rsidR="003D2476" w:rsidRPr="004C58C7">
        <w:t>or</w:t>
      </w:r>
      <w:r w:rsidR="005A0D0D" w:rsidRPr="004C58C7">
        <w:t xml:space="preserve"> had not disclosed their LTC: </w:t>
      </w:r>
      <w:r w:rsidR="005A0D0D" w:rsidRPr="004C58C7">
        <w:rPr>
          <w:i/>
          <w:iCs/>
        </w:rPr>
        <w:t>z</w:t>
      </w:r>
      <w:r w:rsidR="005A0D0D" w:rsidRPr="004C58C7">
        <w:t xml:space="preserve">= -1.629, </w:t>
      </w:r>
      <w:r w:rsidR="005A0D0D" w:rsidRPr="004C58C7">
        <w:rPr>
          <w:i/>
          <w:iCs/>
        </w:rPr>
        <w:t>p</w:t>
      </w:r>
      <w:r w:rsidR="005A0D0D" w:rsidRPr="004C58C7">
        <w:t>=.103.</w:t>
      </w:r>
      <w:r w:rsidR="00D463F6" w:rsidRPr="004C58C7">
        <w:t xml:space="preserve"> </w:t>
      </w:r>
      <w:r w:rsidR="00AD78D3" w:rsidRPr="004C58C7">
        <w:t>Finally, 88.5% (</w:t>
      </w:r>
      <w:r w:rsidR="00AD78D3" w:rsidRPr="004C58C7">
        <w:rPr>
          <w:i/>
        </w:rPr>
        <w:t>n</w:t>
      </w:r>
      <w:r w:rsidR="00AD78D3" w:rsidRPr="004C58C7">
        <w:t xml:space="preserve">=177) reported feeling stressed as a result of their LTC/s at least once a month, with 30.2% feeling stressed every day (see Figure </w:t>
      </w:r>
      <w:r w:rsidR="00495667">
        <w:t>5</w:t>
      </w:r>
      <w:r w:rsidR="00AD78D3" w:rsidRPr="004C58C7">
        <w:t xml:space="preserve">). Undergraduate students again reported feeling more stressed than </w:t>
      </w:r>
      <w:r w:rsidR="00AD78D3" w:rsidRPr="004C58C7">
        <w:lastRenderedPageBreak/>
        <w:t>postgraduate students</w:t>
      </w:r>
      <w:r w:rsidR="007624DD" w:rsidRPr="004C58C7">
        <w:t>, but this only approached significance</w:t>
      </w:r>
      <w:r w:rsidR="00AD78D3" w:rsidRPr="004C58C7">
        <w:t xml:space="preserve">: </w:t>
      </w:r>
      <w:r w:rsidR="00AD78D3" w:rsidRPr="004C58C7">
        <w:rPr>
          <w:i/>
        </w:rPr>
        <w:t>z</w:t>
      </w:r>
      <w:r w:rsidR="00AD78D3" w:rsidRPr="004C58C7">
        <w:t xml:space="preserve">=-2.349, </w:t>
      </w:r>
      <w:r w:rsidR="00AD78D3" w:rsidRPr="004C58C7">
        <w:rPr>
          <w:i/>
        </w:rPr>
        <w:t>p</w:t>
      </w:r>
      <w:r w:rsidR="00AD78D3" w:rsidRPr="004C58C7">
        <w:t xml:space="preserve">=.019. </w:t>
      </w:r>
      <w:r w:rsidR="007624DD" w:rsidRPr="004C58C7">
        <w:t xml:space="preserve">Again, there was no statistically significant difference between </w:t>
      </w:r>
      <w:r w:rsidR="001532F0" w:rsidRPr="004C58C7">
        <w:t xml:space="preserve">students who did </w:t>
      </w:r>
      <w:r w:rsidR="003D2476" w:rsidRPr="004C58C7">
        <w:t>or</w:t>
      </w:r>
      <w:r w:rsidR="001532F0" w:rsidRPr="004C58C7">
        <w:t xml:space="preserve"> did not disclose their condition/s: </w:t>
      </w:r>
      <w:r w:rsidR="00AC3DC4" w:rsidRPr="004C58C7">
        <w:rPr>
          <w:i/>
          <w:iCs/>
        </w:rPr>
        <w:t>z</w:t>
      </w:r>
      <w:r w:rsidR="00AC3DC4" w:rsidRPr="004C58C7">
        <w:t xml:space="preserve">=-1.161, </w:t>
      </w:r>
      <w:r w:rsidR="00AC3DC4" w:rsidRPr="004C58C7">
        <w:rPr>
          <w:i/>
          <w:iCs/>
        </w:rPr>
        <w:t>p</w:t>
      </w:r>
      <w:r w:rsidR="00AC3DC4" w:rsidRPr="004C58C7">
        <w:t>=.246.</w:t>
      </w:r>
    </w:p>
    <w:p w14:paraId="61D18BAA" w14:textId="77777777" w:rsidR="003D2476" w:rsidRDefault="003D2476" w:rsidP="00AC3DC4">
      <w:pPr>
        <w:spacing w:line="480" w:lineRule="auto"/>
      </w:pPr>
    </w:p>
    <w:p w14:paraId="15D660BD" w14:textId="0ACC6A4B" w:rsidR="002A2D01" w:rsidRPr="00E13E45" w:rsidRDefault="0010714C" w:rsidP="002A2D01">
      <w:pPr>
        <w:spacing w:line="480" w:lineRule="auto"/>
      </w:pPr>
      <w:r>
        <w:t xml:space="preserve">In addition to asking students about the support they receive for their physical health, the survey also asked questions about support for mental health. </w:t>
      </w:r>
      <w:r w:rsidR="002A2D01" w:rsidRPr="00E13E45">
        <w:t>When asked</w:t>
      </w:r>
      <w:r w:rsidR="00D46DC4">
        <w:t>,</w:t>
      </w:r>
      <w:r w:rsidR="002A2D01" w:rsidRPr="00E13E45">
        <w:t xml:space="preserve"> </w:t>
      </w:r>
      <w:r w:rsidR="00D46DC4">
        <w:t>‘</w:t>
      </w:r>
      <w:r w:rsidR="001603D1">
        <w:t>D</w:t>
      </w:r>
      <w:r w:rsidR="002A2D01" w:rsidRPr="00E13E45">
        <w:t>o you seek any support to promote your mental wellbeing?</w:t>
      </w:r>
      <w:r w:rsidR="00D46DC4">
        <w:t>’</w:t>
      </w:r>
      <w:r w:rsidR="002A2D01" w:rsidRPr="00E13E45">
        <w:t xml:space="preserve"> 55% of respondents said ‘yes’. The most common source of support received was psychologic</w:t>
      </w:r>
      <w:r w:rsidR="0060119D">
        <w:t>al therapies</w:t>
      </w:r>
      <w:r w:rsidR="002A2D01" w:rsidRPr="00E13E45">
        <w:t xml:space="preserve"> (58%). </w:t>
      </w:r>
      <w:r w:rsidR="00F57ACF">
        <w:t>Other forms of support included</w:t>
      </w:r>
      <w:r w:rsidR="002A2D01" w:rsidRPr="00E13E45">
        <w:t xml:space="preserve"> family members (46%), peers/friends (41%), GPs (35%) and</w:t>
      </w:r>
      <w:r w:rsidR="00F57ACF">
        <w:t xml:space="preserve"> the use of</w:t>
      </w:r>
      <w:r w:rsidR="002A2D01" w:rsidRPr="00E13E45">
        <w:t xml:space="preserve"> antidepressants (35%). </w:t>
      </w:r>
      <w:r w:rsidR="009D6F53" w:rsidRPr="00E13E45">
        <w:t>Twenty-four</w:t>
      </w:r>
      <w:r w:rsidR="002A2D01" w:rsidRPr="00E13E45">
        <w:t xml:space="preserve"> respondents (21%) cited receiving support for their mental wellbeing from university services. When asked to specify which aspect of university services they received support from, the majority (</w:t>
      </w:r>
      <w:r w:rsidR="002A2D01" w:rsidRPr="00E13E45">
        <w:rPr>
          <w:i/>
        </w:rPr>
        <w:t>n</w:t>
      </w:r>
      <w:r w:rsidR="002A2D01" w:rsidRPr="00E13E45">
        <w:t xml:space="preserve">=15: 56%) cited university disability services, followed by individual university staff members </w:t>
      </w:r>
      <w:r w:rsidR="00257FAC">
        <w:t>such as</w:t>
      </w:r>
      <w:r w:rsidR="002A2D01" w:rsidRPr="00E13E45">
        <w:t xml:space="preserve"> a personal tutor (</w:t>
      </w:r>
      <w:r w:rsidR="002A2D01" w:rsidRPr="00E13E45">
        <w:rPr>
          <w:i/>
        </w:rPr>
        <w:t>n</w:t>
      </w:r>
      <w:r w:rsidR="002A2D01" w:rsidRPr="00E13E45">
        <w:t>=12: 44%), and university counselling services (</w:t>
      </w:r>
      <w:r w:rsidR="002A2D01" w:rsidRPr="00E13E45">
        <w:rPr>
          <w:i/>
        </w:rPr>
        <w:t>n</w:t>
      </w:r>
      <w:r w:rsidR="002A2D01" w:rsidRPr="00E13E45">
        <w:t>=10: 37%).</w:t>
      </w:r>
    </w:p>
    <w:p w14:paraId="5C49EDA1" w14:textId="77777777" w:rsidR="002A2D01" w:rsidRPr="00E13E45" w:rsidRDefault="002A2D01" w:rsidP="002A2D01">
      <w:pPr>
        <w:spacing w:line="480" w:lineRule="auto"/>
      </w:pPr>
    </w:p>
    <w:p w14:paraId="1B2E1175" w14:textId="76D759DD" w:rsidR="002A2D01" w:rsidRPr="00E13E45" w:rsidRDefault="002A2D01" w:rsidP="002A2D01">
      <w:pPr>
        <w:spacing w:line="480" w:lineRule="auto"/>
      </w:pPr>
      <w:r w:rsidRPr="00E13E45">
        <w:t>When asked what strategies they used to help promote their mental wellbeing</w:t>
      </w:r>
      <w:r w:rsidR="00552987">
        <w:t>,</w:t>
      </w:r>
      <w:r w:rsidRPr="00E13E45">
        <w:t xml:space="preserve"> 98 (61%) said they engaged in exercise/sport, 79 (49%) said they engaged in meditation/mindfulness, 76 (47%) made dietary changes, 51 (32%) engaged in arts and cultural activities, and 32 (20%) engaged in alternative and complementary therapies. When given the option to expand on how these strategies promoted their mental wellbeing, 31 respondents elaborated on the impact of exercise on their wellbeing. Exercise was </w:t>
      </w:r>
      <w:r w:rsidR="00F57ACF">
        <w:t xml:space="preserve">typically </w:t>
      </w:r>
      <w:r w:rsidRPr="00E13E45">
        <w:t>described as providing</w:t>
      </w:r>
      <w:r w:rsidR="00B84396">
        <w:t xml:space="preserve"> a</w:t>
      </w:r>
      <w:r w:rsidRPr="00E13E45">
        <w:t xml:space="preserve"> stress relief (</w:t>
      </w:r>
      <w:r w:rsidRPr="00E13E45">
        <w:rPr>
          <w:i/>
        </w:rPr>
        <w:t>n</w:t>
      </w:r>
      <w:r w:rsidRPr="00E13E45">
        <w:t>=16), distraction/escapism (</w:t>
      </w:r>
      <w:r w:rsidRPr="00E13E45">
        <w:rPr>
          <w:i/>
        </w:rPr>
        <w:t>n</w:t>
      </w:r>
      <w:r w:rsidRPr="00E13E45">
        <w:t>=7), some relief from pain (</w:t>
      </w:r>
      <w:r w:rsidRPr="00E13E45">
        <w:rPr>
          <w:i/>
        </w:rPr>
        <w:t>n</w:t>
      </w:r>
      <w:r w:rsidRPr="00E13E45">
        <w:t>=6), and a sense of accomplishment (</w:t>
      </w:r>
      <w:r w:rsidRPr="00E13E45">
        <w:rPr>
          <w:i/>
        </w:rPr>
        <w:t>n</w:t>
      </w:r>
      <w:r w:rsidRPr="00E13E45">
        <w:t>=2):</w:t>
      </w:r>
    </w:p>
    <w:p w14:paraId="5160726B" w14:textId="77777777" w:rsidR="002A2D01" w:rsidRPr="00E13E45" w:rsidRDefault="002A2D01" w:rsidP="002A2D01">
      <w:pPr>
        <w:spacing w:line="480" w:lineRule="auto"/>
        <w:rPr>
          <w:b/>
        </w:rPr>
      </w:pPr>
    </w:p>
    <w:p w14:paraId="7C12668F" w14:textId="77777777" w:rsidR="002A2D01" w:rsidRPr="00E13E45" w:rsidRDefault="002A2D01" w:rsidP="002A2D01">
      <w:pPr>
        <w:spacing w:line="480" w:lineRule="auto"/>
        <w:ind w:left="567"/>
      </w:pPr>
      <w:r w:rsidRPr="00E13E45">
        <w:t>…clears my mind and reduces stress which is the main trigger for flare ups.</w:t>
      </w:r>
    </w:p>
    <w:p w14:paraId="4253E0FB" w14:textId="0572D171" w:rsidR="002A2D01" w:rsidRPr="00E13E45" w:rsidRDefault="002A2D01" w:rsidP="004D01CF">
      <w:pPr>
        <w:spacing w:line="480" w:lineRule="auto"/>
      </w:pPr>
    </w:p>
    <w:p w14:paraId="26EAD17B" w14:textId="77777777" w:rsidR="002A2D01" w:rsidRPr="00E13E45" w:rsidRDefault="002A2D01" w:rsidP="002A2D01">
      <w:pPr>
        <w:spacing w:line="480" w:lineRule="auto"/>
        <w:ind w:left="567"/>
      </w:pPr>
      <w:r w:rsidRPr="00E13E45">
        <w:t>Exercise makes me feel better about myself and provides a lengthy distraction.</w:t>
      </w:r>
    </w:p>
    <w:p w14:paraId="1EA2EFB7" w14:textId="77777777" w:rsidR="002A2D01" w:rsidRPr="00E13E45" w:rsidRDefault="002A2D01" w:rsidP="002A2D01">
      <w:pPr>
        <w:spacing w:line="480" w:lineRule="auto"/>
        <w:ind w:left="567"/>
      </w:pPr>
    </w:p>
    <w:p w14:paraId="6BD30370" w14:textId="77777777" w:rsidR="002A2D01" w:rsidRPr="00E13E45" w:rsidRDefault="002A2D01" w:rsidP="002A2D01">
      <w:pPr>
        <w:spacing w:line="480" w:lineRule="auto"/>
        <w:ind w:left="567"/>
      </w:pPr>
      <w:r w:rsidRPr="00E13E45">
        <w:t xml:space="preserve">I play sport as often as I can as it really helps with stress and unwinding from </w:t>
      </w:r>
      <w:proofErr w:type="spellStart"/>
      <w:r w:rsidRPr="00E13E45">
        <w:t>uni</w:t>
      </w:r>
      <w:proofErr w:type="spellEnd"/>
      <w:r w:rsidRPr="00E13E45">
        <w:t xml:space="preserve"> as well as it is something I have always enjoyed.</w:t>
      </w:r>
    </w:p>
    <w:p w14:paraId="1937D63A" w14:textId="77777777" w:rsidR="002A2D01" w:rsidRPr="00E13E45" w:rsidRDefault="002A2D01" w:rsidP="002A2D01">
      <w:pPr>
        <w:spacing w:line="480" w:lineRule="auto"/>
      </w:pPr>
    </w:p>
    <w:p w14:paraId="0E223056" w14:textId="15D7C09F" w:rsidR="002A2D01" w:rsidRPr="00E13E45" w:rsidRDefault="002A2D01" w:rsidP="002A2D01">
      <w:pPr>
        <w:spacing w:line="480" w:lineRule="auto"/>
      </w:pPr>
      <w:r w:rsidRPr="00E13E45">
        <w:t>However</w:t>
      </w:r>
      <w:r w:rsidR="00B84396">
        <w:t>,</w:t>
      </w:r>
      <w:r w:rsidRPr="00E13E45">
        <w:t xml:space="preserve"> 11 respondents explained that exercise was not always possible due to their condition/s:</w:t>
      </w:r>
    </w:p>
    <w:p w14:paraId="3012EDA5" w14:textId="20D9900E" w:rsidR="002A2D01" w:rsidRPr="00E13E45" w:rsidRDefault="002A2D01" w:rsidP="004D01CF">
      <w:pPr>
        <w:spacing w:line="480" w:lineRule="auto"/>
      </w:pPr>
    </w:p>
    <w:p w14:paraId="6133A2E3" w14:textId="410BAF04" w:rsidR="002A2D01" w:rsidRPr="00E13E45" w:rsidRDefault="002A2D01" w:rsidP="002A2D01">
      <w:pPr>
        <w:spacing w:line="480" w:lineRule="auto"/>
        <w:ind w:left="567"/>
      </w:pPr>
      <w:r w:rsidRPr="00E13E45">
        <w:t>I find it hard to exercise regularly because of physical issue</w:t>
      </w:r>
      <w:r w:rsidR="00DB1338" w:rsidRPr="00E13E45">
        <w:t>s but when I do, my mental well</w:t>
      </w:r>
      <w:r w:rsidRPr="00E13E45">
        <w:t>being improves.</w:t>
      </w:r>
    </w:p>
    <w:p w14:paraId="14FCD767" w14:textId="77777777" w:rsidR="002A2D01" w:rsidRPr="00E13E45" w:rsidRDefault="002A2D01" w:rsidP="002A2D01">
      <w:pPr>
        <w:spacing w:line="480" w:lineRule="auto"/>
        <w:ind w:left="567"/>
      </w:pPr>
    </w:p>
    <w:p w14:paraId="42E04456" w14:textId="77777777" w:rsidR="002A2D01" w:rsidRPr="00E13E45" w:rsidRDefault="002A2D01" w:rsidP="002A2D01">
      <w:pPr>
        <w:spacing w:line="480" w:lineRule="auto"/>
        <w:ind w:left="567"/>
      </w:pPr>
      <w:r w:rsidRPr="00E13E45">
        <w:t>…now can’t exercise due to hip condition, even walking is a challenge. Used to do yoga and Pilates as a way to connect with my body in a positive way and feel in control but can't even do that now.</w:t>
      </w:r>
    </w:p>
    <w:p w14:paraId="304B4A83" w14:textId="77777777" w:rsidR="002A2D01" w:rsidRPr="00E13E45" w:rsidRDefault="002A2D01" w:rsidP="002A2D01">
      <w:pPr>
        <w:spacing w:line="480" w:lineRule="auto"/>
      </w:pPr>
    </w:p>
    <w:p w14:paraId="53765363" w14:textId="77777777" w:rsidR="002A2D01" w:rsidRPr="00E13E45" w:rsidRDefault="002A2D01" w:rsidP="002A2D01">
      <w:pPr>
        <w:spacing w:line="480" w:lineRule="auto"/>
        <w:ind w:left="567"/>
      </w:pPr>
      <w:r w:rsidRPr="00E13E45">
        <w:t>Exercise does [</w:t>
      </w:r>
      <w:r w:rsidRPr="00E13E45">
        <w:rPr>
          <w:i/>
        </w:rPr>
        <w:t>help my mental wellbeing</w:t>
      </w:r>
      <w:r w:rsidRPr="00E13E45">
        <w:t>] but when the pain sets in from the endometriosis I can’t do anything for 10+ days and it gets me out of the habit of it.</w:t>
      </w:r>
    </w:p>
    <w:p w14:paraId="7D69E7F6" w14:textId="77777777" w:rsidR="002A2D01" w:rsidRPr="00E13E45" w:rsidRDefault="002A2D01" w:rsidP="002A2D01">
      <w:pPr>
        <w:spacing w:line="480" w:lineRule="auto"/>
      </w:pPr>
    </w:p>
    <w:p w14:paraId="62F4B0E4" w14:textId="76621879" w:rsidR="002A2D01" w:rsidRPr="00E13E45" w:rsidRDefault="009D6F53" w:rsidP="002A2D01">
      <w:pPr>
        <w:spacing w:line="480" w:lineRule="auto"/>
      </w:pPr>
      <w:r w:rsidRPr="00E13E45">
        <w:t>Thirty-two</w:t>
      </w:r>
      <w:r w:rsidR="002A2D01" w:rsidRPr="00E13E45">
        <w:t xml:space="preserve"> respondents explained how arts and cultural activities such as knitting, dancing, colouring, singing, writing, and going to art galleries, promoted their wellbeing through providing: escapism and distraction from their problems (</w:t>
      </w:r>
      <w:r w:rsidR="002A2D01" w:rsidRPr="00E13E45">
        <w:rPr>
          <w:i/>
        </w:rPr>
        <w:t>n</w:t>
      </w:r>
      <w:r w:rsidR="002A2D01" w:rsidRPr="00E13E45">
        <w:t xml:space="preserve">=10), </w:t>
      </w:r>
      <w:r w:rsidR="002A2D01" w:rsidRPr="00E13E45">
        <w:lastRenderedPageBreak/>
        <w:t>calm and relaxation (</w:t>
      </w:r>
      <w:r w:rsidR="002A2D01" w:rsidRPr="00E13E45">
        <w:rPr>
          <w:i/>
        </w:rPr>
        <w:t>n</w:t>
      </w:r>
      <w:r w:rsidR="002A2D01" w:rsidRPr="00E13E45">
        <w:t>=6), a sense of achievement and productivity (</w:t>
      </w:r>
      <w:r w:rsidR="002A2D01" w:rsidRPr="00E13E45">
        <w:rPr>
          <w:i/>
        </w:rPr>
        <w:t>n</w:t>
      </w:r>
      <w:r w:rsidR="002A2D01" w:rsidRPr="00E13E45">
        <w:t>=4), enjoyment/improved mood (</w:t>
      </w:r>
      <w:r w:rsidR="002A2D01" w:rsidRPr="00E13E45">
        <w:rPr>
          <w:i/>
        </w:rPr>
        <w:t>n</w:t>
      </w:r>
      <w:r w:rsidR="002A2D01" w:rsidRPr="00E13E45">
        <w:t>=3), time to think, reflect and work through emotions (</w:t>
      </w:r>
      <w:r w:rsidR="002A2D01" w:rsidRPr="00E13E45">
        <w:rPr>
          <w:i/>
        </w:rPr>
        <w:t>n</w:t>
      </w:r>
      <w:r w:rsidR="002A2D01" w:rsidRPr="00E13E45">
        <w:t>=2), and social networks (</w:t>
      </w:r>
      <w:r w:rsidR="002A2D01" w:rsidRPr="00E13E45">
        <w:rPr>
          <w:i/>
        </w:rPr>
        <w:t>n</w:t>
      </w:r>
      <w:r w:rsidR="002A2D01" w:rsidRPr="00E13E45">
        <w:t>=2). These types of activities were also emphasised as activities that were manageable within the constraints</w:t>
      </w:r>
      <w:r w:rsidR="00C1602E">
        <w:t xml:space="preserve"> imposed by </w:t>
      </w:r>
      <w:r w:rsidR="002A2D01" w:rsidRPr="00E13E45">
        <w:t>their condition/s (in contrast to the previous descriptions of exercise):</w:t>
      </w:r>
    </w:p>
    <w:p w14:paraId="603303A7" w14:textId="77777777" w:rsidR="002A2D01" w:rsidRPr="00E13E45" w:rsidRDefault="002A2D01" w:rsidP="002A2D01">
      <w:pPr>
        <w:spacing w:line="480" w:lineRule="auto"/>
      </w:pPr>
    </w:p>
    <w:p w14:paraId="201FFBEE" w14:textId="20A145BC" w:rsidR="002A2D01" w:rsidRDefault="002A2D01" w:rsidP="002A2D01">
      <w:pPr>
        <w:spacing w:line="480" w:lineRule="auto"/>
        <w:ind w:left="567"/>
      </w:pPr>
      <w:r w:rsidRPr="00E13E45">
        <w:t>I use crafts e.g. knitting to give me a sense of calm and productivity when too tired to leave the house or work.</w:t>
      </w:r>
    </w:p>
    <w:p w14:paraId="65FD0DD8" w14:textId="77777777" w:rsidR="00056710" w:rsidRPr="00E13E45" w:rsidRDefault="00056710" w:rsidP="002A2D01">
      <w:pPr>
        <w:spacing w:line="480" w:lineRule="auto"/>
        <w:ind w:left="567"/>
      </w:pPr>
    </w:p>
    <w:p w14:paraId="46E1437E" w14:textId="77777777" w:rsidR="002A2D01" w:rsidRPr="00E13E45" w:rsidRDefault="002A2D01" w:rsidP="002A2D01">
      <w:pPr>
        <w:spacing w:line="480" w:lineRule="auto"/>
        <w:ind w:left="567"/>
      </w:pPr>
      <w:r w:rsidRPr="00E13E45">
        <w:t>… I attend a dance class as this…gives me a chance to escape.</w:t>
      </w:r>
    </w:p>
    <w:p w14:paraId="4AE71D1A" w14:textId="77777777" w:rsidR="002A2D01" w:rsidRPr="00E13E45" w:rsidRDefault="002A2D01" w:rsidP="002A2D01">
      <w:pPr>
        <w:spacing w:line="480" w:lineRule="auto"/>
        <w:ind w:left="567"/>
      </w:pPr>
    </w:p>
    <w:p w14:paraId="1F54509B" w14:textId="77777777" w:rsidR="002A2D01" w:rsidRPr="00E13E45" w:rsidRDefault="002A2D01" w:rsidP="002A2D01">
      <w:pPr>
        <w:spacing w:line="480" w:lineRule="auto"/>
        <w:ind w:left="567"/>
      </w:pPr>
      <w:r w:rsidRPr="00E13E45">
        <w:t>Art and craft activities gave me something I could be good at and achieve that did not require physical skills that I no longer possess. I still had full capabilities with these activities so was not faced with constant reminder of what I ‘used to be able to do’.</w:t>
      </w:r>
    </w:p>
    <w:p w14:paraId="54254B6A" w14:textId="77777777" w:rsidR="002A2D01" w:rsidRPr="00E13E45" w:rsidRDefault="002A2D01" w:rsidP="002A2D01">
      <w:pPr>
        <w:spacing w:line="480" w:lineRule="auto"/>
        <w:ind w:left="567"/>
      </w:pPr>
    </w:p>
    <w:p w14:paraId="35CB01CB" w14:textId="1E7C98E3" w:rsidR="002A2D01" w:rsidRPr="00E13E45" w:rsidRDefault="002A2D01" w:rsidP="002A2D01">
      <w:pPr>
        <w:spacing w:line="480" w:lineRule="auto"/>
        <w:ind w:left="567"/>
      </w:pPr>
      <w:r w:rsidRPr="00E13E45">
        <w:t>M</w:t>
      </w:r>
      <w:r w:rsidR="00F12EBE">
        <w:t xml:space="preserve">eans I engage with other people, </w:t>
      </w:r>
      <w:r w:rsidRPr="00E13E45">
        <w:t>which prevents from shutting myself away and improves my mood a lot.</w:t>
      </w:r>
    </w:p>
    <w:p w14:paraId="4810A2E2" w14:textId="77777777" w:rsidR="002A2D01" w:rsidRPr="00E13E45" w:rsidRDefault="002A2D01" w:rsidP="002A2D01">
      <w:pPr>
        <w:spacing w:line="480" w:lineRule="auto"/>
        <w:ind w:left="567"/>
      </w:pPr>
    </w:p>
    <w:p w14:paraId="5A82F84E" w14:textId="223E947C" w:rsidR="00B24540" w:rsidRDefault="00B84396" w:rsidP="00D43A10">
      <w:pPr>
        <w:spacing w:line="480" w:lineRule="auto"/>
      </w:pPr>
      <w:r>
        <w:t>W</w:t>
      </w:r>
      <w:r w:rsidR="0060119D">
        <w:t>e also asked</w:t>
      </w:r>
      <w:r w:rsidR="00D46DC4">
        <w:t>,</w:t>
      </w:r>
      <w:r w:rsidR="0060119D">
        <w:t xml:space="preserve"> </w:t>
      </w:r>
      <w:r w:rsidR="001603D1">
        <w:t>‘W</w:t>
      </w:r>
      <w:r w:rsidR="002A2D01" w:rsidRPr="00E13E45">
        <w:t xml:space="preserve">hat would you like to see available at universities to support the mental wellbeing of students living with </w:t>
      </w:r>
      <w:r w:rsidR="00257FAC">
        <w:t>LTC/s</w:t>
      </w:r>
      <w:r w:rsidR="002A2D01" w:rsidRPr="00E13E45">
        <w:t>?’ and received 170 responses. The most common</w:t>
      </w:r>
      <w:r w:rsidR="00C1602E">
        <w:t xml:space="preserve"> response </w:t>
      </w:r>
      <w:r w:rsidR="002A2D01" w:rsidRPr="00E13E45">
        <w:t>was rais</w:t>
      </w:r>
      <w:r w:rsidR="00C1602E">
        <w:t>ing</w:t>
      </w:r>
      <w:r w:rsidR="002A2D01" w:rsidRPr="00E13E45">
        <w:t xml:space="preserve"> awareness, reduc</w:t>
      </w:r>
      <w:r w:rsidR="00C1602E">
        <w:t>ing</w:t>
      </w:r>
      <w:r w:rsidR="002A2D01" w:rsidRPr="00E13E45">
        <w:t xml:space="preserve"> stigma, and increas</w:t>
      </w:r>
      <w:r w:rsidR="00C1602E">
        <w:t>ing the</w:t>
      </w:r>
      <w:r w:rsidR="002A2D01" w:rsidRPr="00E13E45">
        <w:t xml:space="preserve"> understanding of various LTCs within universities (for example through staff training</w:t>
      </w:r>
      <w:r w:rsidR="00F23B69">
        <w:t>)</w:t>
      </w:r>
      <w:r w:rsidR="001A7D2D">
        <w:t xml:space="preserve"> – suggested</w:t>
      </w:r>
      <w:r w:rsidR="002A2D01" w:rsidRPr="00E13E45">
        <w:t xml:space="preserve"> by 45 participants </w:t>
      </w:r>
      <w:r w:rsidR="001A7D2D">
        <w:t>(</w:t>
      </w:r>
      <w:r w:rsidR="002A2D01" w:rsidRPr="00E13E45">
        <w:t xml:space="preserve">26.5%). The second most common </w:t>
      </w:r>
      <w:r w:rsidR="00C1602E">
        <w:t>response (</w:t>
      </w:r>
      <w:r w:rsidR="00C1602E" w:rsidRPr="00683D58">
        <w:rPr>
          <w:i/>
          <w:iCs/>
        </w:rPr>
        <w:t>n</w:t>
      </w:r>
      <w:r w:rsidR="00C1602E">
        <w:t>=</w:t>
      </w:r>
      <w:r w:rsidR="002A2D01" w:rsidRPr="00E13E45">
        <w:t>30</w:t>
      </w:r>
      <w:r w:rsidR="00683D58">
        <w:t xml:space="preserve">: </w:t>
      </w:r>
      <w:r w:rsidR="002A2D01" w:rsidRPr="00E13E45">
        <w:t>17.6%), was for universities to facilitate quicker and easier access to talking therapies</w:t>
      </w:r>
      <w:r w:rsidR="001A7D2D">
        <w:t xml:space="preserve"> </w:t>
      </w:r>
      <w:r w:rsidR="001A7D2D">
        <w:lastRenderedPageBreak/>
        <w:t>such as counselling</w:t>
      </w:r>
      <w:r w:rsidR="002A2D01" w:rsidRPr="00E13E45">
        <w:t xml:space="preserve">. </w:t>
      </w:r>
      <w:r w:rsidR="00D46DC4">
        <w:t>Twenty-seven</w:t>
      </w:r>
      <w:r w:rsidR="002A2D01" w:rsidRPr="00E13E45">
        <w:t xml:space="preserve"> respondents (15.9%) </w:t>
      </w:r>
      <w:r>
        <w:t>suggested</w:t>
      </w:r>
      <w:r w:rsidR="002A2D01" w:rsidRPr="00E13E45">
        <w:t xml:space="preserve"> peer support groups</w:t>
      </w:r>
      <w:r>
        <w:t xml:space="preserve"> would be helpful</w:t>
      </w:r>
      <w:r w:rsidR="002A2D01" w:rsidRPr="00E13E45">
        <w:t xml:space="preserve">, </w:t>
      </w:r>
      <w:r>
        <w:t>including meeting other</w:t>
      </w:r>
      <w:r w:rsidR="002A2D01" w:rsidRPr="00E13E45">
        <w:t xml:space="preserve"> students </w:t>
      </w:r>
      <w:r>
        <w:t xml:space="preserve">with </w:t>
      </w:r>
      <w:r w:rsidR="00DB1338" w:rsidRPr="00E13E45">
        <w:t>LTCs</w:t>
      </w:r>
      <w:r w:rsidR="002A2D01" w:rsidRPr="00E13E45">
        <w:t xml:space="preserve"> </w:t>
      </w:r>
      <w:r>
        <w:t>to</w:t>
      </w:r>
      <w:r w:rsidR="002A2D01" w:rsidRPr="00E13E45">
        <w:t xml:space="preserve"> provide mutual support. Other suggestions include</w:t>
      </w:r>
      <w:r w:rsidR="00DB1338" w:rsidRPr="00E13E45">
        <w:t>d</w:t>
      </w:r>
      <w:r w:rsidR="002A2D01" w:rsidRPr="00E13E45">
        <w:t xml:space="preserve"> more support fro</w:t>
      </w:r>
      <w:r w:rsidR="004D01CF" w:rsidRPr="00E13E45">
        <w:t xml:space="preserve">m university staff </w:t>
      </w:r>
      <w:r w:rsidR="002A2D01" w:rsidRPr="00E13E45">
        <w:t xml:space="preserve">to work from home, including less </w:t>
      </w:r>
      <w:r w:rsidR="00C1602E" w:rsidRPr="00E13E45">
        <w:t>penalt</w:t>
      </w:r>
      <w:r w:rsidR="00C1602E">
        <w:t>ies</w:t>
      </w:r>
      <w:r w:rsidR="002A2D01" w:rsidRPr="00E13E45">
        <w:t xml:space="preserve"> when classes </w:t>
      </w:r>
      <w:r w:rsidR="00C1602E">
        <w:t xml:space="preserve">are missed </w:t>
      </w:r>
      <w:r w:rsidR="002A2D01" w:rsidRPr="00E13E45">
        <w:t xml:space="preserve">due to </w:t>
      </w:r>
      <w:r w:rsidR="00C1602E">
        <w:t xml:space="preserve">ill </w:t>
      </w:r>
      <w:r w:rsidR="002A2D01" w:rsidRPr="00E13E45">
        <w:t>health (</w:t>
      </w:r>
      <w:r w:rsidR="002A2D01" w:rsidRPr="00E13E45">
        <w:rPr>
          <w:i/>
        </w:rPr>
        <w:t>n</w:t>
      </w:r>
      <w:r w:rsidR="002A2D01" w:rsidRPr="00E13E45">
        <w:t xml:space="preserve">=11, 6.5%). Eight respondents (4.7%) suggested </w:t>
      </w:r>
      <w:r w:rsidR="009D6F53" w:rsidRPr="00E13E45">
        <w:t xml:space="preserve">that it would be useful for </w:t>
      </w:r>
      <w:r w:rsidR="002A2D01" w:rsidRPr="00E13E45">
        <w:t xml:space="preserve">university staff </w:t>
      </w:r>
      <w:r w:rsidR="009D6F53" w:rsidRPr="00E13E45">
        <w:t xml:space="preserve">to </w:t>
      </w:r>
      <w:r w:rsidR="001A7D2D">
        <w:t>‘</w:t>
      </w:r>
      <w:r w:rsidR="009D6F53" w:rsidRPr="00E13E45">
        <w:t>check</w:t>
      </w:r>
      <w:r w:rsidR="002A2D01" w:rsidRPr="00E13E45">
        <w:t>-in</w:t>
      </w:r>
      <w:r w:rsidR="001A7D2D">
        <w:t>’</w:t>
      </w:r>
      <w:r w:rsidR="002A2D01" w:rsidRPr="00E13E45">
        <w:t xml:space="preserve"> with student</w:t>
      </w:r>
      <w:r w:rsidR="009D6F53" w:rsidRPr="00E13E45">
        <w:t>s</w:t>
      </w:r>
      <w:r w:rsidR="002A2D01" w:rsidRPr="00E13E45">
        <w:t xml:space="preserve"> t</w:t>
      </w:r>
      <w:r w:rsidR="009D6F53" w:rsidRPr="00E13E45">
        <w:t xml:space="preserve">o </w:t>
      </w:r>
      <w:r>
        <w:t>see</w:t>
      </w:r>
      <w:r w:rsidR="009D6F53" w:rsidRPr="00E13E45">
        <w:t xml:space="preserve"> how they are managing</w:t>
      </w:r>
      <w:r w:rsidR="002A2D01" w:rsidRPr="00E13E45">
        <w:t xml:space="preserve">. Six respondents (3.5%) suggested that universities should introduce a support system to help students catch up with their studies after a period of illness, and another six </w:t>
      </w:r>
      <w:r>
        <w:t xml:space="preserve">(3.5%) </w:t>
      </w:r>
      <w:r w:rsidR="002A2D01" w:rsidRPr="00E13E45">
        <w:t xml:space="preserve">suggested having a health-specific personal tutor/mentor who could be a </w:t>
      </w:r>
      <w:r w:rsidR="00C1602E">
        <w:t xml:space="preserve">key </w:t>
      </w:r>
      <w:r w:rsidR="002A2D01" w:rsidRPr="00E13E45">
        <w:t>point of contact</w:t>
      </w:r>
      <w:r w:rsidR="00B83DE8">
        <w:t>.</w:t>
      </w:r>
    </w:p>
    <w:p w14:paraId="56525B85" w14:textId="403AF584" w:rsidR="003960F5" w:rsidRDefault="003960F5" w:rsidP="00D43A10">
      <w:pPr>
        <w:spacing w:line="480" w:lineRule="auto"/>
      </w:pPr>
    </w:p>
    <w:p w14:paraId="30E9AC02" w14:textId="0F78A784" w:rsidR="00056710" w:rsidRDefault="00056710" w:rsidP="00D43A10">
      <w:pPr>
        <w:spacing w:line="480" w:lineRule="auto"/>
      </w:pPr>
    </w:p>
    <w:p w14:paraId="22BF1DD0" w14:textId="77777777" w:rsidR="00056710" w:rsidRDefault="00056710" w:rsidP="00D43A10">
      <w:pPr>
        <w:spacing w:line="480" w:lineRule="auto"/>
      </w:pPr>
    </w:p>
    <w:p w14:paraId="2B142E24" w14:textId="77777777" w:rsidR="00056710" w:rsidRDefault="00313E9E" w:rsidP="00CD726F">
      <w:pPr>
        <w:pStyle w:val="Heading1"/>
      </w:pPr>
      <w:r w:rsidRPr="00E13E45">
        <w:t>Discussion</w:t>
      </w:r>
    </w:p>
    <w:p w14:paraId="0F6C3D07" w14:textId="4BA243E9" w:rsidR="007D5F99" w:rsidRPr="00E13E45" w:rsidRDefault="007B2D04" w:rsidP="00D43A10">
      <w:pPr>
        <w:spacing w:line="480" w:lineRule="auto"/>
      </w:pPr>
      <w:r w:rsidRPr="00E13E45">
        <w:t xml:space="preserve">The </w:t>
      </w:r>
      <w:r w:rsidR="00F3493E">
        <w:t xml:space="preserve">main aim of this study was </w:t>
      </w:r>
      <w:r w:rsidR="007D5F99" w:rsidRPr="00E13E45">
        <w:t>to examine the mental health needs of university students living with LTCs and</w:t>
      </w:r>
      <w:r w:rsidR="00B84396">
        <w:t xml:space="preserve"> to</w:t>
      </w:r>
      <w:r w:rsidR="007D5F99" w:rsidRPr="00E13E45">
        <w:t xml:space="preserve"> ide</w:t>
      </w:r>
      <w:r w:rsidR="00F53406">
        <w:t xml:space="preserve">ntify the forms of support </w:t>
      </w:r>
      <w:r w:rsidR="007D5F99" w:rsidRPr="00E13E45">
        <w:t>they see as being most needed. T</w:t>
      </w:r>
      <w:r w:rsidR="00B83DE8">
        <w:t>o our</w:t>
      </w:r>
      <w:r w:rsidR="007D5F99" w:rsidRPr="00E13E45">
        <w:t xml:space="preserve"> knowledge, th</w:t>
      </w:r>
      <w:r w:rsidR="00B83DE8">
        <w:t>is is the</w:t>
      </w:r>
      <w:r w:rsidR="00DA6BC7">
        <w:t xml:space="preserve"> </w:t>
      </w:r>
      <w:r w:rsidR="007D5F99" w:rsidRPr="00E13E45">
        <w:t>first UK national survey exploring the mental health needs of university students living with LTCs</w:t>
      </w:r>
      <w:r w:rsidR="004B1D41">
        <w:t>. O</w:t>
      </w:r>
      <w:r w:rsidR="00254793">
        <w:t>ur findings</w:t>
      </w:r>
      <w:r w:rsidR="00CD4450">
        <w:t xml:space="preserve"> highlight </w:t>
      </w:r>
      <w:r w:rsidR="00254793">
        <w:t>the significant difficulties these students can face</w:t>
      </w:r>
      <w:r w:rsidR="00B84396">
        <w:t xml:space="preserve"> (particularly undergraduate students)</w:t>
      </w:r>
      <w:r w:rsidR="00254793">
        <w:t>, with important implications for higher education</w:t>
      </w:r>
      <w:r w:rsidR="004B1D41">
        <w:t xml:space="preserve"> and the development of relevant forms of health education and support for these students</w:t>
      </w:r>
      <w:r w:rsidR="00254793">
        <w:t xml:space="preserve">.  </w:t>
      </w:r>
    </w:p>
    <w:p w14:paraId="02DBC79F" w14:textId="08137970" w:rsidR="007D5F99" w:rsidRPr="00E13E45" w:rsidRDefault="007D5F99" w:rsidP="00D43A10">
      <w:pPr>
        <w:spacing w:line="480" w:lineRule="auto"/>
      </w:pPr>
    </w:p>
    <w:p w14:paraId="228985C4" w14:textId="7232B83F" w:rsidR="00255004" w:rsidRDefault="00254793" w:rsidP="00255004">
      <w:pPr>
        <w:spacing w:line="480" w:lineRule="auto"/>
      </w:pPr>
      <w:r>
        <w:t xml:space="preserve">Of </w:t>
      </w:r>
      <w:r w:rsidR="00AD1682">
        <w:t>particular</w:t>
      </w:r>
      <w:r w:rsidR="002F58A7">
        <w:t xml:space="preserve"> concern </w:t>
      </w:r>
      <w:r>
        <w:t>is the number of students reporting the impacts of their LTC</w:t>
      </w:r>
      <w:r w:rsidR="00F53406">
        <w:t>s</w:t>
      </w:r>
      <w:r>
        <w:t xml:space="preserve"> on their mental health</w:t>
      </w:r>
      <w:r w:rsidR="00255004">
        <w:t xml:space="preserve"> and wellbeing. The pressures and stresses reported by these students warrant</w:t>
      </w:r>
      <w:r w:rsidR="00D5773A">
        <w:t>s</w:t>
      </w:r>
      <w:r w:rsidR="00255004">
        <w:t xml:space="preserve"> </w:t>
      </w:r>
      <w:r w:rsidR="002F58A7">
        <w:t xml:space="preserve">careful </w:t>
      </w:r>
      <w:r w:rsidR="00255004">
        <w:t>attention</w:t>
      </w:r>
      <w:r w:rsidR="00CD4450">
        <w:t>,</w:t>
      </w:r>
      <w:r w:rsidR="00255004">
        <w:t xml:space="preserve"> </w:t>
      </w:r>
      <w:r w:rsidR="002F58A7">
        <w:t xml:space="preserve">including </w:t>
      </w:r>
      <w:r w:rsidR="00255004">
        <w:t xml:space="preserve">how the transition to university </w:t>
      </w:r>
      <w:r w:rsidR="002F58A7">
        <w:t xml:space="preserve">affects </w:t>
      </w:r>
      <w:r w:rsidR="002F58A7">
        <w:lastRenderedPageBreak/>
        <w:t>th</w:t>
      </w:r>
      <w:r w:rsidR="00255004">
        <w:t>ese students</w:t>
      </w:r>
      <w:r w:rsidR="002F58A7">
        <w:t>’</w:t>
      </w:r>
      <w:r w:rsidR="00255004">
        <w:t xml:space="preserve"> wellbeing</w:t>
      </w:r>
      <w:r w:rsidR="002F58A7">
        <w:t xml:space="preserve"> and academic studies</w:t>
      </w:r>
      <w:r w:rsidR="00255004">
        <w:t xml:space="preserve">. In particular, </w:t>
      </w:r>
      <w:r w:rsidR="004B1D41">
        <w:t>it seems that</w:t>
      </w:r>
      <w:r w:rsidR="00255004">
        <w:t xml:space="preserve"> </w:t>
      </w:r>
      <w:r w:rsidR="00C11AD2">
        <w:t>in</w:t>
      </w:r>
      <w:r w:rsidR="00A03E45">
        <w:t>f</w:t>
      </w:r>
      <w:r w:rsidR="00255004">
        <w:t>lexib</w:t>
      </w:r>
      <w:r w:rsidR="004B1D41">
        <w:t xml:space="preserve">le </w:t>
      </w:r>
      <w:r w:rsidR="00255004">
        <w:t xml:space="preserve">university processes, including timetabling and assessments, </w:t>
      </w:r>
      <w:r w:rsidR="004B1D41">
        <w:t xml:space="preserve">can exacerbate the difficulties these </w:t>
      </w:r>
      <w:r w:rsidR="00255004">
        <w:t>students</w:t>
      </w:r>
      <w:r w:rsidR="002F58A7">
        <w:t xml:space="preserve"> </w:t>
      </w:r>
      <w:r w:rsidR="004B1D41">
        <w:t xml:space="preserve">encounter </w:t>
      </w:r>
      <w:r w:rsidR="00255004">
        <w:t>(</w:t>
      </w:r>
      <w:r w:rsidR="000E1E27" w:rsidRPr="00C11AD2">
        <w:t xml:space="preserve">Kellet </w:t>
      </w:r>
      <w:r w:rsidR="000E1E27" w:rsidRPr="00A03E45">
        <w:rPr>
          <w:i/>
          <w:iCs/>
        </w:rPr>
        <w:t>et al.</w:t>
      </w:r>
      <w:r w:rsidR="00A03E45">
        <w:rPr>
          <w:i/>
          <w:iCs/>
        </w:rPr>
        <w:t>,</w:t>
      </w:r>
      <w:r w:rsidR="000E1E27" w:rsidRPr="00C11AD2">
        <w:t xml:space="preserve"> 2018, </w:t>
      </w:r>
      <w:r w:rsidR="00255004" w:rsidRPr="00C11AD2">
        <w:t xml:space="preserve">Spencer </w:t>
      </w:r>
      <w:r w:rsidR="00255004" w:rsidRPr="00A03E45">
        <w:rPr>
          <w:i/>
          <w:iCs/>
        </w:rPr>
        <w:t>et al.,</w:t>
      </w:r>
      <w:r w:rsidR="00255004" w:rsidRPr="00C11AD2">
        <w:t xml:space="preserve"> 2018</w:t>
      </w:r>
      <w:r w:rsidR="00A235FD" w:rsidRPr="00C11AD2">
        <w:t>, AYPH</w:t>
      </w:r>
      <w:r w:rsidR="00A03E45">
        <w:t>,</w:t>
      </w:r>
      <w:r w:rsidR="00A235FD" w:rsidRPr="00C11AD2">
        <w:t xml:space="preserve"> 2019</w:t>
      </w:r>
      <w:r w:rsidR="00255004">
        <w:t xml:space="preserve">). </w:t>
      </w:r>
      <w:r w:rsidR="004B1D41">
        <w:t>In keeping with a healthy settings approach to health education</w:t>
      </w:r>
      <w:r w:rsidR="008861CA">
        <w:t xml:space="preserve"> (WHO n.d.)</w:t>
      </w:r>
      <w:r w:rsidR="004B1D41">
        <w:t>, d</w:t>
      </w:r>
      <w:r w:rsidR="00255004">
        <w:t xml:space="preserve">eveloping flexible modes of study – </w:t>
      </w:r>
      <w:r w:rsidR="001603D1">
        <w:t xml:space="preserve">perhaps </w:t>
      </w:r>
      <w:r w:rsidR="00255004">
        <w:t xml:space="preserve">similar to </w:t>
      </w:r>
      <w:r w:rsidR="002F58A7">
        <w:t xml:space="preserve">those offered by </w:t>
      </w:r>
      <w:r w:rsidR="00255004">
        <w:t xml:space="preserve">postgraduate programmes – </w:t>
      </w:r>
      <w:r w:rsidR="002F58A7">
        <w:t xml:space="preserve">may offer one way to help </w:t>
      </w:r>
      <w:r w:rsidR="00A235FD">
        <w:t xml:space="preserve">better </w:t>
      </w:r>
      <w:r w:rsidR="002F58A7">
        <w:t xml:space="preserve">support </w:t>
      </w:r>
      <w:r w:rsidR="00255004">
        <w:t>undergraduates with LTCs.</w:t>
      </w:r>
    </w:p>
    <w:p w14:paraId="42C44DD2" w14:textId="7FEA3C5D" w:rsidR="002F58A7" w:rsidRDefault="002F58A7" w:rsidP="00255004">
      <w:pPr>
        <w:spacing w:line="480" w:lineRule="auto"/>
      </w:pPr>
    </w:p>
    <w:p w14:paraId="7D4F792E" w14:textId="44708704" w:rsidR="002806B3" w:rsidRDefault="002F58A7" w:rsidP="002806B3">
      <w:pPr>
        <w:spacing w:line="480" w:lineRule="auto"/>
      </w:pPr>
      <w:r>
        <w:t xml:space="preserve">Yet changes to academic processes provide only a partial response to some of the </w:t>
      </w:r>
      <w:r w:rsidR="00F3493E">
        <w:t>issues raised by</w:t>
      </w:r>
      <w:r>
        <w:t xml:space="preserve"> our results and the </w:t>
      </w:r>
      <w:r w:rsidR="00F3493E">
        <w:t xml:space="preserve">particular </w:t>
      </w:r>
      <w:r>
        <w:t xml:space="preserve">challenges </w:t>
      </w:r>
      <w:r w:rsidR="00AD1682">
        <w:t xml:space="preserve">these </w:t>
      </w:r>
      <w:r>
        <w:t>student</w:t>
      </w:r>
      <w:r w:rsidR="00F53406">
        <w:t>s</w:t>
      </w:r>
      <w:r>
        <w:t xml:space="preserve"> face. The impacts of stigma, and how this affects students’ willingness to come forward for help, appears highly relevant to </w:t>
      </w:r>
      <w:r w:rsidR="00AD1682">
        <w:t>the development of effect</w:t>
      </w:r>
      <w:r w:rsidR="00A235FD">
        <w:t xml:space="preserve">ive </w:t>
      </w:r>
      <w:r>
        <w:t xml:space="preserve">responses from </w:t>
      </w:r>
      <w:r w:rsidR="00AD1682">
        <w:t xml:space="preserve">universities </w:t>
      </w:r>
      <w:r w:rsidR="008861CA">
        <w:t xml:space="preserve">and reflects some of the more socially located aspects of (ill) health that are important to effective health education responses </w:t>
      </w:r>
      <w:r w:rsidR="00391AF8">
        <w:t>(</w:t>
      </w:r>
      <w:r w:rsidR="00F3493E">
        <w:t xml:space="preserve">Spencer </w:t>
      </w:r>
      <w:r w:rsidR="00F3493E" w:rsidRPr="00A03E45">
        <w:rPr>
          <w:i/>
          <w:iCs/>
        </w:rPr>
        <w:t>et al.</w:t>
      </w:r>
      <w:r w:rsidR="00A03E45">
        <w:rPr>
          <w:i/>
          <w:iCs/>
        </w:rPr>
        <w:t xml:space="preserve">, </w:t>
      </w:r>
      <w:r w:rsidR="00F3493E">
        <w:t>2018</w:t>
      </w:r>
      <w:r w:rsidR="00391AF8">
        <w:t>)</w:t>
      </w:r>
      <w:r>
        <w:t xml:space="preserve">. Reports of negative reactions from staff </w:t>
      </w:r>
      <w:r w:rsidR="00C11AD2">
        <w:t xml:space="preserve">members </w:t>
      </w:r>
      <w:r>
        <w:t>and other students may account for the low disclos</w:t>
      </w:r>
      <w:r w:rsidR="00C11AD2">
        <w:t>ure</w:t>
      </w:r>
      <w:r>
        <w:t xml:space="preserve"> rates found in</w:t>
      </w:r>
      <w:r w:rsidR="001B75BD">
        <w:t xml:space="preserve"> other r</w:t>
      </w:r>
      <w:r w:rsidR="00F3493E">
        <w:t xml:space="preserve">esearch (Grimes </w:t>
      </w:r>
      <w:r w:rsidR="00F3493E" w:rsidRPr="00A03E45">
        <w:rPr>
          <w:i/>
          <w:iCs/>
        </w:rPr>
        <w:t>et al.</w:t>
      </w:r>
      <w:r w:rsidR="00A03E45">
        <w:rPr>
          <w:i/>
          <w:iCs/>
        </w:rPr>
        <w:t xml:space="preserve">, </w:t>
      </w:r>
      <w:r w:rsidR="00F3493E">
        <w:t>201</w:t>
      </w:r>
      <w:r w:rsidR="00AF173F">
        <w:t>9</w:t>
      </w:r>
      <w:r w:rsidR="00F3493E">
        <w:t>)</w:t>
      </w:r>
      <w:r w:rsidR="00391AF8">
        <w:t xml:space="preserve"> but also need to be understood within the context of being seen as a ‘normal</w:t>
      </w:r>
      <w:r w:rsidR="00F53406">
        <w:t>’ healthy</w:t>
      </w:r>
      <w:r w:rsidR="00391AF8">
        <w:t xml:space="preserve"> student</w:t>
      </w:r>
      <w:r w:rsidR="00F53406">
        <w:t xml:space="preserve"> (Balfe</w:t>
      </w:r>
      <w:r w:rsidR="00A03E45">
        <w:t xml:space="preserve">, </w:t>
      </w:r>
      <w:r w:rsidR="00F53406">
        <w:t xml:space="preserve">2007, Spencer </w:t>
      </w:r>
      <w:r w:rsidR="00F53406" w:rsidRPr="00A03E45">
        <w:rPr>
          <w:i/>
          <w:iCs/>
        </w:rPr>
        <w:t>et al.</w:t>
      </w:r>
      <w:r w:rsidR="00A03E45">
        <w:rPr>
          <w:i/>
          <w:iCs/>
        </w:rPr>
        <w:t>,</w:t>
      </w:r>
      <w:r w:rsidR="00F53406">
        <w:t xml:space="preserve"> 2018</w:t>
      </w:r>
      <w:r w:rsidR="00D5773A">
        <w:t>, Spencer and Almack 2022</w:t>
      </w:r>
      <w:r w:rsidR="00F53406">
        <w:t>).</w:t>
      </w:r>
      <w:r w:rsidR="00391AF8">
        <w:t xml:space="preserve"> Research to date documents the complex interplays between students’ preferred outward </w:t>
      </w:r>
      <w:r w:rsidR="00A67008">
        <w:t xml:space="preserve">normal student </w:t>
      </w:r>
      <w:r w:rsidR="00391AF8">
        <w:t>identities and the tricky issues of disclosing a health condition that sets them apart f</w:t>
      </w:r>
      <w:r w:rsidR="00A67008">
        <w:t>rom</w:t>
      </w:r>
      <w:r w:rsidR="00391AF8">
        <w:t xml:space="preserve"> their peers (</w:t>
      </w:r>
      <w:r w:rsidR="001B75BD">
        <w:t xml:space="preserve">Spencer </w:t>
      </w:r>
      <w:r w:rsidR="001B75BD" w:rsidRPr="00A03E45">
        <w:rPr>
          <w:i/>
          <w:iCs/>
        </w:rPr>
        <w:t>et al.</w:t>
      </w:r>
      <w:r w:rsidR="00A03E45">
        <w:rPr>
          <w:i/>
          <w:iCs/>
        </w:rPr>
        <w:t>,</w:t>
      </w:r>
      <w:r w:rsidR="001B75BD">
        <w:t xml:space="preserve"> 2018</w:t>
      </w:r>
      <w:r w:rsidR="00D5773A">
        <w:t>, Spencer and Almack 2022</w:t>
      </w:r>
      <w:r w:rsidR="00391AF8">
        <w:t>). These identities, in turn, guide health practices and students’ broader engagement</w:t>
      </w:r>
      <w:r w:rsidR="00B66EF7">
        <w:t xml:space="preserve"> (or lack of) in university life</w:t>
      </w:r>
      <w:r w:rsidR="00391AF8">
        <w:t xml:space="preserve"> (</w:t>
      </w:r>
      <w:r w:rsidR="00EC52CE">
        <w:t>Balfe</w:t>
      </w:r>
      <w:r w:rsidR="00A03E45">
        <w:t>,</w:t>
      </w:r>
      <w:r w:rsidR="00EC52CE">
        <w:t xml:space="preserve"> </w:t>
      </w:r>
      <w:r w:rsidR="00B66EF7">
        <w:t xml:space="preserve">2007, </w:t>
      </w:r>
      <w:r w:rsidR="00EC52CE">
        <w:t>2009</w:t>
      </w:r>
      <w:r w:rsidR="00AF173F">
        <w:t>b</w:t>
      </w:r>
      <w:r w:rsidR="004E4C24">
        <w:t>;</w:t>
      </w:r>
      <w:r w:rsidR="00EC52CE">
        <w:t xml:space="preserve"> </w:t>
      </w:r>
      <w:r w:rsidR="00B66EF7" w:rsidRPr="00DF0248">
        <w:t>Saunders</w:t>
      </w:r>
      <w:r w:rsidR="00A03E45">
        <w:t>,</w:t>
      </w:r>
      <w:r w:rsidR="00B66EF7" w:rsidRPr="00DF0248">
        <w:t xml:space="preserve"> 2011, </w:t>
      </w:r>
      <w:r w:rsidR="00B66EF7">
        <w:t xml:space="preserve">Spencer </w:t>
      </w:r>
      <w:r w:rsidR="00B66EF7" w:rsidRPr="00A03E45">
        <w:rPr>
          <w:i/>
          <w:iCs/>
        </w:rPr>
        <w:t>et al.</w:t>
      </w:r>
      <w:r w:rsidR="00A03E45">
        <w:t>,</w:t>
      </w:r>
      <w:r w:rsidR="00B66EF7">
        <w:t xml:space="preserve"> 2018, 2019) </w:t>
      </w:r>
      <w:r w:rsidR="00391AF8">
        <w:t xml:space="preserve">– sometimes </w:t>
      </w:r>
      <w:r w:rsidR="002806B3">
        <w:t>with adverse cons</w:t>
      </w:r>
      <w:r w:rsidR="00391AF8">
        <w:t>equences for their physical, mental and social h</w:t>
      </w:r>
      <w:r w:rsidR="002806B3">
        <w:t>ealth (</w:t>
      </w:r>
      <w:r w:rsidR="00B66EF7">
        <w:t xml:space="preserve">Spencer </w:t>
      </w:r>
      <w:r w:rsidR="00B66EF7" w:rsidRPr="00A03E45">
        <w:rPr>
          <w:i/>
          <w:iCs/>
        </w:rPr>
        <w:t>et al.</w:t>
      </w:r>
      <w:r w:rsidR="00A03E45">
        <w:rPr>
          <w:i/>
          <w:iCs/>
        </w:rPr>
        <w:t xml:space="preserve">, </w:t>
      </w:r>
      <w:r w:rsidR="00B66EF7">
        <w:t>2019</w:t>
      </w:r>
      <w:r w:rsidR="00D5773A">
        <w:t>, Spencer and Almack 2022</w:t>
      </w:r>
      <w:r w:rsidR="002806B3">
        <w:t xml:space="preserve">).  </w:t>
      </w:r>
    </w:p>
    <w:p w14:paraId="5976F296" w14:textId="43454334" w:rsidR="00391AF8" w:rsidRDefault="00391AF8" w:rsidP="002806B3">
      <w:pPr>
        <w:spacing w:line="480" w:lineRule="auto"/>
      </w:pPr>
    </w:p>
    <w:p w14:paraId="5FCB6C5F" w14:textId="6B520611" w:rsidR="00391AF8" w:rsidRDefault="00391AF8" w:rsidP="002806B3">
      <w:pPr>
        <w:spacing w:line="480" w:lineRule="auto"/>
      </w:pPr>
      <w:r>
        <w:lastRenderedPageBreak/>
        <w:t xml:space="preserve">Complex issues of disclosure can mean many students do not access appropriate support. </w:t>
      </w:r>
      <w:r w:rsidR="00A56B5F" w:rsidRPr="00F9560A">
        <w:t xml:space="preserve">We found that students who had disclosed their condition/s to their university </w:t>
      </w:r>
      <w:r w:rsidR="00F531E5" w:rsidRPr="00F9560A">
        <w:t>experienced comparable negative mental health and wellbeing impacts</w:t>
      </w:r>
      <w:r w:rsidR="00F9560A">
        <w:t xml:space="preserve"> to those who had not disclosed their condition/s</w:t>
      </w:r>
      <w:r w:rsidR="00F531E5" w:rsidRPr="00F9560A">
        <w:t xml:space="preserve">, </w:t>
      </w:r>
      <w:r w:rsidR="00A03E45">
        <w:t xml:space="preserve">perhaps </w:t>
      </w:r>
      <w:r w:rsidR="00F531E5" w:rsidRPr="00F9560A">
        <w:t xml:space="preserve">signalling that disclosure did not lead to </w:t>
      </w:r>
      <w:r w:rsidR="00FD7240">
        <w:t>effective</w:t>
      </w:r>
      <w:r w:rsidR="00F531E5" w:rsidRPr="00F9560A">
        <w:t xml:space="preserve"> university support.</w:t>
      </w:r>
      <w:r w:rsidR="00A646F4" w:rsidRPr="00F9560A">
        <w:t xml:space="preserve"> </w:t>
      </w:r>
      <w:r w:rsidR="00A03E45">
        <w:t>Th</w:t>
      </w:r>
      <w:r w:rsidR="003B7E21" w:rsidRPr="00F9560A">
        <w:t>is may be illuminated by</w:t>
      </w:r>
      <w:r w:rsidR="00066706" w:rsidRPr="00F9560A">
        <w:t xml:space="preserve"> </w:t>
      </w:r>
      <w:r w:rsidRPr="00F9560A">
        <w:t xml:space="preserve">our </w:t>
      </w:r>
      <w:r w:rsidR="003B7E21" w:rsidRPr="00F9560A">
        <w:t xml:space="preserve">other </w:t>
      </w:r>
      <w:r w:rsidRPr="00F9560A">
        <w:t xml:space="preserve">findings </w:t>
      </w:r>
      <w:r w:rsidR="003B7E21" w:rsidRPr="00F9560A">
        <w:t xml:space="preserve">which </w:t>
      </w:r>
      <w:r w:rsidRPr="00F9560A">
        <w:t>suggest</w:t>
      </w:r>
      <w:r>
        <w:t xml:space="preserve"> that when students do come forward, the services offered are not </w:t>
      </w:r>
      <w:r w:rsidR="00A52ACF">
        <w:t xml:space="preserve">well </w:t>
      </w:r>
      <w:r>
        <w:t>tailored to their specific needs</w:t>
      </w:r>
      <w:r w:rsidR="00A52ACF">
        <w:t>,</w:t>
      </w:r>
      <w:r>
        <w:t xml:space="preserve"> or available</w:t>
      </w:r>
      <w:r w:rsidR="00AD1682">
        <w:t xml:space="preserve"> to them</w:t>
      </w:r>
      <w:r w:rsidR="001B75BD">
        <w:t xml:space="preserve"> in a timely way (e.g. reports of l</w:t>
      </w:r>
      <w:r>
        <w:t xml:space="preserve">ong waiting times for counselling services).  </w:t>
      </w:r>
      <w:r w:rsidR="001B75BD">
        <w:t>I</w:t>
      </w:r>
      <w:r w:rsidR="00AD1682">
        <w:t xml:space="preserve">n this study, just 23% reported that they received support from university-based </w:t>
      </w:r>
      <w:r w:rsidR="00A03E45">
        <w:t>services;</w:t>
      </w:r>
      <w:r w:rsidR="00AD1682">
        <w:t xml:space="preserve"> with only 18% reporting support from specific disability services (see also Kellett </w:t>
      </w:r>
      <w:r w:rsidR="00AD1682" w:rsidRPr="00A03E45">
        <w:rPr>
          <w:i/>
          <w:iCs/>
        </w:rPr>
        <w:t>et al.</w:t>
      </w:r>
      <w:r w:rsidR="00A03E45">
        <w:t xml:space="preserve">, </w:t>
      </w:r>
      <w:r w:rsidR="00AD1682">
        <w:t xml:space="preserve">2018). </w:t>
      </w:r>
      <w:r w:rsidR="001B75BD">
        <w:t>Whilst e</w:t>
      </w:r>
      <w:r w:rsidR="00AD1682">
        <w:t>nhancing access to relevant health and wellbeing services, including support for mental health, has been called for as part of broader</w:t>
      </w:r>
      <w:r w:rsidR="008861CA">
        <w:t xml:space="preserve"> university-based</w:t>
      </w:r>
      <w:r w:rsidR="00AD1682">
        <w:t xml:space="preserve"> </w:t>
      </w:r>
      <w:r w:rsidR="008861CA">
        <w:t xml:space="preserve">health education and promotion </w:t>
      </w:r>
      <w:r w:rsidR="00AD1682">
        <w:t>strategies</w:t>
      </w:r>
      <w:r w:rsidR="00FD7240">
        <w:t xml:space="preserve"> </w:t>
      </w:r>
      <w:r w:rsidR="001B75BD">
        <w:t>(</w:t>
      </w:r>
      <w:r w:rsidR="00B66EF7">
        <w:t>Universities UK</w:t>
      </w:r>
      <w:r w:rsidR="00A03E45">
        <w:t xml:space="preserve">, </w:t>
      </w:r>
      <w:r w:rsidR="00B66EF7">
        <w:t>2015</w:t>
      </w:r>
      <w:r w:rsidR="00A52ACF">
        <w:t>), it seems</w:t>
      </w:r>
      <w:r w:rsidR="008861CA">
        <w:t xml:space="preserve"> much</w:t>
      </w:r>
      <w:r w:rsidR="00A52ACF">
        <w:t xml:space="preserve"> more work is </w:t>
      </w:r>
      <w:r w:rsidR="00A03E45">
        <w:t>need</w:t>
      </w:r>
      <w:r w:rsidR="001B75BD">
        <w:t>ed to ensure students with LTCs can access the types of help they need.</w:t>
      </w:r>
      <w:r w:rsidR="00D5773A">
        <w:t xml:space="preserve">  A deeper understanding of the different types of relevant support for</w:t>
      </w:r>
      <w:r w:rsidR="002249D1">
        <w:t xml:space="preserve"> both</w:t>
      </w:r>
      <w:r w:rsidR="00D5773A">
        <w:t xml:space="preserve"> undergraduate and postgraduates is </w:t>
      </w:r>
      <w:r w:rsidR="002249D1">
        <w:t xml:space="preserve">much </w:t>
      </w:r>
      <w:r w:rsidR="00D5773A">
        <w:t xml:space="preserve">needed.  </w:t>
      </w:r>
      <w:r w:rsidR="002249D1">
        <w:t>T</w:t>
      </w:r>
      <w:r w:rsidR="00D5773A">
        <w:t>he latter group may be juggling family commitments, working part-time and have prior experience</w:t>
      </w:r>
      <w:r w:rsidR="002249D1">
        <w:t>s</w:t>
      </w:r>
      <w:r w:rsidR="00D5773A">
        <w:t xml:space="preserve"> of university.  These factors may influence how they manage and negotiate their health conditions – as well as the types of support available to them. </w:t>
      </w:r>
      <w:r w:rsidR="002249D1">
        <w:t xml:space="preserve">However, because our sample were largely undergraduate (65%), full-time students (77%) we are cautious about making specific suggestions about the distinct support needs and services relevant for different groups of students.  </w:t>
      </w:r>
    </w:p>
    <w:p w14:paraId="45D0F73E" w14:textId="7CA9CCED" w:rsidR="00CD4450" w:rsidRDefault="00CD4450" w:rsidP="002806B3">
      <w:pPr>
        <w:spacing w:line="480" w:lineRule="auto"/>
      </w:pPr>
    </w:p>
    <w:p w14:paraId="21E03E2F" w14:textId="18E78A82" w:rsidR="00CD4450" w:rsidRDefault="00CD4450" w:rsidP="00CD4450">
      <w:pPr>
        <w:spacing w:line="480" w:lineRule="auto"/>
      </w:pPr>
      <w:r>
        <w:t xml:space="preserve">Furthermore, clear improvements are </w:t>
      </w:r>
      <w:r w:rsidR="001B75BD">
        <w:t>required</w:t>
      </w:r>
      <w:r>
        <w:t xml:space="preserve"> in terms of developing broader </w:t>
      </w:r>
      <w:r w:rsidR="008861CA">
        <w:t xml:space="preserve">forms of health education to promote </w:t>
      </w:r>
      <w:r>
        <w:t>awareness and an appreciation of chronic health conditions</w:t>
      </w:r>
      <w:r w:rsidR="008861CA">
        <w:t xml:space="preserve"> by others – especially university staff</w:t>
      </w:r>
      <w:r>
        <w:t xml:space="preserve">. Reports of a lack of understanding </w:t>
      </w:r>
      <w:r>
        <w:lastRenderedPageBreak/>
        <w:t>and not being believed by university sta</w:t>
      </w:r>
      <w:r w:rsidR="001B75BD">
        <w:t>ff</w:t>
      </w:r>
      <w:r w:rsidR="00084F5F">
        <w:t xml:space="preserve"> </w:t>
      </w:r>
      <w:r w:rsidR="001B75BD">
        <w:t>is reflected in other</w:t>
      </w:r>
      <w:r>
        <w:t xml:space="preserve"> research (Hill </w:t>
      </w:r>
      <w:r w:rsidRPr="00A03E45">
        <w:rPr>
          <w:i/>
          <w:iCs/>
        </w:rPr>
        <w:t>et al.</w:t>
      </w:r>
      <w:r w:rsidR="00A03E45">
        <w:rPr>
          <w:i/>
          <w:iCs/>
        </w:rPr>
        <w:t xml:space="preserve">, </w:t>
      </w:r>
      <w:r>
        <w:t xml:space="preserve">2013, Spencer </w:t>
      </w:r>
      <w:r w:rsidRPr="00A03E45">
        <w:rPr>
          <w:i/>
          <w:iCs/>
        </w:rPr>
        <w:t>et al.</w:t>
      </w:r>
      <w:r w:rsidR="00A03E45">
        <w:rPr>
          <w:i/>
          <w:iCs/>
        </w:rPr>
        <w:t xml:space="preserve">, </w:t>
      </w:r>
      <w:r>
        <w:t>2018, AYPH</w:t>
      </w:r>
      <w:r w:rsidR="00A03E45">
        <w:t>,</w:t>
      </w:r>
      <w:r>
        <w:t xml:space="preserve"> 2019). Not being believed as genuinely ill can result in students being penalised for non-attendance o</w:t>
      </w:r>
      <w:r w:rsidR="00B66EF7">
        <w:t xml:space="preserve">r late submission of work </w:t>
      </w:r>
      <w:r>
        <w:t xml:space="preserve">and may mean students are not </w:t>
      </w:r>
      <w:r w:rsidR="00E84D2A">
        <w:t>sufficiently</w:t>
      </w:r>
      <w:r>
        <w:t xml:space="preserve"> supported to catch-up on their studies following perio</w:t>
      </w:r>
      <w:r w:rsidR="001B75BD">
        <w:t>ds of ill health</w:t>
      </w:r>
      <w:r w:rsidR="00A15B66">
        <w:t xml:space="preserve"> (Spencer </w:t>
      </w:r>
      <w:r w:rsidR="00A15B66" w:rsidRPr="00A03E45">
        <w:rPr>
          <w:i/>
          <w:iCs/>
        </w:rPr>
        <w:t>et al.</w:t>
      </w:r>
      <w:r w:rsidR="00A03E45">
        <w:rPr>
          <w:i/>
          <w:iCs/>
        </w:rPr>
        <w:t xml:space="preserve">, </w:t>
      </w:r>
      <w:r w:rsidR="00A15B66">
        <w:t xml:space="preserve">2018, </w:t>
      </w:r>
      <w:r w:rsidR="00A03E45">
        <w:t>2019)</w:t>
      </w:r>
      <w:r w:rsidR="001B75BD">
        <w:t xml:space="preserve">. Of concern are reports of </w:t>
      </w:r>
      <w:r w:rsidR="00A52ACF">
        <w:t xml:space="preserve">students </w:t>
      </w:r>
      <w:r w:rsidR="001B75BD">
        <w:t>working through l</w:t>
      </w:r>
      <w:r w:rsidR="00E84D2A">
        <w:t xml:space="preserve">engthy bureaucratic processes </w:t>
      </w:r>
      <w:r w:rsidR="000E1E27">
        <w:t xml:space="preserve">in an effort to evidence </w:t>
      </w:r>
      <w:r w:rsidR="00E84D2A">
        <w:t>ill hea</w:t>
      </w:r>
      <w:r w:rsidR="001B75BD">
        <w:t>l</w:t>
      </w:r>
      <w:r w:rsidR="00E84D2A">
        <w:t>th</w:t>
      </w:r>
      <w:r w:rsidR="000E1E27">
        <w:t xml:space="preserve"> </w:t>
      </w:r>
      <w:r w:rsidR="001B75BD">
        <w:t xml:space="preserve">(and at </w:t>
      </w:r>
      <w:r w:rsidR="008861CA">
        <w:t xml:space="preserve">the difficult </w:t>
      </w:r>
      <w:r w:rsidR="001B75BD">
        <w:t xml:space="preserve">time of ill health) </w:t>
      </w:r>
      <w:r w:rsidR="00A52ACF">
        <w:t>in order to</w:t>
      </w:r>
      <w:r w:rsidR="001B75BD">
        <w:t xml:space="preserve"> </w:t>
      </w:r>
      <w:r w:rsidR="000E1E27">
        <w:t xml:space="preserve">access appropriate support (Spencer </w:t>
      </w:r>
      <w:r w:rsidR="000E1E27" w:rsidRPr="00A03E45">
        <w:rPr>
          <w:i/>
          <w:iCs/>
        </w:rPr>
        <w:t>et al.</w:t>
      </w:r>
      <w:r w:rsidR="00A03E45">
        <w:rPr>
          <w:i/>
          <w:iCs/>
        </w:rPr>
        <w:t>,</w:t>
      </w:r>
      <w:r w:rsidR="000E1E27">
        <w:t xml:space="preserve"> 2018, AYPH</w:t>
      </w:r>
      <w:r w:rsidR="00A03E45">
        <w:t>,</w:t>
      </w:r>
      <w:r w:rsidR="000E1E27">
        <w:t xml:space="preserve"> 2019).</w:t>
      </w:r>
    </w:p>
    <w:p w14:paraId="05B95DD2" w14:textId="77777777" w:rsidR="00056710" w:rsidRDefault="00056710" w:rsidP="00CD4450">
      <w:pPr>
        <w:spacing w:line="480" w:lineRule="auto"/>
      </w:pPr>
    </w:p>
    <w:p w14:paraId="53FD24DF" w14:textId="0523856F" w:rsidR="00E85BC6" w:rsidRPr="00E13E45" w:rsidRDefault="008861CA" w:rsidP="00D43A10">
      <w:pPr>
        <w:spacing w:line="480" w:lineRule="auto"/>
      </w:pPr>
      <w:r>
        <w:t>Despite facing clear struggles, s</w:t>
      </w:r>
      <w:r w:rsidR="00F74E28">
        <w:t xml:space="preserve">ome positive responses </w:t>
      </w:r>
      <w:r>
        <w:t>from</w:t>
      </w:r>
      <w:r w:rsidR="00F74E28">
        <w:t xml:space="preserve"> the survey</w:t>
      </w:r>
      <w:r>
        <w:t xml:space="preserve"> highlight</w:t>
      </w:r>
      <w:r w:rsidR="00F74E28">
        <w:t xml:space="preserve"> important clues </w:t>
      </w:r>
      <w:r>
        <w:t>for how best to develop forms of health education in the university setting to better</w:t>
      </w:r>
      <w:r w:rsidR="00AD1682">
        <w:t xml:space="preserve"> support students with LTCs. </w:t>
      </w:r>
      <w:r w:rsidR="00D80292">
        <w:t>This might include</w:t>
      </w:r>
      <w:r w:rsidR="00AD1682">
        <w:t xml:space="preserve"> </w:t>
      </w:r>
      <w:r w:rsidR="00F74E28" w:rsidRPr="00E13E45">
        <w:t xml:space="preserve">granting extensions </w:t>
      </w:r>
      <w:r w:rsidR="001B75BD">
        <w:t>for assessments</w:t>
      </w:r>
      <w:r w:rsidR="00D80292">
        <w:t xml:space="preserve"> but also through the development of empathy and understanding by</w:t>
      </w:r>
      <w:r w:rsidR="00F74E28" w:rsidRPr="00E13E45">
        <w:t xml:space="preserve"> staff </w:t>
      </w:r>
      <w:r w:rsidR="00D80292">
        <w:t xml:space="preserve">including </w:t>
      </w:r>
      <w:r w:rsidR="00F74E28" w:rsidRPr="00E13E45">
        <w:t>lecturers, personal tutors and disability service advisors</w:t>
      </w:r>
      <w:r w:rsidR="00D80292">
        <w:t>. Broader forms of health promotion may also offer alternative opportunities to support these students</w:t>
      </w:r>
      <w:r w:rsidR="00A03E45">
        <w:t xml:space="preserve">’ </w:t>
      </w:r>
      <w:r w:rsidR="00D80292">
        <w:t xml:space="preserve">wellbeing. For example, </w:t>
      </w:r>
      <w:r w:rsidR="00AD1682">
        <w:t xml:space="preserve">exercise and other </w:t>
      </w:r>
      <w:r w:rsidR="00E01DD9">
        <w:t xml:space="preserve">activities </w:t>
      </w:r>
      <w:r w:rsidR="00D80292">
        <w:t xml:space="preserve">seemed to </w:t>
      </w:r>
      <w:r w:rsidR="00E01DD9">
        <w:t>help</w:t>
      </w:r>
      <w:r w:rsidR="00D80292">
        <w:t xml:space="preserve"> with the</w:t>
      </w:r>
      <w:r w:rsidR="00E01DD9">
        <w:t xml:space="preserve"> day-to-day </w:t>
      </w:r>
      <w:r w:rsidR="00D80292">
        <w:t xml:space="preserve">management of </w:t>
      </w:r>
      <w:r w:rsidR="00E01DD9">
        <w:t>symptoms as well as promot</w:t>
      </w:r>
      <w:r w:rsidR="00A52ACF">
        <w:t>ing</w:t>
      </w:r>
      <w:r w:rsidR="00E01DD9">
        <w:t xml:space="preserve"> </w:t>
      </w:r>
      <w:r w:rsidR="00A52ACF">
        <w:t xml:space="preserve">general </w:t>
      </w:r>
      <w:r w:rsidR="00E01DD9">
        <w:t xml:space="preserve">mental wellbeing. Extending opportunities for participation in tailored exercise programmes or arts-based ‘therapies’, for example, may offer important ways for these students to manage their health on campus – as well as engage socially with </w:t>
      </w:r>
      <w:r w:rsidR="00A52ACF">
        <w:t xml:space="preserve">their </w:t>
      </w:r>
      <w:r w:rsidR="00E01DD9">
        <w:t xml:space="preserve">peers. </w:t>
      </w:r>
      <w:r w:rsidR="00D80292">
        <w:t>Although m</w:t>
      </w:r>
      <w:r w:rsidR="00E01DD9">
        <w:t>ore work is needed to assess the direct benefits of these activities to the physical and mental health of young people</w:t>
      </w:r>
      <w:r w:rsidR="00A52ACF">
        <w:t xml:space="preserve"> with LTCs</w:t>
      </w:r>
      <w:r w:rsidR="00D80292">
        <w:t>,</w:t>
      </w:r>
      <w:r w:rsidR="00A52ACF">
        <w:t xml:space="preserve"> </w:t>
      </w:r>
      <w:r w:rsidR="00805A2F">
        <w:t xml:space="preserve">especially </w:t>
      </w:r>
      <w:proofErr w:type="gramStart"/>
      <w:r w:rsidR="00805A2F">
        <w:t>in light of</w:t>
      </w:r>
      <w:proofErr w:type="gramEnd"/>
      <w:r w:rsidR="001B75BD">
        <w:t xml:space="preserve"> </w:t>
      </w:r>
      <w:r w:rsidR="00E01DD9">
        <w:t>some students report</w:t>
      </w:r>
      <w:r w:rsidR="00805A2F">
        <w:t>ing</w:t>
      </w:r>
      <w:r w:rsidR="00E01DD9">
        <w:t xml:space="preserve"> difficulties with particular </w:t>
      </w:r>
      <w:r w:rsidR="00D80292">
        <w:t>activities</w:t>
      </w:r>
      <w:r w:rsidR="00E01DD9">
        <w:t xml:space="preserve"> because of their </w:t>
      </w:r>
      <w:r w:rsidR="00D80292">
        <w:t>health</w:t>
      </w:r>
      <w:r w:rsidR="002249D1">
        <w:t>, our findings do point to the possible relevance of enhancing behavioural activation therapies and</w:t>
      </w:r>
      <w:r w:rsidR="00006682">
        <w:t xml:space="preserve"> the development of </w:t>
      </w:r>
      <w:r w:rsidR="002249D1">
        <w:t>individual</w:t>
      </w:r>
      <w:r w:rsidR="00006682">
        <w:t>,</w:t>
      </w:r>
      <w:r w:rsidR="002249D1">
        <w:t xml:space="preserve"> tailored health and academic plans.</w:t>
      </w:r>
    </w:p>
    <w:p w14:paraId="29867089" w14:textId="77777777" w:rsidR="00950DB4" w:rsidRPr="00E13E45" w:rsidRDefault="00950DB4" w:rsidP="00D43A10">
      <w:pPr>
        <w:spacing w:line="480" w:lineRule="auto"/>
      </w:pPr>
    </w:p>
    <w:p w14:paraId="68E8D22D" w14:textId="21A59B09" w:rsidR="00F74E28" w:rsidRDefault="00F74E28" w:rsidP="002120E9">
      <w:pPr>
        <w:spacing w:line="480" w:lineRule="auto"/>
      </w:pPr>
      <w:r>
        <w:t xml:space="preserve">Despite these </w:t>
      </w:r>
      <w:r w:rsidR="00D80292">
        <w:t>opportunities for health education</w:t>
      </w:r>
      <w:r>
        <w:t xml:space="preserve">, some caution is needed with respect to their broader relevance to </w:t>
      </w:r>
      <w:r w:rsidR="001B75BD">
        <w:t xml:space="preserve">other </w:t>
      </w:r>
      <w:r>
        <w:t>students</w:t>
      </w:r>
      <w:r w:rsidR="001B75BD">
        <w:t xml:space="preserve"> with LTCs</w:t>
      </w:r>
      <w:r>
        <w:t>. In</w:t>
      </w:r>
      <w:r w:rsidR="00D93C23">
        <w:t xml:space="preserve">deed, our survey yielded a significant response </w:t>
      </w:r>
      <w:r>
        <w:t>from women with endometrio</w:t>
      </w:r>
      <w:r w:rsidR="00D93C23">
        <w:t>sis, which was unexpected. Rea</w:t>
      </w:r>
      <w:r>
        <w:t>sons for this are not readily apparent, although the tendency for women, compared to men, to come forward and discuss health-related issues may</w:t>
      </w:r>
      <w:r w:rsidR="00D80292">
        <w:t>, in part, account for this response</w:t>
      </w:r>
      <w:r w:rsidR="001B75BD">
        <w:t xml:space="preserve"> </w:t>
      </w:r>
      <w:r w:rsidR="002120E9">
        <w:t>(</w:t>
      </w:r>
      <w:r w:rsidR="002120E9" w:rsidRPr="00E13E45">
        <w:t xml:space="preserve">Curtin </w:t>
      </w:r>
      <w:r w:rsidR="002120E9" w:rsidRPr="00A03C24">
        <w:rPr>
          <w:i/>
          <w:iCs/>
        </w:rPr>
        <w:t>et al</w:t>
      </w:r>
      <w:r w:rsidR="00A03C24">
        <w:rPr>
          <w:i/>
          <w:iCs/>
        </w:rPr>
        <w:t>.,</w:t>
      </w:r>
      <w:r w:rsidR="002120E9" w:rsidRPr="00E13E45">
        <w:t xml:space="preserve"> 2000; Kwak and </w:t>
      </w:r>
      <w:proofErr w:type="spellStart"/>
      <w:r w:rsidR="002120E9" w:rsidRPr="00E13E45">
        <w:t>Radler</w:t>
      </w:r>
      <w:proofErr w:type="spellEnd"/>
      <w:r w:rsidR="00A03C24">
        <w:t>,</w:t>
      </w:r>
      <w:r w:rsidR="002120E9" w:rsidRPr="00E13E45">
        <w:t xml:space="preserve"> 2002; </w:t>
      </w:r>
      <w:proofErr w:type="spellStart"/>
      <w:r w:rsidR="002120E9" w:rsidRPr="00E13E45">
        <w:t>Markanday</w:t>
      </w:r>
      <w:proofErr w:type="spellEnd"/>
      <w:r w:rsidR="002120E9" w:rsidRPr="00E13E45">
        <w:t xml:space="preserve"> </w:t>
      </w:r>
      <w:r w:rsidR="002120E9" w:rsidRPr="00A03C24">
        <w:rPr>
          <w:i/>
          <w:iCs/>
        </w:rPr>
        <w:t>et al.</w:t>
      </w:r>
      <w:r w:rsidR="00A03C24">
        <w:rPr>
          <w:i/>
          <w:iCs/>
        </w:rPr>
        <w:t xml:space="preserve">, </w:t>
      </w:r>
      <w:r w:rsidR="002120E9" w:rsidRPr="00E13E45">
        <w:t>2013</w:t>
      </w:r>
      <w:r w:rsidR="002120E9">
        <w:t>)</w:t>
      </w:r>
      <w:r>
        <w:t xml:space="preserve">. </w:t>
      </w:r>
      <w:r w:rsidR="00D80292">
        <w:t>Furthermore, e</w:t>
      </w:r>
      <w:r w:rsidR="00D93C23">
        <w:t>ndometriosis</w:t>
      </w:r>
      <w:r>
        <w:t xml:space="preserve"> has received more attention in the media and again the topical nature of this condition may have encouraged these </w:t>
      </w:r>
      <w:r w:rsidR="00D93C23">
        <w:t>individuals</w:t>
      </w:r>
      <w:r>
        <w:t xml:space="preserve"> to come forward.  </w:t>
      </w:r>
    </w:p>
    <w:p w14:paraId="4E89E435" w14:textId="77777777" w:rsidR="00F74E28" w:rsidRDefault="00F74E28" w:rsidP="00D43A10">
      <w:pPr>
        <w:spacing w:line="480" w:lineRule="auto"/>
      </w:pPr>
    </w:p>
    <w:p w14:paraId="5AF0093C" w14:textId="1F5CE8B8" w:rsidR="00F74E28" w:rsidRDefault="00F74E28" w:rsidP="00D43A10">
      <w:pPr>
        <w:spacing w:line="480" w:lineRule="auto"/>
      </w:pPr>
      <w:r>
        <w:t xml:space="preserve">Just as health </w:t>
      </w:r>
      <w:r w:rsidR="00A67008">
        <w:t>conditions</w:t>
      </w:r>
      <w:r>
        <w:t xml:space="preserve"> differ</w:t>
      </w:r>
      <w:r w:rsidR="001B75BD">
        <w:t>,</w:t>
      </w:r>
      <w:r>
        <w:t xml:space="preserve"> so do university </w:t>
      </w:r>
      <w:r w:rsidR="00A67008">
        <w:t>environments</w:t>
      </w:r>
      <w:r>
        <w:t xml:space="preserve"> and systems. Our results suggest some universities may be </w:t>
      </w:r>
      <w:r w:rsidR="001B75BD">
        <w:t xml:space="preserve">more able to accommodate </w:t>
      </w:r>
      <w:r>
        <w:t xml:space="preserve">the needs of students with LTCs, whilst others are less </w:t>
      </w:r>
      <w:r w:rsidR="001B75BD">
        <w:t>adapting</w:t>
      </w:r>
      <w:r>
        <w:t>.</w:t>
      </w:r>
      <w:r w:rsidRPr="00561425">
        <w:t xml:space="preserve"> This may be due to </w:t>
      </w:r>
      <w:r w:rsidR="001B75BD" w:rsidRPr="00561425">
        <w:t>differences between modes of study and/or flexibility offered by postgraduate courses compared to undergraduate programmes</w:t>
      </w:r>
      <w:r w:rsidR="00A67008" w:rsidRPr="00561425">
        <w:t xml:space="preserve"> (e.g. some require full</w:t>
      </w:r>
      <w:r w:rsidRPr="00561425">
        <w:t>-time contact hours, placements</w:t>
      </w:r>
      <w:r w:rsidR="001B75BD" w:rsidRPr="00561425">
        <w:t xml:space="preserve">, </w:t>
      </w:r>
      <w:r w:rsidR="00A67008" w:rsidRPr="00561425">
        <w:t>opportunities</w:t>
      </w:r>
      <w:r w:rsidRPr="00561425">
        <w:t xml:space="preserve"> for independent or online learning</w:t>
      </w:r>
      <w:r>
        <w:t xml:space="preserve">), </w:t>
      </w:r>
      <w:r w:rsidR="002120E9">
        <w:t xml:space="preserve">but also the </w:t>
      </w:r>
      <w:r>
        <w:t xml:space="preserve">size and </w:t>
      </w:r>
      <w:r w:rsidR="00A67008">
        <w:t>locality</w:t>
      </w:r>
      <w:r w:rsidR="002120E9">
        <w:t xml:space="preserve"> of</w:t>
      </w:r>
      <w:r>
        <w:t xml:space="preserve"> campuses and university buildings</w:t>
      </w:r>
      <w:r w:rsidR="002120E9">
        <w:t>, which may have different effects on students.</w:t>
      </w:r>
      <w:r w:rsidR="00D80292">
        <w:t xml:space="preserve">  These issues remind us of the importance of taking a </w:t>
      </w:r>
      <w:r w:rsidR="00050093">
        <w:t>settings-based</w:t>
      </w:r>
      <w:r w:rsidR="00D80292">
        <w:t xml:space="preserve"> approach to</w:t>
      </w:r>
      <w:r w:rsidR="00A03C24">
        <w:t xml:space="preserve"> health education </w:t>
      </w:r>
      <w:r w:rsidR="005A255E">
        <w:t xml:space="preserve">(WHO n.d.) </w:t>
      </w:r>
      <w:r w:rsidR="00D80292">
        <w:t>in order to understand better the range of socio-contextual influences on health and wellbeing.  Adapting the university environment may be challenging but our results highlight the importance of this setting for the enhancement of student health.</w:t>
      </w:r>
    </w:p>
    <w:p w14:paraId="12F962F7" w14:textId="77777777" w:rsidR="0068365D" w:rsidRDefault="0068365D" w:rsidP="00D43A10">
      <w:pPr>
        <w:spacing w:line="480" w:lineRule="auto"/>
      </w:pPr>
    </w:p>
    <w:p w14:paraId="4E1038E8" w14:textId="5A9F9B2A" w:rsidR="00E13E45" w:rsidRDefault="004541F9" w:rsidP="00D43A10">
      <w:pPr>
        <w:spacing w:line="480" w:lineRule="auto"/>
      </w:pPr>
      <w:r>
        <w:lastRenderedPageBreak/>
        <w:t xml:space="preserve">Based on findings reported here, and supported by other work, there is a clear identifiable need to enhance appropriate support mechanisms for students with LTCs.  More can be done to ensure these students are not unduly disadvantaged </w:t>
      </w:r>
      <w:r w:rsidR="002120E9">
        <w:t xml:space="preserve">at university and through </w:t>
      </w:r>
      <w:r>
        <w:t>ensuring systems and processes are in place to</w:t>
      </w:r>
      <w:r w:rsidR="002120E9">
        <w:t xml:space="preserve"> support</w:t>
      </w:r>
      <w:r>
        <w:t xml:space="preserve"> flexible modes of study/assessments</w:t>
      </w:r>
      <w:r w:rsidR="002120E9">
        <w:t xml:space="preserve"> (including </w:t>
      </w:r>
      <w:r>
        <w:t xml:space="preserve">removal of penalties for non-attendance, </w:t>
      </w:r>
      <w:r w:rsidR="002120E9">
        <w:t>offering extensions). S</w:t>
      </w:r>
      <w:r>
        <w:t>upporting these students to come forward and seek out help necessitates a greater understanding and awareness of chronic conditions to ensure these students do not feel unduly different or stigmatised</w:t>
      </w:r>
      <w:r w:rsidR="002120E9">
        <w:t xml:space="preserve"> because </w:t>
      </w:r>
      <w:r>
        <w:t>of their health.</w:t>
      </w:r>
      <w:r w:rsidR="002120E9">
        <w:t xml:space="preserve"> Without such efforts, these students may be a</w:t>
      </w:r>
      <w:r w:rsidR="00A5623D">
        <w:t>t</w:t>
      </w:r>
      <w:r w:rsidR="002120E9">
        <w:t xml:space="preserve"> greater risk of poorer mental health with significant impacts on </w:t>
      </w:r>
      <w:r w:rsidR="00A5623D">
        <w:t>their academic and social lives and overall health.</w:t>
      </w:r>
    </w:p>
    <w:p w14:paraId="38107C44" w14:textId="390B229E" w:rsidR="00084F5F" w:rsidRDefault="00084F5F" w:rsidP="00D43A10">
      <w:pPr>
        <w:spacing w:line="480" w:lineRule="auto"/>
      </w:pPr>
    </w:p>
    <w:p w14:paraId="16E34C16" w14:textId="34C6175A" w:rsidR="00E13E45" w:rsidRDefault="00786FA4" w:rsidP="00D43A10">
      <w:pPr>
        <w:spacing w:line="480" w:lineRule="auto"/>
      </w:pPr>
      <w:r w:rsidRPr="00786FA4">
        <w:rPr>
          <w:b/>
        </w:rPr>
        <w:t>Declarations of interest</w:t>
      </w:r>
      <w:r>
        <w:t>: None.</w:t>
      </w:r>
    </w:p>
    <w:p w14:paraId="2E7AA1CD" w14:textId="319E019A" w:rsidR="00D331F8" w:rsidRDefault="00D331F8" w:rsidP="00D43A10">
      <w:pPr>
        <w:spacing w:line="480" w:lineRule="auto"/>
      </w:pPr>
    </w:p>
    <w:p w14:paraId="15B03967" w14:textId="77777777" w:rsidR="00D331F8" w:rsidRDefault="00D331F8" w:rsidP="00D43A10">
      <w:pPr>
        <w:spacing w:line="480" w:lineRule="auto"/>
      </w:pPr>
    </w:p>
    <w:p w14:paraId="2C380C5F" w14:textId="0847A656" w:rsidR="0031583E" w:rsidRPr="00E13E45" w:rsidRDefault="00851C48" w:rsidP="00CD726F">
      <w:pPr>
        <w:pStyle w:val="Heading1"/>
      </w:pPr>
      <w:r w:rsidRPr="00E13E45">
        <w:t>References</w:t>
      </w:r>
    </w:p>
    <w:p w14:paraId="0C245359" w14:textId="79DC2681" w:rsidR="00E812CF" w:rsidRPr="00E13E45" w:rsidRDefault="00E812CF" w:rsidP="00E812CF">
      <w:pPr>
        <w:spacing w:line="480" w:lineRule="auto"/>
        <w:ind w:left="720" w:hanging="720"/>
        <w:rPr>
          <w:color w:val="000000"/>
        </w:rPr>
      </w:pPr>
      <w:r>
        <w:rPr>
          <w:color w:val="000000"/>
        </w:rPr>
        <w:t xml:space="preserve">Association for Young People’s Health. </w:t>
      </w:r>
      <w:r w:rsidR="00F70D96">
        <w:rPr>
          <w:color w:val="000000"/>
        </w:rPr>
        <w:t>(</w:t>
      </w:r>
      <w:r>
        <w:rPr>
          <w:color w:val="000000"/>
        </w:rPr>
        <w:t>2019</w:t>
      </w:r>
      <w:r w:rsidR="00F70D96">
        <w:rPr>
          <w:color w:val="000000"/>
        </w:rPr>
        <w:t>),</w:t>
      </w:r>
      <w:r>
        <w:rPr>
          <w:color w:val="000000"/>
        </w:rPr>
        <w:t xml:space="preserve"> </w:t>
      </w:r>
      <w:r w:rsidRPr="00E812CF">
        <w:rPr>
          <w:i/>
          <w:color w:val="000000"/>
        </w:rPr>
        <w:t xml:space="preserve">Student Health Project: Models of </w:t>
      </w:r>
      <w:r w:rsidR="00084F5F">
        <w:rPr>
          <w:i/>
          <w:color w:val="000000"/>
        </w:rPr>
        <w:t>G</w:t>
      </w:r>
      <w:r w:rsidRPr="00E812CF">
        <w:rPr>
          <w:i/>
          <w:color w:val="000000"/>
        </w:rPr>
        <w:t xml:space="preserve">ood </w:t>
      </w:r>
      <w:r w:rsidR="00084F5F">
        <w:rPr>
          <w:i/>
          <w:color w:val="000000"/>
        </w:rPr>
        <w:t>P</w:t>
      </w:r>
      <w:r w:rsidRPr="00E812CF">
        <w:rPr>
          <w:i/>
          <w:color w:val="000000"/>
        </w:rPr>
        <w:t xml:space="preserve">ractice for </w:t>
      </w:r>
      <w:r w:rsidR="00084F5F">
        <w:rPr>
          <w:i/>
          <w:color w:val="000000"/>
        </w:rPr>
        <w:t>S</w:t>
      </w:r>
      <w:r w:rsidRPr="00E812CF">
        <w:rPr>
          <w:i/>
          <w:color w:val="000000"/>
        </w:rPr>
        <w:t xml:space="preserve">upporting </w:t>
      </w:r>
      <w:r w:rsidR="00084F5F">
        <w:rPr>
          <w:i/>
          <w:color w:val="000000"/>
        </w:rPr>
        <w:t>S</w:t>
      </w:r>
      <w:r w:rsidRPr="00E812CF">
        <w:rPr>
          <w:i/>
          <w:color w:val="000000"/>
        </w:rPr>
        <w:t xml:space="preserve">tudents with </w:t>
      </w:r>
      <w:r w:rsidR="00084F5F">
        <w:rPr>
          <w:i/>
          <w:color w:val="000000"/>
        </w:rPr>
        <w:t>L</w:t>
      </w:r>
      <w:r w:rsidRPr="00E812CF">
        <w:rPr>
          <w:i/>
          <w:color w:val="000000"/>
        </w:rPr>
        <w:t>ong</w:t>
      </w:r>
      <w:r w:rsidR="00A03C24">
        <w:rPr>
          <w:i/>
          <w:color w:val="000000"/>
        </w:rPr>
        <w:t>-</w:t>
      </w:r>
      <w:r w:rsidRPr="00E812CF">
        <w:rPr>
          <w:i/>
          <w:color w:val="000000"/>
        </w:rPr>
        <w:t xml:space="preserve">term </w:t>
      </w:r>
      <w:r w:rsidR="00084F5F">
        <w:rPr>
          <w:i/>
          <w:color w:val="000000"/>
        </w:rPr>
        <w:t>H</w:t>
      </w:r>
      <w:r w:rsidRPr="00E812CF">
        <w:rPr>
          <w:i/>
          <w:color w:val="000000"/>
        </w:rPr>
        <w:t xml:space="preserve">ealth </w:t>
      </w:r>
      <w:r w:rsidR="00084F5F">
        <w:rPr>
          <w:i/>
          <w:color w:val="000000"/>
        </w:rPr>
        <w:t>C</w:t>
      </w:r>
      <w:r w:rsidRPr="00E812CF">
        <w:rPr>
          <w:i/>
          <w:color w:val="000000"/>
        </w:rPr>
        <w:t>onditions</w:t>
      </w:r>
      <w:r w:rsidR="00F70D96">
        <w:rPr>
          <w:color w:val="000000"/>
        </w:rPr>
        <w:t>,</w:t>
      </w:r>
      <w:r>
        <w:rPr>
          <w:color w:val="000000"/>
        </w:rPr>
        <w:t xml:space="preserve"> </w:t>
      </w:r>
      <w:r w:rsidR="00E85AF1">
        <w:rPr>
          <w:color w:val="000000"/>
        </w:rPr>
        <w:t xml:space="preserve">AYPH: </w:t>
      </w:r>
      <w:r>
        <w:rPr>
          <w:color w:val="000000"/>
        </w:rPr>
        <w:t>London</w:t>
      </w:r>
    </w:p>
    <w:p w14:paraId="0B0BC7C1" w14:textId="20545030" w:rsidR="0031583E" w:rsidRPr="00E13E45" w:rsidRDefault="001041B9" w:rsidP="00D43A10">
      <w:pPr>
        <w:spacing w:line="480" w:lineRule="auto"/>
        <w:ind w:left="720" w:hanging="720"/>
        <w:rPr>
          <w:color w:val="000000"/>
        </w:rPr>
      </w:pPr>
      <w:r w:rsidRPr="00E13E45">
        <w:rPr>
          <w:color w:val="000000"/>
        </w:rPr>
        <w:t xml:space="preserve">Balfe, M. </w:t>
      </w:r>
      <w:r w:rsidR="00906A53">
        <w:rPr>
          <w:color w:val="000000"/>
        </w:rPr>
        <w:t>(</w:t>
      </w:r>
      <w:r w:rsidRPr="00E13E45">
        <w:rPr>
          <w:color w:val="000000"/>
        </w:rPr>
        <w:t>2007</w:t>
      </w:r>
      <w:r w:rsidR="00906A53">
        <w:rPr>
          <w:color w:val="000000"/>
        </w:rPr>
        <w:t>)</w:t>
      </w:r>
      <w:r w:rsidR="00AE5B38">
        <w:rPr>
          <w:color w:val="000000"/>
        </w:rPr>
        <w:t>,</w:t>
      </w:r>
      <w:r w:rsidR="0031583E" w:rsidRPr="00E13E45">
        <w:rPr>
          <w:color w:val="000000"/>
        </w:rPr>
        <w:t xml:space="preserve"> </w:t>
      </w:r>
      <w:r w:rsidRPr="00E13E45">
        <w:rPr>
          <w:color w:val="000000"/>
        </w:rPr>
        <w:t>“</w:t>
      </w:r>
      <w:r w:rsidR="0031583E" w:rsidRPr="00E13E45">
        <w:rPr>
          <w:color w:val="000000"/>
        </w:rPr>
        <w:t xml:space="preserve">Diets and </w:t>
      </w:r>
      <w:r w:rsidR="00084F5F">
        <w:rPr>
          <w:color w:val="000000"/>
        </w:rPr>
        <w:t>D</w:t>
      </w:r>
      <w:r w:rsidR="0031583E" w:rsidRPr="00E13E45">
        <w:rPr>
          <w:color w:val="000000"/>
        </w:rPr>
        <w:t xml:space="preserve">iscipline: </w:t>
      </w:r>
      <w:r w:rsidR="00084F5F">
        <w:rPr>
          <w:color w:val="000000"/>
        </w:rPr>
        <w:t>T</w:t>
      </w:r>
      <w:r w:rsidR="0031583E" w:rsidRPr="00E13E45">
        <w:rPr>
          <w:color w:val="000000"/>
        </w:rPr>
        <w:t xml:space="preserve">he </w:t>
      </w:r>
      <w:r w:rsidR="00084F5F">
        <w:rPr>
          <w:color w:val="000000"/>
        </w:rPr>
        <w:t>N</w:t>
      </w:r>
      <w:r w:rsidR="0031583E" w:rsidRPr="00E13E45">
        <w:rPr>
          <w:color w:val="000000"/>
        </w:rPr>
        <w:t xml:space="preserve">arratives of </w:t>
      </w:r>
      <w:r w:rsidR="00084F5F">
        <w:rPr>
          <w:color w:val="000000"/>
        </w:rPr>
        <w:t>P</w:t>
      </w:r>
      <w:r w:rsidR="0031583E" w:rsidRPr="00E13E45">
        <w:rPr>
          <w:color w:val="000000"/>
        </w:rPr>
        <w:t xml:space="preserve">ractice of </w:t>
      </w:r>
      <w:r w:rsidR="00084F5F">
        <w:rPr>
          <w:color w:val="000000"/>
        </w:rPr>
        <w:t>U</w:t>
      </w:r>
      <w:r w:rsidR="0031583E" w:rsidRPr="00E13E45">
        <w:rPr>
          <w:color w:val="000000"/>
        </w:rPr>
        <w:t xml:space="preserve">niversity </w:t>
      </w:r>
      <w:r w:rsidR="00084F5F">
        <w:rPr>
          <w:color w:val="000000"/>
        </w:rPr>
        <w:t>S</w:t>
      </w:r>
      <w:r w:rsidR="0031583E" w:rsidRPr="00E13E45">
        <w:rPr>
          <w:color w:val="000000"/>
        </w:rPr>
        <w:t xml:space="preserve">tudents with </w:t>
      </w:r>
      <w:r w:rsidR="00084F5F">
        <w:rPr>
          <w:color w:val="000000"/>
        </w:rPr>
        <w:t>T</w:t>
      </w:r>
      <w:r w:rsidR="0031583E" w:rsidRPr="00E13E45">
        <w:rPr>
          <w:color w:val="000000"/>
        </w:rPr>
        <w:t xml:space="preserve">ype 1 </w:t>
      </w:r>
      <w:r w:rsidR="00084F5F">
        <w:rPr>
          <w:color w:val="000000"/>
        </w:rPr>
        <w:t>D</w:t>
      </w:r>
      <w:r w:rsidR="0031583E" w:rsidRPr="00E13E45">
        <w:rPr>
          <w:color w:val="000000"/>
        </w:rPr>
        <w:t>iabetes</w:t>
      </w:r>
      <w:r w:rsidRPr="00E13E45">
        <w:rPr>
          <w:color w:val="000000"/>
        </w:rPr>
        <w:t>”</w:t>
      </w:r>
      <w:r w:rsidR="00AE5B38">
        <w:rPr>
          <w:color w:val="000000"/>
        </w:rPr>
        <w:t>,</w:t>
      </w:r>
      <w:r w:rsidR="0031583E" w:rsidRPr="00E13E45">
        <w:rPr>
          <w:color w:val="000000"/>
        </w:rPr>
        <w:t xml:space="preserve"> </w:t>
      </w:r>
      <w:r w:rsidRPr="00E13E45">
        <w:rPr>
          <w:i/>
          <w:color w:val="000000"/>
        </w:rPr>
        <w:t>Sociology of Health and Illness</w:t>
      </w:r>
      <w:r w:rsidR="00AE5B38">
        <w:rPr>
          <w:i/>
          <w:color w:val="000000"/>
        </w:rPr>
        <w:t>,</w:t>
      </w:r>
      <w:r w:rsidR="0031583E" w:rsidRPr="00E13E45">
        <w:rPr>
          <w:color w:val="000000"/>
        </w:rPr>
        <w:t xml:space="preserve"> </w:t>
      </w:r>
      <w:r w:rsidR="00AE5B38">
        <w:rPr>
          <w:color w:val="000000"/>
        </w:rPr>
        <w:t xml:space="preserve">Vol </w:t>
      </w:r>
      <w:r w:rsidR="0031583E" w:rsidRPr="00E13E45">
        <w:rPr>
          <w:color w:val="000000"/>
        </w:rPr>
        <w:t>29</w:t>
      </w:r>
      <w:r w:rsidRPr="00E13E45">
        <w:rPr>
          <w:color w:val="000000"/>
        </w:rPr>
        <w:t xml:space="preserve"> </w:t>
      </w:r>
      <w:r w:rsidR="00AE5B38">
        <w:rPr>
          <w:color w:val="000000"/>
        </w:rPr>
        <w:t xml:space="preserve">No. </w:t>
      </w:r>
      <w:r w:rsidRPr="00E13E45">
        <w:rPr>
          <w:color w:val="000000"/>
        </w:rPr>
        <w:t>1</w:t>
      </w:r>
      <w:r w:rsidR="00AE5B38">
        <w:rPr>
          <w:color w:val="000000"/>
        </w:rPr>
        <w:t>, pp.</w:t>
      </w:r>
      <w:r w:rsidR="0031583E" w:rsidRPr="00E13E45">
        <w:rPr>
          <w:color w:val="000000"/>
        </w:rPr>
        <w:t>136-153.</w:t>
      </w:r>
      <w:r w:rsidRPr="00E13E45">
        <w:rPr>
          <w:color w:val="000000"/>
        </w:rPr>
        <w:t xml:space="preserve"> </w:t>
      </w:r>
      <w:r w:rsidR="00FD7C60">
        <w:rPr>
          <w:color w:val="000000"/>
        </w:rPr>
        <w:t>DOI</w:t>
      </w:r>
      <w:r w:rsidRPr="00E13E45">
        <w:rPr>
          <w:color w:val="000000"/>
        </w:rPr>
        <w:t xml:space="preserve">: </w:t>
      </w:r>
      <w:hyperlink r:id="rId6" w:history="1">
        <w:r w:rsidRPr="00E13E45">
          <w:rPr>
            <w:rStyle w:val="Hyperlink"/>
          </w:rPr>
          <w:t>https://doi.org/10.1111/j.1467-9566.2007.00476.x</w:t>
        </w:r>
      </w:hyperlink>
      <w:r w:rsidRPr="00E13E45">
        <w:rPr>
          <w:color w:val="000000"/>
        </w:rPr>
        <w:t xml:space="preserve"> </w:t>
      </w:r>
    </w:p>
    <w:p w14:paraId="752DE6F1" w14:textId="44875434" w:rsidR="0031583E" w:rsidRPr="00E13E45" w:rsidRDefault="001041B9" w:rsidP="00D43A10">
      <w:pPr>
        <w:spacing w:line="480" w:lineRule="auto"/>
        <w:ind w:left="720" w:hanging="720"/>
        <w:rPr>
          <w:color w:val="000000"/>
        </w:rPr>
      </w:pPr>
      <w:r w:rsidRPr="00E13E45">
        <w:rPr>
          <w:color w:val="000000"/>
        </w:rPr>
        <w:t xml:space="preserve">Balfe, M. </w:t>
      </w:r>
      <w:r w:rsidR="00FD7C60">
        <w:rPr>
          <w:color w:val="000000"/>
        </w:rPr>
        <w:t>(</w:t>
      </w:r>
      <w:r w:rsidRPr="00E13E45">
        <w:rPr>
          <w:color w:val="000000"/>
        </w:rPr>
        <w:t>2009a</w:t>
      </w:r>
      <w:r w:rsidR="00FD7C60">
        <w:rPr>
          <w:color w:val="000000"/>
        </w:rPr>
        <w:t>)</w:t>
      </w:r>
      <w:r w:rsidR="00290F10">
        <w:rPr>
          <w:color w:val="000000"/>
        </w:rPr>
        <w:t>,</w:t>
      </w:r>
      <w:r w:rsidR="0031583E" w:rsidRPr="00E13E45">
        <w:rPr>
          <w:color w:val="000000"/>
        </w:rPr>
        <w:t xml:space="preserve"> </w:t>
      </w:r>
      <w:r w:rsidRPr="00E13E45">
        <w:rPr>
          <w:color w:val="000000"/>
        </w:rPr>
        <w:t>“</w:t>
      </w:r>
      <w:r w:rsidR="0031583E" w:rsidRPr="00E13E45">
        <w:rPr>
          <w:color w:val="000000"/>
        </w:rPr>
        <w:t xml:space="preserve">Healthcare </w:t>
      </w:r>
      <w:r w:rsidR="00CF66E5">
        <w:rPr>
          <w:color w:val="000000"/>
        </w:rPr>
        <w:t>R</w:t>
      </w:r>
      <w:r w:rsidR="0031583E" w:rsidRPr="00E13E45">
        <w:rPr>
          <w:color w:val="000000"/>
        </w:rPr>
        <w:t xml:space="preserve">outines of </w:t>
      </w:r>
      <w:r w:rsidR="00CF66E5">
        <w:rPr>
          <w:color w:val="000000"/>
        </w:rPr>
        <w:t>U</w:t>
      </w:r>
      <w:r w:rsidR="0031583E" w:rsidRPr="00E13E45">
        <w:rPr>
          <w:color w:val="000000"/>
        </w:rPr>
        <w:t xml:space="preserve">niversity </w:t>
      </w:r>
      <w:r w:rsidR="00CF66E5">
        <w:rPr>
          <w:color w:val="000000"/>
        </w:rPr>
        <w:t>S</w:t>
      </w:r>
      <w:r w:rsidR="0031583E" w:rsidRPr="00E13E45">
        <w:rPr>
          <w:color w:val="000000"/>
        </w:rPr>
        <w:t xml:space="preserve">tudents with Type 1 </w:t>
      </w:r>
      <w:r w:rsidR="00CF66E5">
        <w:rPr>
          <w:color w:val="000000"/>
        </w:rPr>
        <w:t>D</w:t>
      </w:r>
      <w:r w:rsidR="0031583E" w:rsidRPr="00E13E45">
        <w:rPr>
          <w:color w:val="000000"/>
        </w:rPr>
        <w:t>iabetes</w:t>
      </w:r>
      <w:r w:rsidRPr="00E13E45">
        <w:rPr>
          <w:color w:val="000000"/>
        </w:rPr>
        <w:t>”</w:t>
      </w:r>
      <w:r w:rsidR="00FD7C60">
        <w:rPr>
          <w:color w:val="000000"/>
        </w:rPr>
        <w:t>,</w:t>
      </w:r>
      <w:r w:rsidR="0031583E" w:rsidRPr="00E13E45">
        <w:rPr>
          <w:color w:val="000000"/>
        </w:rPr>
        <w:t xml:space="preserve"> </w:t>
      </w:r>
      <w:r w:rsidR="0031583E" w:rsidRPr="00E13E45">
        <w:rPr>
          <w:i/>
          <w:color w:val="000000"/>
        </w:rPr>
        <w:t>Journal of Advanced Nursing</w:t>
      </w:r>
      <w:r w:rsidR="00FD7C60">
        <w:rPr>
          <w:i/>
          <w:color w:val="000000"/>
        </w:rPr>
        <w:t>,</w:t>
      </w:r>
      <w:r w:rsidR="0031583E" w:rsidRPr="00E13E45">
        <w:rPr>
          <w:color w:val="000000"/>
        </w:rPr>
        <w:t xml:space="preserve"> </w:t>
      </w:r>
      <w:r w:rsidR="00FD7C60">
        <w:rPr>
          <w:color w:val="000000"/>
        </w:rPr>
        <w:t>Vol</w:t>
      </w:r>
      <w:r w:rsidR="00453565">
        <w:rPr>
          <w:color w:val="000000"/>
        </w:rPr>
        <w:t>.</w:t>
      </w:r>
      <w:r w:rsidR="00FD7C60">
        <w:rPr>
          <w:color w:val="000000"/>
        </w:rPr>
        <w:t xml:space="preserve"> </w:t>
      </w:r>
      <w:r w:rsidR="0031583E" w:rsidRPr="00E13E45">
        <w:rPr>
          <w:color w:val="000000"/>
        </w:rPr>
        <w:t>65</w:t>
      </w:r>
      <w:r w:rsidRPr="00E13E45">
        <w:rPr>
          <w:color w:val="000000"/>
        </w:rPr>
        <w:t xml:space="preserve"> </w:t>
      </w:r>
      <w:r w:rsidR="00FD7C60">
        <w:rPr>
          <w:color w:val="000000"/>
        </w:rPr>
        <w:t xml:space="preserve">No. </w:t>
      </w:r>
      <w:r w:rsidRPr="00E13E45">
        <w:rPr>
          <w:color w:val="000000"/>
        </w:rPr>
        <w:t>11</w:t>
      </w:r>
      <w:r w:rsidR="00FD7C60">
        <w:rPr>
          <w:color w:val="000000"/>
        </w:rPr>
        <w:t>, pp.</w:t>
      </w:r>
      <w:r w:rsidR="0031583E" w:rsidRPr="00E13E45">
        <w:rPr>
          <w:color w:val="000000"/>
        </w:rPr>
        <w:t xml:space="preserve">2367–2375. </w:t>
      </w:r>
      <w:r w:rsidR="00FD7C60">
        <w:rPr>
          <w:color w:val="000000"/>
        </w:rPr>
        <w:t>DOI</w:t>
      </w:r>
      <w:r w:rsidR="0031583E" w:rsidRPr="00E13E45">
        <w:rPr>
          <w:color w:val="000000"/>
        </w:rPr>
        <w:t xml:space="preserve">: </w:t>
      </w:r>
      <w:hyperlink r:id="rId7" w:history="1">
        <w:r w:rsidRPr="00E13E45">
          <w:rPr>
            <w:rStyle w:val="Hyperlink"/>
          </w:rPr>
          <w:t>https://doi.org/10.1111/j.1365-2648.2009.05098.x</w:t>
        </w:r>
      </w:hyperlink>
      <w:r w:rsidRPr="00E13E45">
        <w:rPr>
          <w:color w:val="000000"/>
        </w:rPr>
        <w:t xml:space="preserve"> </w:t>
      </w:r>
    </w:p>
    <w:p w14:paraId="259DA7B8" w14:textId="66C0CE88" w:rsidR="0031583E" w:rsidRDefault="001041B9" w:rsidP="00D43A10">
      <w:pPr>
        <w:spacing w:line="480" w:lineRule="auto"/>
        <w:ind w:left="720" w:hanging="720"/>
        <w:rPr>
          <w:color w:val="000000"/>
        </w:rPr>
      </w:pPr>
      <w:r w:rsidRPr="00E13E45">
        <w:rPr>
          <w:color w:val="000000"/>
        </w:rPr>
        <w:lastRenderedPageBreak/>
        <w:t xml:space="preserve">Balfe, M. </w:t>
      </w:r>
      <w:r w:rsidR="00FD7C60">
        <w:rPr>
          <w:color w:val="000000"/>
        </w:rPr>
        <w:t>(</w:t>
      </w:r>
      <w:r w:rsidR="0031583E" w:rsidRPr="00E13E45">
        <w:rPr>
          <w:color w:val="000000"/>
        </w:rPr>
        <w:t>2009b</w:t>
      </w:r>
      <w:r w:rsidR="00FD7C60">
        <w:rPr>
          <w:color w:val="000000"/>
        </w:rPr>
        <w:t>)</w:t>
      </w:r>
      <w:r w:rsidR="00290F10">
        <w:rPr>
          <w:color w:val="000000"/>
        </w:rPr>
        <w:t>,</w:t>
      </w:r>
      <w:r w:rsidR="0031583E" w:rsidRPr="00E13E45">
        <w:rPr>
          <w:color w:val="000000"/>
        </w:rPr>
        <w:t xml:space="preserve"> </w:t>
      </w:r>
      <w:r w:rsidRPr="00E13E45">
        <w:rPr>
          <w:color w:val="000000"/>
        </w:rPr>
        <w:t>“</w:t>
      </w:r>
      <w:r w:rsidR="0031583E" w:rsidRPr="00E13E45">
        <w:rPr>
          <w:color w:val="000000"/>
        </w:rPr>
        <w:t xml:space="preserve">The </w:t>
      </w:r>
      <w:r w:rsidR="00CF66E5">
        <w:rPr>
          <w:color w:val="000000"/>
        </w:rPr>
        <w:t>B</w:t>
      </w:r>
      <w:r w:rsidR="0031583E" w:rsidRPr="00E13E45">
        <w:rPr>
          <w:color w:val="000000"/>
        </w:rPr>
        <w:t xml:space="preserve">ody </w:t>
      </w:r>
      <w:r w:rsidR="00CF66E5">
        <w:rPr>
          <w:color w:val="000000"/>
        </w:rPr>
        <w:t>P</w:t>
      </w:r>
      <w:r w:rsidR="0031583E" w:rsidRPr="00E13E45">
        <w:rPr>
          <w:color w:val="000000"/>
        </w:rPr>
        <w:t xml:space="preserve">rojects of </w:t>
      </w:r>
      <w:r w:rsidR="00CF66E5">
        <w:rPr>
          <w:color w:val="000000"/>
        </w:rPr>
        <w:t>U</w:t>
      </w:r>
      <w:r w:rsidR="0031583E" w:rsidRPr="00E13E45">
        <w:rPr>
          <w:color w:val="000000"/>
        </w:rPr>
        <w:t xml:space="preserve">niversity </w:t>
      </w:r>
      <w:r w:rsidR="00CF66E5">
        <w:rPr>
          <w:color w:val="000000"/>
        </w:rPr>
        <w:t>S</w:t>
      </w:r>
      <w:r w:rsidR="0031583E" w:rsidRPr="00E13E45">
        <w:rPr>
          <w:color w:val="000000"/>
        </w:rPr>
        <w:t xml:space="preserve">tudents with </w:t>
      </w:r>
      <w:r w:rsidR="00CF66E5">
        <w:rPr>
          <w:color w:val="000000"/>
        </w:rPr>
        <w:t>T</w:t>
      </w:r>
      <w:r w:rsidR="0031583E" w:rsidRPr="00E13E45">
        <w:rPr>
          <w:color w:val="000000"/>
        </w:rPr>
        <w:t xml:space="preserve">ype 1 </w:t>
      </w:r>
      <w:r w:rsidR="00CF66E5">
        <w:rPr>
          <w:color w:val="000000"/>
        </w:rPr>
        <w:t>D</w:t>
      </w:r>
      <w:r w:rsidR="0031583E" w:rsidRPr="00E13E45">
        <w:rPr>
          <w:color w:val="000000"/>
        </w:rPr>
        <w:t>iabetes</w:t>
      </w:r>
      <w:r w:rsidRPr="00E13E45">
        <w:rPr>
          <w:color w:val="000000"/>
        </w:rPr>
        <w:t>”</w:t>
      </w:r>
      <w:r w:rsidR="00FD7C60">
        <w:rPr>
          <w:color w:val="000000"/>
        </w:rPr>
        <w:t>,</w:t>
      </w:r>
      <w:r w:rsidR="0031583E" w:rsidRPr="00E13E45">
        <w:rPr>
          <w:color w:val="000000"/>
        </w:rPr>
        <w:t xml:space="preserve"> </w:t>
      </w:r>
      <w:r w:rsidRPr="00E13E45">
        <w:rPr>
          <w:i/>
          <w:iCs/>
          <w:color w:val="000000"/>
        </w:rPr>
        <w:t>Qualitative Health Research</w:t>
      </w:r>
      <w:r w:rsidR="00FD7C60">
        <w:rPr>
          <w:i/>
          <w:iCs/>
          <w:color w:val="000000"/>
        </w:rPr>
        <w:t>,</w:t>
      </w:r>
      <w:r w:rsidR="0031583E" w:rsidRPr="00E13E45">
        <w:rPr>
          <w:i/>
          <w:iCs/>
          <w:color w:val="000000"/>
        </w:rPr>
        <w:t xml:space="preserve"> </w:t>
      </w:r>
      <w:r w:rsidR="00FD7C60">
        <w:rPr>
          <w:color w:val="000000"/>
        </w:rPr>
        <w:t>Vol</w:t>
      </w:r>
      <w:r w:rsidR="00453565">
        <w:rPr>
          <w:color w:val="000000"/>
        </w:rPr>
        <w:t>.</w:t>
      </w:r>
      <w:r w:rsidR="00FD7C60">
        <w:rPr>
          <w:color w:val="000000"/>
        </w:rPr>
        <w:t xml:space="preserve"> </w:t>
      </w:r>
      <w:r w:rsidR="0031583E" w:rsidRPr="00E13E45">
        <w:rPr>
          <w:color w:val="000000"/>
        </w:rPr>
        <w:t>19</w:t>
      </w:r>
      <w:r w:rsidRPr="00E13E45">
        <w:rPr>
          <w:color w:val="000000"/>
        </w:rPr>
        <w:t xml:space="preserve"> </w:t>
      </w:r>
      <w:r w:rsidR="00453565">
        <w:rPr>
          <w:color w:val="000000"/>
        </w:rPr>
        <w:t xml:space="preserve">No. </w:t>
      </w:r>
      <w:r w:rsidRPr="00E13E45">
        <w:rPr>
          <w:color w:val="000000"/>
        </w:rPr>
        <w:t>1</w:t>
      </w:r>
      <w:r w:rsidR="00453565">
        <w:rPr>
          <w:color w:val="000000"/>
        </w:rPr>
        <w:t>, pp.</w:t>
      </w:r>
      <w:r w:rsidR="0031583E" w:rsidRPr="00E13E45">
        <w:rPr>
          <w:color w:val="000000"/>
        </w:rPr>
        <w:t>128-139.</w:t>
      </w:r>
      <w:r w:rsidRPr="00E13E45">
        <w:rPr>
          <w:color w:val="000000"/>
        </w:rPr>
        <w:t xml:space="preserve"> </w:t>
      </w:r>
      <w:r w:rsidR="00453565">
        <w:rPr>
          <w:color w:val="000000"/>
        </w:rPr>
        <w:t>DOI</w:t>
      </w:r>
      <w:r w:rsidRPr="00E13E45">
        <w:rPr>
          <w:color w:val="000000"/>
        </w:rPr>
        <w:t xml:space="preserve">: </w:t>
      </w:r>
      <w:hyperlink r:id="rId8" w:history="1">
        <w:r w:rsidRPr="00E13E45">
          <w:rPr>
            <w:rStyle w:val="Hyperlink"/>
          </w:rPr>
          <w:t>https://doi.org/10.1177%2F1049732308328052</w:t>
        </w:r>
      </w:hyperlink>
      <w:r w:rsidRPr="00E13E45">
        <w:rPr>
          <w:color w:val="000000"/>
        </w:rPr>
        <w:t xml:space="preserve"> </w:t>
      </w:r>
    </w:p>
    <w:p w14:paraId="16C63DC2" w14:textId="35F83A9B" w:rsidR="003924C1" w:rsidRPr="003924C1" w:rsidRDefault="003924C1" w:rsidP="003924C1">
      <w:pPr>
        <w:spacing w:line="480" w:lineRule="auto"/>
        <w:ind w:left="720" w:hanging="720"/>
        <w:rPr>
          <w:i/>
          <w:iCs/>
          <w:color w:val="000000"/>
        </w:rPr>
      </w:pPr>
      <w:r w:rsidRPr="00453565">
        <w:rPr>
          <w:color w:val="000000"/>
        </w:rPr>
        <w:t>Braun</w:t>
      </w:r>
      <w:r w:rsidR="00453565">
        <w:rPr>
          <w:color w:val="000000"/>
        </w:rPr>
        <w:t>,</w:t>
      </w:r>
      <w:r w:rsidRPr="00453565">
        <w:rPr>
          <w:color w:val="000000"/>
        </w:rPr>
        <w:t xml:space="preserve"> V</w:t>
      </w:r>
      <w:r w:rsidR="00290F10">
        <w:rPr>
          <w:color w:val="000000"/>
        </w:rPr>
        <w:t>. and</w:t>
      </w:r>
      <w:r w:rsidRPr="00453565">
        <w:rPr>
          <w:color w:val="000000"/>
        </w:rPr>
        <w:t xml:space="preserve"> Clarke</w:t>
      </w:r>
      <w:r w:rsidR="00290F10">
        <w:rPr>
          <w:color w:val="000000"/>
        </w:rPr>
        <w:t>,</w:t>
      </w:r>
      <w:r w:rsidRPr="00453565">
        <w:rPr>
          <w:color w:val="000000"/>
        </w:rPr>
        <w:t xml:space="preserve"> V. (2006)</w:t>
      </w:r>
      <w:r w:rsidR="00290F10">
        <w:rPr>
          <w:color w:val="000000"/>
        </w:rPr>
        <w:t>,</w:t>
      </w:r>
      <w:r w:rsidRPr="00453565">
        <w:rPr>
          <w:color w:val="000000"/>
        </w:rPr>
        <w:t xml:space="preserve"> </w:t>
      </w:r>
      <w:r w:rsidR="00290F10">
        <w:rPr>
          <w:color w:val="000000"/>
        </w:rPr>
        <w:t>“</w:t>
      </w:r>
      <w:r w:rsidRPr="00453565">
        <w:rPr>
          <w:color w:val="000000"/>
        </w:rPr>
        <w:t>Using thematic analysis in psychology</w:t>
      </w:r>
      <w:r w:rsidR="00290F10">
        <w:rPr>
          <w:color w:val="000000"/>
        </w:rPr>
        <w:t>”,</w:t>
      </w:r>
      <w:r w:rsidRPr="00453565">
        <w:rPr>
          <w:color w:val="000000"/>
        </w:rPr>
        <w:t xml:space="preserve"> </w:t>
      </w:r>
      <w:r w:rsidRPr="00453565">
        <w:rPr>
          <w:i/>
          <w:iCs/>
          <w:color w:val="000000"/>
        </w:rPr>
        <w:t>Qualitative Research in Psychology</w:t>
      </w:r>
      <w:r w:rsidR="00290F10">
        <w:rPr>
          <w:i/>
          <w:iCs/>
          <w:color w:val="000000"/>
        </w:rPr>
        <w:t>,</w:t>
      </w:r>
      <w:r w:rsidRPr="00453565">
        <w:rPr>
          <w:color w:val="000000"/>
        </w:rPr>
        <w:t xml:space="preserve"> </w:t>
      </w:r>
      <w:r w:rsidR="00290F10">
        <w:rPr>
          <w:color w:val="000000"/>
        </w:rPr>
        <w:t xml:space="preserve">Vol. </w:t>
      </w:r>
      <w:r w:rsidRPr="00453565">
        <w:rPr>
          <w:color w:val="000000"/>
        </w:rPr>
        <w:t>3</w:t>
      </w:r>
      <w:r w:rsidR="00F46EDF" w:rsidRPr="00453565">
        <w:rPr>
          <w:color w:val="000000"/>
        </w:rPr>
        <w:t xml:space="preserve"> </w:t>
      </w:r>
      <w:r w:rsidR="00290F10">
        <w:rPr>
          <w:color w:val="000000"/>
        </w:rPr>
        <w:t>No.</w:t>
      </w:r>
      <w:r w:rsidR="00F46EDF" w:rsidRPr="00453565">
        <w:rPr>
          <w:color w:val="000000"/>
        </w:rPr>
        <w:t>2</w:t>
      </w:r>
      <w:r w:rsidR="00290F10">
        <w:rPr>
          <w:color w:val="000000"/>
        </w:rPr>
        <w:t>, pp.</w:t>
      </w:r>
      <w:r w:rsidRPr="00453565">
        <w:rPr>
          <w:color w:val="000000"/>
        </w:rPr>
        <w:t>77‐101</w:t>
      </w:r>
      <w:r w:rsidR="00F46EDF" w:rsidRPr="00453565">
        <w:rPr>
          <w:color w:val="000000"/>
        </w:rPr>
        <w:t>.</w:t>
      </w:r>
    </w:p>
    <w:p w14:paraId="56813876" w14:textId="57F52C5E" w:rsidR="004368CF" w:rsidRPr="00E13E45" w:rsidRDefault="004368CF" w:rsidP="00D43A10">
      <w:pPr>
        <w:spacing w:line="480" w:lineRule="auto"/>
        <w:ind w:left="720" w:hanging="720"/>
        <w:rPr>
          <w:color w:val="000000"/>
        </w:rPr>
      </w:pPr>
      <w:proofErr w:type="spellStart"/>
      <w:r w:rsidRPr="00E13E45">
        <w:rPr>
          <w:color w:val="000000"/>
        </w:rPr>
        <w:t>Carp</w:t>
      </w:r>
      <w:r w:rsidR="001041B9" w:rsidRPr="00E13E45">
        <w:rPr>
          <w:color w:val="000000"/>
        </w:rPr>
        <w:t>entier</w:t>
      </w:r>
      <w:proofErr w:type="spellEnd"/>
      <w:r w:rsidR="001041B9" w:rsidRPr="00E13E45">
        <w:rPr>
          <w:color w:val="000000"/>
        </w:rPr>
        <w:t xml:space="preserve">, M.Y. Mullins, L.L. and Van Pelt, J.C. </w:t>
      </w:r>
      <w:r w:rsidR="00836AE6">
        <w:rPr>
          <w:color w:val="000000"/>
        </w:rPr>
        <w:t>(</w:t>
      </w:r>
      <w:r w:rsidR="001041B9" w:rsidRPr="00E13E45">
        <w:rPr>
          <w:color w:val="000000"/>
        </w:rPr>
        <w:t>2007</w:t>
      </w:r>
      <w:r w:rsidR="00836AE6">
        <w:rPr>
          <w:color w:val="000000"/>
        </w:rPr>
        <w:t>),</w:t>
      </w:r>
      <w:r w:rsidRPr="00E13E45">
        <w:rPr>
          <w:color w:val="000000"/>
        </w:rPr>
        <w:t xml:space="preserve"> </w:t>
      </w:r>
      <w:r w:rsidR="001041B9" w:rsidRPr="00E13E45">
        <w:rPr>
          <w:color w:val="000000"/>
        </w:rPr>
        <w:t>“</w:t>
      </w:r>
      <w:r w:rsidRPr="00E13E45">
        <w:rPr>
          <w:color w:val="000000"/>
        </w:rPr>
        <w:t>Psychological, Academic, and Work Functioning in College Students with Childhood-Onset Asthma</w:t>
      </w:r>
      <w:r w:rsidR="001041B9" w:rsidRPr="00E13E45">
        <w:rPr>
          <w:color w:val="000000"/>
        </w:rPr>
        <w:t>”</w:t>
      </w:r>
      <w:r w:rsidR="00836AE6">
        <w:rPr>
          <w:color w:val="000000"/>
        </w:rPr>
        <w:t>,</w:t>
      </w:r>
      <w:r w:rsidRPr="00E13E45">
        <w:rPr>
          <w:color w:val="000000"/>
        </w:rPr>
        <w:t xml:space="preserve"> </w:t>
      </w:r>
      <w:r w:rsidRPr="00E13E45">
        <w:rPr>
          <w:i/>
          <w:iCs/>
          <w:color w:val="000000"/>
        </w:rPr>
        <w:t>Journal of Asthma</w:t>
      </w:r>
      <w:r w:rsidR="00836AE6">
        <w:rPr>
          <w:i/>
          <w:iCs/>
          <w:color w:val="000000"/>
        </w:rPr>
        <w:t>,</w:t>
      </w:r>
      <w:r w:rsidRPr="00E13E45">
        <w:rPr>
          <w:color w:val="000000"/>
        </w:rPr>
        <w:t xml:space="preserve"> </w:t>
      </w:r>
      <w:r w:rsidR="00836AE6">
        <w:rPr>
          <w:color w:val="000000"/>
        </w:rPr>
        <w:t xml:space="preserve">Vol. </w:t>
      </w:r>
      <w:r w:rsidRPr="00E13E45">
        <w:rPr>
          <w:iCs/>
          <w:color w:val="000000"/>
        </w:rPr>
        <w:t>44</w:t>
      </w:r>
      <w:r w:rsidR="001041B9" w:rsidRPr="00E13E45">
        <w:rPr>
          <w:iCs/>
          <w:color w:val="000000"/>
        </w:rPr>
        <w:t xml:space="preserve"> </w:t>
      </w:r>
      <w:r w:rsidR="00836AE6">
        <w:rPr>
          <w:color w:val="000000"/>
        </w:rPr>
        <w:t xml:space="preserve">No, </w:t>
      </w:r>
      <w:r w:rsidR="001041B9" w:rsidRPr="00E13E45">
        <w:rPr>
          <w:color w:val="000000"/>
        </w:rPr>
        <w:t>2</w:t>
      </w:r>
      <w:r w:rsidR="00836AE6">
        <w:rPr>
          <w:color w:val="000000"/>
        </w:rPr>
        <w:t>, pp.</w:t>
      </w:r>
      <w:r w:rsidRPr="00E13E45">
        <w:rPr>
          <w:color w:val="000000"/>
        </w:rPr>
        <w:t xml:space="preserve">119–124. </w:t>
      </w:r>
      <w:r w:rsidR="00836AE6">
        <w:rPr>
          <w:color w:val="000000"/>
        </w:rPr>
        <w:t>DOI</w:t>
      </w:r>
      <w:r w:rsidR="001041B9" w:rsidRPr="00E13E45">
        <w:rPr>
          <w:color w:val="000000"/>
        </w:rPr>
        <w:t xml:space="preserve">: </w:t>
      </w:r>
      <w:hyperlink r:id="rId9" w:history="1">
        <w:r w:rsidRPr="00E13E45">
          <w:rPr>
            <w:rStyle w:val="Hyperlink"/>
          </w:rPr>
          <w:t>https://doi.org/10.1080/02770900601182418</w:t>
        </w:r>
      </w:hyperlink>
    </w:p>
    <w:p w14:paraId="531A649F" w14:textId="2DA43ADE" w:rsidR="00CE5D00" w:rsidRPr="00E13E45" w:rsidRDefault="00CE5D00" w:rsidP="00D43A10">
      <w:pPr>
        <w:spacing w:line="480" w:lineRule="auto"/>
        <w:ind w:left="720" w:hanging="720"/>
        <w:rPr>
          <w:color w:val="000000"/>
        </w:rPr>
      </w:pPr>
      <w:r w:rsidRPr="00E13E45">
        <w:t>Curt</w:t>
      </w:r>
      <w:r w:rsidR="001041B9" w:rsidRPr="00E13E45">
        <w:t xml:space="preserve">in, R. Presser, S. and Singer, E. </w:t>
      </w:r>
      <w:r w:rsidR="00836AE6">
        <w:t>(</w:t>
      </w:r>
      <w:r w:rsidR="001041B9" w:rsidRPr="00E13E45">
        <w:t>2000</w:t>
      </w:r>
      <w:r w:rsidR="00836AE6">
        <w:t>),</w:t>
      </w:r>
      <w:r w:rsidRPr="00E13E45">
        <w:t xml:space="preserve"> </w:t>
      </w:r>
      <w:r w:rsidR="001041B9" w:rsidRPr="00E13E45">
        <w:t>“</w:t>
      </w:r>
      <w:r w:rsidRPr="00E13E45">
        <w:t xml:space="preserve">The </w:t>
      </w:r>
      <w:r w:rsidR="00CF66E5">
        <w:t>E</w:t>
      </w:r>
      <w:r w:rsidRPr="00E13E45">
        <w:t xml:space="preserve">ffects of </w:t>
      </w:r>
      <w:r w:rsidR="00CF66E5">
        <w:t>R</w:t>
      </w:r>
      <w:r w:rsidRPr="00E13E45">
        <w:t xml:space="preserve">esponse </w:t>
      </w:r>
      <w:r w:rsidR="00CF66E5">
        <w:t>R</w:t>
      </w:r>
      <w:r w:rsidRPr="00E13E45">
        <w:t xml:space="preserve">ate </w:t>
      </w:r>
      <w:r w:rsidR="00CF66E5">
        <w:t>C</w:t>
      </w:r>
      <w:r w:rsidRPr="00E13E45">
        <w:t xml:space="preserve">hanges on the </w:t>
      </w:r>
      <w:r w:rsidR="00CF66E5">
        <w:t>I</w:t>
      </w:r>
      <w:r w:rsidRPr="00E13E45">
        <w:t xml:space="preserve">ndex of </w:t>
      </w:r>
      <w:r w:rsidR="00CF66E5">
        <w:t>C</w:t>
      </w:r>
      <w:r w:rsidRPr="00E13E45">
        <w:t xml:space="preserve">onsumer </w:t>
      </w:r>
      <w:r w:rsidR="00CF66E5">
        <w:t>S</w:t>
      </w:r>
      <w:r w:rsidRPr="00E13E45">
        <w:t>entiment</w:t>
      </w:r>
      <w:r w:rsidR="001041B9" w:rsidRPr="00E13E45">
        <w:t>”</w:t>
      </w:r>
      <w:r w:rsidR="00836AE6">
        <w:t>,</w:t>
      </w:r>
      <w:r w:rsidRPr="00E13E45">
        <w:t xml:space="preserve"> </w:t>
      </w:r>
      <w:r w:rsidRPr="00E13E45">
        <w:rPr>
          <w:i/>
        </w:rPr>
        <w:t>Public Opinion Quarterly</w:t>
      </w:r>
      <w:r w:rsidR="00836AE6">
        <w:rPr>
          <w:i/>
        </w:rPr>
        <w:t>,</w:t>
      </w:r>
      <w:r w:rsidRPr="00E13E45">
        <w:rPr>
          <w:i/>
        </w:rPr>
        <w:t xml:space="preserve"> </w:t>
      </w:r>
      <w:r w:rsidR="00836AE6">
        <w:rPr>
          <w:iCs/>
        </w:rPr>
        <w:t xml:space="preserve">Vol. </w:t>
      </w:r>
      <w:r w:rsidRPr="00E13E45">
        <w:t>64</w:t>
      </w:r>
      <w:r w:rsidR="00836AE6">
        <w:t>,</w:t>
      </w:r>
      <w:r w:rsidRPr="00E13E45">
        <w:t xml:space="preserve"> </w:t>
      </w:r>
      <w:r w:rsidR="00836AE6">
        <w:t>pp.</w:t>
      </w:r>
      <w:r w:rsidRPr="00E13E45">
        <w:t>413–428.</w:t>
      </w:r>
    </w:p>
    <w:p w14:paraId="190663C6" w14:textId="63570F43" w:rsidR="00A416F4" w:rsidRPr="00E13E45" w:rsidRDefault="00A416F4" w:rsidP="00A416F4">
      <w:pPr>
        <w:spacing w:line="480" w:lineRule="auto"/>
        <w:ind w:left="720" w:hanging="720"/>
        <w:rPr>
          <w:color w:val="000000"/>
        </w:rPr>
      </w:pPr>
      <w:r w:rsidRPr="00E13E45">
        <w:rPr>
          <w:color w:val="000000"/>
        </w:rPr>
        <w:t xml:space="preserve">Department of Health. </w:t>
      </w:r>
      <w:r w:rsidR="00E85AF1">
        <w:rPr>
          <w:color w:val="000000"/>
        </w:rPr>
        <w:t>(</w:t>
      </w:r>
      <w:r w:rsidRPr="00E13E45">
        <w:rPr>
          <w:color w:val="000000"/>
        </w:rPr>
        <w:t>2012</w:t>
      </w:r>
      <w:r w:rsidR="00E85AF1">
        <w:rPr>
          <w:color w:val="000000"/>
        </w:rPr>
        <w:t>),</w:t>
      </w:r>
      <w:r w:rsidR="00851C48" w:rsidRPr="00E13E45">
        <w:rPr>
          <w:color w:val="000000"/>
        </w:rPr>
        <w:t xml:space="preserve"> </w:t>
      </w:r>
      <w:r w:rsidR="00851C48" w:rsidRPr="00E13E45">
        <w:rPr>
          <w:i/>
          <w:color w:val="000000"/>
        </w:rPr>
        <w:t>Long Term Conditions Compendium of Information: Third Edition</w:t>
      </w:r>
      <w:r w:rsidR="00E85AF1">
        <w:rPr>
          <w:i/>
          <w:color w:val="000000"/>
        </w:rPr>
        <w:t>,</w:t>
      </w:r>
      <w:r w:rsidR="00851C48" w:rsidRPr="00E13E45">
        <w:rPr>
          <w:color w:val="000000"/>
        </w:rPr>
        <w:t xml:space="preserve"> </w:t>
      </w:r>
      <w:r w:rsidR="005A1B95">
        <w:rPr>
          <w:color w:val="000000"/>
        </w:rPr>
        <w:t xml:space="preserve">Department of Health: </w:t>
      </w:r>
      <w:r w:rsidR="00851C48" w:rsidRPr="00E13E45">
        <w:rPr>
          <w:color w:val="000000"/>
        </w:rPr>
        <w:t>London.</w:t>
      </w:r>
    </w:p>
    <w:p w14:paraId="10FF6E3B" w14:textId="219C2393" w:rsidR="00851C48" w:rsidRPr="00E13E45" w:rsidRDefault="00A416F4" w:rsidP="003C6824">
      <w:pPr>
        <w:spacing w:line="480" w:lineRule="auto"/>
        <w:ind w:left="720" w:hanging="720"/>
        <w:rPr>
          <w:color w:val="000000"/>
        </w:rPr>
      </w:pPr>
      <w:r w:rsidRPr="00E13E45">
        <w:rPr>
          <w:color w:val="000000"/>
        </w:rPr>
        <w:t xml:space="preserve">Department of Health and Department for Education. </w:t>
      </w:r>
      <w:r w:rsidR="005A1B95">
        <w:rPr>
          <w:color w:val="000000"/>
        </w:rPr>
        <w:t>(</w:t>
      </w:r>
      <w:r w:rsidRPr="00E13E45">
        <w:rPr>
          <w:color w:val="000000"/>
        </w:rPr>
        <w:t>201</w:t>
      </w:r>
      <w:r w:rsidR="00CF66E5">
        <w:rPr>
          <w:color w:val="000000"/>
        </w:rPr>
        <w:t>7</w:t>
      </w:r>
      <w:r w:rsidR="005A1B95">
        <w:rPr>
          <w:color w:val="000000"/>
        </w:rPr>
        <w:t>),</w:t>
      </w:r>
      <w:r w:rsidR="00851C48" w:rsidRPr="00E13E45">
        <w:rPr>
          <w:color w:val="000000"/>
        </w:rPr>
        <w:t xml:space="preserve"> </w:t>
      </w:r>
      <w:r w:rsidR="00851C48" w:rsidRPr="00E13E45">
        <w:rPr>
          <w:i/>
          <w:color w:val="000000"/>
        </w:rPr>
        <w:t>Transforming Children and Young People’s Mental Health Provision: a Green Paper</w:t>
      </w:r>
      <w:r w:rsidR="005A1B95">
        <w:rPr>
          <w:color w:val="000000"/>
        </w:rPr>
        <w:t>,</w:t>
      </w:r>
      <w:r w:rsidR="003C766A" w:rsidRPr="00E13E45">
        <w:rPr>
          <w:color w:val="000000"/>
        </w:rPr>
        <w:t xml:space="preserve"> Department of Health and Department for Education</w:t>
      </w:r>
      <w:r w:rsidR="005A1B95">
        <w:rPr>
          <w:color w:val="000000"/>
        </w:rPr>
        <w:t>: London.</w:t>
      </w:r>
      <w:r w:rsidR="00851C48" w:rsidRPr="00E13E45">
        <w:rPr>
          <w:color w:val="000000"/>
        </w:rPr>
        <w:t xml:space="preserve"> </w:t>
      </w:r>
      <w:hyperlink r:id="rId10" w:history="1">
        <w:r w:rsidR="00851C48" w:rsidRPr="00E13E45">
          <w:rPr>
            <w:rStyle w:val="Hyperlink"/>
          </w:rPr>
          <w:t>https://assets.publishing.service.gov.uk/government/uploads/system/uploads/attachment_data/file/664855/Transforming_children_and_young_people_s_mental_health_provision.pdf</w:t>
        </w:r>
      </w:hyperlink>
      <w:r w:rsidR="00851C48" w:rsidRPr="00E13E45">
        <w:rPr>
          <w:color w:val="000000"/>
        </w:rPr>
        <w:t xml:space="preserve"> </w:t>
      </w:r>
    </w:p>
    <w:p w14:paraId="4F5C8C03" w14:textId="27727F3A" w:rsidR="004368CF" w:rsidRPr="00E13E45" w:rsidRDefault="004368CF" w:rsidP="00D43A10">
      <w:pPr>
        <w:spacing w:line="480" w:lineRule="auto"/>
        <w:ind w:left="720" w:hanging="720"/>
        <w:rPr>
          <w:color w:val="000000"/>
        </w:rPr>
      </w:pPr>
      <w:r w:rsidRPr="00E13E45">
        <w:rPr>
          <w:color w:val="000000"/>
        </w:rPr>
        <w:t>Fedele, D.A. Mullins, L.L. Eddington, A.R.</w:t>
      </w:r>
      <w:r w:rsidR="001041B9" w:rsidRPr="00E13E45">
        <w:rPr>
          <w:color w:val="000000"/>
        </w:rPr>
        <w:t xml:space="preserve"> Ryan, J.L. </w:t>
      </w:r>
      <w:proofErr w:type="spellStart"/>
      <w:r w:rsidR="001041B9" w:rsidRPr="00E13E45">
        <w:rPr>
          <w:color w:val="000000"/>
        </w:rPr>
        <w:t>Junghans</w:t>
      </w:r>
      <w:proofErr w:type="spellEnd"/>
      <w:r w:rsidR="001041B9" w:rsidRPr="00E13E45">
        <w:rPr>
          <w:color w:val="000000"/>
        </w:rPr>
        <w:t xml:space="preserve">, A.N. and </w:t>
      </w:r>
      <w:proofErr w:type="spellStart"/>
      <w:r w:rsidR="001041B9" w:rsidRPr="00E13E45">
        <w:rPr>
          <w:color w:val="000000"/>
        </w:rPr>
        <w:t>Hullmann</w:t>
      </w:r>
      <w:proofErr w:type="spellEnd"/>
      <w:r w:rsidR="001041B9" w:rsidRPr="00E13E45">
        <w:rPr>
          <w:color w:val="000000"/>
        </w:rPr>
        <w:t xml:space="preserve">, S.E. </w:t>
      </w:r>
      <w:r w:rsidR="00E41B0D">
        <w:rPr>
          <w:color w:val="000000"/>
        </w:rPr>
        <w:t>(</w:t>
      </w:r>
      <w:r w:rsidR="001041B9" w:rsidRPr="00E13E45">
        <w:rPr>
          <w:color w:val="000000"/>
        </w:rPr>
        <w:t>2009</w:t>
      </w:r>
      <w:r w:rsidR="00E41B0D">
        <w:rPr>
          <w:color w:val="000000"/>
        </w:rPr>
        <w:t>),</w:t>
      </w:r>
      <w:r w:rsidRPr="00E13E45">
        <w:rPr>
          <w:color w:val="000000"/>
        </w:rPr>
        <w:t xml:space="preserve"> </w:t>
      </w:r>
      <w:r w:rsidR="001041B9" w:rsidRPr="00E13E45">
        <w:rPr>
          <w:color w:val="000000"/>
        </w:rPr>
        <w:t>“</w:t>
      </w:r>
      <w:r w:rsidRPr="00E13E45">
        <w:rPr>
          <w:color w:val="000000"/>
        </w:rPr>
        <w:t>Health-related Quality of Life in College Students with and without Childhood-Onset Asthma</w:t>
      </w:r>
      <w:r w:rsidR="001041B9" w:rsidRPr="00E13E45">
        <w:rPr>
          <w:color w:val="000000"/>
        </w:rPr>
        <w:t>”</w:t>
      </w:r>
      <w:r w:rsidR="00E41B0D">
        <w:rPr>
          <w:color w:val="000000"/>
        </w:rPr>
        <w:t>,</w:t>
      </w:r>
      <w:r w:rsidRPr="00E13E45">
        <w:rPr>
          <w:color w:val="000000"/>
        </w:rPr>
        <w:t xml:space="preserve"> </w:t>
      </w:r>
      <w:r w:rsidRPr="00E13E45">
        <w:rPr>
          <w:i/>
          <w:iCs/>
          <w:color w:val="000000"/>
        </w:rPr>
        <w:t>Journal of Asthma</w:t>
      </w:r>
      <w:r w:rsidR="00E41B0D">
        <w:rPr>
          <w:i/>
          <w:iCs/>
          <w:color w:val="000000"/>
        </w:rPr>
        <w:t>,</w:t>
      </w:r>
      <w:r w:rsidRPr="00E13E45">
        <w:rPr>
          <w:color w:val="000000"/>
        </w:rPr>
        <w:t xml:space="preserve"> </w:t>
      </w:r>
      <w:r w:rsidR="00E41B0D">
        <w:rPr>
          <w:color w:val="000000"/>
        </w:rPr>
        <w:t xml:space="preserve">Vol. </w:t>
      </w:r>
      <w:r w:rsidRPr="00E13E45">
        <w:rPr>
          <w:iCs/>
          <w:color w:val="000000"/>
        </w:rPr>
        <w:t>46</w:t>
      </w:r>
      <w:r w:rsidR="001041B9" w:rsidRPr="00E13E45">
        <w:rPr>
          <w:i/>
          <w:iCs/>
          <w:color w:val="000000"/>
        </w:rPr>
        <w:t xml:space="preserve"> </w:t>
      </w:r>
      <w:r w:rsidR="00E41B0D">
        <w:rPr>
          <w:color w:val="000000"/>
        </w:rPr>
        <w:t>No.</w:t>
      </w:r>
      <w:r w:rsidR="00A63E0A">
        <w:rPr>
          <w:color w:val="000000"/>
        </w:rPr>
        <w:t xml:space="preserve"> </w:t>
      </w:r>
      <w:r w:rsidR="001041B9" w:rsidRPr="00E13E45">
        <w:rPr>
          <w:color w:val="000000"/>
        </w:rPr>
        <w:t>8</w:t>
      </w:r>
      <w:r w:rsidR="00E41B0D">
        <w:rPr>
          <w:color w:val="000000"/>
        </w:rPr>
        <w:t>, pp.</w:t>
      </w:r>
      <w:r w:rsidRPr="00E13E45">
        <w:rPr>
          <w:color w:val="000000"/>
        </w:rPr>
        <w:t>835–840.</w:t>
      </w:r>
      <w:r w:rsidR="001041B9" w:rsidRPr="00E13E45">
        <w:rPr>
          <w:color w:val="000000"/>
        </w:rPr>
        <w:t xml:space="preserve"> </w:t>
      </w:r>
      <w:r w:rsidR="00E41B0D">
        <w:rPr>
          <w:color w:val="000000"/>
        </w:rPr>
        <w:t>DOI</w:t>
      </w:r>
      <w:r w:rsidR="001041B9" w:rsidRPr="00E13E45">
        <w:rPr>
          <w:color w:val="000000"/>
        </w:rPr>
        <w:t>:</w:t>
      </w:r>
      <w:r w:rsidRPr="00E13E45">
        <w:rPr>
          <w:color w:val="000000"/>
        </w:rPr>
        <w:t xml:space="preserve"> </w:t>
      </w:r>
      <w:hyperlink r:id="rId11" w:history="1">
        <w:r w:rsidRPr="00E13E45">
          <w:rPr>
            <w:rStyle w:val="Hyperlink"/>
          </w:rPr>
          <w:t>https://doi.org/10.3109/02770900903184229</w:t>
        </w:r>
      </w:hyperlink>
    </w:p>
    <w:p w14:paraId="5D80433C" w14:textId="61FBC050" w:rsidR="00037082" w:rsidRDefault="00037082" w:rsidP="00D43A10">
      <w:pPr>
        <w:spacing w:line="480" w:lineRule="auto"/>
        <w:ind w:left="720" w:hanging="720"/>
      </w:pPr>
      <w:r w:rsidRPr="00E13E45">
        <w:lastRenderedPageBreak/>
        <w:t>Fr</w:t>
      </w:r>
      <w:r w:rsidR="001041B9" w:rsidRPr="00E13E45">
        <w:t xml:space="preserve">edette, J. Mawn, B. Hood, K. and Fain, J. </w:t>
      </w:r>
      <w:r w:rsidR="00A63E0A">
        <w:t>(</w:t>
      </w:r>
      <w:r w:rsidR="001041B9" w:rsidRPr="00E13E45">
        <w:t>2016</w:t>
      </w:r>
      <w:r w:rsidR="00A63E0A">
        <w:t>),</w:t>
      </w:r>
      <w:r w:rsidRPr="00E13E45">
        <w:t xml:space="preserve"> </w:t>
      </w:r>
      <w:r w:rsidR="001041B9" w:rsidRPr="00E13E45">
        <w:t>“</w:t>
      </w:r>
      <w:r w:rsidRPr="00E13E45">
        <w:t xml:space="preserve">Quality of Life of College Students Living </w:t>
      </w:r>
      <w:proofErr w:type="gramStart"/>
      <w:r w:rsidRPr="00E13E45">
        <w:t>With</w:t>
      </w:r>
      <w:proofErr w:type="gramEnd"/>
      <w:r w:rsidRPr="00E13E45">
        <w:t xml:space="preserve"> Type 1 Diabetes: A Qualitative View</w:t>
      </w:r>
      <w:r w:rsidR="001041B9" w:rsidRPr="00E13E45">
        <w:t>”</w:t>
      </w:r>
      <w:r w:rsidR="00A63E0A">
        <w:t>,</w:t>
      </w:r>
      <w:r w:rsidRPr="00E13E45">
        <w:t xml:space="preserve"> </w:t>
      </w:r>
      <w:r w:rsidR="00D43A10" w:rsidRPr="00E13E45">
        <w:rPr>
          <w:i/>
        </w:rPr>
        <w:t>Western Journal of Nursing</w:t>
      </w:r>
      <w:r w:rsidRPr="00E13E45">
        <w:rPr>
          <w:i/>
        </w:rPr>
        <w:t xml:space="preserve"> Research</w:t>
      </w:r>
      <w:r w:rsidR="00A63E0A">
        <w:rPr>
          <w:i/>
        </w:rPr>
        <w:t>,</w:t>
      </w:r>
      <w:r w:rsidRPr="00E13E45">
        <w:t xml:space="preserve"> </w:t>
      </w:r>
      <w:r w:rsidR="00A63E0A">
        <w:t xml:space="preserve">Vol. </w:t>
      </w:r>
      <w:r w:rsidRPr="00E13E45">
        <w:t>38</w:t>
      </w:r>
      <w:r w:rsidR="001041B9" w:rsidRPr="00E13E45">
        <w:t xml:space="preserve"> </w:t>
      </w:r>
      <w:r w:rsidR="00A63E0A">
        <w:t xml:space="preserve">No. </w:t>
      </w:r>
      <w:r w:rsidRPr="00E13E45">
        <w:t>12</w:t>
      </w:r>
      <w:r w:rsidR="00A63E0A">
        <w:t>, pp.</w:t>
      </w:r>
      <w:r w:rsidR="001041B9" w:rsidRPr="00E13E45">
        <w:t>1595-</w:t>
      </w:r>
      <w:r w:rsidRPr="00E13E45">
        <w:t>1610.</w:t>
      </w:r>
      <w:r w:rsidR="001041B9" w:rsidRPr="00E13E45">
        <w:t xml:space="preserve"> </w:t>
      </w:r>
      <w:r w:rsidR="00A63E0A">
        <w:t>DOI</w:t>
      </w:r>
      <w:r w:rsidR="001041B9" w:rsidRPr="00E13E45">
        <w:t xml:space="preserve">: </w:t>
      </w:r>
      <w:hyperlink r:id="rId12" w:history="1">
        <w:r w:rsidR="001041B9" w:rsidRPr="00E13E45">
          <w:rPr>
            <w:rStyle w:val="Hyperlink"/>
          </w:rPr>
          <w:t>https://doi.org/10.1177%2F0193945916651265</w:t>
        </w:r>
      </w:hyperlink>
      <w:r w:rsidR="001041B9" w:rsidRPr="00E13E45">
        <w:t xml:space="preserve"> </w:t>
      </w:r>
    </w:p>
    <w:p w14:paraId="2FF56456" w14:textId="1B3E01EB" w:rsidR="00EA2221" w:rsidRPr="00084F5F" w:rsidRDefault="00EC659B" w:rsidP="00084F5F">
      <w:pPr>
        <w:spacing w:line="480" w:lineRule="auto"/>
        <w:ind w:left="720" w:hanging="720"/>
        <w:rPr>
          <w:color w:val="222222"/>
          <w:shd w:val="clear" w:color="auto" w:fill="FFFFFF"/>
        </w:rPr>
      </w:pPr>
      <w:r w:rsidRPr="00DF0248">
        <w:rPr>
          <w:color w:val="222222"/>
          <w:shd w:val="clear" w:color="auto" w:fill="FFFFFF"/>
        </w:rPr>
        <w:t xml:space="preserve">Grimes, S. Southgate, E. </w:t>
      </w:r>
      <w:proofErr w:type="spellStart"/>
      <w:r w:rsidRPr="00DF0248">
        <w:rPr>
          <w:color w:val="222222"/>
          <w:shd w:val="clear" w:color="auto" w:fill="FFFFFF"/>
        </w:rPr>
        <w:t>Scevak</w:t>
      </w:r>
      <w:proofErr w:type="spellEnd"/>
      <w:r w:rsidRPr="00DF0248">
        <w:rPr>
          <w:color w:val="222222"/>
          <w:shd w:val="clear" w:color="auto" w:fill="FFFFFF"/>
        </w:rPr>
        <w:t xml:space="preserve">, J. and Buchanan, R. </w:t>
      </w:r>
      <w:r w:rsidR="00A63E0A">
        <w:rPr>
          <w:color w:val="222222"/>
          <w:shd w:val="clear" w:color="auto" w:fill="FFFFFF"/>
        </w:rPr>
        <w:t>(</w:t>
      </w:r>
      <w:r w:rsidRPr="00DF0248">
        <w:rPr>
          <w:color w:val="222222"/>
          <w:shd w:val="clear" w:color="auto" w:fill="FFFFFF"/>
        </w:rPr>
        <w:t>2019</w:t>
      </w:r>
      <w:r w:rsidR="00A63E0A">
        <w:rPr>
          <w:color w:val="222222"/>
          <w:shd w:val="clear" w:color="auto" w:fill="FFFFFF"/>
        </w:rPr>
        <w:t>),</w:t>
      </w:r>
      <w:r w:rsidRPr="00DF0248">
        <w:rPr>
          <w:color w:val="222222"/>
          <w:shd w:val="clear" w:color="auto" w:fill="FFFFFF"/>
        </w:rPr>
        <w:t xml:space="preserve"> </w:t>
      </w:r>
      <w:r w:rsidR="00084F5F">
        <w:rPr>
          <w:color w:val="222222"/>
          <w:shd w:val="clear" w:color="auto" w:fill="FFFFFF"/>
        </w:rPr>
        <w:t>“</w:t>
      </w:r>
      <w:r w:rsidRPr="00DF0248">
        <w:rPr>
          <w:color w:val="222222"/>
          <w:shd w:val="clear" w:color="auto" w:fill="FFFFFF"/>
        </w:rPr>
        <w:t xml:space="preserve">University </w:t>
      </w:r>
      <w:r w:rsidR="00084F5F">
        <w:rPr>
          <w:color w:val="222222"/>
          <w:shd w:val="clear" w:color="auto" w:fill="FFFFFF"/>
        </w:rPr>
        <w:t>S</w:t>
      </w:r>
      <w:r w:rsidRPr="00DF0248">
        <w:rPr>
          <w:color w:val="222222"/>
          <w:shd w:val="clear" w:color="auto" w:fill="FFFFFF"/>
        </w:rPr>
        <w:t>tudent</w:t>
      </w:r>
      <w:r w:rsidR="00084F5F">
        <w:rPr>
          <w:color w:val="222222"/>
          <w:shd w:val="clear" w:color="auto" w:fill="FFFFFF"/>
        </w:rPr>
        <w:t xml:space="preserve"> P</w:t>
      </w:r>
      <w:r w:rsidRPr="00DF0248">
        <w:rPr>
          <w:color w:val="222222"/>
          <w:shd w:val="clear" w:color="auto" w:fill="FFFFFF"/>
        </w:rPr>
        <w:t xml:space="preserve">erspectives on </w:t>
      </w:r>
      <w:r w:rsidR="00084F5F">
        <w:rPr>
          <w:color w:val="222222"/>
          <w:shd w:val="clear" w:color="auto" w:fill="FFFFFF"/>
        </w:rPr>
        <w:t>I</w:t>
      </w:r>
      <w:r w:rsidRPr="00DF0248">
        <w:rPr>
          <w:color w:val="222222"/>
          <w:shd w:val="clear" w:color="auto" w:fill="FFFFFF"/>
        </w:rPr>
        <w:t xml:space="preserve">nstitutional </w:t>
      </w:r>
      <w:r w:rsidR="00084F5F">
        <w:rPr>
          <w:color w:val="222222"/>
          <w:shd w:val="clear" w:color="auto" w:fill="FFFFFF"/>
        </w:rPr>
        <w:t>N</w:t>
      </w:r>
      <w:r w:rsidRPr="00DF0248">
        <w:rPr>
          <w:color w:val="222222"/>
          <w:shd w:val="clear" w:color="auto" w:fill="FFFFFF"/>
        </w:rPr>
        <w:t xml:space="preserve">on-disclosure of </w:t>
      </w:r>
      <w:r w:rsidR="00084F5F">
        <w:rPr>
          <w:color w:val="222222"/>
          <w:shd w:val="clear" w:color="auto" w:fill="FFFFFF"/>
        </w:rPr>
        <w:t>D</w:t>
      </w:r>
      <w:r w:rsidRPr="00DF0248">
        <w:rPr>
          <w:color w:val="222222"/>
          <w:shd w:val="clear" w:color="auto" w:fill="FFFFFF"/>
        </w:rPr>
        <w:t xml:space="preserve">isability and </w:t>
      </w:r>
      <w:r w:rsidR="00084F5F">
        <w:rPr>
          <w:color w:val="222222"/>
          <w:shd w:val="clear" w:color="auto" w:fill="FFFFFF"/>
        </w:rPr>
        <w:t>L</w:t>
      </w:r>
      <w:r w:rsidRPr="00DF0248">
        <w:rPr>
          <w:color w:val="222222"/>
          <w:shd w:val="clear" w:color="auto" w:fill="FFFFFF"/>
        </w:rPr>
        <w:t xml:space="preserve">earning </w:t>
      </w:r>
      <w:r w:rsidR="00084F5F">
        <w:rPr>
          <w:color w:val="222222"/>
          <w:shd w:val="clear" w:color="auto" w:fill="FFFFFF"/>
        </w:rPr>
        <w:t>C</w:t>
      </w:r>
      <w:r w:rsidRPr="00DF0248">
        <w:rPr>
          <w:color w:val="222222"/>
          <w:shd w:val="clear" w:color="auto" w:fill="FFFFFF"/>
        </w:rPr>
        <w:t xml:space="preserve">hallenges: </w:t>
      </w:r>
      <w:r w:rsidR="00084F5F">
        <w:rPr>
          <w:color w:val="222222"/>
          <w:shd w:val="clear" w:color="auto" w:fill="FFFFFF"/>
        </w:rPr>
        <w:t>R</w:t>
      </w:r>
      <w:r w:rsidRPr="00DF0248">
        <w:rPr>
          <w:color w:val="222222"/>
          <w:shd w:val="clear" w:color="auto" w:fill="FFFFFF"/>
        </w:rPr>
        <w:t xml:space="preserve">easons for </w:t>
      </w:r>
      <w:r w:rsidR="00084F5F">
        <w:rPr>
          <w:color w:val="222222"/>
          <w:shd w:val="clear" w:color="auto" w:fill="FFFFFF"/>
        </w:rPr>
        <w:t>S</w:t>
      </w:r>
      <w:r w:rsidRPr="00DF0248">
        <w:rPr>
          <w:color w:val="222222"/>
          <w:shd w:val="clear" w:color="auto" w:fill="FFFFFF"/>
        </w:rPr>
        <w:t xml:space="preserve">taying </w:t>
      </w:r>
      <w:r w:rsidR="00084F5F">
        <w:rPr>
          <w:color w:val="222222"/>
          <w:shd w:val="clear" w:color="auto" w:fill="FFFFFF"/>
        </w:rPr>
        <w:t>I</w:t>
      </w:r>
      <w:r w:rsidRPr="00DF0248">
        <w:rPr>
          <w:color w:val="222222"/>
          <w:shd w:val="clear" w:color="auto" w:fill="FFFFFF"/>
        </w:rPr>
        <w:t>nvisible</w:t>
      </w:r>
      <w:r w:rsidR="00084F5F">
        <w:rPr>
          <w:color w:val="222222"/>
          <w:shd w:val="clear" w:color="auto" w:fill="FFFFFF"/>
        </w:rPr>
        <w:t>”</w:t>
      </w:r>
      <w:r w:rsidR="00A63E0A">
        <w:rPr>
          <w:color w:val="222222"/>
          <w:shd w:val="clear" w:color="auto" w:fill="FFFFFF"/>
        </w:rPr>
        <w:t>,</w:t>
      </w:r>
      <w:r w:rsidRPr="00DF0248">
        <w:rPr>
          <w:color w:val="222222"/>
          <w:shd w:val="clear" w:color="auto" w:fill="FFFFFF"/>
        </w:rPr>
        <w:t xml:space="preserve"> </w:t>
      </w:r>
      <w:r w:rsidRPr="00DF0248">
        <w:rPr>
          <w:i/>
          <w:color w:val="222222"/>
          <w:shd w:val="clear" w:color="auto" w:fill="FFFFFF"/>
        </w:rPr>
        <w:t>International Journal of Inclusive Education</w:t>
      </w:r>
      <w:r w:rsidR="00A63E0A">
        <w:rPr>
          <w:i/>
          <w:color w:val="222222"/>
          <w:shd w:val="clear" w:color="auto" w:fill="FFFFFF"/>
        </w:rPr>
        <w:t>,</w:t>
      </w:r>
      <w:r w:rsidRPr="00DF0248">
        <w:rPr>
          <w:i/>
          <w:color w:val="222222"/>
          <w:shd w:val="clear" w:color="auto" w:fill="FFFFFF"/>
        </w:rPr>
        <w:t xml:space="preserve"> </w:t>
      </w:r>
      <w:r w:rsidR="00A63E0A">
        <w:rPr>
          <w:iCs/>
          <w:color w:val="222222"/>
          <w:shd w:val="clear" w:color="auto" w:fill="FFFFFF"/>
        </w:rPr>
        <w:t xml:space="preserve">Vol. </w:t>
      </w:r>
      <w:r w:rsidRPr="00DF0248">
        <w:rPr>
          <w:color w:val="222222"/>
          <w:shd w:val="clear" w:color="auto" w:fill="FFFFFF"/>
        </w:rPr>
        <w:t>23</w:t>
      </w:r>
      <w:r w:rsidR="00084F5F">
        <w:rPr>
          <w:color w:val="222222"/>
          <w:shd w:val="clear" w:color="auto" w:fill="FFFFFF"/>
        </w:rPr>
        <w:t xml:space="preserve"> </w:t>
      </w:r>
      <w:r w:rsidR="00A63E0A">
        <w:rPr>
          <w:color w:val="222222"/>
          <w:shd w:val="clear" w:color="auto" w:fill="FFFFFF"/>
        </w:rPr>
        <w:t xml:space="preserve">No. </w:t>
      </w:r>
      <w:r w:rsidRPr="00DF0248">
        <w:rPr>
          <w:color w:val="222222"/>
          <w:shd w:val="clear" w:color="auto" w:fill="FFFFFF"/>
        </w:rPr>
        <w:t>6</w:t>
      </w:r>
      <w:r w:rsidR="00A63E0A">
        <w:rPr>
          <w:color w:val="222222"/>
          <w:shd w:val="clear" w:color="auto" w:fill="FFFFFF"/>
        </w:rPr>
        <w:t>, pp.</w:t>
      </w:r>
      <w:r w:rsidRPr="00DF0248">
        <w:rPr>
          <w:color w:val="222222"/>
          <w:shd w:val="clear" w:color="auto" w:fill="FFFFFF"/>
        </w:rPr>
        <w:t>639-655.</w:t>
      </w:r>
      <w:r w:rsidR="00084F5F">
        <w:rPr>
          <w:color w:val="222222"/>
          <w:shd w:val="clear" w:color="auto" w:fill="FFFFFF"/>
        </w:rPr>
        <w:t xml:space="preserve"> </w:t>
      </w:r>
      <w:r w:rsidR="00A63E0A">
        <w:rPr>
          <w:color w:val="222222"/>
          <w:shd w:val="clear" w:color="auto" w:fill="FFFFFF"/>
        </w:rPr>
        <w:t>DOI</w:t>
      </w:r>
      <w:r w:rsidR="00084F5F">
        <w:rPr>
          <w:color w:val="222222"/>
          <w:shd w:val="clear" w:color="auto" w:fill="FFFFFF"/>
        </w:rPr>
        <w:t>:</w:t>
      </w:r>
      <w:r w:rsidR="00084F5F" w:rsidRPr="00084F5F">
        <w:t xml:space="preserve"> </w:t>
      </w:r>
      <w:hyperlink r:id="rId13" w:history="1">
        <w:r w:rsidR="00084F5F" w:rsidRPr="00FA591B">
          <w:rPr>
            <w:rStyle w:val="Hyperlink"/>
            <w:shd w:val="clear" w:color="auto" w:fill="FFFFFF"/>
          </w:rPr>
          <w:t>https://doi.org/10.1080/13603116.2018.1442507</w:t>
        </w:r>
      </w:hyperlink>
      <w:r w:rsidR="00084F5F">
        <w:rPr>
          <w:color w:val="222222"/>
          <w:shd w:val="clear" w:color="auto" w:fill="FFFFFF"/>
        </w:rPr>
        <w:t xml:space="preserve"> </w:t>
      </w:r>
    </w:p>
    <w:p w14:paraId="2F6B88C0" w14:textId="31CD0145" w:rsidR="00DE141D" w:rsidRPr="00E13E45" w:rsidRDefault="00FD35DD" w:rsidP="00D43A10">
      <w:pPr>
        <w:spacing w:line="480" w:lineRule="auto"/>
        <w:ind w:left="720" w:hanging="720"/>
        <w:rPr>
          <w:color w:val="000000"/>
        </w:rPr>
      </w:pPr>
      <w:proofErr w:type="spellStart"/>
      <w:r w:rsidRPr="00E13E45">
        <w:rPr>
          <w:color w:val="000000"/>
        </w:rPr>
        <w:t>Gulewitsch</w:t>
      </w:r>
      <w:proofErr w:type="spellEnd"/>
      <w:r w:rsidRPr="00E13E45">
        <w:rPr>
          <w:color w:val="000000"/>
        </w:rPr>
        <w:t>, M.D</w:t>
      </w:r>
      <w:r w:rsidR="00A63E0A">
        <w:rPr>
          <w:color w:val="000000"/>
        </w:rPr>
        <w:t>.</w:t>
      </w:r>
      <w:r w:rsidRPr="00E13E45">
        <w:rPr>
          <w:color w:val="000000"/>
        </w:rPr>
        <w:t xml:space="preserve"> </w:t>
      </w:r>
      <w:proofErr w:type="spellStart"/>
      <w:r w:rsidRPr="00E13E45">
        <w:rPr>
          <w:color w:val="000000"/>
        </w:rPr>
        <w:t>Enck</w:t>
      </w:r>
      <w:proofErr w:type="spellEnd"/>
      <w:r w:rsidRPr="00E13E45">
        <w:rPr>
          <w:color w:val="000000"/>
        </w:rPr>
        <w:t xml:space="preserve">, P. </w:t>
      </w:r>
      <w:proofErr w:type="spellStart"/>
      <w:r w:rsidRPr="00E13E45">
        <w:rPr>
          <w:color w:val="000000"/>
        </w:rPr>
        <w:t>Schwille-Kiuntke</w:t>
      </w:r>
      <w:proofErr w:type="spellEnd"/>
      <w:r w:rsidRPr="00E13E45">
        <w:rPr>
          <w:color w:val="000000"/>
        </w:rPr>
        <w:t xml:space="preserve">, J. </w:t>
      </w:r>
      <w:r w:rsidR="000E0355" w:rsidRPr="00E13E45">
        <w:rPr>
          <w:color w:val="000000"/>
        </w:rPr>
        <w:t>Weimer, K. and</w:t>
      </w:r>
      <w:r w:rsidRPr="00E13E45">
        <w:rPr>
          <w:color w:val="000000"/>
        </w:rPr>
        <w:t xml:space="preserve"> </w:t>
      </w:r>
      <w:proofErr w:type="spellStart"/>
      <w:r w:rsidRPr="00E13E45">
        <w:rPr>
          <w:color w:val="000000"/>
        </w:rPr>
        <w:t>Schlarb</w:t>
      </w:r>
      <w:proofErr w:type="spellEnd"/>
      <w:r w:rsidRPr="00E13E45">
        <w:rPr>
          <w:color w:val="000000"/>
        </w:rPr>
        <w:t>, A.</w:t>
      </w:r>
      <w:r w:rsidR="000E0355" w:rsidRPr="00E13E45">
        <w:rPr>
          <w:color w:val="000000"/>
        </w:rPr>
        <w:t xml:space="preserve">A. </w:t>
      </w:r>
      <w:r w:rsidR="00A63E0A">
        <w:rPr>
          <w:color w:val="000000"/>
        </w:rPr>
        <w:t>(</w:t>
      </w:r>
      <w:r w:rsidR="000E0355" w:rsidRPr="00E13E45">
        <w:rPr>
          <w:color w:val="000000"/>
        </w:rPr>
        <w:t>2013</w:t>
      </w:r>
      <w:r w:rsidR="00A63E0A">
        <w:rPr>
          <w:color w:val="000000"/>
        </w:rPr>
        <w:t>),</w:t>
      </w:r>
      <w:r w:rsidRPr="00E13E45">
        <w:rPr>
          <w:color w:val="000000"/>
        </w:rPr>
        <w:t xml:space="preserve"> </w:t>
      </w:r>
      <w:r w:rsidR="000E0355" w:rsidRPr="00E13E45">
        <w:rPr>
          <w:color w:val="000000"/>
        </w:rPr>
        <w:t>“</w:t>
      </w:r>
      <w:r w:rsidRPr="00E13E45">
        <w:rPr>
          <w:color w:val="000000"/>
        </w:rPr>
        <w:t>Mental Strain and Chronic Stress among University Students with Symptoms of Irritable Bowel Syndrome</w:t>
      </w:r>
      <w:r w:rsidR="000E0355" w:rsidRPr="00E13E45">
        <w:rPr>
          <w:color w:val="000000"/>
        </w:rPr>
        <w:t>”</w:t>
      </w:r>
      <w:r w:rsidR="00A63E0A">
        <w:rPr>
          <w:color w:val="000000"/>
        </w:rPr>
        <w:t>,</w:t>
      </w:r>
      <w:r w:rsidRPr="00E13E45">
        <w:t xml:space="preserve"> </w:t>
      </w:r>
      <w:r w:rsidRPr="00E13E45">
        <w:rPr>
          <w:i/>
          <w:color w:val="000000"/>
        </w:rPr>
        <w:t>Gastroenterology Research and Practice</w:t>
      </w:r>
      <w:r w:rsidR="00A63E0A">
        <w:rPr>
          <w:i/>
          <w:color w:val="000000"/>
        </w:rPr>
        <w:t>,</w:t>
      </w:r>
      <w:r w:rsidR="000E0355" w:rsidRPr="00E13E45">
        <w:rPr>
          <w:color w:val="000000"/>
        </w:rPr>
        <w:t xml:space="preserve"> </w:t>
      </w:r>
      <w:proofErr w:type="spellStart"/>
      <w:r w:rsidRPr="00E13E45">
        <w:rPr>
          <w:color w:val="000000"/>
        </w:rPr>
        <w:t>ArticleID</w:t>
      </w:r>
      <w:proofErr w:type="spellEnd"/>
      <w:r w:rsidRPr="00E13E45">
        <w:rPr>
          <w:color w:val="000000"/>
        </w:rPr>
        <w:t xml:space="preserve"> </w:t>
      </w:r>
      <w:r w:rsidR="000E0355" w:rsidRPr="00E13E45">
        <w:rPr>
          <w:color w:val="000000"/>
        </w:rPr>
        <w:t>206574.</w:t>
      </w:r>
      <w:r w:rsidRPr="00E13E45">
        <w:rPr>
          <w:color w:val="000000"/>
        </w:rPr>
        <w:t xml:space="preserve"> </w:t>
      </w:r>
      <w:r w:rsidR="00A63E0A">
        <w:rPr>
          <w:color w:val="000000"/>
        </w:rPr>
        <w:t>DOI</w:t>
      </w:r>
      <w:r w:rsidR="000E0355" w:rsidRPr="00E13E45">
        <w:rPr>
          <w:color w:val="000000"/>
        </w:rPr>
        <w:t xml:space="preserve">: </w:t>
      </w:r>
      <w:hyperlink r:id="rId14" w:history="1">
        <w:r w:rsidRPr="00E13E45">
          <w:rPr>
            <w:rStyle w:val="Hyperlink"/>
          </w:rPr>
          <w:t>http://dx.doi.org/10.1155/2013/206574</w:t>
        </w:r>
      </w:hyperlink>
    </w:p>
    <w:p w14:paraId="38A5B1C0" w14:textId="7DA4C1B7" w:rsidR="00851C48" w:rsidRPr="00E13E45" w:rsidRDefault="00851C48" w:rsidP="000E0355">
      <w:pPr>
        <w:spacing w:line="480" w:lineRule="auto"/>
        <w:ind w:left="720" w:hanging="720"/>
        <w:rPr>
          <w:color w:val="000000"/>
        </w:rPr>
      </w:pPr>
      <w:proofErr w:type="spellStart"/>
      <w:r w:rsidRPr="00E13E45">
        <w:rPr>
          <w:color w:val="000000"/>
        </w:rPr>
        <w:t>Habenicht</w:t>
      </w:r>
      <w:proofErr w:type="spellEnd"/>
      <w:r w:rsidRPr="00E13E45">
        <w:rPr>
          <w:color w:val="000000"/>
        </w:rPr>
        <w:t>, A.</w:t>
      </w:r>
      <w:r w:rsidR="000E0355" w:rsidRPr="00E13E45">
        <w:rPr>
          <w:color w:val="000000"/>
        </w:rPr>
        <w:t xml:space="preserve">E. Gallagher, S. O’Keeffe, M.C. and </w:t>
      </w:r>
      <w:proofErr w:type="spellStart"/>
      <w:r w:rsidR="000E0355" w:rsidRPr="00E13E45">
        <w:rPr>
          <w:color w:val="000000"/>
        </w:rPr>
        <w:t>Creaven</w:t>
      </w:r>
      <w:proofErr w:type="spellEnd"/>
      <w:r w:rsidR="000E0355" w:rsidRPr="00E13E45">
        <w:rPr>
          <w:color w:val="000000"/>
        </w:rPr>
        <w:t>, A.</w:t>
      </w:r>
      <w:r w:rsidRPr="00E13E45">
        <w:rPr>
          <w:color w:val="000000"/>
        </w:rPr>
        <w:t xml:space="preserve">M. </w:t>
      </w:r>
      <w:r w:rsidR="00A63E0A">
        <w:rPr>
          <w:color w:val="000000"/>
        </w:rPr>
        <w:t>(</w:t>
      </w:r>
      <w:r w:rsidR="000E0355" w:rsidRPr="00E13E45">
        <w:rPr>
          <w:color w:val="000000"/>
        </w:rPr>
        <w:t>2018</w:t>
      </w:r>
      <w:r w:rsidR="00A63E0A">
        <w:rPr>
          <w:color w:val="000000"/>
        </w:rPr>
        <w:t>)</w:t>
      </w:r>
      <w:r w:rsidRPr="00E13E45">
        <w:rPr>
          <w:color w:val="000000"/>
        </w:rPr>
        <w:t xml:space="preserve">. </w:t>
      </w:r>
      <w:r w:rsidR="000E0355" w:rsidRPr="00E13E45">
        <w:rPr>
          <w:color w:val="000000"/>
        </w:rPr>
        <w:t>“</w:t>
      </w:r>
      <w:r w:rsidRPr="00E13E45">
        <w:rPr>
          <w:color w:val="000000"/>
        </w:rPr>
        <w:t xml:space="preserve">Making the </w:t>
      </w:r>
      <w:r w:rsidR="00CF66E5">
        <w:rPr>
          <w:color w:val="000000"/>
        </w:rPr>
        <w:t>L</w:t>
      </w:r>
      <w:r w:rsidRPr="00E13E45">
        <w:rPr>
          <w:color w:val="000000"/>
        </w:rPr>
        <w:t xml:space="preserve">eap and </w:t>
      </w:r>
      <w:r w:rsidR="00CF66E5">
        <w:rPr>
          <w:color w:val="000000"/>
        </w:rPr>
        <w:t>F</w:t>
      </w:r>
      <w:r w:rsidRPr="00E13E45">
        <w:rPr>
          <w:color w:val="000000"/>
        </w:rPr>
        <w:t xml:space="preserve">inding </w:t>
      </w:r>
      <w:r w:rsidR="00CF66E5">
        <w:rPr>
          <w:color w:val="000000"/>
        </w:rPr>
        <w:t>Y</w:t>
      </w:r>
      <w:r w:rsidRPr="00E13E45">
        <w:rPr>
          <w:color w:val="000000"/>
        </w:rPr>
        <w:t xml:space="preserve">our </w:t>
      </w:r>
      <w:r w:rsidR="00CF66E5">
        <w:rPr>
          <w:color w:val="000000"/>
        </w:rPr>
        <w:t>F</w:t>
      </w:r>
      <w:r w:rsidRPr="00E13E45">
        <w:rPr>
          <w:color w:val="000000"/>
        </w:rPr>
        <w:t xml:space="preserve">eet: A </w:t>
      </w:r>
      <w:r w:rsidR="00CF66E5">
        <w:rPr>
          <w:color w:val="000000"/>
        </w:rPr>
        <w:t>Q</w:t>
      </w:r>
      <w:r w:rsidRPr="00E13E45">
        <w:rPr>
          <w:color w:val="000000"/>
        </w:rPr>
        <w:t xml:space="preserve">ualitative </w:t>
      </w:r>
      <w:r w:rsidR="00CF66E5">
        <w:rPr>
          <w:color w:val="000000"/>
        </w:rPr>
        <w:t>S</w:t>
      </w:r>
      <w:r w:rsidRPr="00E13E45">
        <w:rPr>
          <w:color w:val="000000"/>
        </w:rPr>
        <w:t xml:space="preserve">tudy of </w:t>
      </w:r>
      <w:r w:rsidR="00CF66E5">
        <w:rPr>
          <w:color w:val="000000"/>
        </w:rPr>
        <w:t>D</w:t>
      </w:r>
      <w:r w:rsidRPr="00E13E45">
        <w:rPr>
          <w:color w:val="000000"/>
        </w:rPr>
        <w:t xml:space="preserve">isclosure and </w:t>
      </w:r>
      <w:r w:rsidR="00CF66E5">
        <w:rPr>
          <w:color w:val="000000"/>
        </w:rPr>
        <w:t>S</w:t>
      </w:r>
      <w:r w:rsidRPr="00E13E45">
        <w:rPr>
          <w:color w:val="000000"/>
        </w:rPr>
        <w:t xml:space="preserve">ocial </w:t>
      </w:r>
      <w:r w:rsidR="00CF66E5">
        <w:rPr>
          <w:color w:val="000000"/>
        </w:rPr>
        <w:t>S</w:t>
      </w:r>
      <w:r w:rsidRPr="00E13E45">
        <w:rPr>
          <w:color w:val="000000"/>
        </w:rPr>
        <w:t xml:space="preserve">upport in </w:t>
      </w:r>
      <w:r w:rsidR="00CF66E5">
        <w:rPr>
          <w:color w:val="000000"/>
        </w:rPr>
        <w:t>U</w:t>
      </w:r>
      <w:r w:rsidRPr="00E13E45">
        <w:rPr>
          <w:color w:val="000000"/>
        </w:rPr>
        <w:t xml:space="preserve">niversity </w:t>
      </w:r>
      <w:r w:rsidR="00CF66E5">
        <w:rPr>
          <w:color w:val="000000"/>
        </w:rPr>
        <w:t>S</w:t>
      </w:r>
      <w:r w:rsidRPr="00E13E45">
        <w:rPr>
          <w:color w:val="000000"/>
        </w:rPr>
        <w:t xml:space="preserve">tudents with </w:t>
      </w:r>
      <w:r w:rsidR="00CF66E5">
        <w:rPr>
          <w:color w:val="000000"/>
        </w:rPr>
        <w:t>T</w:t>
      </w:r>
      <w:r w:rsidRPr="00E13E45">
        <w:rPr>
          <w:color w:val="000000"/>
        </w:rPr>
        <w:t xml:space="preserve">ype 1 </w:t>
      </w:r>
      <w:r w:rsidR="00CF66E5">
        <w:rPr>
          <w:color w:val="000000"/>
        </w:rPr>
        <w:t>D</w:t>
      </w:r>
      <w:r w:rsidRPr="00E13E45">
        <w:rPr>
          <w:color w:val="000000"/>
        </w:rPr>
        <w:t>iabetes</w:t>
      </w:r>
      <w:r w:rsidR="000E0355" w:rsidRPr="00E13E45">
        <w:rPr>
          <w:color w:val="000000"/>
        </w:rPr>
        <w:t>”</w:t>
      </w:r>
      <w:r w:rsidR="00A63E0A">
        <w:rPr>
          <w:color w:val="000000"/>
        </w:rPr>
        <w:t>,</w:t>
      </w:r>
      <w:r w:rsidRPr="00E13E45">
        <w:rPr>
          <w:color w:val="000000"/>
        </w:rPr>
        <w:t xml:space="preserve"> </w:t>
      </w:r>
      <w:r w:rsidRPr="00E13E45">
        <w:rPr>
          <w:i/>
          <w:iCs/>
          <w:color w:val="000000"/>
        </w:rPr>
        <w:t>Journal Of Health Psychology</w:t>
      </w:r>
      <w:r w:rsidR="00A63E0A">
        <w:rPr>
          <w:i/>
          <w:iCs/>
          <w:color w:val="000000"/>
        </w:rPr>
        <w:t>,</w:t>
      </w:r>
      <w:r w:rsidRPr="00E13E45">
        <w:rPr>
          <w:color w:val="000000"/>
        </w:rPr>
        <w:t xml:space="preserve"> 1359105318810875. </w:t>
      </w:r>
      <w:r w:rsidR="00A63E0A">
        <w:rPr>
          <w:color w:val="000000"/>
        </w:rPr>
        <w:t>DOI</w:t>
      </w:r>
      <w:r w:rsidR="000E0355" w:rsidRPr="00E13E45">
        <w:rPr>
          <w:color w:val="000000"/>
        </w:rPr>
        <w:t xml:space="preserve">: </w:t>
      </w:r>
      <w:hyperlink r:id="rId15" w:history="1">
        <w:r w:rsidRPr="00E13E45">
          <w:rPr>
            <w:rStyle w:val="Hyperlink"/>
          </w:rPr>
          <w:t>https://doi.org/10.1177/1359105318810875</w:t>
        </w:r>
      </w:hyperlink>
    </w:p>
    <w:p w14:paraId="557A540F" w14:textId="196ED717" w:rsidR="007601B6" w:rsidRPr="00E13E45" w:rsidRDefault="007601B6" w:rsidP="00D43A10">
      <w:pPr>
        <w:spacing w:line="480" w:lineRule="auto"/>
        <w:ind w:left="720" w:hanging="720"/>
        <w:rPr>
          <w:color w:val="000000"/>
        </w:rPr>
      </w:pPr>
      <w:r w:rsidRPr="00E13E45">
        <w:rPr>
          <w:color w:val="000000"/>
        </w:rPr>
        <w:t xml:space="preserve">Herts, K.L. Wallis, E. and Maslow, G. </w:t>
      </w:r>
      <w:r w:rsidR="00A63E0A">
        <w:rPr>
          <w:color w:val="000000"/>
        </w:rPr>
        <w:t>(</w:t>
      </w:r>
      <w:r w:rsidRPr="00E13E45">
        <w:rPr>
          <w:color w:val="000000"/>
        </w:rPr>
        <w:t>2014</w:t>
      </w:r>
      <w:r w:rsidR="00A63E0A">
        <w:rPr>
          <w:color w:val="000000"/>
        </w:rPr>
        <w:t>),</w:t>
      </w:r>
      <w:r w:rsidRPr="00E13E45">
        <w:rPr>
          <w:color w:val="000000"/>
        </w:rPr>
        <w:t xml:space="preserve"> “College </w:t>
      </w:r>
      <w:r w:rsidR="00CF66E5">
        <w:rPr>
          <w:color w:val="000000"/>
        </w:rPr>
        <w:t>F</w:t>
      </w:r>
      <w:r w:rsidRPr="00E13E45">
        <w:rPr>
          <w:color w:val="000000"/>
        </w:rPr>
        <w:t xml:space="preserve">reshmen with </w:t>
      </w:r>
      <w:r w:rsidR="00CF66E5">
        <w:rPr>
          <w:color w:val="000000"/>
        </w:rPr>
        <w:t>C</w:t>
      </w:r>
      <w:r w:rsidRPr="00E13E45">
        <w:rPr>
          <w:color w:val="000000"/>
        </w:rPr>
        <w:t xml:space="preserve">hronic </w:t>
      </w:r>
      <w:r w:rsidR="00CF66E5">
        <w:rPr>
          <w:color w:val="000000"/>
        </w:rPr>
        <w:t>I</w:t>
      </w:r>
      <w:r w:rsidRPr="00E13E45">
        <w:rPr>
          <w:color w:val="000000"/>
        </w:rPr>
        <w:t xml:space="preserve">llness: A </w:t>
      </w:r>
      <w:r w:rsidR="00CF66E5">
        <w:rPr>
          <w:color w:val="000000"/>
        </w:rPr>
        <w:t>C</w:t>
      </w:r>
      <w:r w:rsidRPr="00E13E45">
        <w:rPr>
          <w:color w:val="000000"/>
        </w:rPr>
        <w:t xml:space="preserve">omparison with </w:t>
      </w:r>
      <w:r w:rsidR="00CF66E5">
        <w:rPr>
          <w:color w:val="000000"/>
        </w:rPr>
        <w:t>H</w:t>
      </w:r>
      <w:r w:rsidRPr="00E13E45">
        <w:rPr>
          <w:color w:val="000000"/>
        </w:rPr>
        <w:t xml:space="preserve">ealthy </w:t>
      </w:r>
      <w:r w:rsidR="00CF66E5">
        <w:rPr>
          <w:color w:val="000000"/>
        </w:rPr>
        <w:t>F</w:t>
      </w:r>
      <w:r w:rsidRPr="00E13E45">
        <w:rPr>
          <w:color w:val="000000"/>
        </w:rPr>
        <w:t>irst-</w:t>
      </w:r>
      <w:r w:rsidR="00CF66E5">
        <w:rPr>
          <w:color w:val="000000"/>
        </w:rPr>
        <w:t>Y</w:t>
      </w:r>
      <w:r w:rsidRPr="00E13E45">
        <w:rPr>
          <w:color w:val="000000"/>
        </w:rPr>
        <w:t xml:space="preserve">ear </w:t>
      </w:r>
      <w:r w:rsidR="00CF66E5">
        <w:rPr>
          <w:color w:val="000000"/>
        </w:rPr>
        <w:t>S</w:t>
      </w:r>
      <w:r w:rsidRPr="00E13E45">
        <w:rPr>
          <w:color w:val="000000"/>
        </w:rPr>
        <w:t>tudents”</w:t>
      </w:r>
      <w:r w:rsidR="00A63E0A">
        <w:rPr>
          <w:color w:val="000000"/>
        </w:rPr>
        <w:t>,</w:t>
      </w:r>
      <w:r w:rsidRPr="00E13E45">
        <w:rPr>
          <w:color w:val="000000"/>
        </w:rPr>
        <w:t xml:space="preserve"> </w:t>
      </w:r>
      <w:r w:rsidRPr="00E13E45">
        <w:rPr>
          <w:i/>
          <w:iCs/>
          <w:color w:val="000000"/>
        </w:rPr>
        <w:t>Journal of College Student Development</w:t>
      </w:r>
      <w:r w:rsidR="00A63E0A">
        <w:rPr>
          <w:i/>
          <w:iCs/>
          <w:color w:val="000000"/>
        </w:rPr>
        <w:t>,</w:t>
      </w:r>
      <w:r w:rsidRPr="00E13E45">
        <w:rPr>
          <w:i/>
          <w:iCs/>
          <w:color w:val="000000"/>
        </w:rPr>
        <w:t xml:space="preserve"> </w:t>
      </w:r>
      <w:r w:rsidR="00A63E0A">
        <w:rPr>
          <w:color w:val="000000"/>
        </w:rPr>
        <w:t xml:space="preserve">Vol. </w:t>
      </w:r>
      <w:r w:rsidRPr="00E13E45">
        <w:rPr>
          <w:iCs/>
          <w:color w:val="000000"/>
        </w:rPr>
        <w:t>55</w:t>
      </w:r>
      <w:r w:rsidRPr="00E13E45">
        <w:rPr>
          <w:i/>
          <w:iCs/>
          <w:color w:val="000000"/>
        </w:rPr>
        <w:t xml:space="preserve"> </w:t>
      </w:r>
      <w:r w:rsidR="00A63E0A">
        <w:rPr>
          <w:color w:val="000000"/>
        </w:rPr>
        <w:t xml:space="preserve">No. </w:t>
      </w:r>
      <w:r w:rsidRPr="00E13E45">
        <w:rPr>
          <w:color w:val="000000"/>
        </w:rPr>
        <w:t>5</w:t>
      </w:r>
      <w:r w:rsidR="00A63E0A">
        <w:rPr>
          <w:color w:val="000000"/>
        </w:rPr>
        <w:t>, pp.</w:t>
      </w:r>
      <w:r w:rsidRPr="00E13E45">
        <w:rPr>
          <w:color w:val="000000"/>
        </w:rPr>
        <w:t xml:space="preserve">475–480. </w:t>
      </w:r>
      <w:r w:rsidR="00A63E0A">
        <w:rPr>
          <w:color w:val="000000"/>
        </w:rPr>
        <w:t>DOI</w:t>
      </w:r>
      <w:r w:rsidRPr="00E13E45">
        <w:rPr>
          <w:color w:val="000000"/>
        </w:rPr>
        <w:t xml:space="preserve">: </w:t>
      </w:r>
      <w:hyperlink r:id="rId16" w:tgtFrame="_blank" w:history="1">
        <w:r w:rsidRPr="00E13E45">
          <w:rPr>
            <w:rStyle w:val="Hyperlink"/>
          </w:rPr>
          <w:t>https://doi.org/10.1353/csd.2014.0052</w:t>
        </w:r>
      </w:hyperlink>
    </w:p>
    <w:p w14:paraId="7F42E2B2" w14:textId="6B8E50EE" w:rsidR="00851C48" w:rsidRPr="00E13E45" w:rsidRDefault="007601B6" w:rsidP="00D43A10">
      <w:pPr>
        <w:spacing w:line="480" w:lineRule="auto"/>
        <w:ind w:left="720" w:hanging="720"/>
        <w:rPr>
          <w:color w:val="0563C1" w:themeColor="hyperlink"/>
          <w:u w:val="single"/>
        </w:rPr>
      </w:pPr>
      <w:r w:rsidRPr="00E13E45">
        <w:rPr>
          <w:color w:val="000000"/>
        </w:rPr>
        <w:t xml:space="preserve">Hill, S. Gingras, J. and </w:t>
      </w:r>
      <w:proofErr w:type="spellStart"/>
      <w:r w:rsidRPr="00E13E45">
        <w:rPr>
          <w:color w:val="000000"/>
        </w:rPr>
        <w:t>Gucciardi</w:t>
      </w:r>
      <w:proofErr w:type="spellEnd"/>
      <w:r w:rsidRPr="00E13E45">
        <w:rPr>
          <w:color w:val="000000"/>
        </w:rPr>
        <w:t xml:space="preserve">, E. </w:t>
      </w:r>
      <w:r w:rsidR="00A63E0A">
        <w:rPr>
          <w:color w:val="000000"/>
        </w:rPr>
        <w:t>(</w:t>
      </w:r>
      <w:r w:rsidRPr="00E13E45">
        <w:rPr>
          <w:color w:val="000000"/>
        </w:rPr>
        <w:t>2013</w:t>
      </w:r>
      <w:r w:rsidR="00A63E0A">
        <w:rPr>
          <w:color w:val="000000"/>
        </w:rPr>
        <w:t>),</w:t>
      </w:r>
      <w:r w:rsidR="00851C48" w:rsidRPr="00E13E45">
        <w:rPr>
          <w:color w:val="000000"/>
        </w:rPr>
        <w:t xml:space="preserve"> </w:t>
      </w:r>
      <w:r w:rsidRPr="00E13E45">
        <w:rPr>
          <w:color w:val="000000"/>
        </w:rPr>
        <w:t>“</w:t>
      </w:r>
      <w:r w:rsidR="00851C48" w:rsidRPr="00E13E45">
        <w:rPr>
          <w:color w:val="000000"/>
        </w:rPr>
        <w:t xml:space="preserve">The </w:t>
      </w:r>
      <w:r w:rsidR="00CF66E5">
        <w:rPr>
          <w:color w:val="000000"/>
        </w:rPr>
        <w:t>L</w:t>
      </w:r>
      <w:r w:rsidR="00851C48" w:rsidRPr="00E13E45">
        <w:rPr>
          <w:color w:val="000000"/>
        </w:rPr>
        <w:t xml:space="preserve">ived </w:t>
      </w:r>
      <w:r w:rsidR="00CF66E5">
        <w:rPr>
          <w:color w:val="000000"/>
        </w:rPr>
        <w:t>E</w:t>
      </w:r>
      <w:r w:rsidR="00851C48" w:rsidRPr="00E13E45">
        <w:rPr>
          <w:color w:val="000000"/>
        </w:rPr>
        <w:t xml:space="preserve">xperience of </w:t>
      </w:r>
      <w:r w:rsidR="003C6824" w:rsidRPr="00E13E45">
        <w:rPr>
          <w:color w:val="000000"/>
        </w:rPr>
        <w:t>Canadian</w:t>
      </w:r>
      <w:r w:rsidR="00851C48" w:rsidRPr="00E13E45">
        <w:rPr>
          <w:color w:val="000000"/>
        </w:rPr>
        <w:t xml:space="preserve"> </w:t>
      </w:r>
      <w:r w:rsidR="00CF66E5">
        <w:rPr>
          <w:color w:val="000000"/>
        </w:rPr>
        <w:t>U</w:t>
      </w:r>
      <w:r w:rsidR="00851C48" w:rsidRPr="00E13E45">
        <w:rPr>
          <w:color w:val="000000"/>
        </w:rPr>
        <w:t xml:space="preserve">niversity </w:t>
      </w:r>
      <w:r w:rsidR="00CF66E5">
        <w:rPr>
          <w:color w:val="000000"/>
        </w:rPr>
        <w:t>S</w:t>
      </w:r>
      <w:r w:rsidR="00851C48" w:rsidRPr="00E13E45">
        <w:rPr>
          <w:color w:val="000000"/>
        </w:rPr>
        <w:t xml:space="preserve">tudents with </w:t>
      </w:r>
      <w:r w:rsidR="00CF66E5">
        <w:rPr>
          <w:color w:val="000000"/>
        </w:rPr>
        <w:t>T</w:t>
      </w:r>
      <w:r w:rsidR="00851C48" w:rsidRPr="00E13E45">
        <w:rPr>
          <w:color w:val="000000"/>
        </w:rPr>
        <w:t xml:space="preserve">ype 1 </w:t>
      </w:r>
      <w:r w:rsidR="00CF66E5">
        <w:rPr>
          <w:color w:val="000000"/>
        </w:rPr>
        <w:t>D</w:t>
      </w:r>
      <w:r w:rsidR="00851C48" w:rsidRPr="00E13E45">
        <w:rPr>
          <w:color w:val="000000"/>
        </w:rPr>
        <w:t xml:space="preserve">iabetes </w:t>
      </w:r>
      <w:r w:rsidR="00CF66E5">
        <w:rPr>
          <w:color w:val="000000"/>
        </w:rPr>
        <w:t>M</w:t>
      </w:r>
      <w:r w:rsidR="00851C48" w:rsidRPr="00E13E45">
        <w:rPr>
          <w:color w:val="000000"/>
        </w:rPr>
        <w:t>ellitus</w:t>
      </w:r>
      <w:r w:rsidRPr="00E13E45">
        <w:rPr>
          <w:color w:val="000000"/>
        </w:rPr>
        <w:t>”</w:t>
      </w:r>
      <w:r w:rsidR="00A63E0A">
        <w:rPr>
          <w:color w:val="000000"/>
        </w:rPr>
        <w:t>,</w:t>
      </w:r>
      <w:r w:rsidR="00851C48" w:rsidRPr="00E13E45">
        <w:rPr>
          <w:color w:val="000000"/>
        </w:rPr>
        <w:t xml:space="preserve"> </w:t>
      </w:r>
      <w:r w:rsidR="00851C48" w:rsidRPr="00E13E45">
        <w:rPr>
          <w:i/>
          <w:iCs/>
          <w:color w:val="000000"/>
        </w:rPr>
        <w:t xml:space="preserve">Canadian Journal of </w:t>
      </w:r>
      <w:r w:rsidR="00851C48" w:rsidRPr="00E13E45">
        <w:rPr>
          <w:i/>
          <w:iCs/>
          <w:color w:val="000000"/>
        </w:rPr>
        <w:lastRenderedPageBreak/>
        <w:t>Diabetes</w:t>
      </w:r>
      <w:r w:rsidR="00A63E0A">
        <w:rPr>
          <w:i/>
          <w:iCs/>
          <w:color w:val="000000"/>
        </w:rPr>
        <w:t>,</w:t>
      </w:r>
      <w:r w:rsidR="00851C48" w:rsidRPr="00E13E45">
        <w:rPr>
          <w:color w:val="000000"/>
        </w:rPr>
        <w:t xml:space="preserve"> </w:t>
      </w:r>
      <w:r w:rsidR="00A63E0A">
        <w:rPr>
          <w:color w:val="000000"/>
        </w:rPr>
        <w:t xml:space="preserve">Vol. </w:t>
      </w:r>
      <w:r w:rsidR="00851C48" w:rsidRPr="00E13E45">
        <w:rPr>
          <w:iCs/>
          <w:color w:val="000000"/>
        </w:rPr>
        <w:t>37</w:t>
      </w:r>
      <w:r w:rsidRPr="00E13E45">
        <w:rPr>
          <w:i/>
          <w:iCs/>
          <w:color w:val="000000"/>
        </w:rPr>
        <w:t xml:space="preserve"> </w:t>
      </w:r>
      <w:r w:rsidR="00A63E0A">
        <w:rPr>
          <w:color w:val="000000"/>
        </w:rPr>
        <w:t xml:space="preserve">No. </w:t>
      </w:r>
      <w:r w:rsidRPr="00E13E45">
        <w:rPr>
          <w:color w:val="000000"/>
        </w:rPr>
        <w:t>4</w:t>
      </w:r>
      <w:r w:rsidR="00A63E0A">
        <w:rPr>
          <w:color w:val="000000"/>
        </w:rPr>
        <w:t>, pp.</w:t>
      </w:r>
      <w:r w:rsidR="00851C48" w:rsidRPr="00E13E45">
        <w:rPr>
          <w:color w:val="000000"/>
        </w:rPr>
        <w:t xml:space="preserve">237–242. </w:t>
      </w:r>
      <w:r w:rsidR="00A63E0A">
        <w:rPr>
          <w:color w:val="000000"/>
        </w:rPr>
        <w:t>DOI</w:t>
      </w:r>
      <w:r w:rsidRPr="00E13E45">
        <w:rPr>
          <w:color w:val="000000"/>
        </w:rPr>
        <w:t xml:space="preserve">: </w:t>
      </w:r>
      <w:hyperlink r:id="rId17" w:history="1">
        <w:r w:rsidR="00851C48" w:rsidRPr="00E13E45">
          <w:rPr>
            <w:rStyle w:val="Hyperlink"/>
          </w:rPr>
          <w:t>https://doi.org/10.1016/j.jcjd.2013.04.009</w:t>
        </w:r>
      </w:hyperlink>
    </w:p>
    <w:p w14:paraId="18D83326" w14:textId="2CFBCE61" w:rsidR="00851C48" w:rsidRPr="00E13E45" w:rsidRDefault="00EB7BBD" w:rsidP="00D43A10">
      <w:pPr>
        <w:spacing w:line="480" w:lineRule="auto"/>
        <w:ind w:left="720" w:hanging="720"/>
      </w:pPr>
      <w:r w:rsidRPr="00E13E45">
        <w:t>Higher Education Student Statistics Agency (</w:t>
      </w:r>
      <w:r w:rsidR="003C766A" w:rsidRPr="00E13E45">
        <w:t>HESA</w:t>
      </w:r>
      <w:r w:rsidRPr="00E13E45">
        <w:t>)</w:t>
      </w:r>
      <w:r w:rsidR="003C766A" w:rsidRPr="00E13E45">
        <w:t xml:space="preserve">. </w:t>
      </w:r>
      <w:r w:rsidR="005A1B95">
        <w:t>(</w:t>
      </w:r>
      <w:r w:rsidR="003C766A" w:rsidRPr="00E13E45">
        <w:t>2019</w:t>
      </w:r>
      <w:r w:rsidR="005A1B95">
        <w:t>),</w:t>
      </w:r>
      <w:r w:rsidRPr="00E13E45">
        <w:t xml:space="preserve"> </w:t>
      </w:r>
      <w:r w:rsidR="00851C48" w:rsidRPr="00E13E45">
        <w:rPr>
          <w:i/>
        </w:rPr>
        <w:t>Who’s studying in HE?</w:t>
      </w:r>
      <w:r w:rsidR="00851C48" w:rsidRPr="00E13E45">
        <w:t xml:space="preserve"> </w:t>
      </w:r>
      <w:r w:rsidRPr="00E13E45">
        <w:t xml:space="preserve">HESA. Accessed February 24 2020. </w:t>
      </w:r>
      <w:hyperlink r:id="rId18" w:history="1">
        <w:r w:rsidR="00851C48" w:rsidRPr="00E13E45">
          <w:rPr>
            <w:rStyle w:val="Hyperlink"/>
          </w:rPr>
          <w:t>https://www.hesa.ac.uk/data-and-analysis/students/whos-in-he</w:t>
        </w:r>
      </w:hyperlink>
      <w:r w:rsidR="00851C48" w:rsidRPr="00E13E45">
        <w:t xml:space="preserve"> </w:t>
      </w:r>
    </w:p>
    <w:p w14:paraId="775A3B90" w14:textId="55422B42" w:rsidR="00AD321E" w:rsidRPr="00E13E45" w:rsidRDefault="00AD321E" w:rsidP="00D43A10">
      <w:pPr>
        <w:spacing w:line="480" w:lineRule="auto"/>
        <w:ind w:left="720" w:hanging="720"/>
        <w:rPr>
          <w:color w:val="000000"/>
        </w:rPr>
      </w:pPr>
      <w:r w:rsidRPr="00E13E45">
        <w:rPr>
          <w:color w:val="000000"/>
        </w:rPr>
        <w:t xml:space="preserve">Kellett, J. Sampson, M. Swords, F. Murphy, H.R. Clark, A. Howe, A. Price, C. Datta, V. and </w:t>
      </w:r>
      <w:proofErr w:type="spellStart"/>
      <w:r w:rsidRPr="00E13E45">
        <w:rPr>
          <w:color w:val="000000"/>
        </w:rPr>
        <w:t>Myint</w:t>
      </w:r>
      <w:proofErr w:type="spellEnd"/>
      <w:r w:rsidRPr="00E13E45">
        <w:rPr>
          <w:color w:val="000000"/>
        </w:rPr>
        <w:t>, K.</w:t>
      </w:r>
      <w:r w:rsidR="00603FC0" w:rsidRPr="00E13E45">
        <w:rPr>
          <w:color w:val="000000"/>
        </w:rPr>
        <w:t xml:space="preserve">S. </w:t>
      </w:r>
      <w:r w:rsidR="00366E7E">
        <w:rPr>
          <w:color w:val="000000"/>
        </w:rPr>
        <w:t>(</w:t>
      </w:r>
      <w:r w:rsidR="00603FC0" w:rsidRPr="00E13E45">
        <w:rPr>
          <w:color w:val="000000"/>
        </w:rPr>
        <w:t>2018</w:t>
      </w:r>
      <w:r w:rsidR="00366E7E">
        <w:rPr>
          <w:color w:val="000000"/>
        </w:rPr>
        <w:t>),</w:t>
      </w:r>
      <w:r w:rsidRPr="00E13E45">
        <w:rPr>
          <w:color w:val="000000"/>
        </w:rPr>
        <w:t xml:space="preserve"> </w:t>
      </w:r>
      <w:r w:rsidR="00603FC0" w:rsidRPr="00E13E45">
        <w:rPr>
          <w:color w:val="000000"/>
        </w:rPr>
        <w:t>“</w:t>
      </w:r>
      <w:r w:rsidRPr="00E13E45">
        <w:rPr>
          <w:color w:val="000000"/>
        </w:rPr>
        <w:t xml:space="preserve">Young </w:t>
      </w:r>
      <w:r w:rsidR="00CF66E5">
        <w:rPr>
          <w:color w:val="000000"/>
        </w:rPr>
        <w:t>P</w:t>
      </w:r>
      <w:r w:rsidRPr="00E13E45">
        <w:rPr>
          <w:color w:val="000000"/>
        </w:rPr>
        <w:t xml:space="preserve">eople’s </w:t>
      </w:r>
      <w:r w:rsidR="00CF66E5">
        <w:rPr>
          <w:color w:val="000000"/>
        </w:rPr>
        <w:t>E</w:t>
      </w:r>
      <w:r w:rsidRPr="00E13E45">
        <w:rPr>
          <w:color w:val="000000"/>
        </w:rPr>
        <w:t xml:space="preserve">xperiences of </w:t>
      </w:r>
      <w:r w:rsidR="00CF66E5">
        <w:rPr>
          <w:color w:val="000000"/>
        </w:rPr>
        <w:t>M</w:t>
      </w:r>
      <w:r w:rsidRPr="00E13E45">
        <w:rPr>
          <w:color w:val="000000"/>
        </w:rPr>
        <w:t xml:space="preserve">anaging Type 1 </w:t>
      </w:r>
      <w:r w:rsidR="00CF66E5">
        <w:rPr>
          <w:color w:val="000000"/>
        </w:rPr>
        <w:t>D</w:t>
      </w:r>
      <w:r w:rsidRPr="00E13E45">
        <w:rPr>
          <w:color w:val="000000"/>
        </w:rPr>
        <w:t xml:space="preserve">iabetes at </w:t>
      </w:r>
      <w:r w:rsidR="00CF66E5">
        <w:rPr>
          <w:color w:val="000000"/>
        </w:rPr>
        <w:t>U</w:t>
      </w:r>
      <w:r w:rsidRPr="00E13E45">
        <w:rPr>
          <w:color w:val="000000"/>
        </w:rPr>
        <w:t xml:space="preserve">niversity: </w:t>
      </w:r>
      <w:r w:rsidR="00CF66E5">
        <w:rPr>
          <w:color w:val="000000"/>
        </w:rPr>
        <w:t>A</w:t>
      </w:r>
      <w:r w:rsidRPr="00E13E45">
        <w:rPr>
          <w:color w:val="000000"/>
        </w:rPr>
        <w:t xml:space="preserve"> </w:t>
      </w:r>
      <w:r w:rsidR="00CF66E5">
        <w:rPr>
          <w:color w:val="000000"/>
        </w:rPr>
        <w:t>N</w:t>
      </w:r>
      <w:r w:rsidRPr="00E13E45">
        <w:rPr>
          <w:color w:val="000000"/>
        </w:rPr>
        <w:t xml:space="preserve">ational </w:t>
      </w:r>
      <w:r w:rsidR="00CF66E5">
        <w:rPr>
          <w:color w:val="000000"/>
        </w:rPr>
        <w:t>S</w:t>
      </w:r>
      <w:r w:rsidRPr="00E13E45">
        <w:rPr>
          <w:color w:val="000000"/>
        </w:rPr>
        <w:t xml:space="preserve">tudy of UK </w:t>
      </w:r>
      <w:r w:rsidR="00CF66E5">
        <w:rPr>
          <w:color w:val="000000"/>
        </w:rPr>
        <w:t>U</w:t>
      </w:r>
      <w:r w:rsidRPr="00E13E45">
        <w:rPr>
          <w:color w:val="000000"/>
        </w:rPr>
        <w:t xml:space="preserve">niversity </w:t>
      </w:r>
      <w:r w:rsidR="00CF66E5">
        <w:rPr>
          <w:color w:val="000000"/>
        </w:rPr>
        <w:t>S</w:t>
      </w:r>
      <w:r w:rsidRPr="00E13E45">
        <w:rPr>
          <w:color w:val="000000"/>
        </w:rPr>
        <w:t>tudents</w:t>
      </w:r>
      <w:r w:rsidR="00603FC0" w:rsidRPr="00E13E45">
        <w:rPr>
          <w:color w:val="000000"/>
        </w:rPr>
        <w:t>”</w:t>
      </w:r>
      <w:r w:rsidR="00366E7E">
        <w:rPr>
          <w:color w:val="000000"/>
        </w:rPr>
        <w:t>,</w:t>
      </w:r>
      <w:r w:rsidRPr="00E13E45">
        <w:rPr>
          <w:color w:val="000000"/>
        </w:rPr>
        <w:t xml:space="preserve"> </w:t>
      </w:r>
      <w:r w:rsidRPr="00E13E45">
        <w:rPr>
          <w:i/>
          <w:color w:val="000000"/>
        </w:rPr>
        <w:t>Diabet</w:t>
      </w:r>
      <w:r w:rsidR="00603FC0" w:rsidRPr="00E13E45">
        <w:rPr>
          <w:i/>
          <w:color w:val="000000"/>
        </w:rPr>
        <w:t>ic Medicine</w:t>
      </w:r>
      <w:r w:rsidR="00366E7E">
        <w:rPr>
          <w:i/>
          <w:color w:val="000000"/>
        </w:rPr>
        <w:t>,</w:t>
      </w:r>
      <w:r w:rsidRPr="00E13E45">
        <w:rPr>
          <w:color w:val="000000"/>
        </w:rPr>
        <w:t xml:space="preserve"> </w:t>
      </w:r>
      <w:r w:rsidR="00366E7E">
        <w:rPr>
          <w:color w:val="000000"/>
        </w:rPr>
        <w:t xml:space="preserve">Vol. </w:t>
      </w:r>
      <w:r w:rsidRPr="00E13E45">
        <w:rPr>
          <w:color w:val="000000"/>
        </w:rPr>
        <w:t>35</w:t>
      </w:r>
      <w:r w:rsidR="00603FC0" w:rsidRPr="00E13E45">
        <w:rPr>
          <w:color w:val="000000"/>
        </w:rPr>
        <w:t xml:space="preserve"> </w:t>
      </w:r>
      <w:r w:rsidR="00366E7E">
        <w:rPr>
          <w:color w:val="000000"/>
        </w:rPr>
        <w:t xml:space="preserve">No. </w:t>
      </w:r>
      <w:r w:rsidRPr="00E13E45">
        <w:rPr>
          <w:color w:val="000000"/>
        </w:rPr>
        <w:t>8</w:t>
      </w:r>
      <w:r w:rsidR="00366E7E">
        <w:rPr>
          <w:color w:val="000000"/>
        </w:rPr>
        <w:t>, pp.</w:t>
      </w:r>
      <w:r w:rsidRPr="00E13E45">
        <w:rPr>
          <w:color w:val="000000"/>
        </w:rPr>
        <w:t xml:space="preserve">1063-1071. </w:t>
      </w:r>
      <w:r w:rsidR="00366E7E">
        <w:rPr>
          <w:color w:val="000000"/>
        </w:rPr>
        <w:t>DOI</w:t>
      </w:r>
      <w:r w:rsidRPr="00E13E45">
        <w:rPr>
          <w:color w:val="000000"/>
        </w:rPr>
        <w:t>: 10.1111/dme.13656.</w:t>
      </w:r>
    </w:p>
    <w:p w14:paraId="42E12413" w14:textId="63A8BB89" w:rsidR="00CE5D00" w:rsidRPr="00E13E45" w:rsidRDefault="00603FC0" w:rsidP="00EB7BBD">
      <w:pPr>
        <w:spacing w:line="480" w:lineRule="auto"/>
        <w:ind w:left="720" w:hanging="720"/>
        <w:rPr>
          <w:color w:val="000000"/>
        </w:rPr>
      </w:pPr>
      <w:r w:rsidRPr="00E13E45">
        <w:rPr>
          <w:color w:val="000000"/>
        </w:rPr>
        <w:t xml:space="preserve">Kwak, N. and </w:t>
      </w:r>
      <w:proofErr w:type="spellStart"/>
      <w:r w:rsidRPr="00E13E45">
        <w:rPr>
          <w:color w:val="000000"/>
        </w:rPr>
        <w:t>Radler</w:t>
      </w:r>
      <w:proofErr w:type="spellEnd"/>
      <w:r w:rsidRPr="00E13E45">
        <w:rPr>
          <w:color w:val="000000"/>
        </w:rPr>
        <w:t xml:space="preserve">, B. </w:t>
      </w:r>
      <w:r w:rsidR="00366E7E">
        <w:rPr>
          <w:color w:val="000000"/>
        </w:rPr>
        <w:t>(</w:t>
      </w:r>
      <w:r w:rsidRPr="00E13E45">
        <w:rPr>
          <w:color w:val="000000"/>
        </w:rPr>
        <w:t>2002</w:t>
      </w:r>
      <w:r w:rsidR="00366E7E">
        <w:rPr>
          <w:color w:val="000000"/>
        </w:rPr>
        <w:t>),</w:t>
      </w:r>
      <w:r w:rsidR="00CE5D00" w:rsidRPr="00E13E45">
        <w:rPr>
          <w:color w:val="000000"/>
        </w:rPr>
        <w:t xml:space="preserve"> </w:t>
      </w:r>
      <w:r w:rsidRPr="00E13E45">
        <w:rPr>
          <w:color w:val="000000"/>
        </w:rPr>
        <w:t>“</w:t>
      </w:r>
      <w:r w:rsidR="00CE5D00" w:rsidRPr="00E13E45">
        <w:rPr>
          <w:color w:val="000000"/>
        </w:rPr>
        <w:t xml:space="preserve">A </w:t>
      </w:r>
      <w:r w:rsidR="00CF66E5">
        <w:rPr>
          <w:color w:val="000000"/>
        </w:rPr>
        <w:t>C</w:t>
      </w:r>
      <w:r w:rsidR="00CE5D00" w:rsidRPr="00E13E45">
        <w:rPr>
          <w:color w:val="000000"/>
        </w:rPr>
        <w:t xml:space="preserve">omparison </w:t>
      </w:r>
      <w:r w:rsidR="00CF66E5">
        <w:rPr>
          <w:color w:val="000000"/>
        </w:rPr>
        <w:t>B</w:t>
      </w:r>
      <w:r w:rsidR="00CE5D00" w:rsidRPr="00E13E45">
        <w:rPr>
          <w:color w:val="000000"/>
        </w:rPr>
        <w:t xml:space="preserve">etween </w:t>
      </w:r>
      <w:r w:rsidR="00CF66E5">
        <w:rPr>
          <w:color w:val="000000"/>
        </w:rPr>
        <w:t>M</w:t>
      </w:r>
      <w:r w:rsidR="00CE5D00" w:rsidRPr="00E13E45">
        <w:rPr>
          <w:color w:val="000000"/>
        </w:rPr>
        <w:t xml:space="preserve">ail and </w:t>
      </w:r>
      <w:r w:rsidR="00CF66E5">
        <w:rPr>
          <w:color w:val="000000"/>
        </w:rPr>
        <w:t>W</w:t>
      </w:r>
      <w:r w:rsidR="00CE5D00" w:rsidRPr="00E13E45">
        <w:rPr>
          <w:color w:val="000000"/>
        </w:rPr>
        <w:t xml:space="preserve">eb </w:t>
      </w:r>
      <w:r w:rsidR="00CF66E5">
        <w:rPr>
          <w:color w:val="000000"/>
        </w:rPr>
        <w:t>S</w:t>
      </w:r>
      <w:r w:rsidR="00CE5D00" w:rsidRPr="00E13E45">
        <w:rPr>
          <w:color w:val="000000"/>
        </w:rPr>
        <w:t xml:space="preserve">urveys: </w:t>
      </w:r>
      <w:r w:rsidR="00CF66E5">
        <w:rPr>
          <w:color w:val="000000"/>
        </w:rPr>
        <w:t>R</w:t>
      </w:r>
      <w:r w:rsidR="00CE5D00" w:rsidRPr="00E13E45">
        <w:rPr>
          <w:color w:val="000000"/>
        </w:rPr>
        <w:t xml:space="preserve">esponse </w:t>
      </w:r>
      <w:r w:rsidR="00CF66E5">
        <w:rPr>
          <w:color w:val="000000"/>
        </w:rPr>
        <w:t>P</w:t>
      </w:r>
      <w:r w:rsidR="00CE5D00" w:rsidRPr="00E13E45">
        <w:rPr>
          <w:color w:val="000000"/>
        </w:rPr>
        <w:t>a</w:t>
      </w:r>
      <w:r w:rsidRPr="00E13E45">
        <w:rPr>
          <w:color w:val="000000"/>
        </w:rPr>
        <w:t xml:space="preserve">ttern, </w:t>
      </w:r>
      <w:r w:rsidR="00CF66E5">
        <w:rPr>
          <w:color w:val="000000"/>
        </w:rPr>
        <w:t>R</w:t>
      </w:r>
      <w:r w:rsidRPr="00E13E45">
        <w:rPr>
          <w:color w:val="000000"/>
        </w:rPr>
        <w:t xml:space="preserve">espondent </w:t>
      </w:r>
      <w:r w:rsidR="00CF66E5">
        <w:rPr>
          <w:color w:val="000000"/>
        </w:rPr>
        <w:t>P</w:t>
      </w:r>
      <w:r w:rsidRPr="00E13E45">
        <w:rPr>
          <w:color w:val="000000"/>
        </w:rPr>
        <w:t xml:space="preserve">rofile, and </w:t>
      </w:r>
      <w:r w:rsidR="00CF66E5">
        <w:rPr>
          <w:color w:val="000000"/>
        </w:rPr>
        <w:t>D</w:t>
      </w:r>
      <w:r w:rsidR="00CE5D00" w:rsidRPr="00E13E45">
        <w:rPr>
          <w:color w:val="000000"/>
        </w:rPr>
        <w:t xml:space="preserve">ata </w:t>
      </w:r>
      <w:r w:rsidR="00CF66E5">
        <w:rPr>
          <w:color w:val="000000"/>
        </w:rPr>
        <w:t>Q</w:t>
      </w:r>
      <w:r w:rsidR="00CE5D00" w:rsidRPr="00E13E45">
        <w:rPr>
          <w:color w:val="000000"/>
        </w:rPr>
        <w:t>uality</w:t>
      </w:r>
      <w:r w:rsidRPr="00E13E45">
        <w:rPr>
          <w:color w:val="000000"/>
        </w:rPr>
        <w:t>”</w:t>
      </w:r>
      <w:r w:rsidR="00366E7E">
        <w:rPr>
          <w:color w:val="000000"/>
        </w:rPr>
        <w:t>,</w:t>
      </w:r>
      <w:r w:rsidR="00CE5D00" w:rsidRPr="00E13E45">
        <w:rPr>
          <w:color w:val="000000"/>
        </w:rPr>
        <w:t xml:space="preserve"> </w:t>
      </w:r>
      <w:r w:rsidRPr="00E13E45">
        <w:rPr>
          <w:i/>
          <w:color w:val="000000"/>
        </w:rPr>
        <w:t>Journal of Official Statistics</w:t>
      </w:r>
      <w:r w:rsidR="00366E7E">
        <w:rPr>
          <w:i/>
          <w:color w:val="000000"/>
        </w:rPr>
        <w:t>,</w:t>
      </w:r>
      <w:r w:rsidR="00CE5D00" w:rsidRPr="00E13E45">
        <w:rPr>
          <w:i/>
          <w:color w:val="000000"/>
        </w:rPr>
        <w:t xml:space="preserve"> </w:t>
      </w:r>
      <w:r w:rsidR="00366E7E">
        <w:rPr>
          <w:iCs/>
          <w:color w:val="000000"/>
        </w:rPr>
        <w:t xml:space="preserve">Vol. </w:t>
      </w:r>
      <w:r w:rsidR="00CE5D00" w:rsidRPr="00E13E45">
        <w:rPr>
          <w:color w:val="000000"/>
        </w:rPr>
        <w:t>18</w:t>
      </w:r>
      <w:r w:rsidRPr="00E13E45">
        <w:rPr>
          <w:i/>
          <w:color w:val="000000"/>
        </w:rPr>
        <w:t xml:space="preserve"> </w:t>
      </w:r>
      <w:r w:rsidR="00366E7E">
        <w:rPr>
          <w:color w:val="000000"/>
        </w:rPr>
        <w:t xml:space="preserve">No. </w:t>
      </w:r>
      <w:r w:rsidRPr="00E13E45">
        <w:rPr>
          <w:color w:val="000000"/>
        </w:rPr>
        <w:t>2</w:t>
      </w:r>
      <w:r w:rsidR="00366E7E">
        <w:rPr>
          <w:color w:val="000000"/>
        </w:rPr>
        <w:t>, pp.</w:t>
      </w:r>
      <w:r w:rsidR="00CE5D00" w:rsidRPr="00E13E45">
        <w:rPr>
          <w:color w:val="000000"/>
        </w:rPr>
        <w:t>257-273.</w:t>
      </w:r>
    </w:p>
    <w:p w14:paraId="2EC1475E" w14:textId="57ADA400" w:rsidR="008B51A3" w:rsidRPr="00E13E45" w:rsidRDefault="008B51A3" w:rsidP="00D43A10">
      <w:pPr>
        <w:spacing w:line="480" w:lineRule="auto"/>
        <w:ind w:left="720" w:hanging="720"/>
        <w:rPr>
          <w:lang w:val="en-US"/>
        </w:rPr>
      </w:pPr>
      <w:proofErr w:type="spellStart"/>
      <w:r w:rsidRPr="00E13E45">
        <w:rPr>
          <w:lang w:val="en-US"/>
        </w:rPr>
        <w:t>Markanday</w:t>
      </w:r>
      <w:proofErr w:type="spellEnd"/>
      <w:r w:rsidRPr="00E13E45">
        <w:rPr>
          <w:lang w:val="en-US"/>
        </w:rPr>
        <w:t>, S. Brennan, S.L. Gould, H.</w:t>
      </w:r>
      <w:r w:rsidR="005577B6" w:rsidRPr="00E13E45">
        <w:rPr>
          <w:lang w:val="en-US"/>
        </w:rPr>
        <w:t xml:space="preserve"> and</w:t>
      </w:r>
      <w:r w:rsidRPr="00E13E45">
        <w:rPr>
          <w:lang w:val="en-US"/>
        </w:rPr>
        <w:t xml:space="preserve"> Pasco, J.</w:t>
      </w:r>
      <w:r w:rsidR="005577B6" w:rsidRPr="00E13E45">
        <w:rPr>
          <w:lang w:val="en-US"/>
        </w:rPr>
        <w:t xml:space="preserve">A. </w:t>
      </w:r>
      <w:r w:rsidR="00366E7E">
        <w:rPr>
          <w:lang w:val="en-US"/>
        </w:rPr>
        <w:t>(</w:t>
      </w:r>
      <w:r w:rsidR="005577B6" w:rsidRPr="00E13E45">
        <w:rPr>
          <w:lang w:val="en-US"/>
        </w:rPr>
        <w:t>2013</w:t>
      </w:r>
      <w:r w:rsidR="00366E7E">
        <w:rPr>
          <w:lang w:val="en-US"/>
        </w:rPr>
        <w:t>),</w:t>
      </w:r>
      <w:r w:rsidRPr="00E13E45">
        <w:rPr>
          <w:lang w:val="en-US"/>
        </w:rPr>
        <w:t xml:space="preserve"> </w:t>
      </w:r>
      <w:r w:rsidR="005577B6" w:rsidRPr="00E13E45">
        <w:rPr>
          <w:lang w:val="en-US"/>
        </w:rPr>
        <w:t>“</w:t>
      </w:r>
      <w:r w:rsidRPr="00E13E45">
        <w:rPr>
          <w:lang w:val="en-US"/>
        </w:rPr>
        <w:t>Sex-</w:t>
      </w:r>
      <w:r w:rsidR="00CF66E5">
        <w:rPr>
          <w:lang w:val="en-US"/>
        </w:rPr>
        <w:t>D</w:t>
      </w:r>
      <w:r w:rsidRPr="00E13E45">
        <w:rPr>
          <w:lang w:val="en-US"/>
        </w:rPr>
        <w:t xml:space="preserve">ifferences in </w:t>
      </w:r>
      <w:r w:rsidR="00CF66E5">
        <w:rPr>
          <w:lang w:val="en-US"/>
        </w:rPr>
        <w:t>R</w:t>
      </w:r>
      <w:r w:rsidRPr="00E13E45">
        <w:rPr>
          <w:lang w:val="en-US"/>
        </w:rPr>
        <w:t xml:space="preserve">easons for </w:t>
      </w:r>
      <w:r w:rsidR="00CF66E5">
        <w:rPr>
          <w:lang w:val="en-US"/>
        </w:rPr>
        <w:t>N</w:t>
      </w:r>
      <w:r w:rsidRPr="00E13E45">
        <w:rPr>
          <w:lang w:val="en-US"/>
        </w:rPr>
        <w:t xml:space="preserve">onparticipation at </w:t>
      </w:r>
      <w:r w:rsidR="00CF66E5">
        <w:rPr>
          <w:lang w:val="en-US"/>
        </w:rPr>
        <w:t>R</w:t>
      </w:r>
      <w:r w:rsidRPr="00E13E45">
        <w:rPr>
          <w:lang w:val="en-US"/>
        </w:rPr>
        <w:t>ecruitment: Geelong Osteoporosis Study</w:t>
      </w:r>
      <w:r w:rsidR="005577B6" w:rsidRPr="00E13E45">
        <w:rPr>
          <w:lang w:val="en-US"/>
        </w:rPr>
        <w:t>”</w:t>
      </w:r>
      <w:r w:rsidR="00366E7E">
        <w:rPr>
          <w:lang w:val="en-US"/>
        </w:rPr>
        <w:t>,</w:t>
      </w:r>
      <w:r w:rsidRPr="00E13E45">
        <w:rPr>
          <w:lang w:val="en-US"/>
        </w:rPr>
        <w:t xml:space="preserve"> </w:t>
      </w:r>
      <w:r w:rsidRPr="00E13E45">
        <w:rPr>
          <w:i/>
          <w:lang w:val="en-US"/>
        </w:rPr>
        <w:t>BMC Research Notes</w:t>
      </w:r>
      <w:r w:rsidR="00366E7E">
        <w:rPr>
          <w:i/>
          <w:lang w:val="en-US"/>
        </w:rPr>
        <w:t>,</w:t>
      </w:r>
      <w:r w:rsidRPr="00E13E45">
        <w:rPr>
          <w:lang w:val="en-US"/>
        </w:rPr>
        <w:t xml:space="preserve"> </w:t>
      </w:r>
      <w:r w:rsidR="00366E7E">
        <w:rPr>
          <w:lang w:val="en-US"/>
        </w:rPr>
        <w:t xml:space="preserve">Vol. </w:t>
      </w:r>
      <w:r w:rsidRPr="00E13E45">
        <w:rPr>
          <w:lang w:val="en-US"/>
        </w:rPr>
        <w:t>6</w:t>
      </w:r>
      <w:r w:rsidR="00366E7E">
        <w:rPr>
          <w:lang w:val="en-US"/>
        </w:rPr>
        <w:t>, p.</w:t>
      </w:r>
      <w:r w:rsidRPr="00E13E45">
        <w:rPr>
          <w:lang w:val="en-US"/>
        </w:rPr>
        <w:t>104.</w:t>
      </w:r>
      <w:r w:rsidR="005577B6" w:rsidRPr="00E13E45">
        <w:rPr>
          <w:lang w:val="en-US"/>
        </w:rPr>
        <w:t xml:space="preserve"> </w:t>
      </w:r>
      <w:r w:rsidR="00366E7E">
        <w:rPr>
          <w:lang w:val="en-US"/>
        </w:rPr>
        <w:t>DOI</w:t>
      </w:r>
      <w:r w:rsidR="005577B6" w:rsidRPr="00E13E45">
        <w:rPr>
          <w:lang w:val="en-US"/>
        </w:rPr>
        <w:t>: 10.1186/1756-0500-6-104.</w:t>
      </w:r>
    </w:p>
    <w:p w14:paraId="1933A717" w14:textId="00C37684" w:rsidR="0031129C" w:rsidRPr="00E13E45" w:rsidRDefault="0031129C" w:rsidP="00D43A10">
      <w:pPr>
        <w:spacing w:line="480" w:lineRule="auto"/>
        <w:ind w:left="720" w:hanging="720"/>
      </w:pPr>
      <w:r w:rsidRPr="00E13E45">
        <w:t>Maslow</w:t>
      </w:r>
      <w:r w:rsidR="005577B6" w:rsidRPr="00E13E45">
        <w:t>,</w:t>
      </w:r>
      <w:r w:rsidRPr="00E13E45">
        <w:t xml:space="preserve"> G</w:t>
      </w:r>
      <w:r w:rsidR="005577B6" w:rsidRPr="00E13E45">
        <w:t>.</w:t>
      </w:r>
      <w:r w:rsidRPr="00E13E45">
        <w:t>R</w:t>
      </w:r>
      <w:r w:rsidR="005577B6" w:rsidRPr="00E13E45">
        <w:t>.</w:t>
      </w:r>
      <w:r w:rsidRPr="00E13E45">
        <w:t xml:space="preserve"> Haydon</w:t>
      </w:r>
      <w:r w:rsidR="005577B6" w:rsidRPr="00E13E45">
        <w:t>,</w:t>
      </w:r>
      <w:r w:rsidRPr="00E13E45">
        <w:t xml:space="preserve"> A</w:t>
      </w:r>
      <w:r w:rsidR="005577B6" w:rsidRPr="00E13E45">
        <w:t>.</w:t>
      </w:r>
      <w:r w:rsidRPr="00E13E45">
        <w:t xml:space="preserve"> </w:t>
      </w:r>
      <w:proofErr w:type="spellStart"/>
      <w:r w:rsidRPr="00E13E45">
        <w:t>McRee</w:t>
      </w:r>
      <w:proofErr w:type="spellEnd"/>
      <w:r w:rsidR="005577B6" w:rsidRPr="00E13E45">
        <w:t>,</w:t>
      </w:r>
      <w:r w:rsidRPr="00E13E45">
        <w:t xml:space="preserve"> A</w:t>
      </w:r>
      <w:r w:rsidR="005577B6" w:rsidRPr="00E13E45">
        <w:t>.</w:t>
      </w:r>
      <w:r w:rsidRPr="00E13E45">
        <w:t>L</w:t>
      </w:r>
      <w:r w:rsidR="005577B6" w:rsidRPr="00E13E45">
        <w:t>.</w:t>
      </w:r>
      <w:r w:rsidRPr="00E13E45">
        <w:t xml:space="preserve"> Ford</w:t>
      </w:r>
      <w:r w:rsidR="005577B6" w:rsidRPr="00E13E45">
        <w:t>,</w:t>
      </w:r>
      <w:r w:rsidRPr="00E13E45">
        <w:t xml:space="preserve"> C</w:t>
      </w:r>
      <w:r w:rsidR="005577B6" w:rsidRPr="00E13E45">
        <w:t>.</w:t>
      </w:r>
      <w:r w:rsidRPr="00E13E45">
        <w:t>A</w:t>
      </w:r>
      <w:r w:rsidR="005577B6" w:rsidRPr="00E13E45">
        <w:t>.</w:t>
      </w:r>
      <w:r w:rsidRPr="00E13E45">
        <w:t xml:space="preserve"> </w:t>
      </w:r>
      <w:r w:rsidR="005577B6" w:rsidRPr="00E13E45">
        <w:t xml:space="preserve">and </w:t>
      </w:r>
      <w:r w:rsidRPr="00E13E45">
        <w:t>Halpern</w:t>
      </w:r>
      <w:r w:rsidR="005577B6" w:rsidRPr="00E13E45">
        <w:t>,</w:t>
      </w:r>
      <w:r w:rsidRPr="00E13E45">
        <w:t xml:space="preserve"> C</w:t>
      </w:r>
      <w:r w:rsidR="005577B6" w:rsidRPr="00E13E45">
        <w:t>.</w:t>
      </w:r>
      <w:r w:rsidRPr="00E13E45">
        <w:t>T.</w:t>
      </w:r>
      <w:r w:rsidR="005577B6" w:rsidRPr="00E13E45">
        <w:t xml:space="preserve"> </w:t>
      </w:r>
      <w:r w:rsidR="00366E7E">
        <w:t>(</w:t>
      </w:r>
      <w:r w:rsidR="005577B6" w:rsidRPr="00E13E45">
        <w:t>2011</w:t>
      </w:r>
      <w:r w:rsidR="00366E7E">
        <w:t>),</w:t>
      </w:r>
      <w:r w:rsidRPr="00E13E45">
        <w:t xml:space="preserve"> </w:t>
      </w:r>
      <w:r w:rsidR="005577B6" w:rsidRPr="00E13E45">
        <w:t>“</w:t>
      </w:r>
      <w:r w:rsidRPr="00E13E45">
        <w:t xml:space="preserve">Growing </w:t>
      </w:r>
      <w:r w:rsidR="00CF66E5">
        <w:t>U</w:t>
      </w:r>
      <w:r w:rsidRPr="00E13E45">
        <w:t xml:space="preserve">p with a </w:t>
      </w:r>
      <w:r w:rsidR="00CF66E5">
        <w:t>C</w:t>
      </w:r>
      <w:r w:rsidRPr="00E13E45">
        <w:t xml:space="preserve">hronic </w:t>
      </w:r>
      <w:r w:rsidR="00CF66E5">
        <w:t>I</w:t>
      </w:r>
      <w:r w:rsidRPr="00E13E45">
        <w:t xml:space="preserve">llness: </w:t>
      </w:r>
      <w:r w:rsidR="00CF66E5">
        <w:t>S</w:t>
      </w:r>
      <w:r w:rsidRPr="00E13E45">
        <w:t xml:space="preserve">ocial </w:t>
      </w:r>
      <w:r w:rsidR="00CF66E5">
        <w:t>S</w:t>
      </w:r>
      <w:r w:rsidRPr="00E13E45">
        <w:t xml:space="preserve">uccess, </w:t>
      </w:r>
      <w:r w:rsidR="00CF66E5">
        <w:t>E</w:t>
      </w:r>
      <w:r w:rsidRPr="00E13E45">
        <w:t>ducational/</w:t>
      </w:r>
      <w:r w:rsidR="00CF66E5">
        <w:t>V</w:t>
      </w:r>
      <w:r w:rsidRPr="00E13E45">
        <w:t xml:space="preserve">ocational </w:t>
      </w:r>
      <w:r w:rsidR="00CF66E5">
        <w:t>D</w:t>
      </w:r>
      <w:r w:rsidRPr="00E13E45">
        <w:t>istress</w:t>
      </w:r>
      <w:r w:rsidR="005577B6" w:rsidRPr="00E13E45">
        <w:t>”</w:t>
      </w:r>
      <w:r w:rsidR="00366E7E">
        <w:t>,</w:t>
      </w:r>
      <w:r w:rsidRPr="00E13E45">
        <w:t xml:space="preserve"> </w:t>
      </w:r>
      <w:r w:rsidRPr="00E13E45">
        <w:rPr>
          <w:i/>
        </w:rPr>
        <w:t>J</w:t>
      </w:r>
      <w:r w:rsidR="005577B6" w:rsidRPr="00E13E45">
        <w:rPr>
          <w:i/>
        </w:rPr>
        <w:t>ournal of</w:t>
      </w:r>
      <w:r w:rsidRPr="00E13E45">
        <w:rPr>
          <w:i/>
        </w:rPr>
        <w:t xml:space="preserve"> Adolesc</w:t>
      </w:r>
      <w:r w:rsidR="005577B6" w:rsidRPr="00E13E45">
        <w:rPr>
          <w:i/>
        </w:rPr>
        <w:t>ent Health</w:t>
      </w:r>
      <w:r w:rsidR="00366E7E">
        <w:rPr>
          <w:i/>
        </w:rPr>
        <w:t>,</w:t>
      </w:r>
      <w:r w:rsidR="005577B6" w:rsidRPr="00E13E45">
        <w:t xml:space="preserve"> </w:t>
      </w:r>
      <w:r w:rsidR="00366E7E">
        <w:t xml:space="preserve">Vol. </w:t>
      </w:r>
      <w:r w:rsidRPr="00E13E45">
        <w:t xml:space="preserve">49 </w:t>
      </w:r>
      <w:r w:rsidR="00366E7E">
        <w:t xml:space="preserve">No. </w:t>
      </w:r>
      <w:r w:rsidRPr="00E13E45">
        <w:t>2</w:t>
      </w:r>
      <w:r w:rsidR="00366E7E">
        <w:t>, pp.</w:t>
      </w:r>
      <w:r w:rsidRPr="00E13E45">
        <w:t>206–212.</w:t>
      </w:r>
      <w:r w:rsidR="005577B6" w:rsidRPr="00E13E45">
        <w:t xml:space="preserve"> </w:t>
      </w:r>
      <w:r w:rsidR="00366E7E">
        <w:t>DOI</w:t>
      </w:r>
      <w:r w:rsidR="005577B6" w:rsidRPr="00E13E45">
        <w:t xml:space="preserve">: </w:t>
      </w:r>
      <w:hyperlink r:id="rId19" w:history="1">
        <w:r w:rsidR="005577B6" w:rsidRPr="00E13E45">
          <w:rPr>
            <w:rStyle w:val="Hyperlink"/>
          </w:rPr>
          <w:t>https://doi.org/10.1016/j.jadohealth.2010.12.001</w:t>
        </w:r>
      </w:hyperlink>
      <w:r w:rsidR="005577B6" w:rsidRPr="00E13E45">
        <w:t xml:space="preserve"> </w:t>
      </w:r>
    </w:p>
    <w:p w14:paraId="79DC4E1B" w14:textId="0E041012" w:rsidR="0059462C" w:rsidRPr="00E13E45" w:rsidRDefault="0059462C" w:rsidP="00D43A10">
      <w:pPr>
        <w:spacing w:line="480" w:lineRule="auto"/>
        <w:ind w:left="720" w:hanging="720"/>
        <w:rPr>
          <w:color w:val="000000"/>
        </w:rPr>
      </w:pPr>
      <w:r w:rsidRPr="0059462C">
        <w:rPr>
          <w:color w:val="000000"/>
        </w:rPr>
        <w:t xml:space="preserve">Mind. </w:t>
      </w:r>
      <w:r w:rsidR="004B4395">
        <w:rPr>
          <w:color w:val="000000"/>
        </w:rPr>
        <w:t>(</w:t>
      </w:r>
      <w:r w:rsidRPr="0059462C">
        <w:rPr>
          <w:color w:val="000000"/>
        </w:rPr>
        <w:t>2020</w:t>
      </w:r>
      <w:r w:rsidR="004B4395">
        <w:rPr>
          <w:color w:val="000000"/>
        </w:rPr>
        <w:t>),</w:t>
      </w:r>
      <w:r w:rsidRPr="0059462C">
        <w:rPr>
          <w:color w:val="000000"/>
        </w:rPr>
        <w:t xml:space="preserve"> </w:t>
      </w:r>
      <w:r w:rsidRPr="00B05761">
        <w:rPr>
          <w:i/>
          <w:iCs/>
          <w:color w:val="000000"/>
        </w:rPr>
        <w:t>The mental health emergency: how has the coronavirus pandemic impacted our mental health?</w:t>
      </w:r>
      <w:r w:rsidRPr="0059462C">
        <w:rPr>
          <w:color w:val="000000"/>
        </w:rPr>
        <w:t xml:space="preserve"> Mind</w:t>
      </w:r>
      <w:r w:rsidR="004B4395">
        <w:rPr>
          <w:color w:val="000000"/>
        </w:rPr>
        <w:t>: London.</w:t>
      </w:r>
    </w:p>
    <w:p w14:paraId="728D5FCB" w14:textId="3C09969D" w:rsidR="0031129C" w:rsidRDefault="0031129C" w:rsidP="003C6824">
      <w:pPr>
        <w:spacing w:line="480" w:lineRule="auto"/>
        <w:ind w:left="720" w:hanging="720"/>
      </w:pPr>
      <w:r w:rsidRPr="00E13E45">
        <w:t>Mullins, A</w:t>
      </w:r>
      <w:r w:rsidR="00366E7E">
        <w:t>.</w:t>
      </w:r>
      <w:r w:rsidRPr="00E13E45">
        <w:t xml:space="preserve">J. </w:t>
      </w:r>
      <w:proofErr w:type="spellStart"/>
      <w:r w:rsidRPr="00E13E45">
        <w:t>Gamwell</w:t>
      </w:r>
      <w:proofErr w:type="spellEnd"/>
      <w:r w:rsidRPr="00E13E45">
        <w:t>, K.</w:t>
      </w:r>
      <w:r w:rsidR="00366E7E">
        <w:t>L</w:t>
      </w:r>
      <w:r w:rsidRPr="00E13E45">
        <w:t xml:space="preserve">. Sharkey, C.M. </w:t>
      </w:r>
      <w:proofErr w:type="spellStart"/>
      <w:r w:rsidRPr="00E13E45">
        <w:t>Bakula</w:t>
      </w:r>
      <w:proofErr w:type="spellEnd"/>
      <w:r w:rsidRPr="00E13E45">
        <w:t xml:space="preserve">, D.M. Tackett, A.P. </w:t>
      </w:r>
      <w:proofErr w:type="spellStart"/>
      <w:r w:rsidRPr="00E13E45">
        <w:t>Suorsa</w:t>
      </w:r>
      <w:proofErr w:type="spellEnd"/>
      <w:r w:rsidRPr="00E13E45">
        <w:t>, K.I. Chaney, J.M.</w:t>
      </w:r>
      <w:r w:rsidR="005577B6" w:rsidRPr="00E13E45">
        <w:t xml:space="preserve"> and</w:t>
      </w:r>
      <w:r w:rsidRPr="00E13E45">
        <w:t xml:space="preserve"> Mullins, L.L.</w:t>
      </w:r>
      <w:r w:rsidR="005577B6" w:rsidRPr="00E13E45">
        <w:t xml:space="preserve"> </w:t>
      </w:r>
      <w:r w:rsidR="00366E7E">
        <w:t>(</w:t>
      </w:r>
      <w:r w:rsidR="005577B6" w:rsidRPr="00E13E45">
        <w:t>2017</w:t>
      </w:r>
      <w:r w:rsidR="00366E7E">
        <w:t>),</w:t>
      </w:r>
      <w:r w:rsidRPr="00E13E45">
        <w:t xml:space="preserve"> </w:t>
      </w:r>
      <w:r w:rsidR="005577B6" w:rsidRPr="00E13E45">
        <w:t>“</w:t>
      </w:r>
      <w:r w:rsidRPr="00E13E45">
        <w:t xml:space="preserve">Illness </w:t>
      </w:r>
      <w:r w:rsidR="00CF66E5">
        <w:t>U</w:t>
      </w:r>
      <w:r w:rsidRPr="00E13E45">
        <w:t xml:space="preserve">ncertainty and </w:t>
      </w:r>
      <w:r w:rsidR="00CF66E5">
        <w:t>I</w:t>
      </w:r>
      <w:r w:rsidRPr="00E13E45">
        <w:t xml:space="preserve">llness </w:t>
      </w:r>
      <w:r w:rsidR="00CF66E5">
        <w:t>I</w:t>
      </w:r>
      <w:r w:rsidRPr="00E13E45">
        <w:t xml:space="preserve">ntrusiveness as </w:t>
      </w:r>
      <w:r w:rsidR="00CF66E5">
        <w:t>P</w:t>
      </w:r>
      <w:r w:rsidRPr="00E13E45">
        <w:t xml:space="preserve">redictors of </w:t>
      </w:r>
      <w:r w:rsidR="00CF66E5">
        <w:t>D</w:t>
      </w:r>
      <w:r w:rsidRPr="00E13E45">
        <w:t xml:space="preserve">epressive and </w:t>
      </w:r>
      <w:r w:rsidR="00CF66E5">
        <w:t>A</w:t>
      </w:r>
      <w:r w:rsidRPr="00E13E45">
        <w:t xml:space="preserve">nxious </w:t>
      </w:r>
      <w:r w:rsidR="00CF66E5">
        <w:t>S</w:t>
      </w:r>
      <w:r w:rsidRPr="00E13E45">
        <w:t xml:space="preserve">ymptomology in </w:t>
      </w:r>
      <w:r w:rsidR="00CF66E5">
        <w:lastRenderedPageBreak/>
        <w:t>C</w:t>
      </w:r>
      <w:r w:rsidRPr="00E13E45">
        <w:t xml:space="preserve">ollege </w:t>
      </w:r>
      <w:r w:rsidR="00CF66E5">
        <w:t>S</w:t>
      </w:r>
      <w:r w:rsidR="005577B6" w:rsidRPr="00E13E45">
        <w:t xml:space="preserve">tudents with </w:t>
      </w:r>
      <w:r w:rsidR="00CF66E5">
        <w:t>C</w:t>
      </w:r>
      <w:r w:rsidR="005577B6" w:rsidRPr="00E13E45">
        <w:t xml:space="preserve">hronic </w:t>
      </w:r>
      <w:r w:rsidR="00CF66E5">
        <w:t>I</w:t>
      </w:r>
      <w:r w:rsidR="005577B6" w:rsidRPr="00E13E45">
        <w:t>llnesses”</w:t>
      </w:r>
      <w:r w:rsidR="00366E7E">
        <w:t>,</w:t>
      </w:r>
      <w:r w:rsidRPr="00E13E45">
        <w:t xml:space="preserve"> </w:t>
      </w:r>
      <w:r w:rsidRPr="00E13E45">
        <w:rPr>
          <w:i/>
        </w:rPr>
        <w:t>Jou</w:t>
      </w:r>
      <w:r w:rsidR="005577B6" w:rsidRPr="00E13E45">
        <w:rPr>
          <w:i/>
        </w:rPr>
        <w:t>rnal of American College Health</w:t>
      </w:r>
      <w:r w:rsidR="00366E7E">
        <w:rPr>
          <w:i/>
        </w:rPr>
        <w:t>,</w:t>
      </w:r>
      <w:r w:rsidR="005577B6" w:rsidRPr="00E13E45">
        <w:t xml:space="preserve"> </w:t>
      </w:r>
      <w:r w:rsidR="00366E7E">
        <w:t xml:space="preserve">Vol. </w:t>
      </w:r>
      <w:r w:rsidR="005577B6" w:rsidRPr="00E13E45">
        <w:t xml:space="preserve">65 </w:t>
      </w:r>
      <w:r w:rsidR="00366E7E">
        <w:t xml:space="preserve">No. </w:t>
      </w:r>
      <w:r w:rsidRPr="00E13E45">
        <w:t>5</w:t>
      </w:r>
      <w:r w:rsidR="00366E7E">
        <w:t>, pp.</w:t>
      </w:r>
      <w:r w:rsidR="005577B6" w:rsidRPr="00E13E45">
        <w:t xml:space="preserve">352-360. </w:t>
      </w:r>
      <w:r w:rsidR="00366E7E">
        <w:t>DOI</w:t>
      </w:r>
      <w:r w:rsidRPr="00E13E45">
        <w:t>: 10.1080/07448481.2017.1312415</w:t>
      </w:r>
      <w:r w:rsidR="00366E7E">
        <w:t>.</w:t>
      </w:r>
    </w:p>
    <w:p w14:paraId="6FF4DCE7" w14:textId="44488757" w:rsidR="00ED6378" w:rsidRPr="00E13E45" w:rsidRDefault="00EC659B" w:rsidP="00CF66E5">
      <w:pPr>
        <w:spacing w:line="480" w:lineRule="auto"/>
        <w:ind w:left="720" w:hanging="720"/>
      </w:pPr>
      <w:r w:rsidRPr="00DF0248">
        <w:t xml:space="preserve">Saunders, B. </w:t>
      </w:r>
      <w:r w:rsidR="00366E7E">
        <w:t>(</w:t>
      </w:r>
      <w:r w:rsidRPr="00DF0248">
        <w:t>2011</w:t>
      </w:r>
      <w:r w:rsidR="00366E7E">
        <w:t>),</w:t>
      </w:r>
      <w:r w:rsidRPr="00DF0248">
        <w:t xml:space="preserve"> </w:t>
      </w:r>
      <w:r w:rsidR="00167496">
        <w:t>“</w:t>
      </w:r>
      <w:r w:rsidRPr="00DF0248">
        <w:t xml:space="preserve">“Sometimes </w:t>
      </w:r>
      <w:r w:rsidR="00CF66E5">
        <w:t>Y</w:t>
      </w:r>
      <w:r w:rsidRPr="00DF0248">
        <w:t xml:space="preserve">ou’ve </w:t>
      </w:r>
      <w:r w:rsidR="00CF66E5">
        <w:t>J</w:t>
      </w:r>
      <w:r w:rsidRPr="00DF0248">
        <w:t xml:space="preserve">ust </w:t>
      </w:r>
      <w:r w:rsidR="00CF66E5">
        <w:t>G</w:t>
      </w:r>
      <w:r w:rsidRPr="00DF0248">
        <w:t xml:space="preserve">ot to </w:t>
      </w:r>
      <w:r w:rsidR="00CF66E5">
        <w:t>H</w:t>
      </w:r>
      <w:r w:rsidRPr="00DF0248">
        <w:t xml:space="preserve">ave </w:t>
      </w:r>
      <w:r w:rsidR="00CF66E5">
        <w:t>F</w:t>
      </w:r>
      <w:r w:rsidRPr="00DF0248">
        <w:t xml:space="preserve">un, </w:t>
      </w:r>
      <w:r w:rsidR="00CF66E5">
        <w:t>H</w:t>
      </w:r>
      <w:r w:rsidRPr="00DF0248">
        <w:t xml:space="preserve">aven’t </w:t>
      </w:r>
      <w:r w:rsidR="00CF66E5">
        <w:t>Y</w:t>
      </w:r>
      <w:r w:rsidRPr="00DF0248">
        <w:t xml:space="preserve">ou?”: The </w:t>
      </w:r>
      <w:r w:rsidR="00CF66E5">
        <w:t>D</w:t>
      </w:r>
      <w:r w:rsidRPr="00DF0248">
        <w:t xml:space="preserve">iscursive </w:t>
      </w:r>
      <w:r w:rsidR="00CF66E5">
        <w:t>C</w:t>
      </w:r>
      <w:r w:rsidRPr="00DF0248">
        <w:t xml:space="preserve">onstruction of </w:t>
      </w:r>
      <w:r w:rsidR="00CF66E5">
        <w:t>S</w:t>
      </w:r>
      <w:r w:rsidRPr="00DF0248">
        <w:t xml:space="preserve">ocial </w:t>
      </w:r>
      <w:r w:rsidR="00CF66E5">
        <w:t>D</w:t>
      </w:r>
      <w:r w:rsidRPr="00DF0248">
        <w:t xml:space="preserve">rinking </w:t>
      </w:r>
      <w:r w:rsidR="00CF66E5">
        <w:t>P</w:t>
      </w:r>
      <w:r w:rsidRPr="00DF0248">
        <w:t xml:space="preserve">ractices in </w:t>
      </w:r>
      <w:r w:rsidR="00CF66E5">
        <w:t>Y</w:t>
      </w:r>
      <w:r w:rsidRPr="00DF0248">
        <w:t xml:space="preserve">oung </w:t>
      </w:r>
      <w:r w:rsidR="00CF66E5">
        <w:t>A</w:t>
      </w:r>
      <w:r w:rsidRPr="00DF0248">
        <w:t xml:space="preserve">dults’ </w:t>
      </w:r>
      <w:r w:rsidR="00CF66E5">
        <w:t>A</w:t>
      </w:r>
      <w:r w:rsidRPr="00DF0248">
        <w:t xml:space="preserve">ccounts of </w:t>
      </w:r>
      <w:r w:rsidR="00CF66E5">
        <w:t>C</w:t>
      </w:r>
      <w:r w:rsidRPr="00DF0248">
        <w:t xml:space="preserve">hronic </w:t>
      </w:r>
      <w:r w:rsidR="00CF66E5">
        <w:t>I</w:t>
      </w:r>
      <w:r w:rsidRPr="00DF0248">
        <w:t>llness</w:t>
      </w:r>
      <w:r w:rsidR="00167496">
        <w:t>”,</w:t>
      </w:r>
      <w:r w:rsidRPr="00DF0248">
        <w:t xml:space="preserve"> </w:t>
      </w:r>
      <w:r w:rsidRPr="00DF0248">
        <w:rPr>
          <w:i/>
        </w:rPr>
        <w:t>Communication and Medicine</w:t>
      </w:r>
      <w:r w:rsidR="00167496">
        <w:rPr>
          <w:i/>
        </w:rPr>
        <w:t>,</w:t>
      </w:r>
      <w:r w:rsidRPr="00DF0248">
        <w:rPr>
          <w:i/>
        </w:rPr>
        <w:t xml:space="preserve"> </w:t>
      </w:r>
      <w:r w:rsidR="00167496">
        <w:rPr>
          <w:iCs/>
        </w:rPr>
        <w:t xml:space="preserve">Vol. </w:t>
      </w:r>
      <w:r w:rsidRPr="00DF0248">
        <w:t>8</w:t>
      </w:r>
      <w:r w:rsidR="00CF66E5">
        <w:t xml:space="preserve"> </w:t>
      </w:r>
      <w:r w:rsidR="00167496">
        <w:t xml:space="preserve">No. </w:t>
      </w:r>
      <w:r w:rsidRPr="00DF0248">
        <w:t>1</w:t>
      </w:r>
      <w:r w:rsidR="00167496">
        <w:t>, pp.</w:t>
      </w:r>
      <w:r w:rsidRPr="00DF0248">
        <w:t>73-84.</w:t>
      </w:r>
      <w:r w:rsidR="00CF66E5">
        <w:t xml:space="preserve"> </w:t>
      </w:r>
      <w:r w:rsidR="00167496">
        <w:t>DOI</w:t>
      </w:r>
      <w:r w:rsidR="00CF66E5">
        <w:t>:</w:t>
      </w:r>
      <w:r w:rsidR="00CF66E5" w:rsidRPr="00CF66E5">
        <w:t xml:space="preserve"> 10.1558/CAM.V8I1.73</w:t>
      </w:r>
    </w:p>
    <w:p w14:paraId="2D380B36" w14:textId="019EE3FB" w:rsidR="00037082" w:rsidRPr="00E13E45" w:rsidRDefault="00037082" w:rsidP="00D43A10">
      <w:pPr>
        <w:spacing w:line="480" w:lineRule="auto"/>
        <w:ind w:left="720" w:hanging="720"/>
        <w:rPr>
          <w:color w:val="000000"/>
        </w:rPr>
      </w:pPr>
      <w:r w:rsidRPr="00E13E45">
        <w:rPr>
          <w:color w:val="000000"/>
        </w:rPr>
        <w:t>Saylor, J. Hanna, K.</w:t>
      </w:r>
      <w:r w:rsidR="00862F17" w:rsidRPr="00E13E45">
        <w:rPr>
          <w:color w:val="000000"/>
        </w:rPr>
        <w:t>M. and</w:t>
      </w:r>
      <w:r w:rsidRPr="00E13E45">
        <w:rPr>
          <w:color w:val="000000"/>
        </w:rPr>
        <w:t xml:space="preserve"> </w:t>
      </w:r>
      <w:proofErr w:type="spellStart"/>
      <w:r w:rsidRPr="00E13E45">
        <w:rPr>
          <w:color w:val="000000"/>
        </w:rPr>
        <w:t>Calamaro</w:t>
      </w:r>
      <w:proofErr w:type="spellEnd"/>
      <w:r w:rsidRPr="00E13E45">
        <w:rPr>
          <w:color w:val="000000"/>
        </w:rPr>
        <w:t>, C.</w:t>
      </w:r>
      <w:r w:rsidR="00862F17" w:rsidRPr="00E13E45">
        <w:rPr>
          <w:color w:val="000000"/>
        </w:rPr>
        <w:t xml:space="preserve">J. </w:t>
      </w:r>
      <w:r w:rsidR="00167496">
        <w:rPr>
          <w:color w:val="000000"/>
        </w:rPr>
        <w:t>(</w:t>
      </w:r>
      <w:r w:rsidR="00862F17" w:rsidRPr="00E13E45">
        <w:rPr>
          <w:color w:val="000000"/>
        </w:rPr>
        <w:t>2019</w:t>
      </w:r>
      <w:r w:rsidR="00167496">
        <w:rPr>
          <w:color w:val="000000"/>
        </w:rPr>
        <w:t>),</w:t>
      </w:r>
      <w:r w:rsidRPr="00E13E45">
        <w:rPr>
          <w:color w:val="000000"/>
        </w:rPr>
        <w:t xml:space="preserve"> </w:t>
      </w:r>
      <w:r w:rsidR="00862F17" w:rsidRPr="00E13E45">
        <w:rPr>
          <w:color w:val="000000"/>
        </w:rPr>
        <w:t>“</w:t>
      </w:r>
      <w:r w:rsidRPr="00E13E45">
        <w:rPr>
          <w:color w:val="000000"/>
        </w:rPr>
        <w:t xml:space="preserve">Experiences of </w:t>
      </w:r>
      <w:r w:rsidR="00CF66E5">
        <w:rPr>
          <w:color w:val="000000"/>
        </w:rPr>
        <w:t>C</w:t>
      </w:r>
      <w:r w:rsidRPr="00E13E45">
        <w:rPr>
          <w:color w:val="000000"/>
        </w:rPr>
        <w:t xml:space="preserve">ollege </w:t>
      </w:r>
      <w:r w:rsidR="00CF66E5">
        <w:rPr>
          <w:color w:val="000000"/>
        </w:rPr>
        <w:t>S</w:t>
      </w:r>
      <w:r w:rsidRPr="00E13E45">
        <w:rPr>
          <w:color w:val="000000"/>
        </w:rPr>
        <w:t xml:space="preserve">tudents </w:t>
      </w:r>
      <w:r w:rsidR="00CF66E5">
        <w:rPr>
          <w:color w:val="000000"/>
        </w:rPr>
        <w:t>W</w:t>
      </w:r>
      <w:r w:rsidRPr="00E13E45">
        <w:rPr>
          <w:color w:val="000000"/>
        </w:rPr>
        <w:t xml:space="preserve">ho </w:t>
      </w:r>
      <w:r w:rsidR="00CF66E5">
        <w:rPr>
          <w:color w:val="000000"/>
        </w:rPr>
        <w:t>A</w:t>
      </w:r>
      <w:r w:rsidRPr="00E13E45">
        <w:rPr>
          <w:color w:val="000000"/>
        </w:rPr>
        <w:t xml:space="preserve">re </w:t>
      </w:r>
      <w:r w:rsidR="00CF66E5">
        <w:rPr>
          <w:color w:val="000000"/>
        </w:rPr>
        <w:t>N</w:t>
      </w:r>
      <w:r w:rsidRPr="00E13E45">
        <w:rPr>
          <w:color w:val="000000"/>
        </w:rPr>
        <w:t xml:space="preserve">ewly </w:t>
      </w:r>
      <w:r w:rsidR="00CF66E5">
        <w:rPr>
          <w:color w:val="000000"/>
        </w:rPr>
        <w:t>D</w:t>
      </w:r>
      <w:r w:rsidRPr="00E13E45">
        <w:rPr>
          <w:color w:val="000000"/>
        </w:rPr>
        <w:t xml:space="preserve">iagnosed </w:t>
      </w:r>
      <w:proofErr w:type="gramStart"/>
      <w:r w:rsidR="00CF66E5">
        <w:rPr>
          <w:color w:val="000000"/>
        </w:rPr>
        <w:t>W</w:t>
      </w:r>
      <w:r w:rsidRPr="00E13E45">
        <w:rPr>
          <w:color w:val="000000"/>
        </w:rPr>
        <w:t>ith</w:t>
      </w:r>
      <w:proofErr w:type="gramEnd"/>
      <w:r w:rsidRPr="00E13E45">
        <w:rPr>
          <w:color w:val="000000"/>
        </w:rPr>
        <w:t xml:space="preserve"> </w:t>
      </w:r>
      <w:r w:rsidR="00CF66E5">
        <w:rPr>
          <w:color w:val="000000"/>
        </w:rPr>
        <w:t>T</w:t>
      </w:r>
      <w:r w:rsidRPr="00E13E45">
        <w:rPr>
          <w:color w:val="000000"/>
        </w:rPr>
        <w:t xml:space="preserve">ype 1 </w:t>
      </w:r>
      <w:r w:rsidR="00CF66E5">
        <w:rPr>
          <w:color w:val="000000"/>
        </w:rPr>
        <w:t>D</w:t>
      </w:r>
      <w:r w:rsidRPr="00E13E45">
        <w:rPr>
          <w:color w:val="000000"/>
        </w:rPr>
        <w:t xml:space="preserve">iabetes </w:t>
      </w:r>
      <w:r w:rsidR="00CF66E5">
        <w:rPr>
          <w:color w:val="000000"/>
        </w:rPr>
        <w:t>M</w:t>
      </w:r>
      <w:r w:rsidRPr="00E13E45">
        <w:rPr>
          <w:color w:val="000000"/>
        </w:rPr>
        <w:t>ellitus</w:t>
      </w:r>
      <w:r w:rsidR="00862F17" w:rsidRPr="00E13E45">
        <w:rPr>
          <w:color w:val="000000"/>
        </w:rPr>
        <w:t>”</w:t>
      </w:r>
      <w:r w:rsidR="00167496">
        <w:rPr>
          <w:color w:val="000000"/>
        </w:rPr>
        <w:t>,</w:t>
      </w:r>
      <w:r w:rsidR="00862F17" w:rsidRPr="00E13E45">
        <w:rPr>
          <w:color w:val="000000"/>
        </w:rPr>
        <w:t xml:space="preserve"> </w:t>
      </w:r>
      <w:r w:rsidR="00862F17" w:rsidRPr="00E13E45">
        <w:rPr>
          <w:i/>
          <w:color w:val="000000"/>
        </w:rPr>
        <w:t xml:space="preserve">Journal of </w:t>
      </w:r>
      <w:proofErr w:type="spellStart"/>
      <w:r w:rsidR="00862F17" w:rsidRPr="00E13E45">
        <w:rPr>
          <w:i/>
          <w:color w:val="000000"/>
        </w:rPr>
        <w:t>Pediatric</w:t>
      </w:r>
      <w:proofErr w:type="spellEnd"/>
      <w:r w:rsidR="00862F17" w:rsidRPr="00E13E45">
        <w:rPr>
          <w:i/>
          <w:color w:val="000000"/>
        </w:rPr>
        <w:t xml:space="preserve"> Nursing</w:t>
      </w:r>
      <w:r w:rsidR="00167496">
        <w:rPr>
          <w:i/>
          <w:color w:val="000000"/>
        </w:rPr>
        <w:t>,</w:t>
      </w:r>
      <w:r w:rsidR="00862F17" w:rsidRPr="00E13E45">
        <w:rPr>
          <w:color w:val="000000"/>
        </w:rPr>
        <w:t xml:space="preserve"> </w:t>
      </w:r>
      <w:r w:rsidR="00167496">
        <w:rPr>
          <w:color w:val="000000"/>
        </w:rPr>
        <w:t xml:space="preserve">Vol. </w:t>
      </w:r>
      <w:r w:rsidR="00862F17" w:rsidRPr="00E13E45">
        <w:rPr>
          <w:color w:val="000000"/>
        </w:rPr>
        <w:t>44</w:t>
      </w:r>
      <w:r w:rsidR="00167496">
        <w:rPr>
          <w:color w:val="000000"/>
        </w:rPr>
        <w:t>, pp.</w:t>
      </w:r>
      <w:r w:rsidRPr="00E13E45">
        <w:rPr>
          <w:color w:val="000000"/>
        </w:rPr>
        <w:t xml:space="preserve">74-80. </w:t>
      </w:r>
      <w:r w:rsidR="00167496">
        <w:rPr>
          <w:color w:val="000000"/>
        </w:rPr>
        <w:t>DOI</w:t>
      </w:r>
      <w:r w:rsidR="00A84827" w:rsidRPr="00E13E45">
        <w:rPr>
          <w:color w:val="000000"/>
        </w:rPr>
        <w:t xml:space="preserve">: </w:t>
      </w:r>
      <w:hyperlink r:id="rId20" w:history="1">
        <w:r w:rsidR="00167496" w:rsidRPr="00C92A74">
          <w:rPr>
            <w:rStyle w:val="Hyperlink"/>
          </w:rPr>
          <w:t>https://doi.org/10.1016/j.pedn.2018.10.020</w:t>
        </w:r>
      </w:hyperlink>
      <w:r w:rsidR="00167496">
        <w:rPr>
          <w:color w:val="000000"/>
        </w:rPr>
        <w:t xml:space="preserve"> </w:t>
      </w:r>
    </w:p>
    <w:p w14:paraId="25F86793" w14:textId="7F8A6F46" w:rsidR="00851C48" w:rsidRPr="00E13E45" w:rsidRDefault="00851C48" w:rsidP="00D43A10">
      <w:pPr>
        <w:spacing w:line="480" w:lineRule="auto"/>
        <w:ind w:left="720" w:hanging="720"/>
        <w:rPr>
          <w:iCs/>
        </w:rPr>
      </w:pPr>
      <w:r w:rsidRPr="00E13E45">
        <w:rPr>
          <w:iCs/>
        </w:rPr>
        <w:t xml:space="preserve">Shah, R. </w:t>
      </w:r>
      <w:proofErr w:type="spellStart"/>
      <w:r w:rsidRPr="00E13E45">
        <w:rPr>
          <w:iCs/>
        </w:rPr>
        <w:t>Hagell</w:t>
      </w:r>
      <w:proofErr w:type="spellEnd"/>
      <w:r w:rsidR="00EB7BBD" w:rsidRPr="00E13E45">
        <w:rPr>
          <w:iCs/>
        </w:rPr>
        <w:t>, A. and</w:t>
      </w:r>
      <w:r w:rsidRPr="00E13E45">
        <w:rPr>
          <w:iCs/>
        </w:rPr>
        <w:t xml:space="preserve"> Cheung</w:t>
      </w:r>
      <w:r w:rsidR="00EB7BBD" w:rsidRPr="00E13E45">
        <w:rPr>
          <w:iCs/>
        </w:rPr>
        <w:t xml:space="preserve">, R. </w:t>
      </w:r>
      <w:r w:rsidR="009E1D2B">
        <w:rPr>
          <w:iCs/>
        </w:rPr>
        <w:t>(</w:t>
      </w:r>
      <w:r w:rsidR="00EB7BBD" w:rsidRPr="00E13E45">
        <w:rPr>
          <w:iCs/>
        </w:rPr>
        <w:t>2019</w:t>
      </w:r>
      <w:r w:rsidR="009E1D2B">
        <w:rPr>
          <w:iCs/>
        </w:rPr>
        <w:t>),</w:t>
      </w:r>
      <w:r w:rsidRPr="00E13E45">
        <w:rPr>
          <w:iCs/>
        </w:rPr>
        <w:t xml:space="preserve"> </w:t>
      </w:r>
      <w:r w:rsidRPr="00E13E45">
        <w:rPr>
          <w:i/>
          <w:iCs/>
        </w:rPr>
        <w:t xml:space="preserve">International </w:t>
      </w:r>
      <w:r w:rsidR="00CF66E5">
        <w:rPr>
          <w:i/>
          <w:iCs/>
        </w:rPr>
        <w:t>C</w:t>
      </w:r>
      <w:r w:rsidRPr="00E13E45">
        <w:rPr>
          <w:i/>
          <w:iCs/>
        </w:rPr>
        <w:t xml:space="preserve">omparisons of </w:t>
      </w:r>
      <w:r w:rsidR="00CF66E5">
        <w:rPr>
          <w:i/>
          <w:iCs/>
        </w:rPr>
        <w:t>H</w:t>
      </w:r>
      <w:r w:rsidRPr="00E13E45">
        <w:rPr>
          <w:i/>
          <w:iCs/>
        </w:rPr>
        <w:t xml:space="preserve">ealth and </w:t>
      </w:r>
      <w:r w:rsidR="00CF66E5">
        <w:rPr>
          <w:i/>
          <w:iCs/>
        </w:rPr>
        <w:t>W</w:t>
      </w:r>
      <w:r w:rsidRPr="00E13E45">
        <w:rPr>
          <w:i/>
          <w:iCs/>
        </w:rPr>
        <w:t xml:space="preserve">ellbeing in </w:t>
      </w:r>
      <w:r w:rsidR="00CF66E5">
        <w:rPr>
          <w:i/>
          <w:iCs/>
        </w:rPr>
        <w:t>A</w:t>
      </w:r>
      <w:r w:rsidRPr="00E13E45">
        <w:rPr>
          <w:i/>
          <w:iCs/>
        </w:rPr>
        <w:t xml:space="preserve">dolescence and </w:t>
      </w:r>
      <w:r w:rsidR="00CF66E5">
        <w:rPr>
          <w:i/>
          <w:iCs/>
        </w:rPr>
        <w:t>E</w:t>
      </w:r>
      <w:r w:rsidRPr="00E13E45">
        <w:rPr>
          <w:i/>
          <w:iCs/>
        </w:rPr>
        <w:t xml:space="preserve">arly </w:t>
      </w:r>
      <w:r w:rsidR="00CF66E5">
        <w:rPr>
          <w:i/>
          <w:iCs/>
        </w:rPr>
        <w:t>A</w:t>
      </w:r>
      <w:r w:rsidRPr="00E13E45">
        <w:rPr>
          <w:i/>
          <w:iCs/>
        </w:rPr>
        <w:t>dulthood</w:t>
      </w:r>
      <w:r w:rsidR="009E1D2B">
        <w:rPr>
          <w:iCs/>
        </w:rPr>
        <w:t>,</w:t>
      </w:r>
      <w:r w:rsidR="00EB7BBD" w:rsidRPr="00E13E45">
        <w:rPr>
          <w:iCs/>
        </w:rPr>
        <w:t xml:space="preserve"> </w:t>
      </w:r>
      <w:r w:rsidRPr="00E13E45">
        <w:rPr>
          <w:iCs/>
        </w:rPr>
        <w:t>Nuffield Trust in association with the Assoc</w:t>
      </w:r>
      <w:r w:rsidR="00EB7BBD" w:rsidRPr="00E13E45">
        <w:rPr>
          <w:iCs/>
        </w:rPr>
        <w:t>iation of Young People’s Health</w:t>
      </w:r>
      <w:r w:rsidR="009E1D2B">
        <w:rPr>
          <w:iCs/>
        </w:rPr>
        <w:t>: London.</w:t>
      </w:r>
    </w:p>
    <w:p w14:paraId="073D0692" w14:textId="4D6F986C" w:rsidR="00851C48" w:rsidRDefault="00851C48" w:rsidP="00D43A10">
      <w:pPr>
        <w:spacing w:line="480" w:lineRule="auto"/>
        <w:ind w:left="720" w:hanging="720"/>
      </w:pPr>
      <w:r w:rsidRPr="00E13E45">
        <w:t>Sheridan, K. Salmon,</w:t>
      </w:r>
      <w:r w:rsidR="00A84827" w:rsidRPr="00E13E45">
        <w:t xml:space="preserve"> N</w:t>
      </w:r>
      <w:r w:rsidR="00167496">
        <w:t>.</w:t>
      </w:r>
      <w:r w:rsidR="00A84827" w:rsidRPr="00E13E45">
        <w:t xml:space="preserve"> and O’Connell, N. </w:t>
      </w:r>
      <w:r w:rsidR="00167496">
        <w:t>(</w:t>
      </w:r>
      <w:r w:rsidR="00A84827" w:rsidRPr="00E13E45">
        <w:t>2016</w:t>
      </w:r>
      <w:r w:rsidR="00167496">
        <w:t>),</w:t>
      </w:r>
      <w:r w:rsidRPr="00E13E45">
        <w:t xml:space="preserve"> </w:t>
      </w:r>
      <w:r w:rsidR="00A84827" w:rsidRPr="00E13E45">
        <w:t>“</w:t>
      </w:r>
      <w:r w:rsidRPr="00E13E45">
        <w:t>Experiences of</w:t>
      </w:r>
      <w:r w:rsidR="00E30CFF">
        <w:t xml:space="preserve"> U</w:t>
      </w:r>
      <w:r w:rsidRPr="00E13E45">
        <w:t xml:space="preserve">niversity </w:t>
      </w:r>
      <w:r w:rsidR="00E30CFF">
        <w:t>S</w:t>
      </w:r>
      <w:r w:rsidRPr="00E13E45">
        <w:t xml:space="preserve">tudents </w:t>
      </w:r>
      <w:r w:rsidR="00E30CFF">
        <w:t>D</w:t>
      </w:r>
      <w:r w:rsidRPr="00E13E45">
        <w:t xml:space="preserve">isclosing </w:t>
      </w:r>
      <w:r w:rsidR="00E30CFF">
        <w:t>E</w:t>
      </w:r>
      <w:r w:rsidRPr="00E13E45">
        <w:t xml:space="preserve">pilepsy to </w:t>
      </w:r>
      <w:r w:rsidR="00E30CFF">
        <w:t>P</w:t>
      </w:r>
      <w:r w:rsidRPr="00E13E45">
        <w:t xml:space="preserve">eers: ‘It’s a </w:t>
      </w:r>
      <w:r w:rsidR="00E30CFF">
        <w:t>S</w:t>
      </w:r>
      <w:r w:rsidRPr="00E13E45">
        <w:t xml:space="preserve">hared </w:t>
      </w:r>
      <w:r w:rsidR="00E30CFF">
        <w:t>T</w:t>
      </w:r>
      <w:r w:rsidRPr="00E13E45">
        <w:t xml:space="preserve">hing </w:t>
      </w:r>
      <w:r w:rsidR="00E30CFF">
        <w:t>N</w:t>
      </w:r>
      <w:r w:rsidRPr="00E13E45">
        <w:t>ow’</w:t>
      </w:r>
      <w:r w:rsidR="00A84827" w:rsidRPr="00E13E45">
        <w:t>”</w:t>
      </w:r>
      <w:r w:rsidR="00167496">
        <w:t>,</w:t>
      </w:r>
      <w:r w:rsidRPr="00E13E45">
        <w:t xml:space="preserve"> </w:t>
      </w:r>
      <w:r w:rsidRPr="00E13E45">
        <w:rPr>
          <w:i/>
        </w:rPr>
        <w:t>British Jour</w:t>
      </w:r>
      <w:r w:rsidR="00A84827" w:rsidRPr="00E13E45">
        <w:rPr>
          <w:i/>
        </w:rPr>
        <w:t>nal of Occupational Therapy</w:t>
      </w:r>
      <w:r w:rsidR="00167496">
        <w:rPr>
          <w:i/>
        </w:rPr>
        <w:t>,</w:t>
      </w:r>
      <w:r w:rsidR="00A84827" w:rsidRPr="00E13E45">
        <w:t xml:space="preserve"> </w:t>
      </w:r>
      <w:r w:rsidR="00167496">
        <w:t xml:space="preserve">Vol. </w:t>
      </w:r>
      <w:r w:rsidRPr="00E13E45">
        <w:t>79</w:t>
      </w:r>
      <w:r w:rsidR="00A84827" w:rsidRPr="00E13E45">
        <w:t xml:space="preserve"> </w:t>
      </w:r>
      <w:r w:rsidR="00167496">
        <w:t xml:space="preserve">No. </w:t>
      </w:r>
      <w:r w:rsidRPr="00E13E45">
        <w:t>8</w:t>
      </w:r>
      <w:r w:rsidR="00167496">
        <w:t>, pp.</w:t>
      </w:r>
      <w:r w:rsidRPr="00E13E45">
        <w:t>484–491</w:t>
      </w:r>
      <w:r w:rsidR="00A84827" w:rsidRPr="00E13E45">
        <w:t>.</w:t>
      </w:r>
      <w:r w:rsidR="005C293A" w:rsidRPr="00E13E45">
        <w:t xml:space="preserve"> </w:t>
      </w:r>
      <w:r w:rsidR="00167496">
        <w:t>DOI</w:t>
      </w:r>
      <w:r w:rsidR="005C293A" w:rsidRPr="00E13E45">
        <w:t xml:space="preserve">: </w:t>
      </w:r>
      <w:hyperlink r:id="rId21" w:history="1">
        <w:r w:rsidR="005C293A" w:rsidRPr="00E13E45">
          <w:rPr>
            <w:rStyle w:val="Hyperlink"/>
          </w:rPr>
          <w:t>https://doi.org/10.1177%2F0308022616638672</w:t>
        </w:r>
      </w:hyperlink>
      <w:r w:rsidR="005C293A" w:rsidRPr="00E13E45">
        <w:t xml:space="preserve"> </w:t>
      </w:r>
    </w:p>
    <w:p w14:paraId="4D374498" w14:textId="5DDD2450" w:rsidR="005E348A" w:rsidRPr="0078178C" w:rsidRDefault="005E348A" w:rsidP="00D43A10">
      <w:pPr>
        <w:spacing w:line="480" w:lineRule="auto"/>
        <w:ind w:left="720" w:hanging="720"/>
      </w:pPr>
      <w:r>
        <w:t>Spencer, G. &amp; Almack, K. (2022). “Shifting narratives of the Self</w:t>
      </w:r>
      <w:r w:rsidR="0078178C">
        <w:t xml:space="preserve"> – Students’ Experiences of Chronicity and Multiplicity in the Management of Chronic Illness at University”, </w:t>
      </w:r>
      <w:r w:rsidR="0078178C">
        <w:rPr>
          <w:i/>
        </w:rPr>
        <w:t xml:space="preserve">Sociological Research Online. </w:t>
      </w:r>
      <w:r w:rsidR="0078178C">
        <w:t xml:space="preserve">DOI: </w:t>
      </w:r>
      <w:hyperlink r:id="rId22" w:history="1">
        <w:r w:rsidR="0078178C">
          <w:rPr>
            <w:rStyle w:val="Hyperlink"/>
          </w:rPr>
          <w:t>https://doi.org/10.1177/13607804221078028</w:t>
        </w:r>
      </w:hyperlink>
      <w:r w:rsidR="0078178C">
        <w:t xml:space="preserve"> </w:t>
      </w:r>
    </w:p>
    <w:p w14:paraId="7E17AAE4" w14:textId="42ED8637" w:rsidR="00DE141D" w:rsidRPr="00E13E45" w:rsidRDefault="00851C48" w:rsidP="00D43A10">
      <w:pPr>
        <w:spacing w:line="480" w:lineRule="auto"/>
        <w:ind w:left="720" w:hanging="720"/>
      </w:pPr>
      <w:r w:rsidRPr="00E13E45">
        <w:t>Spencer, G. Lewi</w:t>
      </w:r>
      <w:r w:rsidR="004839AD" w:rsidRPr="00E13E45">
        <w:t xml:space="preserve">s, S. and Reid, M. </w:t>
      </w:r>
      <w:r w:rsidR="00167496">
        <w:t>(</w:t>
      </w:r>
      <w:r w:rsidR="004839AD" w:rsidRPr="00E13E45">
        <w:t>2018</w:t>
      </w:r>
      <w:r w:rsidR="00167496">
        <w:t>),</w:t>
      </w:r>
      <w:r w:rsidRPr="00E13E45">
        <w:t xml:space="preserve"> </w:t>
      </w:r>
      <w:r w:rsidR="004839AD" w:rsidRPr="00E13E45">
        <w:t>“</w:t>
      </w:r>
      <w:r w:rsidRPr="00E13E45">
        <w:t xml:space="preserve">Living </w:t>
      </w:r>
      <w:proofErr w:type="gramStart"/>
      <w:r w:rsidR="00E30CFF">
        <w:t>W</w:t>
      </w:r>
      <w:r w:rsidRPr="00E13E45">
        <w:t>ith</w:t>
      </w:r>
      <w:proofErr w:type="gramEnd"/>
      <w:r w:rsidRPr="00E13E45">
        <w:t xml:space="preserve"> </w:t>
      </w:r>
      <w:r w:rsidR="00E30CFF">
        <w:t>A</w:t>
      </w:r>
      <w:r w:rsidRPr="00E13E45">
        <w:t xml:space="preserve"> </w:t>
      </w:r>
      <w:r w:rsidR="00E30CFF">
        <w:t>C</w:t>
      </w:r>
      <w:r w:rsidRPr="00E13E45">
        <w:t xml:space="preserve">hronic </w:t>
      </w:r>
      <w:r w:rsidR="00E30CFF">
        <w:t>H</w:t>
      </w:r>
      <w:r w:rsidRPr="00E13E45">
        <w:t xml:space="preserve">ealth </w:t>
      </w:r>
      <w:r w:rsidR="00E30CFF">
        <w:t>C</w:t>
      </w:r>
      <w:r w:rsidRPr="00E13E45">
        <w:t xml:space="preserve">ondition: Students’ </w:t>
      </w:r>
      <w:r w:rsidR="00E30CFF">
        <w:t>H</w:t>
      </w:r>
      <w:r w:rsidRPr="00E13E45">
        <w:t xml:space="preserve">ealth </w:t>
      </w:r>
      <w:r w:rsidR="00E30CFF">
        <w:t>N</w:t>
      </w:r>
      <w:r w:rsidRPr="00E13E45">
        <w:t xml:space="preserve">arratives </w:t>
      </w:r>
      <w:r w:rsidR="00E30CFF">
        <w:t>A</w:t>
      </w:r>
      <w:r w:rsidRPr="00E13E45">
        <w:t xml:space="preserve">nd </w:t>
      </w:r>
      <w:r w:rsidR="00E30CFF">
        <w:t>N</w:t>
      </w:r>
      <w:r w:rsidRPr="00E13E45">
        <w:t xml:space="preserve">egotiations </w:t>
      </w:r>
      <w:r w:rsidR="00E30CFF">
        <w:t>O</w:t>
      </w:r>
      <w:r w:rsidRPr="00E13E45">
        <w:t>f (</w:t>
      </w:r>
      <w:r w:rsidR="00E30CFF">
        <w:t>I</w:t>
      </w:r>
      <w:r w:rsidRPr="00E13E45">
        <w:t xml:space="preserve">ll) </w:t>
      </w:r>
      <w:r w:rsidR="00E30CFF">
        <w:t>H</w:t>
      </w:r>
      <w:r w:rsidRPr="00E13E45">
        <w:t xml:space="preserve">ealth </w:t>
      </w:r>
      <w:r w:rsidR="00E30CFF">
        <w:t>A</w:t>
      </w:r>
      <w:r w:rsidRPr="00E13E45">
        <w:t xml:space="preserve">t </w:t>
      </w:r>
      <w:r w:rsidR="00E30CFF">
        <w:t>U</w:t>
      </w:r>
      <w:r w:rsidRPr="00E13E45">
        <w:t>niversity</w:t>
      </w:r>
      <w:r w:rsidR="004839AD" w:rsidRPr="00E13E45">
        <w:t>”</w:t>
      </w:r>
      <w:r w:rsidR="00167496">
        <w:t>,</w:t>
      </w:r>
      <w:r w:rsidRPr="00E13E45">
        <w:t xml:space="preserve"> </w:t>
      </w:r>
      <w:r w:rsidRPr="00E13E45">
        <w:rPr>
          <w:i/>
        </w:rPr>
        <w:t>Health Education Journal</w:t>
      </w:r>
      <w:r w:rsidR="00167496">
        <w:rPr>
          <w:i/>
        </w:rPr>
        <w:t>,</w:t>
      </w:r>
      <w:r w:rsidRPr="00E13E45">
        <w:t xml:space="preserve"> </w:t>
      </w:r>
      <w:r w:rsidR="00167496">
        <w:t xml:space="preserve">Vol. </w:t>
      </w:r>
      <w:r w:rsidRPr="00E13E45">
        <w:t>77</w:t>
      </w:r>
      <w:r w:rsidR="004839AD" w:rsidRPr="00E13E45">
        <w:t xml:space="preserve"> </w:t>
      </w:r>
      <w:r w:rsidR="00167496">
        <w:t xml:space="preserve">No. </w:t>
      </w:r>
      <w:r w:rsidRPr="00E13E45">
        <w:t>6</w:t>
      </w:r>
      <w:r w:rsidR="00167496">
        <w:t>, pp.</w:t>
      </w:r>
      <w:r w:rsidR="004839AD" w:rsidRPr="00E13E45">
        <w:t>631</w:t>
      </w:r>
      <w:r w:rsidRPr="00E13E45">
        <w:t>–643</w:t>
      </w:r>
      <w:r w:rsidR="004839AD" w:rsidRPr="00E13E45">
        <w:t xml:space="preserve">. </w:t>
      </w:r>
      <w:r w:rsidR="00167496">
        <w:t>DOI</w:t>
      </w:r>
      <w:r w:rsidR="004839AD" w:rsidRPr="00E13E45">
        <w:t xml:space="preserve">: </w:t>
      </w:r>
      <w:hyperlink r:id="rId23" w:history="1">
        <w:r w:rsidR="004839AD" w:rsidRPr="00E13E45">
          <w:rPr>
            <w:rStyle w:val="Hyperlink"/>
          </w:rPr>
          <w:t>https://doi.org/10.1177%2F0017896917738120</w:t>
        </w:r>
      </w:hyperlink>
      <w:r w:rsidR="004839AD" w:rsidRPr="00E13E45">
        <w:t xml:space="preserve"> </w:t>
      </w:r>
    </w:p>
    <w:p w14:paraId="391A5E5B" w14:textId="74C65146" w:rsidR="00037082" w:rsidRPr="00E13E45" w:rsidRDefault="004839AD" w:rsidP="00D43A10">
      <w:pPr>
        <w:spacing w:line="480" w:lineRule="auto"/>
        <w:ind w:left="720" w:hanging="720"/>
        <w:rPr>
          <w:color w:val="000000"/>
        </w:rPr>
      </w:pPr>
      <w:r w:rsidRPr="00E13E45">
        <w:rPr>
          <w:color w:val="000000"/>
        </w:rPr>
        <w:lastRenderedPageBreak/>
        <w:t xml:space="preserve">Spencer, G. Lewis, S. and Reid, M. </w:t>
      </w:r>
      <w:r w:rsidR="00167496">
        <w:rPr>
          <w:color w:val="000000"/>
        </w:rPr>
        <w:t>(</w:t>
      </w:r>
      <w:r w:rsidRPr="00E13E45">
        <w:rPr>
          <w:color w:val="000000"/>
        </w:rPr>
        <w:t>2019</w:t>
      </w:r>
      <w:r w:rsidR="00167496">
        <w:rPr>
          <w:color w:val="000000"/>
        </w:rPr>
        <w:t>),</w:t>
      </w:r>
      <w:r w:rsidR="00037082" w:rsidRPr="00E13E45">
        <w:rPr>
          <w:color w:val="000000"/>
        </w:rPr>
        <w:t xml:space="preserve"> </w:t>
      </w:r>
      <w:r w:rsidR="00BE3CA5" w:rsidRPr="00E13E45">
        <w:rPr>
          <w:color w:val="000000"/>
        </w:rPr>
        <w:t>“</w:t>
      </w:r>
      <w:r w:rsidR="00037082" w:rsidRPr="00E13E45">
        <w:rPr>
          <w:color w:val="000000"/>
        </w:rPr>
        <w:t xml:space="preserve">The </w:t>
      </w:r>
      <w:r w:rsidR="00E30CFF">
        <w:rPr>
          <w:color w:val="000000"/>
        </w:rPr>
        <w:t>A</w:t>
      </w:r>
      <w:r w:rsidR="00037082" w:rsidRPr="00E13E45">
        <w:rPr>
          <w:color w:val="000000"/>
        </w:rPr>
        <w:t xml:space="preserve">gentic Self </w:t>
      </w:r>
      <w:r w:rsidR="00E30CFF">
        <w:rPr>
          <w:color w:val="000000"/>
        </w:rPr>
        <w:t>and</w:t>
      </w:r>
      <w:r w:rsidR="00037082" w:rsidRPr="00E13E45">
        <w:rPr>
          <w:color w:val="000000"/>
        </w:rPr>
        <w:t xml:space="preserve"> </w:t>
      </w:r>
      <w:r w:rsidR="00E30CFF">
        <w:rPr>
          <w:color w:val="000000"/>
        </w:rPr>
        <w:t>U</w:t>
      </w:r>
      <w:r w:rsidR="00037082" w:rsidRPr="00E13E45">
        <w:rPr>
          <w:color w:val="000000"/>
        </w:rPr>
        <w:t xml:space="preserve">ncontrollable </w:t>
      </w:r>
      <w:r w:rsidR="00E30CFF">
        <w:rPr>
          <w:color w:val="000000"/>
        </w:rPr>
        <w:t>B</w:t>
      </w:r>
      <w:r w:rsidR="00037082" w:rsidRPr="00E13E45">
        <w:rPr>
          <w:color w:val="000000"/>
        </w:rPr>
        <w:t xml:space="preserve">ody: Young </w:t>
      </w:r>
      <w:r w:rsidR="00E30CFF">
        <w:rPr>
          <w:color w:val="000000"/>
        </w:rPr>
        <w:t>P</w:t>
      </w:r>
      <w:r w:rsidR="00037082" w:rsidRPr="00E13E45">
        <w:rPr>
          <w:color w:val="000000"/>
        </w:rPr>
        <w:t xml:space="preserve">eople’s </w:t>
      </w:r>
      <w:r w:rsidR="00E30CFF">
        <w:rPr>
          <w:color w:val="000000"/>
        </w:rPr>
        <w:t>M</w:t>
      </w:r>
      <w:r w:rsidR="00037082" w:rsidRPr="00E13E45">
        <w:rPr>
          <w:color w:val="000000"/>
        </w:rPr>
        <w:t xml:space="preserve">anagement </w:t>
      </w:r>
      <w:r w:rsidR="00E30CFF">
        <w:rPr>
          <w:color w:val="000000"/>
        </w:rPr>
        <w:t>of</w:t>
      </w:r>
      <w:r w:rsidR="00037082" w:rsidRPr="00E13E45">
        <w:rPr>
          <w:color w:val="000000"/>
        </w:rPr>
        <w:t xml:space="preserve"> </w:t>
      </w:r>
      <w:r w:rsidR="00E30CFF">
        <w:rPr>
          <w:color w:val="000000"/>
        </w:rPr>
        <w:t>C</w:t>
      </w:r>
      <w:r w:rsidR="00037082" w:rsidRPr="00E13E45">
        <w:rPr>
          <w:color w:val="000000"/>
        </w:rPr>
        <w:t xml:space="preserve">hronic </w:t>
      </w:r>
      <w:r w:rsidR="00E30CFF">
        <w:rPr>
          <w:color w:val="000000"/>
        </w:rPr>
        <w:t>I</w:t>
      </w:r>
      <w:r w:rsidR="00037082" w:rsidRPr="00E13E45">
        <w:rPr>
          <w:color w:val="000000"/>
        </w:rPr>
        <w:t xml:space="preserve">llness </w:t>
      </w:r>
      <w:r w:rsidR="00E30CFF">
        <w:rPr>
          <w:color w:val="000000"/>
        </w:rPr>
        <w:t>a</w:t>
      </w:r>
      <w:r w:rsidR="00037082" w:rsidRPr="00E13E45">
        <w:rPr>
          <w:color w:val="000000"/>
        </w:rPr>
        <w:t xml:space="preserve">t </w:t>
      </w:r>
      <w:r w:rsidR="00E30CFF">
        <w:rPr>
          <w:color w:val="000000"/>
        </w:rPr>
        <w:t>U</w:t>
      </w:r>
      <w:r w:rsidR="00037082" w:rsidRPr="00E13E45">
        <w:rPr>
          <w:color w:val="000000"/>
        </w:rPr>
        <w:t>niversity</w:t>
      </w:r>
      <w:r w:rsidR="00BE3CA5" w:rsidRPr="00E13E45">
        <w:rPr>
          <w:color w:val="000000"/>
        </w:rPr>
        <w:t>”</w:t>
      </w:r>
      <w:r w:rsidR="00167496">
        <w:rPr>
          <w:color w:val="000000"/>
        </w:rPr>
        <w:t>,</w:t>
      </w:r>
      <w:r w:rsidR="00037082" w:rsidRPr="00E13E45">
        <w:rPr>
          <w:color w:val="000000"/>
        </w:rPr>
        <w:t xml:space="preserve"> </w:t>
      </w:r>
      <w:r w:rsidR="00037082" w:rsidRPr="00E13E45">
        <w:rPr>
          <w:i/>
          <w:iCs/>
          <w:color w:val="000000"/>
        </w:rPr>
        <w:t>Health</w:t>
      </w:r>
      <w:r w:rsidR="00F74937">
        <w:rPr>
          <w:color w:val="000000"/>
        </w:rPr>
        <w:t>, Vol. 25 No. 3, pp.357-375.</w:t>
      </w:r>
      <w:r w:rsidR="00037082" w:rsidRPr="00E13E45">
        <w:rPr>
          <w:color w:val="000000"/>
        </w:rPr>
        <w:t xml:space="preserve"> </w:t>
      </w:r>
      <w:r w:rsidR="00167496">
        <w:rPr>
          <w:color w:val="000000"/>
        </w:rPr>
        <w:t>DOI</w:t>
      </w:r>
      <w:r w:rsidR="00BE3CA5" w:rsidRPr="00E13E45">
        <w:rPr>
          <w:color w:val="000000"/>
        </w:rPr>
        <w:t xml:space="preserve">: </w:t>
      </w:r>
      <w:hyperlink r:id="rId24" w:history="1">
        <w:r w:rsidR="00037082" w:rsidRPr="00E13E45">
          <w:rPr>
            <w:rStyle w:val="Hyperlink"/>
          </w:rPr>
          <w:t>https://doi.org/10.1177/1363459319889088</w:t>
        </w:r>
      </w:hyperlink>
    </w:p>
    <w:p w14:paraId="51009188" w14:textId="228C260B" w:rsidR="00851C48" w:rsidRPr="00E13E45" w:rsidRDefault="00851C48" w:rsidP="003C6824">
      <w:pPr>
        <w:spacing w:line="480" w:lineRule="auto"/>
        <w:ind w:left="720" w:hanging="720"/>
      </w:pPr>
      <w:r w:rsidRPr="00E13E45">
        <w:t>Thompson-</w:t>
      </w:r>
      <w:proofErr w:type="spellStart"/>
      <w:r w:rsidRPr="00E13E45">
        <w:t>Ebanks</w:t>
      </w:r>
      <w:proofErr w:type="spellEnd"/>
      <w:r w:rsidRPr="00E13E45">
        <w:t xml:space="preserve">, </w:t>
      </w:r>
      <w:r w:rsidR="00EF1BD2" w:rsidRPr="00E13E45">
        <w:t>V. and</w:t>
      </w:r>
      <w:r w:rsidRPr="00E13E45">
        <w:t xml:space="preserve"> </w:t>
      </w:r>
      <w:proofErr w:type="spellStart"/>
      <w:r w:rsidRPr="00E13E45">
        <w:t>Jarman</w:t>
      </w:r>
      <w:proofErr w:type="spellEnd"/>
      <w:r w:rsidRPr="00E13E45">
        <w:t xml:space="preserve">, </w:t>
      </w:r>
      <w:r w:rsidR="00EF1BD2" w:rsidRPr="00E13E45">
        <w:t xml:space="preserve">M. </w:t>
      </w:r>
      <w:r w:rsidR="005075E1">
        <w:t>(</w:t>
      </w:r>
      <w:r w:rsidR="00EF1BD2" w:rsidRPr="00E13E45">
        <w:t>2018</w:t>
      </w:r>
      <w:r w:rsidR="005075E1">
        <w:t>),</w:t>
      </w:r>
      <w:r w:rsidRPr="00E13E45">
        <w:t xml:space="preserve"> </w:t>
      </w:r>
      <w:r w:rsidR="00EF1BD2" w:rsidRPr="00E13E45">
        <w:t>“</w:t>
      </w:r>
      <w:r w:rsidRPr="00E13E45">
        <w:t>Undergraduate Students with Nonapparent Disabilities Identify Factors that Contribute to Disclosure Decisions</w:t>
      </w:r>
      <w:r w:rsidR="00EF1BD2" w:rsidRPr="00E13E45">
        <w:t>”</w:t>
      </w:r>
      <w:r w:rsidR="005075E1">
        <w:t>,</w:t>
      </w:r>
      <w:r w:rsidR="003C6824" w:rsidRPr="00E13E45">
        <w:t xml:space="preserve"> </w:t>
      </w:r>
      <w:r w:rsidRPr="00E13E45">
        <w:rPr>
          <w:i/>
        </w:rPr>
        <w:t>International Journal of Disability, Development, and Education</w:t>
      </w:r>
      <w:r w:rsidR="005075E1">
        <w:rPr>
          <w:i/>
        </w:rPr>
        <w:t>,</w:t>
      </w:r>
      <w:r w:rsidR="00EF1BD2" w:rsidRPr="00E13E45">
        <w:t xml:space="preserve"> </w:t>
      </w:r>
      <w:r w:rsidR="005075E1">
        <w:t xml:space="preserve">Vol. </w:t>
      </w:r>
      <w:r w:rsidR="00EF1BD2" w:rsidRPr="00E13E45">
        <w:t xml:space="preserve">65 </w:t>
      </w:r>
      <w:r w:rsidR="005075E1">
        <w:t xml:space="preserve">No. </w:t>
      </w:r>
      <w:r w:rsidR="00EF1BD2" w:rsidRPr="00E13E45">
        <w:t>3</w:t>
      </w:r>
      <w:r w:rsidR="005075E1">
        <w:t>, pp.</w:t>
      </w:r>
      <w:r w:rsidR="00EF1BD2" w:rsidRPr="00E13E45">
        <w:t xml:space="preserve">286-303. </w:t>
      </w:r>
      <w:r w:rsidR="005075E1">
        <w:t>DOI</w:t>
      </w:r>
      <w:r w:rsidRPr="00E13E45">
        <w:t>:10.1080/1034912X.2017.1380174</w:t>
      </w:r>
      <w:r w:rsidR="00EF1BD2" w:rsidRPr="00E13E45">
        <w:t>.</w:t>
      </w:r>
    </w:p>
    <w:p w14:paraId="42669198" w14:textId="78485636" w:rsidR="00851C48" w:rsidRPr="00E13E45" w:rsidRDefault="00851C48" w:rsidP="00D43A10">
      <w:pPr>
        <w:spacing w:line="480" w:lineRule="auto"/>
        <w:ind w:left="720" w:hanging="720"/>
      </w:pPr>
      <w:proofErr w:type="spellStart"/>
      <w:r w:rsidRPr="00E13E45">
        <w:t>Tunnicliffe</w:t>
      </w:r>
      <w:proofErr w:type="spellEnd"/>
      <w:r w:rsidR="00EF1BD2" w:rsidRPr="00E13E45">
        <w:t>,</w:t>
      </w:r>
      <w:r w:rsidRPr="00E13E45">
        <w:t xml:space="preserve"> D</w:t>
      </w:r>
      <w:r w:rsidR="00EF1BD2" w:rsidRPr="00E13E45">
        <w:t>.</w:t>
      </w:r>
      <w:r w:rsidRPr="00E13E45">
        <w:t>J</w:t>
      </w:r>
      <w:r w:rsidR="00EF1BD2" w:rsidRPr="00E13E45">
        <w:t>.</w:t>
      </w:r>
      <w:r w:rsidRPr="00E13E45">
        <w:t xml:space="preserve"> Singh-Grewal</w:t>
      </w:r>
      <w:r w:rsidR="00EF1BD2" w:rsidRPr="00E13E45">
        <w:t>,</w:t>
      </w:r>
      <w:r w:rsidRPr="00E13E45">
        <w:t xml:space="preserve"> D</w:t>
      </w:r>
      <w:r w:rsidR="00EF1BD2" w:rsidRPr="00E13E45">
        <w:t>.</w:t>
      </w:r>
      <w:r w:rsidRPr="00E13E45">
        <w:t xml:space="preserve"> </w:t>
      </w:r>
      <w:proofErr w:type="spellStart"/>
      <w:r w:rsidRPr="00E13E45">
        <w:t>Chaitow</w:t>
      </w:r>
      <w:proofErr w:type="spellEnd"/>
      <w:r w:rsidR="00EF1BD2" w:rsidRPr="00E13E45">
        <w:t>,</w:t>
      </w:r>
      <w:r w:rsidRPr="00E13E45">
        <w:t xml:space="preserve"> J</w:t>
      </w:r>
      <w:r w:rsidR="00EF1BD2" w:rsidRPr="00E13E45">
        <w:t>.</w:t>
      </w:r>
      <w:r w:rsidRPr="00E13E45">
        <w:t xml:space="preserve"> </w:t>
      </w:r>
      <w:r w:rsidR="00EF1BD2" w:rsidRPr="00E13E45">
        <w:t xml:space="preserve">Mackie, F. Manolios, N. Lin, M. </w:t>
      </w:r>
      <w:proofErr w:type="spellStart"/>
      <w:r w:rsidR="00EF1BD2" w:rsidRPr="00E13E45">
        <w:t>O’neill</w:t>
      </w:r>
      <w:proofErr w:type="spellEnd"/>
      <w:r w:rsidR="00EF1BD2" w:rsidRPr="00E13E45">
        <w:t xml:space="preserve">, S.G. </w:t>
      </w:r>
      <w:r w:rsidRPr="005075E1">
        <w:rPr>
          <w:i/>
          <w:iCs/>
        </w:rPr>
        <w:t>et al.</w:t>
      </w:r>
      <w:r w:rsidRPr="00E13E45">
        <w:t xml:space="preserve"> </w:t>
      </w:r>
      <w:r w:rsidR="005075E1">
        <w:t>(</w:t>
      </w:r>
      <w:r w:rsidR="00EF1BD2" w:rsidRPr="00E13E45">
        <w:t>2016</w:t>
      </w:r>
      <w:r w:rsidR="005075E1">
        <w:t>),</w:t>
      </w:r>
      <w:r w:rsidR="00EF1BD2" w:rsidRPr="00E13E45">
        <w:t xml:space="preserve"> “</w:t>
      </w:r>
      <w:r w:rsidRPr="00E13E45">
        <w:t xml:space="preserve">Lupus </w:t>
      </w:r>
      <w:r w:rsidR="00E30CFF">
        <w:t>M</w:t>
      </w:r>
      <w:r w:rsidRPr="00E13E45">
        <w:t xml:space="preserve">eans </w:t>
      </w:r>
      <w:r w:rsidR="00E30CFF">
        <w:t>S</w:t>
      </w:r>
      <w:r w:rsidRPr="00E13E45">
        <w:t xml:space="preserve">acrifices: Perspectives of </w:t>
      </w:r>
      <w:r w:rsidR="00E30CFF">
        <w:t>A</w:t>
      </w:r>
      <w:r w:rsidRPr="00E13E45">
        <w:t xml:space="preserve">dolescents and </w:t>
      </w:r>
      <w:r w:rsidR="00E30CFF">
        <w:t>Y</w:t>
      </w:r>
      <w:r w:rsidRPr="00E13E45">
        <w:t xml:space="preserve">oung </w:t>
      </w:r>
      <w:r w:rsidR="00E30CFF">
        <w:t>A</w:t>
      </w:r>
      <w:r w:rsidRPr="00E13E45">
        <w:t>dults with Systemic Lupus Erythematosus</w:t>
      </w:r>
      <w:r w:rsidR="00EF1BD2" w:rsidRPr="00E13E45">
        <w:t>”</w:t>
      </w:r>
      <w:r w:rsidR="005075E1">
        <w:t>,</w:t>
      </w:r>
      <w:r w:rsidRPr="00E13E45">
        <w:t xml:space="preserve"> </w:t>
      </w:r>
      <w:r w:rsidRPr="00E13E45">
        <w:rPr>
          <w:i/>
        </w:rPr>
        <w:t>Arthritis Care &amp; Research</w:t>
      </w:r>
      <w:r w:rsidR="005075E1">
        <w:rPr>
          <w:i/>
        </w:rPr>
        <w:t>,</w:t>
      </w:r>
      <w:r w:rsidRPr="00E13E45">
        <w:t xml:space="preserve"> </w:t>
      </w:r>
      <w:r w:rsidR="005075E1">
        <w:t xml:space="preserve">Vol. </w:t>
      </w:r>
      <w:r w:rsidRPr="00E13E45">
        <w:t>68</w:t>
      </w:r>
      <w:r w:rsidR="005075E1">
        <w:t>, pp.</w:t>
      </w:r>
      <w:r w:rsidRPr="00E13E45">
        <w:t>828-837.</w:t>
      </w:r>
      <w:r w:rsidR="00EF1BD2" w:rsidRPr="00E13E45">
        <w:t xml:space="preserve"> </w:t>
      </w:r>
      <w:r w:rsidR="005075E1">
        <w:t>DOI</w:t>
      </w:r>
      <w:r w:rsidR="00EF1BD2" w:rsidRPr="00E13E45">
        <w:t xml:space="preserve">: </w:t>
      </w:r>
      <w:hyperlink r:id="rId25" w:history="1">
        <w:r w:rsidR="00EF1BD2" w:rsidRPr="00E13E45">
          <w:rPr>
            <w:rStyle w:val="Hyperlink"/>
          </w:rPr>
          <w:t>https://doi.org/10.1002/acr.22749</w:t>
        </w:r>
      </w:hyperlink>
      <w:r w:rsidR="00EF1BD2" w:rsidRPr="00E13E45">
        <w:t xml:space="preserve"> </w:t>
      </w:r>
    </w:p>
    <w:p w14:paraId="2B90748B" w14:textId="61557C50" w:rsidR="00851C48" w:rsidRPr="00E13E45" w:rsidRDefault="00EB7BBD" w:rsidP="00D43A10">
      <w:pPr>
        <w:spacing w:line="480" w:lineRule="auto"/>
        <w:ind w:left="720" w:hanging="720"/>
        <w:rPr>
          <w:rStyle w:val="Hyperlink"/>
        </w:rPr>
      </w:pPr>
      <w:r w:rsidRPr="00E13E45">
        <w:rPr>
          <w:color w:val="000000"/>
        </w:rPr>
        <w:t xml:space="preserve">Universities UK. </w:t>
      </w:r>
      <w:r w:rsidR="002C3B86">
        <w:rPr>
          <w:color w:val="000000"/>
        </w:rPr>
        <w:t>(</w:t>
      </w:r>
      <w:r w:rsidRPr="00E13E45">
        <w:rPr>
          <w:color w:val="000000"/>
        </w:rPr>
        <w:t>2015</w:t>
      </w:r>
      <w:r w:rsidR="002C3B86">
        <w:rPr>
          <w:color w:val="000000"/>
        </w:rPr>
        <w:t>),</w:t>
      </w:r>
      <w:r w:rsidR="00851C48" w:rsidRPr="00E13E45">
        <w:rPr>
          <w:color w:val="000000"/>
        </w:rPr>
        <w:t xml:space="preserve"> </w:t>
      </w:r>
      <w:r w:rsidR="00851C48" w:rsidRPr="00E13E45">
        <w:rPr>
          <w:i/>
          <w:color w:val="000000"/>
        </w:rPr>
        <w:t xml:space="preserve">Student </w:t>
      </w:r>
      <w:r w:rsidR="00E30CFF">
        <w:rPr>
          <w:i/>
          <w:color w:val="000000"/>
        </w:rPr>
        <w:t>M</w:t>
      </w:r>
      <w:r w:rsidR="00851C48" w:rsidRPr="00E13E45">
        <w:rPr>
          <w:i/>
          <w:color w:val="000000"/>
        </w:rPr>
        <w:t xml:space="preserve">ental </w:t>
      </w:r>
      <w:r w:rsidR="00E30CFF">
        <w:rPr>
          <w:i/>
          <w:color w:val="000000"/>
        </w:rPr>
        <w:t>W</w:t>
      </w:r>
      <w:r w:rsidR="00851C48" w:rsidRPr="00E13E45">
        <w:rPr>
          <w:i/>
          <w:color w:val="000000"/>
        </w:rPr>
        <w:t xml:space="preserve">ellbeing in </w:t>
      </w:r>
      <w:r w:rsidR="00E30CFF">
        <w:rPr>
          <w:i/>
          <w:color w:val="000000"/>
        </w:rPr>
        <w:t>H</w:t>
      </w:r>
      <w:r w:rsidR="00851C48" w:rsidRPr="00E13E45">
        <w:rPr>
          <w:i/>
          <w:color w:val="000000"/>
        </w:rPr>
        <w:t xml:space="preserve">igher </w:t>
      </w:r>
      <w:r w:rsidR="00E30CFF">
        <w:rPr>
          <w:i/>
          <w:color w:val="000000"/>
        </w:rPr>
        <w:t>E</w:t>
      </w:r>
      <w:r w:rsidR="00851C48" w:rsidRPr="00E13E45">
        <w:rPr>
          <w:i/>
          <w:color w:val="000000"/>
        </w:rPr>
        <w:t xml:space="preserve">ducation: Good </w:t>
      </w:r>
      <w:r w:rsidR="00E30CFF">
        <w:rPr>
          <w:i/>
          <w:color w:val="000000"/>
        </w:rPr>
        <w:t>P</w:t>
      </w:r>
      <w:r w:rsidR="00851C48" w:rsidRPr="00E13E45">
        <w:rPr>
          <w:i/>
          <w:color w:val="000000"/>
        </w:rPr>
        <w:t xml:space="preserve">ractice </w:t>
      </w:r>
      <w:r w:rsidR="00E30CFF">
        <w:rPr>
          <w:i/>
          <w:color w:val="000000"/>
        </w:rPr>
        <w:t>G</w:t>
      </w:r>
      <w:r w:rsidR="00851C48" w:rsidRPr="00E13E45">
        <w:rPr>
          <w:i/>
          <w:color w:val="000000"/>
        </w:rPr>
        <w:t>uide</w:t>
      </w:r>
      <w:r w:rsidR="002C3B86">
        <w:rPr>
          <w:color w:val="000000"/>
        </w:rPr>
        <w:t>,</w:t>
      </w:r>
      <w:r w:rsidRPr="00E13E45">
        <w:rPr>
          <w:color w:val="000000"/>
        </w:rPr>
        <w:t xml:space="preserve"> Universities UK</w:t>
      </w:r>
      <w:r w:rsidR="002C3B86">
        <w:rPr>
          <w:color w:val="000000"/>
        </w:rPr>
        <w:t>: London</w:t>
      </w:r>
      <w:r w:rsidRPr="00E13E45">
        <w:rPr>
          <w:color w:val="000000"/>
        </w:rPr>
        <w:t xml:space="preserve">. </w:t>
      </w:r>
      <w:hyperlink r:id="rId26" w:history="1">
        <w:r w:rsidR="00851C48" w:rsidRPr="00E13E45">
          <w:rPr>
            <w:rStyle w:val="Hyperlink"/>
          </w:rPr>
          <w:t>https://www.universitiesuk.ac.uk/policy-and-analysis/reports/Documents/2015/student-mental-wellbeing-in-he.pdf</w:t>
        </w:r>
      </w:hyperlink>
    </w:p>
    <w:p w14:paraId="3737D263" w14:textId="6ACA24D3" w:rsidR="005846E4" w:rsidRPr="00E13E45" w:rsidRDefault="005846E4" w:rsidP="002E6982">
      <w:pPr>
        <w:spacing w:line="480" w:lineRule="auto"/>
        <w:ind w:left="720" w:hanging="720"/>
        <w:rPr>
          <w:rStyle w:val="Hyperlink"/>
          <w:color w:val="auto"/>
          <w:u w:val="none"/>
        </w:rPr>
      </w:pPr>
      <w:r w:rsidRPr="005846E4">
        <w:t>Wilc</w:t>
      </w:r>
      <w:r>
        <w:t>ox, P</w:t>
      </w:r>
      <w:r w:rsidR="009A0C45">
        <w:t>.</w:t>
      </w:r>
      <w:r>
        <w:t xml:space="preserve"> Winn, S</w:t>
      </w:r>
      <w:r w:rsidR="009A0C45">
        <w:t>.</w:t>
      </w:r>
      <w:r>
        <w:t xml:space="preserve"> and </w:t>
      </w:r>
      <w:proofErr w:type="spellStart"/>
      <w:r>
        <w:t>Fyvie-Gauld</w:t>
      </w:r>
      <w:proofErr w:type="spellEnd"/>
      <w:r>
        <w:t xml:space="preserve">, M. </w:t>
      </w:r>
      <w:r w:rsidR="009A0C45">
        <w:t>(</w:t>
      </w:r>
      <w:r>
        <w:t>2</w:t>
      </w:r>
      <w:r w:rsidRPr="005846E4">
        <w:t>005</w:t>
      </w:r>
      <w:r w:rsidR="009A0C45">
        <w:t>),</w:t>
      </w:r>
      <w:r w:rsidRPr="005846E4">
        <w:t xml:space="preserve"> </w:t>
      </w:r>
      <w:r>
        <w:t>“</w:t>
      </w:r>
      <w:r w:rsidRPr="005846E4">
        <w:t xml:space="preserve">‘It </w:t>
      </w:r>
      <w:r w:rsidR="00E30CFF">
        <w:t>W</w:t>
      </w:r>
      <w:r w:rsidRPr="005846E4">
        <w:t xml:space="preserve">as </w:t>
      </w:r>
      <w:r w:rsidR="00E30CFF">
        <w:t>N</w:t>
      </w:r>
      <w:r w:rsidRPr="005846E4">
        <w:t xml:space="preserve">othing to do with the </w:t>
      </w:r>
      <w:r w:rsidR="00E30CFF">
        <w:t>U</w:t>
      </w:r>
      <w:r w:rsidRPr="005846E4">
        <w:t xml:space="preserve">niversity, it was </w:t>
      </w:r>
      <w:r w:rsidR="00E30CFF">
        <w:t>J</w:t>
      </w:r>
      <w:r w:rsidRPr="005846E4">
        <w:t xml:space="preserve">ust the </w:t>
      </w:r>
      <w:r w:rsidR="00E30CFF">
        <w:t>P</w:t>
      </w:r>
      <w:r w:rsidRPr="005846E4">
        <w:t xml:space="preserve">eople’: The </w:t>
      </w:r>
      <w:r w:rsidR="00E30CFF">
        <w:t>R</w:t>
      </w:r>
      <w:r w:rsidRPr="005846E4">
        <w:t xml:space="preserve">ole of </w:t>
      </w:r>
      <w:r w:rsidR="00E30CFF">
        <w:t>S</w:t>
      </w:r>
      <w:r w:rsidRPr="005846E4">
        <w:t xml:space="preserve">ocial </w:t>
      </w:r>
      <w:r w:rsidR="00E30CFF">
        <w:t>S</w:t>
      </w:r>
      <w:r w:rsidRPr="005846E4">
        <w:t xml:space="preserve">upport in the </w:t>
      </w:r>
      <w:r w:rsidR="00E30CFF">
        <w:t>F</w:t>
      </w:r>
      <w:r w:rsidRPr="005846E4">
        <w:t>irst-</w:t>
      </w:r>
      <w:r w:rsidR="00E30CFF">
        <w:t>Y</w:t>
      </w:r>
      <w:r w:rsidRPr="005846E4">
        <w:t xml:space="preserve">ear </w:t>
      </w:r>
      <w:r w:rsidR="00E30CFF">
        <w:t>E</w:t>
      </w:r>
      <w:r w:rsidRPr="005846E4">
        <w:t xml:space="preserve">xperience of </w:t>
      </w:r>
      <w:r w:rsidR="00E30CFF">
        <w:t>H</w:t>
      </w:r>
      <w:r w:rsidRPr="005846E4">
        <w:t xml:space="preserve">igher </w:t>
      </w:r>
      <w:r w:rsidR="00E30CFF">
        <w:t>E</w:t>
      </w:r>
      <w:r w:rsidRPr="005846E4">
        <w:t>ducation</w:t>
      </w:r>
      <w:r>
        <w:t>”</w:t>
      </w:r>
      <w:r w:rsidR="009A0C45">
        <w:t>,</w:t>
      </w:r>
      <w:r w:rsidRPr="005846E4">
        <w:t xml:space="preserve"> </w:t>
      </w:r>
      <w:r w:rsidRPr="005846E4">
        <w:rPr>
          <w:i/>
        </w:rPr>
        <w:t>Studies in Higher Education</w:t>
      </w:r>
      <w:r w:rsidR="009A0C45">
        <w:rPr>
          <w:i/>
        </w:rPr>
        <w:t>,</w:t>
      </w:r>
      <w:r w:rsidRPr="005846E4">
        <w:t xml:space="preserve"> </w:t>
      </w:r>
      <w:r w:rsidR="009A0C45">
        <w:t xml:space="preserve">Vol. </w:t>
      </w:r>
      <w:r w:rsidRPr="005846E4">
        <w:t>30</w:t>
      </w:r>
      <w:r>
        <w:t xml:space="preserve"> </w:t>
      </w:r>
      <w:r w:rsidR="009A0C45">
        <w:t xml:space="preserve">No, </w:t>
      </w:r>
      <w:r w:rsidRPr="005846E4">
        <w:t>6</w:t>
      </w:r>
      <w:r w:rsidR="009A0C45">
        <w:t>, pp.</w:t>
      </w:r>
      <w:r w:rsidRPr="005846E4">
        <w:t xml:space="preserve">707–722. </w:t>
      </w:r>
      <w:r w:rsidR="009A0C45">
        <w:t xml:space="preserve">DOI: </w:t>
      </w:r>
      <w:hyperlink r:id="rId27" w:history="1">
        <w:r w:rsidR="009A0C45" w:rsidRPr="00C92A74">
          <w:rPr>
            <w:rStyle w:val="Hyperlink"/>
          </w:rPr>
          <w:t>https://doi.org/10.1080/03075070500340036</w:t>
        </w:r>
      </w:hyperlink>
      <w:r>
        <w:t xml:space="preserve"> </w:t>
      </w:r>
    </w:p>
    <w:p w14:paraId="0EB0D642" w14:textId="5B5E5988" w:rsidR="00851C48" w:rsidRDefault="00851C48" w:rsidP="00D43A10">
      <w:pPr>
        <w:spacing w:line="480" w:lineRule="auto"/>
        <w:ind w:left="720" w:hanging="720"/>
      </w:pPr>
      <w:r w:rsidRPr="00E13E45">
        <w:t>Wilson</w:t>
      </w:r>
      <w:r w:rsidR="00DA4617" w:rsidRPr="00E13E45">
        <w:t>,</w:t>
      </w:r>
      <w:r w:rsidRPr="00E13E45">
        <w:t xml:space="preserve"> C</w:t>
      </w:r>
      <w:r w:rsidR="00DA4617" w:rsidRPr="00E13E45">
        <w:t>.</w:t>
      </w:r>
      <w:r w:rsidRPr="00E13E45">
        <w:t xml:space="preserve"> and Stock</w:t>
      </w:r>
      <w:r w:rsidR="00DA4617" w:rsidRPr="00E13E45">
        <w:t>,</w:t>
      </w:r>
      <w:r w:rsidRPr="00E13E45">
        <w:t xml:space="preserve"> J</w:t>
      </w:r>
      <w:r w:rsidR="00DA4617" w:rsidRPr="00E13E45">
        <w:t xml:space="preserve">. </w:t>
      </w:r>
      <w:r w:rsidR="009A0C45">
        <w:t>(</w:t>
      </w:r>
      <w:r w:rsidR="00DA4617" w:rsidRPr="00E13E45">
        <w:t>2019</w:t>
      </w:r>
      <w:r w:rsidR="009A0C45">
        <w:t>),</w:t>
      </w:r>
      <w:r w:rsidRPr="00E13E45">
        <w:t xml:space="preserve"> </w:t>
      </w:r>
      <w:r w:rsidR="00DA4617" w:rsidRPr="00E13E45">
        <w:t>“</w:t>
      </w:r>
      <w:r w:rsidRPr="00E13E45">
        <w:t xml:space="preserve">The </w:t>
      </w:r>
      <w:r w:rsidR="00E30CFF">
        <w:t>I</w:t>
      </w:r>
      <w:r w:rsidRPr="00E13E45">
        <w:t xml:space="preserve">mpact of </w:t>
      </w:r>
      <w:r w:rsidR="00E30CFF">
        <w:t>L</w:t>
      </w:r>
      <w:r w:rsidRPr="00E13E45">
        <w:t xml:space="preserve">iving with </w:t>
      </w:r>
      <w:r w:rsidR="00E30CFF">
        <w:t>L</w:t>
      </w:r>
      <w:r w:rsidRPr="00E13E45">
        <w:t>ong‐</w:t>
      </w:r>
      <w:r w:rsidR="00E30CFF">
        <w:t>T</w:t>
      </w:r>
      <w:r w:rsidRPr="00E13E45">
        <w:t xml:space="preserve">erm </w:t>
      </w:r>
      <w:r w:rsidR="00E30CFF">
        <w:t>C</w:t>
      </w:r>
      <w:r w:rsidRPr="00E13E45">
        <w:t xml:space="preserve">onditions in </w:t>
      </w:r>
      <w:r w:rsidR="00E30CFF">
        <w:t>Y</w:t>
      </w:r>
      <w:r w:rsidRPr="00E13E45">
        <w:t xml:space="preserve">oung </w:t>
      </w:r>
      <w:r w:rsidR="00E30CFF">
        <w:t>A</w:t>
      </w:r>
      <w:r w:rsidRPr="00E13E45">
        <w:t xml:space="preserve">dulthood on </w:t>
      </w:r>
      <w:r w:rsidR="00E30CFF">
        <w:t>M</w:t>
      </w:r>
      <w:r w:rsidRPr="00E13E45">
        <w:t xml:space="preserve">ental </w:t>
      </w:r>
      <w:r w:rsidR="00E30CFF">
        <w:t>H</w:t>
      </w:r>
      <w:r w:rsidRPr="00E13E45">
        <w:t xml:space="preserve">ealth and </w:t>
      </w:r>
      <w:r w:rsidR="00E30CFF">
        <w:t>I</w:t>
      </w:r>
      <w:r w:rsidRPr="00E13E45">
        <w:t xml:space="preserve">dentity: What </w:t>
      </w:r>
      <w:r w:rsidR="00E30CFF">
        <w:t>C</w:t>
      </w:r>
      <w:r w:rsidRPr="00E13E45">
        <w:t xml:space="preserve">an </w:t>
      </w:r>
      <w:r w:rsidR="00E30CFF">
        <w:t>H</w:t>
      </w:r>
      <w:r w:rsidRPr="00E13E45">
        <w:t>elp?</w:t>
      </w:r>
      <w:r w:rsidR="00DA4617" w:rsidRPr="00E13E45">
        <w:t>”</w:t>
      </w:r>
      <w:r w:rsidR="009A0C45">
        <w:t>,</w:t>
      </w:r>
      <w:r w:rsidRPr="00E13E45">
        <w:t xml:space="preserve"> </w:t>
      </w:r>
      <w:r w:rsidRPr="00E13E45">
        <w:rPr>
          <w:i/>
        </w:rPr>
        <w:t>Health Expectations</w:t>
      </w:r>
      <w:r w:rsidR="009A0C45">
        <w:rPr>
          <w:i/>
        </w:rPr>
        <w:t>,</w:t>
      </w:r>
      <w:r w:rsidRPr="00E13E45">
        <w:t xml:space="preserve"> </w:t>
      </w:r>
      <w:r w:rsidR="009A0C45">
        <w:t xml:space="preserve">Vol. </w:t>
      </w:r>
      <w:r w:rsidRPr="00E13E45">
        <w:t>22</w:t>
      </w:r>
      <w:r w:rsidR="00DA4617" w:rsidRPr="00E13E45">
        <w:t xml:space="preserve"> </w:t>
      </w:r>
      <w:r w:rsidR="009A0C45">
        <w:t xml:space="preserve">No. </w:t>
      </w:r>
      <w:r w:rsidRPr="00E13E45">
        <w:t>5</w:t>
      </w:r>
      <w:r w:rsidR="009A0C45">
        <w:t>, pp.</w:t>
      </w:r>
      <w:r w:rsidRPr="00E13E45">
        <w:t xml:space="preserve">1111-1121. </w:t>
      </w:r>
      <w:r w:rsidR="009A0C45">
        <w:t>DOI</w:t>
      </w:r>
      <w:r w:rsidR="00DA4617" w:rsidRPr="00E13E45">
        <w:t xml:space="preserve">: </w:t>
      </w:r>
      <w:hyperlink r:id="rId28">
        <w:r w:rsidRPr="00E13E45">
          <w:rPr>
            <w:rStyle w:val="Hyperlink"/>
          </w:rPr>
          <w:t>https://doi.org/10.1111/hex.12944</w:t>
        </w:r>
      </w:hyperlink>
      <w:r w:rsidRPr="00E13E45">
        <w:t xml:space="preserve">. </w:t>
      </w:r>
    </w:p>
    <w:p w14:paraId="7C7BAC41" w14:textId="02A06A55" w:rsidR="00571598" w:rsidRPr="00571598" w:rsidRDefault="00571598" w:rsidP="00D43A10">
      <w:pPr>
        <w:spacing w:line="480" w:lineRule="auto"/>
        <w:ind w:left="720" w:hanging="720"/>
      </w:pPr>
      <w:r>
        <w:lastRenderedPageBreak/>
        <w:t xml:space="preserve">World Health Organisation [WHO]. (n.d.). </w:t>
      </w:r>
      <w:r w:rsidR="00432479">
        <w:t>“</w:t>
      </w:r>
      <w:r>
        <w:rPr>
          <w:i/>
        </w:rPr>
        <w:t>Healthy Settings</w:t>
      </w:r>
      <w:r w:rsidR="00432479">
        <w:rPr>
          <w:i/>
        </w:rPr>
        <w:t>”,</w:t>
      </w:r>
      <w:r>
        <w:rPr>
          <w:i/>
        </w:rPr>
        <w:t xml:space="preserve"> </w:t>
      </w:r>
      <w:r w:rsidR="00432479">
        <w:t>a</w:t>
      </w:r>
      <w:r>
        <w:t xml:space="preserve">vailable at: </w:t>
      </w:r>
      <w:hyperlink r:id="rId29" w:history="1">
        <w:r w:rsidRPr="003B16F9">
          <w:rPr>
            <w:rStyle w:val="Hyperlink"/>
          </w:rPr>
          <w:t>https://www.who.int/teams/health-promotion/enhanced-wellbeing/healthy-settings</w:t>
        </w:r>
      </w:hyperlink>
      <w:r>
        <w:t xml:space="preserve"> </w:t>
      </w:r>
      <w:r w:rsidR="00432479">
        <w:t>(</w:t>
      </w:r>
      <w:r>
        <w:t>accessed 4 November 2021</w:t>
      </w:r>
      <w:r w:rsidR="00432479">
        <w:t>)</w:t>
      </w:r>
      <w:r>
        <w:t>.</w:t>
      </w:r>
    </w:p>
    <w:p w14:paraId="336A4CB4" w14:textId="4B66D349" w:rsidR="002E6982" w:rsidRDefault="002E6982" w:rsidP="00CE5D00">
      <w:pPr>
        <w:spacing w:line="480" w:lineRule="auto"/>
      </w:pPr>
    </w:p>
    <w:p w14:paraId="4A0D3E9E" w14:textId="77777777" w:rsidR="00134E3F" w:rsidRDefault="00134E3F" w:rsidP="00D43A10">
      <w:pPr>
        <w:spacing w:line="480" w:lineRule="auto"/>
      </w:pPr>
    </w:p>
    <w:sectPr w:rsidR="00134E3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B0CBC"/>
    <w:multiLevelType w:val="multilevel"/>
    <w:tmpl w:val="7CA09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4A226F"/>
    <w:multiLevelType w:val="hybridMultilevel"/>
    <w:tmpl w:val="71764B1A"/>
    <w:lvl w:ilvl="0" w:tplc="90EAE486">
      <w:start w:val="1"/>
      <w:numFmt w:val="bullet"/>
      <w:lvlText w:val="•"/>
      <w:lvlJc w:val="left"/>
      <w:pPr>
        <w:tabs>
          <w:tab w:val="num" w:pos="720"/>
        </w:tabs>
        <w:ind w:left="720" w:hanging="360"/>
      </w:pPr>
      <w:rPr>
        <w:rFonts w:ascii="Arial" w:hAnsi="Arial" w:hint="default"/>
      </w:rPr>
    </w:lvl>
    <w:lvl w:ilvl="1" w:tplc="A87AC9C0" w:tentative="1">
      <w:start w:val="1"/>
      <w:numFmt w:val="bullet"/>
      <w:lvlText w:val="•"/>
      <w:lvlJc w:val="left"/>
      <w:pPr>
        <w:tabs>
          <w:tab w:val="num" w:pos="1440"/>
        </w:tabs>
        <w:ind w:left="1440" w:hanging="360"/>
      </w:pPr>
      <w:rPr>
        <w:rFonts w:ascii="Arial" w:hAnsi="Arial" w:hint="default"/>
      </w:rPr>
    </w:lvl>
    <w:lvl w:ilvl="2" w:tplc="6506056C" w:tentative="1">
      <w:start w:val="1"/>
      <w:numFmt w:val="bullet"/>
      <w:lvlText w:val="•"/>
      <w:lvlJc w:val="left"/>
      <w:pPr>
        <w:tabs>
          <w:tab w:val="num" w:pos="2160"/>
        </w:tabs>
        <w:ind w:left="2160" w:hanging="360"/>
      </w:pPr>
      <w:rPr>
        <w:rFonts w:ascii="Arial" w:hAnsi="Arial" w:hint="default"/>
      </w:rPr>
    </w:lvl>
    <w:lvl w:ilvl="3" w:tplc="4A82D8E2" w:tentative="1">
      <w:start w:val="1"/>
      <w:numFmt w:val="bullet"/>
      <w:lvlText w:val="•"/>
      <w:lvlJc w:val="left"/>
      <w:pPr>
        <w:tabs>
          <w:tab w:val="num" w:pos="2880"/>
        </w:tabs>
        <w:ind w:left="2880" w:hanging="360"/>
      </w:pPr>
      <w:rPr>
        <w:rFonts w:ascii="Arial" w:hAnsi="Arial" w:hint="default"/>
      </w:rPr>
    </w:lvl>
    <w:lvl w:ilvl="4" w:tplc="D17E59DA" w:tentative="1">
      <w:start w:val="1"/>
      <w:numFmt w:val="bullet"/>
      <w:lvlText w:val="•"/>
      <w:lvlJc w:val="left"/>
      <w:pPr>
        <w:tabs>
          <w:tab w:val="num" w:pos="3600"/>
        </w:tabs>
        <w:ind w:left="3600" w:hanging="360"/>
      </w:pPr>
      <w:rPr>
        <w:rFonts w:ascii="Arial" w:hAnsi="Arial" w:hint="default"/>
      </w:rPr>
    </w:lvl>
    <w:lvl w:ilvl="5" w:tplc="64407BB8" w:tentative="1">
      <w:start w:val="1"/>
      <w:numFmt w:val="bullet"/>
      <w:lvlText w:val="•"/>
      <w:lvlJc w:val="left"/>
      <w:pPr>
        <w:tabs>
          <w:tab w:val="num" w:pos="4320"/>
        </w:tabs>
        <w:ind w:left="4320" w:hanging="360"/>
      </w:pPr>
      <w:rPr>
        <w:rFonts w:ascii="Arial" w:hAnsi="Arial" w:hint="default"/>
      </w:rPr>
    </w:lvl>
    <w:lvl w:ilvl="6" w:tplc="D034E0BC" w:tentative="1">
      <w:start w:val="1"/>
      <w:numFmt w:val="bullet"/>
      <w:lvlText w:val="•"/>
      <w:lvlJc w:val="left"/>
      <w:pPr>
        <w:tabs>
          <w:tab w:val="num" w:pos="5040"/>
        </w:tabs>
        <w:ind w:left="5040" w:hanging="360"/>
      </w:pPr>
      <w:rPr>
        <w:rFonts w:ascii="Arial" w:hAnsi="Arial" w:hint="default"/>
      </w:rPr>
    </w:lvl>
    <w:lvl w:ilvl="7" w:tplc="523AF5AE" w:tentative="1">
      <w:start w:val="1"/>
      <w:numFmt w:val="bullet"/>
      <w:lvlText w:val="•"/>
      <w:lvlJc w:val="left"/>
      <w:pPr>
        <w:tabs>
          <w:tab w:val="num" w:pos="5760"/>
        </w:tabs>
        <w:ind w:left="5760" w:hanging="360"/>
      </w:pPr>
      <w:rPr>
        <w:rFonts w:ascii="Arial" w:hAnsi="Arial" w:hint="default"/>
      </w:rPr>
    </w:lvl>
    <w:lvl w:ilvl="8" w:tplc="D9FC4B8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58D3DEC"/>
    <w:multiLevelType w:val="hybridMultilevel"/>
    <w:tmpl w:val="93A495C4"/>
    <w:lvl w:ilvl="0" w:tplc="0BAE54E2">
      <w:start w:val="1"/>
      <w:numFmt w:val="bullet"/>
      <w:lvlText w:val="•"/>
      <w:lvlJc w:val="left"/>
      <w:pPr>
        <w:tabs>
          <w:tab w:val="num" w:pos="720"/>
        </w:tabs>
        <w:ind w:left="720" w:hanging="360"/>
      </w:pPr>
      <w:rPr>
        <w:rFonts w:ascii="Arial" w:hAnsi="Arial" w:hint="default"/>
      </w:rPr>
    </w:lvl>
    <w:lvl w:ilvl="1" w:tplc="DD7C9E72" w:tentative="1">
      <w:start w:val="1"/>
      <w:numFmt w:val="bullet"/>
      <w:lvlText w:val="•"/>
      <w:lvlJc w:val="left"/>
      <w:pPr>
        <w:tabs>
          <w:tab w:val="num" w:pos="1440"/>
        </w:tabs>
        <w:ind w:left="1440" w:hanging="360"/>
      </w:pPr>
      <w:rPr>
        <w:rFonts w:ascii="Arial" w:hAnsi="Arial" w:hint="default"/>
      </w:rPr>
    </w:lvl>
    <w:lvl w:ilvl="2" w:tplc="1B0601FC" w:tentative="1">
      <w:start w:val="1"/>
      <w:numFmt w:val="bullet"/>
      <w:lvlText w:val="•"/>
      <w:lvlJc w:val="left"/>
      <w:pPr>
        <w:tabs>
          <w:tab w:val="num" w:pos="2160"/>
        </w:tabs>
        <w:ind w:left="2160" w:hanging="360"/>
      </w:pPr>
      <w:rPr>
        <w:rFonts w:ascii="Arial" w:hAnsi="Arial" w:hint="default"/>
      </w:rPr>
    </w:lvl>
    <w:lvl w:ilvl="3" w:tplc="595C9C34" w:tentative="1">
      <w:start w:val="1"/>
      <w:numFmt w:val="bullet"/>
      <w:lvlText w:val="•"/>
      <w:lvlJc w:val="left"/>
      <w:pPr>
        <w:tabs>
          <w:tab w:val="num" w:pos="2880"/>
        </w:tabs>
        <w:ind w:left="2880" w:hanging="360"/>
      </w:pPr>
      <w:rPr>
        <w:rFonts w:ascii="Arial" w:hAnsi="Arial" w:hint="default"/>
      </w:rPr>
    </w:lvl>
    <w:lvl w:ilvl="4" w:tplc="130614F6" w:tentative="1">
      <w:start w:val="1"/>
      <w:numFmt w:val="bullet"/>
      <w:lvlText w:val="•"/>
      <w:lvlJc w:val="left"/>
      <w:pPr>
        <w:tabs>
          <w:tab w:val="num" w:pos="3600"/>
        </w:tabs>
        <w:ind w:left="3600" w:hanging="360"/>
      </w:pPr>
      <w:rPr>
        <w:rFonts w:ascii="Arial" w:hAnsi="Arial" w:hint="default"/>
      </w:rPr>
    </w:lvl>
    <w:lvl w:ilvl="5" w:tplc="A6661C8C" w:tentative="1">
      <w:start w:val="1"/>
      <w:numFmt w:val="bullet"/>
      <w:lvlText w:val="•"/>
      <w:lvlJc w:val="left"/>
      <w:pPr>
        <w:tabs>
          <w:tab w:val="num" w:pos="4320"/>
        </w:tabs>
        <w:ind w:left="4320" w:hanging="360"/>
      </w:pPr>
      <w:rPr>
        <w:rFonts w:ascii="Arial" w:hAnsi="Arial" w:hint="default"/>
      </w:rPr>
    </w:lvl>
    <w:lvl w:ilvl="6" w:tplc="77849EC8" w:tentative="1">
      <w:start w:val="1"/>
      <w:numFmt w:val="bullet"/>
      <w:lvlText w:val="•"/>
      <w:lvlJc w:val="left"/>
      <w:pPr>
        <w:tabs>
          <w:tab w:val="num" w:pos="5040"/>
        </w:tabs>
        <w:ind w:left="5040" w:hanging="360"/>
      </w:pPr>
      <w:rPr>
        <w:rFonts w:ascii="Arial" w:hAnsi="Arial" w:hint="default"/>
      </w:rPr>
    </w:lvl>
    <w:lvl w:ilvl="7" w:tplc="C7E057BE" w:tentative="1">
      <w:start w:val="1"/>
      <w:numFmt w:val="bullet"/>
      <w:lvlText w:val="•"/>
      <w:lvlJc w:val="left"/>
      <w:pPr>
        <w:tabs>
          <w:tab w:val="num" w:pos="5760"/>
        </w:tabs>
        <w:ind w:left="5760" w:hanging="360"/>
      </w:pPr>
      <w:rPr>
        <w:rFonts w:ascii="Arial" w:hAnsi="Arial" w:hint="default"/>
      </w:rPr>
    </w:lvl>
    <w:lvl w:ilvl="8" w:tplc="797AD32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7B261B5"/>
    <w:multiLevelType w:val="multilevel"/>
    <w:tmpl w:val="58C2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4CE"/>
    <w:rsid w:val="00006682"/>
    <w:rsid w:val="00006D47"/>
    <w:rsid w:val="00015927"/>
    <w:rsid w:val="00022247"/>
    <w:rsid w:val="00024CB0"/>
    <w:rsid w:val="00030111"/>
    <w:rsid w:val="00037082"/>
    <w:rsid w:val="00043375"/>
    <w:rsid w:val="000437F7"/>
    <w:rsid w:val="000447BB"/>
    <w:rsid w:val="00045D9D"/>
    <w:rsid w:val="00047E54"/>
    <w:rsid w:val="00050093"/>
    <w:rsid w:val="00056710"/>
    <w:rsid w:val="00057276"/>
    <w:rsid w:val="000602E3"/>
    <w:rsid w:val="00061A4C"/>
    <w:rsid w:val="000638B2"/>
    <w:rsid w:val="00066706"/>
    <w:rsid w:val="0006744D"/>
    <w:rsid w:val="00070D7F"/>
    <w:rsid w:val="000719BA"/>
    <w:rsid w:val="0007774D"/>
    <w:rsid w:val="000778DF"/>
    <w:rsid w:val="00084F5F"/>
    <w:rsid w:val="00086AF0"/>
    <w:rsid w:val="00094909"/>
    <w:rsid w:val="000A0435"/>
    <w:rsid w:val="000A0E13"/>
    <w:rsid w:val="000A1897"/>
    <w:rsid w:val="000A68E2"/>
    <w:rsid w:val="000B1E2E"/>
    <w:rsid w:val="000B38A8"/>
    <w:rsid w:val="000C595A"/>
    <w:rsid w:val="000D5458"/>
    <w:rsid w:val="000D5CAD"/>
    <w:rsid w:val="000E0355"/>
    <w:rsid w:val="000E1E27"/>
    <w:rsid w:val="000E2980"/>
    <w:rsid w:val="000E7DC1"/>
    <w:rsid w:val="000F308C"/>
    <w:rsid w:val="000F6A3B"/>
    <w:rsid w:val="000F73C5"/>
    <w:rsid w:val="00101FA2"/>
    <w:rsid w:val="001041B9"/>
    <w:rsid w:val="0010714C"/>
    <w:rsid w:val="00111E3C"/>
    <w:rsid w:val="00112AAF"/>
    <w:rsid w:val="00114185"/>
    <w:rsid w:val="00114534"/>
    <w:rsid w:val="00120607"/>
    <w:rsid w:val="00130137"/>
    <w:rsid w:val="001303B0"/>
    <w:rsid w:val="00130744"/>
    <w:rsid w:val="00131965"/>
    <w:rsid w:val="00131966"/>
    <w:rsid w:val="00131D31"/>
    <w:rsid w:val="001329A7"/>
    <w:rsid w:val="001340D1"/>
    <w:rsid w:val="00134E3F"/>
    <w:rsid w:val="00135E73"/>
    <w:rsid w:val="00137424"/>
    <w:rsid w:val="001375B8"/>
    <w:rsid w:val="00137A66"/>
    <w:rsid w:val="0015150F"/>
    <w:rsid w:val="0015311C"/>
    <w:rsid w:val="001532F0"/>
    <w:rsid w:val="00153CC7"/>
    <w:rsid w:val="00153FFC"/>
    <w:rsid w:val="001577EA"/>
    <w:rsid w:val="00160254"/>
    <w:rsid w:val="001603D1"/>
    <w:rsid w:val="001610D0"/>
    <w:rsid w:val="001630A6"/>
    <w:rsid w:val="00167496"/>
    <w:rsid w:val="001761D9"/>
    <w:rsid w:val="00176888"/>
    <w:rsid w:val="00181F5D"/>
    <w:rsid w:val="00185EB0"/>
    <w:rsid w:val="00186B53"/>
    <w:rsid w:val="00190977"/>
    <w:rsid w:val="00192E67"/>
    <w:rsid w:val="001979D3"/>
    <w:rsid w:val="001A7D2D"/>
    <w:rsid w:val="001B100D"/>
    <w:rsid w:val="001B3100"/>
    <w:rsid w:val="001B373B"/>
    <w:rsid w:val="001B66A2"/>
    <w:rsid w:val="001B75BD"/>
    <w:rsid w:val="001C677B"/>
    <w:rsid w:val="001C75DA"/>
    <w:rsid w:val="001C7F2B"/>
    <w:rsid w:val="001D252F"/>
    <w:rsid w:val="001D37DD"/>
    <w:rsid w:val="001D5B7B"/>
    <w:rsid w:val="001E12AB"/>
    <w:rsid w:val="001E36C1"/>
    <w:rsid w:val="001E42B2"/>
    <w:rsid w:val="001E44B4"/>
    <w:rsid w:val="001E4A13"/>
    <w:rsid w:val="001E5BA4"/>
    <w:rsid w:val="001E7260"/>
    <w:rsid w:val="001E7980"/>
    <w:rsid w:val="001F1BD8"/>
    <w:rsid w:val="001F3D18"/>
    <w:rsid w:val="001F4253"/>
    <w:rsid w:val="001F5DE7"/>
    <w:rsid w:val="002041C6"/>
    <w:rsid w:val="00205C03"/>
    <w:rsid w:val="00207296"/>
    <w:rsid w:val="00211B7D"/>
    <w:rsid w:val="00211FB7"/>
    <w:rsid w:val="002120E9"/>
    <w:rsid w:val="00216694"/>
    <w:rsid w:val="00223828"/>
    <w:rsid w:val="002249D1"/>
    <w:rsid w:val="002266E0"/>
    <w:rsid w:val="0022758A"/>
    <w:rsid w:val="00234B69"/>
    <w:rsid w:val="00234C0A"/>
    <w:rsid w:val="002369C6"/>
    <w:rsid w:val="002377EE"/>
    <w:rsid w:val="00242306"/>
    <w:rsid w:val="002432F4"/>
    <w:rsid w:val="002436B3"/>
    <w:rsid w:val="00245A4C"/>
    <w:rsid w:val="00246251"/>
    <w:rsid w:val="00247A4F"/>
    <w:rsid w:val="00251BAE"/>
    <w:rsid w:val="0025402D"/>
    <w:rsid w:val="00254211"/>
    <w:rsid w:val="00254793"/>
    <w:rsid w:val="00255004"/>
    <w:rsid w:val="00257FAC"/>
    <w:rsid w:val="00260B5F"/>
    <w:rsid w:val="00266646"/>
    <w:rsid w:val="00267E71"/>
    <w:rsid w:val="0027172B"/>
    <w:rsid w:val="002800EE"/>
    <w:rsid w:val="002805BC"/>
    <w:rsid w:val="002806B3"/>
    <w:rsid w:val="00281B69"/>
    <w:rsid w:val="00284C15"/>
    <w:rsid w:val="00290F10"/>
    <w:rsid w:val="002A29DC"/>
    <w:rsid w:val="002A2D01"/>
    <w:rsid w:val="002A5835"/>
    <w:rsid w:val="002A7A73"/>
    <w:rsid w:val="002B0025"/>
    <w:rsid w:val="002B1668"/>
    <w:rsid w:val="002B16B7"/>
    <w:rsid w:val="002B333B"/>
    <w:rsid w:val="002B7760"/>
    <w:rsid w:val="002C3B86"/>
    <w:rsid w:val="002C45F4"/>
    <w:rsid w:val="002D61F3"/>
    <w:rsid w:val="002D78E5"/>
    <w:rsid w:val="002E3B2B"/>
    <w:rsid w:val="002E4711"/>
    <w:rsid w:val="002E6982"/>
    <w:rsid w:val="002E7AE6"/>
    <w:rsid w:val="002F02DD"/>
    <w:rsid w:val="002F1892"/>
    <w:rsid w:val="002F2B61"/>
    <w:rsid w:val="002F3F7F"/>
    <w:rsid w:val="002F58A7"/>
    <w:rsid w:val="002F6183"/>
    <w:rsid w:val="00300556"/>
    <w:rsid w:val="003106FC"/>
    <w:rsid w:val="0031129C"/>
    <w:rsid w:val="00313E9E"/>
    <w:rsid w:val="00315255"/>
    <w:rsid w:val="0031583E"/>
    <w:rsid w:val="0032428E"/>
    <w:rsid w:val="00325031"/>
    <w:rsid w:val="003332D6"/>
    <w:rsid w:val="003353DF"/>
    <w:rsid w:val="003354CE"/>
    <w:rsid w:val="00340CD6"/>
    <w:rsid w:val="003410BD"/>
    <w:rsid w:val="00355539"/>
    <w:rsid w:val="00356542"/>
    <w:rsid w:val="003606A9"/>
    <w:rsid w:val="00365856"/>
    <w:rsid w:val="00366E7E"/>
    <w:rsid w:val="003717A1"/>
    <w:rsid w:val="003724A7"/>
    <w:rsid w:val="00375719"/>
    <w:rsid w:val="00380FFE"/>
    <w:rsid w:val="00390990"/>
    <w:rsid w:val="00391AF8"/>
    <w:rsid w:val="003924C1"/>
    <w:rsid w:val="003960F5"/>
    <w:rsid w:val="003A07EA"/>
    <w:rsid w:val="003A0A64"/>
    <w:rsid w:val="003A53E6"/>
    <w:rsid w:val="003B0ED9"/>
    <w:rsid w:val="003B236F"/>
    <w:rsid w:val="003B5665"/>
    <w:rsid w:val="003B5FBF"/>
    <w:rsid w:val="003B60E6"/>
    <w:rsid w:val="003B6836"/>
    <w:rsid w:val="003B7E21"/>
    <w:rsid w:val="003C6824"/>
    <w:rsid w:val="003C766A"/>
    <w:rsid w:val="003C7A34"/>
    <w:rsid w:val="003D15AF"/>
    <w:rsid w:val="003D2476"/>
    <w:rsid w:val="003D2689"/>
    <w:rsid w:val="003D726E"/>
    <w:rsid w:val="003E0F04"/>
    <w:rsid w:val="003E2F33"/>
    <w:rsid w:val="003E57F9"/>
    <w:rsid w:val="003E7AA0"/>
    <w:rsid w:val="003F3643"/>
    <w:rsid w:val="003F7797"/>
    <w:rsid w:val="00412C60"/>
    <w:rsid w:val="00413A9F"/>
    <w:rsid w:val="00413CFB"/>
    <w:rsid w:val="00415826"/>
    <w:rsid w:val="004231C5"/>
    <w:rsid w:val="00432479"/>
    <w:rsid w:val="004333B4"/>
    <w:rsid w:val="00435533"/>
    <w:rsid w:val="004368CF"/>
    <w:rsid w:val="004404E0"/>
    <w:rsid w:val="00441308"/>
    <w:rsid w:val="00442663"/>
    <w:rsid w:val="00444EB8"/>
    <w:rsid w:val="00447B04"/>
    <w:rsid w:val="00450AEB"/>
    <w:rsid w:val="00451238"/>
    <w:rsid w:val="00453565"/>
    <w:rsid w:val="004541F9"/>
    <w:rsid w:val="00460866"/>
    <w:rsid w:val="00462F80"/>
    <w:rsid w:val="004672A3"/>
    <w:rsid w:val="00467697"/>
    <w:rsid w:val="004839AD"/>
    <w:rsid w:val="0048756A"/>
    <w:rsid w:val="00490B22"/>
    <w:rsid w:val="004910BE"/>
    <w:rsid w:val="00491C7D"/>
    <w:rsid w:val="00495667"/>
    <w:rsid w:val="00497BB2"/>
    <w:rsid w:val="004A3037"/>
    <w:rsid w:val="004A45D4"/>
    <w:rsid w:val="004A744B"/>
    <w:rsid w:val="004B05B6"/>
    <w:rsid w:val="004B1D41"/>
    <w:rsid w:val="004B24C6"/>
    <w:rsid w:val="004B4395"/>
    <w:rsid w:val="004B443C"/>
    <w:rsid w:val="004B7C7E"/>
    <w:rsid w:val="004C58C7"/>
    <w:rsid w:val="004D01CF"/>
    <w:rsid w:val="004D1F4F"/>
    <w:rsid w:val="004D58A8"/>
    <w:rsid w:val="004E06B8"/>
    <w:rsid w:val="004E4C24"/>
    <w:rsid w:val="004F483A"/>
    <w:rsid w:val="00501A0E"/>
    <w:rsid w:val="0050247F"/>
    <w:rsid w:val="00505157"/>
    <w:rsid w:val="005075E1"/>
    <w:rsid w:val="00511EBC"/>
    <w:rsid w:val="00512959"/>
    <w:rsid w:val="00512D3C"/>
    <w:rsid w:val="005159AD"/>
    <w:rsid w:val="0054296E"/>
    <w:rsid w:val="005440D2"/>
    <w:rsid w:val="005447C8"/>
    <w:rsid w:val="00552987"/>
    <w:rsid w:val="00552F19"/>
    <w:rsid w:val="0055542E"/>
    <w:rsid w:val="005560A8"/>
    <w:rsid w:val="005575D5"/>
    <w:rsid w:val="005577B6"/>
    <w:rsid w:val="00561425"/>
    <w:rsid w:val="0056385F"/>
    <w:rsid w:val="00563DB9"/>
    <w:rsid w:val="00565755"/>
    <w:rsid w:val="00566B08"/>
    <w:rsid w:val="00566B41"/>
    <w:rsid w:val="00571598"/>
    <w:rsid w:val="00582E5A"/>
    <w:rsid w:val="00583AEE"/>
    <w:rsid w:val="005846E4"/>
    <w:rsid w:val="0059462C"/>
    <w:rsid w:val="005A0D0D"/>
    <w:rsid w:val="005A1B95"/>
    <w:rsid w:val="005A1BB1"/>
    <w:rsid w:val="005A255E"/>
    <w:rsid w:val="005A423D"/>
    <w:rsid w:val="005A55A2"/>
    <w:rsid w:val="005A5B32"/>
    <w:rsid w:val="005B29B6"/>
    <w:rsid w:val="005B3EF9"/>
    <w:rsid w:val="005B50D3"/>
    <w:rsid w:val="005B540A"/>
    <w:rsid w:val="005C293A"/>
    <w:rsid w:val="005C6A6F"/>
    <w:rsid w:val="005C7702"/>
    <w:rsid w:val="005D43D9"/>
    <w:rsid w:val="005D58FE"/>
    <w:rsid w:val="005E348A"/>
    <w:rsid w:val="005F0172"/>
    <w:rsid w:val="005F044B"/>
    <w:rsid w:val="0060119D"/>
    <w:rsid w:val="00603FC0"/>
    <w:rsid w:val="00606ED5"/>
    <w:rsid w:val="0061079C"/>
    <w:rsid w:val="006114A8"/>
    <w:rsid w:val="00624A7E"/>
    <w:rsid w:val="006263FA"/>
    <w:rsid w:val="006308F4"/>
    <w:rsid w:val="006328BC"/>
    <w:rsid w:val="0063309D"/>
    <w:rsid w:val="00633B2A"/>
    <w:rsid w:val="006438DB"/>
    <w:rsid w:val="006579C9"/>
    <w:rsid w:val="00661520"/>
    <w:rsid w:val="00667840"/>
    <w:rsid w:val="00671A04"/>
    <w:rsid w:val="00672323"/>
    <w:rsid w:val="00674178"/>
    <w:rsid w:val="00676641"/>
    <w:rsid w:val="0068217D"/>
    <w:rsid w:val="0068365D"/>
    <w:rsid w:val="00683D58"/>
    <w:rsid w:val="00684FF2"/>
    <w:rsid w:val="00687002"/>
    <w:rsid w:val="00692E56"/>
    <w:rsid w:val="006937D0"/>
    <w:rsid w:val="0069544C"/>
    <w:rsid w:val="006A09F3"/>
    <w:rsid w:val="006A0FBD"/>
    <w:rsid w:val="006A46FA"/>
    <w:rsid w:val="006A4E09"/>
    <w:rsid w:val="006A4F8B"/>
    <w:rsid w:val="006A5111"/>
    <w:rsid w:val="006A5604"/>
    <w:rsid w:val="006B1241"/>
    <w:rsid w:val="006B19A8"/>
    <w:rsid w:val="006B57F6"/>
    <w:rsid w:val="006B5C79"/>
    <w:rsid w:val="006B7B5D"/>
    <w:rsid w:val="006C0985"/>
    <w:rsid w:val="006C4263"/>
    <w:rsid w:val="006C568B"/>
    <w:rsid w:val="006C578E"/>
    <w:rsid w:val="006C675D"/>
    <w:rsid w:val="006D7583"/>
    <w:rsid w:val="006E1E34"/>
    <w:rsid w:val="006E3B57"/>
    <w:rsid w:val="006E5520"/>
    <w:rsid w:val="006F0963"/>
    <w:rsid w:val="006F6159"/>
    <w:rsid w:val="006F7062"/>
    <w:rsid w:val="006F7F66"/>
    <w:rsid w:val="007008D6"/>
    <w:rsid w:val="00702AEB"/>
    <w:rsid w:val="00703F4C"/>
    <w:rsid w:val="00705EBB"/>
    <w:rsid w:val="00720D95"/>
    <w:rsid w:val="00722BFE"/>
    <w:rsid w:val="0072324F"/>
    <w:rsid w:val="00725611"/>
    <w:rsid w:val="00726B41"/>
    <w:rsid w:val="007273E6"/>
    <w:rsid w:val="00743F85"/>
    <w:rsid w:val="007450E1"/>
    <w:rsid w:val="007530C2"/>
    <w:rsid w:val="00753833"/>
    <w:rsid w:val="00756D88"/>
    <w:rsid w:val="007601B6"/>
    <w:rsid w:val="0076063F"/>
    <w:rsid w:val="007624DD"/>
    <w:rsid w:val="007663C3"/>
    <w:rsid w:val="007664E8"/>
    <w:rsid w:val="0076703B"/>
    <w:rsid w:val="00777F04"/>
    <w:rsid w:val="0078178C"/>
    <w:rsid w:val="00786FA4"/>
    <w:rsid w:val="00790AB6"/>
    <w:rsid w:val="00790DAA"/>
    <w:rsid w:val="00792271"/>
    <w:rsid w:val="00796339"/>
    <w:rsid w:val="007A5011"/>
    <w:rsid w:val="007B0F75"/>
    <w:rsid w:val="007B2CE1"/>
    <w:rsid w:val="007B2D04"/>
    <w:rsid w:val="007B5C03"/>
    <w:rsid w:val="007B7F8A"/>
    <w:rsid w:val="007C07BF"/>
    <w:rsid w:val="007C58D0"/>
    <w:rsid w:val="007C7B56"/>
    <w:rsid w:val="007D00E3"/>
    <w:rsid w:val="007D2AD0"/>
    <w:rsid w:val="007D3D43"/>
    <w:rsid w:val="007D4B32"/>
    <w:rsid w:val="007D5D8A"/>
    <w:rsid w:val="007D5F99"/>
    <w:rsid w:val="007D6096"/>
    <w:rsid w:val="007E29BB"/>
    <w:rsid w:val="007E739C"/>
    <w:rsid w:val="00800F5A"/>
    <w:rsid w:val="00804132"/>
    <w:rsid w:val="00805A2F"/>
    <w:rsid w:val="00815FD6"/>
    <w:rsid w:val="00827D18"/>
    <w:rsid w:val="008307CC"/>
    <w:rsid w:val="00836AE6"/>
    <w:rsid w:val="008370A6"/>
    <w:rsid w:val="00841D16"/>
    <w:rsid w:val="0084283F"/>
    <w:rsid w:val="00842DDC"/>
    <w:rsid w:val="00850AC0"/>
    <w:rsid w:val="00851C48"/>
    <w:rsid w:val="008528B0"/>
    <w:rsid w:val="00854510"/>
    <w:rsid w:val="008563A3"/>
    <w:rsid w:val="0086025B"/>
    <w:rsid w:val="00862F17"/>
    <w:rsid w:val="00867B51"/>
    <w:rsid w:val="00870140"/>
    <w:rsid w:val="00872DBF"/>
    <w:rsid w:val="008764DD"/>
    <w:rsid w:val="0088307E"/>
    <w:rsid w:val="008861CA"/>
    <w:rsid w:val="00893137"/>
    <w:rsid w:val="008931DD"/>
    <w:rsid w:val="008933A2"/>
    <w:rsid w:val="0089526C"/>
    <w:rsid w:val="008953F9"/>
    <w:rsid w:val="008967C9"/>
    <w:rsid w:val="008975FB"/>
    <w:rsid w:val="008A0443"/>
    <w:rsid w:val="008A10BF"/>
    <w:rsid w:val="008A1B5D"/>
    <w:rsid w:val="008A4C33"/>
    <w:rsid w:val="008A4E93"/>
    <w:rsid w:val="008A5778"/>
    <w:rsid w:val="008B0204"/>
    <w:rsid w:val="008B2454"/>
    <w:rsid w:val="008B2BC8"/>
    <w:rsid w:val="008B2C25"/>
    <w:rsid w:val="008B2D74"/>
    <w:rsid w:val="008B51A3"/>
    <w:rsid w:val="008C40E6"/>
    <w:rsid w:val="008D3D1A"/>
    <w:rsid w:val="008E79B2"/>
    <w:rsid w:val="008F5555"/>
    <w:rsid w:val="008F689C"/>
    <w:rsid w:val="0090110D"/>
    <w:rsid w:val="00901E40"/>
    <w:rsid w:val="00905E30"/>
    <w:rsid w:val="00906A53"/>
    <w:rsid w:val="0091204F"/>
    <w:rsid w:val="00912D83"/>
    <w:rsid w:val="009158FA"/>
    <w:rsid w:val="00915B88"/>
    <w:rsid w:val="00924CDE"/>
    <w:rsid w:val="0092646E"/>
    <w:rsid w:val="0092684A"/>
    <w:rsid w:val="0092765F"/>
    <w:rsid w:val="00927CA0"/>
    <w:rsid w:val="00930522"/>
    <w:rsid w:val="00930535"/>
    <w:rsid w:val="009344E5"/>
    <w:rsid w:val="00947C99"/>
    <w:rsid w:val="00950DB4"/>
    <w:rsid w:val="0095533E"/>
    <w:rsid w:val="00960836"/>
    <w:rsid w:val="0097178D"/>
    <w:rsid w:val="009739BC"/>
    <w:rsid w:val="00980AB9"/>
    <w:rsid w:val="00981B01"/>
    <w:rsid w:val="009847B9"/>
    <w:rsid w:val="00985D75"/>
    <w:rsid w:val="00990ECD"/>
    <w:rsid w:val="00992155"/>
    <w:rsid w:val="00994DFB"/>
    <w:rsid w:val="00996834"/>
    <w:rsid w:val="00997C2C"/>
    <w:rsid w:val="009A050E"/>
    <w:rsid w:val="009A0C45"/>
    <w:rsid w:val="009A2BD3"/>
    <w:rsid w:val="009A2EB7"/>
    <w:rsid w:val="009A5AFD"/>
    <w:rsid w:val="009B005E"/>
    <w:rsid w:val="009B2FEA"/>
    <w:rsid w:val="009B3835"/>
    <w:rsid w:val="009B6C56"/>
    <w:rsid w:val="009C648F"/>
    <w:rsid w:val="009C791D"/>
    <w:rsid w:val="009D053E"/>
    <w:rsid w:val="009D1CDA"/>
    <w:rsid w:val="009D6F53"/>
    <w:rsid w:val="009E1516"/>
    <w:rsid w:val="009E1D2B"/>
    <w:rsid w:val="009E76BE"/>
    <w:rsid w:val="00A0279C"/>
    <w:rsid w:val="00A03C24"/>
    <w:rsid w:val="00A03E45"/>
    <w:rsid w:val="00A111FB"/>
    <w:rsid w:val="00A138C1"/>
    <w:rsid w:val="00A15B66"/>
    <w:rsid w:val="00A23515"/>
    <w:rsid w:val="00A235FD"/>
    <w:rsid w:val="00A2465D"/>
    <w:rsid w:val="00A25FDE"/>
    <w:rsid w:val="00A301F1"/>
    <w:rsid w:val="00A3216B"/>
    <w:rsid w:val="00A32B69"/>
    <w:rsid w:val="00A340CF"/>
    <w:rsid w:val="00A3589A"/>
    <w:rsid w:val="00A41620"/>
    <w:rsid w:val="00A416F4"/>
    <w:rsid w:val="00A42347"/>
    <w:rsid w:val="00A43C37"/>
    <w:rsid w:val="00A5127B"/>
    <w:rsid w:val="00A528AA"/>
    <w:rsid w:val="00A52ACF"/>
    <w:rsid w:val="00A53545"/>
    <w:rsid w:val="00A5623D"/>
    <w:rsid w:val="00A56B5F"/>
    <w:rsid w:val="00A63E0A"/>
    <w:rsid w:val="00A646F4"/>
    <w:rsid w:val="00A64F68"/>
    <w:rsid w:val="00A67008"/>
    <w:rsid w:val="00A700BE"/>
    <w:rsid w:val="00A70B29"/>
    <w:rsid w:val="00A718AB"/>
    <w:rsid w:val="00A82E5F"/>
    <w:rsid w:val="00A83AF9"/>
    <w:rsid w:val="00A84827"/>
    <w:rsid w:val="00A86103"/>
    <w:rsid w:val="00AA08AE"/>
    <w:rsid w:val="00AA37DF"/>
    <w:rsid w:val="00AA7B95"/>
    <w:rsid w:val="00AB0038"/>
    <w:rsid w:val="00AB018B"/>
    <w:rsid w:val="00AB1ABB"/>
    <w:rsid w:val="00AB244A"/>
    <w:rsid w:val="00AB2F5E"/>
    <w:rsid w:val="00AB4492"/>
    <w:rsid w:val="00AB63B3"/>
    <w:rsid w:val="00AB7FD5"/>
    <w:rsid w:val="00AC0934"/>
    <w:rsid w:val="00AC3DC4"/>
    <w:rsid w:val="00AC61D8"/>
    <w:rsid w:val="00AD1682"/>
    <w:rsid w:val="00AD1E7D"/>
    <w:rsid w:val="00AD321E"/>
    <w:rsid w:val="00AD5FF9"/>
    <w:rsid w:val="00AD78D3"/>
    <w:rsid w:val="00AE272F"/>
    <w:rsid w:val="00AE2C14"/>
    <w:rsid w:val="00AE3064"/>
    <w:rsid w:val="00AE5B38"/>
    <w:rsid w:val="00AF173F"/>
    <w:rsid w:val="00AF3E50"/>
    <w:rsid w:val="00AF5389"/>
    <w:rsid w:val="00AF714A"/>
    <w:rsid w:val="00B0370C"/>
    <w:rsid w:val="00B05761"/>
    <w:rsid w:val="00B123B7"/>
    <w:rsid w:val="00B23AB3"/>
    <w:rsid w:val="00B24540"/>
    <w:rsid w:val="00B246AF"/>
    <w:rsid w:val="00B2572C"/>
    <w:rsid w:val="00B277D4"/>
    <w:rsid w:val="00B32064"/>
    <w:rsid w:val="00B3222C"/>
    <w:rsid w:val="00B33AE9"/>
    <w:rsid w:val="00B34F57"/>
    <w:rsid w:val="00B424CC"/>
    <w:rsid w:val="00B4786D"/>
    <w:rsid w:val="00B52F68"/>
    <w:rsid w:val="00B60677"/>
    <w:rsid w:val="00B627DA"/>
    <w:rsid w:val="00B646FC"/>
    <w:rsid w:val="00B66EF7"/>
    <w:rsid w:val="00B71301"/>
    <w:rsid w:val="00B75857"/>
    <w:rsid w:val="00B81ADD"/>
    <w:rsid w:val="00B83DE8"/>
    <w:rsid w:val="00B84396"/>
    <w:rsid w:val="00B872F8"/>
    <w:rsid w:val="00B941B5"/>
    <w:rsid w:val="00BA1FDB"/>
    <w:rsid w:val="00BA202D"/>
    <w:rsid w:val="00BA6B28"/>
    <w:rsid w:val="00BB1C0F"/>
    <w:rsid w:val="00BB6535"/>
    <w:rsid w:val="00BC05EE"/>
    <w:rsid w:val="00BC1861"/>
    <w:rsid w:val="00BC292F"/>
    <w:rsid w:val="00BC7024"/>
    <w:rsid w:val="00BD451F"/>
    <w:rsid w:val="00BD4711"/>
    <w:rsid w:val="00BE1E5A"/>
    <w:rsid w:val="00BE3CA5"/>
    <w:rsid w:val="00BE406A"/>
    <w:rsid w:val="00BE56D3"/>
    <w:rsid w:val="00BE66CC"/>
    <w:rsid w:val="00BE7D36"/>
    <w:rsid w:val="00C023C9"/>
    <w:rsid w:val="00C056A2"/>
    <w:rsid w:val="00C11AD2"/>
    <w:rsid w:val="00C11B18"/>
    <w:rsid w:val="00C14A87"/>
    <w:rsid w:val="00C14D4A"/>
    <w:rsid w:val="00C1602E"/>
    <w:rsid w:val="00C20171"/>
    <w:rsid w:val="00C20EC7"/>
    <w:rsid w:val="00C255FA"/>
    <w:rsid w:val="00C27A7C"/>
    <w:rsid w:val="00C30AF9"/>
    <w:rsid w:val="00C35FDC"/>
    <w:rsid w:val="00C37B5E"/>
    <w:rsid w:val="00C4353D"/>
    <w:rsid w:val="00C4504B"/>
    <w:rsid w:val="00C505C9"/>
    <w:rsid w:val="00C521C2"/>
    <w:rsid w:val="00C56CD0"/>
    <w:rsid w:val="00C5705D"/>
    <w:rsid w:val="00C61F95"/>
    <w:rsid w:val="00C64D4E"/>
    <w:rsid w:val="00C66E05"/>
    <w:rsid w:val="00C67F72"/>
    <w:rsid w:val="00C71529"/>
    <w:rsid w:val="00C74C09"/>
    <w:rsid w:val="00C75D1E"/>
    <w:rsid w:val="00C800F9"/>
    <w:rsid w:val="00C91FEE"/>
    <w:rsid w:val="00C940B7"/>
    <w:rsid w:val="00C95040"/>
    <w:rsid w:val="00CA1A90"/>
    <w:rsid w:val="00CA4340"/>
    <w:rsid w:val="00CA599D"/>
    <w:rsid w:val="00CB2D17"/>
    <w:rsid w:val="00CB30E5"/>
    <w:rsid w:val="00CB4200"/>
    <w:rsid w:val="00CB507B"/>
    <w:rsid w:val="00CC5D15"/>
    <w:rsid w:val="00CD0EF1"/>
    <w:rsid w:val="00CD2A4C"/>
    <w:rsid w:val="00CD4450"/>
    <w:rsid w:val="00CD573E"/>
    <w:rsid w:val="00CD726F"/>
    <w:rsid w:val="00CD7EC6"/>
    <w:rsid w:val="00CE1508"/>
    <w:rsid w:val="00CE4185"/>
    <w:rsid w:val="00CE4600"/>
    <w:rsid w:val="00CE5D00"/>
    <w:rsid w:val="00CF33B2"/>
    <w:rsid w:val="00CF3B6A"/>
    <w:rsid w:val="00CF4A0D"/>
    <w:rsid w:val="00CF66E5"/>
    <w:rsid w:val="00CF6D40"/>
    <w:rsid w:val="00CF7759"/>
    <w:rsid w:val="00D02D73"/>
    <w:rsid w:val="00D02F04"/>
    <w:rsid w:val="00D03048"/>
    <w:rsid w:val="00D04971"/>
    <w:rsid w:val="00D04D21"/>
    <w:rsid w:val="00D122BC"/>
    <w:rsid w:val="00D1338B"/>
    <w:rsid w:val="00D158F8"/>
    <w:rsid w:val="00D203D5"/>
    <w:rsid w:val="00D21B24"/>
    <w:rsid w:val="00D24DD9"/>
    <w:rsid w:val="00D311B3"/>
    <w:rsid w:val="00D330CD"/>
    <w:rsid w:val="00D331F8"/>
    <w:rsid w:val="00D41435"/>
    <w:rsid w:val="00D42D35"/>
    <w:rsid w:val="00D4339D"/>
    <w:rsid w:val="00D43A10"/>
    <w:rsid w:val="00D43F17"/>
    <w:rsid w:val="00D44C6C"/>
    <w:rsid w:val="00D4637D"/>
    <w:rsid w:val="00D463F6"/>
    <w:rsid w:val="00D46DC4"/>
    <w:rsid w:val="00D50150"/>
    <w:rsid w:val="00D51891"/>
    <w:rsid w:val="00D55263"/>
    <w:rsid w:val="00D5771B"/>
    <w:rsid w:val="00D5773A"/>
    <w:rsid w:val="00D6341E"/>
    <w:rsid w:val="00D72F04"/>
    <w:rsid w:val="00D75025"/>
    <w:rsid w:val="00D77C40"/>
    <w:rsid w:val="00D77E26"/>
    <w:rsid w:val="00D80292"/>
    <w:rsid w:val="00D86FFB"/>
    <w:rsid w:val="00D935A1"/>
    <w:rsid w:val="00D93C23"/>
    <w:rsid w:val="00DA38FE"/>
    <w:rsid w:val="00DA3D7D"/>
    <w:rsid w:val="00DA4617"/>
    <w:rsid w:val="00DA5528"/>
    <w:rsid w:val="00DA67D9"/>
    <w:rsid w:val="00DA6BC7"/>
    <w:rsid w:val="00DB0927"/>
    <w:rsid w:val="00DB1338"/>
    <w:rsid w:val="00DB1AD5"/>
    <w:rsid w:val="00DB5A07"/>
    <w:rsid w:val="00DC3B2E"/>
    <w:rsid w:val="00DC5F47"/>
    <w:rsid w:val="00DD75CD"/>
    <w:rsid w:val="00DE141D"/>
    <w:rsid w:val="00DE3ED9"/>
    <w:rsid w:val="00DE401A"/>
    <w:rsid w:val="00DE5FB1"/>
    <w:rsid w:val="00DE6015"/>
    <w:rsid w:val="00DE7E85"/>
    <w:rsid w:val="00DF2C5F"/>
    <w:rsid w:val="00E01466"/>
    <w:rsid w:val="00E01DD9"/>
    <w:rsid w:val="00E135D6"/>
    <w:rsid w:val="00E13E45"/>
    <w:rsid w:val="00E1549B"/>
    <w:rsid w:val="00E207C3"/>
    <w:rsid w:val="00E243C3"/>
    <w:rsid w:val="00E30CFF"/>
    <w:rsid w:val="00E33362"/>
    <w:rsid w:val="00E35621"/>
    <w:rsid w:val="00E361AB"/>
    <w:rsid w:val="00E41B0D"/>
    <w:rsid w:val="00E42025"/>
    <w:rsid w:val="00E47C3C"/>
    <w:rsid w:val="00E512B0"/>
    <w:rsid w:val="00E57127"/>
    <w:rsid w:val="00E615DE"/>
    <w:rsid w:val="00E72C87"/>
    <w:rsid w:val="00E812CF"/>
    <w:rsid w:val="00E818FA"/>
    <w:rsid w:val="00E83EA0"/>
    <w:rsid w:val="00E843AF"/>
    <w:rsid w:val="00E84D2A"/>
    <w:rsid w:val="00E856D0"/>
    <w:rsid w:val="00E85AF1"/>
    <w:rsid w:val="00E85BC6"/>
    <w:rsid w:val="00E85D47"/>
    <w:rsid w:val="00E957C2"/>
    <w:rsid w:val="00E96345"/>
    <w:rsid w:val="00E9714C"/>
    <w:rsid w:val="00EA2221"/>
    <w:rsid w:val="00EA30A4"/>
    <w:rsid w:val="00EA5E98"/>
    <w:rsid w:val="00EA6091"/>
    <w:rsid w:val="00EA7E2F"/>
    <w:rsid w:val="00EB7BBD"/>
    <w:rsid w:val="00EC35AA"/>
    <w:rsid w:val="00EC4A51"/>
    <w:rsid w:val="00EC4CC6"/>
    <w:rsid w:val="00EC52CE"/>
    <w:rsid w:val="00EC659B"/>
    <w:rsid w:val="00EC6AF8"/>
    <w:rsid w:val="00EC7952"/>
    <w:rsid w:val="00ED0848"/>
    <w:rsid w:val="00ED35DC"/>
    <w:rsid w:val="00ED533B"/>
    <w:rsid w:val="00ED6378"/>
    <w:rsid w:val="00EE0F20"/>
    <w:rsid w:val="00EE2840"/>
    <w:rsid w:val="00EF0494"/>
    <w:rsid w:val="00EF1BD2"/>
    <w:rsid w:val="00EF706B"/>
    <w:rsid w:val="00F03DFD"/>
    <w:rsid w:val="00F077CC"/>
    <w:rsid w:val="00F10605"/>
    <w:rsid w:val="00F12EBE"/>
    <w:rsid w:val="00F23115"/>
    <w:rsid w:val="00F23B69"/>
    <w:rsid w:val="00F24B96"/>
    <w:rsid w:val="00F34760"/>
    <w:rsid w:val="00F3493E"/>
    <w:rsid w:val="00F35EFE"/>
    <w:rsid w:val="00F40243"/>
    <w:rsid w:val="00F40D93"/>
    <w:rsid w:val="00F42C14"/>
    <w:rsid w:val="00F43511"/>
    <w:rsid w:val="00F45E68"/>
    <w:rsid w:val="00F46EDF"/>
    <w:rsid w:val="00F51FDA"/>
    <w:rsid w:val="00F531E5"/>
    <w:rsid w:val="00F53406"/>
    <w:rsid w:val="00F554CB"/>
    <w:rsid w:val="00F55658"/>
    <w:rsid w:val="00F5637A"/>
    <w:rsid w:val="00F57ACF"/>
    <w:rsid w:val="00F63735"/>
    <w:rsid w:val="00F709B7"/>
    <w:rsid w:val="00F70D96"/>
    <w:rsid w:val="00F71D11"/>
    <w:rsid w:val="00F74937"/>
    <w:rsid w:val="00F74E28"/>
    <w:rsid w:val="00F75250"/>
    <w:rsid w:val="00F753C8"/>
    <w:rsid w:val="00F810BD"/>
    <w:rsid w:val="00F81C94"/>
    <w:rsid w:val="00F83E0D"/>
    <w:rsid w:val="00F9560A"/>
    <w:rsid w:val="00FB4B61"/>
    <w:rsid w:val="00FC67F2"/>
    <w:rsid w:val="00FD079B"/>
    <w:rsid w:val="00FD2693"/>
    <w:rsid w:val="00FD2C7D"/>
    <w:rsid w:val="00FD32C0"/>
    <w:rsid w:val="00FD35DD"/>
    <w:rsid w:val="00FD7240"/>
    <w:rsid w:val="00FD7350"/>
    <w:rsid w:val="00FD7C60"/>
    <w:rsid w:val="00FE2D30"/>
    <w:rsid w:val="00FE4009"/>
    <w:rsid w:val="00FE44BA"/>
    <w:rsid w:val="00FF6CBB"/>
    <w:rsid w:val="00FF78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1B3C10"/>
  <w15:chartTrackingRefBased/>
  <w15:docId w15:val="{49C198BF-9B81-499E-8432-533C30364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130744"/>
    <w:pPr>
      <w:spacing w:line="480" w:lineRule="auto"/>
      <w:outlineLvl w:val="0"/>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54CE"/>
    <w:pPr>
      <w:spacing w:before="100" w:beforeAutospacing="1" w:after="100" w:afterAutospacing="1"/>
    </w:pPr>
  </w:style>
  <w:style w:type="table" w:styleId="TableGrid">
    <w:name w:val="Table Grid"/>
    <w:basedOn w:val="TableNormal"/>
    <w:rsid w:val="00F75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B5A07"/>
    <w:rPr>
      <w:sz w:val="16"/>
      <w:szCs w:val="16"/>
    </w:rPr>
  </w:style>
  <w:style w:type="paragraph" w:styleId="CommentText">
    <w:name w:val="annotation text"/>
    <w:basedOn w:val="Normal"/>
    <w:link w:val="CommentTextChar"/>
    <w:rsid w:val="00DB5A07"/>
    <w:rPr>
      <w:sz w:val="20"/>
      <w:szCs w:val="20"/>
    </w:rPr>
  </w:style>
  <w:style w:type="character" w:customStyle="1" w:styleId="CommentTextChar">
    <w:name w:val="Comment Text Char"/>
    <w:basedOn w:val="DefaultParagraphFont"/>
    <w:link w:val="CommentText"/>
    <w:rsid w:val="00DB5A07"/>
  </w:style>
  <w:style w:type="paragraph" w:styleId="CommentSubject">
    <w:name w:val="annotation subject"/>
    <w:basedOn w:val="CommentText"/>
    <w:next w:val="CommentText"/>
    <w:link w:val="CommentSubjectChar"/>
    <w:semiHidden/>
    <w:unhideWhenUsed/>
    <w:rsid w:val="00DB5A07"/>
    <w:rPr>
      <w:b/>
      <w:bCs/>
    </w:rPr>
  </w:style>
  <w:style w:type="character" w:customStyle="1" w:styleId="CommentSubjectChar">
    <w:name w:val="Comment Subject Char"/>
    <w:basedOn w:val="CommentTextChar"/>
    <w:link w:val="CommentSubject"/>
    <w:semiHidden/>
    <w:rsid w:val="00DB5A07"/>
    <w:rPr>
      <w:b/>
      <w:bCs/>
    </w:rPr>
  </w:style>
  <w:style w:type="paragraph" w:styleId="BalloonText">
    <w:name w:val="Balloon Text"/>
    <w:basedOn w:val="Normal"/>
    <w:link w:val="BalloonTextChar"/>
    <w:semiHidden/>
    <w:unhideWhenUsed/>
    <w:rsid w:val="00DB5A07"/>
    <w:rPr>
      <w:rFonts w:ascii="Segoe UI" w:hAnsi="Segoe UI" w:cs="Segoe UI"/>
      <w:sz w:val="18"/>
      <w:szCs w:val="18"/>
    </w:rPr>
  </w:style>
  <w:style w:type="character" w:customStyle="1" w:styleId="BalloonTextChar">
    <w:name w:val="Balloon Text Char"/>
    <w:basedOn w:val="DefaultParagraphFont"/>
    <w:link w:val="BalloonText"/>
    <w:semiHidden/>
    <w:rsid w:val="00DB5A07"/>
    <w:rPr>
      <w:rFonts w:ascii="Segoe UI" w:hAnsi="Segoe UI" w:cs="Segoe UI"/>
      <w:sz w:val="18"/>
      <w:szCs w:val="18"/>
    </w:rPr>
  </w:style>
  <w:style w:type="character" w:styleId="Hyperlink">
    <w:name w:val="Hyperlink"/>
    <w:basedOn w:val="DefaultParagraphFont"/>
    <w:rsid w:val="00CB30E5"/>
    <w:rPr>
      <w:color w:val="0563C1" w:themeColor="hyperlink"/>
      <w:u w:val="single"/>
    </w:rPr>
  </w:style>
  <w:style w:type="character" w:styleId="FollowedHyperlink">
    <w:name w:val="FollowedHyperlink"/>
    <w:basedOn w:val="DefaultParagraphFont"/>
    <w:rsid w:val="007C07BF"/>
    <w:rPr>
      <w:color w:val="954F72" w:themeColor="followedHyperlink"/>
      <w:u w:val="single"/>
    </w:rPr>
  </w:style>
  <w:style w:type="character" w:customStyle="1" w:styleId="UnresolvedMention1">
    <w:name w:val="Unresolved Mention1"/>
    <w:basedOn w:val="DefaultParagraphFont"/>
    <w:uiPriority w:val="99"/>
    <w:semiHidden/>
    <w:unhideWhenUsed/>
    <w:rsid w:val="00084F5F"/>
    <w:rPr>
      <w:color w:val="605E5C"/>
      <w:shd w:val="clear" w:color="auto" w:fill="E1DFDD"/>
    </w:rPr>
  </w:style>
  <w:style w:type="character" w:styleId="Emphasis">
    <w:name w:val="Emphasis"/>
    <w:basedOn w:val="DefaultParagraphFont"/>
    <w:uiPriority w:val="20"/>
    <w:qFormat/>
    <w:rsid w:val="005F0172"/>
    <w:rPr>
      <w:i/>
      <w:iCs/>
    </w:rPr>
  </w:style>
  <w:style w:type="character" w:customStyle="1" w:styleId="UnresolvedMention2">
    <w:name w:val="Unresolved Mention2"/>
    <w:basedOn w:val="DefaultParagraphFont"/>
    <w:uiPriority w:val="99"/>
    <w:semiHidden/>
    <w:unhideWhenUsed/>
    <w:rsid w:val="00167496"/>
    <w:rPr>
      <w:color w:val="605E5C"/>
      <w:shd w:val="clear" w:color="auto" w:fill="E1DFDD"/>
    </w:rPr>
  </w:style>
  <w:style w:type="character" w:customStyle="1" w:styleId="cit">
    <w:name w:val="cit"/>
    <w:basedOn w:val="DefaultParagraphFont"/>
    <w:rsid w:val="00F74937"/>
  </w:style>
  <w:style w:type="paragraph" w:styleId="Title">
    <w:name w:val="Title"/>
    <w:basedOn w:val="Normal"/>
    <w:next w:val="Normal"/>
    <w:link w:val="TitleChar"/>
    <w:qFormat/>
    <w:rsid w:val="00130744"/>
    <w:pPr>
      <w:spacing w:line="480" w:lineRule="auto"/>
      <w:jc w:val="center"/>
    </w:pPr>
    <w:rPr>
      <w:b/>
      <w:bCs/>
      <w:lang w:val="en-US"/>
    </w:rPr>
  </w:style>
  <w:style w:type="character" w:customStyle="1" w:styleId="TitleChar">
    <w:name w:val="Title Char"/>
    <w:basedOn w:val="DefaultParagraphFont"/>
    <w:link w:val="Title"/>
    <w:rsid w:val="00130744"/>
    <w:rPr>
      <w:b/>
      <w:bCs/>
      <w:sz w:val="24"/>
      <w:szCs w:val="24"/>
      <w:lang w:val="en-US"/>
    </w:rPr>
  </w:style>
  <w:style w:type="character" w:customStyle="1" w:styleId="Heading1Char">
    <w:name w:val="Heading 1 Char"/>
    <w:basedOn w:val="DefaultParagraphFont"/>
    <w:link w:val="Heading1"/>
    <w:rsid w:val="00130744"/>
    <w:rPr>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80741">
      <w:bodyDiv w:val="1"/>
      <w:marLeft w:val="0"/>
      <w:marRight w:val="0"/>
      <w:marTop w:val="0"/>
      <w:marBottom w:val="0"/>
      <w:divBdr>
        <w:top w:val="none" w:sz="0" w:space="0" w:color="auto"/>
        <w:left w:val="none" w:sz="0" w:space="0" w:color="auto"/>
        <w:bottom w:val="none" w:sz="0" w:space="0" w:color="auto"/>
        <w:right w:val="none" w:sz="0" w:space="0" w:color="auto"/>
      </w:divBdr>
    </w:div>
    <w:div w:id="148834340">
      <w:bodyDiv w:val="1"/>
      <w:marLeft w:val="0"/>
      <w:marRight w:val="0"/>
      <w:marTop w:val="0"/>
      <w:marBottom w:val="0"/>
      <w:divBdr>
        <w:top w:val="none" w:sz="0" w:space="0" w:color="auto"/>
        <w:left w:val="none" w:sz="0" w:space="0" w:color="auto"/>
        <w:bottom w:val="none" w:sz="0" w:space="0" w:color="auto"/>
        <w:right w:val="none" w:sz="0" w:space="0" w:color="auto"/>
      </w:divBdr>
      <w:divsChild>
        <w:div w:id="25644401">
          <w:marLeft w:val="547"/>
          <w:marRight w:val="0"/>
          <w:marTop w:val="96"/>
          <w:marBottom w:val="0"/>
          <w:divBdr>
            <w:top w:val="none" w:sz="0" w:space="0" w:color="auto"/>
            <w:left w:val="none" w:sz="0" w:space="0" w:color="auto"/>
            <w:bottom w:val="none" w:sz="0" w:space="0" w:color="auto"/>
            <w:right w:val="none" w:sz="0" w:space="0" w:color="auto"/>
          </w:divBdr>
        </w:div>
        <w:div w:id="1660304835">
          <w:marLeft w:val="547"/>
          <w:marRight w:val="0"/>
          <w:marTop w:val="96"/>
          <w:marBottom w:val="0"/>
          <w:divBdr>
            <w:top w:val="none" w:sz="0" w:space="0" w:color="auto"/>
            <w:left w:val="none" w:sz="0" w:space="0" w:color="auto"/>
            <w:bottom w:val="none" w:sz="0" w:space="0" w:color="auto"/>
            <w:right w:val="none" w:sz="0" w:space="0" w:color="auto"/>
          </w:divBdr>
        </w:div>
      </w:divsChild>
    </w:div>
    <w:div w:id="171379430">
      <w:bodyDiv w:val="1"/>
      <w:marLeft w:val="0"/>
      <w:marRight w:val="0"/>
      <w:marTop w:val="0"/>
      <w:marBottom w:val="0"/>
      <w:divBdr>
        <w:top w:val="none" w:sz="0" w:space="0" w:color="auto"/>
        <w:left w:val="none" w:sz="0" w:space="0" w:color="auto"/>
        <w:bottom w:val="none" w:sz="0" w:space="0" w:color="auto"/>
        <w:right w:val="none" w:sz="0" w:space="0" w:color="auto"/>
      </w:divBdr>
    </w:div>
    <w:div w:id="240259735">
      <w:bodyDiv w:val="1"/>
      <w:marLeft w:val="0"/>
      <w:marRight w:val="0"/>
      <w:marTop w:val="0"/>
      <w:marBottom w:val="0"/>
      <w:divBdr>
        <w:top w:val="none" w:sz="0" w:space="0" w:color="auto"/>
        <w:left w:val="none" w:sz="0" w:space="0" w:color="auto"/>
        <w:bottom w:val="none" w:sz="0" w:space="0" w:color="auto"/>
        <w:right w:val="none" w:sz="0" w:space="0" w:color="auto"/>
      </w:divBdr>
    </w:div>
    <w:div w:id="330527488">
      <w:bodyDiv w:val="1"/>
      <w:marLeft w:val="0"/>
      <w:marRight w:val="0"/>
      <w:marTop w:val="0"/>
      <w:marBottom w:val="0"/>
      <w:divBdr>
        <w:top w:val="none" w:sz="0" w:space="0" w:color="auto"/>
        <w:left w:val="none" w:sz="0" w:space="0" w:color="auto"/>
        <w:bottom w:val="none" w:sz="0" w:space="0" w:color="auto"/>
        <w:right w:val="none" w:sz="0" w:space="0" w:color="auto"/>
      </w:divBdr>
    </w:div>
    <w:div w:id="355933921">
      <w:bodyDiv w:val="1"/>
      <w:marLeft w:val="0"/>
      <w:marRight w:val="0"/>
      <w:marTop w:val="0"/>
      <w:marBottom w:val="0"/>
      <w:divBdr>
        <w:top w:val="none" w:sz="0" w:space="0" w:color="auto"/>
        <w:left w:val="none" w:sz="0" w:space="0" w:color="auto"/>
        <w:bottom w:val="none" w:sz="0" w:space="0" w:color="auto"/>
        <w:right w:val="none" w:sz="0" w:space="0" w:color="auto"/>
      </w:divBdr>
    </w:div>
    <w:div w:id="364987921">
      <w:bodyDiv w:val="1"/>
      <w:marLeft w:val="0"/>
      <w:marRight w:val="0"/>
      <w:marTop w:val="0"/>
      <w:marBottom w:val="0"/>
      <w:divBdr>
        <w:top w:val="none" w:sz="0" w:space="0" w:color="auto"/>
        <w:left w:val="none" w:sz="0" w:space="0" w:color="auto"/>
        <w:bottom w:val="none" w:sz="0" w:space="0" w:color="auto"/>
        <w:right w:val="none" w:sz="0" w:space="0" w:color="auto"/>
      </w:divBdr>
    </w:div>
    <w:div w:id="378943652">
      <w:bodyDiv w:val="1"/>
      <w:marLeft w:val="0"/>
      <w:marRight w:val="0"/>
      <w:marTop w:val="0"/>
      <w:marBottom w:val="0"/>
      <w:divBdr>
        <w:top w:val="none" w:sz="0" w:space="0" w:color="auto"/>
        <w:left w:val="none" w:sz="0" w:space="0" w:color="auto"/>
        <w:bottom w:val="none" w:sz="0" w:space="0" w:color="auto"/>
        <w:right w:val="none" w:sz="0" w:space="0" w:color="auto"/>
      </w:divBdr>
    </w:div>
    <w:div w:id="515536173">
      <w:bodyDiv w:val="1"/>
      <w:marLeft w:val="0"/>
      <w:marRight w:val="0"/>
      <w:marTop w:val="0"/>
      <w:marBottom w:val="0"/>
      <w:divBdr>
        <w:top w:val="none" w:sz="0" w:space="0" w:color="auto"/>
        <w:left w:val="none" w:sz="0" w:space="0" w:color="auto"/>
        <w:bottom w:val="none" w:sz="0" w:space="0" w:color="auto"/>
        <w:right w:val="none" w:sz="0" w:space="0" w:color="auto"/>
      </w:divBdr>
    </w:div>
    <w:div w:id="668751741">
      <w:bodyDiv w:val="1"/>
      <w:marLeft w:val="0"/>
      <w:marRight w:val="0"/>
      <w:marTop w:val="0"/>
      <w:marBottom w:val="0"/>
      <w:divBdr>
        <w:top w:val="none" w:sz="0" w:space="0" w:color="auto"/>
        <w:left w:val="none" w:sz="0" w:space="0" w:color="auto"/>
        <w:bottom w:val="none" w:sz="0" w:space="0" w:color="auto"/>
        <w:right w:val="none" w:sz="0" w:space="0" w:color="auto"/>
      </w:divBdr>
    </w:div>
    <w:div w:id="696779412">
      <w:bodyDiv w:val="1"/>
      <w:marLeft w:val="0"/>
      <w:marRight w:val="0"/>
      <w:marTop w:val="0"/>
      <w:marBottom w:val="0"/>
      <w:divBdr>
        <w:top w:val="none" w:sz="0" w:space="0" w:color="auto"/>
        <w:left w:val="none" w:sz="0" w:space="0" w:color="auto"/>
        <w:bottom w:val="none" w:sz="0" w:space="0" w:color="auto"/>
        <w:right w:val="none" w:sz="0" w:space="0" w:color="auto"/>
      </w:divBdr>
    </w:div>
    <w:div w:id="949822091">
      <w:bodyDiv w:val="1"/>
      <w:marLeft w:val="0"/>
      <w:marRight w:val="0"/>
      <w:marTop w:val="0"/>
      <w:marBottom w:val="0"/>
      <w:divBdr>
        <w:top w:val="none" w:sz="0" w:space="0" w:color="auto"/>
        <w:left w:val="none" w:sz="0" w:space="0" w:color="auto"/>
        <w:bottom w:val="none" w:sz="0" w:space="0" w:color="auto"/>
        <w:right w:val="none" w:sz="0" w:space="0" w:color="auto"/>
      </w:divBdr>
    </w:div>
    <w:div w:id="1086879368">
      <w:bodyDiv w:val="1"/>
      <w:marLeft w:val="0"/>
      <w:marRight w:val="0"/>
      <w:marTop w:val="0"/>
      <w:marBottom w:val="0"/>
      <w:divBdr>
        <w:top w:val="none" w:sz="0" w:space="0" w:color="auto"/>
        <w:left w:val="none" w:sz="0" w:space="0" w:color="auto"/>
        <w:bottom w:val="none" w:sz="0" w:space="0" w:color="auto"/>
        <w:right w:val="none" w:sz="0" w:space="0" w:color="auto"/>
      </w:divBdr>
    </w:div>
    <w:div w:id="1168249911">
      <w:bodyDiv w:val="1"/>
      <w:marLeft w:val="0"/>
      <w:marRight w:val="0"/>
      <w:marTop w:val="0"/>
      <w:marBottom w:val="0"/>
      <w:divBdr>
        <w:top w:val="none" w:sz="0" w:space="0" w:color="auto"/>
        <w:left w:val="none" w:sz="0" w:space="0" w:color="auto"/>
        <w:bottom w:val="none" w:sz="0" w:space="0" w:color="auto"/>
        <w:right w:val="none" w:sz="0" w:space="0" w:color="auto"/>
      </w:divBdr>
    </w:div>
    <w:div w:id="1189567301">
      <w:bodyDiv w:val="1"/>
      <w:marLeft w:val="0"/>
      <w:marRight w:val="0"/>
      <w:marTop w:val="0"/>
      <w:marBottom w:val="0"/>
      <w:divBdr>
        <w:top w:val="none" w:sz="0" w:space="0" w:color="auto"/>
        <w:left w:val="none" w:sz="0" w:space="0" w:color="auto"/>
        <w:bottom w:val="none" w:sz="0" w:space="0" w:color="auto"/>
        <w:right w:val="none" w:sz="0" w:space="0" w:color="auto"/>
      </w:divBdr>
    </w:div>
    <w:div w:id="1211263190">
      <w:bodyDiv w:val="1"/>
      <w:marLeft w:val="0"/>
      <w:marRight w:val="0"/>
      <w:marTop w:val="0"/>
      <w:marBottom w:val="0"/>
      <w:divBdr>
        <w:top w:val="none" w:sz="0" w:space="0" w:color="auto"/>
        <w:left w:val="none" w:sz="0" w:space="0" w:color="auto"/>
        <w:bottom w:val="none" w:sz="0" w:space="0" w:color="auto"/>
        <w:right w:val="none" w:sz="0" w:space="0" w:color="auto"/>
      </w:divBdr>
    </w:div>
    <w:div w:id="1315261029">
      <w:bodyDiv w:val="1"/>
      <w:marLeft w:val="0"/>
      <w:marRight w:val="0"/>
      <w:marTop w:val="0"/>
      <w:marBottom w:val="0"/>
      <w:divBdr>
        <w:top w:val="none" w:sz="0" w:space="0" w:color="auto"/>
        <w:left w:val="none" w:sz="0" w:space="0" w:color="auto"/>
        <w:bottom w:val="none" w:sz="0" w:space="0" w:color="auto"/>
        <w:right w:val="none" w:sz="0" w:space="0" w:color="auto"/>
      </w:divBdr>
      <w:divsChild>
        <w:div w:id="407846435">
          <w:marLeft w:val="0"/>
          <w:marRight w:val="0"/>
          <w:marTop w:val="0"/>
          <w:marBottom w:val="0"/>
          <w:divBdr>
            <w:top w:val="none" w:sz="0" w:space="0" w:color="auto"/>
            <w:left w:val="none" w:sz="0" w:space="0" w:color="auto"/>
            <w:bottom w:val="none" w:sz="0" w:space="0" w:color="auto"/>
            <w:right w:val="none" w:sz="0" w:space="0" w:color="auto"/>
          </w:divBdr>
        </w:div>
      </w:divsChild>
    </w:div>
    <w:div w:id="1435394499">
      <w:bodyDiv w:val="1"/>
      <w:marLeft w:val="0"/>
      <w:marRight w:val="0"/>
      <w:marTop w:val="0"/>
      <w:marBottom w:val="0"/>
      <w:divBdr>
        <w:top w:val="none" w:sz="0" w:space="0" w:color="auto"/>
        <w:left w:val="none" w:sz="0" w:space="0" w:color="auto"/>
        <w:bottom w:val="none" w:sz="0" w:space="0" w:color="auto"/>
        <w:right w:val="none" w:sz="0" w:space="0" w:color="auto"/>
      </w:divBdr>
    </w:div>
    <w:div w:id="1686325859">
      <w:bodyDiv w:val="1"/>
      <w:marLeft w:val="0"/>
      <w:marRight w:val="0"/>
      <w:marTop w:val="0"/>
      <w:marBottom w:val="0"/>
      <w:divBdr>
        <w:top w:val="none" w:sz="0" w:space="0" w:color="auto"/>
        <w:left w:val="none" w:sz="0" w:space="0" w:color="auto"/>
        <w:bottom w:val="none" w:sz="0" w:space="0" w:color="auto"/>
        <w:right w:val="none" w:sz="0" w:space="0" w:color="auto"/>
      </w:divBdr>
    </w:div>
    <w:div w:id="1720089961">
      <w:bodyDiv w:val="1"/>
      <w:marLeft w:val="0"/>
      <w:marRight w:val="0"/>
      <w:marTop w:val="0"/>
      <w:marBottom w:val="0"/>
      <w:divBdr>
        <w:top w:val="none" w:sz="0" w:space="0" w:color="auto"/>
        <w:left w:val="none" w:sz="0" w:space="0" w:color="auto"/>
        <w:bottom w:val="none" w:sz="0" w:space="0" w:color="auto"/>
        <w:right w:val="none" w:sz="0" w:space="0" w:color="auto"/>
      </w:divBdr>
    </w:div>
    <w:div w:id="1761949724">
      <w:bodyDiv w:val="1"/>
      <w:marLeft w:val="0"/>
      <w:marRight w:val="0"/>
      <w:marTop w:val="0"/>
      <w:marBottom w:val="0"/>
      <w:divBdr>
        <w:top w:val="none" w:sz="0" w:space="0" w:color="auto"/>
        <w:left w:val="none" w:sz="0" w:space="0" w:color="auto"/>
        <w:bottom w:val="none" w:sz="0" w:space="0" w:color="auto"/>
        <w:right w:val="none" w:sz="0" w:space="0" w:color="auto"/>
      </w:divBdr>
    </w:div>
    <w:div w:id="1801916917">
      <w:bodyDiv w:val="1"/>
      <w:marLeft w:val="0"/>
      <w:marRight w:val="0"/>
      <w:marTop w:val="0"/>
      <w:marBottom w:val="0"/>
      <w:divBdr>
        <w:top w:val="none" w:sz="0" w:space="0" w:color="auto"/>
        <w:left w:val="none" w:sz="0" w:space="0" w:color="auto"/>
        <w:bottom w:val="none" w:sz="0" w:space="0" w:color="auto"/>
        <w:right w:val="none" w:sz="0" w:space="0" w:color="auto"/>
      </w:divBdr>
    </w:div>
    <w:div w:id="1950576725">
      <w:bodyDiv w:val="1"/>
      <w:marLeft w:val="0"/>
      <w:marRight w:val="0"/>
      <w:marTop w:val="0"/>
      <w:marBottom w:val="0"/>
      <w:divBdr>
        <w:top w:val="none" w:sz="0" w:space="0" w:color="auto"/>
        <w:left w:val="none" w:sz="0" w:space="0" w:color="auto"/>
        <w:bottom w:val="none" w:sz="0" w:space="0" w:color="auto"/>
        <w:right w:val="none" w:sz="0" w:space="0" w:color="auto"/>
      </w:divBdr>
    </w:div>
    <w:div w:id="1996109327">
      <w:bodyDiv w:val="1"/>
      <w:marLeft w:val="0"/>
      <w:marRight w:val="0"/>
      <w:marTop w:val="0"/>
      <w:marBottom w:val="0"/>
      <w:divBdr>
        <w:top w:val="none" w:sz="0" w:space="0" w:color="auto"/>
        <w:left w:val="none" w:sz="0" w:space="0" w:color="auto"/>
        <w:bottom w:val="none" w:sz="0" w:space="0" w:color="auto"/>
        <w:right w:val="none" w:sz="0" w:space="0" w:color="auto"/>
      </w:divBdr>
      <w:divsChild>
        <w:div w:id="592471240">
          <w:marLeft w:val="547"/>
          <w:marRight w:val="0"/>
          <w:marTop w:val="77"/>
          <w:marBottom w:val="0"/>
          <w:divBdr>
            <w:top w:val="none" w:sz="0" w:space="0" w:color="auto"/>
            <w:left w:val="none" w:sz="0" w:space="0" w:color="auto"/>
            <w:bottom w:val="none" w:sz="0" w:space="0" w:color="auto"/>
            <w:right w:val="none" w:sz="0" w:space="0" w:color="auto"/>
          </w:divBdr>
        </w:div>
      </w:divsChild>
    </w:div>
    <w:div w:id="206177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1049732308328052" TargetMode="External"/><Relationship Id="rId13" Type="http://schemas.openxmlformats.org/officeDocument/2006/relationships/hyperlink" Target="https://doi.org/10.1080/13603116.2018.1442507" TargetMode="External"/><Relationship Id="rId18" Type="http://schemas.openxmlformats.org/officeDocument/2006/relationships/hyperlink" Target="https://www.hesa.ac.uk/data-and-analysis/students/whos-in-he" TargetMode="External"/><Relationship Id="rId26" Type="http://schemas.openxmlformats.org/officeDocument/2006/relationships/hyperlink" Target="https://www.universitiesuk.ac.uk/policy-and-analysis/reports/Documents/2015/student-mental-wellbeing-in-he.pdf" TargetMode="External"/><Relationship Id="rId3" Type="http://schemas.openxmlformats.org/officeDocument/2006/relationships/styles" Target="styles.xml"/><Relationship Id="rId21" Type="http://schemas.openxmlformats.org/officeDocument/2006/relationships/hyperlink" Target="https://doi.org/10.1177%2F0308022616638672" TargetMode="External"/><Relationship Id="rId7" Type="http://schemas.openxmlformats.org/officeDocument/2006/relationships/hyperlink" Target="https://doi.org/10.1111/j.1365-2648.2009.05098.x" TargetMode="External"/><Relationship Id="rId12" Type="http://schemas.openxmlformats.org/officeDocument/2006/relationships/hyperlink" Target="https://doi.org/10.1177%2F0193945916651265" TargetMode="External"/><Relationship Id="rId17" Type="http://schemas.openxmlformats.org/officeDocument/2006/relationships/hyperlink" Target="https://doi.org/10.1016/j.jcjd.2013.04.009" TargetMode="External"/><Relationship Id="rId25" Type="http://schemas.openxmlformats.org/officeDocument/2006/relationships/hyperlink" Target="https://doi.org/10.1002/acr.22749" TargetMode="External"/><Relationship Id="rId2" Type="http://schemas.openxmlformats.org/officeDocument/2006/relationships/numbering" Target="numbering.xml"/><Relationship Id="rId16" Type="http://schemas.openxmlformats.org/officeDocument/2006/relationships/hyperlink" Target="https://psycnet.apa.org/doi/10.1353/csd.2014.0052" TargetMode="External"/><Relationship Id="rId20" Type="http://schemas.openxmlformats.org/officeDocument/2006/relationships/hyperlink" Target="https://doi.org/10.1016/j.pedn.2018.10.020" TargetMode="External"/><Relationship Id="rId29" Type="http://schemas.openxmlformats.org/officeDocument/2006/relationships/hyperlink" Target="https://www.who.int/teams/health-promotion/enhanced-wellbeing/healthy-settings" TargetMode="External"/><Relationship Id="rId1" Type="http://schemas.openxmlformats.org/officeDocument/2006/relationships/customXml" Target="../customXml/item1.xml"/><Relationship Id="rId6" Type="http://schemas.openxmlformats.org/officeDocument/2006/relationships/hyperlink" Target="https://doi.org/10.1111/j.1467-9566.2007.00476.x" TargetMode="External"/><Relationship Id="rId11" Type="http://schemas.openxmlformats.org/officeDocument/2006/relationships/hyperlink" Target="https://doi.org/10.3109/02770900903184229" TargetMode="External"/><Relationship Id="rId24" Type="http://schemas.openxmlformats.org/officeDocument/2006/relationships/hyperlink" Target="https://doi.org/10.1177/1363459319889088" TargetMode="External"/><Relationship Id="rId5" Type="http://schemas.openxmlformats.org/officeDocument/2006/relationships/webSettings" Target="webSettings.xml"/><Relationship Id="rId15" Type="http://schemas.openxmlformats.org/officeDocument/2006/relationships/hyperlink" Target="https://doi.org/10.1177/1359105318810875" TargetMode="External"/><Relationship Id="rId23" Type="http://schemas.openxmlformats.org/officeDocument/2006/relationships/hyperlink" Target="https://doi.org/10.1177%2F0017896917738120" TargetMode="External"/><Relationship Id="rId28" Type="http://schemas.openxmlformats.org/officeDocument/2006/relationships/hyperlink" Target="https://doi.org/10.1111/hex.12944" TargetMode="External"/><Relationship Id="rId10" Type="http://schemas.openxmlformats.org/officeDocument/2006/relationships/hyperlink" Target="https://assets.publishing.service.gov.uk/government/uploads/system/uploads/attachment_data/file/664855/Transforming_children_and_young_people_s_mental_health_provision.pdf" TargetMode="External"/><Relationship Id="rId19" Type="http://schemas.openxmlformats.org/officeDocument/2006/relationships/hyperlink" Target="https://doi.org/10.1016/j.jadohealth.2010.12.0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1080/02770900601182418" TargetMode="External"/><Relationship Id="rId14" Type="http://schemas.openxmlformats.org/officeDocument/2006/relationships/hyperlink" Target="http://dx.doi.org/10.1155/2013/206574" TargetMode="External"/><Relationship Id="rId22" Type="http://schemas.openxmlformats.org/officeDocument/2006/relationships/hyperlink" Target="https://doi.org/10.1177/13607804221078028" TargetMode="External"/><Relationship Id="rId27" Type="http://schemas.openxmlformats.org/officeDocument/2006/relationships/hyperlink" Target="https://doi.org/10.1080/03075070500340036"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D07E7-BC4E-413B-B2FF-06FA3DAB8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6982</Words>
  <Characters>39802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46691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Ceri</dc:creator>
  <cp:keywords/>
  <dc:description/>
  <cp:lastModifiedBy>Blanshard, Lisa</cp:lastModifiedBy>
  <cp:revision>4</cp:revision>
  <dcterms:created xsi:type="dcterms:W3CDTF">2022-04-11T10:08:00Z</dcterms:created>
  <dcterms:modified xsi:type="dcterms:W3CDTF">2022-04-13T12:36:00Z</dcterms:modified>
</cp:coreProperties>
</file>