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58653" w14:textId="157B23D0" w:rsidR="003D25A1" w:rsidRDefault="003D25A1" w:rsidP="007458FF">
      <w:pPr>
        <w:spacing w:line="360" w:lineRule="auto"/>
        <w:rPr>
          <w:b/>
        </w:rPr>
      </w:pPr>
      <w:r>
        <w:rPr>
          <w:b/>
        </w:rPr>
        <w:t xml:space="preserve">Chapter 1 </w:t>
      </w:r>
    </w:p>
    <w:p w14:paraId="6756405A" w14:textId="20BB2C0C" w:rsidR="007458FF" w:rsidRPr="007458FF" w:rsidRDefault="003D25A1" w:rsidP="007458FF">
      <w:pPr>
        <w:spacing w:line="360" w:lineRule="auto"/>
        <w:rPr>
          <w:b/>
        </w:rPr>
      </w:pPr>
      <w:r>
        <w:rPr>
          <w:b/>
        </w:rPr>
        <w:t>‘</w:t>
      </w:r>
      <w:r w:rsidR="00DB4253" w:rsidRPr="007458FF">
        <w:rPr>
          <w:b/>
        </w:rPr>
        <w:t>I can barely provide the common necessaries of life</w:t>
      </w:r>
      <w:r>
        <w:rPr>
          <w:b/>
        </w:rPr>
        <w:t>’</w:t>
      </w:r>
      <w:r w:rsidR="00DB4253" w:rsidRPr="007458FF">
        <w:rPr>
          <w:b/>
        </w:rPr>
        <w:t xml:space="preserve">: Material </w:t>
      </w:r>
      <w:r w:rsidR="00BC2C95" w:rsidRPr="007458FF">
        <w:rPr>
          <w:b/>
        </w:rPr>
        <w:t>wealth</w:t>
      </w:r>
      <w:r w:rsidR="00DB4253" w:rsidRPr="007458FF">
        <w:rPr>
          <w:b/>
        </w:rPr>
        <w:t xml:space="preserve"> over the life-cycle of the English poor, 1790-</w:t>
      </w:r>
      <w:r w:rsidR="00523095" w:rsidRPr="007458FF">
        <w:rPr>
          <w:b/>
        </w:rPr>
        <w:t>1834</w:t>
      </w:r>
    </w:p>
    <w:p w14:paraId="2F25EA59" w14:textId="1D9A5CD3" w:rsidR="00674986" w:rsidRPr="007458FF" w:rsidRDefault="007458FF" w:rsidP="008F490C">
      <w:pPr>
        <w:spacing w:line="360" w:lineRule="auto"/>
        <w:rPr>
          <w:bCs/>
          <w:i/>
          <w:iCs/>
        </w:rPr>
      </w:pPr>
      <w:r w:rsidRPr="007458FF">
        <w:rPr>
          <w:bCs/>
          <w:i/>
          <w:iCs/>
        </w:rPr>
        <w:t>Joseph Harley</w:t>
      </w:r>
    </w:p>
    <w:p w14:paraId="14EC65B3" w14:textId="2D82496C" w:rsidR="00CF7139" w:rsidRPr="00D442C0" w:rsidRDefault="007458FF" w:rsidP="00D442C0">
      <w:pPr>
        <w:pStyle w:val="Heading1"/>
      </w:pPr>
      <w:r w:rsidRPr="00D442C0">
        <w:t xml:space="preserve">1.1 </w:t>
      </w:r>
      <w:r w:rsidR="004F0979" w:rsidRPr="00D442C0">
        <w:t>Intro</w:t>
      </w:r>
      <w:r w:rsidR="008F490C" w:rsidRPr="00D442C0">
        <w:t>duction</w:t>
      </w:r>
    </w:p>
    <w:p w14:paraId="0628C9C5" w14:textId="14519D00" w:rsidR="007458FF" w:rsidRDefault="00EF7C39" w:rsidP="00E55486">
      <w:pPr>
        <w:spacing w:line="360" w:lineRule="auto"/>
      </w:pPr>
      <w:r>
        <w:tab/>
      </w:r>
      <w:r w:rsidR="00C2031C">
        <w:t xml:space="preserve">In </w:t>
      </w:r>
      <w:r w:rsidR="00FC509C">
        <w:t>1901</w:t>
      </w:r>
      <w:r w:rsidR="00C2031C">
        <w:t xml:space="preserve"> B. Seebohm Rowntree published his ground-breaking research on York, in which he </w:t>
      </w:r>
      <w:r w:rsidR="003E5D4F">
        <w:t>illustrated</w:t>
      </w:r>
      <w:r w:rsidR="00C2031C">
        <w:t xml:space="preserve"> how individuals and their families were far more likely to be poor during several key moments in their lives.</w:t>
      </w:r>
      <w:r w:rsidR="000C5E7D">
        <w:t xml:space="preserve"> </w:t>
      </w:r>
      <w:r w:rsidR="00D03E22">
        <w:t xml:space="preserve">His model </w:t>
      </w:r>
      <w:r w:rsidR="003E5D4F">
        <w:t>showed</w:t>
      </w:r>
      <w:r w:rsidR="00D03E22">
        <w:t xml:space="preserve"> that i</w:t>
      </w:r>
      <w:r w:rsidR="008E7D70">
        <w:t>mpoverishment</w:t>
      </w:r>
      <w:r w:rsidR="004609D2">
        <w:t xml:space="preserve"> was more probable during </w:t>
      </w:r>
      <w:r w:rsidR="008E7D70">
        <w:t>childhood</w:t>
      </w:r>
      <w:r w:rsidR="000C5E7D">
        <w:t xml:space="preserve"> or when </w:t>
      </w:r>
      <w:r w:rsidR="004609D2">
        <w:t>people</w:t>
      </w:r>
      <w:r w:rsidR="000C5E7D">
        <w:t xml:space="preserve"> had their own children, as </w:t>
      </w:r>
      <w:r w:rsidR="00464107">
        <w:t>the</w:t>
      </w:r>
      <w:r w:rsidR="008E7D70">
        <w:t xml:space="preserve"> young </w:t>
      </w:r>
      <w:r w:rsidR="00464107">
        <w:t>were unable to</w:t>
      </w:r>
      <w:r w:rsidR="008E7D70">
        <w:t xml:space="preserve"> contribute to household earnings and </w:t>
      </w:r>
      <w:r w:rsidR="000C5E7D">
        <w:t xml:space="preserve">there were more mouths </w:t>
      </w:r>
      <w:r w:rsidR="008E7D70">
        <w:t xml:space="preserve">to feed </w:t>
      </w:r>
      <w:r w:rsidR="000C5E7D">
        <w:t xml:space="preserve">and bodies </w:t>
      </w:r>
      <w:r w:rsidR="008E7D70">
        <w:t>to</w:t>
      </w:r>
      <w:r w:rsidR="000C5E7D">
        <w:t xml:space="preserve"> clothe.</w:t>
      </w:r>
      <w:r w:rsidR="008E7D70">
        <w:t xml:space="preserve"> When the children became old enough to move out, </w:t>
      </w:r>
      <w:r w:rsidR="008244D4">
        <w:t>some</w:t>
      </w:r>
      <w:r w:rsidR="008E7D70">
        <w:t xml:space="preserve"> parents would </w:t>
      </w:r>
      <w:r w:rsidR="003657A5">
        <w:t>enjoy</w:t>
      </w:r>
      <w:r w:rsidR="008E7D70">
        <w:t xml:space="preserve"> a few years of relative prosperity.</w:t>
      </w:r>
      <w:r w:rsidR="003657A5">
        <w:t xml:space="preserve"> </w:t>
      </w:r>
      <w:r w:rsidR="008E7D70">
        <w:t xml:space="preserve">This was interrupted when the couple became old </w:t>
      </w:r>
      <w:r w:rsidR="00BD65B8">
        <w:t xml:space="preserve">as they struggled to </w:t>
      </w:r>
      <w:proofErr w:type="gramStart"/>
      <w:r w:rsidR="00BD65B8">
        <w:t>work</w:t>
      </w:r>
      <w:proofErr w:type="gramEnd"/>
      <w:r w:rsidR="00BD65B8">
        <w:t xml:space="preserve"> and</w:t>
      </w:r>
      <w:r w:rsidR="008E7D70">
        <w:t xml:space="preserve"> their earnings declined.</w:t>
      </w:r>
      <w:r w:rsidR="000C5E7D">
        <w:t xml:space="preserve"> </w:t>
      </w:r>
      <w:r w:rsidR="00474BAD">
        <w:t>Sickness</w:t>
      </w:r>
      <w:r w:rsidR="003657A5">
        <w:t xml:space="preserve"> could impact families at any point, but during the later years </w:t>
      </w:r>
      <w:r w:rsidR="00474BAD">
        <w:t xml:space="preserve">of life various illnesses, </w:t>
      </w:r>
      <w:r w:rsidR="003657A5">
        <w:t>infirmit</w:t>
      </w:r>
      <w:r w:rsidR="008244D4">
        <w:t>ies</w:t>
      </w:r>
      <w:r w:rsidR="003657A5">
        <w:t xml:space="preserve"> and eventually death and burial </w:t>
      </w:r>
      <w:r w:rsidR="00474BAD">
        <w:t>were all omnipresent</w:t>
      </w:r>
      <w:r w:rsidR="003657A5">
        <w:t>.</w:t>
      </w:r>
      <w:r w:rsidR="007458FF">
        <w:rPr>
          <w:rStyle w:val="EndnoteReference"/>
        </w:rPr>
        <w:endnoteReference w:id="1"/>
      </w:r>
      <w:r w:rsidR="007458FF">
        <w:t xml:space="preserve"> Several historians have correctly argued that life was not always as neat as the model suggests or have emphasised how some phases of the life-cycle of poverty could be more important than others.</w:t>
      </w:r>
      <w:r w:rsidR="007458FF">
        <w:rPr>
          <w:rStyle w:val="EndnoteReference"/>
        </w:rPr>
        <w:endnoteReference w:id="2"/>
      </w:r>
      <w:r w:rsidR="007458FF">
        <w:t xml:space="preserve"> Nevertheless, historians have found that experiences of poverty often follow this broad sequence and thus continue to use the model as a tool to conceptualise poverty.</w:t>
      </w:r>
      <w:r w:rsidR="007458FF">
        <w:rPr>
          <w:rStyle w:val="EndnoteReference"/>
        </w:rPr>
        <w:endnoteReference w:id="3"/>
      </w:r>
    </w:p>
    <w:p w14:paraId="6718583A" w14:textId="109AF93F" w:rsidR="007458FF" w:rsidRDefault="007458FF" w:rsidP="002472AF">
      <w:pPr>
        <w:spacing w:line="360" w:lineRule="auto"/>
        <w:ind w:firstLine="720"/>
      </w:pPr>
      <w:r>
        <w:t xml:space="preserve">Research in recent years has used parts of the model to analyse changes in the labouring </w:t>
      </w:r>
      <w:proofErr w:type="gramStart"/>
      <w:r>
        <w:t>sorts’</w:t>
      </w:r>
      <w:proofErr w:type="gramEnd"/>
      <w:r>
        <w:t xml:space="preserve"> consumption of goods. Beverley Lemire, Alexandra </w:t>
      </w:r>
      <w:proofErr w:type="gramStart"/>
      <w:r>
        <w:t>Shepard</w:t>
      </w:r>
      <w:proofErr w:type="gramEnd"/>
      <w:r>
        <w:t xml:space="preserve"> and others, for example, have shown that during more fruitful periods the poor were able to consume a wide range of items, but during difficult times they would often sell their possessions to make do. Their belongings were important stores of value which could be liquidated into cash or traded when needed.</w:t>
      </w:r>
      <w:r>
        <w:rPr>
          <w:rStyle w:val="EndnoteReference"/>
        </w:rPr>
        <w:endnoteReference w:id="4"/>
      </w:r>
      <w:r>
        <w:t xml:space="preserve"> However, most of this research has concentrated on clothing and we have less sense of how the poor’s ownership and consumption of other items including fuel, food</w:t>
      </w:r>
      <w:r w:rsidR="00842F55">
        <w:t>,</w:t>
      </w:r>
      <w:r>
        <w:t xml:space="preserve"> and household goods could shift over the life course.</w:t>
      </w:r>
      <w:r>
        <w:rPr>
          <w:rStyle w:val="EndnoteReference"/>
        </w:rPr>
        <w:endnoteReference w:id="5"/>
      </w:r>
      <w:r>
        <w:t xml:space="preserve"> This oversight is unfortunate considering that it was not just the ownership of clothing that was affected during these difficult junctures. Additionally, these studies have tended to offer only imprecise assertions as to the reasons and points when people struggled to make ends meet. Research on pawnshops, for example, has primarily focused on the sorts of goods that people pawned, rather than the types of individuals who used them.</w:t>
      </w:r>
      <w:r>
        <w:rPr>
          <w:rStyle w:val="EndnoteReference"/>
        </w:rPr>
        <w:endnoteReference w:id="6"/>
      </w:r>
    </w:p>
    <w:p w14:paraId="7633E5CF" w14:textId="2F67B285" w:rsidR="007458FF" w:rsidRDefault="007458FF" w:rsidP="00EB42BD">
      <w:pPr>
        <w:spacing w:line="360" w:lineRule="auto"/>
        <w:ind w:firstLine="720"/>
      </w:pPr>
      <w:r>
        <w:t>This chapter addresses these issues by examining how the poor’s ownership and ability to consume various items such as fuel, clothing, household goods</w:t>
      </w:r>
      <w:r w:rsidR="00842F55">
        <w:t>,</w:t>
      </w:r>
      <w:r>
        <w:t xml:space="preserve"> and food changed over the life-cycle </w:t>
      </w:r>
      <w:r>
        <w:lastRenderedPageBreak/>
        <w:t>and times of sickness. The focus is on Essex households during the final decades of the old poor law (c.1790-1834), but examples are also occasionally used from other counties. Pauper inventories, pauper letters</w:t>
      </w:r>
      <w:r w:rsidR="00842F55">
        <w:t>,</w:t>
      </w:r>
      <w:r>
        <w:t xml:space="preserve"> and autobiographies written by the poor are principally used. They have never been used in combination to examine consumption over the life-cycle. The sources indicate that during relatively prosperous years the poor consumed a wide range of goods including various foodstuffs and fuels, clothing</w:t>
      </w:r>
      <w:r w:rsidR="00842F55">
        <w:t>,</w:t>
      </w:r>
      <w:r>
        <w:t xml:space="preserve"> and myriad household possessions. However, during difficult periods such as old age and sickness, people often went cold as they could not afford fuel, their children became malnourished and ill-clothed, and many of their household goods were pawned or sold. Family priorities shifted at these points and people redirected their resources to acquiring the most basic items such as bread and medicine for their loved ones.</w:t>
      </w:r>
    </w:p>
    <w:p w14:paraId="47FC6074" w14:textId="656C9DA3" w:rsidR="007458FF" w:rsidRPr="009957DD" w:rsidRDefault="007458FF" w:rsidP="007A3FEA">
      <w:pPr>
        <w:spacing w:line="360" w:lineRule="auto"/>
        <w:ind w:firstLine="720"/>
      </w:pPr>
      <w:r w:rsidRPr="009957DD">
        <w:t>Before proceeding it is important to outline what this chapter does not cover. The concluding decades of the old poor law have been characterised as ‘crisis’ years as more people became dependent upon poor relief and parish bills increased. The reasons for this are primarily economic and demographic. The country’s population was growing which meant that the labour market was overpopulated, wages lagged</w:t>
      </w:r>
      <w:r w:rsidR="00842F55">
        <w:t>,</w:t>
      </w:r>
      <w:r w:rsidRPr="009957DD">
        <w:t xml:space="preserve"> and food became more expensive. The years also witnessed several notable harvest failures which meant that even more able-bodied men and their families required relief.</w:t>
      </w:r>
      <w:r w:rsidRPr="009957DD">
        <w:rPr>
          <w:rStyle w:val="EndnoteReference"/>
        </w:rPr>
        <w:endnoteReference w:id="7"/>
      </w:r>
      <w:r w:rsidRPr="009957DD">
        <w:t xml:space="preserve"> This is a considerable area of the historiography and the effect that these factors had on material wealth warrants </w:t>
      </w:r>
      <w:proofErr w:type="gramStart"/>
      <w:r w:rsidRPr="009957DD">
        <w:t>investigation in its own right</w:t>
      </w:r>
      <w:proofErr w:type="gramEnd"/>
      <w:r w:rsidRPr="009957DD">
        <w:t>. Further to this, I will not be considering the detrimental effect that the irresponsible actions of individuals could have on households. As Emma Griffin has recently shown, when male breadwinners deserted their families or chose to prioritise drink, gambling</w:t>
      </w:r>
      <w:r w:rsidR="00842F55">
        <w:t>,</w:t>
      </w:r>
      <w:r w:rsidRPr="009957DD">
        <w:t xml:space="preserve"> and other pursuits over supporting them, the result was often extreme hardship for their wives and children.</w:t>
      </w:r>
      <w:r w:rsidRPr="009957DD">
        <w:rPr>
          <w:rStyle w:val="EndnoteReference"/>
        </w:rPr>
        <w:endnoteReference w:id="8"/>
      </w:r>
      <w:r w:rsidRPr="009957DD">
        <w:t xml:space="preserve"> This chapter will primarily concentrat</w:t>
      </w:r>
      <w:r>
        <w:t>e</w:t>
      </w:r>
      <w:r w:rsidRPr="009957DD">
        <w:t xml:space="preserve"> on the effect that the life-cycle of poverty had on material wealth, while only mentioning these other factors when they exacerbated existing challenges such as old age and sickness.</w:t>
      </w:r>
    </w:p>
    <w:p w14:paraId="2BB26DCF" w14:textId="4879A68E" w:rsidR="007458FF" w:rsidRPr="008F490C" w:rsidRDefault="007458FF" w:rsidP="00D442C0">
      <w:pPr>
        <w:pStyle w:val="Heading1"/>
      </w:pPr>
      <w:r>
        <w:t>1.2 Sources</w:t>
      </w:r>
    </w:p>
    <w:p w14:paraId="5EF7AFC0" w14:textId="079B5B8C" w:rsidR="007458FF" w:rsidRDefault="007458FF" w:rsidP="005A6D5E">
      <w:pPr>
        <w:spacing w:line="360" w:lineRule="auto"/>
        <w:ind w:firstLine="720"/>
      </w:pPr>
      <w:r>
        <w:t xml:space="preserve">This chapter is based on autobiographies written by the poor and the analysis of pauper inventories and pauper letters from Essex. Wherever possible these sources have also been further contextualised through family reconstitution. Pauper inventories were made by poor law officials to record the household possessions of people while they were dependent on poor relief. Their goods would then normally </w:t>
      </w:r>
      <w:proofErr w:type="gramStart"/>
      <w:r>
        <w:t>revert back</w:t>
      </w:r>
      <w:proofErr w:type="gramEnd"/>
      <w:r>
        <w:t xml:space="preserve"> to the parish when they died and would be sold, used to furnish the parish workhouse/poorhouse, or be given to other paupers. Ninety-two have been located for Essex for 1790 to 1834, but two have been excluded from this sample as they mainly list clothing and not household goods. </w:t>
      </w:r>
      <w:r w:rsidRPr="004A1152">
        <w:t xml:space="preserve">They tended to be made of older parishioners who received a pension from the </w:t>
      </w:r>
      <w:r w:rsidRPr="004A1152">
        <w:lastRenderedPageBreak/>
        <w:t xml:space="preserve">parish due to life-cycle related problems, such </w:t>
      </w:r>
      <w:r>
        <w:t>as the death of their partners</w:t>
      </w:r>
      <w:r w:rsidRPr="004A1152">
        <w:t xml:space="preserve">. </w:t>
      </w:r>
      <w:r>
        <w:t>Research suggests that these sources</w:t>
      </w:r>
      <w:r w:rsidRPr="004A1152">
        <w:t xml:space="preserve"> are broadly representative of other paupers with similar problems who did not have their goods appraised by local authorities.</w:t>
      </w:r>
      <w:r>
        <w:rPr>
          <w:rStyle w:val="EndnoteReference"/>
        </w:rPr>
        <w:endnoteReference w:id="9"/>
      </w:r>
    </w:p>
    <w:p w14:paraId="5A0C5389" w14:textId="2C7A6305" w:rsidR="007458FF" w:rsidRDefault="007458FF" w:rsidP="0098247E">
      <w:pPr>
        <w:spacing w:line="360" w:lineRule="auto"/>
        <w:ind w:firstLine="720"/>
      </w:pPr>
      <w:r>
        <w:t>Pauper letters were written when non-resident paupers (or scribes of some kind) wrote to ask for relief from ‘home’ parishes of settlement. This chapter uses 217 pauper letters that were sent within Essex between 1803 and 1835.</w:t>
      </w:r>
      <w:r>
        <w:rPr>
          <w:rStyle w:val="EndnoteReference"/>
        </w:rPr>
        <w:endnoteReference w:id="10"/>
      </w:r>
      <w:r>
        <w:t xml:space="preserve"> A handful of autobiographies written by the poor themselves are also used. Pauper letters and autobiographies </w:t>
      </w:r>
      <w:r w:rsidRPr="004A1152">
        <w:t xml:space="preserve">are particularly useful as they </w:t>
      </w:r>
      <w:r>
        <w:t>provide</w:t>
      </w:r>
      <w:r w:rsidRPr="004A1152">
        <w:t xml:space="preserve"> </w:t>
      </w:r>
      <w:r>
        <w:t>personal</w:t>
      </w:r>
      <w:r w:rsidRPr="004A1152">
        <w:t xml:space="preserve"> </w:t>
      </w:r>
      <w:r>
        <w:t>testimonies of poverty and material needs</w:t>
      </w:r>
      <w:r w:rsidRPr="004A1152">
        <w:t xml:space="preserve">. </w:t>
      </w:r>
      <w:r>
        <w:t xml:space="preserve">Such first-hand accounts should, however, be read with caution as they may be inaccurate or even significantly under-record people’s needs. </w:t>
      </w:r>
      <w:proofErr w:type="gramStart"/>
      <w:r>
        <w:t>A number of</w:t>
      </w:r>
      <w:proofErr w:type="gramEnd"/>
      <w:r>
        <w:t xml:space="preserve"> writers outlined how they were struggling rather than specifying whether they needed food, clothing</w:t>
      </w:r>
      <w:r w:rsidR="00842F55">
        <w:t>,</w:t>
      </w:r>
      <w:r>
        <w:t xml:space="preserve"> and so on. Some chose to only mention </w:t>
      </w:r>
      <w:proofErr w:type="gramStart"/>
      <w:r>
        <w:t>their</w:t>
      </w:r>
      <w:proofErr w:type="gramEnd"/>
      <w:r>
        <w:t xml:space="preserve"> most pressing and expensive needs such as rent and medical bills, while others noted how they needed the ‘common necessaries of life’, indicating that they had a range of material needs. Writers may have also misremembered information or exaggerated certain aspects to portray themselves in a better light. Pauper letters are particularly shrouded in myriad rhetorical elements, intended to stress plight</w:t>
      </w:r>
      <w:r w:rsidR="00EF7410">
        <w:t>,</w:t>
      </w:r>
      <w:r>
        <w:t xml:space="preserve"> and make their applications more powerful or pleasing to readers. Despite there being some element of fiction and minor embellishment in the letters and autobiographies, they are on the whole surprisingly honest sources and the writers were subject to checks by editors, poor law authorities</w:t>
      </w:r>
      <w:r w:rsidR="00EF7410">
        <w:t>,</w:t>
      </w:r>
      <w:r>
        <w:t xml:space="preserve"> or neighbours</w:t>
      </w:r>
      <w:r w:rsidRPr="004A1152">
        <w:t>.</w:t>
      </w:r>
      <w:r>
        <w:rPr>
          <w:rStyle w:val="EndnoteReference"/>
        </w:rPr>
        <w:endnoteReference w:id="11"/>
      </w:r>
      <w:r>
        <w:t xml:space="preserve"> For example, parishes sometimes made surprise visits to pauper homes to check that their circumstances had not changed and that they were not being deceitful.</w:t>
      </w:r>
      <w:r>
        <w:rPr>
          <w:rStyle w:val="EndnoteReference"/>
        </w:rPr>
        <w:endnoteReference w:id="12"/>
      </w:r>
    </w:p>
    <w:p w14:paraId="65E6965C" w14:textId="130D53CB" w:rsidR="007458FF" w:rsidRPr="00BD68AC" w:rsidRDefault="007458FF" w:rsidP="00D442C0">
      <w:pPr>
        <w:pStyle w:val="Heading1"/>
      </w:pPr>
      <w:r>
        <w:t>1.3 Material wealth and material poverty</w:t>
      </w:r>
    </w:p>
    <w:p w14:paraId="7D08C118" w14:textId="194F53A2" w:rsidR="007458FF" w:rsidRDefault="007458FF" w:rsidP="00CC7EAE">
      <w:pPr>
        <w:spacing w:line="360" w:lineRule="auto"/>
        <w:ind w:firstLine="720"/>
        <w:rPr>
          <w:rFonts w:cs="Times New Roman"/>
          <w:szCs w:val="24"/>
        </w:rPr>
      </w:pPr>
      <w:r>
        <w:t>Pauper letters and autobiographies indicate that many people were lacking basic items to sustain the human body and warmth.</w:t>
      </w:r>
      <w:r>
        <w:rPr>
          <w:rFonts w:ascii="Calibri" w:eastAsia="Times New Roman" w:hAnsi="Calibri" w:cs="Calibri"/>
          <w:color w:val="000000"/>
          <w:lang w:eastAsia="en-GB"/>
        </w:rPr>
        <w:t xml:space="preserve"> </w:t>
      </w:r>
      <w:r>
        <w:rPr>
          <w:rFonts w:cs="Times New Roman"/>
        </w:rPr>
        <w:t xml:space="preserve">Food </w:t>
      </w:r>
      <w:r w:rsidRPr="00693DA9">
        <w:rPr>
          <w:rFonts w:cstheme="minorHAnsi"/>
        </w:rPr>
        <w:t xml:space="preserve">made up </w:t>
      </w:r>
      <w:r w:rsidRPr="00693DA9">
        <w:rPr>
          <w:rFonts w:cstheme="minorHAnsi"/>
          <w:bCs/>
        </w:rPr>
        <w:t xml:space="preserve">half to three-quarters of </w:t>
      </w:r>
      <w:r>
        <w:rPr>
          <w:rFonts w:cstheme="minorHAnsi"/>
          <w:bCs/>
        </w:rPr>
        <w:t>working people’s</w:t>
      </w:r>
      <w:r w:rsidRPr="00693DA9">
        <w:rPr>
          <w:rFonts w:cstheme="minorHAnsi"/>
          <w:bCs/>
        </w:rPr>
        <w:t xml:space="preserve"> yearly expenditure</w:t>
      </w:r>
      <w:r>
        <w:rPr>
          <w:rFonts w:cstheme="minorHAnsi"/>
          <w:bCs/>
        </w:rPr>
        <w:t>,</w:t>
      </w:r>
      <w:r w:rsidRPr="00693DA9">
        <w:rPr>
          <w:rFonts w:cstheme="minorHAnsi"/>
        </w:rPr>
        <w:t xml:space="preserve"> meaning that hunger </w:t>
      </w:r>
      <w:r>
        <w:rPr>
          <w:rFonts w:cstheme="minorHAnsi"/>
        </w:rPr>
        <w:t>was fairly</w:t>
      </w:r>
      <w:r w:rsidRPr="00693DA9">
        <w:rPr>
          <w:rFonts w:cstheme="minorHAnsi"/>
        </w:rPr>
        <w:t xml:space="preserve"> common</w:t>
      </w:r>
      <w:r>
        <w:rPr>
          <w:rFonts w:cstheme="minorHAnsi"/>
        </w:rPr>
        <w:t>.</w:t>
      </w:r>
      <w:r w:rsidRPr="00693DA9">
        <w:rPr>
          <w:rStyle w:val="EndnoteReference"/>
          <w:rFonts w:cstheme="minorHAnsi"/>
          <w:bCs/>
        </w:rPr>
        <w:endnoteReference w:id="13"/>
      </w:r>
      <w:r>
        <w:rPr>
          <w:rFonts w:cstheme="minorHAnsi"/>
        </w:rPr>
        <w:t xml:space="preserve"> </w:t>
      </w:r>
      <w:r w:rsidRPr="00CF1252">
        <w:rPr>
          <w:rFonts w:ascii="Calibri" w:eastAsia="Times New Roman" w:hAnsi="Calibri" w:cs="Calibri"/>
          <w:lang w:eastAsia="en-GB"/>
        </w:rPr>
        <w:t xml:space="preserve">In 1824 Davey Rising wrote his home parish </w:t>
      </w:r>
      <w:r>
        <w:rPr>
          <w:rFonts w:ascii="Calibri" w:eastAsia="Times New Roman" w:hAnsi="Calibri" w:cs="Calibri"/>
          <w:lang w:eastAsia="en-GB"/>
        </w:rPr>
        <w:t xml:space="preserve">of Chelmsford </w:t>
      </w:r>
      <w:r w:rsidRPr="00CF1252">
        <w:rPr>
          <w:rFonts w:ascii="Calibri" w:eastAsia="Times New Roman" w:hAnsi="Calibri" w:cs="Calibri"/>
          <w:lang w:eastAsia="en-GB"/>
        </w:rPr>
        <w:t xml:space="preserve">to ask for assistance, </w:t>
      </w:r>
      <w:r>
        <w:rPr>
          <w:rFonts w:ascii="Calibri" w:eastAsia="Times New Roman" w:hAnsi="Calibri" w:cs="Calibri"/>
          <w:lang w:eastAsia="en-GB"/>
        </w:rPr>
        <w:t>remarking</w:t>
      </w:r>
      <w:r w:rsidRPr="00CF1252">
        <w:rPr>
          <w:rFonts w:ascii="Calibri" w:eastAsia="Times New Roman" w:hAnsi="Calibri" w:cs="Calibri"/>
          <w:lang w:eastAsia="en-GB"/>
        </w:rPr>
        <w:t xml:space="preserve"> that he and his family had ‘not Ahad </w:t>
      </w:r>
      <w:proofErr w:type="spellStart"/>
      <w:r w:rsidRPr="00CF1252">
        <w:rPr>
          <w:rFonts w:ascii="Calibri" w:eastAsia="Times New Roman" w:hAnsi="Calibri" w:cs="Calibri"/>
          <w:lang w:eastAsia="en-GB"/>
        </w:rPr>
        <w:t>Abit</w:t>
      </w:r>
      <w:proofErr w:type="spellEnd"/>
      <w:r w:rsidRPr="00CF1252">
        <w:rPr>
          <w:rFonts w:ascii="Calibri" w:eastAsia="Times New Roman" w:hAnsi="Calibri" w:cs="Calibri"/>
          <w:lang w:eastAsia="en-GB"/>
        </w:rPr>
        <w:t xml:space="preserve"> of </w:t>
      </w:r>
      <w:proofErr w:type="spellStart"/>
      <w:r w:rsidRPr="00CF1252">
        <w:rPr>
          <w:rFonts w:ascii="Calibri" w:eastAsia="Times New Roman" w:hAnsi="Calibri" w:cs="Calibri"/>
          <w:lang w:eastAsia="en-GB"/>
        </w:rPr>
        <w:t>witells</w:t>
      </w:r>
      <w:proofErr w:type="spellEnd"/>
      <w:r w:rsidRPr="00CF1252">
        <w:rPr>
          <w:rFonts w:ascii="Calibri" w:eastAsia="Times New Roman" w:hAnsi="Calibri" w:cs="Calibri"/>
          <w:lang w:eastAsia="en-GB"/>
        </w:rPr>
        <w:t xml:space="preserve"> to Eat and I have not But my hand up to my mouth this Four days And I do not know when </w:t>
      </w:r>
      <w:proofErr w:type="spellStart"/>
      <w:r w:rsidRPr="00CF1252">
        <w:rPr>
          <w:rFonts w:ascii="Calibri" w:eastAsia="Times New Roman" w:hAnsi="Calibri" w:cs="Calibri"/>
          <w:lang w:eastAsia="en-GB"/>
        </w:rPr>
        <w:t>when</w:t>
      </w:r>
      <w:proofErr w:type="spellEnd"/>
      <w:r w:rsidRPr="00CF1252">
        <w:rPr>
          <w:rFonts w:ascii="Calibri" w:eastAsia="Times New Roman" w:hAnsi="Calibri" w:cs="Calibri"/>
          <w:lang w:eastAsia="en-GB"/>
        </w:rPr>
        <w:t xml:space="preserve"> I shall’.</w:t>
      </w:r>
      <w:r w:rsidRPr="00CF1252">
        <w:rPr>
          <w:rStyle w:val="EndnoteReference"/>
          <w:rFonts w:ascii="Calibri" w:eastAsia="Times New Roman" w:hAnsi="Calibri" w:cs="Calibri"/>
          <w:lang w:eastAsia="en-GB"/>
        </w:rPr>
        <w:endnoteReference w:id="14"/>
      </w:r>
      <w:r w:rsidRPr="00CF1252">
        <w:rPr>
          <w:rFonts w:ascii="Calibri" w:eastAsia="Times New Roman" w:hAnsi="Calibri" w:cs="Calibri"/>
          <w:lang w:eastAsia="en-GB"/>
        </w:rPr>
        <w:t xml:space="preserve"> </w:t>
      </w:r>
      <w:r w:rsidRPr="00CF1252">
        <w:rPr>
          <w:rFonts w:cs="Times New Roman"/>
          <w:szCs w:val="24"/>
        </w:rPr>
        <w:t xml:space="preserve">Various </w:t>
      </w:r>
      <w:r>
        <w:rPr>
          <w:rFonts w:cs="Times New Roman"/>
          <w:szCs w:val="24"/>
        </w:rPr>
        <w:t xml:space="preserve">writers linked their ill-health to a lack of food. </w:t>
      </w:r>
      <w:r w:rsidRPr="009D05ED">
        <w:rPr>
          <w:rFonts w:cs="Times New Roman"/>
          <w:szCs w:val="24"/>
        </w:rPr>
        <w:t>Samuel White</w:t>
      </w:r>
      <w:r>
        <w:rPr>
          <w:rFonts w:cs="Times New Roman"/>
          <w:szCs w:val="24"/>
        </w:rPr>
        <w:t xml:space="preserve"> </w:t>
      </w:r>
      <w:r w:rsidRPr="00CF1252">
        <w:rPr>
          <w:rFonts w:ascii="Calibri" w:eastAsia="Times New Roman" w:hAnsi="Calibri" w:cs="Calibri"/>
          <w:lang w:eastAsia="en-GB"/>
        </w:rPr>
        <w:t xml:space="preserve">of Halstead </w:t>
      </w:r>
      <w:r>
        <w:rPr>
          <w:rFonts w:cs="Times New Roman"/>
          <w:szCs w:val="24"/>
        </w:rPr>
        <w:t xml:space="preserve">said that ‘I am recommended by the </w:t>
      </w:r>
      <w:proofErr w:type="spellStart"/>
      <w:r>
        <w:rPr>
          <w:rFonts w:cs="Times New Roman"/>
          <w:szCs w:val="24"/>
        </w:rPr>
        <w:t>Docter</w:t>
      </w:r>
      <w:proofErr w:type="spellEnd"/>
      <w:r>
        <w:rPr>
          <w:rFonts w:cs="Times New Roman"/>
          <w:szCs w:val="24"/>
        </w:rPr>
        <w:t xml:space="preserve"> to take nourishing things… to enable me to get that I may be the sooner restored to health and strength’</w:t>
      </w:r>
      <w:r w:rsidRPr="00CC7EAE">
        <w:rPr>
          <w:rFonts w:cs="Times New Roman"/>
          <w:szCs w:val="24"/>
        </w:rPr>
        <w:t xml:space="preserve"> </w:t>
      </w:r>
      <w:r>
        <w:rPr>
          <w:rFonts w:cs="Times New Roman"/>
          <w:szCs w:val="24"/>
        </w:rPr>
        <w:t>in 1828.</w:t>
      </w:r>
      <w:r w:rsidRPr="009D05ED">
        <w:rPr>
          <w:rStyle w:val="EndnoteReference"/>
          <w:rFonts w:cs="Times New Roman"/>
          <w:szCs w:val="24"/>
        </w:rPr>
        <w:endnoteReference w:id="15"/>
      </w:r>
      <w:r w:rsidRPr="009D05ED">
        <w:rPr>
          <w:rFonts w:cs="Times New Roman"/>
          <w:szCs w:val="24"/>
        </w:rPr>
        <w:t xml:space="preserve"> </w:t>
      </w:r>
      <w:r>
        <w:rPr>
          <w:rFonts w:cs="Times New Roman"/>
          <w:szCs w:val="24"/>
        </w:rPr>
        <w:t>William James was around 74 years old when he wrote to the overseer of St. Peter, Colchester in 1825 to plead for help:</w:t>
      </w:r>
    </w:p>
    <w:p w14:paraId="0EF5CD78" w14:textId="06D8327D" w:rsidR="007458FF" w:rsidRDefault="007458FF" w:rsidP="00E340C2">
      <w:pPr>
        <w:spacing w:line="360" w:lineRule="auto"/>
        <w:ind w:left="720"/>
        <w:jc w:val="both"/>
        <w:rPr>
          <w:rFonts w:cs="Times New Roman"/>
          <w:szCs w:val="24"/>
        </w:rPr>
      </w:pPr>
      <w:r w:rsidRPr="009D05ED">
        <w:rPr>
          <w:rFonts w:cs="Times New Roman"/>
        </w:rPr>
        <w:t xml:space="preserve">Yesterday I walked four Miles only = and through fatigue, and lack of strength, in the dark of the Evening, I was forced to </w:t>
      </w:r>
      <w:proofErr w:type="spellStart"/>
      <w:r w:rsidRPr="009D05ED">
        <w:rPr>
          <w:rFonts w:cs="Times New Roman"/>
        </w:rPr>
        <w:t>sitt</w:t>
      </w:r>
      <w:proofErr w:type="spellEnd"/>
      <w:r w:rsidRPr="009D05ED">
        <w:rPr>
          <w:rFonts w:cs="Times New Roman"/>
        </w:rPr>
        <w:t xml:space="preserve"> down, on a stop in a </w:t>
      </w:r>
      <w:proofErr w:type="spellStart"/>
      <w:r w:rsidRPr="009D05ED">
        <w:rPr>
          <w:rFonts w:cs="Times New Roman"/>
        </w:rPr>
        <w:t>Vilage</w:t>
      </w:r>
      <w:proofErr w:type="spellEnd"/>
      <w:r w:rsidRPr="009D05ED">
        <w:rPr>
          <w:rFonts w:cs="Times New Roman"/>
        </w:rPr>
        <w:t xml:space="preserve">, fainting, and with much </w:t>
      </w:r>
      <w:proofErr w:type="spellStart"/>
      <w:r w:rsidRPr="009D05ED">
        <w:rPr>
          <w:rFonts w:cs="Times New Roman"/>
        </w:rPr>
        <w:t>dificulty</w:t>
      </w:r>
      <w:proofErr w:type="spellEnd"/>
      <w:r w:rsidRPr="009D05ED">
        <w:rPr>
          <w:rFonts w:cs="Times New Roman"/>
        </w:rPr>
        <w:t xml:space="preserve"> </w:t>
      </w:r>
      <w:r w:rsidRPr="009D05ED">
        <w:rPr>
          <w:rFonts w:cs="Times New Roman"/>
        </w:rPr>
        <w:lastRenderedPageBreak/>
        <w:t xml:space="preserve">got home, this was </w:t>
      </w:r>
      <w:proofErr w:type="spellStart"/>
      <w:r w:rsidRPr="009D05ED">
        <w:rPr>
          <w:rFonts w:cs="Times New Roman"/>
        </w:rPr>
        <w:t>Ocasioned</w:t>
      </w:r>
      <w:proofErr w:type="spellEnd"/>
      <w:r w:rsidRPr="009D05ED">
        <w:rPr>
          <w:rFonts w:cs="Times New Roman"/>
        </w:rPr>
        <w:t xml:space="preserve">, </w:t>
      </w:r>
      <w:r w:rsidRPr="005D01D6">
        <w:rPr>
          <w:rFonts w:cs="Times New Roman"/>
          <w:i/>
          <w:iCs/>
        </w:rPr>
        <w:t>through want of Necessary Nourishment</w:t>
      </w:r>
      <w:r w:rsidRPr="009D05ED">
        <w:rPr>
          <w:rFonts w:cs="Times New Roman"/>
        </w:rPr>
        <w:t xml:space="preserve"> = and this day, I am very Unwell.</w:t>
      </w:r>
      <w:r w:rsidRPr="009D05ED">
        <w:rPr>
          <w:rStyle w:val="EndnoteReference"/>
          <w:rFonts w:cs="Times New Roman"/>
        </w:rPr>
        <w:endnoteReference w:id="16"/>
      </w:r>
    </w:p>
    <w:p w14:paraId="3D64AFDA" w14:textId="77777777" w:rsidR="007458FF" w:rsidRDefault="007458FF" w:rsidP="00CC7EAE">
      <w:pPr>
        <w:spacing w:line="360" w:lineRule="auto"/>
        <w:rPr>
          <w:rFonts w:cstheme="minorHAnsi"/>
        </w:rPr>
      </w:pPr>
      <w:r>
        <w:rPr>
          <w:rFonts w:cs="Times New Roman"/>
        </w:rPr>
        <w:t xml:space="preserve">Most of the documents comment on the absence of bread when food is mentioned, but other less essential provisions are also occasionally noted. In an earlier letter sent by William James, he stated that </w:t>
      </w:r>
      <w:r w:rsidRPr="009D05ED">
        <w:rPr>
          <w:rFonts w:cs="Times New Roman"/>
          <w:szCs w:val="24"/>
        </w:rPr>
        <w:t>‘</w:t>
      </w:r>
      <w:r w:rsidRPr="009D05ED">
        <w:rPr>
          <w:rFonts w:cs="Times New Roman"/>
        </w:rPr>
        <w:t xml:space="preserve">it have not been in my power, to purchase any </w:t>
      </w:r>
      <w:r w:rsidRPr="00693DA9">
        <w:rPr>
          <w:rFonts w:cstheme="minorHAnsi"/>
        </w:rPr>
        <w:t>meat, these 6 weeks past, we have now a piece of Bread only</w:t>
      </w:r>
      <w:r>
        <w:rPr>
          <w:rFonts w:cstheme="minorHAnsi"/>
        </w:rPr>
        <w:t>, we are in want of every Necessary, for the support of Nature</w:t>
      </w:r>
      <w:r w:rsidRPr="00693DA9">
        <w:rPr>
          <w:rFonts w:cstheme="minorHAnsi"/>
        </w:rPr>
        <w:t>’.</w:t>
      </w:r>
      <w:r w:rsidRPr="00693DA9">
        <w:rPr>
          <w:rStyle w:val="EndnoteReference"/>
          <w:rFonts w:cstheme="minorHAnsi"/>
        </w:rPr>
        <w:endnoteReference w:id="17"/>
      </w:r>
      <w:r w:rsidRPr="00693DA9">
        <w:rPr>
          <w:rFonts w:cstheme="minorHAnsi"/>
        </w:rPr>
        <w:t xml:space="preserve"> In 1827 he stressed how ‘both </w:t>
      </w:r>
      <w:proofErr w:type="spellStart"/>
      <w:r w:rsidRPr="00693DA9">
        <w:rPr>
          <w:rFonts w:cstheme="minorHAnsi"/>
        </w:rPr>
        <w:t>my self</w:t>
      </w:r>
      <w:proofErr w:type="spellEnd"/>
      <w:r w:rsidRPr="00693DA9">
        <w:rPr>
          <w:rFonts w:cstheme="minorHAnsi"/>
        </w:rPr>
        <w:t xml:space="preserve"> &amp; daughter, are much reduced to a state of Extreme weakness, </w:t>
      </w:r>
      <w:proofErr w:type="spellStart"/>
      <w:r w:rsidRPr="00693DA9">
        <w:rPr>
          <w:rFonts w:cstheme="minorHAnsi"/>
        </w:rPr>
        <w:t>haveing</w:t>
      </w:r>
      <w:proofErr w:type="spellEnd"/>
      <w:r w:rsidRPr="00693DA9">
        <w:rPr>
          <w:rFonts w:cstheme="minorHAnsi"/>
        </w:rPr>
        <w:t xml:space="preserve"> chiefly fed on a scanty provision of bread &amp; Potatoes’.</w:t>
      </w:r>
      <w:r w:rsidRPr="00693DA9">
        <w:rPr>
          <w:rStyle w:val="EndnoteReference"/>
          <w:rFonts w:cstheme="minorHAnsi"/>
        </w:rPr>
        <w:endnoteReference w:id="18"/>
      </w:r>
      <w:r>
        <w:rPr>
          <w:rFonts w:cstheme="minorHAnsi"/>
        </w:rPr>
        <w:t xml:space="preserve"> Food was made even more difficult for the poor to acquire during periods of high prices and intermittent harvest failures.</w:t>
      </w:r>
      <w:r w:rsidRPr="00077E10">
        <w:rPr>
          <w:rFonts w:cs="Times New Roman"/>
        </w:rPr>
        <w:t xml:space="preserve"> </w:t>
      </w:r>
      <w:r>
        <w:rPr>
          <w:rFonts w:cs="Times New Roman"/>
        </w:rPr>
        <w:t xml:space="preserve">The Buckinghamshire labourer Joseph </w:t>
      </w:r>
      <w:proofErr w:type="spellStart"/>
      <w:r>
        <w:rPr>
          <w:rFonts w:cs="Times New Roman"/>
        </w:rPr>
        <w:t>Mayett</w:t>
      </w:r>
      <w:proofErr w:type="spellEnd"/>
      <w:r>
        <w:rPr>
          <w:rFonts w:cs="Times New Roman"/>
        </w:rPr>
        <w:t xml:space="preserve">, for example, wrote how one failure meant that </w:t>
      </w:r>
      <w:r>
        <w:t>‘bread was very dear’, which forced him into debt and left him to consider what to do with ‘very few of my goods that I had to sell’</w:t>
      </w:r>
      <w:r>
        <w:rPr>
          <w:rFonts w:cs="Times New Roman"/>
        </w:rPr>
        <w:t>.</w:t>
      </w:r>
      <w:r>
        <w:rPr>
          <w:rStyle w:val="EndnoteReference"/>
          <w:rFonts w:cs="Times New Roman"/>
        </w:rPr>
        <w:endnoteReference w:id="19"/>
      </w:r>
    </w:p>
    <w:p w14:paraId="5ABB05AD" w14:textId="77777777" w:rsidR="007458FF" w:rsidRDefault="007458FF" w:rsidP="00CC7EAE">
      <w:pPr>
        <w:spacing w:line="360" w:lineRule="auto"/>
        <w:ind w:firstLine="720"/>
        <w:rPr>
          <w:rFonts w:cs="Times New Roman"/>
          <w:szCs w:val="24"/>
        </w:rPr>
      </w:pPr>
      <w:r w:rsidRPr="00693DA9">
        <w:rPr>
          <w:rFonts w:cstheme="minorHAnsi"/>
        </w:rPr>
        <w:t>The need for clothing and/or shoes</w:t>
      </w:r>
      <w:r>
        <w:rPr>
          <w:rFonts w:cs="Times New Roman"/>
        </w:rPr>
        <w:t xml:space="preserve"> was found in around one in six letters</w:t>
      </w:r>
      <w:r>
        <w:rPr>
          <w:rFonts w:ascii="Calibri" w:eastAsia="Times New Roman" w:hAnsi="Calibri" w:cs="Calibri"/>
          <w:color w:val="000000"/>
          <w:lang w:eastAsia="en-GB"/>
        </w:rPr>
        <w:t xml:space="preserve">. The sources indicate that people generally did not just want new garments to update their wardrobes, but that their clothing had become so old and tattered that attire was needed for warmth and to be able to leave the home with some decency. </w:t>
      </w:r>
      <w:r w:rsidRPr="009D05ED">
        <w:rPr>
          <w:rFonts w:cs="Times New Roman"/>
          <w:szCs w:val="24"/>
        </w:rPr>
        <w:t xml:space="preserve">In 1834 James Davey stated </w:t>
      </w:r>
      <w:r>
        <w:rPr>
          <w:rFonts w:cs="Times New Roman"/>
          <w:szCs w:val="24"/>
        </w:rPr>
        <w:t xml:space="preserve">that </w:t>
      </w:r>
      <w:r w:rsidRPr="009D05ED">
        <w:rPr>
          <w:rFonts w:cs="Times New Roman"/>
          <w:szCs w:val="24"/>
        </w:rPr>
        <w:t xml:space="preserve">‘I am nearly naked my Self for I have not Get any </w:t>
      </w:r>
      <w:proofErr w:type="spellStart"/>
      <w:r w:rsidRPr="009D05ED">
        <w:rPr>
          <w:rFonts w:cs="Times New Roman"/>
          <w:szCs w:val="24"/>
        </w:rPr>
        <w:t>Sharts</w:t>
      </w:r>
      <w:proofErr w:type="spellEnd"/>
      <w:r w:rsidRPr="009D05ED">
        <w:rPr>
          <w:rFonts w:cs="Times New Roman"/>
          <w:szCs w:val="24"/>
        </w:rPr>
        <w:t xml:space="preserve"> nor </w:t>
      </w:r>
      <w:proofErr w:type="spellStart"/>
      <w:r w:rsidRPr="009D05ED">
        <w:rPr>
          <w:rFonts w:cs="Times New Roman"/>
          <w:szCs w:val="24"/>
        </w:rPr>
        <w:t>StoCkens</w:t>
      </w:r>
      <w:proofErr w:type="spellEnd"/>
      <w:r w:rsidRPr="009D05ED">
        <w:rPr>
          <w:rFonts w:cs="Times New Roman"/>
          <w:szCs w:val="24"/>
        </w:rPr>
        <w:t xml:space="preserve"> nor </w:t>
      </w:r>
      <w:proofErr w:type="spellStart"/>
      <w:r w:rsidRPr="009D05ED">
        <w:rPr>
          <w:rFonts w:cs="Times New Roman"/>
          <w:szCs w:val="24"/>
        </w:rPr>
        <w:t>trouses</w:t>
      </w:r>
      <w:proofErr w:type="spellEnd"/>
      <w:r w:rsidRPr="009D05ED">
        <w:rPr>
          <w:rFonts w:cs="Times New Roman"/>
          <w:szCs w:val="24"/>
        </w:rPr>
        <w:t xml:space="preserve"> to war hardly to Cover my nakedness’.</w:t>
      </w:r>
      <w:r w:rsidRPr="009D05ED">
        <w:rPr>
          <w:rStyle w:val="EndnoteReference"/>
          <w:rFonts w:cs="Times New Roman"/>
          <w:szCs w:val="24"/>
        </w:rPr>
        <w:endnoteReference w:id="20"/>
      </w:r>
      <w:r>
        <w:rPr>
          <w:rFonts w:cs="Times New Roman"/>
          <w:szCs w:val="24"/>
        </w:rPr>
        <w:t xml:space="preserve"> The plight of vulnerable parishioners such as children was often stressed to encourage authorities to take action. </w:t>
      </w:r>
      <w:r w:rsidRPr="009D05ED">
        <w:rPr>
          <w:rFonts w:cs="Times New Roman"/>
          <w:szCs w:val="24"/>
        </w:rPr>
        <w:t xml:space="preserve">William Ardley asserted that ‘my </w:t>
      </w:r>
      <w:r>
        <w:rPr>
          <w:rFonts w:cs="Times New Roman"/>
          <w:szCs w:val="24"/>
        </w:rPr>
        <w:t xml:space="preserve">poor </w:t>
      </w:r>
      <w:r w:rsidRPr="009D05ED">
        <w:rPr>
          <w:rFonts w:cs="Times New Roman"/>
          <w:szCs w:val="24"/>
        </w:rPr>
        <w:t>Children are in a Naked Situation’,</w:t>
      </w:r>
      <w:r w:rsidRPr="009D05ED">
        <w:rPr>
          <w:rStyle w:val="EndnoteReference"/>
          <w:rFonts w:cs="Times New Roman"/>
          <w:szCs w:val="24"/>
        </w:rPr>
        <w:endnoteReference w:id="21"/>
      </w:r>
      <w:r w:rsidRPr="009D05ED">
        <w:rPr>
          <w:rFonts w:cs="Times New Roman"/>
          <w:szCs w:val="24"/>
        </w:rPr>
        <w:t xml:space="preserve"> while </w:t>
      </w:r>
      <w:r>
        <w:rPr>
          <w:rFonts w:cs="Times New Roman"/>
          <w:szCs w:val="24"/>
        </w:rPr>
        <w:t xml:space="preserve">the son of </w:t>
      </w:r>
      <w:r w:rsidRPr="009D05ED">
        <w:rPr>
          <w:rFonts w:cs="Times New Roman"/>
          <w:szCs w:val="24"/>
        </w:rPr>
        <w:t xml:space="preserve">Sarah Manning </w:t>
      </w:r>
      <w:r>
        <w:rPr>
          <w:rFonts w:cs="Times New Roman"/>
          <w:szCs w:val="24"/>
        </w:rPr>
        <w:t xml:space="preserve">needed ‘Some </w:t>
      </w:r>
      <w:proofErr w:type="spellStart"/>
      <w:r>
        <w:rPr>
          <w:rFonts w:cs="Times New Roman"/>
          <w:szCs w:val="24"/>
        </w:rPr>
        <w:t>Cloathes</w:t>
      </w:r>
      <w:proofErr w:type="spellEnd"/>
      <w:r>
        <w:rPr>
          <w:rFonts w:cs="Times New Roman"/>
          <w:szCs w:val="24"/>
        </w:rPr>
        <w:t xml:space="preserve"> and Shoes as he is quite distress </w:t>
      </w:r>
      <w:proofErr w:type="gramStart"/>
      <w:r>
        <w:rPr>
          <w:rFonts w:cs="Times New Roman"/>
          <w:szCs w:val="24"/>
        </w:rPr>
        <w:t>for</w:t>
      </w:r>
      <w:proofErr w:type="gramEnd"/>
      <w:r>
        <w:rPr>
          <w:rFonts w:cs="Times New Roman"/>
          <w:szCs w:val="24"/>
        </w:rPr>
        <w:t xml:space="preserve"> he has no shoes hardly to his Feet’.</w:t>
      </w:r>
      <w:r w:rsidRPr="009D05ED">
        <w:rPr>
          <w:rStyle w:val="EndnoteReference"/>
          <w:rFonts w:cs="Times New Roman"/>
          <w:szCs w:val="24"/>
        </w:rPr>
        <w:endnoteReference w:id="22"/>
      </w:r>
      <w:r>
        <w:rPr>
          <w:rFonts w:cs="Times New Roman"/>
          <w:szCs w:val="24"/>
        </w:rPr>
        <w:t xml:space="preserve"> The rhetoric of nakedness was common in pauper letters and was intended to illustrate how parishioners’ dignity had been compromised to invoke the parish’s moral responsibility to clothe its parishioners.</w:t>
      </w:r>
      <w:r>
        <w:rPr>
          <w:rStyle w:val="EndnoteReference"/>
          <w:rFonts w:cs="Times New Roman"/>
          <w:szCs w:val="24"/>
        </w:rPr>
        <w:endnoteReference w:id="23"/>
      </w:r>
    </w:p>
    <w:p w14:paraId="53D5A2A0" w14:textId="3D311640" w:rsidR="007458FF" w:rsidRDefault="007458FF" w:rsidP="00CC7EAE">
      <w:pPr>
        <w:spacing w:line="360" w:lineRule="auto"/>
        <w:ind w:firstLine="720"/>
        <w:rPr>
          <w:rFonts w:cs="Times New Roman"/>
          <w:szCs w:val="24"/>
        </w:rPr>
      </w:pPr>
      <w:r>
        <w:rPr>
          <w:rFonts w:cs="Times New Roman"/>
          <w:szCs w:val="24"/>
        </w:rPr>
        <w:t>T</w:t>
      </w:r>
      <w:r w:rsidRPr="00AA2EBD">
        <w:rPr>
          <w:rFonts w:cs="Times New Roman"/>
          <w:szCs w:val="24"/>
        </w:rPr>
        <w:t xml:space="preserve">he hearth </w:t>
      </w:r>
      <w:r>
        <w:rPr>
          <w:rFonts w:cs="Times New Roman"/>
          <w:szCs w:val="24"/>
        </w:rPr>
        <w:t>was</w:t>
      </w:r>
      <w:r w:rsidRPr="00AA2EBD">
        <w:rPr>
          <w:rFonts w:cs="Times New Roman"/>
          <w:szCs w:val="24"/>
        </w:rPr>
        <w:t xml:space="preserve"> central to running the household and the wellbeing and comfort of</w:t>
      </w:r>
      <w:r>
        <w:rPr>
          <w:rFonts w:cs="Times New Roman"/>
          <w:szCs w:val="24"/>
        </w:rPr>
        <w:t xml:space="preserve"> </w:t>
      </w:r>
      <w:r w:rsidRPr="00AA2EBD">
        <w:rPr>
          <w:rFonts w:cs="Times New Roman"/>
          <w:szCs w:val="24"/>
        </w:rPr>
        <w:t>inhabitants</w:t>
      </w:r>
      <w:r>
        <w:rPr>
          <w:rFonts w:cs="Times New Roman"/>
          <w:szCs w:val="24"/>
        </w:rPr>
        <w:t>, through the light, warmth</w:t>
      </w:r>
      <w:r w:rsidR="00842F55">
        <w:rPr>
          <w:rFonts w:cs="Times New Roman"/>
          <w:szCs w:val="24"/>
        </w:rPr>
        <w:t>,</w:t>
      </w:r>
      <w:r>
        <w:rPr>
          <w:rFonts w:cs="Times New Roman"/>
          <w:szCs w:val="24"/>
        </w:rPr>
        <w:t xml:space="preserve"> and cooking facilities that it provided. It was a place where families would gather to work, discuss their days</w:t>
      </w:r>
      <w:r w:rsidR="00842F55">
        <w:rPr>
          <w:rFonts w:cs="Times New Roman"/>
          <w:szCs w:val="24"/>
        </w:rPr>
        <w:t>,</w:t>
      </w:r>
      <w:r>
        <w:rPr>
          <w:rFonts w:cs="Times New Roman"/>
          <w:szCs w:val="24"/>
        </w:rPr>
        <w:t xml:space="preserve"> and relax in the evenings. Fuel could, however, be lacking in pauper homes, making the hearth a less hospitable and useful space. </w:t>
      </w:r>
      <w:bookmarkStart w:id="0" w:name="_Hlk32224020"/>
      <w:r>
        <w:rPr>
          <w:rFonts w:cs="Times New Roman"/>
          <w:szCs w:val="24"/>
        </w:rPr>
        <w:t xml:space="preserve">In September 1811 Mary </w:t>
      </w:r>
      <w:proofErr w:type="spellStart"/>
      <w:r>
        <w:rPr>
          <w:rFonts w:cs="Times New Roman"/>
          <w:szCs w:val="24"/>
        </w:rPr>
        <w:t>Mayden</w:t>
      </w:r>
      <w:proofErr w:type="spellEnd"/>
      <w:r>
        <w:rPr>
          <w:rFonts w:cs="Times New Roman"/>
          <w:szCs w:val="24"/>
        </w:rPr>
        <w:t xml:space="preserve"> of Colchester stressed that ‘I can barely provide the common necessaries of life, &amp; when the cold weather sets in it will not be in my power to purchase a sufficient quantity of Firing’.</w:t>
      </w:r>
      <w:r>
        <w:rPr>
          <w:rStyle w:val="EndnoteReference"/>
          <w:rFonts w:cs="Times New Roman"/>
          <w:szCs w:val="24"/>
        </w:rPr>
        <w:endnoteReference w:id="24"/>
      </w:r>
      <w:r>
        <w:rPr>
          <w:rFonts w:cs="Times New Roman"/>
          <w:szCs w:val="24"/>
        </w:rPr>
        <w:t xml:space="preserve"> </w:t>
      </w:r>
      <w:bookmarkEnd w:id="0"/>
      <w:r>
        <w:rPr>
          <w:rFonts w:cs="Times New Roman"/>
          <w:szCs w:val="24"/>
        </w:rPr>
        <w:t>Ann Prig similarly asked for money ‘to enable me to get some Firing for the Winter’</w:t>
      </w:r>
      <w:r w:rsidRPr="005C1D36">
        <w:rPr>
          <w:rFonts w:cs="Times New Roman"/>
          <w:szCs w:val="24"/>
        </w:rPr>
        <w:t xml:space="preserve"> </w:t>
      </w:r>
      <w:r>
        <w:rPr>
          <w:rFonts w:cs="Times New Roman"/>
          <w:szCs w:val="24"/>
        </w:rPr>
        <w:t>in November of 1809.</w:t>
      </w:r>
      <w:r>
        <w:rPr>
          <w:rStyle w:val="EndnoteReference"/>
          <w:rFonts w:cs="Times New Roman"/>
          <w:szCs w:val="24"/>
        </w:rPr>
        <w:endnoteReference w:id="25"/>
      </w:r>
      <w:r>
        <w:rPr>
          <w:rFonts w:cs="Times New Roman"/>
          <w:szCs w:val="24"/>
        </w:rPr>
        <w:t xml:space="preserve"> Most of the letters requesting fuel were written from paupers in urban spaces during the autumn and winter months, who would have struggled to source their own fuel from hedges and commons</w:t>
      </w:r>
      <w:r w:rsidRPr="00BE5225">
        <w:rPr>
          <w:rFonts w:cs="Times New Roman"/>
          <w:szCs w:val="24"/>
        </w:rPr>
        <w:t xml:space="preserve"> </w:t>
      </w:r>
      <w:r>
        <w:rPr>
          <w:rFonts w:cs="Times New Roman"/>
          <w:szCs w:val="24"/>
        </w:rPr>
        <w:t>compared to their rural counterparts.</w:t>
      </w:r>
    </w:p>
    <w:p w14:paraId="5EE2C9A2" w14:textId="650D5AF7" w:rsidR="00FD638C" w:rsidRPr="00FD638C" w:rsidRDefault="007458FF" w:rsidP="00FD638C">
      <w:pPr>
        <w:spacing w:line="360" w:lineRule="auto"/>
        <w:ind w:firstLine="720"/>
        <w:rPr>
          <w:rFonts w:cs="Times New Roman"/>
          <w:szCs w:val="24"/>
        </w:rPr>
      </w:pPr>
      <w:r>
        <w:lastRenderedPageBreak/>
        <w:t>In addition to food, clothing</w:t>
      </w:r>
      <w:r w:rsidR="00842F55">
        <w:t>,</w:t>
      </w:r>
      <w:r>
        <w:t xml:space="preserve"> and fuel, we have the fundamental need for shelter. Rent generally </w:t>
      </w:r>
      <w:proofErr w:type="gramStart"/>
      <w:r>
        <w:t>made up</w:t>
      </w:r>
      <w:proofErr w:type="gramEnd"/>
      <w:r>
        <w:t xml:space="preserve"> people’s second highest outgoing behind food and was requested or mentioned in around 15 per cent of the letters.</w:t>
      </w:r>
      <w:r>
        <w:rPr>
          <w:rStyle w:val="EndnoteReference"/>
        </w:rPr>
        <w:endnoteReference w:id="26"/>
      </w:r>
      <w:r>
        <w:t xml:space="preserve"> Failure to pay one’s landlord could result in eviction, homelessness, material destitution and even imprisonment. </w:t>
      </w:r>
      <w:r w:rsidRPr="009D05ED">
        <w:rPr>
          <w:rFonts w:cs="Times New Roman"/>
          <w:szCs w:val="24"/>
        </w:rPr>
        <w:t xml:space="preserve">Robert Griffith from Dedham </w:t>
      </w:r>
      <w:r>
        <w:rPr>
          <w:rFonts w:cs="Times New Roman"/>
          <w:szCs w:val="24"/>
        </w:rPr>
        <w:t>said that</w:t>
      </w:r>
      <w:r w:rsidRPr="009D05ED">
        <w:rPr>
          <w:rFonts w:cs="Times New Roman"/>
          <w:szCs w:val="24"/>
        </w:rPr>
        <w:t xml:space="preserve"> ‘I have at this time a Distress in my house for the Sum of 6</w:t>
      </w:r>
      <w:r w:rsidRPr="009D05ED">
        <w:rPr>
          <w:rFonts w:cs="Times New Roman"/>
          <w:szCs w:val="24"/>
          <w:vertAlign w:val="superscript"/>
        </w:rPr>
        <w:t xml:space="preserve">£ </w:t>
      </w:r>
      <w:r w:rsidRPr="009D05ED">
        <w:rPr>
          <w:rFonts w:cs="Times New Roman"/>
          <w:szCs w:val="24"/>
        </w:rPr>
        <w:t>7</w:t>
      </w:r>
      <w:r w:rsidRPr="009D05ED">
        <w:rPr>
          <w:rFonts w:cs="Times New Roman"/>
          <w:szCs w:val="24"/>
          <w:vertAlign w:val="superscript"/>
        </w:rPr>
        <w:t xml:space="preserve">s </w:t>
      </w:r>
      <w:r w:rsidRPr="009D05ED">
        <w:rPr>
          <w:rFonts w:cs="Times New Roman"/>
          <w:szCs w:val="24"/>
        </w:rPr>
        <w:t>10</w:t>
      </w:r>
      <w:r w:rsidRPr="009D05ED">
        <w:rPr>
          <w:rFonts w:cs="Times New Roman"/>
          <w:szCs w:val="24"/>
          <w:vertAlign w:val="superscript"/>
        </w:rPr>
        <w:t>d</w:t>
      </w:r>
      <w:r w:rsidRPr="009D05ED">
        <w:rPr>
          <w:rFonts w:cs="Times New Roman"/>
          <w:szCs w:val="24"/>
        </w:rPr>
        <w:t xml:space="preserve"> &amp; my Goods will be sold on </w:t>
      </w:r>
      <w:proofErr w:type="spellStart"/>
      <w:r w:rsidRPr="009D05ED">
        <w:rPr>
          <w:rFonts w:cs="Times New Roman"/>
          <w:szCs w:val="24"/>
        </w:rPr>
        <w:t>monday</w:t>
      </w:r>
      <w:proofErr w:type="spellEnd"/>
      <w:r w:rsidRPr="009D05ED">
        <w:rPr>
          <w:rFonts w:cs="Times New Roman"/>
          <w:szCs w:val="24"/>
        </w:rPr>
        <w:t xml:space="preserve"> next if not paid’</w:t>
      </w:r>
      <w:r>
        <w:rPr>
          <w:rFonts w:cs="Times New Roman"/>
          <w:szCs w:val="24"/>
        </w:rPr>
        <w:t>.</w:t>
      </w:r>
      <w:r w:rsidRPr="009D05ED">
        <w:rPr>
          <w:rStyle w:val="EndnoteReference"/>
          <w:rFonts w:cs="Times New Roman"/>
          <w:szCs w:val="24"/>
        </w:rPr>
        <w:endnoteReference w:id="27"/>
      </w:r>
      <w:r>
        <w:rPr>
          <w:rFonts w:cs="Times New Roman"/>
          <w:szCs w:val="24"/>
        </w:rPr>
        <w:t xml:space="preserve"> Thomas </w:t>
      </w:r>
      <w:proofErr w:type="spellStart"/>
      <w:r>
        <w:rPr>
          <w:rFonts w:cs="Times New Roman"/>
          <w:szCs w:val="24"/>
        </w:rPr>
        <w:t>Cleare</w:t>
      </w:r>
      <w:proofErr w:type="spellEnd"/>
      <w:r>
        <w:rPr>
          <w:rFonts w:cs="Times New Roman"/>
          <w:szCs w:val="24"/>
        </w:rPr>
        <w:t xml:space="preserve"> of Braintree</w:t>
      </w:r>
      <w:r w:rsidRPr="004255BF">
        <w:rPr>
          <w:rFonts w:cs="Times New Roman"/>
          <w:szCs w:val="24"/>
        </w:rPr>
        <w:t xml:space="preserve"> </w:t>
      </w:r>
      <w:r>
        <w:rPr>
          <w:rFonts w:cs="Times New Roman"/>
          <w:szCs w:val="24"/>
        </w:rPr>
        <w:t xml:space="preserve">wrote that he had ‘sold my </w:t>
      </w:r>
      <w:proofErr w:type="spellStart"/>
      <w:r>
        <w:rPr>
          <w:rFonts w:cs="Times New Roman"/>
          <w:szCs w:val="24"/>
        </w:rPr>
        <w:t>Linnen</w:t>
      </w:r>
      <w:proofErr w:type="spellEnd"/>
      <w:r>
        <w:rPr>
          <w:rFonts w:cs="Times New Roman"/>
          <w:szCs w:val="24"/>
        </w:rPr>
        <w:t xml:space="preserve"> off my back’ to try and pay the rent and was worried that if he could not make up the shortfall he would be ‘turned into the Street &amp; </w:t>
      </w:r>
      <w:proofErr w:type="spellStart"/>
      <w:r>
        <w:rPr>
          <w:rFonts w:cs="Times New Roman"/>
          <w:szCs w:val="24"/>
        </w:rPr>
        <w:t>Loose</w:t>
      </w:r>
      <w:proofErr w:type="spellEnd"/>
      <w:r>
        <w:rPr>
          <w:rFonts w:cs="Times New Roman"/>
          <w:szCs w:val="24"/>
        </w:rPr>
        <w:t xml:space="preserve"> my work for My Loom will be taken’.</w:t>
      </w:r>
      <w:r>
        <w:rPr>
          <w:rStyle w:val="EndnoteReference"/>
          <w:rFonts w:cs="Times New Roman"/>
          <w:szCs w:val="24"/>
        </w:rPr>
        <w:endnoteReference w:id="28"/>
      </w:r>
      <w:r>
        <w:rPr>
          <w:rFonts w:cs="Times New Roman"/>
          <w:szCs w:val="24"/>
        </w:rPr>
        <w:t xml:space="preserve"> Harriet Twin said that she was ‘left only a few things to furnish a small house’, after recently pawning her late husband’s clothes ‘to defray the </w:t>
      </w:r>
      <w:proofErr w:type="spellStart"/>
      <w:r>
        <w:rPr>
          <w:rFonts w:cs="Times New Roman"/>
          <w:szCs w:val="24"/>
        </w:rPr>
        <w:t>expence</w:t>
      </w:r>
      <w:proofErr w:type="spellEnd"/>
      <w:r>
        <w:rPr>
          <w:rFonts w:cs="Times New Roman"/>
          <w:szCs w:val="24"/>
        </w:rPr>
        <w:t xml:space="preserve"> of moving here [Colchester] and the Rent of the house we inhabited at </w:t>
      </w:r>
      <w:proofErr w:type="spellStart"/>
      <w:r>
        <w:rPr>
          <w:rFonts w:cs="Times New Roman"/>
          <w:szCs w:val="24"/>
        </w:rPr>
        <w:t>Glemsford</w:t>
      </w:r>
      <w:proofErr w:type="spellEnd"/>
      <w:r>
        <w:rPr>
          <w:rFonts w:cs="Times New Roman"/>
          <w:szCs w:val="24"/>
        </w:rPr>
        <w:t>’.</w:t>
      </w:r>
      <w:r>
        <w:rPr>
          <w:rStyle w:val="EndnoteReference"/>
          <w:rFonts w:cs="Times New Roman"/>
          <w:szCs w:val="24"/>
        </w:rPr>
        <w:endnoteReference w:id="29"/>
      </w:r>
      <w:r>
        <w:rPr>
          <w:rFonts w:cs="Times New Roman"/>
          <w:szCs w:val="24"/>
        </w:rPr>
        <w:t xml:space="preserve"> Over the early nineteenth century the numbers of paupers who requested help to pay the rent appears to have gradually increased, which may indicate that meeting this requirement became increasingly difficult for tenants.</w:t>
      </w:r>
      <w:r>
        <w:rPr>
          <w:rStyle w:val="EndnoteReference"/>
          <w:rFonts w:cs="Times New Roman"/>
          <w:szCs w:val="24"/>
        </w:rPr>
        <w:endnoteReference w:id="30"/>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508"/>
        <w:gridCol w:w="4508"/>
      </w:tblGrid>
      <w:tr w:rsidR="00FD638C" w:rsidRPr="009866C2" w14:paraId="339AA0E4" w14:textId="77777777" w:rsidTr="00285F2F">
        <w:tc>
          <w:tcPr>
            <w:tcW w:w="4508" w:type="dxa"/>
          </w:tcPr>
          <w:p w14:paraId="3D5E3F04" w14:textId="77777777" w:rsidR="00FD638C" w:rsidRPr="009866C2" w:rsidRDefault="00FD638C" w:rsidP="00285F2F">
            <w:pPr>
              <w:rPr>
                <w:rFonts w:cstheme="minorHAnsi"/>
                <w:sz w:val="18"/>
                <w:szCs w:val="18"/>
              </w:rPr>
            </w:pPr>
          </w:p>
        </w:tc>
        <w:tc>
          <w:tcPr>
            <w:tcW w:w="4508" w:type="dxa"/>
          </w:tcPr>
          <w:p w14:paraId="63A45D42" w14:textId="77777777" w:rsidR="00FD638C" w:rsidRPr="009866C2" w:rsidRDefault="00FD638C" w:rsidP="00285F2F">
            <w:pPr>
              <w:rPr>
                <w:rFonts w:cstheme="minorHAnsi"/>
                <w:b/>
                <w:bCs/>
                <w:sz w:val="18"/>
                <w:szCs w:val="18"/>
              </w:rPr>
            </w:pPr>
            <w:r w:rsidRPr="009866C2">
              <w:rPr>
                <w:rFonts w:cstheme="minorHAnsi"/>
                <w:b/>
                <w:bCs/>
                <w:sz w:val="18"/>
                <w:szCs w:val="18"/>
              </w:rPr>
              <w:t>1790-1834 (%)</w:t>
            </w:r>
          </w:p>
        </w:tc>
      </w:tr>
      <w:tr w:rsidR="00FD638C" w:rsidRPr="009866C2" w14:paraId="77852C3E" w14:textId="77777777" w:rsidTr="00285F2F">
        <w:tc>
          <w:tcPr>
            <w:tcW w:w="4508" w:type="dxa"/>
          </w:tcPr>
          <w:p w14:paraId="4E1B2497" w14:textId="77777777" w:rsidR="00FD638C" w:rsidRPr="009866C2" w:rsidRDefault="00FD638C" w:rsidP="00285F2F">
            <w:pPr>
              <w:rPr>
                <w:rFonts w:cstheme="minorHAnsi"/>
                <w:sz w:val="18"/>
                <w:szCs w:val="18"/>
              </w:rPr>
            </w:pPr>
            <w:r w:rsidRPr="009866C2">
              <w:rPr>
                <w:rFonts w:cstheme="minorHAnsi"/>
                <w:b/>
                <w:bCs/>
                <w:sz w:val="18"/>
                <w:szCs w:val="18"/>
              </w:rPr>
              <w:t>Furniture</w:t>
            </w:r>
          </w:p>
        </w:tc>
        <w:tc>
          <w:tcPr>
            <w:tcW w:w="4508" w:type="dxa"/>
          </w:tcPr>
          <w:p w14:paraId="0257A5ED" w14:textId="77777777" w:rsidR="00FD638C" w:rsidRPr="009866C2" w:rsidRDefault="00FD638C" w:rsidP="00285F2F">
            <w:pPr>
              <w:rPr>
                <w:rFonts w:cstheme="minorHAnsi"/>
                <w:sz w:val="18"/>
                <w:szCs w:val="18"/>
              </w:rPr>
            </w:pPr>
          </w:p>
        </w:tc>
      </w:tr>
      <w:tr w:rsidR="00FD638C" w:rsidRPr="009866C2" w14:paraId="2DB0B0B5" w14:textId="77777777" w:rsidTr="00285F2F">
        <w:tc>
          <w:tcPr>
            <w:tcW w:w="4508" w:type="dxa"/>
          </w:tcPr>
          <w:p w14:paraId="4AFF3ABD" w14:textId="77777777" w:rsidR="00FD638C" w:rsidRPr="009866C2" w:rsidRDefault="00FD638C" w:rsidP="00285F2F">
            <w:pPr>
              <w:rPr>
                <w:rFonts w:cstheme="minorHAnsi"/>
                <w:sz w:val="18"/>
                <w:szCs w:val="18"/>
              </w:rPr>
            </w:pPr>
            <w:r w:rsidRPr="009866C2">
              <w:rPr>
                <w:rFonts w:cstheme="minorHAnsi"/>
                <w:sz w:val="18"/>
                <w:szCs w:val="18"/>
              </w:rPr>
              <w:t>Bed (bedstead and/or mattress)</w:t>
            </w:r>
          </w:p>
        </w:tc>
        <w:tc>
          <w:tcPr>
            <w:tcW w:w="4508" w:type="dxa"/>
          </w:tcPr>
          <w:p w14:paraId="3C7D4AF0" w14:textId="77777777" w:rsidR="00FD638C" w:rsidRPr="009866C2" w:rsidRDefault="00FD638C" w:rsidP="00285F2F">
            <w:pPr>
              <w:rPr>
                <w:rFonts w:cstheme="minorHAnsi"/>
                <w:sz w:val="18"/>
                <w:szCs w:val="18"/>
              </w:rPr>
            </w:pPr>
            <w:r w:rsidRPr="009866C2">
              <w:rPr>
                <w:rFonts w:cstheme="minorHAnsi"/>
                <w:sz w:val="18"/>
                <w:szCs w:val="18"/>
              </w:rPr>
              <w:t>99</w:t>
            </w:r>
          </w:p>
        </w:tc>
      </w:tr>
      <w:tr w:rsidR="00FD638C" w:rsidRPr="009866C2" w14:paraId="43057C9A" w14:textId="77777777" w:rsidTr="00285F2F">
        <w:tc>
          <w:tcPr>
            <w:tcW w:w="4508" w:type="dxa"/>
          </w:tcPr>
          <w:p w14:paraId="6E77C939" w14:textId="77777777" w:rsidR="00FD638C" w:rsidRPr="009866C2" w:rsidRDefault="00FD638C" w:rsidP="00285F2F">
            <w:pPr>
              <w:rPr>
                <w:rFonts w:cstheme="minorHAnsi"/>
                <w:sz w:val="18"/>
                <w:szCs w:val="18"/>
              </w:rPr>
            </w:pPr>
            <w:r w:rsidRPr="009866C2">
              <w:rPr>
                <w:rFonts w:cstheme="minorHAnsi"/>
                <w:sz w:val="18"/>
                <w:szCs w:val="18"/>
              </w:rPr>
              <w:t>Bed (feather)</w:t>
            </w:r>
          </w:p>
        </w:tc>
        <w:tc>
          <w:tcPr>
            <w:tcW w:w="4508" w:type="dxa"/>
          </w:tcPr>
          <w:p w14:paraId="046F75C3" w14:textId="77777777" w:rsidR="00FD638C" w:rsidRPr="009866C2" w:rsidRDefault="00FD638C" w:rsidP="00285F2F">
            <w:pPr>
              <w:rPr>
                <w:rFonts w:cstheme="minorHAnsi"/>
                <w:sz w:val="18"/>
                <w:szCs w:val="18"/>
              </w:rPr>
            </w:pPr>
            <w:r w:rsidRPr="009866C2">
              <w:rPr>
                <w:rFonts w:cstheme="minorHAnsi"/>
                <w:sz w:val="18"/>
                <w:szCs w:val="18"/>
              </w:rPr>
              <w:t>51</w:t>
            </w:r>
          </w:p>
        </w:tc>
      </w:tr>
      <w:tr w:rsidR="00FD638C" w:rsidRPr="009866C2" w14:paraId="69428F8B" w14:textId="77777777" w:rsidTr="00285F2F">
        <w:tc>
          <w:tcPr>
            <w:tcW w:w="4508" w:type="dxa"/>
          </w:tcPr>
          <w:p w14:paraId="4489F3B7" w14:textId="77777777" w:rsidR="00FD638C" w:rsidRPr="009866C2" w:rsidRDefault="00FD638C" w:rsidP="00285F2F">
            <w:pPr>
              <w:rPr>
                <w:rFonts w:cstheme="minorHAnsi"/>
                <w:sz w:val="18"/>
                <w:szCs w:val="18"/>
              </w:rPr>
            </w:pPr>
            <w:r w:rsidRPr="009866C2">
              <w:rPr>
                <w:rFonts w:cstheme="minorHAnsi"/>
                <w:sz w:val="18"/>
                <w:szCs w:val="18"/>
              </w:rPr>
              <w:t>Bed (flock)</w:t>
            </w:r>
          </w:p>
        </w:tc>
        <w:tc>
          <w:tcPr>
            <w:tcW w:w="4508" w:type="dxa"/>
          </w:tcPr>
          <w:p w14:paraId="7B57902A" w14:textId="77777777" w:rsidR="00FD638C" w:rsidRPr="009866C2" w:rsidRDefault="00FD638C" w:rsidP="00285F2F">
            <w:pPr>
              <w:rPr>
                <w:rFonts w:cstheme="minorHAnsi"/>
                <w:sz w:val="18"/>
                <w:szCs w:val="18"/>
              </w:rPr>
            </w:pPr>
            <w:r w:rsidRPr="009866C2">
              <w:rPr>
                <w:rFonts w:cstheme="minorHAnsi"/>
                <w:sz w:val="18"/>
                <w:szCs w:val="18"/>
              </w:rPr>
              <w:t>24</w:t>
            </w:r>
          </w:p>
        </w:tc>
      </w:tr>
      <w:tr w:rsidR="00FD638C" w:rsidRPr="009866C2" w14:paraId="0BCAA4AB" w14:textId="77777777" w:rsidTr="00285F2F">
        <w:tc>
          <w:tcPr>
            <w:tcW w:w="4508" w:type="dxa"/>
          </w:tcPr>
          <w:p w14:paraId="3989C41A" w14:textId="77777777" w:rsidR="00FD638C" w:rsidRPr="009866C2" w:rsidRDefault="00FD638C" w:rsidP="00285F2F">
            <w:pPr>
              <w:rPr>
                <w:rFonts w:cstheme="minorHAnsi"/>
                <w:sz w:val="18"/>
                <w:szCs w:val="18"/>
              </w:rPr>
            </w:pPr>
            <w:r w:rsidRPr="009866C2">
              <w:rPr>
                <w:rFonts w:cstheme="minorHAnsi"/>
                <w:sz w:val="18"/>
                <w:szCs w:val="18"/>
              </w:rPr>
              <w:t>Bed (straw/chaff)</w:t>
            </w:r>
          </w:p>
        </w:tc>
        <w:tc>
          <w:tcPr>
            <w:tcW w:w="4508" w:type="dxa"/>
          </w:tcPr>
          <w:p w14:paraId="7534F5E7" w14:textId="77777777" w:rsidR="00FD638C" w:rsidRPr="009866C2" w:rsidRDefault="00FD638C" w:rsidP="00285F2F">
            <w:pPr>
              <w:rPr>
                <w:rFonts w:cstheme="minorHAnsi"/>
                <w:sz w:val="18"/>
                <w:szCs w:val="18"/>
              </w:rPr>
            </w:pPr>
            <w:r w:rsidRPr="009866C2">
              <w:rPr>
                <w:rFonts w:cstheme="minorHAnsi"/>
                <w:sz w:val="18"/>
                <w:szCs w:val="18"/>
              </w:rPr>
              <w:t>22</w:t>
            </w:r>
          </w:p>
        </w:tc>
      </w:tr>
      <w:tr w:rsidR="00FD638C" w:rsidRPr="009866C2" w14:paraId="5A55281A" w14:textId="77777777" w:rsidTr="00285F2F">
        <w:tc>
          <w:tcPr>
            <w:tcW w:w="4508" w:type="dxa"/>
          </w:tcPr>
          <w:p w14:paraId="781BF06F" w14:textId="77777777" w:rsidR="00FD638C" w:rsidRPr="009866C2" w:rsidRDefault="00FD638C" w:rsidP="00285F2F">
            <w:pPr>
              <w:rPr>
                <w:rFonts w:cstheme="minorHAnsi"/>
                <w:sz w:val="18"/>
                <w:szCs w:val="18"/>
              </w:rPr>
            </w:pPr>
            <w:r w:rsidRPr="009866C2">
              <w:rPr>
                <w:rFonts w:cstheme="minorHAnsi"/>
                <w:sz w:val="18"/>
                <w:szCs w:val="18"/>
              </w:rPr>
              <w:t>Chair</w:t>
            </w:r>
          </w:p>
        </w:tc>
        <w:tc>
          <w:tcPr>
            <w:tcW w:w="4508" w:type="dxa"/>
          </w:tcPr>
          <w:p w14:paraId="62E3DAFE" w14:textId="77777777" w:rsidR="00FD638C" w:rsidRPr="009866C2" w:rsidRDefault="00FD638C" w:rsidP="00285F2F">
            <w:pPr>
              <w:rPr>
                <w:rFonts w:cstheme="minorHAnsi"/>
                <w:sz w:val="18"/>
                <w:szCs w:val="18"/>
              </w:rPr>
            </w:pPr>
            <w:r w:rsidRPr="009866C2">
              <w:rPr>
                <w:rFonts w:cstheme="minorHAnsi"/>
                <w:sz w:val="18"/>
                <w:szCs w:val="18"/>
              </w:rPr>
              <w:t>93</w:t>
            </w:r>
          </w:p>
        </w:tc>
      </w:tr>
      <w:tr w:rsidR="00FD638C" w:rsidRPr="009866C2" w14:paraId="2F66909C" w14:textId="77777777" w:rsidTr="00285F2F">
        <w:tc>
          <w:tcPr>
            <w:tcW w:w="4508" w:type="dxa"/>
          </w:tcPr>
          <w:p w14:paraId="0FF04185" w14:textId="77777777" w:rsidR="00FD638C" w:rsidRPr="009866C2" w:rsidRDefault="00FD638C" w:rsidP="00285F2F">
            <w:pPr>
              <w:rPr>
                <w:rFonts w:cstheme="minorHAnsi"/>
                <w:sz w:val="18"/>
                <w:szCs w:val="18"/>
              </w:rPr>
            </w:pPr>
            <w:r w:rsidRPr="009866C2">
              <w:rPr>
                <w:rFonts w:cstheme="minorHAnsi"/>
                <w:sz w:val="18"/>
                <w:szCs w:val="18"/>
              </w:rPr>
              <w:t>Chest of drawers</w:t>
            </w:r>
          </w:p>
        </w:tc>
        <w:tc>
          <w:tcPr>
            <w:tcW w:w="4508" w:type="dxa"/>
          </w:tcPr>
          <w:p w14:paraId="0F0E3727" w14:textId="77777777" w:rsidR="00FD638C" w:rsidRPr="009866C2" w:rsidRDefault="00FD638C" w:rsidP="00285F2F">
            <w:pPr>
              <w:rPr>
                <w:rFonts w:cstheme="minorHAnsi"/>
                <w:sz w:val="18"/>
                <w:szCs w:val="18"/>
              </w:rPr>
            </w:pPr>
            <w:r w:rsidRPr="009866C2">
              <w:rPr>
                <w:rFonts w:cstheme="minorHAnsi"/>
                <w:sz w:val="18"/>
                <w:szCs w:val="18"/>
              </w:rPr>
              <w:t>44</w:t>
            </w:r>
          </w:p>
        </w:tc>
      </w:tr>
      <w:tr w:rsidR="00FD638C" w:rsidRPr="009866C2" w14:paraId="49036FCA" w14:textId="77777777" w:rsidTr="00285F2F">
        <w:tc>
          <w:tcPr>
            <w:tcW w:w="4508" w:type="dxa"/>
          </w:tcPr>
          <w:p w14:paraId="0CC6886B" w14:textId="77777777" w:rsidR="00FD638C" w:rsidRPr="009866C2" w:rsidRDefault="00FD638C" w:rsidP="00285F2F">
            <w:pPr>
              <w:rPr>
                <w:rFonts w:cstheme="minorHAnsi"/>
                <w:sz w:val="18"/>
                <w:szCs w:val="18"/>
              </w:rPr>
            </w:pPr>
            <w:r w:rsidRPr="009866C2">
              <w:rPr>
                <w:rFonts w:cstheme="minorHAnsi"/>
                <w:sz w:val="18"/>
                <w:szCs w:val="18"/>
              </w:rPr>
              <w:t>Cupboard</w:t>
            </w:r>
          </w:p>
        </w:tc>
        <w:tc>
          <w:tcPr>
            <w:tcW w:w="4508" w:type="dxa"/>
          </w:tcPr>
          <w:p w14:paraId="376C18E2" w14:textId="77777777" w:rsidR="00FD638C" w:rsidRPr="009866C2" w:rsidRDefault="00FD638C" w:rsidP="00285F2F">
            <w:pPr>
              <w:rPr>
                <w:rFonts w:cstheme="minorHAnsi"/>
                <w:sz w:val="18"/>
                <w:szCs w:val="18"/>
              </w:rPr>
            </w:pPr>
            <w:r w:rsidRPr="009866C2">
              <w:rPr>
                <w:rFonts w:cstheme="minorHAnsi"/>
                <w:sz w:val="18"/>
                <w:szCs w:val="18"/>
              </w:rPr>
              <w:t>68</w:t>
            </w:r>
          </w:p>
        </w:tc>
      </w:tr>
      <w:tr w:rsidR="00FD638C" w:rsidRPr="009866C2" w14:paraId="7BBD12E6" w14:textId="77777777" w:rsidTr="00285F2F">
        <w:tc>
          <w:tcPr>
            <w:tcW w:w="4508" w:type="dxa"/>
          </w:tcPr>
          <w:p w14:paraId="23E4827C" w14:textId="77777777" w:rsidR="00FD638C" w:rsidRPr="009866C2" w:rsidRDefault="00FD638C" w:rsidP="00285F2F">
            <w:pPr>
              <w:rPr>
                <w:rFonts w:cstheme="minorHAnsi"/>
                <w:sz w:val="18"/>
                <w:szCs w:val="18"/>
              </w:rPr>
            </w:pPr>
            <w:r w:rsidRPr="009866C2">
              <w:rPr>
                <w:rFonts w:cstheme="minorHAnsi"/>
                <w:sz w:val="18"/>
                <w:szCs w:val="18"/>
              </w:rPr>
              <w:t>Stool</w:t>
            </w:r>
          </w:p>
        </w:tc>
        <w:tc>
          <w:tcPr>
            <w:tcW w:w="4508" w:type="dxa"/>
          </w:tcPr>
          <w:p w14:paraId="106E8A52" w14:textId="77777777" w:rsidR="00FD638C" w:rsidRPr="009866C2" w:rsidRDefault="00FD638C" w:rsidP="00285F2F">
            <w:pPr>
              <w:rPr>
                <w:rFonts w:cstheme="minorHAnsi"/>
                <w:sz w:val="18"/>
                <w:szCs w:val="18"/>
              </w:rPr>
            </w:pPr>
            <w:r w:rsidRPr="009866C2">
              <w:rPr>
                <w:rFonts w:cstheme="minorHAnsi"/>
                <w:sz w:val="18"/>
                <w:szCs w:val="18"/>
              </w:rPr>
              <w:t>49</w:t>
            </w:r>
          </w:p>
        </w:tc>
      </w:tr>
      <w:tr w:rsidR="00FD638C" w:rsidRPr="009866C2" w14:paraId="562B2657" w14:textId="77777777" w:rsidTr="00285F2F">
        <w:tc>
          <w:tcPr>
            <w:tcW w:w="4508" w:type="dxa"/>
          </w:tcPr>
          <w:p w14:paraId="1F8AFAB7" w14:textId="77777777" w:rsidR="00FD638C" w:rsidRPr="009866C2" w:rsidRDefault="00FD638C" w:rsidP="00285F2F">
            <w:pPr>
              <w:rPr>
                <w:rFonts w:cstheme="minorHAnsi"/>
                <w:sz w:val="18"/>
                <w:szCs w:val="18"/>
              </w:rPr>
            </w:pPr>
            <w:r w:rsidRPr="009866C2">
              <w:rPr>
                <w:rFonts w:cstheme="minorHAnsi"/>
                <w:sz w:val="18"/>
                <w:szCs w:val="18"/>
              </w:rPr>
              <w:t>Table (any type)</w:t>
            </w:r>
          </w:p>
        </w:tc>
        <w:tc>
          <w:tcPr>
            <w:tcW w:w="4508" w:type="dxa"/>
          </w:tcPr>
          <w:p w14:paraId="31C10D62" w14:textId="77777777" w:rsidR="00FD638C" w:rsidRPr="009866C2" w:rsidRDefault="00FD638C" w:rsidP="00285F2F">
            <w:pPr>
              <w:rPr>
                <w:rFonts w:cstheme="minorHAnsi"/>
                <w:sz w:val="18"/>
                <w:szCs w:val="18"/>
              </w:rPr>
            </w:pPr>
            <w:r w:rsidRPr="009866C2">
              <w:rPr>
                <w:rFonts w:cstheme="minorHAnsi"/>
                <w:sz w:val="18"/>
                <w:szCs w:val="18"/>
              </w:rPr>
              <w:t>92</w:t>
            </w:r>
          </w:p>
        </w:tc>
      </w:tr>
      <w:tr w:rsidR="00FD638C" w:rsidRPr="009866C2" w14:paraId="0B4753C6" w14:textId="77777777" w:rsidTr="00285F2F">
        <w:tc>
          <w:tcPr>
            <w:tcW w:w="4508" w:type="dxa"/>
          </w:tcPr>
          <w:p w14:paraId="506ACB38" w14:textId="77777777" w:rsidR="00FD638C" w:rsidRPr="009866C2" w:rsidRDefault="00FD638C" w:rsidP="00285F2F">
            <w:pPr>
              <w:rPr>
                <w:rFonts w:cstheme="minorHAnsi"/>
                <w:sz w:val="18"/>
                <w:szCs w:val="18"/>
              </w:rPr>
            </w:pPr>
            <w:r w:rsidRPr="009866C2">
              <w:rPr>
                <w:rFonts w:cstheme="minorHAnsi"/>
                <w:b/>
                <w:bCs/>
                <w:sz w:val="18"/>
                <w:szCs w:val="18"/>
              </w:rPr>
              <w:t>Hearth and cooking goods</w:t>
            </w:r>
          </w:p>
        </w:tc>
        <w:tc>
          <w:tcPr>
            <w:tcW w:w="4508" w:type="dxa"/>
          </w:tcPr>
          <w:p w14:paraId="2C030799" w14:textId="77777777" w:rsidR="00FD638C" w:rsidRPr="009866C2" w:rsidRDefault="00FD638C" w:rsidP="00285F2F">
            <w:pPr>
              <w:rPr>
                <w:rFonts w:cstheme="minorHAnsi"/>
                <w:sz w:val="18"/>
                <w:szCs w:val="18"/>
              </w:rPr>
            </w:pPr>
          </w:p>
        </w:tc>
      </w:tr>
      <w:tr w:rsidR="00FD638C" w:rsidRPr="009866C2" w14:paraId="0157DB5D" w14:textId="77777777" w:rsidTr="00285F2F">
        <w:tc>
          <w:tcPr>
            <w:tcW w:w="4508" w:type="dxa"/>
          </w:tcPr>
          <w:p w14:paraId="4A658894" w14:textId="77777777" w:rsidR="00FD638C" w:rsidRPr="009866C2" w:rsidRDefault="00FD638C" w:rsidP="00285F2F">
            <w:pPr>
              <w:rPr>
                <w:rFonts w:cstheme="minorHAnsi"/>
                <w:sz w:val="18"/>
                <w:szCs w:val="18"/>
              </w:rPr>
            </w:pPr>
            <w:r w:rsidRPr="009866C2">
              <w:rPr>
                <w:rFonts w:cstheme="minorHAnsi"/>
                <w:sz w:val="18"/>
                <w:szCs w:val="18"/>
              </w:rPr>
              <w:t>Andirons/</w:t>
            </w:r>
            <w:proofErr w:type="spellStart"/>
            <w:r w:rsidRPr="009866C2">
              <w:rPr>
                <w:rFonts w:cstheme="minorHAnsi"/>
                <w:sz w:val="18"/>
                <w:szCs w:val="18"/>
              </w:rPr>
              <w:t>cobirons</w:t>
            </w:r>
            <w:proofErr w:type="spellEnd"/>
          </w:p>
        </w:tc>
        <w:tc>
          <w:tcPr>
            <w:tcW w:w="4508" w:type="dxa"/>
          </w:tcPr>
          <w:p w14:paraId="343571B4" w14:textId="77777777" w:rsidR="00FD638C" w:rsidRPr="009866C2" w:rsidRDefault="00FD638C" w:rsidP="00285F2F">
            <w:pPr>
              <w:rPr>
                <w:rFonts w:cstheme="minorHAnsi"/>
                <w:sz w:val="18"/>
                <w:szCs w:val="18"/>
              </w:rPr>
            </w:pPr>
            <w:r w:rsidRPr="009866C2">
              <w:rPr>
                <w:rFonts w:cstheme="minorHAnsi"/>
                <w:sz w:val="18"/>
                <w:szCs w:val="18"/>
              </w:rPr>
              <w:t>19</w:t>
            </w:r>
          </w:p>
        </w:tc>
      </w:tr>
      <w:tr w:rsidR="00FD638C" w:rsidRPr="009866C2" w14:paraId="42536313" w14:textId="77777777" w:rsidTr="00285F2F">
        <w:tc>
          <w:tcPr>
            <w:tcW w:w="4508" w:type="dxa"/>
          </w:tcPr>
          <w:p w14:paraId="22873184" w14:textId="77777777" w:rsidR="00FD638C" w:rsidRPr="009866C2" w:rsidRDefault="00FD638C" w:rsidP="00285F2F">
            <w:pPr>
              <w:rPr>
                <w:rFonts w:cstheme="minorHAnsi"/>
                <w:sz w:val="18"/>
                <w:szCs w:val="18"/>
              </w:rPr>
            </w:pPr>
            <w:r w:rsidRPr="009866C2">
              <w:rPr>
                <w:rFonts w:cstheme="minorHAnsi"/>
                <w:sz w:val="18"/>
                <w:szCs w:val="18"/>
              </w:rPr>
              <w:t>Bellows</w:t>
            </w:r>
          </w:p>
        </w:tc>
        <w:tc>
          <w:tcPr>
            <w:tcW w:w="4508" w:type="dxa"/>
          </w:tcPr>
          <w:p w14:paraId="3783474F" w14:textId="77777777" w:rsidR="00FD638C" w:rsidRPr="009866C2" w:rsidRDefault="00FD638C" w:rsidP="00285F2F">
            <w:pPr>
              <w:rPr>
                <w:rFonts w:cstheme="minorHAnsi"/>
                <w:sz w:val="18"/>
                <w:szCs w:val="18"/>
              </w:rPr>
            </w:pPr>
            <w:r w:rsidRPr="009866C2">
              <w:rPr>
                <w:rFonts w:cstheme="minorHAnsi"/>
                <w:sz w:val="18"/>
                <w:szCs w:val="18"/>
              </w:rPr>
              <w:t>56</w:t>
            </w:r>
          </w:p>
        </w:tc>
      </w:tr>
      <w:tr w:rsidR="00FD638C" w:rsidRPr="009866C2" w14:paraId="675F6009" w14:textId="77777777" w:rsidTr="00285F2F">
        <w:tc>
          <w:tcPr>
            <w:tcW w:w="4508" w:type="dxa"/>
          </w:tcPr>
          <w:p w14:paraId="140CA912" w14:textId="77777777" w:rsidR="00FD638C" w:rsidRPr="009866C2" w:rsidRDefault="00FD638C" w:rsidP="00285F2F">
            <w:pPr>
              <w:rPr>
                <w:rFonts w:cstheme="minorHAnsi"/>
                <w:sz w:val="18"/>
                <w:szCs w:val="18"/>
              </w:rPr>
            </w:pPr>
            <w:r w:rsidRPr="009866C2">
              <w:rPr>
                <w:rFonts w:cstheme="minorHAnsi"/>
                <w:sz w:val="18"/>
                <w:szCs w:val="18"/>
              </w:rPr>
              <w:t>Boiler</w:t>
            </w:r>
          </w:p>
        </w:tc>
        <w:tc>
          <w:tcPr>
            <w:tcW w:w="4508" w:type="dxa"/>
          </w:tcPr>
          <w:p w14:paraId="44BED0DC" w14:textId="77777777" w:rsidR="00FD638C" w:rsidRPr="009866C2" w:rsidRDefault="00FD638C" w:rsidP="00285F2F">
            <w:pPr>
              <w:rPr>
                <w:rFonts w:cstheme="minorHAnsi"/>
                <w:sz w:val="18"/>
                <w:szCs w:val="18"/>
              </w:rPr>
            </w:pPr>
            <w:r w:rsidRPr="009866C2">
              <w:rPr>
                <w:rFonts w:cstheme="minorHAnsi"/>
                <w:sz w:val="18"/>
                <w:szCs w:val="18"/>
              </w:rPr>
              <w:t>48</w:t>
            </w:r>
          </w:p>
        </w:tc>
      </w:tr>
      <w:tr w:rsidR="00FD638C" w:rsidRPr="009866C2" w14:paraId="4B4847BF" w14:textId="77777777" w:rsidTr="00285F2F">
        <w:tc>
          <w:tcPr>
            <w:tcW w:w="4508" w:type="dxa"/>
          </w:tcPr>
          <w:p w14:paraId="50F42A7C" w14:textId="77777777" w:rsidR="00FD638C" w:rsidRPr="009866C2" w:rsidRDefault="00FD638C" w:rsidP="00285F2F">
            <w:pPr>
              <w:rPr>
                <w:rFonts w:cstheme="minorHAnsi"/>
                <w:sz w:val="18"/>
                <w:szCs w:val="18"/>
              </w:rPr>
            </w:pPr>
            <w:r w:rsidRPr="009866C2">
              <w:rPr>
                <w:rFonts w:cstheme="minorHAnsi"/>
                <w:sz w:val="18"/>
                <w:szCs w:val="18"/>
              </w:rPr>
              <w:t>Fender</w:t>
            </w:r>
          </w:p>
        </w:tc>
        <w:tc>
          <w:tcPr>
            <w:tcW w:w="4508" w:type="dxa"/>
          </w:tcPr>
          <w:p w14:paraId="420EC27F" w14:textId="77777777" w:rsidR="00FD638C" w:rsidRPr="009866C2" w:rsidRDefault="00FD638C" w:rsidP="00285F2F">
            <w:pPr>
              <w:rPr>
                <w:rFonts w:cstheme="minorHAnsi"/>
                <w:sz w:val="18"/>
                <w:szCs w:val="18"/>
              </w:rPr>
            </w:pPr>
            <w:r w:rsidRPr="009866C2">
              <w:rPr>
                <w:rFonts w:cstheme="minorHAnsi"/>
                <w:sz w:val="18"/>
                <w:szCs w:val="18"/>
              </w:rPr>
              <w:t>21</w:t>
            </w:r>
          </w:p>
        </w:tc>
      </w:tr>
      <w:tr w:rsidR="00FD638C" w:rsidRPr="009866C2" w14:paraId="6303C0BC" w14:textId="77777777" w:rsidTr="00285F2F">
        <w:tc>
          <w:tcPr>
            <w:tcW w:w="4508" w:type="dxa"/>
          </w:tcPr>
          <w:p w14:paraId="2EF53A69" w14:textId="77777777" w:rsidR="00FD638C" w:rsidRPr="009866C2" w:rsidRDefault="00FD638C" w:rsidP="00285F2F">
            <w:pPr>
              <w:rPr>
                <w:rFonts w:cstheme="minorHAnsi"/>
                <w:sz w:val="18"/>
                <w:szCs w:val="18"/>
              </w:rPr>
            </w:pPr>
            <w:r w:rsidRPr="009866C2">
              <w:rPr>
                <w:rFonts w:cstheme="minorHAnsi"/>
                <w:sz w:val="18"/>
                <w:szCs w:val="18"/>
              </w:rPr>
              <w:t>Fire shovel</w:t>
            </w:r>
          </w:p>
        </w:tc>
        <w:tc>
          <w:tcPr>
            <w:tcW w:w="4508" w:type="dxa"/>
          </w:tcPr>
          <w:p w14:paraId="10CEA7B0" w14:textId="77777777" w:rsidR="00FD638C" w:rsidRPr="009866C2" w:rsidRDefault="00FD638C" w:rsidP="00285F2F">
            <w:pPr>
              <w:rPr>
                <w:rFonts w:cstheme="minorHAnsi"/>
                <w:sz w:val="18"/>
                <w:szCs w:val="18"/>
              </w:rPr>
            </w:pPr>
            <w:r w:rsidRPr="009866C2">
              <w:rPr>
                <w:rFonts w:cstheme="minorHAnsi"/>
                <w:sz w:val="18"/>
                <w:szCs w:val="18"/>
              </w:rPr>
              <w:t>21</w:t>
            </w:r>
          </w:p>
        </w:tc>
      </w:tr>
      <w:tr w:rsidR="00FD638C" w:rsidRPr="009866C2" w14:paraId="019E79F6" w14:textId="77777777" w:rsidTr="00285F2F">
        <w:tc>
          <w:tcPr>
            <w:tcW w:w="4508" w:type="dxa"/>
          </w:tcPr>
          <w:p w14:paraId="2205D62C" w14:textId="77777777" w:rsidR="00FD638C" w:rsidRPr="009866C2" w:rsidRDefault="00FD638C" w:rsidP="00285F2F">
            <w:pPr>
              <w:rPr>
                <w:rFonts w:cstheme="minorHAnsi"/>
                <w:sz w:val="18"/>
                <w:szCs w:val="18"/>
              </w:rPr>
            </w:pPr>
            <w:r w:rsidRPr="009866C2">
              <w:rPr>
                <w:rFonts w:cstheme="minorHAnsi"/>
                <w:sz w:val="18"/>
                <w:szCs w:val="18"/>
              </w:rPr>
              <w:t>Frying pan</w:t>
            </w:r>
          </w:p>
        </w:tc>
        <w:tc>
          <w:tcPr>
            <w:tcW w:w="4508" w:type="dxa"/>
          </w:tcPr>
          <w:p w14:paraId="54F622B6" w14:textId="77777777" w:rsidR="00FD638C" w:rsidRPr="009866C2" w:rsidRDefault="00FD638C" w:rsidP="00285F2F">
            <w:pPr>
              <w:rPr>
                <w:rFonts w:cstheme="minorHAnsi"/>
                <w:sz w:val="18"/>
                <w:szCs w:val="18"/>
              </w:rPr>
            </w:pPr>
            <w:r w:rsidRPr="009866C2">
              <w:rPr>
                <w:rFonts w:cstheme="minorHAnsi"/>
                <w:sz w:val="18"/>
                <w:szCs w:val="18"/>
              </w:rPr>
              <w:t>44</w:t>
            </w:r>
          </w:p>
        </w:tc>
      </w:tr>
      <w:tr w:rsidR="00FD638C" w:rsidRPr="009866C2" w14:paraId="2E7C10DA" w14:textId="77777777" w:rsidTr="00285F2F">
        <w:tc>
          <w:tcPr>
            <w:tcW w:w="4508" w:type="dxa"/>
          </w:tcPr>
          <w:p w14:paraId="37B97DAD" w14:textId="77777777" w:rsidR="00FD638C" w:rsidRPr="009866C2" w:rsidRDefault="00FD638C" w:rsidP="00285F2F">
            <w:pPr>
              <w:rPr>
                <w:rFonts w:cstheme="minorHAnsi"/>
                <w:sz w:val="18"/>
                <w:szCs w:val="18"/>
              </w:rPr>
            </w:pPr>
            <w:r w:rsidRPr="009866C2">
              <w:rPr>
                <w:rFonts w:cstheme="minorHAnsi"/>
                <w:sz w:val="18"/>
                <w:szCs w:val="18"/>
              </w:rPr>
              <w:t>Gridiron</w:t>
            </w:r>
          </w:p>
        </w:tc>
        <w:tc>
          <w:tcPr>
            <w:tcW w:w="4508" w:type="dxa"/>
          </w:tcPr>
          <w:p w14:paraId="62172F3D" w14:textId="77777777" w:rsidR="00FD638C" w:rsidRPr="009866C2" w:rsidRDefault="00FD638C" w:rsidP="00285F2F">
            <w:pPr>
              <w:rPr>
                <w:rFonts w:cstheme="minorHAnsi"/>
                <w:sz w:val="18"/>
                <w:szCs w:val="18"/>
              </w:rPr>
            </w:pPr>
            <w:r w:rsidRPr="009866C2">
              <w:rPr>
                <w:rFonts w:cstheme="minorHAnsi"/>
                <w:sz w:val="18"/>
                <w:szCs w:val="18"/>
              </w:rPr>
              <w:t>24</w:t>
            </w:r>
          </w:p>
        </w:tc>
      </w:tr>
      <w:tr w:rsidR="00FD638C" w:rsidRPr="009866C2" w14:paraId="2848F032" w14:textId="77777777" w:rsidTr="00285F2F">
        <w:tc>
          <w:tcPr>
            <w:tcW w:w="4508" w:type="dxa"/>
          </w:tcPr>
          <w:p w14:paraId="689F3EEE" w14:textId="77777777" w:rsidR="00FD638C" w:rsidRPr="009866C2" w:rsidRDefault="00FD638C" w:rsidP="00285F2F">
            <w:pPr>
              <w:rPr>
                <w:rFonts w:cstheme="minorHAnsi"/>
                <w:sz w:val="18"/>
                <w:szCs w:val="18"/>
              </w:rPr>
            </w:pPr>
            <w:r w:rsidRPr="009866C2">
              <w:rPr>
                <w:rFonts w:cstheme="minorHAnsi"/>
                <w:sz w:val="18"/>
                <w:szCs w:val="18"/>
              </w:rPr>
              <w:t>Kettle</w:t>
            </w:r>
          </w:p>
        </w:tc>
        <w:tc>
          <w:tcPr>
            <w:tcW w:w="4508" w:type="dxa"/>
          </w:tcPr>
          <w:p w14:paraId="403E1218" w14:textId="77777777" w:rsidR="00FD638C" w:rsidRPr="009866C2" w:rsidRDefault="00FD638C" w:rsidP="00285F2F">
            <w:pPr>
              <w:rPr>
                <w:rFonts w:cstheme="minorHAnsi"/>
                <w:sz w:val="18"/>
                <w:szCs w:val="18"/>
              </w:rPr>
            </w:pPr>
            <w:r w:rsidRPr="009866C2">
              <w:rPr>
                <w:rFonts w:cstheme="minorHAnsi"/>
                <w:sz w:val="18"/>
                <w:szCs w:val="18"/>
              </w:rPr>
              <w:t>23</w:t>
            </w:r>
          </w:p>
        </w:tc>
      </w:tr>
      <w:tr w:rsidR="00FD638C" w:rsidRPr="009866C2" w14:paraId="629730EF" w14:textId="77777777" w:rsidTr="00285F2F">
        <w:tc>
          <w:tcPr>
            <w:tcW w:w="4508" w:type="dxa"/>
          </w:tcPr>
          <w:p w14:paraId="113380F7" w14:textId="77777777" w:rsidR="00FD638C" w:rsidRPr="009866C2" w:rsidRDefault="00FD638C" w:rsidP="00285F2F">
            <w:pPr>
              <w:rPr>
                <w:rFonts w:cstheme="minorHAnsi"/>
                <w:sz w:val="18"/>
                <w:szCs w:val="18"/>
              </w:rPr>
            </w:pPr>
            <w:r w:rsidRPr="009866C2">
              <w:rPr>
                <w:rFonts w:cstheme="minorHAnsi"/>
                <w:sz w:val="18"/>
                <w:szCs w:val="18"/>
              </w:rPr>
              <w:t>Metal cooking pot</w:t>
            </w:r>
          </w:p>
        </w:tc>
        <w:tc>
          <w:tcPr>
            <w:tcW w:w="4508" w:type="dxa"/>
          </w:tcPr>
          <w:p w14:paraId="7FE72C30" w14:textId="77777777" w:rsidR="00FD638C" w:rsidRPr="009866C2" w:rsidRDefault="00FD638C" w:rsidP="00285F2F">
            <w:pPr>
              <w:rPr>
                <w:rFonts w:cstheme="minorHAnsi"/>
                <w:sz w:val="18"/>
                <w:szCs w:val="18"/>
              </w:rPr>
            </w:pPr>
            <w:r w:rsidRPr="009866C2">
              <w:rPr>
                <w:rFonts w:cstheme="minorHAnsi"/>
                <w:sz w:val="18"/>
                <w:szCs w:val="18"/>
              </w:rPr>
              <w:t>10</w:t>
            </w:r>
          </w:p>
        </w:tc>
      </w:tr>
      <w:tr w:rsidR="00FD638C" w:rsidRPr="009866C2" w14:paraId="2C59729E" w14:textId="77777777" w:rsidTr="00285F2F">
        <w:tc>
          <w:tcPr>
            <w:tcW w:w="4508" w:type="dxa"/>
          </w:tcPr>
          <w:p w14:paraId="5D3D38A2" w14:textId="77777777" w:rsidR="00FD638C" w:rsidRPr="009866C2" w:rsidRDefault="00FD638C" w:rsidP="00285F2F">
            <w:pPr>
              <w:rPr>
                <w:rFonts w:cstheme="minorHAnsi"/>
                <w:sz w:val="18"/>
                <w:szCs w:val="18"/>
              </w:rPr>
            </w:pPr>
            <w:r w:rsidRPr="009866C2">
              <w:rPr>
                <w:rFonts w:cstheme="minorHAnsi"/>
                <w:sz w:val="18"/>
                <w:szCs w:val="18"/>
              </w:rPr>
              <w:t>Poker</w:t>
            </w:r>
          </w:p>
        </w:tc>
        <w:tc>
          <w:tcPr>
            <w:tcW w:w="4508" w:type="dxa"/>
          </w:tcPr>
          <w:p w14:paraId="10B289B4" w14:textId="77777777" w:rsidR="00FD638C" w:rsidRPr="009866C2" w:rsidRDefault="00FD638C" w:rsidP="00285F2F">
            <w:pPr>
              <w:rPr>
                <w:rFonts w:cstheme="minorHAnsi"/>
                <w:sz w:val="18"/>
                <w:szCs w:val="18"/>
              </w:rPr>
            </w:pPr>
            <w:r w:rsidRPr="009866C2">
              <w:rPr>
                <w:rFonts w:cstheme="minorHAnsi"/>
                <w:sz w:val="18"/>
                <w:szCs w:val="18"/>
              </w:rPr>
              <w:t>31</w:t>
            </w:r>
          </w:p>
        </w:tc>
      </w:tr>
      <w:tr w:rsidR="00FD638C" w:rsidRPr="009866C2" w14:paraId="77D70709" w14:textId="77777777" w:rsidTr="00285F2F">
        <w:tc>
          <w:tcPr>
            <w:tcW w:w="4508" w:type="dxa"/>
          </w:tcPr>
          <w:p w14:paraId="7E8EE206" w14:textId="77777777" w:rsidR="00FD638C" w:rsidRPr="009866C2" w:rsidRDefault="00FD638C" w:rsidP="00285F2F">
            <w:pPr>
              <w:rPr>
                <w:rFonts w:cstheme="minorHAnsi"/>
                <w:sz w:val="18"/>
                <w:szCs w:val="18"/>
              </w:rPr>
            </w:pPr>
            <w:r w:rsidRPr="009866C2">
              <w:rPr>
                <w:rFonts w:cstheme="minorHAnsi"/>
                <w:sz w:val="18"/>
                <w:szCs w:val="18"/>
              </w:rPr>
              <w:t>Saucepan</w:t>
            </w:r>
          </w:p>
        </w:tc>
        <w:tc>
          <w:tcPr>
            <w:tcW w:w="4508" w:type="dxa"/>
          </w:tcPr>
          <w:p w14:paraId="4A81FD16" w14:textId="77777777" w:rsidR="00FD638C" w:rsidRPr="009866C2" w:rsidRDefault="00FD638C" w:rsidP="00285F2F">
            <w:pPr>
              <w:rPr>
                <w:rFonts w:cstheme="minorHAnsi"/>
                <w:sz w:val="18"/>
                <w:szCs w:val="18"/>
              </w:rPr>
            </w:pPr>
            <w:r w:rsidRPr="009866C2">
              <w:rPr>
                <w:rFonts w:cstheme="minorHAnsi"/>
                <w:sz w:val="18"/>
                <w:szCs w:val="18"/>
              </w:rPr>
              <w:t>31</w:t>
            </w:r>
          </w:p>
        </w:tc>
      </w:tr>
      <w:tr w:rsidR="00FD638C" w:rsidRPr="009866C2" w14:paraId="0F8B186B" w14:textId="77777777" w:rsidTr="00285F2F">
        <w:tc>
          <w:tcPr>
            <w:tcW w:w="4508" w:type="dxa"/>
          </w:tcPr>
          <w:p w14:paraId="0F35E081" w14:textId="77777777" w:rsidR="00FD638C" w:rsidRPr="009866C2" w:rsidRDefault="00FD638C" w:rsidP="00285F2F">
            <w:pPr>
              <w:rPr>
                <w:rFonts w:cstheme="minorHAnsi"/>
                <w:sz w:val="18"/>
                <w:szCs w:val="18"/>
              </w:rPr>
            </w:pPr>
            <w:r w:rsidRPr="009866C2">
              <w:rPr>
                <w:rFonts w:cstheme="minorHAnsi"/>
                <w:sz w:val="18"/>
                <w:szCs w:val="18"/>
              </w:rPr>
              <w:t>Tongs</w:t>
            </w:r>
          </w:p>
        </w:tc>
        <w:tc>
          <w:tcPr>
            <w:tcW w:w="4508" w:type="dxa"/>
          </w:tcPr>
          <w:p w14:paraId="20F26EA3" w14:textId="77777777" w:rsidR="00FD638C" w:rsidRPr="009866C2" w:rsidRDefault="00FD638C" w:rsidP="00285F2F">
            <w:pPr>
              <w:rPr>
                <w:rFonts w:cstheme="minorHAnsi"/>
                <w:sz w:val="18"/>
                <w:szCs w:val="18"/>
              </w:rPr>
            </w:pPr>
            <w:r w:rsidRPr="009866C2">
              <w:rPr>
                <w:rFonts w:cstheme="minorHAnsi"/>
                <w:sz w:val="18"/>
                <w:szCs w:val="18"/>
              </w:rPr>
              <w:t>53</w:t>
            </w:r>
          </w:p>
        </w:tc>
      </w:tr>
      <w:tr w:rsidR="00FD638C" w:rsidRPr="009866C2" w14:paraId="195D29B9" w14:textId="77777777" w:rsidTr="00285F2F">
        <w:tc>
          <w:tcPr>
            <w:tcW w:w="4508" w:type="dxa"/>
          </w:tcPr>
          <w:p w14:paraId="663472FF" w14:textId="77777777" w:rsidR="00FD638C" w:rsidRPr="009866C2" w:rsidRDefault="00FD638C" w:rsidP="00285F2F">
            <w:pPr>
              <w:rPr>
                <w:rFonts w:cstheme="minorHAnsi"/>
                <w:sz w:val="18"/>
                <w:szCs w:val="18"/>
              </w:rPr>
            </w:pPr>
            <w:r w:rsidRPr="009866C2">
              <w:rPr>
                <w:rFonts w:cstheme="minorHAnsi"/>
                <w:b/>
                <w:bCs/>
                <w:sz w:val="18"/>
                <w:szCs w:val="18"/>
              </w:rPr>
              <w:t>Non-necessities</w:t>
            </w:r>
          </w:p>
        </w:tc>
        <w:tc>
          <w:tcPr>
            <w:tcW w:w="4508" w:type="dxa"/>
          </w:tcPr>
          <w:p w14:paraId="052C8E56" w14:textId="77777777" w:rsidR="00FD638C" w:rsidRPr="009866C2" w:rsidRDefault="00FD638C" w:rsidP="00285F2F">
            <w:pPr>
              <w:rPr>
                <w:rFonts w:cstheme="minorHAnsi"/>
                <w:sz w:val="18"/>
                <w:szCs w:val="18"/>
              </w:rPr>
            </w:pPr>
          </w:p>
        </w:tc>
      </w:tr>
      <w:tr w:rsidR="00FD638C" w:rsidRPr="009866C2" w14:paraId="17AA5316" w14:textId="77777777" w:rsidTr="00285F2F">
        <w:tc>
          <w:tcPr>
            <w:tcW w:w="4508" w:type="dxa"/>
          </w:tcPr>
          <w:p w14:paraId="261665B1" w14:textId="77777777" w:rsidR="00FD638C" w:rsidRPr="009866C2" w:rsidRDefault="00FD638C" w:rsidP="00285F2F">
            <w:pPr>
              <w:rPr>
                <w:rFonts w:cstheme="minorHAnsi"/>
                <w:b/>
                <w:bCs/>
                <w:sz w:val="18"/>
                <w:szCs w:val="18"/>
              </w:rPr>
            </w:pPr>
            <w:r w:rsidRPr="009866C2">
              <w:rPr>
                <w:rFonts w:cstheme="minorHAnsi"/>
                <w:sz w:val="18"/>
                <w:szCs w:val="18"/>
              </w:rPr>
              <w:t>Bed hangings</w:t>
            </w:r>
          </w:p>
        </w:tc>
        <w:tc>
          <w:tcPr>
            <w:tcW w:w="4508" w:type="dxa"/>
          </w:tcPr>
          <w:p w14:paraId="4447F5B7" w14:textId="77777777" w:rsidR="00FD638C" w:rsidRPr="009866C2" w:rsidRDefault="00FD638C" w:rsidP="00285F2F">
            <w:pPr>
              <w:rPr>
                <w:rFonts w:cstheme="minorHAnsi"/>
                <w:sz w:val="18"/>
                <w:szCs w:val="18"/>
              </w:rPr>
            </w:pPr>
            <w:r w:rsidRPr="009866C2">
              <w:rPr>
                <w:rFonts w:cstheme="minorHAnsi"/>
                <w:sz w:val="18"/>
                <w:szCs w:val="18"/>
              </w:rPr>
              <w:t>36</w:t>
            </w:r>
          </w:p>
        </w:tc>
      </w:tr>
      <w:tr w:rsidR="00FD638C" w:rsidRPr="009866C2" w14:paraId="7A9BE02F" w14:textId="77777777" w:rsidTr="00285F2F">
        <w:tc>
          <w:tcPr>
            <w:tcW w:w="4508" w:type="dxa"/>
          </w:tcPr>
          <w:p w14:paraId="7C423227" w14:textId="77777777" w:rsidR="00FD638C" w:rsidRPr="009866C2" w:rsidRDefault="00FD638C" w:rsidP="00285F2F">
            <w:pPr>
              <w:rPr>
                <w:rFonts w:cstheme="minorHAnsi"/>
                <w:b/>
                <w:bCs/>
                <w:sz w:val="18"/>
                <w:szCs w:val="18"/>
              </w:rPr>
            </w:pPr>
            <w:r w:rsidRPr="009866C2">
              <w:rPr>
                <w:rFonts w:cstheme="minorHAnsi"/>
                <w:sz w:val="18"/>
                <w:szCs w:val="18"/>
              </w:rPr>
              <w:t>Clock/watch</w:t>
            </w:r>
          </w:p>
        </w:tc>
        <w:tc>
          <w:tcPr>
            <w:tcW w:w="4508" w:type="dxa"/>
          </w:tcPr>
          <w:p w14:paraId="128B0718" w14:textId="77777777" w:rsidR="00FD638C" w:rsidRPr="009866C2" w:rsidRDefault="00FD638C" w:rsidP="00285F2F">
            <w:pPr>
              <w:rPr>
                <w:rFonts w:cstheme="minorHAnsi"/>
                <w:sz w:val="18"/>
                <w:szCs w:val="18"/>
              </w:rPr>
            </w:pPr>
            <w:r w:rsidRPr="009866C2">
              <w:rPr>
                <w:rFonts w:cstheme="minorHAnsi"/>
                <w:sz w:val="18"/>
                <w:szCs w:val="18"/>
              </w:rPr>
              <w:t>27</w:t>
            </w:r>
          </w:p>
        </w:tc>
      </w:tr>
      <w:tr w:rsidR="00FD638C" w:rsidRPr="009866C2" w14:paraId="3D58D7A7" w14:textId="77777777" w:rsidTr="00285F2F">
        <w:tc>
          <w:tcPr>
            <w:tcW w:w="4508" w:type="dxa"/>
          </w:tcPr>
          <w:p w14:paraId="48F45B51" w14:textId="77777777" w:rsidR="00FD638C" w:rsidRPr="009866C2" w:rsidRDefault="00FD638C" w:rsidP="00285F2F">
            <w:pPr>
              <w:rPr>
                <w:rFonts w:cstheme="minorHAnsi"/>
                <w:b/>
                <w:bCs/>
                <w:sz w:val="18"/>
                <w:szCs w:val="18"/>
              </w:rPr>
            </w:pPr>
            <w:r w:rsidRPr="009866C2">
              <w:rPr>
                <w:rFonts w:cstheme="minorHAnsi"/>
                <w:sz w:val="18"/>
                <w:szCs w:val="18"/>
              </w:rPr>
              <w:t>Looking glass</w:t>
            </w:r>
          </w:p>
        </w:tc>
        <w:tc>
          <w:tcPr>
            <w:tcW w:w="4508" w:type="dxa"/>
          </w:tcPr>
          <w:p w14:paraId="61601029" w14:textId="77777777" w:rsidR="00FD638C" w:rsidRPr="009866C2" w:rsidRDefault="00FD638C" w:rsidP="00285F2F">
            <w:pPr>
              <w:rPr>
                <w:rFonts w:cstheme="minorHAnsi"/>
                <w:sz w:val="18"/>
                <w:szCs w:val="18"/>
              </w:rPr>
            </w:pPr>
            <w:r w:rsidRPr="009866C2">
              <w:rPr>
                <w:rFonts w:cstheme="minorHAnsi"/>
                <w:sz w:val="18"/>
                <w:szCs w:val="18"/>
              </w:rPr>
              <w:t>33</w:t>
            </w:r>
          </w:p>
        </w:tc>
      </w:tr>
      <w:tr w:rsidR="00FD638C" w:rsidRPr="009866C2" w14:paraId="27D96D67" w14:textId="77777777" w:rsidTr="00285F2F">
        <w:tc>
          <w:tcPr>
            <w:tcW w:w="4508" w:type="dxa"/>
          </w:tcPr>
          <w:p w14:paraId="1455E495" w14:textId="77777777" w:rsidR="00FD638C" w:rsidRPr="009866C2" w:rsidRDefault="00FD638C" w:rsidP="00285F2F">
            <w:pPr>
              <w:rPr>
                <w:rFonts w:cstheme="minorHAnsi"/>
                <w:b/>
                <w:bCs/>
                <w:sz w:val="18"/>
                <w:szCs w:val="18"/>
              </w:rPr>
            </w:pPr>
            <w:r w:rsidRPr="009866C2">
              <w:rPr>
                <w:rFonts w:cstheme="minorHAnsi"/>
                <w:sz w:val="18"/>
                <w:szCs w:val="18"/>
              </w:rPr>
              <w:t>Picture</w:t>
            </w:r>
          </w:p>
        </w:tc>
        <w:tc>
          <w:tcPr>
            <w:tcW w:w="4508" w:type="dxa"/>
          </w:tcPr>
          <w:p w14:paraId="3E2EE379" w14:textId="77777777" w:rsidR="00FD638C" w:rsidRPr="009866C2" w:rsidRDefault="00FD638C" w:rsidP="00285F2F">
            <w:pPr>
              <w:rPr>
                <w:rFonts w:cstheme="minorHAnsi"/>
                <w:sz w:val="18"/>
                <w:szCs w:val="18"/>
              </w:rPr>
            </w:pPr>
            <w:r w:rsidRPr="009866C2">
              <w:rPr>
                <w:rFonts w:cstheme="minorHAnsi"/>
                <w:sz w:val="18"/>
                <w:szCs w:val="18"/>
              </w:rPr>
              <w:t>12</w:t>
            </w:r>
          </w:p>
        </w:tc>
      </w:tr>
      <w:tr w:rsidR="00FD638C" w:rsidRPr="009866C2" w14:paraId="3FC94AFC" w14:textId="77777777" w:rsidTr="00285F2F">
        <w:tc>
          <w:tcPr>
            <w:tcW w:w="4508" w:type="dxa"/>
          </w:tcPr>
          <w:p w14:paraId="5B46D717" w14:textId="77777777" w:rsidR="00FD638C" w:rsidRPr="009866C2" w:rsidRDefault="00FD638C" w:rsidP="00285F2F">
            <w:pPr>
              <w:rPr>
                <w:rFonts w:cstheme="minorHAnsi"/>
                <w:sz w:val="18"/>
                <w:szCs w:val="18"/>
              </w:rPr>
            </w:pPr>
            <w:r w:rsidRPr="009866C2">
              <w:rPr>
                <w:rFonts w:cstheme="minorHAnsi"/>
                <w:sz w:val="18"/>
                <w:szCs w:val="18"/>
              </w:rPr>
              <w:t>Tea goods</w:t>
            </w:r>
          </w:p>
        </w:tc>
        <w:tc>
          <w:tcPr>
            <w:tcW w:w="4508" w:type="dxa"/>
          </w:tcPr>
          <w:p w14:paraId="47B682EB" w14:textId="77777777" w:rsidR="00FD638C" w:rsidRPr="009866C2" w:rsidRDefault="00FD638C" w:rsidP="00285F2F">
            <w:pPr>
              <w:rPr>
                <w:rFonts w:cstheme="minorHAnsi"/>
                <w:sz w:val="18"/>
                <w:szCs w:val="18"/>
              </w:rPr>
            </w:pPr>
            <w:r w:rsidRPr="009866C2">
              <w:rPr>
                <w:rFonts w:cstheme="minorHAnsi"/>
                <w:sz w:val="18"/>
                <w:szCs w:val="18"/>
              </w:rPr>
              <w:t>72</w:t>
            </w:r>
          </w:p>
        </w:tc>
      </w:tr>
      <w:tr w:rsidR="00FD638C" w:rsidRPr="009866C2" w14:paraId="537AF30C" w14:textId="77777777" w:rsidTr="00285F2F">
        <w:tc>
          <w:tcPr>
            <w:tcW w:w="4508" w:type="dxa"/>
          </w:tcPr>
          <w:p w14:paraId="284E88AE" w14:textId="77777777" w:rsidR="00FD638C" w:rsidRPr="009866C2" w:rsidRDefault="00FD638C" w:rsidP="00285F2F">
            <w:pPr>
              <w:rPr>
                <w:rFonts w:cstheme="minorHAnsi"/>
                <w:sz w:val="18"/>
                <w:szCs w:val="18"/>
              </w:rPr>
            </w:pPr>
            <w:r w:rsidRPr="009866C2">
              <w:rPr>
                <w:rFonts w:cstheme="minorHAnsi"/>
                <w:sz w:val="18"/>
                <w:szCs w:val="18"/>
              </w:rPr>
              <w:t>Warming pan</w:t>
            </w:r>
          </w:p>
        </w:tc>
        <w:tc>
          <w:tcPr>
            <w:tcW w:w="4508" w:type="dxa"/>
          </w:tcPr>
          <w:p w14:paraId="67DE3A99" w14:textId="77777777" w:rsidR="00FD638C" w:rsidRPr="009866C2" w:rsidRDefault="00FD638C" w:rsidP="00285F2F">
            <w:pPr>
              <w:rPr>
                <w:rFonts w:cstheme="minorHAnsi"/>
                <w:sz w:val="18"/>
                <w:szCs w:val="18"/>
              </w:rPr>
            </w:pPr>
            <w:r w:rsidRPr="009866C2">
              <w:rPr>
                <w:rFonts w:cstheme="minorHAnsi"/>
                <w:sz w:val="18"/>
                <w:szCs w:val="18"/>
              </w:rPr>
              <w:t>40</w:t>
            </w:r>
          </w:p>
        </w:tc>
      </w:tr>
      <w:tr w:rsidR="00FD638C" w:rsidRPr="009866C2" w14:paraId="1D67000F" w14:textId="77777777" w:rsidTr="00285F2F">
        <w:tc>
          <w:tcPr>
            <w:tcW w:w="4508" w:type="dxa"/>
          </w:tcPr>
          <w:p w14:paraId="2ECAE9AE" w14:textId="77777777" w:rsidR="00FD638C" w:rsidRPr="009866C2" w:rsidRDefault="00FD638C" w:rsidP="00285F2F">
            <w:pPr>
              <w:rPr>
                <w:rFonts w:cstheme="minorHAnsi"/>
                <w:sz w:val="18"/>
                <w:szCs w:val="18"/>
              </w:rPr>
            </w:pPr>
            <w:r w:rsidRPr="009866C2">
              <w:rPr>
                <w:rFonts w:cstheme="minorHAnsi"/>
                <w:sz w:val="18"/>
                <w:szCs w:val="18"/>
              </w:rPr>
              <w:t>Window curtains</w:t>
            </w:r>
          </w:p>
        </w:tc>
        <w:tc>
          <w:tcPr>
            <w:tcW w:w="4508" w:type="dxa"/>
          </w:tcPr>
          <w:p w14:paraId="39737547" w14:textId="77777777" w:rsidR="00FD638C" w:rsidRPr="009866C2" w:rsidRDefault="00FD638C" w:rsidP="00285F2F">
            <w:pPr>
              <w:rPr>
                <w:rFonts w:cstheme="minorHAnsi"/>
                <w:sz w:val="18"/>
                <w:szCs w:val="18"/>
              </w:rPr>
            </w:pPr>
            <w:r w:rsidRPr="009866C2">
              <w:rPr>
                <w:rFonts w:cstheme="minorHAnsi"/>
                <w:sz w:val="18"/>
                <w:szCs w:val="18"/>
              </w:rPr>
              <w:t>11</w:t>
            </w:r>
          </w:p>
        </w:tc>
      </w:tr>
    </w:tbl>
    <w:p w14:paraId="1379FC12" w14:textId="77777777" w:rsidR="00FD638C" w:rsidRPr="009866C2" w:rsidRDefault="00FD638C" w:rsidP="00FD638C">
      <w:pPr>
        <w:rPr>
          <w:rFonts w:cstheme="minorHAnsi"/>
          <w:sz w:val="18"/>
          <w:szCs w:val="18"/>
        </w:rPr>
      </w:pPr>
    </w:p>
    <w:p w14:paraId="005A059B" w14:textId="77777777" w:rsidR="00C433A6" w:rsidRPr="007C4B1B" w:rsidRDefault="00C433A6" w:rsidP="00C433A6">
      <w:pPr>
        <w:spacing w:line="360" w:lineRule="auto"/>
        <w:jc w:val="center"/>
        <w:rPr>
          <w:b/>
          <w:bCs/>
        </w:rPr>
      </w:pPr>
      <w:r>
        <w:rPr>
          <w:b/>
          <w:bCs/>
        </w:rPr>
        <w:t>Table 1: Percentage of pauper inventories which record various household items, 1790-1834</w:t>
      </w:r>
    </w:p>
    <w:p w14:paraId="46D309ED" w14:textId="754B37A5" w:rsidR="007458FF" w:rsidRDefault="007458FF" w:rsidP="0032708A">
      <w:pPr>
        <w:spacing w:line="360" w:lineRule="auto"/>
        <w:ind w:firstLine="720"/>
      </w:pPr>
      <w:r>
        <w:lastRenderedPageBreak/>
        <w:t>These first-hand accounts clearly show that life for paupers could be extremely difficult when they lacked basic provisions. Pauper inventories generally do not record food, clothing, fuel</w:t>
      </w:r>
      <w:r w:rsidR="00842F55">
        <w:t>,</w:t>
      </w:r>
      <w:r>
        <w:t xml:space="preserve"> and rent arrears, but they do allow us to study items related to cooking and the fireplace and other household goods. The inventories overall appear to show much more positive results than the ego documents (Table 1). Pauper inventories should never be assumed to be complete, but the figures strongly suggest that by the 1790s pauper homes contained a wide range of goods which would have enabled them to live in relatively comfortable and well-equipped domestic environments. This was the result of the poor gradually consuming more goods from the proceeding decades, many of which were probably second hand.</w:t>
      </w:r>
      <w:r>
        <w:rPr>
          <w:rStyle w:val="EndnoteReference"/>
        </w:rPr>
        <w:endnoteReference w:id="31"/>
      </w:r>
      <w:r>
        <w:t xml:space="preserve"> Bedsteads and mattresses were almost ubiquitous by the 1790s and just over half of the inventories recorded feather beds, while less comfortable flock and straw/chaff mattresses were recorded in 24 and 22 per cent of the inventories respectively. Chairs and tables were almost always noted in the inventories and on average each listed 5.8 chairs and 2.7 tables. These items were sometimes made from decorative and expensive materials. The 1807 inventory of Widow </w:t>
      </w:r>
      <w:proofErr w:type="spellStart"/>
      <w:r>
        <w:t>Piggot’s</w:t>
      </w:r>
      <w:proofErr w:type="spellEnd"/>
      <w:r>
        <w:t xml:space="preserve"> goods taken in </w:t>
      </w:r>
      <w:proofErr w:type="spellStart"/>
      <w:r w:rsidRPr="00FF6C74">
        <w:t>Tolleshunt</w:t>
      </w:r>
      <w:proofErr w:type="spellEnd"/>
      <w:r w:rsidRPr="00FF6C74">
        <w:t xml:space="preserve"> D</w:t>
      </w:r>
      <w:r>
        <w:t>’A</w:t>
      </w:r>
      <w:r w:rsidRPr="00FF6C74">
        <w:t>rcy</w:t>
      </w:r>
      <w:r>
        <w:t>, for example, included a ‘</w:t>
      </w:r>
      <w:proofErr w:type="spellStart"/>
      <w:r>
        <w:t>Mahogny</w:t>
      </w:r>
      <w:proofErr w:type="spellEnd"/>
      <w:r>
        <w:t xml:space="preserve"> Tea Table’, alongside ‘</w:t>
      </w:r>
      <w:r w:rsidRPr="00FF6C74">
        <w:t>½</w:t>
      </w:r>
      <w:r>
        <w:t xml:space="preserve"> doz. Beach Chairs’;</w:t>
      </w:r>
      <w:r>
        <w:rPr>
          <w:rStyle w:val="EndnoteReference"/>
        </w:rPr>
        <w:endnoteReference w:id="32"/>
      </w:r>
      <w:r>
        <w:t xml:space="preserve"> while the inventory of Mrs Wiffen’s belongings taken several months earlier contained an ‘A Square oak Table &amp; draw. &amp; an Elm Table, Three Leather </w:t>
      </w:r>
      <w:proofErr w:type="spellStart"/>
      <w:r>
        <w:t>bottom’d</w:t>
      </w:r>
      <w:proofErr w:type="spellEnd"/>
      <w:r>
        <w:t xml:space="preserve"> Chairs, &amp; 1 Rush D</w:t>
      </w:r>
      <w:r w:rsidRPr="0034248A">
        <w:rPr>
          <w:vertAlign w:val="superscript"/>
        </w:rPr>
        <w:t>o</w:t>
      </w:r>
      <w:r>
        <w:t>’.</w:t>
      </w:r>
      <w:r>
        <w:rPr>
          <w:rStyle w:val="EndnoteReference"/>
        </w:rPr>
        <w:endnoteReference w:id="33"/>
      </w:r>
      <w:r>
        <w:t xml:space="preserve"> The poor also owned desirable, practical</w:t>
      </w:r>
      <w:r w:rsidR="00842F55">
        <w:t>,</w:t>
      </w:r>
      <w:r>
        <w:t xml:space="preserve"> and decorative storage items</w:t>
      </w:r>
      <w:r w:rsidRPr="005278C7">
        <w:t xml:space="preserve"> </w:t>
      </w:r>
      <w:r>
        <w:t>such as cupboards and chests of drawers in relatively high numbers.</w:t>
      </w:r>
    </w:p>
    <w:p w14:paraId="71F34306" w14:textId="3890AF43" w:rsidR="007458FF" w:rsidRPr="005010FC" w:rsidRDefault="007458FF" w:rsidP="00B20B67">
      <w:pPr>
        <w:spacing w:line="360" w:lineRule="auto"/>
        <w:ind w:firstLine="720"/>
      </w:pPr>
      <w:r>
        <w:t xml:space="preserve">A wide </w:t>
      </w:r>
      <w:r w:rsidRPr="008D03B6">
        <w:t xml:space="preserve">range of hearth </w:t>
      </w:r>
      <w:r>
        <w:t>goods</w:t>
      </w:r>
      <w:r w:rsidRPr="008D03B6">
        <w:t xml:space="preserve"> can be found in </w:t>
      </w:r>
      <w:r>
        <w:t xml:space="preserve">pauper homes. Items such as fenders and pokers tended to be used with coal so had very specific purposes, which suggests that maintaining a fire had become more sophisticated in poor abodes by the late eighteenth century. People appear to have had ample vessels and utensils to </w:t>
      </w:r>
      <w:r w:rsidRPr="008D03B6">
        <w:t>grill, roast, fry, bake</w:t>
      </w:r>
      <w:r w:rsidR="00842F55">
        <w:t>,</w:t>
      </w:r>
      <w:r w:rsidRPr="008D03B6">
        <w:t xml:space="preserve"> and toast </w:t>
      </w:r>
      <w:r>
        <w:t xml:space="preserve">various </w:t>
      </w:r>
      <w:r w:rsidRPr="008D03B6">
        <w:t>food</w:t>
      </w:r>
      <w:r>
        <w:t xml:space="preserve">s and thus potentially create diverse meals. Saucepans, for example, were introduced to pauper homes in greater numbers from the late eighteenth century and they helped to make cooking easier and more </w:t>
      </w:r>
      <w:r w:rsidRPr="008D03B6">
        <w:t>efficient</w:t>
      </w:r>
      <w:r>
        <w:t xml:space="preserve"> as they heated quickly</w:t>
      </w:r>
      <w:r w:rsidRPr="008D03B6">
        <w:t>.</w:t>
      </w:r>
      <w:r w:rsidRPr="008D03B6">
        <w:rPr>
          <w:rStyle w:val="EndnoteReference"/>
        </w:rPr>
        <w:endnoteReference w:id="34"/>
      </w:r>
      <w:r w:rsidRPr="008D03B6">
        <w:t xml:space="preserve"> </w:t>
      </w:r>
      <w:r>
        <w:t>Around one-third of the inventories included items described as ‘old’, but paupers also amassed a range of ‘luxury’ goods which were not necessary to support life and were often associated to decoration, status, vanity</w:t>
      </w:r>
      <w:r w:rsidR="00842F55">
        <w:t>,</w:t>
      </w:r>
      <w:r>
        <w:t xml:space="preserve"> and appearance.</w:t>
      </w:r>
      <w:r>
        <w:rPr>
          <w:rStyle w:val="EndnoteReference"/>
        </w:rPr>
        <w:endnoteReference w:id="35"/>
      </w:r>
      <w:r>
        <w:t xml:space="preserve"> Looking glasses appear in 33 per cent of the inventories and allowed users to maintain their appearance and light their homes more efficiently. Tea goods were found in around three-fourths of pauper homes, showing that tea had gone from a rare luxury to a national drink of the English population over the long eighteenth century. Clocks/watches were heavily associated to respectability and status and can be found in at least 27 per cent of pauper inventories. Some of these goods would have been highly sought after. For example, the inventory of Thomas Baker’s goods recorded ‘An eight day Clock’ worth £3 3s.; John Whale’s home in Little </w:t>
      </w:r>
      <w:proofErr w:type="spellStart"/>
      <w:r>
        <w:t>Wakering</w:t>
      </w:r>
      <w:proofErr w:type="spellEnd"/>
      <w:r>
        <w:t xml:space="preserve"> contained a range of tea paraphernalia alongside ‘A Silver </w:t>
      </w:r>
      <w:proofErr w:type="spellStart"/>
      <w:r>
        <w:lastRenderedPageBreak/>
        <w:t>Spoone</w:t>
      </w:r>
      <w:proofErr w:type="spellEnd"/>
      <w:r>
        <w:t xml:space="preserve">, Silver Sugar </w:t>
      </w:r>
      <w:proofErr w:type="spellStart"/>
      <w:r>
        <w:t>Nipers</w:t>
      </w:r>
      <w:proofErr w:type="spellEnd"/>
      <w:r>
        <w:t>’; and Jon Millbank owned a ‘Swing [looking] glass’ worth 5s.</w:t>
      </w:r>
      <w:r>
        <w:rPr>
          <w:rStyle w:val="EndnoteReference"/>
        </w:rPr>
        <w:endnoteReference w:id="36"/>
      </w:r>
      <w:r>
        <w:t xml:space="preserve"> The material wealth of the poor was, of course, smaller and much more modest than the middling sort who saw many of the same material alterations a century earlier,</w:t>
      </w:r>
      <w:r>
        <w:rPr>
          <w:rStyle w:val="EndnoteReference"/>
        </w:rPr>
        <w:endnoteReference w:id="37"/>
      </w:r>
      <w:r>
        <w:t xml:space="preserve"> but for the poor themselves these changes were significant and show that their homes contained myriad possessions.</w:t>
      </w:r>
    </w:p>
    <w:p w14:paraId="44B75BE6" w14:textId="77028203" w:rsidR="007458FF" w:rsidRPr="002279F4" w:rsidRDefault="007458FF" w:rsidP="00D442C0">
      <w:pPr>
        <w:pStyle w:val="Heading1"/>
      </w:pPr>
      <w:r>
        <w:t xml:space="preserve">1.4 Material culture over the </w:t>
      </w:r>
      <w:proofErr w:type="gramStart"/>
      <w:r>
        <w:t>life-cycle</w:t>
      </w:r>
      <w:proofErr w:type="gramEnd"/>
    </w:p>
    <w:p w14:paraId="7EBD306F" w14:textId="204BBC73" w:rsidR="007458FF" w:rsidRPr="005010FC" w:rsidRDefault="007458FF" w:rsidP="00BE3455">
      <w:pPr>
        <w:spacing w:line="360" w:lineRule="auto"/>
        <w:ind w:firstLine="720"/>
        <w:rPr>
          <w:rFonts w:cstheme="minorHAnsi"/>
        </w:rPr>
      </w:pPr>
      <w:r>
        <w:t>The ego documents and inventories reveal two opposing images of material life. On the one hand, the letters show that many parishioners could not afford sufficient clothing for their families and to keep them warm. Many lacked the most rudimentary items such as bread, resulting in ill-health and malnourishment. Pauper inventories, in contrast, show that commensurate to income the homes of the poor could be well equipped with a range of possessions, such as cooking vessels, hearth items and ‘luxury’ goods. Owning an array of household goods was therefore not necessarily incompatible with struggling to feed and clothe oneself, but how do we account for these two polar accounts? The answer principally lies in the life-cycle of poverty and sickness. Many of the material goods that are listed in the pauper inventories had been amassed over many years, while purchases of fuel, clothing</w:t>
      </w:r>
      <w:r w:rsidR="00842F55">
        <w:t>,</w:t>
      </w:r>
      <w:r>
        <w:t xml:space="preserve"> and food were regular acquisitions, so when crisis hit it was these more perishable products that were missed first. The poor would sometimes sell their household goods to acquire these </w:t>
      </w:r>
      <w:proofErr w:type="gramStart"/>
      <w:r>
        <w:t>basic necessities</w:t>
      </w:r>
      <w:proofErr w:type="gramEnd"/>
      <w:r>
        <w:t xml:space="preserve"> and the inventories represent the goods that people owned after they had pawned and sold many of their possessions.</w:t>
      </w:r>
      <w:r>
        <w:rPr>
          <w:rStyle w:val="EndnoteReference"/>
        </w:rPr>
        <w:endnoteReference w:id="38"/>
      </w:r>
      <w:r>
        <w:t xml:space="preserve"> The fact that some were able to retain a wide range of belongings after this is indicative of their changing desire to consume more goods and their amassing of items over a lifetime. </w:t>
      </w:r>
      <w:bookmarkStart w:id="3" w:name="_Hlk26854891"/>
      <w:r>
        <w:t>It indicates that during relatively prosperous times in their lives they could own a considerable range of goods. However, during very precarious stages the poor’s material wealth shifted drastically as people relayed their resources to meeting their most fundamental needs such as medicine and food. Their material expectations at this point declined and many went without suitable clothing, food</w:t>
      </w:r>
      <w:r w:rsidR="00842F55">
        <w:t>,</w:t>
      </w:r>
      <w:r>
        <w:t xml:space="preserve"> and furniture</w:t>
      </w:r>
      <w:bookmarkEnd w:id="3"/>
      <w:r>
        <w:t xml:space="preserve"> to prevent total insolvency. This section will now examine these difficult phases and the effect that they had on material wealth.</w:t>
      </w:r>
    </w:p>
    <w:p w14:paraId="0B20330B" w14:textId="5836CC02" w:rsidR="007458FF" w:rsidRDefault="007458FF" w:rsidP="00CC7EAE">
      <w:pPr>
        <w:spacing w:line="360" w:lineRule="auto"/>
        <w:ind w:firstLine="720"/>
        <w:rPr>
          <w:rFonts w:cs="Times New Roman"/>
          <w:szCs w:val="24"/>
        </w:rPr>
      </w:pPr>
      <w:r>
        <w:rPr>
          <w:rFonts w:cs="Times New Roman"/>
          <w:szCs w:val="24"/>
        </w:rPr>
        <w:t>The poor could find themselves in material poverty at the start of their married lives. These years could be particularly challenging when people married young or were expecting. Hugh Constable was approximately 19-21 years old when he wrote to the overseer of Chelmsford in 1827 to ask for help to marry his fiancé Susan Rising, who was around the same age.</w:t>
      </w:r>
      <w:r>
        <w:rPr>
          <w:rStyle w:val="EndnoteReference"/>
          <w:rFonts w:cs="Times New Roman"/>
          <w:szCs w:val="24"/>
        </w:rPr>
        <w:endnoteReference w:id="39"/>
      </w:r>
      <w:r>
        <w:rPr>
          <w:rFonts w:cs="Times New Roman"/>
          <w:szCs w:val="24"/>
        </w:rPr>
        <w:t xml:space="preserve"> He said ‘I am very willing to Marry her but am quite unable to defray the </w:t>
      </w:r>
      <w:proofErr w:type="spellStart"/>
      <w:r>
        <w:rPr>
          <w:rFonts w:cs="Times New Roman"/>
          <w:szCs w:val="24"/>
        </w:rPr>
        <w:t>expences</w:t>
      </w:r>
      <w:proofErr w:type="spellEnd"/>
      <w:r>
        <w:rPr>
          <w:rFonts w:cs="Times New Roman"/>
          <w:szCs w:val="24"/>
        </w:rPr>
        <w:t xml:space="preserve"> of marrying or Getting a few Household Goods’.</w:t>
      </w:r>
      <w:r>
        <w:rPr>
          <w:rStyle w:val="EndnoteReference"/>
          <w:rFonts w:cs="Times New Roman"/>
          <w:szCs w:val="24"/>
        </w:rPr>
        <w:endnoteReference w:id="40"/>
      </w:r>
      <w:r>
        <w:rPr>
          <w:rFonts w:cs="Times New Roman"/>
          <w:szCs w:val="24"/>
        </w:rPr>
        <w:t xml:space="preserve"> The autobiography of the Lancashire mechanic/turner Benjamin Shaw reveals how the first months of marriage could be </w:t>
      </w:r>
      <w:r w:rsidR="00290582">
        <w:rPr>
          <w:rFonts w:cs="Times New Roman"/>
          <w:szCs w:val="24"/>
        </w:rPr>
        <w:t>particularly</w:t>
      </w:r>
      <w:r>
        <w:rPr>
          <w:rFonts w:cs="Times New Roman"/>
          <w:szCs w:val="24"/>
        </w:rPr>
        <w:t xml:space="preserve"> difficult. He was still an apprentice when he wed his pregnant partner Betty in September 1793 and both were only 20 years old.</w:t>
      </w:r>
      <w:r>
        <w:rPr>
          <w:rStyle w:val="EndnoteReference"/>
          <w:rFonts w:cs="Times New Roman"/>
          <w:szCs w:val="24"/>
        </w:rPr>
        <w:endnoteReference w:id="41"/>
      </w:r>
      <w:r>
        <w:rPr>
          <w:rFonts w:cs="Times New Roman"/>
          <w:szCs w:val="24"/>
        </w:rPr>
        <w:t xml:space="preserve"> The costs of </w:t>
      </w:r>
      <w:r>
        <w:rPr>
          <w:rFonts w:cs="Times New Roman"/>
          <w:szCs w:val="24"/>
        </w:rPr>
        <w:lastRenderedPageBreak/>
        <w:t>setting up a new home meant that they could not afford many goods and that Benjamin made some of the items himself:</w:t>
      </w:r>
    </w:p>
    <w:p w14:paraId="6D52E783" w14:textId="77777777" w:rsidR="007458FF" w:rsidRDefault="007458FF" w:rsidP="00754F7A">
      <w:pPr>
        <w:spacing w:line="360" w:lineRule="auto"/>
        <w:ind w:left="720"/>
        <w:jc w:val="both"/>
        <w:rPr>
          <w:rFonts w:cs="Times New Roman"/>
          <w:szCs w:val="24"/>
        </w:rPr>
      </w:pPr>
      <w:bookmarkStart w:id="4" w:name="_Hlk26883222"/>
      <w:r>
        <w:rPr>
          <w:rFonts w:cs="Times New Roman"/>
          <w:szCs w:val="24"/>
        </w:rPr>
        <w:t xml:space="preserve">we went to [our] House by </w:t>
      </w:r>
      <w:proofErr w:type="spellStart"/>
      <w:r>
        <w:rPr>
          <w:rFonts w:cs="Times New Roman"/>
          <w:szCs w:val="24"/>
        </w:rPr>
        <w:t>our selves</w:t>
      </w:r>
      <w:proofErr w:type="spellEnd"/>
      <w:r>
        <w:rPr>
          <w:rFonts w:cs="Times New Roman"/>
          <w:szCs w:val="24"/>
        </w:rPr>
        <w:t xml:space="preserve"> &amp; had nothing to put in it, </w:t>
      </w:r>
      <w:proofErr w:type="gramStart"/>
      <w:r>
        <w:rPr>
          <w:rFonts w:cs="Times New Roman"/>
          <w:szCs w:val="24"/>
        </w:rPr>
        <w:t>But</w:t>
      </w:r>
      <w:proofErr w:type="gramEnd"/>
      <w:r>
        <w:rPr>
          <w:rFonts w:cs="Times New Roman"/>
          <w:szCs w:val="24"/>
        </w:rPr>
        <w:t xml:space="preserve"> a bed that [was] my fathers and me at </w:t>
      </w:r>
      <w:proofErr w:type="spellStart"/>
      <w:r>
        <w:rPr>
          <w:rFonts w:cs="Times New Roman"/>
          <w:szCs w:val="24"/>
        </w:rPr>
        <w:t>dolphinholme</w:t>
      </w:r>
      <w:proofErr w:type="spellEnd"/>
      <w:r>
        <w:rPr>
          <w:rFonts w:cs="Times New Roman"/>
          <w:szCs w:val="24"/>
        </w:rPr>
        <w:t xml:space="preserve">, &amp; Betty had a box for </w:t>
      </w:r>
      <w:proofErr w:type="spellStart"/>
      <w:r>
        <w:rPr>
          <w:rFonts w:cs="Times New Roman"/>
          <w:szCs w:val="24"/>
        </w:rPr>
        <w:t>Cloaths</w:t>
      </w:r>
      <w:proofErr w:type="spellEnd"/>
      <w:r>
        <w:rPr>
          <w:rFonts w:cs="Times New Roman"/>
          <w:szCs w:val="24"/>
        </w:rPr>
        <w:t xml:space="preserve">, &amp; a pair of tongs, &amp; a </w:t>
      </w:r>
      <w:proofErr w:type="spellStart"/>
      <w:r>
        <w:rPr>
          <w:rFonts w:cs="Times New Roman"/>
          <w:szCs w:val="24"/>
        </w:rPr>
        <w:t>fue</w:t>
      </w:r>
      <w:proofErr w:type="spellEnd"/>
      <w:r>
        <w:rPr>
          <w:rFonts w:cs="Times New Roman"/>
          <w:szCs w:val="24"/>
        </w:rPr>
        <w:t xml:space="preserve"> pots, &amp;c I made each of us a knife &amp; fork, &amp; 2 Stools, we got a pan, &amp; a looking glass, &amp; a few trifles …</w:t>
      </w:r>
      <w:r>
        <w:rPr>
          <w:rStyle w:val="EndnoteReference"/>
          <w:rFonts w:cs="Times New Roman"/>
          <w:szCs w:val="24"/>
        </w:rPr>
        <w:endnoteReference w:id="42"/>
      </w:r>
    </w:p>
    <w:bookmarkEnd w:id="4"/>
    <w:p w14:paraId="479A7250" w14:textId="6E358198" w:rsidR="007458FF" w:rsidRPr="005D256C" w:rsidRDefault="007458FF" w:rsidP="00CC7EAE">
      <w:pPr>
        <w:spacing w:line="360" w:lineRule="auto"/>
        <w:rPr>
          <w:rFonts w:cs="Times New Roman"/>
          <w:szCs w:val="24"/>
        </w:rPr>
      </w:pPr>
      <w:r>
        <w:rPr>
          <w:rFonts w:cs="Times New Roman"/>
          <w:szCs w:val="24"/>
        </w:rPr>
        <w:t xml:space="preserve">The couple moved into their new home during the </w:t>
      </w:r>
      <w:proofErr w:type="gramStart"/>
      <w:r>
        <w:rPr>
          <w:rFonts w:cs="Times New Roman"/>
          <w:szCs w:val="24"/>
        </w:rPr>
        <w:t>winter</w:t>
      </w:r>
      <w:proofErr w:type="gramEnd"/>
      <w:r>
        <w:rPr>
          <w:rFonts w:cs="Times New Roman"/>
          <w:szCs w:val="24"/>
        </w:rPr>
        <w:t xml:space="preserve"> and they struggled to keep warm and feed themselves. </w:t>
      </w:r>
      <w:bookmarkStart w:id="5" w:name="_Hlk26883419"/>
      <w:r>
        <w:rPr>
          <w:rFonts w:cs="Times New Roman"/>
          <w:szCs w:val="24"/>
        </w:rPr>
        <w:t>Benjamin remarked that ‘coals were very dear here then… and turf was dear, &amp; the house was very cold, we were nearly Starved’. The family resorted to ‘gather sticks’ and ‘fetch seeds to burn &amp;c’.</w:t>
      </w:r>
      <w:r>
        <w:rPr>
          <w:rStyle w:val="EndnoteReference"/>
          <w:rFonts w:cs="Times New Roman"/>
          <w:szCs w:val="24"/>
        </w:rPr>
        <w:endnoteReference w:id="43"/>
      </w:r>
      <w:bookmarkEnd w:id="5"/>
      <w:r>
        <w:rPr>
          <w:rFonts w:cs="Times New Roman"/>
          <w:szCs w:val="24"/>
        </w:rPr>
        <w:t xml:space="preserve"> Many newlyweds had little choice but to move in with one of their parents or live somewhere as lodgers.</w:t>
      </w:r>
      <w:r>
        <w:rPr>
          <w:rStyle w:val="EndnoteReference"/>
          <w:rFonts w:cs="Times New Roman"/>
          <w:szCs w:val="24"/>
        </w:rPr>
        <w:endnoteReference w:id="44"/>
      </w:r>
      <w:r>
        <w:rPr>
          <w:rFonts w:cs="Times New Roman"/>
          <w:szCs w:val="24"/>
        </w:rPr>
        <w:t xml:space="preserve"> When Benjamin and Betty Shaw’s 19-year-old son Thomas married his pregnant partner Ann in October 1826,</w:t>
      </w:r>
      <w:r>
        <w:rPr>
          <w:rStyle w:val="EndnoteReference"/>
          <w:rFonts w:cs="Times New Roman"/>
          <w:szCs w:val="24"/>
        </w:rPr>
        <w:endnoteReference w:id="45"/>
      </w:r>
      <w:r>
        <w:rPr>
          <w:rFonts w:cs="Times New Roman"/>
          <w:szCs w:val="24"/>
        </w:rPr>
        <w:t xml:space="preserve"> Thomas had been out of work for eleven months and so the couple were forced to live with his parents for 9s. a week. After Thomas found employment the couple ‘got a few thing &amp; we [Benjamin and Betty] found them a few more &amp; and they went to house near the 3 tons north road’.</w:t>
      </w:r>
      <w:r>
        <w:rPr>
          <w:rStyle w:val="EndnoteReference"/>
          <w:rFonts w:cs="Times New Roman"/>
          <w:szCs w:val="24"/>
        </w:rPr>
        <w:endnoteReference w:id="46"/>
      </w:r>
      <w:r>
        <w:rPr>
          <w:rFonts w:cs="Times New Roman"/>
          <w:szCs w:val="24"/>
        </w:rPr>
        <w:t xml:space="preserve"> The early years of marital life could therefore be marked by owning few possessions, due to the high costs of setting up a new home, rent</w:t>
      </w:r>
      <w:r w:rsidR="00842F55">
        <w:rPr>
          <w:rFonts w:cs="Times New Roman"/>
          <w:szCs w:val="24"/>
        </w:rPr>
        <w:t>,</w:t>
      </w:r>
      <w:r>
        <w:rPr>
          <w:rFonts w:cs="Times New Roman"/>
          <w:szCs w:val="24"/>
        </w:rPr>
        <w:t xml:space="preserve"> and the expense of the wedding. It was also not unusual for couples to rush marriage despite it not making economic sense as they were expecting a child.</w:t>
      </w:r>
      <w:r>
        <w:rPr>
          <w:rStyle w:val="EndnoteReference"/>
          <w:rFonts w:cs="Times New Roman"/>
          <w:szCs w:val="24"/>
        </w:rPr>
        <w:endnoteReference w:id="47"/>
      </w:r>
      <w:r>
        <w:rPr>
          <w:rFonts w:cs="Times New Roman"/>
          <w:szCs w:val="24"/>
        </w:rPr>
        <w:t xml:space="preserve"> Some people made ends meet at this point by making their own furniture, foraging for materials</w:t>
      </w:r>
      <w:r w:rsidR="00EF7410">
        <w:rPr>
          <w:rFonts w:cs="Times New Roman"/>
          <w:szCs w:val="24"/>
        </w:rPr>
        <w:t>,</w:t>
      </w:r>
      <w:r>
        <w:rPr>
          <w:rFonts w:cs="Times New Roman"/>
          <w:szCs w:val="24"/>
        </w:rPr>
        <w:t xml:space="preserve"> or relying on parental assistance.</w:t>
      </w:r>
    </w:p>
    <w:p w14:paraId="61BA1019" w14:textId="74112BF9" w:rsidR="007458FF" w:rsidRPr="008A7842" w:rsidRDefault="007458FF" w:rsidP="00CC7EAE">
      <w:pPr>
        <w:spacing w:line="360" w:lineRule="auto"/>
        <w:ind w:firstLine="720"/>
        <w:rPr>
          <w:rFonts w:cs="Times New Roman"/>
          <w:szCs w:val="24"/>
        </w:rPr>
      </w:pPr>
      <w:r>
        <w:rPr>
          <w:rFonts w:cs="Times New Roman"/>
        </w:rPr>
        <w:t xml:space="preserve">Couples were generally at the peak of their earning powers when they were in their 20s and 30s, but at these ages people had most of their children. </w:t>
      </w:r>
      <w:r>
        <w:rPr>
          <w:rFonts w:cs="Times New Roman"/>
          <w:szCs w:val="24"/>
        </w:rPr>
        <w:t>When Benjamin and Betty Shaw’s second child arrived in July 1795, he noted how ‘I had 4 to keep with 14</w:t>
      </w:r>
      <w:r w:rsidRPr="002257B5">
        <w:rPr>
          <w:rFonts w:cs="Times New Roman"/>
          <w:szCs w:val="24"/>
          <w:vertAlign w:val="superscript"/>
        </w:rPr>
        <w:t>s</w:t>
      </w:r>
      <w:r>
        <w:rPr>
          <w:rFonts w:cs="Times New Roman"/>
          <w:szCs w:val="24"/>
        </w:rPr>
        <w:t xml:space="preserve"> a week, and few good in the house, &amp; bread very dear, &amp;c’.</w:t>
      </w:r>
      <w:r>
        <w:rPr>
          <w:rStyle w:val="EndnoteReference"/>
          <w:rFonts w:cs="Times New Roman"/>
          <w:szCs w:val="24"/>
        </w:rPr>
        <w:endnoteReference w:id="48"/>
      </w:r>
      <w:r>
        <w:rPr>
          <w:rFonts w:cs="Times New Roman"/>
          <w:szCs w:val="24"/>
        </w:rPr>
        <w:t xml:space="preserve"> </w:t>
      </w:r>
      <w:r w:rsidRPr="009D05ED">
        <w:rPr>
          <w:rFonts w:cs="Times New Roman"/>
        </w:rPr>
        <w:t xml:space="preserve">Samuel </w:t>
      </w:r>
      <w:r>
        <w:rPr>
          <w:rFonts w:cs="Times New Roman"/>
        </w:rPr>
        <w:t>White was around 36 years old and earning 15s. a week in 1</w:t>
      </w:r>
      <w:r w:rsidRPr="009D05ED">
        <w:rPr>
          <w:rFonts w:cs="Times New Roman"/>
        </w:rPr>
        <w:t>825</w:t>
      </w:r>
      <w:r>
        <w:rPr>
          <w:rFonts w:cs="Times New Roman"/>
        </w:rPr>
        <w:t xml:space="preserve"> when he wrote the overseer to say that </w:t>
      </w:r>
      <w:r w:rsidRPr="009D05ED">
        <w:rPr>
          <w:rFonts w:cs="Times New Roman"/>
        </w:rPr>
        <w:t xml:space="preserve">‘flour and other </w:t>
      </w:r>
      <w:proofErr w:type="spellStart"/>
      <w:r w:rsidRPr="009D05ED">
        <w:rPr>
          <w:rFonts w:cs="Times New Roman"/>
        </w:rPr>
        <w:t>nessecerais</w:t>
      </w:r>
      <w:proofErr w:type="spellEnd"/>
      <w:r w:rsidRPr="009D05ED">
        <w:rPr>
          <w:rFonts w:cs="Times New Roman"/>
        </w:rPr>
        <w:t>’ are ‘dearer’</w:t>
      </w:r>
      <w:r>
        <w:rPr>
          <w:rFonts w:cs="Times New Roman"/>
        </w:rPr>
        <w:t xml:space="preserve"> since ‘one Death and two Births in the house’.</w:t>
      </w:r>
      <w:r>
        <w:rPr>
          <w:rStyle w:val="EndnoteReference"/>
          <w:rFonts w:cs="Times New Roman"/>
        </w:rPr>
        <w:endnoteReference w:id="49"/>
      </w:r>
      <w:r>
        <w:rPr>
          <w:rFonts w:cs="Times New Roman"/>
        </w:rPr>
        <w:t xml:space="preserve"> I</w:t>
      </w:r>
      <w:r w:rsidRPr="009D05ED">
        <w:rPr>
          <w:rFonts w:cs="Times New Roman"/>
        </w:rPr>
        <w:t xml:space="preserve">n </w:t>
      </w:r>
      <w:r>
        <w:rPr>
          <w:rFonts w:cs="Times New Roman"/>
        </w:rPr>
        <w:t xml:space="preserve">October </w:t>
      </w:r>
      <w:r w:rsidRPr="009D05ED">
        <w:rPr>
          <w:rFonts w:cs="Times New Roman"/>
        </w:rPr>
        <w:t xml:space="preserve">1828 </w:t>
      </w:r>
      <w:r>
        <w:rPr>
          <w:rFonts w:cs="Times New Roman"/>
        </w:rPr>
        <w:t>he and his wife had eight children</w:t>
      </w:r>
      <w:r w:rsidRPr="00351275">
        <w:rPr>
          <w:rFonts w:cs="Times New Roman"/>
        </w:rPr>
        <w:t xml:space="preserve"> </w:t>
      </w:r>
      <w:r>
        <w:rPr>
          <w:rFonts w:cs="Times New Roman"/>
        </w:rPr>
        <w:t>to support, including a newborn and six that were under 10 years old.</w:t>
      </w:r>
      <w:r>
        <w:rPr>
          <w:rStyle w:val="EndnoteReference"/>
          <w:rFonts w:cs="Times New Roman"/>
        </w:rPr>
        <w:endnoteReference w:id="50"/>
      </w:r>
      <w:r>
        <w:rPr>
          <w:rFonts w:cs="Times New Roman"/>
        </w:rPr>
        <w:t xml:space="preserve"> He noted how </w:t>
      </w:r>
      <w:r w:rsidRPr="009D05ED">
        <w:rPr>
          <w:rFonts w:cs="Times New Roman"/>
        </w:rPr>
        <w:t>‘I am quite unable to feed and Clothe so many by my own earnings’.</w:t>
      </w:r>
      <w:r w:rsidRPr="009D05ED">
        <w:rPr>
          <w:rStyle w:val="EndnoteReference"/>
          <w:rFonts w:cs="Times New Roman"/>
        </w:rPr>
        <w:endnoteReference w:id="51"/>
      </w:r>
      <w:r>
        <w:rPr>
          <w:rFonts w:cs="Times New Roman"/>
        </w:rPr>
        <w:t xml:space="preserve"> </w:t>
      </w:r>
      <w:r>
        <w:rPr>
          <w:rFonts w:cs="Times New Roman"/>
          <w:szCs w:val="24"/>
        </w:rPr>
        <w:t xml:space="preserve">Writing in Springfield in 1809, Thomas </w:t>
      </w:r>
      <w:proofErr w:type="spellStart"/>
      <w:r>
        <w:rPr>
          <w:rFonts w:cs="Times New Roman"/>
          <w:szCs w:val="24"/>
        </w:rPr>
        <w:t>Sagger</w:t>
      </w:r>
      <w:proofErr w:type="spellEnd"/>
      <w:r>
        <w:rPr>
          <w:rFonts w:cs="Times New Roman"/>
          <w:szCs w:val="24"/>
        </w:rPr>
        <w:t xml:space="preserve"> asked for ‘a </w:t>
      </w:r>
      <w:proofErr w:type="spellStart"/>
      <w:r>
        <w:rPr>
          <w:rFonts w:cs="Times New Roman"/>
          <w:szCs w:val="24"/>
        </w:rPr>
        <w:t>months</w:t>
      </w:r>
      <w:proofErr w:type="spellEnd"/>
      <w:r>
        <w:rPr>
          <w:rFonts w:cs="Times New Roman"/>
          <w:szCs w:val="24"/>
        </w:rPr>
        <w:t xml:space="preserve"> pay’ as ‘our Children all eat so very </w:t>
      </w:r>
      <w:proofErr w:type="spellStart"/>
      <w:r>
        <w:rPr>
          <w:rFonts w:cs="Times New Roman"/>
          <w:szCs w:val="24"/>
        </w:rPr>
        <w:t>harty</w:t>
      </w:r>
      <w:proofErr w:type="spellEnd"/>
      <w:r>
        <w:rPr>
          <w:rFonts w:cs="Times New Roman"/>
          <w:szCs w:val="24"/>
        </w:rPr>
        <w:t xml:space="preserve"> that it Costs me 15 shillings a weak for </w:t>
      </w:r>
      <w:proofErr w:type="spellStart"/>
      <w:r>
        <w:rPr>
          <w:rFonts w:cs="Times New Roman"/>
          <w:szCs w:val="24"/>
        </w:rPr>
        <w:t>flowr</w:t>
      </w:r>
      <w:proofErr w:type="spellEnd"/>
      <w:r>
        <w:rPr>
          <w:rFonts w:cs="Times New Roman"/>
          <w:szCs w:val="24"/>
        </w:rPr>
        <w:t xml:space="preserve">’ and ‘I Cand do to fill their </w:t>
      </w:r>
      <w:proofErr w:type="spellStart"/>
      <w:r>
        <w:rPr>
          <w:rFonts w:cs="Times New Roman"/>
          <w:szCs w:val="24"/>
        </w:rPr>
        <w:t>bellys</w:t>
      </w:r>
      <w:proofErr w:type="spellEnd"/>
      <w:r>
        <w:rPr>
          <w:rFonts w:cs="Times New Roman"/>
          <w:szCs w:val="24"/>
        </w:rPr>
        <w:t>’.</w:t>
      </w:r>
      <w:r>
        <w:rPr>
          <w:rStyle w:val="EndnoteReference"/>
          <w:rFonts w:cs="Times New Roman"/>
          <w:szCs w:val="24"/>
        </w:rPr>
        <w:endnoteReference w:id="52"/>
      </w:r>
      <w:r>
        <w:rPr>
          <w:rFonts w:cs="Times New Roman"/>
          <w:szCs w:val="24"/>
        </w:rPr>
        <w:t xml:space="preserve"> </w:t>
      </w:r>
      <w:r>
        <w:rPr>
          <w:rFonts w:cs="Times New Roman"/>
        </w:rPr>
        <w:t>These problems were often perpetuated by economic factors such as stagnating wages, seasonal unemployment</w:t>
      </w:r>
      <w:r w:rsidR="00842F55">
        <w:rPr>
          <w:rFonts w:cs="Times New Roman"/>
        </w:rPr>
        <w:t>,</w:t>
      </w:r>
      <w:r>
        <w:rPr>
          <w:rFonts w:cs="Times New Roman"/>
        </w:rPr>
        <w:t xml:space="preserve"> and underemployment. Elizabeth Davey in 1833, for example, stressed how ‘my </w:t>
      </w:r>
      <w:proofErr w:type="spellStart"/>
      <w:r>
        <w:rPr>
          <w:rFonts w:cs="Times New Roman"/>
        </w:rPr>
        <w:t>Famileay</w:t>
      </w:r>
      <w:proofErr w:type="spellEnd"/>
      <w:r>
        <w:rPr>
          <w:rFonts w:cs="Times New Roman"/>
        </w:rPr>
        <w:t xml:space="preserve"> Is very Large and my </w:t>
      </w:r>
      <w:proofErr w:type="spellStart"/>
      <w:r>
        <w:rPr>
          <w:rFonts w:cs="Times New Roman"/>
        </w:rPr>
        <w:t>husbands</w:t>
      </w:r>
      <w:proofErr w:type="spellEnd"/>
      <w:r>
        <w:rPr>
          <w:rFonts w:cs="Times New Roman"/>
        </w:rPr>
        <w:t xml:space="preserve"> </w:t>
      </w:r>
      <w:proofErr w:type="spellStart"/>
      <w:r>
        <w:rPr>
          <w:rFonts w:cs="Times New Roman"/>
        </w:rPr>
        <w:t>Irnasings</w:t>
      </w:r>
      <w:proofErr w:type="spellEnd"/>
      <w:r>
        <w:rPr>
          <w:rFonts w:cs="Times New Roman"/>
        </w:rPr>
        <w:t xml:space="preserve"> are so small that I find It hard to </w:t>
      </w:r>
      <w:proofErr w:type="spellStart"/>
      <w:r>
        <w:rPr>
          <w:rFonts w:cs="Times New Roman"/>
        </w:rPr>
        <w:t>git</w:t>
      </w:r>
      <w:proofErr w:type="spellEnd"/>
      <w:r>
        <w:rPr>
          <w:rFonts w:cs="Times New Roman"/>
        </w:rPr>
        <w:t xml:space="preserve"> my children brad’.</w:t>
      </w:r>
      <w:r>
        <w:rPr>
          <w:rStyle w:val="EndnoteReference"/>
          <w:rFonts w:cs="Times New Roman"/>
        </w:rPr>
        <w:endnoteReference w:id="53"/>
      </w:r>
      <w:r>
        <w:rPr>
          <w:rFonts w:cs="Times New Roman"/>
        </w:rPr>
        <w:t xml:space="preserve"> </w:t>
      </w:r>
      <w:r>
        <w:rPr>
          <w:rFonts w:cs="Times New Roman"/>
          <w:szCs w:val="24"/>
        </w:rPr>
        <w:t>Most children did not enter employment until they were between seven to eleven years old and their wages tended to be around half of that of an adult.</w:t>
      </w:r>
      <w:r>
        <w:rPr>
          <w:rStyle w:val="EndnoteReference"/>
          <w:rFonts w:cs="Times New Roman"/>
          <w:szCs w:val="24"/>
        </w:rPr>
        <w:endnoteReference w:id="54"/>
      </w:r>
      <w:r>
        <w:rPr>
          <w:rFonts w:cs="Times New Roman"/>
          <w:szCs w:val="24"/>
        </w:rPr>
        <w:t xml:space="preserve"> Moreover, </w:t>
      </w:r>
      <w:r>
        <w:rPr>
          <w:rFonts w:cs="Times New Roman"/>
          <w:szCs w:val="24"/>
        </w:rPr>
        <w:lastRenderedPageBreak/>
        <w:t>average family size was increasing due to more people getting married at an earlier age from the late eighteenth century.</w:t>
      </w:r>
      <w:r>
        <w:rPr>
          <w:rStyle w:val="EndnoteReference"/>
          <w:rFonts w:cs="Times New Roman"/>
          <w:szCs w:val="24"/>
        </w:rPr>
        <w:endnoteReference w:id="55"/>
      </w:r>
      <w:r>
        <w:rPr>
          <w:rFonts w:cs="Times New Roman"/>
          <w:szCs w:val="24"/>
        </w:rPr>
        <w:t xml:space="preserve"> This put a lot of pressure on parents to provide for their families and could lead to material hardships.</w:t>
      </w:r>
    </w:p>
    <w:p w14:paraId="6DF1FCD8" w14:textId="35B2762A" w:rsidR="007458FF" w:rsidRPr="00984869" w:rsidRDefault="007458FF" w:rsidP="003E04CE">
      <w:pPr>
        <w:spacing w:line="360" w:lineRule="auto"/>
        <w:ind w:firstLine="720"/>
        <w:rPr>
          <w:rFonts w:cs="Times New Roman"/>
          <w:szCs w:val="24"/>
        </w:rPr>
      </w:pPr>
      <w:r>
        <w:t xml:space="preserve">Sickness is not technically part of the life-cycle of poverty, but it was often more probable and dangerous to people during certain stages of their lives such as childhood and old age and had a significant impact on material wealth. Steven King recently used nearly 13,000 letters written </w:t>
      </w:r>
      <w:r w:rsidRPr="004255CA">
        <w:t xml:space="preserve">by paupers and officials to show that sickness was a common feature among indigent populations and that parishes allocated large amounts of money and resources to </w:t>
      </w:r>
      <w:r>
        <w:t>assisting</w:t>
      </w:r>
      <w:r w:rsidRPr="004255CA">
        <w:t xml:space="preserve"> the sick.</w:t>
      </w:r>
      <w:r w:rsidRPr="004255CA">
        <w:rPr>
          <w:rStyle w:val="EndnoteReference"/>
        </w:rPr>
        <w:endnoteReference w:id="56"/>
      </w:r>
      <w:r w:rsidRPr="004255CA">
        <w:t xml:space="preserve"> This</w:t>
      </w:r>
      <w:r>
        <w:t>, albeit much smaller sample of letters, reveals similar trends to King and adds to this by showing how ill-health could spell material destitution for families</w:t>
      </w:r>
      <w:r w:rsidRPr="0099719E">
        <w:t xml:space="preserve">. A range of </w:t>
      </w:r>
      <w:r w:rsidRPr="00300716">
        <w:t xml:space="preserve">illnesses </w:t>
      </w:r>
      <w:r>
        <w:t xml:space="preserve">and injuries </w:t>
      </w:r>
      <w:r w:rsidRPr="00300716">
        <w:t>are recorded in the letters</w:t>
      </w:r>
      <w:r>
        <w:t>, such as smallpox and broken bones</w:t>
      </w:r>
      <w:r w:rsidRPr="005C6A88">
        <w:t>, as well as instances of disability</w:t>
      </w:r>
      <w:r>
        <w:t>.</w:t>
      </w:r>
      <w:r w:rsidRPr="00300716">
        <w:t xml:space="preserve"> </w:t>
      </w:r>
      <w:r>
        <w:t xml:space="preserve">The stresses of sickness were amplified when the main wage-earner </w:t>
      </w:r>
      <w:r w:rsidRPr="009868B5">
        <w:t xml:space="preserve">was unwell. </w:t>
      </w:r>
      <w:r w:rsidRPr="009868B5">
        <w:rPr>
          <w:rFonts w:cs="Times New Roman"/>
        </w:rPr>
        <w:t xml:space="preserve">John Hall </w:t>
      </w:r>
      <w:r>
        <w:rPr>
          <w:rFonts w:cs="Times New Roman"/>
        </w:rPr>
        <w:t>was a journeyman fellmonger and increasingly struggled to find work during the 1810s. In 1819 at 52 years old his situation worsened when he said</w:t>
      </w:r>
      <w:r w:rsidRPr="009868B5">
        <w:rPr>
          <w:rFonts w:cs="Times New Roman"/>
        </w:rPr>
        <w:t xml:space="preserve"> ‘</w:t>
      </w:r>
      <w:r>
        <w:rPr>
          <w:rFonts w:cs="Times New Roman"/>
        </w:rPr>
        <w:t xml:space="preserve">I Am </w:t>
      </w:r>
      <w:r w:rsidRPr="009868B5">
        <w:rPr>
          <w:rFonts w:cs="Times New Roman"/>
        </w:rPr>
        <w:t>Lame in my Leg</w:t>
      </w:r>
      <w:r>
        <w:rPr>
          <w:rFonts w:cs="Times New Roman"/>
        </w:rPr>
        <w:t xml:space="preserve"> through A Strain &amp; am unable To Work</w:t>
      </w:r>
      <w:r w:rsidRPr="009868B5">
        <w:rPr>
          <w:rFonts w:cs="Times New Roman"/>
        </w:rPr>
        <w:t>’</w:t>
      </w:r>
      <w:r>
        <w:rPr>
          <w:rFonts w:cs="Times New Roman"/>
        </w:rPr>
        <w:t>.</w:t>
      </w:r>
      <w:r w:rsidRPr="009868B5">
        <w:rPr>
          <w:rStyle w:val="EndnoteReference"/>
          <w:rFonts w:cs="Times New Roman"/>
        </w:rPr>
        <w:endnoteReference w:id="57"/>
      </w:r>
      <w:r w:rsidRPr="009868B5">
        <w:rPr>
          <w:rFonts w:cs="Times New Roman"/>
        </w:rPr>
        <w:t xml:space="preserve"> George</w:t>
      </w:r>
      <w:r w:rsidRPr="009D05ED">
        <w:rPr>
          <w:rFonts w:cs="Times New Roman"/>
        </w:rPr>
        <w:t xml:space="preserve"> Webb </w:t>
      </w:r>
      <w:proofErr w:type="spellStart"/>
      <w:r w:rsidRPr="009D05ED">
        <w:rPr>
          <w:rFonts w:cs="Times New Roman"/>
        </w:rPr>
        <w:t>Baynell</w:t>
      </w:r>
      <w:proofErr w:type="spellEnd"/>
      <w:r w:rsidRPr="009D05ED">
        <w:rPr>
          <w:rFonts w:cs="Times New Roman"/>
        </w:rPr>
        <w:t xml:space="preserve"> </w:t>
      </w:r>
      <w:r>
        <w:rPr>
          <w:rFonts w:cs="Times New Roman"/>
        </w:rPr>
        <w:t xml:space="preserve">also injured himself, saying </w:t>
      </w:r>
      <w:r w:rsidRPr="009D05ED">
        <w:rPr>
          <w:rFonts w:cs="Times New Roman"/>
        </w:rPr>
        <w:t>‘</w:t>
      </w:r>
      <w:proofErr w:type="spellStart"/>
      <w:r w:rsidRPr="009D05ED">
        <w:rPr>
          <w:rFonts w:cs="Times New Roman"/>
        </w:rPr>
        <w:t>i</w:t>
      </w:r>
      <w:proofErr w:type="spellEnd"/>
      <w:r w:rsidRPr="009D05ED">
        <w:rPr>
          <w:rFonts w:cs="Times New Roman"/>
        </w:rPr>
        <w:t xml:space="preserve"> have had a dad eye for a weak...</w:t>
      </w:r>
      <w:r>
        <w:rPr>
          <w:rFonts w:cs="Times New Roman"/>
        </w:rPr>
        <w:t xml:space="preserve"> </w:t>
      </w:r>
      <w:r w:rsidRPr="009D05ED">
        <w:rPr>
          <w:rFonts w:cs="Times New Roman"/>
        </w:rPr>
        <w:t xml:space="preserve">so that </w:t>
      </w:r>
      <w:proofErr w:type="spellStart"/>
      <w:r w:rsidRPr="009D05ED">
        <w:rPr>
          <w:rFonts w:cs="Times New Roman"/>
        </w:rPr>
        <w:t>i</w:t>
      </w:r>
      <w:proofErr w:type="spellEnd"/>
      <w:r w:rsidRPr="009D05ED">
        <w:rPr>
          <w:rFonts w:cs="Times New Roman"/>
        </w:rPr>
        <w:t xml:space="preserve"> have not </w:t>
      </w:r>
      <w:proofErr w:type="spellStart"/>
      <w:r w:rsidRPr="009D05ED">
        <w:rPr>
          <w:rFonts w:cs="Times New Roman"/>
        </w:rPr>
        <w:t>bean</w:t>
      </w:r>
      <w:proofErr w:type="spellEnd"/>
      <w:r w:rsidRPr="009D05ED">
        <w:rPr>
          <w:rFonts w:cs="Times New Roman"/>
        </w:rPr>
        <w:t xml:space="preserve"> able to work through a pin getting in to it’.</w:t>
      </w:r>
      <w:r w:rsidRPr="009D05ED">
        <w:rPr>
          <w:rStyle w:val="EndnoteReference"/>
          <w:rFonts w:cs="Times New Roman"/>
        </w:rPr>
        <w:endnoteReference w:id="58"/>
      </w:r>
      <w:r>
        <w:rPr>
          <w:rFonts w:cs="Times New Roman"/>
        </w:rPr>
        <w:t xml:space="preserve"> </w:t>
      </w:r>
      <w:r w:rsidRPr="003E04CE">
        <w:t xml:space="preserve">This could be particularly emasculating </w:t>
      </w:r>
      <w:r>
        <w:t xml:space="preserve">and disheartening </w:t>
      </w:r>
      <w:r w:rsidRPr="003E04CE">
        <w:t>for men who had to outline their shortcomings as providers for their families.</w:t>
      </w:r>
      <w:r w:rsidRPr="003E04CE">
        <w:rPr>
          <w:rStyle w:val="EndnoteReference"/>
        </w:rPr>
        <w:endnoteReference w:id="59"/>
      </w:r>
      <w:r w:rsidRPr="003E04CE">
        <w:t xml:space="preserve"> </w:t>
      </w:r>
      <w:r>
        <w:rPr>
          <w:rFonts w:cs="Times New Roman"/>
        </w:rPr>
        <w:t xml:space="preserve">During periods of unemployment brought on by ill-health, families needed to make cutbacks and sold off their belongings to make ends meet. In 1826 </w:t>
      </w:r>
      <w:r>
        <w:t xml:space="preserve">John Hall, now 59, wrote a letter to Chelmsford parish, indicating that </w:t>
      </w:r>
      <w:proofErr w:type="gramStart"/>
      <w:r>
        <w:t>as a result of</w:t>
      </w:r>
      <w:proofErr w:type="gramEnd"/>
      <w:r>
        <w:t xml:space="preserve"> his daughter being too sick to stay in service they had ‘Sold all my things Except my bed’. He asked the overseer to ‘Be so kind as to Send me A Something to buy her A Bed I Will get A </w:t>
      </w:r>
      <w:proofErr w:type="spellStart"/>
      <w:r>
        <w:t>fue</w:t>
      </w:r>
      <w:proofErr w:type="spellEnd"/>
      <w:r>
        <w:t xml:space="preserve"> things’.</w:t>
      </w:r>
      <w:r>
        <w:rPr>
          <w:rStyle w:val="EndnoteReference"/>
        </w:rPr>
        <w:endnoteReference w:id="60"/>
      </w:r>
      <w:r>
        <w:t xml:space="preserve"> The 1806 a</w:t>
      </w:r>
      <w:r>
        <w:rPr>
          <w:rFonts w:cs="Times New Roman"/>
          <w:szCs w:val="24"/>
        </w:rPr>
        <w:t xml:space="preserve">utobiography of the vagrant </w:t>
      </w:r>
      <w:r>
        <w:t>Mary Saxby said that while her husband was unwell, ‘Our custom was, to go round the neighbouring villages, to sell our goods, and return at night’.</w:t>
      </w:r>
      <w:r>
        <w:rPr>
          <w:rStyle w:val="EndnoteReference"/>
        </w:rPr>
        <w:endnoteReference w:id="61"/>
      </w:r>
    </w:p>
    <w:p w14:paraId="0E6718A2" w14:textId="15B988B3" w:rsidR="007458FF" w:rsidRDefault="007458FF" w:rsidP="00CC7EAE">
      <w:pPr>
        <w:spacing w:line="360" w:lineRule="auto"/>
        <w:ind w:firstLine="720"/>
        <w:rPr>
          <w:rFonts w:cs="Times New Roman"/>
        </w:rPr>
      </w:pPr>
      <w:r>
        <w:t>Correspondence in this sample which recorded sickness increased from 52 per cent between 1800-1819 to 64 per cent between 1820-1835.</w:t>
      </w:r>
      <w:r>
        <w:rPr>
          <w:rStyle w:val="EndnoteReference"/>
        </w:rPr>
        <w:endnoteReference w:id="62"/>
      </w:r>
      <w:r>
        <w:t xml:space="preserve"> This indicates that the numbers of sick poor or paupers who saw healthcare and medicine as a fundamental role of the parish was sizeable and possibly growing.</w:t>
      </w:r>
      <w:r>
        <w:rPr>
          <w:rStyle w:val="EndnoteReference"/>
        </w:rPr>
        <w:endnoteReference w:id="63"/>
      </w:r>
      <w:r>
        <w:t xml:space="preserve"> It was often beyond the means of the poor to pay bills for doctors, nurses, carers</w:t>
      </w:r>
      <w:r w:rsidR="00EF7410">
        <w:t>,</w:t>
      </w:r>
      <w:r>
        <w:t xml:space="preserve"> or medicine</w:t>
      </w:r>
      <w:r w:rsidRPr="00136E9B">
        <w:t xml:space="preserve"> </w:t>
      </w:r>
      <w:r>
        <w:t xml:space="preserve">themselves. </w:t>
      </w:r>
      <w:r w:rsidRPr="009D05ED">
        <w:rPr>
          <w:rFonts w:cs="Times New Roman"/>
          <w:szCs w:val="24"/>
        </w:rPr>
        <w:t xml:space="preserve">The average wage </w:t>
      </w:r>
      <w:r>
        <w:rPr>
          <w:rFonts w:cs="Times New Roman"/>
          <w:szCs w:val="24"/>
        </w:rPr>
        <w:t xml:space="preserve">of </w:t>
      </w:r>
      <w:r w:rsidRPr="009D05ED">
        <w:rPr>
          <w:rFonts w:cs="Times New Roman"/>
          <w:szCs w:val="24"/>
        </w:rPr>
        <w:t>labourer</w:t>
      </w:r>
      <w:r>
        <w:rPr>
          <w:rFonts w:cs="Times New Roman"/>
          <w:szCs w:val="24"/>
        </w:rPr>
        <w:t>s</w:t>
      </w:r>
      <w:r w:rsidRPr="009D05ED">
        <w:rPr>
          <w:rFonts w:cs="Times New Roman"/>
          <w:szCs w:val="24"/>
        </w:rPr>
        <w:t xml:space="preserve"> in Essex </w:t>
      </w:r>
      <w:r>
        <w:rPr>
          <w:rFonts w:cs="Times New Roman"/>
          <w:szCs w:val="24"/>
        </w:rPr>
        <w:t>was approximately</w:t>
      </w:r>
      <w:r w:rsidRPr="009D05ED">
        <w:rPr>
          <w:rFonts w:cs="Times New Roman"/>
          <w:szCs w:val="24"/>
        </w:rPr>
        <w:t xml:space="preserve"> 9s</w:t>
      </w:r>
      <w:r>
        <w:rPr>
          <w:rFonts w:cs="Times New Roman"/>
          <w:szCs w:val="24"/>
        </w:rPr>
        <w:t>.</w:t>
      </w:r>
      <w:r w:rsidRPr="009D05ED">
        <w:rPr>
          <w:rFonts w:cs="Times New Roman"/>
          <w:szCs w:val="24"/>
        </w:rPr>
        <w:t xml:space="preserve"> to 12s</w:t>
      </w:r>
      <w:r>
        <w:rPr>
          <w:rFonts w:cs="Times New Roman"/>
          <w:szCs w:val="24"/>
        </w:rPr>
        <w:t>.</w:t>
      </w:r>
      <w:r w:rsidRPr="009D05ED">
        <w:rPr>
          <w:rFonts w:cs="Times New Roman"/>
          <w:szCs w:val="24"/>
        </w:rPr>
        <w:t xml:space="preserve"> per week</w:t>
      </w:r>
      <w:r>
        <w:rPr>
          <w:rFonts w:cs="Times New Roman"/>
          <w:szCs w:val="24"/>
        </w:rPr>
        <w:t xml:space="preserve"> at the turn of the century</w:t>
      </w:r>
      <w:r w:rsidRPr="009D05ED">
        <w:rPr>
          <w:rFonts w:cs="Times New Roman"/>
          <w:szCs w:val="24"/>
        </w:rPr>
        <w:t>,</w:t>
      </w:r>
      <w:r w:rsidRPr="009D05ED">
        <w:rPr>
          <w:rStyle w:val="EndnoteReference"/>
          <w:rFonts w:cs="Times New Roman"/>
          <w:szCs w:val="24"/>
        </w:rPr>
        <w:endnoteReference w:id="64"/>
      </w:r>
      <w:r>
        <w:rPr>
          <w:rFonts w:cs="Times New Roman"/>
          <w:szCs w:val="24"/>
        </w:rPr>
        <w:t xml:space="preserve"> making it very difficult for them </w:t>
      </w:r>
      <w:r w:rsidRPr="009D05ED">
        <w:rPr>
          <w:rFonts w:cs="Times New Roman"/>
          <w:szCs w:val="24"/>
        </w:rPr>
        <w:t>to save a few shillings let alone the amount</w:t>
      </w:r>
      <w:r>
        <w:rPr>
          <w:rFonts w:cs="Times New Roman"/>
          <w:szCs w:val="24"/>
        </w:rPr>
        <w:t xml:space="preserve"> needed for healthcare</w:t>
      </w:r>
      <w:r w:rsidRPr="009D05ED">
        <w:rPr>
          <w:rFonts w:cs="Times New Roman"/>
          <w:szCs w:val="24"/>
        </w:rPr>
        <w:t>.</w:t>
      </w:r>
      <w:r>
        <w:rPr>
          <w:rFonts w:cs="Times New Roman"/>
          <w:szCs w:val="24"/>
        </w:rPr>
        <w:t xml:space="preserve"> </w:t>
      </w:r>
      <w:r w:rsidRPr="009D05ED">
        <w:rPr>
          <w:rFonts w:cs="Times New Roman"/>
          <w:szCs w:val="24"/>
        </w:rPr>
        <w:t>J.</w:t>
      </w:r>
      <w:r>
        <w:rPr>
          <w:rFonts w:cs="Times New Roman"/>
          <w:szCs w:val="24"/>
        </w:rPr>
        <w:t xml:space="preserve"> </w:t>
      </w:r>
      <w:r w:rsidRPr="009D05ED">
        <w:rPr>
          <w:rFonts w:cs="Times New Roman"/>
          <w:szCs w:val="24"/>
        </w:rPr>
        <w:t xml:space="preserve">B. </w:t>
      </w:r>
      <w:proofErr w:type="spellStart"/>
      <w:r w:rsidRPr="009D05ED">
        <w:rPr>
          <w:rFonts w:cs="Times New Roman"/>
          <w:szCs w:val="24"/>
        </w:rPr>
        <w:t>Crowest</w:t>
      </w:r>
      <w:proofErr w:type="spellEnd"/>
      <w:r w:rsidRPr="009D05ED">
        <w:rPr>
          <w:rFonts w:cs="Times New Roman"/>
          <w:szCs w:val="24"/>
        </w:rPr>
        <w:t xml:space="preserve"> in Upminster asserted that there was a ‘late long, &amp; serious affliction’ on his family, meaning that ‘The Doctor’s Bill (which is only in part) amounts to more than </w:t>
      </w:r>
      <w:r w:rsidRPr="009D05ED">
        <w:rPr>
          <w:rFonts w:cs="Times New Roman"/>
          <w:szCs w:val="24"/>
          <w:vertAlign w:val="superscript"/>
        </w:rPr>
        <w:t>£</w:t>
      </w:r>
      <w:r w:rsidRPr="009D05ED">
        <w:rPr>
          <w:rFonts w:cs="Times New Roman"/>
          <w:szCs w:val="24"/>
        </w:rPr>
        <w:t>12’</w:t>
      </w:r>
      <w:r>
        <w:rPr>
          <w:rFonts w:cs="Times New Roman"/>
          <w:szCs w:val="24"/>
        </w:rPr>
        <w:t xml:space="preserve">. He claimed that ‘I find myself yet much </w:t>
      </w:r>
      <w:proofErr w:type="spellStart"/>
      <w:r>
        <w:rPr>
          <w:rFonts w:cs="Times New Roman"/>
          <w:szCs w:val="24"/>
        </w:rPr>
        <w:t>insolved</w:t>
      </w:r>
      <w:proofErr w:type="spellEnd"/>
      <w:r>
        <w:rPr>
          <w:rFonts w:cs="Times New Roman"/>
          <w:szCs w:val="24"/>
        </w:rPr>
        <w:t>… it will be impossible for me to extricate myself’.</w:t>
      </w:r>
      <w:r w:rsidRPr="009D05ED">
        <w:rPr>
          <w:rStyle w:val="EndnoteReference"/>
          <w:rFonts w:cs="Times New Roman"/>
          <w:szCs w:val="24"/>
        </w:rPr>
        <w:endnoteReference w:id="65"/>
      </w:r>
      <w:r w:rsidRPr="009D05ED">
        <w:rPr>
          <w:rFonts w:cs="Times New Roman"/>
          <w:szCs w:val="24"/>
        </w:rPr>
        <w:t xml:space="preserve"> </w:t>
      </w:r>
      <w:r>
        <w:rPr>
          <w:rFonts w:cs="Times New Roman"/>
          <w:szCs w:val="24"/>
        </w:rPr>
        <w:t xml:space="preserve">For paupers who received a pension from the parish this was rarely enough to </w:t>
      </w:r>
      <w:r>
        <w:rPr>
          <w:rFonts w:cs="Times New Roman"/>
          <w:szCs w:val="24"/>
        </w:rPr>
        <w:lastRenderedPageBreak/>
        <w:t xml:space="preserve">cover medicine or healthcare. </w:t>
      </w:r>
      <w:r w:rsidRPr="009D05ED">
        <w:rPr>
          <w:rFonts w:cs="Times New Roman"/>
          <w:szCs w:val="24"/>
        </w:rPr>
        <w:t xml:space="preserve">In </w:t>
      </w:r>
      <w:r>
        <w:rPr>
          <w:rFonts w:cs="Times New Roman"/>
          <w:szCs w:val="24"/>
        </w:rPr>
        <w:t xml:space="preserve">1824 the c.32-year-old Mary Baynes was under the care of her mother, Sarah, as she was ‘suffering from </w:t>
      </w:r>
      <w:proofErr w:type="spellStart"/>
      <w:r>
        <w:rPr>
          <w:rFonts w:cs="Times New Roman"/>
          <w:szCs w:val="24"/>
        </w:rPr>
        <w:t>deseased</w:t>
      </w:r>
      <w:proofErr w:type="spellEnd"/>
      <w:r>
        <w:rPr>
          <w:rFonts w:cs="Times New Roman"/>
          <w:szCs w:val="24"/>
        </w:rPr>
        <w:t xml:space="preserve"> lungs’. This resulted in a </w:t>
      </w:r>
      <w:r w:rsidRPr="00B929B9">
        <w:rPr>
          <w:rFonts w:cs="Times New Roman"/>
          <w:szCs w:val="24"/>
        </w:rPr>
        <w:t xml:space="preserve">prodigious </w:t>
      </w:r>
      <w:r>
        <w:rPr>
          <w:rFonts w:cs="Times New Roman"/>
          <w:szCs w:val="24"/>
        </w:rPr>
        <w:t xml:space="preserve">bill of </w:t>
      </w:r>
      <w:r w:rsidRPr="009D05ED">
        <w:rPr>
          <w:rFonts w:cs="Times New Roman"/>
          <w:szCs w:val="24"/>
        </w:rPr>
        <w:t>£4 12s</w:t>
      </w:r>
      <w:r>
        <w:rPr>
          <w:rFonts w:cs="Times New Roman"/>
          <w:szCs w:val="24"/>
        </w:rPr>
        <w:t>.</w:t>
      </w:r>
      <w:r w:rsidRPr="009D05ED">
        <w:rPr>
          <w:rFonts w:cs="Times New Roman"/>
          <w:szCs w:val="24"/>
        </w:rPr>
        <w:t xml:space="preserve"> 6d</w:t>
      </w:r>
      <w:r>
        <w:rPr>
          <w:rFonts w:cs="Times New Roman"/>
          <w:szCs w:val="24"/>
        </w:rPr>
        <w:t>.</w:t>
      </w:r>
      <w:r w:rsidRPr="009D05ED">
        <w:rPr>
          <w:rFonts w:cs="Times New Roman"/>
          <w:szCs w:val="24"/>
        </w:rPr>
        <w:t xml:space="preserve"> from </w:t>
      </w:r>
      <w:r>
        <w:rPr>
          <w:rFonts w:cs="Times New Roman"/>
          <w:szCs w:val="24"/>
        </w:rPr>
        <w:t>the</w:t>
      </w:r>
      <w:r w:rsidRPr="009D05ED">
        <w:rPr>
          <w:rFonts w:cs="Times New Roman"/>
          <w:szCs w:val="24"/>
        </w:rPr>
        <w:t xml:space="preserve"> apothecary</w:t>
      </w:r>
      <w:r>
        <w:rPr>
          <w:rFonts w:cs="Times New Roman"/>
          <w:szCs w:val="24"/>
        </w:rPr>
        <w:t>, which compelled her mother to ask for additional help from authorities as ‘I am unable to Discharge it, having an allowance of only 2</w:t>
      </w:r>
      <w:r w:rsidRPr="000A2C2B">
        <w:rPr>
          <w:rFonts w:cs="Times New Roman"/>
          <w:szCs w:val="24"/>
          <w:vertAlign w:val="superscript"/>
        </w:rPr>
        <w:t>s</w:t>
      </w:r>
      <w:r>
        <w:rPr>
          <w:rFonts w:cs="Times New Roman"/>
          <w:szCs w:val="24"/>
        </w:rPr>
        <w:t xml:space="preserve"> p</w:t>
      </w:r>
      <w:r w:rsidRPr="000A2C2B">
        <w:rPr>
          <w:rFonts w:cs="Times New Roman"/>
          <w:szCs w:val="24"/>
          <w:vertAlign w:val="superscript"/>
        </w:rPr>
        <w:t>r</w:t>
      </w:r>
      <w:r>
        <w:rPr>
          <w:rFonts w:cs="Times New Roman"/>
          <w:szCs w:val="24"/>
        </w:rPr>
        <w:t xml:space="preserve"> Week from this Parish’.</w:t>
      </w:r>
      <w:r w:rsidRPr="009D05ED">
        <w:rPr>
          <w:rStyle w:val="EndnoteReference"/>
          <w:rFonts w:cs="Times New Roman"/>
          <w:szCs w:val="24"/>
        </w:rPr>
        <w:endnoteReference w:id="66"/>
      </w:r>
      <w:r w:rsidRPr="009D05ED">
        <w:rPr>
          <w:rFonts w:cs="Times New Roman"/>
          <w:szCs w:val="24"/>
        </w:rPr>
        <w:t xml:space="preserve"> </w:t>
      </w:r>
      <w:r>
        <w:t>Household priorities shifted during times of sickness and many would sell possessions and redirect funds from rent, fuel, poor rates</w:t>
      </w:r>
      <w:r w:rsidR="00842F55">
        <w:t>,</w:t>
      </w:r>
      <w:r>
        <w:t xml:space="preserve"> and clothing to healthcare for their loved </w:t>
      </w:r>
      <w:r w:rsidRPr="00D01110">
        <w:t xml:space="preserve">ones. For example, during the 1820s </w:t>
      </w:r>
      <w:r w:rsidRPr="00D01110">
        <w:rPr>
          <w:rFonts w:cs="Times New Roman"/>
          <w:szCs w:val="24"/>
        </w:rPr>
        <w:t xml:space="preserve">Samuel </w:t>
      </w:r>
      <w:r>
        <w:rPr>
          <w:rFonts w:cs="Times New Roman"/>
          <w:szCs w:val="24"/>
        </w:rPr>
        <w:t>White’s wife Ann appears to have had a stroke, which meant that she needed a nurse. Their young children also required assistance on several occasions for measles and various other conditions.</w:t>
      </w:r>
      <w:r w:rsidRPr="001D3282">
        <w:rPr>
          <w:rFonts w:cs="Times New Roman"/>
        </w:rPr>
        <w:t xml:space="preserve"> </w:t>
      </w:r>
      <w:r w:rsidRPr="009D05ED">
        <w:rPr>
          <w:rFonts w:cs="Times New Roman"/>
        </w:rPr>
        <w:t>He wrote</w:t>
      </w:r>
      <w:r>
        <w:rPr>
          <w:rFonts w:cs="Times New Roman"/>
        </w:rPr>
        <w:t xml:space="preserve"> that</w:t>
      </w:r>
      <w:r w:rsidRPr="009D05ED">
        <w:rPr>
          <w:rFonts w:cs="Times New Roman"/>
        </w:rPr>
        <w:t xml:space="preserve"> </w:t>
      </w:r>
      <w:r>
        <w:rPr>
          <w:rFonts w:cs="Times New Roman"/>
        </w:rPr>
        <w:t>from Ann’s</w:t>
      </w:r>
      <w:r w:rsidRPr="009D05ED">
        <w:rPr>
          <w:rFonts w:cs="Times New Roman"/>
        </w:rPr>
        <w:t xml:space="preserve"> ‘late </w:t>
      </w:r>
      <w:proofErr w:type="spellStart"/>
      <w:r w:rsidRPr="009D05ED">
        <w:rPr>
          <w:rFonts w:cs="Times New Roman"/>
        </w:rPr>
        <w:t>atack</w:t>
      </w:r>
      <w:proofErr w:type="spellEnd"/>
      <w:r w:rsidRPr="009D05ED">
        <w:rPr>
          <w:rFonts w:cs="Times New Roman"/>
        </w:rPr>
        <w:t xml:space="preserve"> she has not the full use of her left arm and her mental faculties are in a very weak state’.</w:t>
      </w:r>
      <w:r w:rsidRPr="009D05ED">
        <w:rPr>
          <w:rStyle w:val="EndnoteReference"/>
          <w:rFonts w:cs="Times New Roman"/>
        </w:rPr>
        <w:endnoteReference w:id="67"/>
      </w:r>
      <w:r w:rsidRPr="002C5326">
        <w:rPr>
          <w:rFonts w:cs="Times New Roman"/>
        </w:rPr>
        <w:t xml:space="preserve"> </w:t>
      </w:r>
      <w:r w:rsidRPr="009D05ED">
        <w:rPr>
          <w:rFonts w:cs="Times New Roman"/>
        </w:rPr>
        <w:t xml:space="preserve">Samuel said that she </w:t>
      </w:r>
      <w:r>
        <w:rPr>
          <w:rFonts w:cs="Times New Roman"/>
        </w:rPr>
        <w:t>has been</w:t>
      </w:r>
      <w:r w:rsidRPr="009D05ED">
        <w:rPr>
          <w:rFonts w:cs="Times New Roman"/>
        </w:rPr>
        <w:t xml:space="preserve"> ‘unable to Do for her Family...</w:t>
      </w:r>
      <w:r>
        <w:rPr>
          <w:rFonts w:cs="Times New Roman"/>
        </w:rPr>
        <w:t xml:space="preserve"> </w:t>
      </w:r>
      <w:r w:rsidRPr="009D05ED">
        <w:rPr>
          <w:rFonts w:cs="Times New Roman"/>
        </w:rPr>
        <w:t xml:space="preserve">in such a state of </w:t>
      </w:r>
      <w:proofErr w:type="spellStart"/>
      <w:r w:rsidRPr="009D05ED">
        <w:rPr>
          <w:rFonts w:cs="Times New Roman"/>
        </w:rPr>
        <w:t>stupidety</w:t>
      </w:r>
      <w:proofErr w:type="spellEnd"/>
      <w:r w:rsidRPr="009D05ED">
        <w:rPr>
          <w:rFonts w:cs="Times New Roman"/>
        </w:rPr>
        <w:t xml:space="preserve"> and forgetfulness’ and </w:t>
      </w:r>
      <w:r>
        <w:rPr>
          <w:rFonts w:cs="Times New Roman"/>
        </w:rPr>
        <w:t>that</w:t>
      </w:r>
      <w:r w:rsidRPr="009D05ED">
        <w:rPr>
          <w:rFonts w:cs="Times New Roman"/>
        </w:rPr>
        <w:t xml:space="preserve"> ‘</w:t>
      </w:r>
      <w:r>
        <w:rPr>
          <w:rFonts w:cs="Times New Roman"/>
        </w:rPr>
        <w:t xml:space="preserve">her </w:t>
      </w:r>
      <w:proofErr w:type="spellStart"/>
      <w:r>
        <w:rPr>
          <w:rFonts w:cs="Times New Roman"/>
        </w:rPr>
        <w:t>Paralattic</w:t>
      </w:r>
      <w:proofErr w:type="spellEnd"/>
      <w:r>
        <w:rPr>
          <w:rFonts w:cs="Times New Roman"/>
        </w:rPr>
        <w:t xml:space="preserve"> attack Prevents her </w:t>
      </w:r>
      <w:r w:rsidRPr="009D05ED">
        <w:rPr>
          <w:rFonts w:cs="Times New Roman"/>
        </w:rPr>
        <w:t xml:space="preserve">been able to earn </w:t>
      </w:r>
      <w:proofErr w:type="spellStart"/>
      <w:r w:rsidRPr="009D05ED">
        <w:rPr>
          <w:rFonts w:cs="Times New Roman"/>
        </w:rPr>
        <w:t>any thing</w:t>
      </w:r>
      <w:proofErr w:type="spellEnd"/>
      <w:r w:rsidRPr="009D05ED">
        <w:rPr>
          <w:rFonts w:cs="Times New Roman"/>
        </w:rPr>
        <w:t>’.</w:t>
      </w:r>
      <w:r w:rsidRPr="009D05ED">
        <w:rPr>
          <w:rStyle w:val="EndnoteReference"/>
          <w:rFonts w:cs="Times New Roman"/>
        </w:rPr>
        <w:endnoteReference w:id="68"/>
      </w:r>
      <w:r>
        <w:rPr>
          <w:rFonts w:cs="Times New Roman"/>
        </w:rPr>
        <w:t xml:space="preserve"> This meant that Samuel had been ‘unable to feed and Clothe so many by my own earnings’ and that he struggled to keep the fires in his house burning.</w:t>
      </w:r>
      <w:r>
        <w:rPr>
          <w:rStyle w:val="EndnoteReference"/>
          <w:rFonts w:cs="Times New Roman"/>
        </w:rPr>
        <w:endnoteReference w:id="69"/>
      </w:r>
    </w:p>
    <w:p w14:paraId="5BF373DA" w14:textId="6222B915" w:rsidR="007458FF" w:rsidRPr="009D05ED" w:rsidRDefault="007458FF" w:rsidP="00CC7EAE">
      <w:pPr>
        <w:spacing w:line="360" w:lineRule="auto"/>
        <w:ind w:firstLine="720"/>
        <w:rPr>
          <w:rFonts w:cs="Times New Roman"/>
          <w:szCs w:val="24"/>
        </w:rPr>
      </w:pPr>
      <w:r>
        <w:t xml:space="preserve">Some paupers did not survive their sicknesses and their families were left in both emotional and material turmoil. </w:t>
      </w:r>
      <w:r>
        <w:rPr>
          <w:rFonts w:cs="Times New Roman"/>
          <w:szCs w:val="24"/>
        </w:rPr>
        <w:t>From the passing of their husbands, women particularly found themselves in much reduced circumstances. Many widows were forced to downgrade their homes and material goods, as they lost their partner’s pay and were left to support themselves and any children they may have had on menial pay.</w:t>
      </w:r>
      <w:r>
        <w:rPr>
          <w:rStyle w:val="EndnoteReference"/>
          <w:rFonts w:cs="Times New Roman"/>
          <w:szCs w:val="24"/>
        </w:rPr>
        <w:endnoteReference w:id="70"/>
      </w:r>
      <w:r>
        <w:rPr>
          <w:rFonts w:cs="Times New Roman"/>
          <w:szCs w:val="24"/>
        </w:rPr>
        <w:t xml:space="preserve"> Mary Saxby, for instance, recounted how she was left </w:t>
      </w:r>
      <w:r>
        <w:t xml:space="preserve">‘a poor disconsolate widow, with five children, four of them young’ when her husband died. This meant that she fell </w:t>
      </w:r>
      <w:r w:rsidRPr="001A5A2C">
        <w:t>‘deeply in debt</w:t>
      </w:r>
      <w:r>
        <w:t>’ and</w:t>
      </w:r>
      <w:r w:rsidRPr="001A5A2C">
        <w:t xml:space="preserve"> ‘sold what I had, and discharged all our debts... I then applied to the parish for assistance: and, for a short time, they gave me three shillings weekly, but soon reduced this allowance’.</w:t>
      </w:r>
      <w:r>
        <w:rPr>
          <w:rStyle w:val="EndnoteReference"/>
        </w:rPr>
        <w:endnoteReference w:id="71"/>
      </w:r>
      <w:r>
        <w:t xml:space="preserve"> </w:t>
      </w:r>
      <w:r>
        <w:rPr>
          <w:rFonts w:cs="Times New Roman"/>
          <w:szCs w:val="24"/>
        </w:rPr>
        <w:t>Losing children was also a common occurrence</w:t>
      </w:r>
      <w:r w:rsidRPr="00951F41">
        <w:t xml:space="preserve"> </w:t>
      </w:r>
      <w:r>
        <w:t>over the life-cycle and families would ask parishes for help with burial costs</w:t>
      </w:r>
      <w:r>
        <w:rPr>
          <w:rFonts w:cs="Times New Roman"/>
          <w:szCs w:val="24"/>
        </w:rPr>
        <w:t xml:space="preserve">. In 1805 </w:t>
      </w:r>
      <w:r w:rsidRPr="009D05ED">
        <w:rPr>
          <w:rFonts w:cs="Times New Roman"/>
          <w:szCs w:val="24"/>
        </w:rPr>
        <w:t xml:space="preserve">Hannah Wall </w:t>
      </w:r>
      <w:r>
        <w:rPr>
          <w:rFonts w:cs="Times New Roman"/>
          <w:szCs w:val="24"/>
        </w:rPr>
        <w:t>wrote the overseer of Rainham stating:</w:t>
      </w:r>
    </w:p>
    <w:p w14:paraId="25B052EE" w14:textId="4A5FC823" w:rsidR="007458FF" w:rsidRPr="009D05ED" w:rsidRDefault="007458FF" w:rsidP="009007D0">
      <w:pPr>
        <w:spacing w:line="360" w:lineRule="auto"/>
        <w:ind w:left="720"/>
        <w:jc w:val="both"/>
        <w:rPr>
          <w:rFonts w:cs="Times New Roman"/>
          <w:szCs w:val="24"/>
        </w:rPr>
      </w:pPr>
      <w:r w:rsidRPr="009D05ED">
        <w:rPr>
          <w:rFonts w:cs="Times New Roman"/>
          <w:szCs w:val="24"/>
        </w:rPr>
        <w:t>my young</w:t>
      </w:r>
      <w:r>
        <w:rPr>
          <w:rFonts w:cs="Times New Roman"/>
          <w:szCs w:val="24"/>
        </w:rPr>
        <w:t>e</w:t>
      </w:r>
      <w:r w:rsidRPr="009D05ED">
        <w:rPr>
          <w:rFonts w:cs="Times New Roman"/>
          <w:szCs w:val="24"/>
        </w:rPr>
        <w:t>st Child Died this Morning...</w:t>
      </w:r>
      <w:r>
        <w:rPr>
          <w:rFonts w:cs="Times New Roman"/>
          <w:szCs w:val="24"/>
        </w:rPr>
        <w:t xml:space="preserve"> </w:t>
      </w:r>
      <w:r w:rsidRPr="009D05ED">
        <w:rPr>
          <w:rFonts w:cs="Times New Roman"/>
          <w:szCs w:val="24"/>
        </w:rPr>
        <w:t xml:space="preserve">the Child has been Poorly this month Back, and has run me to a deal of </w:t>
      </w:r>
      <w:proofErr w:type="spellStart"/>
      <w:r w:rsidRPr="009D05ED">
        <w:rPr>
          <w:rFonts w:cs="Times New Roman"/>
          <w:szCs w:val="24"/>
        </w:rPr>
        <w:t>Expence</w:t>
      </w:r>
      <w:proofErr w:type="spellEnd"/>
      <w:r w:rsidRPr="009D05ED">
        <w:rPr>
          <w:rFonts w:cs="Times New Roman"/>
          <w:szCs w:val="24"/>
        </w:rPr>
        <w:t xml:space="preserve"> with Doctor &amp; </w:t>
      </w:r>
      <w:proofErr w:type="spellStart"/>
      <w:r w:rsidRPr="009D05ED">
        <w:rPr>
          <w:rFonts w:cs="Times New Roman"/>
          <w:szCs w:val="24"/>
        </w:rPr>
        <w:t>Medecins</w:t>
      </w:r>
      <w:proofErr w:type="spellEnd"/>
      <w:r w:rsidRPr="009D05ED">
        <w:rPr>
          <w:rFonts w:cs="Times New Roman"/>
          <w:szCs w:val="24"/>
        </w:rPr>
        <w:t xml:space="preserve">, I hope you will send me what Money you Think will Bury him, as to my Other Child, he is almost Naked for want of Cloths, and what to do I </w:t>
      </w:r>
      <w:proofErr w:type="spellStart"/>
      <w:r w:rsidRPr="009D05ED">
        <w:rPr>
          <w:rFonts w:cs="Times New Roman"/>
          <w:szCs w:val="24"/>
        </w:rPr>
        <w:t>dont</w:t>
      </w:r>
      <w:proofErr w:type="spellEnd"/>
      <w:r w:rsidRPr="009D05ED">
        <w:rPr>
          <w:rFonts w:cs="Times New Roman"/>
          <w:szCs w:val="24"/>
        </w:rPr>
        <w:t xml:space="preserve"> know, I am So much </w:t>
      </w:r>
      <w:proofErr w:type="spellStart"/>
      <w:r w:rsidRPr="009D05ED">
        <w:rPr>
          <w:rFonts w:cs="Times New Roman"/>
          <w:szCs w:val="24"/>
        </w:rPr>
        <w:t>Distrested</w:t>
      </w:r>
      <w:proofErr w:type="spellEnd"/>
      <w:r w:rsidRPr="009D05ED">
        <w:rPr>
          <w:rFonts w:cs="Times New Roman"/>
          <w:szCs w:val="24"/>
        </w:rPr>
        <w:t xml:space="preserve"> as to myself, my Cloths are all in the Pawn Brokers I hope you will send me Relief as Soon as Possible as I am </w:t>
      </w:r>
      <w:proofErr w:type="spellStart"/>
      <w:r w:rsidRPr="009D05ED">
        <w:rPr>
          <w:rFonts w:cs="Times New Roman"/>
          <w:szCs w:val="24"/>
        </w:rPr>
        <w:t>greatl</w:t>
      </w:r>
      <w:r>
        <w:rPr>
          <w:rFonts w:cs="Times New Roman"/>
          <w:szCs w:val="24"/>
        </w:rPr>
        <w:t>e</w:t>
      </w:r>
      <w:r w:rsidRPr="009D05ED">
        <w:rPr>
          <w:rFonts w:cs="Times New Roman"/>
          <w:szCs w:val="24"/>
        </w:rPr>
        <w:t>y</w:t>
      </w:r>
      <w:proofErr w:type="spellEnd"/>
      <w:r w:rsidRPr="009D05ED">
        <w:rPr>
          <w:rFonts w:cs="Times New Roman"/>
          <w:szCs w:val="24"/>
        </w:rPr>
        <w:t xml:space="preserve"> </w:t>
      </w:r>
      <w:proofErr w:type="spellStart"/>
      <w:r w:rsidRPr="009D05ED">
        <w:rPr>
          <w:rFonts w:cs="Times New Roman"/>
          <w:szCs w:val="24"/>
        </w:rPr>
        <w:t>Distrest</w:t>
      </w:r>
      <w:proofErr w:type="spellEnd"/>
      <w:r>
        <w:rPr>
          <w:rFonts w:cs="Times New Roman"/>
          <w:szCs w:val="24"/>
        </w:rPr>
        <w:t>…</w:t>
      </w:r>
      <w:r w:rsidRPr="009D05ED">
        <w:rPr>
          <w:rFonts w:cs="Times New Roman"/>
          <w:szCs w:val="24"/>
        </w:rPr>
        <w:t xml:space="preserve"> </w:t>
      </w:r>
      <w:r w:rsidRPr="009D05ED">
        <w:rPr>
          <w:rStyle w:val="EndnoteReference"/>
          <w:rFonts w:cs="Times New Roman"/>
          <w:szCs w:val="24"/>
        </w:rPr>
        <w:endnoteReference w:id="72"/>
      </w:r>
    </w:p>
    <w:p w14:paraId="7E0D3692" w14:textId="58AF0AE5" w:rsidR="007458FF" w:rsidRPr="009007D0" w:rsidRDefault="007458FF" w:rsidP="00CC7EAE">
      <w:pPr>
        <w:spacing w:line="360" w:lineRule="auto"/>
        <w:rPr>
          <w:rFonts w:cs="Times New Roman"/>
          <w:szCs w:val="24"/>
        </w:rPr>
      </w:pPr>
      <w:r w:rsidRPr="009D05ED">
        <w:rPr>
          <w:rFonts w:cs="Times New Roman"/>
          <w:szCs w:val="24"/>
        </w:rPr>
        <w:t xml:space="preserve">From this </w:t>
      </w:r>
      <w:r>
        <w:rPr>
          <w:rFonts w:cs="Times New Roman"/>
          <w:szCs w:val="24"/>
        </w:rPr>
        <w:t xml:space="preserve">one </w:t>
      </w:r>
      <w:r w:rsidRPr="009D05ED">
        <w:rPr>
          <w:rFonts w:cs="Times New Roman"/>
          <w:szCs w:val="24"/>
        </w:rPr>
        <w:t xml:space="preserve">example </w:t>
      </w:r>
      <w:proofErr w:type="gramStart"/>
      <w:r w:rsidRPr="009D05ED">
        <w:rPr>
          <w:rFonts w:cs="Times New Roman"/>
          <w:szCs w:val="24"/>
        </w:rPr>
        <w:t>a number of</w:t>
      </w:r>
      <w:proofErr w:type="gramEnd"/>
      <w:r w:rsidRPr="009D05ED">
        <w:rPr>
          <w:rFonts w:cs="Times New Roman"/>
          <w:szCs w:val="24"/>
        </w:rPr>
        <w:t xml:space="preserve"> facets </w:t>
      </w:r>
      <w:r>
        <w:rPr>
          <w:rFonts w:cs="Times New Roman"/>
          <w:szCs w:val="24"/>
        </w:rPr>
        <w:t>relating to material poverty can be noted</w:t>
      </w:r>
      <w:r w:rsidRPr="009D05ED">
        <w:rPr>
          <w:rFonts w:cs="Times New Roman"/>
          <w:szCs w:val="24"/>
        </w:rPr>
        <w:t xml:space="preserve">. </w:t>
      </w:r>
      <w:r>
        <w:rPr>
          <w:rFonts w:cs="Times New Roman"/>
          <w:szCs w:val="24"/>
        </w:rPr>
        <w:t>First, the writer highlighted how sudden illness can strike and how quickly bills for medicine, healthcare</w:t>
      </w:r>
      <w:r w:rsidR="00842F55">
        <w:rPr>
          <w:rFonts w:cs="Times New Roman"/>
          <w:szCs w:val="24"/>
        </w:rPr>
        <w:t>,</w:t>
      </w:r>
      <w:r>
        <w:rPr>
          <w:rFonts w:cs="Times New Roman"/>
          <w:szCs w:val="24"/>
        </w:rPr>
        <w:t xml:space="preserve"> and funeral costs</w:t>
      </w:r>
      <w:r w:rsidRPr="004255BF">
        <w:rPr>
          <w:rFonts w:cs="Times New Roman"/>
          <w:szCs w:val="24"/>
        </w:rPr>
        <w:t xml:space="preserve"> </w:t>
      </w:r>
      <w:r>
        <w:rPr>
          <w:rFonts w:cs="Times New Roman"/>
          <w:szCs w:val="24"/>
        </w:rPr>
        <w:t>can build up. Second</w:t>
      </w:r>
      <w:r w:rsidRPr="009D05ED">
        <w:rPr>
          <w:rFonts w:cs="Times New Roman"/>
          <w:szCs w:val="24"/>
        </w:rPr>
        <w:t>, she revealed that the</w:t>
      </w:r>
      <w:r>
        <w:rPr>
          <w:rFonts w:cs="Times New Roman"/>
          <w:szCs w:val="24"/>
        </w:rPr>
        <w:t>se</w:t>
      </w:r>
      <w:r w:rsidRPr="009D05ED">
        <w:rPr>
          <w:rFonts w:cs="Times New Roman"/>
          <w:szCs w:val="24"/>
        </w:rPr>
        <w:t xml:space="preserve"> financial burdens </w:t>
      </w:r>
      <w:r>
        <w:rPr>
          <w:rFonts w:cs="Times New Roman"/>
          <w:szCs w:val="24"/>
        </w:rPr>
        <w:t xml:space="preserve">had resulted in the pawning of goods and the neglect of other important material needs such as clothing for her other child. Finally, </w:t>
      </w:r>
      <w:r>
        <w:rPr>
          <w:rFonts w:cs="Times New Roman"/>
          <w:szCs w:val="24"/>
        </w:rPr>
        <w:lastRenderedPageBreak/>
        <w:t xml:space="preserve">and perhaps most strikingly, </w:t>
      </w:r>
      <w:r w:rsidRPr="009D05ED">
        <w:rPr>
          <w:rFonts w:cs="Times New Roman"/>
          <w:szCs w:val="24"/>
        </w:rPr>
        <w:t xml:space="preserve">she wrote </w:t>
      </w:r>
      <w:r>
        <w:rPr>
          <w:rFonts w:cs="Times New Roman"/>
          <w:szCs w:val="24"/>
        </w:rPr>
        <w:t>this</w:t>
      </w:r>
      <w:r w:rsidRPr="009D05ED">
        <w:rPr>
          <w:rFonts w:cs="Times New Roman"/>
          <w:szCs w:val="24"/>
        </w:rPr>
        <w:t xml:space="preserve"> letter on the morning of her </w:t>
      </w:r>
      <w:r>
        <w:rPr>
          <w:rFonts w:cs="Times New Roman"/>
          <w:szCs w:val="24"/>
        </w:rPr>
        <w:t>son’s</w:t>
      </w:r>
      <w:r w:rsidRPr="009D05ED">
        <w:rPr>
          <w:rFonts w:cs="Times New Roman"/>
          <w:szCs w:val="24"/>
        </w:rPr>
        <w:t xml:space="preserve"> death</w:t>
      </w:r>
      <w:r>
        <w:rPr>
          <w:rFonts w:cs="Times New Roman"/>
          <w:szCs w:val="24"/>
        </w:rPr>
        <w:t>, so desperate was her financial need.</w:t>
      </w:r>
    </w:p>
    <w:p w14:paraId="1EF52284" w14:textId="240EDB0E" w:rsidR="007458FF" w:rsidRPr="000D6D95" w:rsidRDefault="007458FF" w:rsidP="00B723E3">
      <w:pPr>
        <w:spacing w:line="360" w:lineRule="auto"/>
        <w:ind w:firstLine="720"/>
        <w:rPr>
          <w:rFonts w:cs="Times New Roman"/>
        </w:rPr>
      </w:pPr>
      <w:r>
        <w:t>At least one in ten of the paupers who wrote letters were old and/or lived with elderly family members.</w:t>
      </w:r>
      <w:r>
        <w:rPr>
          <w:rStyle w:val="EndnoteReference"/>
        </w:rPr>
        <w:endnoteReference w:id="73"/>
      </w:r>
      <w:r>
        <w:t xml:space="preserve"> The letters indicate that most people had little expectation of retirement and laboured until they were physically incapable or died.</w:t>
      </w:r>
      <w:r>
        <w:rPr>
          <w:rStyle w:val="EndnoteReference"/>
        </w:rPr>
        <w:endnoteReference w:id="74"/>
      </w:r>
      <w:r>
        <w:t xml:space="preserve"> They reveal that elderly people often felt a sense of shame as they could not work as intensely as they once </w:t>
      </w:r>
      <w:proofErr w:type="gramStart"/>
      <w:r>
        <w:t>could</w:t>
      </w:r>
      <w:proofErr w:type="gramEnd"/>
      <w:r>
        <w:t xml:space="preserve"> due to infirmity and their loss of strength and </w:t>
      </w:r>
      <w:r w:rsidRPr="003E04CE">
        <w:t xml:space="preserve">dexterity. These </w:t>
      </w:r>
      <w:r>
        <w:t xml:space="preserve">difficulties are best exemplified through the 53 letters of William James. He was around </w:t>
      </w:r>
      <w:r w:rsidRPr="009D05ED">
        <w:rPr>
          <w:rFonts w:cs="Times New Roman"/>
        </w:rPr>
        <w:t>67-69 when he wrote his first letter in 1818 and was 77-79 years old when he wrote the last in 1828.</w:t>
      </w:r>
      <w:r w:rsidRPr="009D05ED">
        <w:rPr>
          <w:rStyle w:val="EndnoteReference"/>
          <w:rFonts w:cs="Times New Roman"/>
        </w:rPr>
        <w:endnoteReference w:id="75"/>
      </w:r>
      <w:r>
        <w:rPr>
          <w:rFonts w:cs="Times New Roman"/>
        </w:rPr>
        <w:t xml:space="preserve"> Over the course of his letters he</w:t>
      </w:r>
      <w:r w:rsidRPr="009D05ED">
        <w:rPr>
          <w:rFonts w:cs="Times New Roman"/>
        </w:rPr>
        <w:t xml:space="preserve"> contracted rheumatism, grew weaker and his sight </w:t>
      </w:r>
      <w:r>
        <w:rPr>
          <w:rFonts w:cs="Times New Roman"/>
        </w:rPr>
        <w:t>began</w:t>
      </w:r>
      <w:r w:rsidRPr="009D05ED">
        <w:rPr>
          <w:rFonts w:cs="Times New Roman"/>
        </w:rPr>
        <w:t xml:space="preserve"> to fail. He said</w:t>
      </w:r>
      <w:r>
        <w:rPr>
          <w:rFonts w:cs="Times New Roman"/>
        </w:rPr>
        <w:t xml:space="preserve"> that</w:t>
      </w:r>
      <w:r w:rsidRPr="009D05ED">
        <w:rPr>
          <w:rFonts w:cs="Times New Roman"/>
        </w:rPr>
        <w:t xml:space="preserve"> ‘at our advanced Age, these things are hard’ and that ‘I experience the decays of Nature so much, that I cannot work as I have done</w:t>
      </w:r>
      <w:r>
        <w:rPr>
          <w:rFonts w:cs="Times New Roman"/>
        </w:rPr>
        <w:t>’</w:t>
      </w:r>
      <w:r w:rsidRPr="009D05ED">
        <w:rPr>
          <w:rFonts w:cs="Times New Roman"/>
        </w:rPr>
        <w:t>.</w:t>
      </w:r>
      <w:r w:rsidRPr="009D05ED">
        <w:rPr>
          <w:rStyle w:val="EndnoteReference"/>
          <w:rFonts w:cs="Times New Roman"/>
        </w:rPr>
        <w:endnoteReference w:id="76"/>
      </w:r>
      <w:r w:rsidRPr="009D05ED">
        <w:rPr>
          <w:rFonts w:cs="Times New Roman"/>
        </w:rPr>
        <w:t xml:space="preserve"> </w:t>
      </w:r>
      <w:r>
        <w:rPr>
          <w:rFonts w:cs="Times New Roman"/>
        </w:rPr>
        <w:t xml:space="preserve">Unable to keep up </w:t>
      </w:r>
      <w:r w:rsidRPr="009D05ED">
        <w:rPr>
          <w:rFonts w:cs="Times New Roman"/>
        </w:rPr>
        <w:t>with younger workers</w:t>
      </w:r>
      <w:r>
        <w:rPr>
          <w:rFonts w:cs="Times New Roman"/>
        </w:rPr>
        <w:t xml:space="preserve">, he was </w:t>
      </w:r>
      <w:r w:rsidRPr="009D05ED">
        <w:rPr>
          <w:rFonts w:cs="Times New Roman"/>
        </w:rPr>
        <w:t>paid less</w:t>
      </w:r>
      <w:r>
        <w:rPr>
          <w:rFonts w:cs="Times New Roman"/>
        </w:rPr>
        <w:t xml:space="preserve"> than them in his role as a bell hanger or labourer.</w:t>
      </w:r>
      <w:r w:rsidRPr="009D05ED">
        <w:rPr>
          <w:rStyle w:val="EndnoteReference"/>
          <w:rFonts w:cs="Times New Roman"/>
        </w:rPr>
        <w:endnoteReference w:id="77"/>
      </w:r>
      <w:r>
        <w:rPr>
          <w:rFonts w:cs="Times New Roman"/>
        </w:rPr>
        <w:t xml:space="preserve"> </w:t>
      </w:r>
      <w:r w:rsidRPr="009D05ED">
        <w:rPr>
          <w:rFonts w:cs="Times New Roman"/>
        </w:rPr>
        <w:t>William also became more susceptible to falls: ‘standing on the top of a pair of steps, &amp; the string breaking, they fell, &amp; myself with them...</w:t>
      </w:r>
      <w:r>
        <w:rPr>
          <w:rFonts w:cs="Times New Roman"/>
        </w:rPr>
        <w:t xml:space="preserve"> </w:t>
      </w:r>
      <w:r w:rsidRPr="009D05ED">
        <w:rPr>
          <w:rFonts w:cs="Times New Roman"/>
        </w:rPr>
        <w:t>which Injured me, so much in my side &amp; Arm, that I could not stir, nor speak for some minutes’.</w:t>
      </w:r>
      <w:r w:rsidRPr="009D05ED">
        <w:rPr>
          <w:rStyle w:val="EndnoteReference"/>
          <w:rFonts w:cs="Times New Roman"/>
        </w:rPr>
        <w:endnoteReference w:id="78"/>
      </w:r>
      <w:r w:rsidRPr="009D05ED">
        <w:rPr>
          <w:rFonts w:cs="Times New Roman"/>
        </w:rPr>
        <w:t xml:space="preserve"> </w:t>
      </w:r>
      <w:r>
        <w:rPr>
          <w:rFonts w:cs="Times New Roman"/>
        </w:rPr>
        <w:t>William’s mental health suffered as a result of this and he was less able to acquire basic necessities for his family</w:t>
      </w:r>
      <w:r w:rsidRPr="009D05ED">
        <w:rPr>
          <w:rFonts w:cs="Times New Roman"/>
        </w:rPr>
        <w:t>.</w:t>
      </w:r>
      <w:r>
        <w:rPr>
          <w:rFonts w:cs="Times New Roman"/>
        </w:rPr>
        <w:t xml:space="preserve"> </w:t>
      </w:r>
      <w:r w:rsidRPr="009D05ED">
        <w:rPr>
          <w:rFonts w:cs="Times New Roman"/>
        </w:rPr>
        <w:t xml:space="preserve">He stated ‘my Spirits &amp; strength are Quite worn down – Eye sight fail me so much, that I cannot see to do </w:t>
      </w:r>
      <w:proofErr w:type="spellStart"/>
      <w:r w:rsidRPr="009D05ED">
        <w:rPr>
          <w:rFonts w:cs="Times New Roman"/>
        </w:rPr>
        <w:t>any thing</w:t>
      </w:r>
      <w:proofErr w:type="spellEnd"/>
      <w:r w:rsidRPr="009D05ED">
        <w:rPr>
          <w:rFonts w:cs="Times New Roman"/>
        </w:rPr>
        <w:t xml:space="preserve"> by Candle light &amp; work so little to do – &amp; Strength failing me, that I cannot Earn enough to get bread’.</w:t>
      </w:r>
      <w:r w:rsidRPr="009D05ED">
        <w:rPr>
          <w:rStyle w:val="EndnoteReference"/>
          <w:rFonts w:cs="Times New Roman"/>
        </w:rPr>
        <w:endnoteReference w:id="79"/>
      </w:r>
      <w:r w:rsidRPr="009D05ED">
        <w:rPr>
          <w:rFonts w:cs="Times New Roman"/>
        </w:rPr>
        <w:t xml:space="preserve"> </w:t>
      </w:r>
      <w:bookmarkStart w:id="10" w:name="_Hlk32224148"/>
      <w:r>
        <w:rPr>
          <w:rFonts w:cs="Times New Roman"/>
        </w:rPr>
        <w:t>I</w:t>
      </w:r>
      <w:r w:rsidRPr="009D05ED">
        <w:rPr>
          <w:rFonts w:cs="Times New Roman"/>
        </w:rPr>
        <w:t xml:space="preserve">n 1822 he said that </w:t>
      </w:r>
      <w:r>
        <w:rPr>
          <w:rFonts w:cs="Times New Roman"/>
        </w:rPr>
        <w:t xml:space="preserve">‘we live very scantily &amp; hard’ and </w:t>
      </w:r>
      <w:r w:rsidRPr="009D05ED">
        <w:rPr>
          <w:rFonts w:cs="Times New Roman"/>
        </w:rPr>
        <w:t>‘my Earnings have been but small...</w:t>
      </w:r>
      <w:r>
        <w:rPr>
          <w:rFonts w:cs="Times New Roman"/>
        </w:rPr>
        <w:t xml:space="preserve"> </w:t>
      </w:r>
      <w:r w:rsidRPr="009D05ED">
        <w:rPr>
          <w:rFonts w:cs="Times New Roman"/>
        </w:rPr>
        <w:t>with which we cannot procure Necessaries, to support health nor Nature’.</w:t>
      </w:r>
      <w:r w:rsidRPr="009D05ED">
        <w:rPr>
          <w:rStyle w:val="EndnoteReference"/>
          <w:rFonts w:cs="Times New Roman"/>
        </w:rPr>
        <w:endnoteReference w:id="80"/>
      </w:r>
      <w:r w:rsidRPr="009D05ED">
        <w:rPr>
          <w:rFonts w:cs="Times New Roman"/>
        </w:rPr>
        <w:t xml:space="preserve"> </w:t>
      </w:r>
      <w:bookmarkEnd w:id="10"/>
      <w:r>
        <w:rPr>
          <w:rFonts w:cs="Times New Roman"/>
        </w:rPr>
        <w:t>On top of this his elderly wife (</w:t>
      </w:r>
      <w:r w:rsidRPr="00B70A88">
        <w:rPr>
          <w:rFonts w:cs="Times New Roman"/>
        </w:rPr>
        <w:t>born c.1748-1749</w:t>
      </w:r>
      <w:r>
        <w:rPr>
          <w:rFonts w:cs="Times New Roman"/>
        </w:rPr>
        <w:t>) and adult daughter (born c.1777) were often unwell.</w:t>
      </w:r>
      <w:r>
        <w:rPr>
          <w:rStyle w:val="EndnoteReference"/>
          <w:rFonts w:cs="Times New Roman"/>
        </w:rPr>
        <w:endnoteReference w:id="81"/>
      </w:r>
      <w:r>
        <w:rPr>
          <w:rFonts w:cs="Times New Roman"/>
        </w:rPr>
        <w:t xml:space="preserve"> This led to declining levels of material wealth and a growing dependence on the parish and friends to support their material needs. </w:t>
      </w:r>
      <w:bookmarkStart w:id="12" w:name="_Hlk32224177"/>
      <w:r>
        <w:rPr>
          <w:rFonts w:cs="Times New Roman"/>
        </w:rPr>
        <w:t>In 1818, for instance, William stated that ‘the things we have, are only our Bed, &amp; a few things bought in for us, by a friend or two, when my things were sold of… so that none of them are mine’.</w:t>
      </w:r>
      <w:r>
        <w:rPr>
          <w:rStyle w:val="EndnoteReference"/>
          <w:rFonts w:cs="Times New Roman"/>
        </w:rPr>
        <w:endnoteReference w:id="82"/>
      </w:r>
      <w:r>
        <w:rPr>
          <w:rFonts w:cs="Times New Roman"/>
        </w:rPr>
        <w:t xml:space="preserve"> </w:t>
      </w:r>
      <w:bookmarkEnd w:id="12"/>
      <w:r>
        <w:rPr>
          <w:rFonts w:cs="Times New Roman"/>
        </w:rPr>
        <w:t xml:space="preserve">Such stories of multiple levels of struggle were common among the elderly. In fact, every letter that records old age also mentions sickness and/or infirmity of some sort. Furthermore, underemployment was more common among the aged, </w:t>
      </w:r>
      <w:proofErr w:type="gramStart"/>
      <w:r>
        <w:rPr>
          <w:rFonts w:cs="Times New Roman"/>
        </w:rPr>
        <w:t>owing to the fact that</w:t>
      </w:r>
      <w:proofErr w:type="gramEnd"/>
      <w:r>
        <w:rPr>
          <w:rFonts w:cs="Times New Roman"/>
        </w:rPr>
        <w:t xml:space="preserve"> employers probably chose younger workers over them. In total, 58 per cent of the letters which note old age also mentioned underemployment, while in contrast underemployment was recorded in 38 and 18 per cent of the letters written by widows/widowers and married couples respectively.</w:t>
      </w:r>
    </w:p>
    <w:p w14:paraId="139A2CF5" w14:textId="77777777" w:rsidR="00FD638C" w:rsidRDefault="00FD638C" w:rsidP="00C433A6">
      <w:pPr>
        <w:spacing w:line="360" w:lineRule="auto"/>
        <w:jc w:val="center"/>
        <w:rPr>
          <w:b/>
          <w:bCs/>
        </w:rPr>
      </w:pPr>
      <w:r w:rsidRPr="009866C2">
        <w:rPr>
          <w:rFonts w:cstheme="minorHAnsi"/>
          <w:sz w:val="24"/>
          <w:szCs w:val="24"/>
        </w:rPr>
        <w:lastRenderedPageBreak/>
        <w:drawing>
          <wp:inline distT="0" distB="0" distL="0" distR="0" wp14:anchorId="395F4B48" wp14:editId="0F6B18F3">
            <wp:extent cx="5048955" cy="3162741"/>
            <wp:effectExtent l="0" t="0" r="0" b="0"/>
            <wp:docPr id="3" name="Picture 3" descr="Pauper inventory, 1805&#10;Dan Drakes Goods Octr. 15 1805&#10;1 Sacken Bedsted &amp; flock Bed&#10;1 Blanket &amp; Sheet&#10;1 Coverlet &amp; Pilloes&#10;3 Tables 3 Chairs&#10;1 Spinning Wheel 2 Boxes &amp; Stool&#10;1 Tea Kettle &amp; Tin Boiler&#10;1 Bellows fender &amp; fire Shovel&#10;2 Candlesticks&#10;Warming Pan&#10;Tongs Box iron&#10;1 old Saw &amp; waterpot&#10;1 Frying pan Dish &amp; pan&#10;1 Saw Trammell&#10;1 Hammer&#10;&#10;Workhouse admittance-related inventory,&#10;1816&#10;1816&#10;Jan-y 3&#10;An Inventory of Dan l Drakes&#10;articles Removed To the&#10;Workhouse&#10;3 Tables&#10;2 Cheers&#10;Bedstead with Sacking Bottom&#10;1 Hutch&#10;2 Boxes&#10;Tea Kettle&#10;a five pint Bottle&#10;1 Tin Saucepan&#10;1 Old flock Bed&#10;1 Blacket &amp; Cover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auper inventory, 1805&#10;Dan Drakes Goods Octr. 15 1805&#10;1 Sacken Bedsted &amp; flock Bed&#10;1 Blanket &amp; Sheet&#10;1 Coverlet &amp; Pilloes&#10;3 Tables 3 Chairs&#10;1 Spinning Wheel 2 Boxes &amp; Stool&#10;1 Tea Kettle &amp; Tin Boiler&#10;1 Bellows fender &amp; fire Shovel&#10;2 Candlesticks&#10;Warming Pan&#10;Tongs Box iron&#10;1 old Saw &amp; waterpot&#10;1 Frying pan Dish &amp; pan&#10;1 Saw Trammell&#10;1 Hammer&#10;&#10;Workhouse admittance-related inventory,&#10;1816&#10;1816&#10;Jan-y 3&#10;An Inventory of Dan l Drakes&#10;articles Removed To the&#10;Workhouse&#10;3 Tables&#10;2 Cheers&#10;Bedstead with Sacking Bottom&#10;1 Hutch&#10;2 Boxes&#10;Tea Kettle&#10;a five pint Bottle&#10;1 Tin Saucepan&#10;1 Old flock Bed&#10;1 Blacket &amp; Coverlet"/>
                    <pic:cNvPicPr/>
                  </pic:nvPicPr>
                  <pic:blipFill>
                    <a:blip r:embed="rId8"/>
                    <a:stretch>
                      <a:fillRect/>
                    </a:stretch>
                  </pic:blipFill>
                  <pic:spPr>
                    <a:xfrm>
                      <a:off x="0" y="0"/>
                      <a:ext cx="5048955" cy="3162741"/>
                    </a:xfrm>
                    <a:prstGeom prst="rect">
                      <a:avLst/>
                    </a:prstGeom>
                  </pic:spPr>
                </pic:pic>
              </a:graphicData>
            </a:graphic>
          </wp:inline>
        </w:drawing>
      </w:r>
    </w:p>
    <w:p w14:paraId="00E1A953" w14:textId="5A5BECD9" w:rsidR="00C433A6" w:rsidRDefault="00C433A6" w:rsidP="00C433A6">
      <w:pPr>
        <w:spacing w:line="360" w:lineRule="auto"/>
        <w:jc w:val="center"/>
        <w:rPr>
          <w:b/>
          <w:bCs/>
        </w:rPr>
      </w:pPr>
      <w:r>
        <w:rPr>
          <w:b/>
          <w:bCs/>
        </w:rPr>
        <w:t>F</w:t>
      </w:r>
      <w:r w:rsidRPr="000E200C">
        <w:rPr>
          <w:b/>
          <w:bCs/>
        </w:rPr>
        <w:t>igure 1: Inventories of Daniel Drake’s possessions in Little Waltham, 1805 and 1816</w:t>
      </w:r>
    </w:p>
    <w:p w14:paraId="1617170A" w14:textId="25B4082A" w:rsidR="00C433A6" w:rsidRDefault="00946749" w:rsidP="00C433A6">
      <w:pPr>
        <w:spacing w:line="360" w:lineRule="auto"/>
        <w:jc w:val="center"/>
        <w:rPr>
          <w:b/>
          <w:bCs/>
        </w:rPr>
      </w:pPr>
      <w:r w:rsidRPr="00946749">
        <w:rPr>
          <w:b/>
          <w:bCs/>
        </w:rPr>
        <w:drawing>
          <wp:inline distT="0" distB="0" distL="0" distR="0" wp14:anchorId="06A9F2CD" wp14:editId="43B40DEB">
            <wp:extent cx="5068007" cy="2838846"/>
            <wp:effectExtent l="0" t="0" r="0" b="0"/>
            <wp:docPr id="1" name="Picture 1" descr="Pauper inventory, 1808 &#10;Inventory Of Rhoda Cook’s Goods taken&#10;25th Feby .1808. –&#10;A sq r. Deal Table, a round Table &amp; three&#10;Chairs, a kneading-trough, Scales &amp; 1 p’r&#10;Weight, p r. Bellows, Trevett, Fender, poker,&#10;Tongs, Fry g .pan, Box Iron &amp; 2 Heaters, 1&#10;Iron Candle Stick &amp; 3 broken ones, –a&#10;Sping . Wheel, a pail &amp; Wash tub, a Safe &amp;&#10;small Tub, 2 Stools &amp; Clothe Basket, a Small&#10;Chest of Drawers, 2 Feather Beds –2 pr .&#10;Sheets, 2 p r. Blankets, &amp; 2 Coverlets –2&#10;Stump Bed-Steads, 5 Curtain rods &amp; 1&#10;Curtain a hand Basket &amp; an Oldpr. Racks –&#10;&#10;Workhouse admittance-related inventory,&#10;1809&#10;Acco t . of Rhoda Cooks Goods carried into&#10;the Workhouse Septr 30 th. 1809.&#10;Stump Bedstead, Feather Bed &amp; 2 pillows –&#10;2 Sheets, 1 Blanket &amp; a Coverlet, a Deal&#10;Safe, 2 Chairs &amp; a Linnen Basket, a Wash&#10;Tub and an Oak Bo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auper inventory, 1808 &#10;Inventory Of Rhoda Cook’s Goods taken&#10;25th Feby .1808. –&#10;A sq r. Deal Table, a round Table &amp; three&#10;Chairs, a kneading-trough, Scales &amp; 1 p’r&#10;Weight, p r. Bellows, Trevett, Fender, poker,&#10;Tongs, Fry g .pan, Box Iron &amp; 2 Heaters, 1&#10;Iron Candle Stick &amp; 3 broken ones, –a&#10;Sping . Wheel, a pail &amp; Wash tub, a Safe &amp;&#10;small Tub, 2 Stools &amp; Clothe Basket, a Small&#10;Chest of Drawers, 2 Feather Beds –2 pr .&#10;Sheets, 2 p r. Blankets, &amp; 2 Coverlets –2&#10;Stump Bed-Steads, 5 Curtain rods &amp; 1&#10;Curtain a hand Basket &amp; an Oldpr. Racks –&#10;&#10;Workhouse admittance-related inventory,&#10;1809&#10;Acco t . of Rhoda Cooks Goods carried into&#10;the Workhouse Septr 30 th. 1809.&#10;Stump Bedstead, Feather Bed &amp; 2 pillows –&#10;2 Sheets, 1 Blanket &amp; a Coverlet, a Deal&#10;Safe, 2 Chairs &amp; a Linnen Basket, a Wash&#10;Tub and an Oak Box –"/>
                    <pic:cNvPicPr/>
                  </pic:nvPicPr>
                  <pic:blipFill>
                    <a:blip r:embed="rId9"/>
                    <a:stretch>
                      <a:fillRect/>
                    </a:stretch>
                  </pic:blipFill>
                  <pic:spPr>
                    <a:xfrm>
                      <a:off x="0" y="0"/>
                      <a:ext cx="5068007" cy="2838846"/>
                    </a:xfrm>
                    <a:prstGeom prst="rect">
                      <a:avLst/>
                    </a:prstGeom>
                  </pic:spPr>
                </pic:pic>
              </a:graphicData>
            </a:graphic>
          </wp:inline>
        </w:drawing>
      </w:r>
    </w:p>
    <w:p w14:paraId="3D65BBB5" w14:textId="77777777" w:rsidR="00C433A6" w:rsidRDefault="00C433A6" w:rsidP="00C433A6">
      <w:pPr>
        <w:spacing w:line="360" w:lineRule="auto"/>
        <w:jc w:val="center"/>
      </w:pPr>
      <w:r w:rsidRPr="000E200C">
        <w:rPr>
          <w:b/>
          <w:bCs/>
        </w:rPr>
        <w:t xml:space="preserve">Figure </w:t>
      </w:r>
      <w:r>
        <w:rPr>
          <w:b/>
          <w:bCs/>
        </w:rPr>
        <w:t>2</w:t>
      </w:r>
      <w:r w:rsidRPr="000E200C">
        <w:rPr>
          <w:b/>
          <w:bCs/>
        </w:rPr>
        <w:t xml:space="preserve">: Inventories of </w:t>
      </w:r>
      <w:r>
        <w:rPr>
          <w:b/>
          <w:bCs/>
        </w:rPr>
        <w:t>Rhoda Cook’s</w:t>
      </w:r>
      <w:r w:rsidRPr="000E200C">
        <w:rPr>
          <w:b/>
          <w:bCs/>
        </w:rPr>
        <w:t xml:space="preserve"> possessions in </w:t>
      </w:r>
      <w:proofErr w:type="spellStart"/>
      <w:r w:rsidRPr="000E200C">
        <w:rPr>
          <w:b/>
          <w:bCs/>
        </w:rPr>
        <w:t>Tolleshunt</w:t>
      </w:r>
      <w:proofErr w:type="spellEnd"/>
      <w:r w:rsidRPr="000E200C">
        <w:t xml:space="preserve"> </w:t>
      </w:r>
      <w:proofErr w:type="spellStart"/>
      <w:r w:rsidRPr="000E200C">
        <w:rPr>
          <w:b/>
          <w:bCs/>
        </w:rPr>
        <w:t>D'arcy</w:t>
      </w:r>
      <w:proofErr w:type="spellEnd"/>
      <w:r w:rsidRPr="000E200C">
        <w:rPr>
          <w:b/>
          <w:bCs/>
        </w:rPr>
        <w:t xml:space="preserve">, </w:t>
      </w:r>
      <w:r>
        <w:rPr>
          <w:b/>
          <w:bCs/>
        </w:rPr>
        <w:t>1808 and 1809</w:t>
      </w:r>
    </w:p>
    <w:p w14:paraId="16B127D0" w14:textId="77777777" w:rsidR="00C433A6" w:rsidRDefault="00C433A6" w:rsidP="00C433A6">
      <w:pPr>
        <w:spacing w:line="360" w:lineRule="auto"/>
        <w:jc w:val="center"/>
        <w:rPr>
          <w:b/>
          <w:bCs/>
        </w:rPr>
      </w:pPr>
    </w:p>
    <w:p w14:paraId="74EC9E5E" w14:textId="4F0A0A91" w:rsidR="007458FF" w:rsidRDefault="007458FF" w:rsidP="001176C7">
      <w:pPr>
        <w:spacing w:line="360" w:lineRule="auto"/>
        <w:ind w:firstLine="720"/>
      </w:pPr>
      <w:r>
        <w:t>Ego documents clearly outline that during times of poverty the poor would often turn to selling their possessions to make ends meet. Pauper inventories occasionally record this process. The 1792 inventory of John Suckling’s belongings, for example, listed ‘A Clock pawned to Mr Clay’ for £2.</w:t>
      </w:r>
      <w:r>
        <w:rPr>
          <w:rStyle w:val="EndnoteReference"/>
        </w:rPr>
        <w:endnoteReference w:id="83"/>
      </w:r>
      <w:r>
        <w:t xml:space="preserve"> More speculatively, one can use multiple inventories for the same paupers to examine how the poor’s ownership of household goods changed over time. This approach is somewhat tentative, </w:t>
      </w:r>
      <w:r>
        <w:lastRenderedPageBreak/>
        <w:t>since one should never assume that inventories are complete. Yet, in nearly every example the material wealth of paupers appears to have declined over time, indicating that their power to consume goods declined when they were on poor relief and that they would sell and pawn their belongings to make thrift. Figures 1 and 2 record the possessions of two paupers who had their goods appraised in pauper inventories and workhouse admittance inventories (which record the possessions that the poor owned when they moved from outdoor to indoor relief).</w:t>
      </w:r>
      <w:r>
        <w:rPr>
          <w:rStyle w:val="EndnoteReference"/>
        </w:rPr>
        <w:endnoteReference w:id="84"/>
      </w:r>
      <w:r>
        <w:t xml:space="preserve"> The first inventory of c.58-year-old Daniel Drake’s possessions records 34 goods,</w:t>
      </w:r>
      <w:r>
        <w:rPr>
          <w:rStyle w:val="EndnoteReference"/>
        </w:rPr>
        <w:endnoteReference w:id="85"/>
      </w:r>
      <w:r>
        <w:t xml:space="preserve"> while the second inventory taken 11 years later only records 15 (figure 1). There is a similar decline in the number of items across the two inventories of spinster Rhoda Cook’s belongings, from around 52 in 1808 to 14 in 1809 (figure 2). Both inventories also record smaller varieties of possessions over time. The second inventory of Daniel Drake’s goods did not record candlesticks, various tools</w:t>
      </w:r>
      <w:r w:rsidR="00842F55">
        <w:t>,</w:t>
      </w:r>
      <w:r>
        <w:t xml:space="preserve"> and fire irons that are listed in the first source. Likewise, the latter inventory of Rhoda Cook’s possessions was missing a feather bed, chest of drawers, chair, stools, tables, linen, cooking vessels and fire irons. Both paupers had received money and relief in kind from their parishes for </w:t>
      </w:r>
      <w:proofErr w:type="gramStart"/>
      <w:r>
        <w:t>a number of</w:t>
      </w:r>
      <w:proofErr w:type="gramEnd"/>
      <w:r>
        <w:t xml:space="preserve"> years and ended up in the workhouse. Daniel Drake’s relief, for example, included £1 6s. towards his rent in October 1805 and Rhoda Cook received 1-2s. per week along with flour, coal, clothing</w:t>
      </w:r>
      <w:r w:rsidR="00842F55">
        <w:t>,</w:t>
      </w:r>
      <w:r>
        <w:t xml:space="preserve"> and shoes from the parish.</w:t>
      </w:r>
      <w:r>
        <w:rPr>
          <w:rStyle w:val="EndnoteReference"/>
        </w:rPr>
        <w:endnoteReference w:id="86"/>
      </w:r>
      <w:r>
        <w:t xml:space="preserve"> They were thus struggling like their counterparts in the pauper letters and probably used their household goods to their advantage to alleviate their problems.</w:t>
      </w:r>
    </w:p>
    <w:p w14:paraId="05A2C6E3" w14:textId="63AAE772" w:rsidR="007458FF" w:rsidRPr="00343B59" w:rsidRDefault="007458FF" w:rsidP="00D442C0">
      <w:pPr>
        <w:pStyle w:val="Heading1"/>
      </w:pPr>
      <w:r>
        <w:t xml:space="preserve">1.5 </w:t>
      </w:r>
      <w:r w:rsidRPr="00343B59">
        <w:t>Conclusion</w:t>
      </w:r>
    </w:p>
    <w:p w14:paraId="75A33EBE" w14:textId="09BE04D6" w:rsidR="00422D17" w:rsidRDefault="007458FF" w:rsidP="00A02E27">
      <w:pPr>
        <w:spacing w:line="360" w:lineRule="auto"/>
        <w:ind w:firstLine="720"/>
      </w:pPr>
      <w:r>
        <w:t>The literature on material culture and consumption in poor households has been relatively positive in recent years, emphasising how the poor acquired new foods, clothing</w:t>
      </w:r>
      <w:r w:rsidR="00842F55">
        <w:t>,</w:t>
      </w:r>
      <w:r>
        <w:t xml:space="preserve"> and household goods from the early modern period.</w:t>
      </w:r>
      <w:r>
        <w:rPr>
          <w:rStyle w:val="EndnoteReference"/>
        </w:rPr>
        <w:endnoteReference w:id="87"/>
      </w:r>
      <w:r>
        <w:t xml:space="preserve"> </w:t>
      </w:r>
      <w:r w:rsidR="009E72B7">
        <w:t xml:space="preserve">Pauper inventories record the possessions of people who were reliant on parish funds and had gone through </w:t>
      </w:r>
      <w:r w:rsidR="00F5625B">
        <w:t>episodes</w:t>
      </w:r>
      <w:r w:rsidR="009E72B7">
        <w:t xml:space="preserve"> of selling their goods when crisis struck. The fact that these sources </w:t>
      </w:r>
      <w:r w:rsidR="00771AF9">
        <w:t>generally</w:t>
      </w:r>
      <w:r w:rsidR="009E72B7">
        <w:t xml:space="preserve"> record a </w:t>
      </w:r>
      <w:r w:rsidR="009C56A5">
        <w:t>variety</w:t>
      </w:r>
      <w:r w:rsidR="009E72B7">
        <w:t xml:space="preserve"> of possessions strongly suggests that there were significant material advances for the poor</w:t>
      </w:r>
      <w:r w:rsidR="00771AF9">
        <w:t>,</w:t>
      </w:r>
      <w:r w:rsidR="009E72B7">
        <w:t xml:space="preserve"> and that </w:t>
      </w:r>
      <w:r w:rsidR="00A67663">
        <w:t>some</w:t>
      </w:r>
      <w:r w:rsidR="009E72B7">
        <w:t xml:space="preserve"> could amass a </w:t>
      </w:r>
      <w:r w:rsidR="00CF5AD7">
        <w:t>considerable</w:t>
      </w:r>
      <w:r w:rsidR="009E72B7">
        <w:t xml:space="preserve"> range of possessions. </w:t>
      </w:r>
      <w:r w:rsidR="005C092B">
        <w:t xml:space="preserve">It is, however, important to </w:t>
      </w:r>
      <w:r w:rsidR="009E72B7">
        <w:t xml:space="preserve">not present too Whiggish an </w:t>
      </w:r>
      <w:r w:rsidR="005C092B">
        <w:t>interpretation of change</w:t>
      </w:r>
      <w:r w:rsidR="00771AF9">
        <w:t xml:space="preserve"> and remember that </w:t>
      </w:r>
      <w:r w:rsidR="005C092B">
        <w:t xml:space="preserve">gains </w:t>
      </w:r>
      <w:r w:rsidR="00771AF9">
        <w:t>could be very precarious</w:t>
      </w:r>
      <w:r w:rsidR="005C092B">
        <w:t xml:space="preserve">. </w:t>
      </w:r>
      <w:r w:rsidR="00F938BB">
        <w:t>W</w:t>
      </w:r>
      <w:r w:rsidR="005C092B">
        <w:t>hen sickness, death</w:t>
      </w:r>
      <w:r w:rsidR="00EF7410">
        <w:t>,</w:t>
      </w:r>
      <w:r w:rsidR="005C092B">
        <w:t xml:space="preserve"> or other challenges of the life course struck </w:t>
      </w:r>
      <w:r w:rsidR="00781DD6">
        <w:t>first-hand accounts</w:t>
      </w:r>
      <w:r w:rsidR="005C092B">
        <w:t xml:space="preserve"> almost ubiquitously record how people struggled to pay rent and feed and clothe themselves. Household goods were often sold or pawned </w:t>
      </w:r>
      <w:r w:rsidR="009E72B7">
        <w:t xml:space="preserve">at this point </w:t>
      </w:r>
      <w:r w:rsidR="005C092B">
        <w:t xml:space="preserve">to </w:t>
      </w:r>
      <w:r w:rsidR="006A197A">
        <w:t xml:space="preserve">pay bills and </w:t>
      </w:r>
      <w:r w:rsidR="005C092B">
        <w:t xml:space="preserve">acquire </w:t>
      </w:r>
      <w:r w:rsidR="00781DD6">
        <w:t>necessities</w:t>
      </w:r>
      <w:r w:rsidR="006A197A">
        <w:t xml:space="preserve"> such as food and medicine.</w:t>
      </w:r>
      <w:r w:rsidR="00251482">
        <w:t xml:space="preserve"> </w:t>
      </w:r>
    </w:p>
    <w:p w14:paraId="6921D515" w14:textId="43561898" w:rsidR="00FD638C" w:rsidRDefault="0065610D" w:rsidP="00FD638C">
      <w:pPr>
        <w:spacing w:line="360" w:lineRule="auto"/>
        <w:ind w:firstLine="720"/>
      </w:pPr>
      <w:r>
        <w:t xml:space="preserve">This chapter offers an important intervention by showing </w:t>
      </w:r>
      <w:r w:rsidR="00F938BB">
        <w:t>how people could go through</w:t>
      </w:r>
      <w:r w:rsidR="009C56A5">
        <w:t xml:space="preserve"> several</w:t>
      </w:r>
      <w:r w:rsidR="00F938BB">
        <w:t xml:space="preserve"> cycles of being materially rich and materially poor over </w:t>
      </w:r>
      <w:r w:rsidR="00CD0E6F">
        <w:t>their</w:t>
      </w:r>
      <w:r w:rsidR="00F938BB">
        <w:t xml:space="preserve"> lifetime</w:t>
      </w:r>
      <w:r w:rsidR="00CD0E6F">
        <w:t>s.</w:t>
      </w:r>
      <w:r w:rsidR="00A02E27">
        <w:t xml:space="preserve"> It shows that the poor were not passive victims of their </w:t>
      </w:r>
      <w:proofErr w:type="gramStart"/>
      <w:r w:rsidR="00A02E27">
        <w:t>circumstances, but</w:t>
      </w:r>
      <w:proofErr w:type="gramEnd"/>
      <w:r w:rsidR="00A02E27">
        <w:t xml:space="preserve"> would take active steps to address their </w:t>
      </w:r>
      <w:r w:rsidR="00A02E27">
        <w:lastRenderedPageBreak/>
        <w:t xml:space="preserve">problems and keep their heads above water. </w:t>
      </w:r>
      <w:r w:rsidR="00422D17" w:rsidRPr="00422D17">
        <w:t xml:space="preserve">People still had agency and used their items, or even </w:t>
      </w:r>
      <w:r w:rsidR="00420C4B">
        <w:t xml:space="preserve">their </w:t>
      </w:r>
      <w:r w:rsidR="00422D17" w:rsidRPr="00422D17">
        <w:t>lack of belongings, to their advantage. Many paupers pointed out how destitute they were of food, clothing</w:t>
      </w:r>
      <w:r w:rsidR="00842F55">
        <w:t>,</w:t>
      </w:r>
      <w:r w:rsidR="00422D17" w:rsidRPr="00422D17">
        <w:t xml:space="preserve"> and household goods to get help from parochial authorities, while others would choose which items they wanted to sell or pawn to make ends meet. Thus, even in the bleakest </w:t>
      </w:r>
      <w:proofErr w:type="gramStart"/>
      <w:r w:rsidR="00422D17" w:rsidRPr="00422D17">
        <w:t>households</w:t>
      </w:r>
      <w:proofErr w:type="gramEnd"/>
      <w:r w:rsidR="00422D17" w:rsidRPr="00422D17">
        <w:t xml:space="preserve"> people could make some decisions over their own fates and would use whatever means they could to avert disaster.</w:t>
      </w:r>
    </w:p>
    <w:p w14:paraId="58FA608D" w14:textId="77777777" w:rsidR="00FD638C" w:rsidRDefault="00FD638C" w:rsidP="00FD638C">
      <w:pPr>
        <w:spacing w:line="360" w:lineRule="auto"/>
        <w:ind w:firstLine="720"/>
      </w:pPr>
    </w:p>
    <w:sectPr w:rsidR="00FD638C">
      <w:footerReference w:type="default" r:id="rId10"/>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B15E9" w14:textId="77777777" w:rsidR="00A233B4" w:rsidRDefault="00A233B4" w:rsidP="00CF4580">
      <w:pPr>
        <w:spacing w:after="0" w:line="240" w:lineRule="auto"/>
      </w:pPr>
      <w:r>
        <w:separator/>
      </w:r>
    </w:p>
  </w:endnote>
  <w:endnote w:type="continuationSeparator" w:id="0">
    <w:p w14:paraId="24D76BC0" w14:textId="77777777" w:rsidR="00A233B4" w:rsidRDefault="00A233B4" w:rsidP="00CF4580">
      <w:pPr>
        <w:spacing w:after="0" w:line="240" w:lineRule="auto"/>
      </w:pPr>
      <w:r>
        <w:continuationSeparator/>
      </w:r>
    </w:p>
  </w:endnote>
  <w:endnote w:id="1">
    <w:p w14:paraId="626C9A7B" w14:textId="6BE33A86" w:rsidR="003D25A1" w:rsidRPr="00133CFF" w:rsidRDefault="003D25A1" w:rsidP="001F6E21">
      <w:pPr>
        <w:pStyle w:val="EndnoteText"/>
        <w:rPr>
          <w:rFonts w:cstheme="minorHAnsi"/>
          <w:b/>
          <w:bCs/>
        </w:rPr>
      </w:pPr>
      <w:r w:rsidRPr="00133CFF">
        <w:rPr>
          <w:rFonts w:cstheme="minorHAnsi"/>
          <w:b/>
          <w:bCs/>
        </w:rPr>
        <w:t>Notes</w:t>
      </w:r>
    </w:p>
    <w:p w14:paraId="07490FBC" w14:textId="77777777" w:rsidR="003D25A1" w:rsidRDefault="003D25A1" w:rsidP="001F6E21">
      <w:pPr>
        <w:pStyle w:val="EndnoteText"/>
        <w:rPr>
          <w:rFonts w:cstheme="minorHAnsi"/>
        </w:rPr>
      </w:pPr>
    </w:p>
    <w:p w14:paraId="4662ED83" w14:textId="799BC2C1" w:rsidR="00C433A6" w:rsidRDefault="00C433A6" w:rsidP="001F6E21">
      <w:pPr>
        <w:pStyle w:val="EndnoteText"/>
        <w:rPr>
          <w:rFonts w:cstheme="minorHAnsi"/>
        </w:rPr>
      </w:pPr>
      <w:r>
        <w:rPr>
          <w:rFonts w:cstheme="minorHAnsi"/>
        </w:rPr>
        <w:t xml:space="preserve">An earlier version of this paper was given to the </w:t>
      </w:r>
      <w:r w:rsidRPr="00C433A6">
        <w:rPr>
          <w:rFonts w:cstheme="minorHAnsi"/>
        </w:rPr>
        <w:t>Economic and Social History of the Early Modern World Seminar</w:t>
      </w:r>
      <w:r>
        <w:rPr>
          <w:rFonts w:cstheme="minorHAnsi"/>
        </w:rPr>
        <w:t xml:space="preserve"> at the IHR in</w:t>
      </w:r>
      <w:r w:rsidRPr="00C433A6">
        <w:rPr>
          <w:rFonts w:cstheme="minorHAnsi"/>
        </w:rPr>
        <w:t xml:space="preserve"> London.</w:t>
      </w:r>
      <w:r>
        <w:rPr>
          <w:rFonts w:cstheme="minorHAnsi"/>
        </w:rPr>
        <w:t xml:space="preserve"> I would like to thank the audience who asked some prying and interesting questions which helped to greatly improve the piece. Likewise, I appreciate the inputs of my colleagues who have been very generous with their time, including Paul Elliott, Freya Gowrley, Vicky Holmes, Erin Lafford</w:t>
      </w:r>
      <w:r w:rsidR="00842F55">
        <w:rPr>
          <w:rFonts w:cstheme="minorHAnsi"/>
        </w:rPr>
        <w:t>,</w:t>
      </w:r>
      <w:r>
        <w:rPr>
          <w:rFonts w:cstheme="minorHAnsi"/>
        </w:rPr>
        <w:t xml:space="preserve"> and Paul Whickman.</w:t>
      </w:r>
    </w:p>
    <w:p w14:paraId="2C9F0046" w14:textId="6ADA3DF1" w:rsidR="007458FF" w:rsidRDefault="007458FF" w:rsidP="001F6E21">
      <w:pPr>
        <w:pStyle w:val="EndnoteText"/>
        <w:rPr>
          <w:rFonts w:cstheme="minorHAnsi"/>
        </w:rPr>
      </w:pPr>
    </w:p>
    <w:p w14:paraId="0665300F" w14:textId="678B6ABC" w:rsidR="007458FF" w:rsidRPr="00FC509C" w:rsidRDefault="007458FF" w:rsidP="001F6E21">
      <w:pPr>
        <w:pStyle w:val="EndnoteText"/>
        <w:rPr>
          <w:rFonts w:cstheme="minorHAnsi"/>
        </w:rPr>
      </w:pPr>
      <w:r w:rsidRPr="004C0EC9">
        <w:rPr>
          <w:rStyle w:val="EndnoteReference"/>
          <w:rFonts w:cstheme="minorHAnsi"/>
        </w:rPr>
        <w:endnoteRef/>
      </w:r>
      <w:r w:rsidRPr="004C0EC9">
        <w:rPr>
          <w:rFonts w:cstheme="minorHAnsi"/>
        </w:rPr>
        <w:t xml:space="preserve"> B.S</w:t>
      </w:r>
      <w:r>
        <w:rPr>
          <w:rFonts w:cstheme="minorHAnsi"/>
        </w:rPr>
        <w:t>.</w:t>
      </w:r>
      <w:r w:rsidRPr="004C0EC9">
        <w:rPr>
          <w:rFonts w:cstheme="minorHAnsi"/>
        </w:rPr>
        <w:t xml:space="preserve"> Rowntree, </w:t>
      </w:r>
      <w:r w:rsidRPr="004C0EC9">
        <w:rPr>
          <w:rFonts w:cstheme="minorHAnsi"/>
          <w:i/>
          <w:iCs/>
        </w:rPr>
        <w:t xml:space="preserve">Poverty: A </w:t>
      </w:r>
      <w:r w:rsidRPr="00FC509C">
        <w:rPr>
          <w:rFonts w:cstheme="minorHAnsi"/>
          <w:i/>
          <w:iCs/>
        </w:rPr>
        <w:t>study of town life</w:t>
      </w:r>
      <w:r w:rsidRPr="00FC509C">
        <w:rPr>
          <w:rFonts w:cstheme="minorHAnsi"/>
        </w:rPr>
        <w:t>, 3rd edn. (London: Macmillan and Co., 1902).</w:t>
      </w:r>
    </w:p>
  </w:endnote>
  <w:endnote w:id="2">
    <w:p w14:paraId="07F096CB" w14:textId="0D19F63C" w:rsidR="007458FF" w:rsidRPr="004C0EC9" w:rsidRDefault="007458FF">
      <w:pPr>
        <w:pStyle w:val="EndnoteText"/>
        <w:rPr>
          <w:rFonts w:cstheme="minorHAnsi"/>
        </w:rPr>
      </w:pPr>
      <w:r w:rsidRPr="00FC509C">
        <w:rPr>
          <w:rStyle w:val="EndnoteReference"/>
          <w:rFonts w:cstheme="minorHAnsi"/>
        </w:rPr>
        <w:endnoteRef/>
      </w:r>
      <w:r w:rsidRPr="00FC509C">
        <w:rPr>
          <w:rFonts w:cstheme="minorHAnsi"/>
        </w:rPr>
        <w:t xml:space="preserve"> For example, B</w:t>
      </w:r>
      <w:r w:rsidR="00133CFF">
        <w:rPr>
          <w:rFonts w:cstheme="minorHAnsi"/>
        </w:rPr>
        <w:t>.</w:t>
      </w:r>
      <w:r w:rsidRPr="00FC509C">
        <w:rPr>
          <w:rFonts w:cstheme="minorHAnsi"/>
        </w:rPr>
        <w:t xml:space="preserve"> Reay, </w:t>
      </w:r>
      <w:r w:rsidRPr="00FC509C">
        <w:rPr>
          <w:rFonts w:cstheme="minorHAnsi"/>
          <w:i/>
          <w:iCs/>
        </w:rPr>
        <w:t xml:space="preserve">Rural Englands: Labouring </w:t>
      </w:r>
      <w:r w:rsidR="00133CFF">
        <w:rPr>
          <w:rFonts w:cstheme="minorHAnsi"/>
          <w:i/>
          <w:iCs/>
        </w:rPr>
        <w:t>L</w:t>
      </w:r>
      <w:r w:rsidRPr="00FC509C">
        <w:rPr>
          <w:rFonts w:cstheme="minorHAnsi"/>
          <w:i/>
          <w:iCs/>
        </w:rPr>
        <w:t xml:space="preserve">ives in the </w:t>
      </w:r>
      <w:r w:rsidR="00133CFF">
        <w:rPr>
          <w:rFonts w:cstheme="minorHAnsi"/>
          <w:i/>
          <w:iCs/>
        </w:rPr>
        <w:t>N</w:t>
      </w:r>
      <w:r w:rsidRPr="00FC509C">
        <w:rPr>
          <w:rFonts w:cstheme="minorHAnsi"/>
          <w:i/>
          <w:iCs/>
        </w:rPr>
        <w:t xml:space="preserve">ineteenth </w:t>
      </w:r>
      <w:r w:rsidR="00133CFF">
        <w:rPr>
          <w:rFonts w:cstheme="minorHAnsi"/>
          <w:i/>
          <w:iCs/>
        </w:rPr>
        <w:t>C</w:t>
      </w:r>
      <w:r w:rsidRPr="00FC509C">
        <w:rPr>
          <w:rFonts w:cstheme="minorHAnsi"/>
          <w:i/>
          <w:iCs/>
        </w:rPr>
        <w:t>entury</w:t>
      </w:r>
      <w:r w:rsidRPr="00FC509C">
        <w:rPr>
          <w:rFonts w:cstheme="minorHAnsi"/>
        </w:rPr>
        <w:t xml:space="preserve"> (Basingstoke: Palgrave </w:t>
      </w:r>
      <w:r w:rsidRPr="004C0EC9">
        <w:rPr>
          <w:rFonts w:cstheme="minorHAnsi"/>
        </w:rPr>
        <w:t xml:space="preserve">Macmillan, </w:t>
      </w:r>
      <w:r w:rsidRPr="00E55486">
        <w:rPr>
          <w:rFonts w:cstheme="minorHAnsi"/>
        </w:rPr>
        <w:t xml:space="preserve">2004), </w:t>
      </w:r>
      <w:r w:rsidR="00133CFF">
        <w:rPr>
          <w:rFonts w:cstheme="minorHAnsi"/>
        </w:rPr>
        <w:t xml:space="preserve">pp. </w:t>
      </w:r>
      <w:r w:rsidRPr="00E55486">
        <w:rPr>
          <w:rFonts w:cstheme="minorHAnsi"/>
        </w:rPr>
        <w:t xml:space="preserve">81-82; </w:t>
      </w:r>
      <w:r w:rsidRPr="004C0EC9">
        <w:rPr>
          <w:rFonts w:cstheme="minorHAnsi"/>
        </w:rPr>
        <w:t>S</w:t>
      </w:r>
      <w:r w:rsidR="00133CFF">
        <w:rPr>
          <w:rFonts w:cstheme="minorHAnsi"/>
        </w:rPr>
        <w:t>.</w:t>
      </w:r>
      <w:r w:rsidRPr="004C0EC9">
        <w:rPr>
          <w:rFonts w:cstheme="minorHAnsi"/>
        </w:rPr>
        <w:t xml:space="preserve"> Shave, ‘The </w:t>
      </w:r>
      <w:r w:rsidR="00133CFF">
        <w:rPr>
          <w:rFonts w:cstheme="minorHAnsi"/>
        </w:rPr>
        <w:t>De</w:t>
      </w:r>
      <w:r w:rsidRPr="004C0EC9">
        <w:rPr>
          <w:rFonts w:cstheme="minorHAnsi"/>
        </w:rPr>
        <w:t xml:space="preserve">pendent </w:t>
      </w:r>
      <w:r w:rsidR="00133CFF">
        <w:rPr>
          <w:rFonts w:cstheme="minorHAnsi"/>
        </w:rPr>
        <w:t>P</w:t>
      </w:r>
      <w:r w:rsidRPr="004C0EC9">
        <w:rPr>
          <w:rFonts w:cstheme="minorHAnsi"/>
        </w:rPr>
        <w:t xml:space="preserve">oor? (Re)constructing the </w:t>
      </w:r>
      <w:r w:rsidR="00133CFF">
        <w:rPr>
          <w:rFonts w:cstheme="minorHAnsi"/>
        </w:rPr>
        <w:t>L</w:t>
      </w:r>
      <w:r w:rsidRPr="004C0EC9">
        <w:rPr>
          <w:rFonts w:cstheme="minorHAnsi"/>
        </w:rPr>
        <w:t xml:space="preserve">ives of </w:t>
      </w:r>
      <w:r w:rsidR="00133CFF">
        <w:rPr>
          <w:rFonts w:cstheme="minorHAnsi"/>
        </w:rPr>
        <w:t>I</w:t>
      </w:r>
      <w:r w:rsidRPr="004C0EC9">
        <w:rPr>
          <w:rFonts w:cstheme="minorHAnsi"/>
        </w:rPr>
        <w:t xml:space="preserve">ndividuals “on the parish” in </w:t>
      </w:r>
      <w:r w:rsidR="00133CFF">
        <w:rPr>
          <w:rFonts w:cstheme="minorHAnsi"/>
        </w:rPr>
        <w:t>R</w:t>
      </w:r>
      <w:r w:rsidRPr="004C0EC9">
        <w:rPr>
          <w:rFonts w:cstheme="minorHAnsi"/>
        </w:rPr>
        <w:t xml:space="preserve">ural Dorset, 1800-1832’, </w:t>
      </w:r>
      <w:r w:rsidRPr="004C0EC9">
        <w:rPr>
          <w:rFonts w:cstheme="minorHAnsi"/>
          <w:i/>
          <w:iCs/>
        </w:rPr>
        <w:t>Rural History</w:t>
      </w:r>
      <w:r w:rsidRPr="004C0EC9">
        <w:rPr>
          <w:rFonts w:cstheme="minorHAnsi"/>
        </w:rPr>
        <w:t>, 20</w:t>
      </w:r>
      <w:r w:rsidR="003D25A1">
        <w:rPr>
          <w:rFonts w:cstheme="minorHAnsi"/>
        </w:rPr>
        <w:t xml:space="preserve"> </w:t>
      </w:r>
      <w:r w:rsidRPr="004C0EC9">
        <w:rPr>
          <w:rFonts w:cstheme="minorHAnsi"/>
        </w:rPr>
        <w:t xml:space="preserve">(2009), </w:t>
      </w:r>
      <w:r w:rsidR="003D25A1">
        <w:rPr>
          <w:rFonts w:cstheme="minorHAnsi"/>
        </w:rPr>
        <w:t xml:space="preserve">pp. </w:t>
      </w:r>
      <w:r w:rsidRPr="004C0EC9">
        <w:rPr>
          <w:rFonts w:cstheme="minorHAnsi"/>
        </w:rPr>
        <w:t>67-97.</w:t>
      </w:r>
    </w:p>
  </w:endnote>
  <w:endnote w:id="3">
    <w:p w14:paraId="763B2C1B" w14:textId="2FFEC21F" w:rsidR="007458FF" w:rsidRPr="00AC51A9" w:rsidRDefault="007458FF" w:rsidP="00CD505D">
      <w:pPr>
        <w:autoSpaceDE w:val="0"/>
        <w:autoSpaceDN w:val="0"/>
        <w:adjustRightInd w:val="0"/>
        <w:spacing w:after="0" w:line="240" w:lineRule="auto"/>
        <w:rPr>
          <w:rFonts w:cstheme="minorHAnsi"/>
          <w:sz w:val="20"/>
          <w:szCs w:val="20"/>
        </w:rPr>
      </w:pPr>
      <w:r w:rsidRPr="004C0EC9">
        <w:rPr>
          <w:rStyle w:val="EndnoteReference"/>
          <w:rFonts w:cstheme="minorHAnsi"/>
          <w:sz w:val="20"/>
          <w:szCs w:val="20"/>
        </w:rPr>
        <w:endnoteRef/>
      </w:r>
      <w:r w:rsidRPr="004C0EC9">
        <w:rPr>
          <w:rFonts w:cstheme="minorHAnsi"/>
          <w:sz w:val="20"/>
          <w:szCs w:val="20"/>
        </w:rPr>
        <w:t xml:space="preserve"> Such as: T</w:t>
      </w:r>
      <w:r w:rsidR="00133CFF">
        <w:rPr>
          <w:rFonts w:cstheme="minorHAnsi"/>
          <w:sz w:val="20"/>
          <w:szCs w:val="20"/>
        </w:rPr>
        <w:t xml:space="preserve">. </w:t>
      </w:r>
      <w:r w:rsidRPr="004C0EC9">
        <w:rPr>
          <w:rFonts w:cstheme="minorHAnsi"/>
          <w:sz w:val="20"/>
          <w:szCs w:val="20"/>
        </w:rPr>
        <w:t xml:space="preserve">Wales, ‘Poverty, </w:t>
      </w:r>
      <w:r w:rsidR="00133CFF">
        <w:rPr>
          <w:rFonts w:cstheme="minorHAnsi"/>
          <w:sz w:val="20"/>
          <w:szCs w:val="20"/>
        </w:rPr>
        <w:t>P</w:t>
      </w:r>
      <w:r w:rsidRPr="004C0EC9">
        <w:rPr>
          <w:rFonts w:cstheme="minorHAnsi"/>
          <w:sz w:val="20"/>
          <w:szCs w:val="20"/>
        </w:rPr>
        <w:t xml:space="preserve">oor </w:t>
      </w:r>
      <w:r w:rsidR="00133CFF">
        <w:rPr>
          <w:rFonts w:cstheme="minorHAnsi"/>
          <w:sz w:val="20"/>
          <w:szCs w:val="20"/>
        </w:rPr>
        <w:t>R</w:t>
      </w:r>
      <w:r w:rsidRPr="004C0EC9">
        <w:rPr>
          <w:rFonts w:cstheme="minorHAnsi"/>
          <w:sz w:val="20"/>
          <w:szCs w:val="20"/>
        </w:rPr>
        <w:t xml:space="preserve">elief and </w:t>
      </w:r>
      <w:r w:rsidR="00133CFF">
        <w:rPr>
          <w:rFonts w:cstheme="minorHAnsi"/>
          <w:sz w:val="20"/>
          <w:szCs w:val="20"/>
        </w:rPr>
        <w:t>L</w:t>
      </w:r>
      <w:r w:rsidRPr="004C0EC9">
        <w:rPr>
          <w:rFonts w:cstheme="minorHAnsi"/>
          <w:sz w:val="20"/>
          <w:szCs w:val="20"/>
        </w:rPr>
        <w:t xml:space="preserve">ife-cycle: Some </w:t>
      </w:r>
      <w:r w:rsidR="00133CFF">
        <w:rPr>
          <w:rFonts w:cstheme="minorHAnsi"/>
          <w:sz w:val="20"/>
          <w:szCs w:val="20"/>
        </w:rPr>
        <w:t>E</w:t>
      </w:r>
      <w:r w:rsidRPr="004C0EC9">
        <w:rPr>
          <w:rFonts w:cstheme="minorHAnsi"/>
          <w:sz w:val="20"/>
          <w:szCs w:val="20"/>
        </w:rPr>
        <w:t xml:space="preserve">vidence from </w:t>
      </w:r>
      <w:r w:rsidR="00133CFF">
        <w:rPr>
          <w:rFonts w:cstheme="minorHAnsi"/>
          <w:sz w:val="20"/>
          <w:szCs w:val="20"/>
        </w:rPr>
        <w:t>S</w:t>
      </w:r>
      <w:r w:rsidRPr="004C0EC9">
        <w:rPr>
          <w:rFonts w:cstheme="minorHAnsi"/>
          <w:sz w:val="20"/>
          <w:szCs w:val="20"/>
        </w:rPr>
        <w:t xml:space="preserve">eventeenth </w:t>
      </w:r>
      <w:r w:rsidR="00133CFF">
        <w:rPr>
          <w:rFonts w:cstheme="minorHAnsi"/>
          <w:sz w:val="20"/>
          <w:szCs w:val="20"/>
        </w:rPr>
        <w:t>C</w:t>
      </w:r>
      <w:r w:rsidRPr="004C0EC9">
        <w:rPr>
          <w:rFonts w:cstheme="minorHAnsi"/>
          <w:sz w:val="20"/>
          <w:szCs w:val="20"/>
        </w:rPr>
        <w:t>entury Norfolk’</w:t>
      </w:r>
      <w:r>
        <w:rPr>
          <w:rFonts w:cstheme="minorHAnsi"/>
          <w:sz w:val="20"/>
          <w:szCs w:val="20"/>
        </w:rPr>
        <w:t>,</w:t>
      </w:r>
      <w:r w:rsidRPr="004C0EC9">
        <w:rPr>
          <w:rFonts w:cstheme="minorHAnsi"/>
          <w:sz w:val="20"/>
          <w:szCs w:val="20"/>
        </w:rPr>
        <w:t xml:space="preserve"> in R</w:t>
      </w:r>
      <w:r w:rsidR="00133CFF">
        <w:rPr>
          <w:rFonts w:cstheme="minorHAnsi"/>
          <w:sz w:val="20"/>
          <w:szCs w:val="20"/>
        </w:rPr>
        <w:t>.</w:t>
      </w:r>
      <w:r w:rsidRPr="004C0EC9">
        <w:rPr>
          <w:rFonts w:cstheme="minorHAnsi"/>
          <w:sz w:val="20"/>
          <w:szCs w:val="20"/>
        </w:rPr>
        <w:t>M. Smith</w:t>
      </w:r>
      <w:r w:rsidR="003D25A1">
        <w:rPr>
          <w:rFonts w:cstheme="minorHAnsi"/>
          <w:sz w:val="20"/>
          <w:szCs w:val="20"/>
        </w:rPr>
        <w:t xml:space="preserve"> (e</w:t>
      </w:r>
      <w:r w:rsidR="00133CFF">
        <w:rPr>
          <w:rFonts w:cstheme="minorHAnsi"/>
          <w:sz w:val="20"/>
          <w:szCs w:val="20"/>
        </w:rPr>
        <w:t>d</w:t>
      </w:r>
      <w:r w:rsidR="003D25A1">
        <w:rPr>
          <w:rFonts w:cstheme="minorHAnsi"/>
          <w:sz w:val="20"/>
          <w:szCs w:val="20"/>
        </w:rPr>
        <w:t>)</w:t>
      </w:r>
      <w:r w:rsidRPr="004C0EC9">
        <w:rPr>
          <w:rFonts w:cstheme="minorHAnsi"/>
          <w:sz w:val="20"/>
          <w:szCs w:val="20"/>
        </w:rPr>
        <w:t xml:space="preserve">, </w:t>
      </w:r>
      <w:r w:rsidRPr="004C0EC9">
        <w:rPr>
          <w:rFonts w:cstheme="minorHAnsi"/>
          <w:i/>
          <w:iCs/>
          <w:sz w:val="20"/>
          <w:szCs w:val="20"/>
        </w:rPr>
        <w:t>Land, Kinship and Life</w:t>
      </w:r>
      <w:r w:rsidRPr="004C0EC9">
        <w:rPr>
          <w:rFonts w:cstheme="minorHAnsi"/>
          <w:sz w:val="20"/>
          <w:szCs w:val="20"/>
        </w:rPr>
        <w:t>-</w:t>
      </w:r>
      <w:r w:rsidRPr="004C0EC9">
        <w:rPr>
          <w:rFonts w:cstheme="minorHAnsi"/>
          <w:i/>
          <w:iCs/>
          <w:sz w:val="20"/>
          <w:szCs w:val="20"/>
        </w:rPr>
        <w:t xml:space="preserve">cycle </w:t>
      </w:r>
      <w:r w:rsidRPr="004C0EC9">
        <w:rPr>
          <w:rFonts w:cstheme="minorHAnsi"/>
          <w:sz w:val="20"/>
          <w:szCs w:val="20"/>
        </w:rPr>
        <w:t xml:space="preserve">(Cambridge: Cambridge University Press, 1984), </w:t>
      </w:r>
      <w:r w:rsidR="003D25A1">
        <w:rPr>
          <w:rFonts w:cstheme="minorHAnsi"/>
          <w:sz w:val="20"/>
          <w:szCs w:val="20"/>
        </w:rPr>
        <w:t xml:space="preserve">pp, </w:t>
      </w:r>
      <w:r w:rsidRPr="004C0EC9">
        <w:rPr>
          <w:rFonts w:cstheme="minorHAnsi"/>
          <w:sz w:val="20"/>
          <w:szCs w:val="20"/>
        </w:rPr>
        <w:t>351-404; S</w:t>
      </w:r>
      <w:r w:rsidR="00133CFF">
        <w:rPr>
          <w:rFonts w:cstheme="minorHAnsi"/>
          <w:sz w:val="20"/>
          <w:szCs w:val="20"/>
        </w:rPr>
        <w:t xml:space="preserve">. </w:t>
      </w:r>
      <w:r w:rsidRPr="004C0EC9">
        <w:rPr>
          <w:rFonts w:cstheme="minorHAnsi"/>
          <w:sz w:val="20"/>
          <w:szCs w:val="20"/>
        </w:rPr>
        <w:t xml:space="preserve">Williams, </w:t>
      </w:r>
      <w:r w:rsidRPr="004C0EC9">
        <w:rPr>
          <w:rFonts w:cstheme="minorHAnsi"/>
          <w:i/>
          <w:iCs/>
          <w:sz w:val="20"/>
          <w:szCs w:val="20"/>
        </w:rPr>
        <w:t>Poverty, Gender and Life</w:t>
      </w:r>
      <w:r w:rsidRPr="00AC51A9">
        <w:rPr>
          <w:rFonts w:cstheme="minorHAnsi"/>
          <w:sz w:val="20"/>
          <w:szCs w:val="20"/>
        </w:rPr>
        <w:t>-</w:t>
      </w:r>
      <w:r w:rsidRPr="00AC51A9">
        <w:rPr>
          <w:rFonts w:cstheme="minorHAnsi"/>
          <w:i/>
          <w:iCs/>
          <w:sz w:val="20"/>
          <w:szCs w:val="20"/>
        </w:rPr>
        <w:t>cycle under the English Poor Law 1760</w:t>
      </w:r>
      <w:r w:rsidRPr="00AC51A9">
        <w:rPr>
          <w:rFonts w:cstheme="minorHAnsi"/>
          <w:sz w:val="20"/>
          <w:szCs w:val="20"/>
        </w:rPr>
        <w:t>-</w:t>
      </w:r>
      <w:r w:rsidRPr="00AC51A9">
        <w:rPr>
          <w:rFonts w:cstheme="minorHAnsi"/>
          <w:i/>
          <w:iCs/>
          <w:sz w:val="20"/>
          <w:szCs w:val="20"/>
        </w:rPr>
        <w:t xml:space="preserve">1834 </w:t>
      </w:r>
      <w:r w:rsidRPr="00AC51A9">
        <w:rPr>
          <w:rFonts w:cstheme="minorHAnsi"/>
          <w:sz w:val="20"/>
          <w:szCs w:val="20"/>
        </w:rPr>
        <w:t xml:space="preserve">(Woodbridge: Boydell and Brewer, 2011), </w:t>
      </w:r>
      <w:r w:rsidR="003D25A1">
        <w:rPr>
          <w:rFonts w:cstheme="minorHAnsi"/>
          <w:sz w:val="20"/>
          <w:szCs w:val="20"/>
        </w:rPr>
        <w:t xml:space="preserve">pp. </w:t>
      </w:r>
      <w:r w:rsidRPr="00AC51A9">
        <w:rPr>
          <w:rFonts w:cstheme="minorHAnsi"/>
          <w:sz w:val="20"/>
          <w:szCs w:val="20"/>
        </w:rPr>
        <w:t>101-130</w:t>
      </w:r>
      <w:r>
        <w:rPr>
          <w:rFonts w:cstheme="minorHAnsi"/>
          <w:sz w:val="20"/>
          <w:szCs w:val="20"/>
        </w:rPr>
        <w:t xml:space="preserve">; </w:t>
      </w:r>
      <w:r w:rsidRPr="00C20495">
        <w:rPr>
          <w:rFonts w:cstheme="minorHAnsi"/>
          <w:sz w:val="20"/>
          <w:szCs w:val="20"/>
        </w:rPr>
        <w:t>S</w:t>
      </w:r>
      <w:r w:rsidR="00133CFF">
        <w:rPr>
          <w:rFonts w:cstheme="minorHAnsi"/>
          <w:sz w:val="20"/>
          <w:szCs w:val="20"/>
        </w:rPr>
        <w:t>.</w:t>
      </w:r>
      <w:r w:rsidRPr="00C20495">
        <w:rPr>
          <w:rFonts w:cstheme="minorHAnsi"/>
          <w:sz w:val="20"/>
          <w:szCs w:val="20"/>
        </w:rPr>
        <w:t xml:space="preserve"> King, </w:t>
      </w:r>
      <w:r w:rsidRPr="00C20495">
        <w:rPr>
          <w:rFonts w:cstheme="minorHAnsi"/>
          <w:i/>
          <w:iCs/>
          <w:sz w:val="20"/>
          <w:szCs w:val="20"/>
        </w:rPr>
        <w:t xml:space="preserve">Writing the </w:t>
      </w:r>
      <w:r w:rsidR="00133CFF">
        <w:rPr>
          <w:rFonts w:cstheme="minorHAnsi"/>
          <w:i/>
          <w:iCs/>
          <w:sz w:val="20"/>
          <w:szCs w:val="20"/>
        </w:rPr>
        <w:t>L</w:t>
      </w:r>
      <w:r w:rsidRPr="00C20495">
        <w:rPr>
          <w:rFonts w:cstheme="minorHAnsi"/>
          <w:i/>
          <w:iCs/>
          <w:sz w:val="20"/>
          <w:szCs w:val="20"/>
        </w:rPr>
        <w:t>ives of the English poor, 1750s-1830s</w:t>
      </w:r>
      <w:r w:rsidRPr="00C20495">
        <w:rPr>
          <w:rFonts w:cstheme="minorHAnsi"/>
          <w:sz w:val="20"/>
          <w:szCs w:val="20"/>
        </w:rPr>
        <w:t xml:space="preserve"> (London: McGill-Queen’s University Press, 2019)</w:t>
      </w:r>
      <w:r>
        <w:rPr>
          <w:rFonts w:cstheme="minorHAnsi"/>
          <w:sz w:val="20"/>
          <w:szCs w:val="20"/>
        </w:rPr>
        <w:t>,</w:t>
      </w:r>
      <w:r w:rsidR="003D25A1">
        <w:rPr>
          <w:rFonts w:cstheme="minorHAnsi"/>
          <w:sz w:val="20"/>
          <w:szCs w:val="20"/>
        </w:rPr>
        <w:t xml:space="preserve"> pp.</w:t>
      </w:r>
      <w:r>
        <w:rPr>
          <w:rFonts w:cstheme="minorHAnsi"/>
          <w:sz w:val="20"/>
          <w:szCs w:val="20"/>
        </w:rPr>
        <w:t xml:space="preserve"> 282-308.</w:t>
      </w:r>
    </w:p>
  </w:endnote>
  <w:endnote w:id="4">
    <w:p w14:paraId="00A1C4ED" w14:textId="14D3C77B" w:rsidR="007458FF" w:rsidRPr="00AD21EB" w:rsidRDefault="007458FF" w:rsidP="009957DD">
      <w:pPr>
        <w:pStyle w:val="EndnoteText"/>
        <w:rPr>
          <w:rFonts w:cstheme="minorHAnsi"/>
        </w:rPr>
      </w:pPr>
      <w:r w:rsidRPr="00AC51A9">
        <w:rPr>
          <w:rStyle w:val="EndnoteReference"/>
          <w:rFonts w:cstheme="minorHAnsi"/>
        </w:rPr>
        <w:endnoteRef/>
      </w:r>
      <w:r w:rsidRPr="00AC51A9">
        <w:rPr>
          <w:rFonts w:cstheme="minorHAnsi"/>
        </w:rPr>
        <w:t xml:space="preserve"> B</w:t>
      </w:r>
      <w:r w:rsidR="00133CFF">
        <w:rPr>
          <w:rFonts w:cstheme="minorHAnsi"/>
        </w:rPr>
        <w:t>.</w:t>
      </w:r>
      <w:r w:rsidRPr="00AC51A9">
        <w:rPr>
          <w:rFonts w:cstheme="minorHAnsi"/>
        </w:rPr>
        <w:t xml:space="preserve"> Lemire, </w:t>
      </w:r>
      <w:r w:rsidRPr="00AC51A9">
        <w:rPr>
          <w:rFonts w:cstheme="minorHAnsi"/>
          <w:i/>
          <w:iCs/>
        </w:rPr>
        <w:t xml:space="preserve">The </w:t>
      </w:r>
      <w:r w:rsidR="00133CFF">
        <w:rPr>
          <w:rFonts w:cstheme="minorHAnsi"/>
          <w:i/>
          <w:iCs/>
        </w:rPr>
        <w:t>B</w:t>
      </w:r>
      <w:r w:rsidRPr="00AC51A9">
        <w:rPr>
          <w:rFonts w:cstheme="minorHAnsi"/>
          <w:i/>
          <w:iCs/>
        </w:rPr>
        <w:t xml:space="preserve">usiness of </w:t>
      </w:r>
      <w:r w:rsidR="00133CFF">
        <w:rPr>
          <w:rFonts w:cstheme="minorHAnsi"/>
          <w:i/>
          <w:iCs/>
        </w:rPr>
        <w:t>E</w:t>
      </w:r>
      <w:r w:rsidRPr="00AC51A9">
        <w:rPr>
          <w:rFonts w:cstheme="minorHAnsi"/>
          <w:i/>
          <w:iCs/>
        </w:rPr>
        <w:t xml:space="preserve">veryday </w:t>
      </w:r>
      <w:r w:rsidR="00133CFF">
        <w:rPr>
          <w:rFonts w:cstheme="minorHAnsi"/>
          <w:i/>
          <w:iCs/>
        </w:rPr>
        <w:t>L</w:t>
      </w:r>
      <w:r w:rsidRPr="00AC51A9">
        <w:rPr>
          <w:rFonts w:cstheme="minorHAnsi"/>
          <w:i/>
          <w:iCs/>
        </w:rPr>
        <w:t xml:space="preserve">ife: Gender, </w:t>
      </w:r>
      <w:r w:rsidR="00133CFF">
        <w:rPr>
          <w:rFonts w:cstheme="minorHAnsi"/>
          <w:i/>
          <w:iCs/>
        </w:rPr>
        <w:t>P</w:t>
      </w:r>
      <w:r w:rsidRPr="00AC51A9">
        <w:rPr>
          <w:rFonts w:cstheme="minorHAnsi"/>
          <w:i/>
          <w:iCs/>
        </w:rPr>
        <w:t xml:space="preserve">ractice and </w:t>
      </w:r>
      <w:r w:rsidR="00133CFF">
        <w:rPr>
          <w:rFonts w:cstheme="minorHAnsi"/>
          <w:i/>
          <w:iCs/>
        </w:rPr>
        <w:t>S</w:t>
      </w:r>
      <w:r w:rsidRPr="00AC51A9">
        <w:rPr>
          <w:rFonts w:cstheme="minorHAnsi"/>
          <w:i/>
          <w:iCs/>
        </w:rPr>
        <w:t xml:space="preserve">ocial </w:t>
      </w:r>
      <w:r w:rsidR="00133CFF">
        <w:rPr>
          <w:rFonts w:cstheme="minorHAnsi"/>
          <w:i/>
          <w:iCs/>
        </w:rPr>
        <w:t>P</w:t>
      </w:r>
      <w:r w:rsidRPr="00AC51A9">
        <w:rPr>
          <w:rFonts w:cstheme="minorHAnsi"/>
          <w:i/>
          <w:iCs/>
        </w:rPr>
        <w:t xml:space="preserve">olitics in England, c.1600-1900 </w:t>
      </w:r>
      <w:r w:rsidRPr="00AC51A9">
        <w:rPr>
          <w:rFonts w:cstheme="minorHAnsi"/>
        </w:rPr>
        <w:t xml:space="preserve">(Manchester: Manchester University Press, 2005), </w:t>
      </w:r>
      <w:r w:rsidR="003D25A1">
        <w:rPr>
          <w:rFonts w:cstheme="minorHAnsi"/>
        </w:rPr>
        <w:t xml:space="preserve">pp. </w:t>
      </w:r>
      <w:r w:rsidRPr="00AC51A9">
        <w:rPr>
          <w:rFonts w:cstheme="minorHAnsi"/>
        </w:rPr>
        <w:t>82-109; A</w:t>
      </w:r>
      <w:r w:rsidR="00133CFF">
        <w:rPr>
          <w:rFonts w:cstheme="minorHAnsi"/>
        </w:rPr>
        <w:t>.</w:t>
      </w:r>
      <w:r w:rsidRPr="00AC51A9">
        <w:rPr>
          <w:rFonts w:cstheme="minorHAnsi"/>
        </w:rPr>
        <w:t xml:space="preserve"> Tomkins, </w:t>
      </w:r>
      <w:r w:rsidRPr="00AC51A9">
        <w:rPr>
          <w:rFonts w:cstheme="minorHAnsi"/>
          <w:i/>
          <w:iCs/>
        </w:rPr>
        <w:t xml:space="preserve">The </w:t>
      </w:r>
      <w:r w:rsidR="00133CFF">
        <w:rPr>
          <w:rFonts w:cstheme="minorHAnsi"/>
          <w:i/>
          <w:iCs/>
        </w:rPr>
        <w:t>E</w:t>
      </w:r>
      <w:r w:rsidRPr="00AC51A9">
        <w:rPr>
          <w:rFonts w:cstheme="minorHAnsi"/>
          <w:i/>
          <w:iCs/>
        </w:rPr>
        <w:t xml:space="preserve">xperience of </w:t>
      </w:r>
      <w:r w:rsidR="00133CFF">
        <w:rPr>
          <w:rFonts w:cstheme="minorHAnsi"/>
          <w:i/>
          <w:iCs/>
        </w:rPr>
        <w:t>U</w:t>
      </w:r>
      <w:r w:rsidRPr="00AC51A9">
        <w:rPr>
          <w:rFonts w:cstheme="minorHAnsi"/>
          <w:i/>
          <w:iCs/>
        </w:rPr>
        <w:t xml:space="preserve">rban </w:t>
      </w:r>
      <w:r w:rsidR="00133CFF">
        <w:rPr>
          <w:rFonts w:cstheme="minorHAnsi"/>
          <w:i/>
          <w:iCs/>
        </w:rPr>
        <w:t>P</w:t>
      </w:r>
      <w:r w:rsidRPr="00AC51A9">
        <w:rPr>
          <w:rFonts w:cstheme="minorHAnsi"/>
          <w:i/>
          <w:iCs/>
        </w:rPr>
        <w:t xml:space="preserve">overty, 1732-82: Parish, </w:t>
      </w:r>
      <w:r w:rsidR="00133CFF">
        <w:rPr>
          <w:rFonts w:cstheme="minorHAnsi"/>
          <w:i/>
          <w:iCs/>
        </w:rPr>
        <w:t>C</w:t>
      </w:r>
      <w:r w:rsidRPr="00AC51A9">
        <w:rPr>
          <w:rFonts w:cstheme="minorHAnsi"/>
          <w:i/>
          <w:iCs/>
        </w:rPr>
        <w:t xml:space="preserve">harity and </w:t>
      </w:r>
      <w:r w:rsidR="00133CFF">
        <w:rPr>
          <w:rFonts w:cstheme="minorHAnsi"/>
          <w:i/>
          <w:iCs/>
        </w:rPr>
        <w:t>C</w:t>
      </w:r>
      <w:r w:rsidRPr="00AC51A9">
        <w:rPr>
          <w:rFonts w:cstheme="minorHAnsi"/>
          <w:i/>
          <w:iCs/>
        </w:rPr>
        <w:t>redit</w:t>
      </w:r>
      <w:r w:rsidRPr="00AC51A9">
        <w:rPr>
          <w:rFonts w:cstheme="minorHAnsi"/>
        </w:rPr>
        <w:t xml:space="preserve"> (Manchester: Manchester University Press, 2006), </w:t>
      </w:r>
      <w:r w:rsidR="003D25A1">
        <w:rPr>
          <w:rFonts w:cstheme="minorHAnsi"/>
        </w:rPr>
        <w:t xml:space="preserve">pp. </w:t>
      </w:r>
      <w:r w:rsidRPr="00AC51A9">
        <w:rPr>
          <w:rFonts w:cstheme="minorHAnsi"/>
        </w:rPr>
        <w:t>204-234; J</w:t>
      </w:r>
      <w:r w:rsidR="00133CFF">
        <w:rPr>
          <w:rFonts w:cstheme="minorHAnsi"/>
        </w:rPr>
        <w:t>.</w:t>
      </w:r>
      <w:r w:rsidRPr="00AC51A9">
        <w:rPr>
          <w:rFonts w:cstheme="minorHAnsi"/>
        </w:rPr>
        <w:t xml:space="preserve"> Styles, </w:t>
      </w:r>
      <w:r w:rsidRPr="00AC51A9">
        <w:rPr>
          <w:rFonts w:cstheme="minorHAnsi"/>
          <w:i/>
          <w:iCs/>
        </w:rPr>
        <w:t xml:space="preserve">The </w:t>
      </w:r>
      <w:r w:rsidR="00133CFF">
        <w:rPr>
          <w:rFonts w:cstheme="minorHAnsi"/>
          <w:i/>
          <w:iCs/>
        </w:rPr>
        <w:t>D</w:t>
      </w:r>
      <w:r w:rsidRPr="00AC51A9">
        <w:rPr>
          <w:rFonts w:cstheme="minorHAnsi"/>
          <w:i/>
          <w:iCs/>
        </w:rPr>
        <w:t xml:space="preserve">ress of the </w:t>
      </w:r>
      <w:r w:rsidR="00133CFF">
        <w:rPr>
          <w:rFonts w:cstheme="minorHAnsi"/>
          <w:i/>
          <w:iCs/>
        </w:rPr>
        <w:t>P</w:t>
      </w:r>
      <w:r w:rsidRPr="00AC51A9">
        <w:rPr>
          <w:rFonts w:cstheme="minorHAnsi"/>
          <w:i/>
          <w:iCs/>
        </w:rPr>
        <w:t xml:space="preserve">eople: Everyday </w:t>
      </w:r>
      <w:r w:rsidR="00133CFF">
        <w:rPr>
          <w:rFonts w:cstheme="minorHAnsi"/>
          <w:i/>
          <w:iCs/>
        </w:rPr>
        <w:t>F</w:t>
      </w:r>
      <w:r w:rsidRPr="00AC51A9">
        <w:rPr>
          <w:rFonts w:cstheme="minorHAnsi"/>
          <w:i/>
          <w:iCs/>
        </w:rPr>
        <w:t xml:space="preserve">ashion in </w:t>
      </w:r>
      <w:r w:rsidR="00133CFF">
        <w:rPr>
          <w:rFonts w:cstheme="minorHAnsi"/>
          <w:i/>
          <w:iCs/>
        </w:rPr>
        <w:t>E</w:t>
      </w:r>
      <w:r w:rsidRPr="00AC51A9">
        <w:rPr>
          <w:rFonts w:cstheme="minorHAnsi"/>
          <w:i/>
          <w:iCs/>
        </w:rPr>
        <w:t>ighteenth-</w:t>
      </w:r>
      <w:r w:rsidR="00133CFF">
        <w:rPr>
          <w:rFonts w:cstheme="minorHAnsi"/>
          <w:i/>
          <w:iCs/>
        </w:rPr>
        <w:t>C</w:t>
      </w:r>
      <w:r w:rsidRPr="00AC51A9">
        <w:rPr>
          <w:rFonts w:cstheme="minorHAnsi"/>
          <w:i/>
          <w:iCs/>
        </w:rPr>
        <w:t xml:space="preserve">entury England </w:t>
      </w:r>
      <w:r w:rsidRPr="00AC51A9">
        <w:rPr>
          <w:rFonts w:cstheme="minorHAnsi"/>
        </w:rPr>
        <w:t xml:space="preserve">(New Haven: Yale University Press, 2007), </w:t>
      </w:r>
      <w:r w:rsidR="003D25A1">
        <w:rPr>
          <w:rFonts w:cstheme="minorHAnsi"/>
        </w:rPr>
        <w:t xml:space="preserve">pp. </w:t>
      </w:r>
      <w:r w:rsidRPr="00AC51A9">
        <w:rPr>
          <w:rFonts w:cstheme="minorHAnsi"/>
        </w:rPr>
        <w:t>229-245; A</w:t>
      </w:r>
      <w:r w:rsidR="00133CFF">
        <w:rPr>
          <w:rFonts w:cstheme="minorHAnsi"/>
        </w:rPr>
        <w:t>.</w:t>
      </w:r>
      <w:r w:rsidRPr="00AC51A9">
        <w:rPr>
          <w:rFonts w:cstheme="minorHAnsi"/>
        </w:rPr>
        <w:t xml:space="preserve"> Toplis, </w:t>
      </w:r>
      <w:r w:rsidRPr="00AC51A9">
        <w:rPr>
          <w:rFonts w:cstheme="minorHAnsi"/>
          <w:i/>
          <w:iCs/>
        </w:rPr>
        <w:t xml:space="preserve">The </w:t>
      </w:r>
      <w:r w:rsidR="00133CFF">
        <w:rPr>
          <w:rFonts w:cstheme="minorHAnsi"/>
          <w:i/>
          <w:iCs/>
        </w:rPr>
        <w:t>C</w:t>
      </w:r>
      <w:r w:rsidRPr="00AC51A9">
        <w:rPr>
          <w:rFonts w:cstheme="minorHAnsi"/>
          <w:i/>
          <w:iCs/>
        </w:rPr>
        <w:t xml:space="preserve">lothing </w:t>
      </w:r>
      <w:r w:rsidR="00133CFF">
        <w:rPr>
          <w:rFonts w:cstheme="minorHAnsi"/>
          <w:i/>
          <w:iCs/>
        </w:rPr>
        <w:t>T</w:t>
      </w:r>
      <w:r w:rsidRPr="00AC51A9">
        <w:rPr>
          <w:rFonts w:cstheme="minorHAnsi"/>
          <w:i/>
          <w:iCs/>
        </w:rPr>
        <w:t xml:space="preserve">rade in </w:t>
      </w:r>
      <w:r w:rsidR="00133CFF">
        <w:rPr>
          <w:rFonts w:cstheme="minorHAnsi"/>
          <w:i/>
          <w:iCs/>
        </w:rPr>
        <w:t>P</w:t>
      </w:r>
      <w:r w:rsidRPr="00AC51A9">
        <w:rPr>
          <w:rFonts w:cstheme="minorHAnsi"/>
          <w:i/>
          <w:iCs/>
        </w:rPr>
        <w:t>rovincial England 1800-1850</w:t>
      </w:r>
      <w:r w:rsidRPr="00AC51A9">
        <w:rPr>
          <w:rFonts w:cstheme="minorHAnsi"/>
        </w:rPr>
        <w:t xml:space="preserve"> (London: Pickering &amp; Chatto, 2011), </w:t>
      </w:r>
      <w:r w:rsidR="003D25A1">
        <w:rPr>
          <w:rFonts w:cstheme="minorHAnsi"/>
        </w:rPr>
        <w:t xml:space="preserve">pp. </w:t>
      </w:r>
      <w:r w:rsidRPr="00AC51A9">
        <w:rPr>
          <w:rFonts w:cstheme="minorHAnsi"/>
        </w:rPr>
        <w:t>135-138, 146-149</w:t>
      </w:r>
      <w:r w:rsidRPr="00AD21EB">
        <w:rPr>
          <w:rFonts w:cstheme="minorHAnsi"/>
        </w:rPr>
        <w:t>; A</w:t>
      </w:r>
      <w:r w:rsidR="00133CFF">
        <w:rPr>
          <w:rFonts w:cstheme="minorHAnsi"/>
        </w:rPr>
        <w:t>.</w:t>
      </w:r>
      <w:r w:rsidRPr="00AD21EB">
        <w:rPr>
          <w:rFonts w:cstheme="minorHAnsi"/>
        </w:rPr>
        <w:t xml:space="preserve"> Shepard, </w:t>
      </w:r>
      <w:r w:rsidRPr="00AD21EB">
        <w:rPr>
          <w:rFonts w:cstheme="minorHAnsi"/>
          <w:i/>
          <w:iCs/>
        </w:rPr>
        <w:t xml:space="preserve">Accounting for </w:t>
      </w:r>
      <w:r w:rsidR="00133CFF">
        <w:rPr>
          <w:rFonts w:cstheme="minorHAnsi"/>
          <w:i/>
          <w:iCs/>
        </w:rPr>
        <w:t>O</w:t>
      </w:r>
      <w:r w:rsidRPr="00AD21EB">
        <w:rPr>
          <w:rFonts w:cstheme="minorHAnsi"/>
          <w:i/>
          <w:iCs/>
        </w:rPr>
        <w:t xml:space="preserve">neself: Worth, </w:t>
      </w:r>
      <w:r w:rsidR="00133CFF">
        <w:rPr>
          <w:rFonts w:cstheme="minorHAnsi"/>
          <w:i/>
          <w:iCs/>
        </w:rPr>
        <w:t>S</w:t>
      </w:r>
      <w:r w:rsidRPr="00AD21EB">
        <w:rPr>
          <w:rFonts w:cstheme="minorHAnsi"/>
          <w:i/>
          <w:iCs/>
        </w:rPr>
        <w:t xml:space="preserve">tatus, and the </w:t>
      </w:r>
      <w:r w:rsidR="00133CFF">
        <w:rPr>
          <w:rFonts w:cstheme="minorHAnsi"/>
          <w:i/>
          <w:iCs/>
        </w:rPr>
        <w:t>S</w:t>
      </w:r>
      <w:r w:rsidRPr="00AD21EB">
        <w:rPr>
          <w:rFonts w:cstheme="minorHAnsi"/>
          <w:i/>
          <w:iCs/>
        </w:rPr>
        <w:t xml:space="preserve">ocial </w:t>
      </w:r>
      <w:r w:rsidR="00133CFF">
        <w:rPr>
          <w:rFonts w:cstheme="minorHAnsi"/>
          <w:i/>
          <w:iCs/>
        </w:rPr>
        <w:t>O</w:t>
      </w:r>
      <w:r w:rsidRPr="00AD21EB">
        <w:rPr>
          <w:rFonts w:cstheme="minorHAnsi"/>
          <w:i/>
          <w:iCs/>
        </w:rPr>
        <w:t>rder</w:t>
      </w:r>
      <w:r w:rsidRPr="00AD21EB">
        <w:rPr>
          <w:rFonts w:cstheme="minorHAnsi"/>
        </w:rPr>
        <w:t xml:space="preserve"> (Oxford: Oxford University Press, 2015), </w:t>
      </w:r>
      <w:r w:rsidR="003D25A1">
        <w:rPr>
          <w:rFonts w:cstheme="minorHAnsi"/>
        </w:rPr>
        <w:t xml:space="preserve">pp. </w:t>
      </w:r>
      <w:r w:rsidRPr="00AD21EB">
        <w:rPr>
          <w:rFonts w:cstheme="minorHAnsi"/>
        </w:rPr>
        <w:t>277-302.</w:t>
      </w:r>
    </w:p>
  </w:endnote>
  <w:endnote w:id="5">
    <w:p w14:paraId="062FACC6" w14:textId="41BBCF01" w:rsidR="007458FF" w:rsidRDefault="007458FF">
      <w:pPr>
        <w:pStyle w:val="EndnoteText"/>
      </w:pPr>
      <w:r w:rsidRPr="000D6098">
        <w:rPr>
          <w:rStyle w:val="EndnoteReference"/>
          <w:rFonts w:cstheme="minorHAnsi"/>
        </w:rPr>
        <w:endnoteRef/>
      </w:r>
      <w:r w:rsidRPr="000D6098">
        <w:rPr>
          <w:rFonts w:cstheme="minorHAnsi"/>
        </w:rPr>
        <w:t xml:space="preserve"> There are, of course, exceptions such as: J</w:t>
      </w:r>
      <w:r w:rsidR="00133CFF">
        <w:rPr>
          <w:rFonts w:cstheme="minorHAnsi"/>
        </w:rPr>
        <w:t>.</w:t>
      </w:r>
      <w:r w:rsidRPr="000D6098">
        <w:rPr>
          <w:rFonts w:cstheme="minorHAnsi"/>
        </w:rPr>
        <w:t xml:space="preserve"> Harley, ‘Material </w:t>
      </w:r>
      <w:r w:rsidR="00133CFF">
        <w:rPr>
          <w:rFonts w:cstheme="minorHAnsi"/>
        </w:rPr>
        <w:t>L</w:t>
      </w:r>
      <w:r w:rsidRPr="000D6098">
        <w:rPr>
          <w:rFonts w:cstheme="minorHAnsi"/>
        </w:rPr>
        <w:t xml:space="preserve">ives of the </w:t>
      </w:r>
      <w:r w:rsidR="00133CFF">
        <w:rPr>
          <w:rFonts w:cstheme="minorHAnsi"/>
        </w:rPr>
        <w:t>P</w:t>
      </w:r>
      <w:r w:rsidRPr="000D6098">
        <w:rPr>
          <w:rFonts w:cstheme="minorHAnsi"/>
        </w:rPr>
        <w:t xml:space="preserve">oor and their </w:t>
      </w:r>
      <w:r w:rsidR="00133CFF">
        <w:rPr>
          <w:rFonts w:cstheme="minorHAnsi"/>
        </w:rPr>
        <w:t>S</w:t>
      </w:r>
      <w:r w:rsidRPr="000D6098">
        <w:rPr>
          <w:rFonts w:cstheme="minorHAnsi"/>
        </w:rPr>
        <w:t xml:space="preserve">trategic </w:t>
      </w:r>
      <w:r w:rsidR="00133CFF">
        <w:rPr>
          <w:rFonts w:cstheme="minorHAnsi"/>
        </w:rPr>
        <w:t>U</w:t>
      </w:r>
      <w:r w:rsidRPr="000D6098">
        <w:rPr>
          <w:rFonts w:cstheme="minorHAnsi"/>
        </w:rPr>
        <w:t xml:space="preserve">se of the </w:t>
      </w:r>
      <w:r w:rsidR="00133CFF">
        <w:rPr>
          <w:rFonts w:cstheme="minorHAnsi"/>
        </w:rPr>
        <w:t>W</w:t>
      </w:r>
      <w:r w:rsidRPr="000D6098">
        <w:rPr>
          <w:rFonts w:cstheme="minorHAnsi"/>
        </w:rPr>
        <w:t xml:space="preserve">orkhouse during the </w:t>
      </w:r>
      <w:r w:rsidR="00133CFF">
        <w:rPr>
          <w:rFonts w:cstheme="minorHAnsi"/>
        </w:rPr>
        <w:t>F</w:t>
      </w:r>
      <w:r w:rsidRPr="000D6098">
        <w:rPr>
          <w:rFonts w:cstheme="minorHAnsi"/>
        </w:rPr>
        <w:t xml:space="preserve">inal </w:t>
      </w:r>
      <w:r w:rsidR="00133CFF">
        <w:rPr>
          <w:rFonts w:cstheme="minorHAnsi"/>
        </w:rPr>
        <w:t>D</w:t>
      </w:r>
      <w:r w:rsidRPr="000D6098">
        <w:rPr>
          <w:rFonts w:cstheme="minorHAnsi"/>
        </w:rPr>
        <w:t xml:space="preserve">ecades of the English old poor law’, </w:t>
      </w:r>
      <w:r w:rsidRPr="000D6098">
        <w:rPr>
          <w:rFonts w:cstheme="minorHAnsi"/>
          <w:i/>
          <w:iCs/>
        </w:rPr>
        <w:t>Continuity and Change</w:t>
      </w:r>
      <w:r w:rsidRPr="000D6098">
        <w:rPr>
          <w:rFonts w:cstheme="minorHAnsi"/>
        </w:rPr>
        <w:t xml:space="preserve">, 30 (2015), </w:t>
      </w:r>
      <w:r w:rsidR="003D25A1">
        <w:rPr>
          <w:rFonts w:cstheme="minorHAnsi"/>
        </w:rPr>
        <w:t xml:space="preserve">pp. </w:t>
      </w:r>
      <w:r w:rsidRPr="000D6098">
        <w:rPr>
          <w:rFonts w:cstheme="minorHAnsi"/>
        </w:rPr>
        <w:t xml:space="preserve">90-95; Shepard, </w:t>
      </w:r>
      <w:r w:rsidRPr="000D6098">
        <w:rPr>
          <w:rFonts w:cstheme="minorHAnsi"/>
          <w:i/>
          <w:iCs/>
        </w:rPr>
        <w:t xml:space="preserve">Accounting for </w:t>
      </w:r>
      <w:r w:rsidR="00133CFF">
        <w:rPr>
          <w:rFonts w:cstheme="minorHAnsi"/>
          <w:i/>
          <w:iCs/>
        </w:rPr>
        <w:t>On</w:t>
      </w:r>
      <w:r w:rsidRPr="000D6098">
        <w:rPr>
          <w:rFonts w:cstheme="minorHAnsi"/>
          <w:i/>
          <w:iCs/>
        </w:rPr>
        <w:t>eself</w:t>
      </w:r>
      <w:r w:rsidRPr="000D6098">
        <w:rPr>
          <w:rFonts w:cstheme="minorHAnsi"/>
        </w:rPr>
        <w:t xml:space="preserve">, </w:t>
      </w:r>
      <w:r w:rsidR="003D25A1">
        <w:rPr>
          <w:rFonts w:cstheme="minorHAnsi"/>
        </w:rPr>
        <w:t xml:space="preserve">pp. </w:t>
      </w:r>
      <w:r w:rsidRPr="000D6098">
        <w:rPr>
          <w:rFonts w:cstheme="minorHAnsi"/>
        </w:rPr>
        <w:t>277-302</w:t>
      </w:r>
      <w:r w:rsidRPr="00AD21EB">
        <w:rPr>
          <w:rFonts w:cstheme="minorHAnsi"/>
        </w:rPr>
        <w:t>.</w:t>
      </w:r>
    </w:p>
  </w:endnote>
  <w:endnote w:id="6">
    <w:p w14:paraId="2204A43C" w14:textId="5A760741" w:rsidR="007458FF" w:rsidRPr="00AD21EB" w:rsidRDefault="007458FF">
      <w:pPr>
        <w:pStyle w:val="EndnoteText"/>
        <w:rPr>
          <w:rFonts w:cstheme="minorHAnsi"/>
        </w:rPr>
      </w:pPr>
      <w:r w:rsidRPr="00AD21EB">
        <w:rPr>
          <w:rStyle w:val="EndnoteReference"/>
          <w:rFonts w:cstheme="minorHAnsi"/>
        </w:rPr>
        <w:endnoteRef/>
      </w:r>
      <w:r w:rsidRPr="00AD21EB">
        <w:rPr>
          <w:rFonts w:cstheme="minorHAnsi"/>
        </w:rPr>
        <w:t xml:space="preserve"> For example, Lemire, </w:t>
      </w:r>
      <w:r w:rsidRPr="00AD21EB">
        <w:rPr>
          <w:rFonts w:cstheme="minorHAnsi"/>
          <w:i/>
          <w:iCs/>
        </w:rPr>
        <w:t>Business</w:t>
      </w:r>
      <w:r w:rsidRPr="00AD21EB">
        <w:rPr>
          <w:rFonts w:cstheme="minorHAnsi"/>
        </w:rPr>
        <w:t xml:space="preserve">, </w:t>
      </w:r>
      <w:r w:rsidR="003D25A1">
        <w:rPr>
          <w:rFonts w:cstheme="minorHAnsi"/>
        </w:rPr>
        <w:t xml:space="preserve">pp. </w:t>
      </w:r>
      <w:r w:rsidRPr="00AD21EB">
        <w:rPr>
          <w:rFonts w:cstheme="minorHAnsi"/>
        </w:rPr>
        <w:t>90-97</w:t>
      </w:r>
      <w:r>
        <w:rPr>
          <w:rFonts w:cstheme="minorHAnsi"/>
        </w:rPr>
        <w:t>.</w:t>
      </w:r>
    </w:p>
  </w:endnote>
  <w:endnote w:id="7">
    <w:p w14:paraId="7B090933" w14:textId="05F89838" w:rsidR="007458FF" w:rsidRPr="00AC51A9" w:rsidRDefault="007458FF" w:rsidP="00C6403A">
      <w:pPr>
        <w:pStyle w:val="EndnoteText"/>
        <w:rPr>
          <w:rFonts w:cstheme="minorHAnsi"/>
        </w:rPr>
      </w:pPr>
      <w:r w:rsidRPr="00AD21EB">
        <w:rPr>
          <w:rStyle w:val="EndnoteReference"/>
          <w:rFonts w:cstheme="minorHAnsi"/>
        </w:rPr>
        <w:endnoteRef/>
      </w:r>
      <w:r w:rsidRPr="00AD21EB">
        <w:rPr>
          <w:rFonts w:cstheme="minorHAnsi"/>
        </w:rPr>
        <w:t xml:space="preserve"> For further information, see: P</w:t>
      </w:r>
      <w:r w:rsidR="00133CFF">
        <w:rPr>
          <w:rFonts w:cstheme="minorHAnsi"/>
        </w:rPr>
        <w:t>.</w:t>
      </w:r>
      <w:r w:rsidRPr="00AD21EB">
        <w:rPr>
          <w:rFonts w:cstheme="minorHAnsi"/>
        </w:rPr>
        <w:t xml:space="preserve"> Dunkley, </w:t>
      </w:r>
      <w:r w:rsidRPr="00AD21EB">
        <w:rPr>
          <w:rFonts w:cstheme="minorHAnsi"/>
          <w:i/>
        </w:rPr>
        <w:t xml:space="preserve">The </w:t>
      </w:r>
      <w:r w:rsidR="00133CFF">
        <w:rPr>
          <w:rFonts w:cstheme="minorHAnsi"/>
          <w:i/>
        </w:rPr>
        <w:t>C</w:t>
      </w:r>
      <w:r w:rsidRPr="00AD21EB">
        <w:rPr>
          <w:rFonts w:cstheme="minorHAnsi"/>
          <w:i/>
        </w:rPr>
        <w:t xml:space="preserve">risis of the </w:t>
      </w:r>
      <w:r w:rsidR="00133CFF">
        <w:rPr>
          <w:rFonts w:cstheme="minorHAnsi"/>
          <w:i/>
        </w:rPr>
        <w:t>O</w:t>
      </w:r>
      <w:r w:rsidRPr="00AD21EB">
        <w:rPr>
          <w:rFonts w:cstheme="minorHAnsi"/>
          <w:i/>
        </w:rPr>
        <w:t xml:space="preserve">ld </w:t>
      </w:r>
      <w:r w:rsidR="00133CFF">
        <w:rPr>
          <w:rFonts w:cstheme="minorHAnsi"/>
          <w:i/>
        </w:rPr>
        <w:t>P</w:t>
      </w:r>
      <w:r w:rsidRPr="00AD21EB">
        <w:rPr>
          <w:rFonts w:cstheme="minorHAnsi"/>
          <w:i/>
        </w:rPr>
        <w:t xml:space="preserve">oor </w:t>
      </w:r>
      <w:r w:rsidR="00133CFF">
        <w:rPr>
          <w:rFonts w:cstheme="minorHAnsi"/>
          <w:i/>
        </w:rPr>
        <w:t>L</w:t>
      </w:r>
      <w:r w:rsidRPr="00AD21EB">
        <w:rPr>
          <w:rFonts w:cstheme="minorHAnsi"/>
          <w:i/>
        </w:rPr>
        <w:t xml:space="preserve">aw in England 1795–1834: An </w:t>
      </w:r>
      <w:r w:rsidR="00133CFF">
        <w:rPr>
          <w:rFonts w:cstheme="minorHAnsi"/>
          <w:i/>
        </w:rPr>
        <w:t>I</w:t>
      </w:r>
      <w:r w:rsidRPr="00AD21EB">
        <w:rPr>
          <w:rFonts w:cstheme="minorHAnsi"/>
          <w:i/>
        </w:rPr>
        <w:t xml:space="preserve">nterpretive </w:t>
      </w:r>
      <w:r w:rsidR="00133CFF">
        <w:rPr>
          <w:rFonts w:cstheme="minorHAnsi"/>
          <w:i/>
        </w:rPr>
        <w:t>E</w:t>
      </w:r>
      <w:r w:rsidRPr="00AD21EB">
        <w:rPr>
          <w:rFonts w:cstheme="minorHAnsi"/>
          <w:i/>
        </w:rPr>
        <w:t>ssay</w:t>
      </w:r>
      <w:r w:rsidRPr="00AC51A9">
        <w:rPr>
          <w:rFonts w:cstheme="minorHAnsi"/>
        </w:rPr>
        <w:t xml:space="preserve"> (London: Garland Publishing, 1982).</w:t>
      </w:r>
    </w:p>
  </w:endnote>
  <w:endnote w:id="8">
    <w:p w14:paraId="65D74BA7" w14:textId="3AE3E026" w:rsidR="007458FF" w:rsidRPr="00B16BD5" w:rsidRDefault="007458FF">
      <w:pPr>
        <w:pStyle w:val="EndnoteText"/>
        <w:rPr>
          <w:rFonts w:cstheme="minorHAnsi"/>
        </w:rPr>
      </w:pPr>
      <w:r w:rsidRPr="00B16BD5">
        <w:rPr>
          <w:rStyle w:val="EndnoteReference"/>
          <w:rFonts w:cstheme="minorHAnsi"/>
        </w:rPr>
        <w:endnoteRef/>
      </w:r>
      <w:r w:rsidRPr="00B16BD5">
        <w:rPr>
          <w:rFonts w:cstheme="minorHAnsi"/>
        </w:rPr>
        <w:t xml:space="preserve"> </w:t>
      </w:r>
      <w:r w:rsidR="00133CFF">
        <w:rPr>
          <w:rFonts w:cstheme="minorHAnsi"/>
        </w:rPr>
        <w:t>E.</w:t>
      </w:r>
      <w:r w:rsidRPr="00B16BD5">
        <w:rPr>
          <w:rFonts w:cstheme="minorHAnsi"/>
        </w:rPr>
        <w:t xml:space="preserve"> Griffin, </w:t>
      </w:r>
      <w:r w:rsidRPr="00B16BD5">
        <w:rPr>
          <w:rFonts w:cstheme="minorHAnsi"/>
          <w:i/>
          <w:iCs/>
        </w:rPr>
        <w:t xml:space="preserve">Bread </w:t>
      </w:r>
      <w:r w:rsidR="00133CFF">
        <w:rPr>
          <w:rFonts w:cstheme="minorHAnsi"/>
          <w:i/>
          <w:iCs/>
        </w:rPr>
        <w:t>W</w:t>
      </w:r>
      <w:r w:rsidRPr="00B16BD5">
        <w:rPr>
          <w:rFonts w:cstheme="minorHAnsi"/>
          <w:i/>
          <w:iCs/>
        </w:rPr>
        <w:t xml:space="preserve">inner: An </w:t>
      </w:r>
      <w:r w:rsidR="00133CFF">
        <w:rPr>
          <w:rFonts w:cstheme="minorHAnsi"/>
          <w:i/>
          <w:iCs/>
        </w:rPr>
        <w:t>I</w:t>
      </w:r>
      <w:r w:rsidRPr="00B16BD5">
        <w:rPr>
          <w:rFonts w:cstheme="minorHAnsi"/>
          <w:i/>
          <w:iCs/>
        </w:rPr>
        <w:t xml:space="preserve">ntimate </w:t>
      </w:r>
      <w:r w:rsidR="00133CFF">
        <w:rPr>
          <w:rFonts w:cstheme="minorHAnsi"/>
          <w:i/>
          <w:iCs/>
        </w:rPr>
        <w:t>H</w:t>
      </w:r>
      <w:r w:rsidRPr="00B16BD5">
        <w:rPr>
          <w:rFonts w:cstheme="minorHAnsi"/>
          <w:i/>
          <w:iCs/>
        </w:rPr>
        <w:t xml:space="preserve">istory of the Victorian </w:t>
      </w:r>
      <w:r w:rsidR="00133CFF">
        <w:rPr>
          <w:rFonts w:cstheme="minorHAnsi"/>
          <w:i/>
          <w:iCs/>
        </w:rPr>
        <w:t>E</w:t>
      </w:r>
      <w:r w:rsidRPr="00B16BD5">
        <w:rPr>
          <w:rFonts w:cstheme="minorHAnsi"/>
          <w:i/>
          <w:iCs/>
        </w:rPr>
        <w:t>conomy</w:t>
      </w:r>
      <w:r w:rsidRPr="00B16BD5">
        <w:rPr>
          <w:rFonts w:cstheme="minorHAnsi"/>
        </w:rPr>
        <w:t xml:space="preserve"> (New Haven: Yale University Press, 2020), </w:t>
      </w:r>
      <w:r w:rsidR="003D25A1">
        <w:rPr>
          <w:rFonts w:cstheme="minorHAnsi"/>
        </w:rPr>
        <w:t xml:space="preserve">pp. </w:t>
      </w:r>
      <w:r w:rsidRPr="00B16BD5">
        <w:rPr>
          <w:rFonts w:cstheme="minorHAnsi"/>
        </w:rPr>
        <w:t>109-134</w:t>
      </w:r>
      <w:r>
        <w:rPr>
          <w:rFonts w:cstheme="minorHAnsi"/>
        </w:rPr>
        <w:t>, 147-152.</w:t>
      </w:r>
    </w:p>
  </w:endnote>
  <w:endnote w:id="9">
    <w:p w14:paraId="0784483B" w14:textId="17949708" w:rsidR="007458FF" w:rsidRPr="00AC51A9" w:rsidRDefault="007458FF" w:rsidP="00A079C8">
      <w:pPr>
        <w:pStyle w:val="EndnoteText"/>
        <w:rPr>
          <w:rFonts w:cstheme="minorHAnsi"/>
        </w:rPr>
      </w:pPr>
      <w:r w:rsidRPr="00B16BD5">
        <w:rPr>
          <w:rStyle w:val="EndnoteReference"/>
          <w:rFonts w:cstheme="minorHAnsi"/>
        </w:rPr>
        <w:endnoteRef/>
      </w:r>
      <w:r w:rsidRPr="00B16BD5">
        <w:rPr>
          <w:rFonts w:cstheme="minorHAnsi"/>
        </w:rPr>
        <w:t xml:space="preserve"> J</w:t>
      </w:r>
      <w:r w:rsidR="00133CFF">
        <w:rPr>
          <w:rFonts w:cstheme="minorHAnsi"/>
        </w:rPr>
        <w:t>.</w:t>
      </w:r>
      <w:r w:rsidRPr="00B16BD5">
        <w:rPr>
          <w:rFonts w:cstheme="minorHAnsi"/>
        </w:rPr>
        <w:t xml:space="preserve"> Harley, ‘Consumption and </w:t>
      </w:r>
      <w:r w:rsidR="00133CFF">
        <w:rPr>
          <w:rFonts w:cstheme="minorHAnsi"/>
        </w:rPr>
        <w:t>P</w:t>
      </w:r>
      <w:r w:rsidRPr="00B16BD5">
        <w:rPr>
          <w:rFonts w:cstheme="minorHAnsi"/>
        </w:rPr>
        <w:t xml:space="preserve">overty in the </w:t>
      </w:r>
      <w:r w:rsidR="00133CFF">
        <w:rPr>
          <w:rFonts w:cstheme="minorHAnsi"/>
        </w:rPr>
        <w:t>H</w:t>
      </w:r>
      <w:r w:rsidRPr="00B16BD5">
        <w:rPr>
          <w:rFonts w:cstheme="minorHAnsi"/>
        </w:rPr>
        <w:t xml:space="preserve">omes of the English </w:t>
      </w:r>
      <w:r w:rsidR="00133CFF">
        <w:rPr>
          <w:rFonts w:cstheme="minorHAnsi"/>
        </w:rPr>
        <w:t>P</w:t>
      </w:r>
      <w:r w:rsidRPr="00B16BD5">
        <w:rPr>
          <w:rFonts w:cstheme="minorHAnsi"/>
        </w:rPr>
        <w:t xml:space="preserve">oor, c. 1670-1834’, </w:t>
      </w:r>
      <w:r w:rsidRPr="00B16BD5">
        <w:rPr>
          <w:rFonts w:cstheme="minorHAnsi"/>
          <w:i/>
        </w:rPr>
        <w:t>Social History</w:t>
      </w:r>
      <w:r w:rsidRPr="00B16BD5">
        <w:rPr>
          <w:rFonts w:cstheme="minorHAnsi"/>
        </w:rPr>
        <w:t>, 43</w:t>
      </w:r>
      <w:r w:rsidR="003D25A1">
        <w:rPr>
          <w:rFonts w:cstheme="minorHAnsi"/>
        </w:rPr>
        <w:t xml:space="preserve"> </w:t>
      </w:r>
      <w:r w:rsidRPr="00B16BD5">
        <w:rPr>
          <w:rFonts w:cstheme="minorHAnsi"/>
        </w:rPr>
        <w:t xml:space="preserve">(2018), </w:t>
      </w:r>
      <w:r w:rsidR="003D25A1">
        <w:rPr>
          <w:rFonts w:cstheme="minorHAnsi"/>
        </w:rPr>
        <w:t xml:space="preserve">pp. </w:t>
      </w:r>
      <w:r w:rsidRPr="00B16BD5">
        <w:rPr>
          <w:rFonts w:cstheme="minorHAnsi"/>
        </w:rPr>
        <w:t xml:space="preserve">81-104. For further background information on pauper inventories, see: idem, </w:t>
      </w:r>
      <w:r w:rsidRPr="00B16BD5">
        <w:rPr>
          <w:rFonts w:cstheme="minorHAnsi"/>
          <w:i/>
          <w:iCs/>
        </w:rPr>
        <w:t xml:space="preserve">Norfolk </w:t>
      </w:r>
      <w:r w:rsidR="00133CFF">
        <w:rPr>
          <w:rFonts w:cstheme="minorHAnsi"/>
          <w:i/>
          <w:iCs/>
        </w:rPr>
        <w:t>P</w:t>
      </w:r>
      <w:r w:rsidRPr="00B16BD5">
        <w:rPr>
          <w:rFonts w:cstheme="minorHAnsi"/>
          <w:i/>
          <w:iCs/>
        </w:rPr>
        <w:t xml:space="preserve">auper </w:t>
      </w:r>
      <w:r w:rsidR="00133CFF">
        <w:rPr>
          <w:rFonts w:cstheme="minorHAnsi"/>
          <w:i/>
          <w:iCs/>
        </w:rPr>
        <w:t>I</w:t>
      </w:r>
      <w:r w:rsidRPr="00B16BD5">
        <w:rPr>
          <w:rFonts w:cstheme="minorHAnsi"/>
          <w:i/>
          <w:iCs/>
        </w:rPr>
        <w:t>nventories, c. 1690-1834</w:t>
      </w:r>
      <w:r w:rsidRPr="00AC51A9">
        <w:rPr>
          <w:rFonts w:cstheme="minorHAnsi"/>
        </w:rPr>
        <w:t xml:space="preserve"> (Oxford: British Academy/Oxford University Press, 2020); </w:t>
      </w:r>
      <w:r>
        <w:rPr>
          <w:rFonts w:cstheme="minorHAnsi"/>
        </w:rPr>
        <w:t>i</w:t>
      </w:r>
      <w:r w:rsidRPr="00AC51A9">
        <w:rPr>
          <w:rFonts w:cstheme="minorHAnsi"/>
        </w:rPr>
        <w:t xml:space="preserve">dem, ‘Pauper </w:t>
      </w:r>
      <w:r w:rsidR="00133CFF">
        <w:rPr>
          <w:rFonts w:cstheme="minorHAnsi"/>
        </w:rPr>
        <w:t>I</w:t>
      </w:r>
      <w:r w:rsidRPr="00AC51A9">
        <w:rPr>
          <w:rFonts w:cstheme="minorHAnsi"/>
        </w:rPr>
        <w:t xml:space="preserve">nventories, </w:t>
      </w:r>
      <w:r w:rsidR="00133CFF">
        <w:rPr>
          <w:rFonts w:cstheme="minorHAnsi"/>
        </w:rPr>
        <w:t>S</w:t>
      </w:r>
      <w:r w:rsidRPr="00AC51A9">
        <w:rPr>
          <w:rFonts w:cstheme="minorHAnsi"/>
        </w:rPr>
        <w:t xml:space="preserve">ocial </w:t>
      </w:r>
      <w:r w:rsidR="00133CFF">
        <w:rPr>
          <w:rFonts w:cstheme="minorHAnsi"/>
        </w:rPr>
        <w:t>R</w:t>
      </w:r>
      <w:r w:rsidRPr="00AC51A9">
        <w:rPr>
          <w:rFonts w:cstheme="minorHAnsi"/>
        </w:rPr>
        <w:t xml:space="preserve">elations and the </w:t>
      </w:r>
      <w:r w:rsidR="00133CFF">
        <w:rPr>
          <w:rFonts w:cstheme="minorHAnsi"/>
        </w:rPr>
        <w:t>N</w:t>
      </w:r>
      <w:r w:rsidRPr="00AC51A9">
        <w:rPr>
          <w:rFonts w:cstheme="minorHAnsi"/>
        </w:rPr>
        <w:t xml:space="preserve">ature of </w:t>
      </w:r>
      <w:r w:rsidR="00133CFF">
        <w:rPr>
          <w:rFonts w:cstheme="minorHAnsi"/>
        </w:rPr>
        <w:t>P</w:t>
      </w:r>
      <w:r w:rsidRPr="00AC51A9">
        <w:rPr>
          <w:rFonts w:cstheme="minorHAnsi"/>
        </w:rPr>
        <w:t xml:space="preserve">oor </w:t>
      </w:r>
      <w:r w:rsidR="00133CFF">
        <w:rPr>
          <w:rFonts w:cstheme="minorHAnsi"/>
        </w:rPr>
        <w:t>R</w:t>
      </w:r>
      <w:r w:rsidRPr="00AC51A9">
        <w:rPr>
          <w:rFonts w:cstheme="minorHAnsi"/>
        </w:rPr>
        <w:t xml:space="preserve">elief under the </w:t>
      </w:r>
      <w:r w:rsidR="00133CFF">
        <w:rPr>
          <w:rFonts w:cstheme="minorHAnsi"/>
        </w:rPr>
        <w:t>O</w:t>
      </w:r>
      <w:r w:rsidRPr="00AC51A9">
        <w:rPr>
          <w:rFonts w:cstheme="minorHAnsi"/>
        </w:rPr>
        <w:t xml:space="preserve">ld </w:t>
      </w:r>
      <w:r w:rsidR="00133CFF">
        <w:rPr>
          <w:rFonts w:cstheme="minorHAnsi"/>
        </w:rPr>
        <w:t>P</w:t>
      </w:r>
      <w:r w:rsidRPr="00AC51A9">
        <w:rPr>
          <w:rFonts w:cstheme="minorHAnsi"/>
        </w:rPr>
        <w:t xml:space="preserve">oor </w:t>
      </w:r>
      <w:r w:rsidR="00133CFF">
        <w:rPr>
          <w:rFonts w:cstheme="minorHAnsi"/>
        </w:rPr>
        <w:t>L</w:t>
      </w:r>
      <w:r w:rsidRPr="00AC51A9">
        <w:rPr>
          <w:rFonts w:cstheme="minorHAnsi"/>
        </w:rPr>
        <w:t xml:space="preserve">aw, England c. 1601-1834’, </w:t>
      </w:r>
      <w:r w:rsidRPr="00AC51A9">
        <w:rPr>
          <w:rFonts w:cstheme="minorHAnsi"/>
          <w:i/>
          <w:iCs/>
        </w:rPr>
        <w:t>Historical Journal</w:t>
      </w:r>
      <w:r w:rsidRPr="00AC51A9">
        <w:rPr>
          <w:rFonts w:cstheme="minorHAnsi"/>
        </w:rPr>
        <w:t xml:space="preserve">, 62 (2019), </w:t>
      </w:r>
      <w:r w:rsidR="003D25A1">
        <w:rPr>
          <w:rFonts w:cstheme="minorHAnsi"/>
        </w:rPr>
        <w:t xml:space="preserve">pp. </w:t>
      </w:r>
      <w:r w:rsidRPr="00AC51A9">
        <w:rPr>
          <w:rFonts w:cstheme="minorHAnsi"/>
        </w:rPr>
        <w:t>375-398.</w:t>
      </w:r>
    </w:p>
  </w:endnote>
  <w:endnote w:id="10">
    <w:p w14:paraId="781F801F" w14:textId="5D089E11"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These letters are transcribed in T</w:t>
      </w:r>
      <w:r w:rsidR="00133CFF">
        <w:rPr>
          <w:rFonts w:cstheme="minorHAnsi"/>
        </w:rPr>
        <w:t>.</w:t>
      </w:r>
      <w:r w:rsidRPr="00AC51A9">
        <w:rPr>
          <w:rFonts w:cstheme="minorHAnsi"/>
        </w:rPr>
        <w:t xml:space="preserve"> Sokoll</w:t>
      </w:r>
      <w:r w:rsidR="00133CFF">
        <w:rPr>
          <w:rFonts w:cstheme="minorHAnsi"/>
        </w:rPr>
        <w:t xml:space="preserve"> (</w:t>
      </w:r>
      <w:r w:rsidRPr="00AC51A9">
        <w:rPr>
          <w:rFonts w:cstheme="minorHAnsi"/>
        </w:rPr>
        <w:t>ed</w:t>
      </w:r>
      <w:r w:rsidR="00133CFF">
        <w:rPr>
          <w:rFonts w:cstheme="minorHAnsi"/>
        </w:rPr>
        <w:t>)</w:t>
      </w:r>
      <w:r w:rsidRPr="00AC51A9">
        <w:rPr>
          <w:rFonts w:cstheme="minorHAnsi"/>
        </w:rPr>
        <w:t xml:space="preserve">, </w:t>
      </w:r>
      <w:r w:rsidRPr="00AC51A9">
        <w:rPr>
          <w:rFonts w:cstheme="minorHAnsi"/>
          <w:i/>
        </w:rPr>
        <w:t xml:space="preserve">Essex </w:t>
      </w:r>
      <w:r w:rsidR="00133CFF">
        <w:rPr>
          <w:rFonts w:cstheme="minorHAnsi"/>
          <w:i/>
        </w:rPr>
        <w:t>P</w:t>
      </w:r>
      <w:r w:rsidRPr="00AC51A9">
        <w:rPr>
          <w:rFonts w:cstheme="minorHAnsi"/>
          <w:i/>
        </w:rPr>
        <w:t xml:space="preserve">auper </w:t>
      </w:r>
      <w:r w:rsidR="00133CFF">
        <w:rPr>
          <w:rFonts w:cstheme="minorHAnsi"/>
          <w:i/>
        </w:rPr>
        <w:t>L</w:t>
      </w:r>
      <w:r w:rsidRPr="00AC51A9">
        <w:rPr>
          <w:rFonts w:cstheme="minorHAnsi"/>
          <w:i/>
        </w:rPr>
        <w:t>etters, 1731-1837</w:t>
      </w:r>
      <w:r w:rsidRPr="00AC51A9">
        <w:rPr>
          <w:rFonts w:cstheme="minorHAnsi"/>
        </w:rPr>
        <w:t xml:space="preserve"> (Oxford: British Academy/Oxford University Press, 2001).</w:t>
      </w:r>
    </w:p>
  </w:endnote>
  <w:endnote w:id="11">
    <w:p w14:paraId="2981EE36" w14:textId="2D3BE4D4" w:rsidR="007458FF" w:rsidRPr="00AC51A9" w:rsidRDefault="007458FF" w:rsidP="00150565">
      <w:pPr>
        <w:pStyle w:val="EndnoteText"/>
        <w:rPr>
          <w:rFonts w:cstheme="minorHAnsi"/>
        </w:rPr>
      </w:pPr>
      <w:r w:rsidRPr="00AC51A9">
        <w:rPr>
          <w:rStyle w:val="EndnoteReference"/>
          <w:rFonts w:cstheme="minorHAnsi"/>
        </w:rPr>
        <w:endnoteRef/>
      </w:r>
      <w:r w:rsidRPr="00AC51A9">
        <w:rPr>
          <w:rFonts w:cstheme="minorHAnsi"/>
        </w:rPr>
        <w:t xml:space="preserve"> As starting points for further information on these two sources, see: </w:t>
      </w:r>
      <w:r>
        <w:rPr>
          <w:rFonts w:cstheme="minorHAnsi"/>
        </w:rPr>
        <w:t>ibid.</w:t>
      </w:r>
      <w:r w:rsidRPr="00AC51A9">
        <w:rPr>
          <w:rFonts w:cstheme="minorHAnsi"/>
        </w:rPr>
        <w:t xml:space="preserve">; </w:t>
      </w:r>
      <w:r>
        <w:rPr>
          <w:rFonts w:cstheme="minorHAnsi"/>
        </w:rPr>
        <w:t xml:space="preserve">King, </w:t>
      </w:r>
      <w:r>
        <w:rPr>
          <w:rFonts w:cstheme="minorHAnsi"/>
          <w:i/>
          <w:iCs/>
        </w:rPr>
        <w:t>Writing</w:t>
      </w:r>
      <w:r>
        <w:rPr>
          <w:rFonts w:cstheme="minorHAnsi"/>
        </w:rPr>
        <w:t xml:space="preserve">; </w:t>
      </w:r>
      <w:r w:rsidRPr="00AC51A9">
        <w:rPr>
          <w:rFonts w:cstheme="minorHAnsi"/>
        </w:rPr>
        <w:t>E</w:t>
      </w:r>
      <w:r w:rsidR="00133CFF">
        <w:rPr>
          <w:rFonts w:cstheme="minorHAnsi"/>
        </w:rPr>
        <w:t>.</w:t>
      </w:r>
      <w:r w:rsidRPr="00AC51A9">
        <w:rPr>
          <w:rFonts w:cstheme="minorHAnsi"/>
        </w:rPr>
        <w:t xml:space="preserve"> Griffin, </w:t>
      </w:r>
      <w:r w:rsidRPr="00AC51A9">
        <w:rPr>
          <w:rFonts w:cstheme="minorHAnsi"/>
          <w:i/>
        </w:rPr>
        <w:t xml:space="preserve">Liberty’s </w:t>
      </w:r>
      <w:r w:rsidR="00133CFF">
        <w:rPr>
          <w:rFonts w:cstheme="minorHAnsi"/>
          <w:i/>
        </w:rPr>
        <w:t>D</w:t>
      </w:r>
      <w:r w:rsidRPr="00AC51A9">
        <w:rPr>
          <w:rFonts w:cstheme="minorHAnsi"/>
          <w:i/>
        </w:rPr>
        <w:t xml:space="preserve">awn: A </w:t>
      </w:r>
      <w:r w:rsidR="00133CFF">
        <w:rPr>
          <w:rFonts w:cstheme="minorHAnsi"/>
          <w:i/>
        </w:rPr>
        <w:t>P</w:t>
      </w:r>
      <w:r w:rsidRPr="00AC51A9">
        <w:rPr>
          <w:rFonts w:cstheme="minorHAnsi"/>
          <w:i/>
        </w:rPr>
        <w:t xml:space="preserve">eople’s </w:t>
      </w:r>
      <w:r w:rsidR="00133CFF">
        <w:rPr>
          <w:rFonts w:cstheme="minorHAnsi"/>
          <w:i/>
        </w:rPr>
        <w:t>H</w:t>
      </w:r>
      <w:r w:rsidRPr="00AC51A9">
        <w:rPr>
          <w:rFonts w:cstheme="minorHAnsi"/>
          <w:i/>
        </w:rPr>
        <w:t xml:space="preserve">istory of the </w:t>
      </w:r>
      <w:r w:rsidR="00133CFF">
        <w:rPr>
          <w:rFonts w:cstheme="minorHAnsi"/>
          <w:i/>
        </w:rPr>
        <w:t>I</w:t>
      </w:r>
      <w:r w:rsidRPr="00AC51A9">
        <w:rPr>
          <w:rFonts w:cstheme="minorHAnsi"/>
          <w:i/>
        </w:rPr>
        <w:t xml:space="preserve">ndustrial </w:t>
      </w:r>
      <w:r w:rsidR="00133CFF">
        <w:rPr>
          <w:rFonts w:cstheme="minorHAnsi"/>
          <w:i/>
        </w:rPr>
        <w:t>R</w:t>
      </w:r>
      <w:r w:rsidRPr="00AC51A9">
        <w:rPr>
          <w:rFonts w:cstheme="minorHAnsi"/>
          <w:i/>
        </w:rPr>
        <w:t>evolution</w:t>
      </w:r>
      <w:r w:rsidRPr="00AC51A9">
        <w:rPr>
          <w:rFonts w:cstheme="minorHAnsi"/>
        </w:rPr>
        <w:t xml:space="preserve"> (New Haven: Yale University Press, 2013), </w:t>
      </w:r>
      <w:r w:rsidR="003D25A1">
        <w:rPr>
          <w:rFonts w:cstheme="minorHAnsi"/>
        </w:rPr>
        <w:t xml:space="preserve">pp. </w:t>
      </w:r>
      <w:r w:rsidRPr="00AC51A9">
        <w:rPr>
          <w:rFonts w:cstheme="minorHAnsi"/>
        </w:rPr>
        <w:t>5-10</w:t>
      </w:r>
      <w:r>
        <w:rPr>
          <w:rFonts w:cstheme="minorHAnsi"/>
        </w:rPr>
        <w:t xml:space="preserve">; Griffin, </w:t>
      </w:r>
      <w:r>
        <w:rPr>
          <w:rFonts w:cstheme="minorHAnsi"/>
          <w:i/>
          <w:iCs/>
        </w:rPr>
        <w:t xml:space="preserve">Bread </w:t>
      </w:r>
      <w:r w:rsidR="00133CFF">
        <w:rPr>
          <w:rFonts w:cstheme="minorHAnsi"/>
          <w:i/>
          <w:iCs/>
        </w:rPr>
        <w:t>W</w:t>
      </w:r>
      <w:r>
        <w:rPr>
          <w:rFonts w:cstheme="minorHAnsi"/>
          <w:i/>
          <w:iCs/>
        </w:rPr>
        <w:t>inner</w:t>
      </w:r>
      <w:r>
        <w:rPr>
          <w:rFonts w:cstheme="minorHAnsi"/>
        </w:rPr>
        <w:t xml:space="preserve">, </w:t>
      </w:r>
      <w:r w:rsidR="003D25A1">
        <w:rPr>
          <w:rFonts w:cstheme="minorHAnsi"/>
        </w:rPr>
        <w:t xml:space="preserve">pp. </w:t>
      </w:r>
      <w:r>
        <w:rPr>
          <w:rFonts w:cstheme="minorHAnsi"/>
        </w:rPr>
        <w:t>8-23</w:t>
      </w:r>
      <w:r w:rsidRPr="00AC51A9">
        <w:rPr>
          <w:rFonts w:cstheme="minorHAnsi"/>
        </w:rPr>
        <w:t>.</w:t>
      </w:r>
    </w:p>
  </w:endnote>
  <w:endnote w:id="12">
    <w:p w14:paraId="0164903A" w14:textId="4825787A" w:rsidR="007458FF" w:rsidRPr="00C25A88" w:rsidRDefault="007458FF">
      <w:pPr>
        <w:pStyle w:val="EndnoteText"/>
        <w:rPr>
          <w:rFonts w:cstheme="minorHAnsi"/>
        </w:rPr>
      </w:pPr>
      <w:r w:rsidRPr="00C25A88">
        <w:rPr>
          <w:rStyle w:val="EndnoteReference"/>
          <w:rFonts w:cstheme="minorHAnsi"/>
        </w:rPr>
        <w:endnoteRef/>
      </w:r>
      <w:r w:rsidRPr="00C25A88">
        <w:rPr>
          <w:rFonts w:cstheme="minorHAnsi"/>
        </w:rPr>
        <w:t xml:space="preserve"> </w:t>
      </w:r>
      <w:r>
        <w:rPr>
          <w:rFonts w:cstheme="minorHAnsi"/>
        </w:rPr>
        <w:t xml:space="preserve">King, </w:t>
      </w:r>
      <w:r>
        <w:rPr>
          <w:rFonts w:cstheme="minorHAnsi"/>
          <w:i/>
          <w:iCs/>
        </w:rPr>
        <w:t>Writing</w:t>
      </w:r>
      <w:r>
        <w:rPr>
          <w:rFonts w:cstheme="minorHAnsi"/>
        </w:rPr>
        <w:t xml:space="preserve">, </w:t>
      </w:r>
      <w:r w:rsidR="003D25A1">
        <w:rPr>
          <w:rFonts w:cstheme="minorHAnsi"/>
        </w:rPr>
        <w:t xml:space="preserve">pp. </w:t>
      </w:r>
      <w:r>
        <w:rPr>
          <w:rFonts w:cstheme="minorHAnsi"/>
        </w:rPr>
        <w:t>40-42;</w:t>
      </w:r>
      <w:r>
        <w:rPr>
          <w:rFonts w:cstheme="minorHAnsi"/>
          <w:i/>
          <w:iCs/>
        </w:rPr>
        <w:t xml:space="preserve"> </w:t>
      </w:r>
      <w:r w:rsidRPr="00C25A88">
        <w:rPr>
          <w:rFonts w:cstheme="minorHAnsi"/>
        </w:rPr>
        <w:t xml:space="preserve">Harley, </w:t>
      </w:r>
      <w:r w:rsidRPr="00C25A88">
        <w:rPr>
          <w:rFonts w:cstheme="minorHAnsi"/>
          <w:i/>
          <w:iCs/>
        </w:rPr>
        <w:t xml:space="preserve">Norfolk </w:t>
      </w:r>
      <w:r w:rsidR="00133CFF">
        <w:rPr>
          <w:rFonts w:cstheme="minorHAnsi"/>
          <w:i/>
          <w:iCs/>
        </w:rPr>
        <w:t>P</w:t>
      </w:r>
      <w:r w:rsidRPr="00C25A88">
        <w:rPr>
          <w:rFonts w:cstheme="minorHAnsi"/>
          <w:i/>
          <w:iCs/>
        </w:rPr>
        <w:t xml:space="preserve">auper </w:t>
      </w:r>
      <w:r w:rsidR="00133CFF">
        <w:rPr>
          <w:rFonts w:cstheme="minorHAnsi"/>
          <w:i/>
          <w:iCs/>
        </w:rPr>
        <w:t>I</w:t>
      </w:r>
      <w:r w:rsidRPr="00C25A88">
        <w:rPr>
          <w:rFonts w:cstheme="minorHAnsi"/>
          <w:i/>
          <w:iCs/>
        </w:rPr>
        <w:t>nventories</w:t>
      </w:r>
      <w:r w:rsidRPr="00C25A88">
        <w:rPr>
          <w:rFonts w:cstheme="minorHAnsi"/>
        </w:rPr>
        <w:t xml:space="preserve">, </w:t>
      </w:r>
      <w:r w:rsidR="003D25A1">
        <w:rPr>
          <w:rFonts w:cstheme="minorHAnsi"/>
        </w:rPr>
        <w:t xml:space="preserve">pp. </w:t>
      </w:r>
      <w:r w:rsidRPr="00C25A88">
        <w:rPr>
          <w:rFonts w:cstheme="minorHAnsi"/>
        </w:rPr>
        <w:t>67-68</w:t>
      </w:r>
      <w:r>
        <w:rPr>
          <w:rFonts w:cstheme="minorHAnsi"/>
        </w:rPr>
        <w:t>.</w:t>
      </w:r>
    </w:p>
  </w:endnote>
  <w:endnote w:id="13">
    <w:p w14:paraId="67770C8F" w14:textId="3C19CA99" w:rsidR="007458FF" w:rsidRPr="003F3966" w:rsidRDefault="007458FF" w:rsidP="00052B54">
      <w:pPr>
        <w:pStyle w:val="EndnoteText"/>
        <w:rPr>
          <w:rFonts w:cstheme="minorHAnsi"/>
        </w:rPr>
      </w:pPr>
      <w:r w:rsidRPr="00AC51A9">
        <w:rPr>
          <w:rStyle w:val="EndnoteReference"/>
          <w:rFonts w:cstheme="minorHAnsi"/>
        </w:rPr>
        <w:endnoteRef/>
      </w:r>
      <w:r w:rsidRPr="00AC51A9">
        <w:rPr>
          <w:rFonts w:cstheme="minorHAnsi"/>
        </w:rPr>
        <w:t xml:space="preserve"> C</w:t>
      </w:r>
      <w:r w:rsidR="00133CFF">
        <w:rPr>
          <w:rFonts w:cstheme="minorHAnsi"/>
        </w:rPr>
        <w:t>.</w:t>
      </w:r>
      <w:r w:rsidRPr="00AC51A9">
        <w:rPr>
          <w:rFonts w:cstheme="minorHAnsi"/>
        </w:rPr>
        <w:t xml:space="preserve"> Shammas, </w:t>
      </w:r>
      <w:r w:rsidRPr="00AC51A9">
        <w:rPr>
          <w:rFonts w:cstheme="minorHAnsi"/>
          <w:i/>
          <w:iCs/>
        </w:rPr>
        <w:t xml:space="preserve">The </w:t>
      </w:r>
      <w:r w:rsidR="00133CFF">
        <w:rPr>
          <w:rFonts w:cstheme="minorHAnsi"/>
          <w:i/>
          <w:iCs/>
        </w:rPr>
        <w:t>P</w:t>
      </w:r>
      <w:r w:rsidRPr="00AC51A9">
        <w:rPr>
          <w:rFonts w:cstheme="minorHAnsi"/>
          <w:i/>
          <w:iCs/>
        </w:rPr>
        <w:t xml:space="preserve">re-industrial </w:t>
      </w:r>
      <w:r w:rsidR="00133CFF">
        <w:rPr>
          <w:rFonts w:cstheme="minorHAnsi"/>
          <w:i/>
          <w:iCs/>
        </w:rPr>
        <w:t>C</w:t>
      </w:r>
      <w:r w:rsidRPr="00AC51A9">
        <w:rPr>
          <w:rFonts w:cstheme="minorHAnsi"/>
          <w:i/>
          <w:iCs/>
        </w:rPr>
        <w:t xml:space="preserve">onsumer in England and America </w:t>
      </w:r>
      <w:r w:rsidRPr="00AC51A9">
        <w:rPr>
          <w:rFonts w:cstheme="minorHAnsi"/>
        </w:rPr>
        <w:t xml:space="preserve">(Oxford: Clarendon Press, 1990), </w:t>
      </w:r>
      <w:r w:rsidR="003D25A1">
        <w:rPr>
          <w:rFonts w:cstheme="minorHAnsi"/>
        </w:rPr>
        <w:t xml:space="preserve">pp. </w:t>
      </w:r>
      <w:r w:rsidRPr="00AC51A9">
        <w:rPr>
          <w:rFonts w:cstheme="minorHAnsi"/>
        </w:rPr>
        <w:t>123-133; C</w:t>
      </w:r>
      <w:r w:rsidR="00133CFF">
        <w:rPr>
          <w:rFonts w:cstheme="minorHAnsi"/>
        </w:rPr>
        <w:t xml:space="preserve">. </w:t>
      </w:r>
      <w:r w:rsidRPr="00AC51A9">
        <w:rPr>
          <w:rFonts w:cstheme="minorHAnsi"/>
        </w:rPr>
        <w:t xml:space="preserve">Muldrew, </w:t>
      </w:r>
      <w:r w:rsidRPr="00AC51A9">
        <w:rPr>
          <w:rFonts w:cstheme="minorHAnsi"/>
          <w:i/>
          <w:iCs/>
        </w:rPr>
        <w:t xml:space="preserve">Food, </w:t>
      </w:r>
      <w:r w:rsidR="00133CFF">
        <w:rPr>
          <w:rFonts w:cstheme="minorHAnsi"/>
          <w:i/>
          <w:iCs/>
        </w:rPr>
        <w:t>E</w:t>
      </w:r>
      <w:r w:rsidRPr="00AC51A9">
        <w:rPr>
          <w:rFonts w:cstheme="minorHAnsi"/>
          <w:i/>
          <w:iCs/>
        </w:rPr>
        <w:t xml:space="preserve">nergy and the </w:t>
      </w:r>
      <w:r w:rsidR="00133CFF">
        <w:rPr>
          <w:rFonts w:cstheme="minorHAnsi"/>
          <w:i/>
          <w:iCs/>
        </w:rPr>
        <w:t>C</w:t>
      </w:r>
      <w:r w:rsidRPr="00AC51A9">
        <w:rPr>
          <w:rFonts w:cstheme="minorHAnsi"/>
          <w:i/>
          <w:iCs/>
        </w:rPr>
        <w:t xml:space="preserve">reation of </w:t>
      </w:r>
      <w:r w:rsidR="00133CFF">
        <w:rPr>
          <w:rFonts w:cstheme="minorHAnsi"/>
          <w:i/>
          <w:iCs/>
        </w:rPr>
        <w:t>I</w:t>
      </w:r>
      <w:r w:rsidRPr="00AC51A9">
        <w:rPr>
          <w:rFonts w:cstheme="minorHAnsi"/>
          <w:i/>
          <w:iCs/>
        </w:rPr>
        <w:t xml:space="preserve">ndustriousness: Work and </w:t>
      </w:r>
      <w:r w:rsidR="00133CFF">
        <w:rPr>
          <w:rFonts w:cstheme="minorHAnsi"/>
          <w:i/>
          <w:iCs/>
        </w:rPr>
        <w:t>M</w:t>
      </w:r>
      <w:r w:rsidRPr="00AC51A9">
        <w:rPr>
          <w:rFonts w:cstheme="minorHAnsi"/>
          <w:i/>
          <w:iCs/>
        </w:rPr>
        <w:t xml:space="preserve">aterial </w:t>
      </w:r>
      <w:r w:rsidR="00133CFF">
        <w:rPr>
          <w:rFonts w:cstheme="minorHAnsi"/>
          <w:i/>
          <w:iCs/>
        </w:rPr>
        <w:t>C</w:t>
      </w:r>
      <w:r w:rsidRPr="00AC51A9">
        <w:rPr>
          <w:rFonts w:cstheme="minorHAnsi"/>
          <w:i/>
          <w:iCs/>
        </w:rPr>
        <w:t xml:space="preserve">ulture in </w:t>
      </w:r>
      <w:r w:rsidR="00133CFF">
        <w:rPr>
          <w:rFonts w:cstheme="minorHAnsi"/>
          <w:i/>
          <w:iCs/>
        </w:rPr>
        <w:t>A</w:t>
      </w:r>
      <w:r w:rsidRPr="00AC51A9">
        <w:rPr>
          <w:rFonts w:cstheme="minorHAnsi"/>
          <w:i/>
          <w:iCs/>
        </w:rPr>
        <w:t>grarian England, 1550-1780</w:t>
      </w:r>
      <w:r w:rsidRPr="00AC51A9">
        <w:rPr>
          <w:rFonts w:cstheme="minorHAnsi"/>
        </w:rPr>
        <w:t xml:space="preserve"> (Cambridge: Cambridge University Press, 2011), </w:t>
      </w:r>
      <w:r w:rsidR="003D25A1">
        <w:rPr>
          <w:rFonts w:cstheme="minorHAnsi"/>
        </w:rPr>
        <w:t xml:space="preserve">pp. </w:t>
      </w:r>
      <w:r w:rsidRPr="00AC51A9">
        <w:rPr>
          <w:rFonts w:cstheme="minorHAnsi"/>
        </w:rPr>
        <w:t>29</w:t>
      </w:r>
      <w:r>
        <w:rPr>
          <w:rFonts w:cstheme="minorHAnsi"/>
        </w:rPr>
        <w:t xml:space="preserve">; Griffin, </w:t>
      </w:r>
      <w:r>
        <w:rPr>
          <w:rFonts w:cstheme="minorHAnsi"/>
          <w:i/>
          <w:iCs/>
        </w:rPr>
        <w:t xml:space="preserve">Bread </w:t>
      </w:r>
      <w:r w:rsidR="00133CFF">
        <w:rPr>
          <w:rFonts w:cstheme="minorHAnsi"/>
          <w:i/>
          <w:iCs/>
        </w:rPr>
        <w:t>W</w:t>
      </w:r>
      <w:r>
        <w:rPr>
          <w:rFonts w:cstheme="minorHAnsi"/>
          <w:i/>
          <w:iCs/>
        </w:rPr>
        <w:t>inner</w:t>
      </w:r>
      <w:r>
        <w:rPr>
          <w:rFonts w:cstheme="minorHAnsi"/>
        </w:rPr>
        <w:t xml:space="preserve">, </w:t>
      </w:r>
      <w:r w:rsidR="003D25A1">
        <w:rPr>
          <w:rFonts w:cstheme="minorHAnsi"/>
        </w:rPr>
        <w:t xml:space="preserve">pp. </w:t>
      </w:r>
      <w:r>
        <w:rPr>
          <w:rFonts w:cstheme="minorHAnsi"/>
        </w:rPr>
        <w:t>193-226.</w:t>
      </w:r>
    </w:p>
  </w:endnote>
  <w:endnote w:id="14">
    <w:p w14:paraId="73ABDDA3" w14:textId="37B17E47" w:rsidR="007458FF" w:rsidRPr="00C25A88" w:rsidRDefault="007458FF">
      <w:pPr>
        <w:pStyle w:val="EndnoteText"/>
        <w:rPr>
          <w:rFonts w:cstheme="minorHAnsi"/>
        </w:rPr>
      </w:pPr>
      <w:r w:rsidRPr="00C25A88">
        <w:rPr>
          <w:rStyle w:val="EndnoteReference"/>
          <w:rFonts w:cstheme="minorHAnsi"/>
        </w:rPr>
        <w:endnoteRef/>
      </w:r>
      <w:r w:rsidRPr="00C25A88">
        <w:rPr>
          <w:rFonts w:cstheme="minorHAnsi"/>
        </w:rPr>
        <w:t xml:space="preserve"> Sokoll, </w:t>
      </w:r>
      <w:r w:rsidRPr="00C25A88">
        <w:rPr>
          <w:rFonts w:cstheme="minorHAnsi"/>
          <w:i/>
          <w:iCs/>
        </w:rPr>
        <w:t xml:space="preserve">Pauper </w:t>
      </w:r>
      <w:r w:rsidR="00133CFF">
        <w:rPr>
          <w:rFonts w:cstheme="minorHAnsi"/>
          <w:i/>
          <w:iCs/>
        </w:rPr>
        <w:t>L</w:t>
      </w:r>
      <w:r w:rsidRPr="00C25A88">
        <w:rPr>
          <w:rFonts w:cstheme="minorHAnsi"/>
          <w:i/>
          <w:iCs/>
        </w:rPr>
        <w:t>etters</w:t>
      </w:r>
      <w:r w:rsidRPr="00C25A88">
        <w:rPr>
          <w:rFonts w:cstheme="minorHAnsi"/>
        </w:rPr>
        <w:t xml:space="preserve">, </w:t>
      </w:r>
      <w:r w:rsidR="003D25A1">
        <w:rPr>
          <w:rFonts w:cstheme="minorHAnsi"/>
        </w:rPr>
        <w:t xml:space="preserve">p. </w:t>
      </w:r>
      <w:r w:rsidRPr="00C25A88">
        <w:rPr>
          <w:rFonts w:cstheme="minorHAnsi"/>
        </w:rPr>
        <w:t>177.</w:t>
      </w:r>
    </w:p>
  </w:endnote>
  <w:endnote w:id="15">
    <w:p w14:paraId="79A5B471" w14:textId="497E4B8B" w:rsidR="007458FF" w:rsidRPr="00AC51A9" w:rsidRDefault="007458FF" w:rsidP="000D0CD9">
      <w:pPr>
        <w:pStyle w:val="EndnoteText"/>
        <w:rPr>
          <w:rFonts w:cstheme="minorHAnsi"/>
        </w:rPr>
      </w:pPr>
      <w:r w:rsidRPr="00C25A88">
        <w:rPr>
          <w:rStyle w:val="EndnoteReference"/>
          <w:rFonts w:cstheme="minorHAnsi"/>
        </w:rPr>
        <w:endnoteRef/>
      </w:r>
      <w:r w:rsidRPr="00C25A88">
        <w:rPr>
          <w:rFonts w:cstheme="minorHAnsi"/>
        </w:rPr>
        <w:t xml:space="preserve"> Ibid., </w:t>
      </w:r>
      <w:r w:rsidR="003D25A1">
        <w:rPr>
          <w:rFonts w:cstheme="minorHAnsi"/>
        </w:rPr>
        <w:t xml:space="preserve">p. </w:t>
      </w:r>
      <w:r w:rsidRPr="00C25A88">
        <w:rPr>
          <w:rFonts w:cstheme="minorHAnsi"/>
        </w:rPr>
        <w:t>263.</w:t>
      </w:r>
    </w:p>
  </w:endnote>
  <w:endnote w:id="16">
    <w:p w14:paraId="2F159A3C" w14:textId="74F77C6F" w:rsidR="007458FF" w:rsidRPr="00AC51A9" w:rsidRDefault="007458FF" w:rsidP="00E340C2">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458. My italics.</w:t>
      </w:r>
    </w:p>
  </w:endnote>
  <w:endnote w:id="17">
    <w:p w14:paraId="45CCB9BA" w14:textId="7BD2E7EB" w:rsidR="007458FF" w:rsidRPr="00AC51A9" w:rsidRDefault="007458FF" w:rsidP="0016608C">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409.</w:t>
      </w:r>
    </w:p>
  </w:endnote>
  <w:endnote w:id="18">
    <w:p w14:paraId="59FDFA19" w14:textId="1258B513" w:rsidR="007458FF" w:rsidRPr="00AC51A9" w:rsidRDefault="007458FF" w:rsidP="0016608C">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477.</w:t>
      </w:r>
    </w:p>
  </w:endnote>
  <w:endnote w:id="19">
    <w:p w14:paraId="7F706FA3" w14:textId="614AABA2" w:rsidR="007458FF" w:rsidRPr="00AC51A9" w:rsidRDefault="007458FF" w:rsidP="0016608C">
      <w:pPr>
        <w:pStyle w:val="EndnoteText"/>
        <w:rPr>
          <w:rFonts w:cstheme="minorHAnsi"/>
        </w:rPr>
      </w:pPr>
      <w:r w:rsidRPr="00AC51A9">
        <w:rPr>
          <w:rStyle w:val="EndnoteReference"/>
          <w:rFonts w:cstheme="minorHAnsi"/>
        </w:rPr>
        <w:endnoteRef/>
      </w:r>
      <w:r w:rsidRPr="00AC51A9">
        <w:rPr>
          <w:rFonts w:cstheme="minorHAnsi"/>
        </w:rPr>
        <w:t xml:space="preserve"> </w:t>
      </w:r>
      <w:r w:rsidR="00133CFF">
        <w:rPr>
          <w:rFonts w:cstheme="minorHAnsi"/>
        </w:rPr>
        <w:t>A.</w:t>
      </w:r>
      <w:r w:rsidRPr="00AC51A9">
        <w:rPr>
          <w:rFonts w:cstheme="minorHAnsi"/>
        </w:rPr>
        <w:t xml:space="preserve"> Kussmaul</w:t>
      </w:r>
      <w:r w:rsidR="00133CFF">
        <w:rPr>
          <w:rFonts w:cstheme="minorHAnsi"/>
        </w:rPr>
        <w:t xml:space="preserve"> (</w:t>
      </w:r>
      <w:r w:rsidRPr="00AC51A9">
        <w:rPr>
          <w:rFonts w:cstheme="minorHAnsi"/>
        </w:rPr>
        <w:t>ed</w:t>
      </w:r>
      <w:r w:rsidR="00133CFF">
        <w:rPr>
          <w:rFonts w:cstheme="minorHAnsi"/>
        </w:rPr>
        <w:t>)</w:t>
      </w:r>
      <w:r w:rsidRPr="00AC51A9">
        <w:rPr>
          <w:rFonts w:cstheme="minorHAnsi"/>
        </w:rPr>
        <w:t xml:space="preserve">, </w:t>
      </w:r>
      <w:r w:rsidRPr="00AC51A9">
        <w:rPr>
          <w:rFonts w:cstheme="minorHAnsi"/>
          <w:i/>
          <w:iCs/>
        </w:rPr>
        <w:t xml:space="preserve">The </w:t>
      </w:r>
      <w:r w:rsidR="00133CFF">
        <w:rPr>
          <w:rFonts w:cstheme="minorHAnsi"/>
          <w:i/>
          <w:iCs/>
        </w:rPr>
        <w:t>A</w:t>
      </w:r>
      <w:r w:rsidRPr="00AC51A9">
        <w:rPr>
          <w:rFonts w:cstheme="minorHAnsi"/>
          <w:i/>
          <w:iCs/>
        </w:rPr>
        <w:t>utobiography of Joseph Mayett of Quainton (1783-1839)</w:t>
      </w:r>
      <w:r w:rsidRPr="00AC51A9">
        <w:rPr>
          <w:rFonts w:cstheme="minorHAnsi"/>
        </w:rPr>
        <w:t xml:space="preserve"> (Chesham: Buckingham Record Society, 1986), </w:t>
      </w:r>
      <w:r w:rsidR="003D25A1">
        <w:rPr>
          <w:rFonts w:cstheme="minorHAnsi"/>
        </w:rPr>
        <w:t xml:space="preserve">p. </w:t>
      </w:r>
      <w:r w:rsidRPr="00AC51A9">
        <w:rPr>
          <w:rFonts w:cstheme="minorHAnsi"/>
        </w:rPr>
        <w:t>65.</w:t>
      </w:r>
    </w:p>
  </w:endnote>
  <w:endnote w:id="20">
    <w:p w14:paraId="1777C943" w14:textId="5310012B" w:rsidR="007458FF" w:rsidRPr="00AC51A9" w:rsidRDefault="007458FF" w:rsidP="0016608C">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Pauper letters</w:t>
      </w:r>
      <w:r w:rsidRPr="00AC51A9">
        <w:rPr>
          <w:rFonts w:cstheme="minorHAnsi"/>
        </w:rPr>
        <w:t xml:space="preserve">, </w:t>
      </w:r>
      <w:r w:rsidR="003D25A1">
        <w:rPr>
          <w:rFonts w:cstheme="minorHAnsi"/>
        </w:rPr>
        <w:t xml:space="preserve">p. </w:t>
      </w:r>
      <w:r w:rsidRPr="00AC51A9">
        <w:rPr>
          <w:rFonts w:cstheme="minorHAnsi"/>
        </w:rPr>
        <w:t>533.</w:t>
      </w:r>
    </w:p>
  </w:endnote>
  <w:endnote w:id="21">
    <w:p w14:paraId="6970CB5B" w14:textId="276F0B68" w:rsidR="007458FF" w:rsidRPr="00AC51A9" w:rsidRDefault="007458FF" w:rsidP="0016608C">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170.</w:t>
      </w:r>
    </w:p>
  </w:endnote>
  <w:endnote w:id="22">
    <w:p w14:paraId="27364EDB" w14:textId="05B7A909" w:rsidR="007458FF" w:rsidRPr="00AC51A9" w:rsidRDefault="007458FF" w:rsidP="0016608C">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281.</w:t>
      </w:r>
    </w:p>
  </w:endnote>
  <w:endnote w:id="23">
    <w:p w14:paraId="697BF781" w14:textId="6135D868" w:rsidR="007458FF" w:rsidRPr="002D7A6B" w:rsidRDefault="007458FF" w:rsidP="0016608C">
      <w:pPr>
        <w:pStyle w:val="EndnoteText"/>
        <w:rPr>
          <w:rFonts w:cstheme="minorHAnsi"/>
        </w:rPr>
      </w:pPr>
      <w:r w:rsidRPr="002D7A6B">
        <w:rPr>
          <w:rStyle w:val="EndnoteReference"/>
          <w:rFonts w:cstheme="minorHAnsi"/>
        </w:rPr>
        <w:endnoteRef/>
      </w:r>
      <w:r w:rsidRPr="002D7A6B">
        <w:rPr>
          <w:rFonts w:cstheme="minorHAnsi"/>
        </w:rPr>
        <w:t xml:space="preserve"> </w:t>
      </w:r>
      <w:r>
        <w:rPr>
          <w:rFonts w:cstheme="minorHAnsi"/>
        </w:rPr>
        <w:t xml:space="preserve">King, </w:t>
      </w:r>
      <w:r>
        <w:rPr>
          <w:rFonts w:cstheme="minorHAnsi"/>
          <w:i/>
          <w:iCs/>
        </w:rPr>
        <w:t>Writing</w:t>
      </w:r>
      <w:r>
        <w:rPr>
          <w:rFonts w:cstheme="minorHAnsi"/>
        </w:rPr>
        <w:t xml:space="preserve">, </w:t>
      </w:r>
      <w:r w:rsidR="003D25A1">
        <w:rPr>
          <w:rFonts w:cstheme="minorHAnsi"/>
        </w:rPr>
        <w:t xml:space="preserve">pp. </w:t>
      </w:r>
      <w:r>
        <w:rPr>
          <w:rFonts w:cstheme="minorHAnsi"/>
        </w:rPr>
        <w:t>266-267;</w:t>
      </w:r>
      <w:r>
        <w:rPr>
          <w:rFonts w:cstheme="minorHAnsi"/>
          <w:i/>
          <w:iCs/>
        </w:rPr>
        <w:t xml:space="preserve"> </w:t>
      </w:r>
      <w:r w:rsidRPr="002D7A6B">
        <w:rPr>
          <w:rFonts w:cstheme="minorHAnsi"/>
        </w:rPr>
        <w:t>P</w:t>
      </w:r>
      <w:r w:rsidR="00133CFF">
        <w:rPr>
          <w:rFonts w:cstheme="minorHAnsi"/>
        </w:rPr>
        <w:t>.</w:t>
      </w:r>
      <w:r w:rsidRPr="002D7A6B">
        <w:rPr>
          <w:rFonts w:cstheme="minorHAnsi"/>
        </w:rPr>
        <w:t xml:space="preserve"> Jones, ‘“I cannot keep my place without being deascent”: Pauper </w:t>
      </w:r>
      <w:r w:rsidR="00C50B7C">
        <w:rPr>
          <w:rFonts w:cstheme="minorHAnsi"/>
        </w:rPr>
        <w:t>L</w:t>
      </w:r>
      <w:r w:rsidRPr="002D7A6B">
        <w:rPr>
          <w:rFonts w:cstheme="minorHAnsi"/>
        </w:rPr>
        <w:t xml:space="preserve">etters, </w:t>
      </w:r>
      <w:r w:rsidR="00C50B7C">
        <w:rPr>
          <w:rFonts w:cstheme="minorHAnsi"/>
        </w:rPr>
        <w:t>P</w:t>
      </w:r>
      <w:r w:rsidRPr="002D7A6B">
        <w:rPr>
          <w:rFonts w:cstheme="minorHAnsi"/>
        </w:rPr>
        <w:t xml:space="preserve">arish </w:t>
      </w:r>
      <w:r w:rsidR="00C50B7C">
        <w:rPr>
          <w:rFonts w:cstheme="minorHAnsi"/>
        </w:rPr>
        <w:t>C</w:t>
      </w:r>
      <w:r w:rsidRPr="002D7A6B">
        <w:rPr>
          <w:rFonts w:cstheme="minorHAnsi"/>
        </w:rPr>
        <w:t xml:space="preserve">lothing and </w:t>
      </w:r>
      <w:r w:rsidR="00C50B7C">
        <w:rPr>
          <w:rFonts w:cstheme="minorHAnsi"/>
        </w:rPr>
        <w:t>P</w:t>
      </w:r>
      <w:r w:rsidRPr="002D7A6B">
        <w:rPr>
          <w:rFonts w:cstheme="minorHAnsi"/>
        </w:rPr>
        <w:t xml:space="preserve">ragmatism in the </w:t>
      </w:r>
      <w:r w:rsidR="00C50B7C">
        <w:rPr>
          <w:rFonts w:cstheme="minorHAnsi"/>
        </w:rPr>
        <w:t>S</w:t>
      </w:r>
      <w:r w:rsidRPr="002D7A6B">
        <w:rPr>
          <w:rFonts w:cstheme="minorHAnsi"/>
        </w:rPr>
        <w:t xml:space="preserve">outh of England, 1750-1830’, </w:t>
      </w:r>
      <w:r w:rsidRPr="002D7A6B">
        <w:rPr>
          <w:rFonts w:cstheme="minorHAnsi"/>
          <w:i/>
          <w:iCs/>
        </w:rPr>
        <w:t>Rural History</w:t>
      </w:r>
      <w:r w:rsidRPr="002D7A6B">
        <w:rPr>
          <w:rFonts w:cstheme="minorHAnsi"/>
        </w:rPr>
        <w:t xml:space="preserve">, 20 (2009), </w:t>
      </w:r>
      <w:r w:rsidR="003D25A1">
        <w:rPr>
          <w:rFonts w:cstheme="minorHAnsi"/>
        </w:rPr>
        <w:t xml:space="preserve">pp. </w:t>
      </w:r>
      <w:r>
        <w:rPr>
          <w:rFonts w:cstheme="minorHAnsi"/>
        </w:rPr>
        <w:t>33-38.</w:t>
      </w:r>
    </w:p>
  </w:endnote>
  <w:endnote w:id="24">
    <w:p w14:paraId="53D308CC" w14:textId="6B9FCEAD" w:rsidR="007458FF" w:rsidRPr="00AC51A9" w:rsidRDefault="007458FF" w:rsidP="0016608C">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 xml:space="preserve">Pauper </w:t>
      </w:r>
      <w:r w:rsidR="00C50B7C">
        <w:rPr>
          <w:rFonts w:cstheme="minorHAnsi"/>
          <w:i/>
        </w:rPr>
        <w:t>L</w:t>
      </w:r>
      <w:r w:rsidRPr="00AC51A9">
        <w:rPr>
          <w:rFonts w:cstheme="minorHAnsi"/>
          <w:i/>
        </w:rPr>
        <w:t>etters</w:t>
      </w:r>
      <w:r w:rsidRPr="00AC51A9">
        <w:rPr>
          <w:rFonts w:cstheme="minorHAnsi"/>
        </w:rPr>
        <w:t xml:space="preserve">, </w:t>
      </w:r>
      <w:r w:rsidR="003D25A1">
        <w:rPr>
          <w:rFonts w:cstheme="minorHAnsi"/>
        </w:rPr>
        <w:t xml:space="preserve">p. </w:t>
      </w:r>
      <w:r w:rsidRPr="00AC51A9">
        <w:rPr>
          <w:rFonts w:cstheme="minorHAnsi"/>
        </w:rPr>
        <w:t>376.</w:t>
      </w:r>
    </w:p>
  </w:endnote>
  <w:endnote w:id="25">
    <w:p w14:paraId="62055A64" w14:textId="4E748E7C" w:rsidR="007458FF" w:rsidRPr="00AC51A9" w:rsidRDefault="007458FF" w:rsidP="0016608C">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pp. </w:t>
      </w:r>
      <w:r w:rsidRPr="00AC51A9">
        <w:rPr>
          <w:rFonts w:cstheme="minorHAnsi"/>
        </w:rPr>
        <w:t>567.</w:t>
      </w:r>
    </w:p>
  </w:endnote>
  <w:endnote w:id="26">
    <w:p w14:paraId="0487F089" w14:textId="79F8F4C9" w:rsidR="007458FF" w:rsidRPr="00AC51A9" w:rsidRDefault="007458FF" w:rsidP="000D2C38">
      <w:pPr>
        <w:pStyle w:val="EndnoteText"/>
        <w:rPr>
          <w:rFonts w:cstheme="minorHAnsi"/>
        </w:rPr>
      </w:pPr>
      <w:r w:rsidRPr="00AC51A9">
        <w:rPr>
          <w:rStyle w:val="EndnoteReference"/>
          <w:rFonts w:cstheme="minorHAnsi"/>
        </w:rPr>
        <w:endnoteRef/>
      </w:r>
      <w:r w:rsidRPr="00AC51A9">
        <w:rPr>
          <w:rFonts w:cstheme="minorHAnsi"/>
        </w:rPr>
        <w:t xml:space="preserve"> F</w:t>
      </w:r>
      <w:r w:rsidR="00C50B7C">
        <w:rPr>
          <w:rFonts w:cstheme="minorHAnsi"/>
        </w:rPr>
        <w:t>.M.</w:t>
      </w:r>
      <w:r w:rsidRPr="00AC51A9">
        <w:rPr>
          <w:rFonts w:cstheme="minorHAnsi"/>
        </w:rPr>
        <w:t xml:space="preserve"> Eden, </w:t>
      </w:r>
      <w:r w:rsidRPr="00AC51A9">
        <w:rPr>
          <w:rFonts w:cstheme="minorHAnsi"/>
          <w:i/>
          <w:iCs/>
        </w:rPr>
        <w:t xml:space="preserve">The </w:t>
      </w:r>
      <w:r w:rsidR="00C50B7C">
        <w:rPr>
          <w:rFonts w:cstheme="minorHAnsi"/>
          <w:i/>
          <w:iCs/>
        </w:rPr>
        <w:t>S</w:t>
      </w:r>
      <w:r w:rsidRPr="00AC51A9">
        <w:rPr>
          <w:rFonts w:cstheme="minorHAnsi"/>
          <w:i/>
          <w:iCs/>
        </w:rPr>
        <w:t xml:space="preserve">tate of the </w:t>
      </w:r>
      <w:r w:rsidR="00C50B7C">
        <w:rPr>
          <w:rFonts w:cstheme="minorHAnsi"/>
          <w:i/>
          <w:iCs/>
        </w:rPr>
        <w:t>P</w:t>
      </w:r>
      <w:r w:rsidRPr="00AC51A9">
        <w:rPr>
          <w:rFonts w:cstheme="minorHAnsi"/>
          <w:i/>
          <w:iCs/>
        </w:rPr>
        <w:t>oor</w:t>
      </w:r>
      <w:r w:rsidRPr="00AC51A9">
        <w:rPr>
          <w:rFonts w:cstheme="minorHAnsi"/>
        </w:rPr>
        <w:t>, Vols. 1-3 (London: J. Davis, 1797), passim; D</w:t>
      </w:r>
      <w:r w:rsidR="00C50B7C">
        <w:rPr>
          <w:rFonts w:cstheme="minorHAnsi"/>
        </w:rPr>
        <w:t>.</w:t>
      </w:r>
      <w:r w:rsidRPr="00AC51A9">
        <w:rPr>
          <w:rFonts w:cstheme="minorHAnsi"/>
        </w:rPr>
        <w:t xml:space="preserve"> Davies, </w:t>
      </w:r>
      <w:r w:rsidRPr="00AC51A9">
        <w:rPr>
          <w:rFonts w:cstheme="minorHAnsi"/>
          <w:i/>
          <w:iCs/>
        </w:rPr>
        <w:t xml:space="preserve">The </w:t>
      </w:r>
      <w:r w:rsidR="00C50B7C">
        <w:rPr>
          <w:rFonts w:cstheme="minorHAnsi"/>
          <w:i/>
          <w:iCs/>
        </w:rPr>
        <w:t>C</w:t>
      </w:r>
      <w:r w:rsidRPr="00AC51A9">
        <w:rPr>
          <w:rFonts w:cstheme="minorHAnsi"/>
          <w:i/>
          <w:iCs/>
        </w:rPr>
        <w:t xml:space="preserve">ase of </w:t>
      </w:r>
      <w:r w:rsidR="00C50B7C">
        <w:rPr>
          <w:rFonts w:cstheme="minorHAnsi"/>
          <w:i/>
          <w:iCs/>
        </w:rPr>
        <w:t>L</w:t>
      </w:r>
      <w:r w:rsidRPr="00AC51A9">
        <w:rPr>
          <w:rFonts w:cstheme="minorHAnsi"/>
          <w:i/>
          <w:iCs/>
        </w:rPr>
        <w:t xml:space="preserve">abourers in </w:t>
      </w:r>
      <w:r w:rsidR="00C50B7C">
        <w:rPr>
          <w:rFonts w:cstheme="minorHAnsi"/>
          <w:i/>
          <w:iCs/>
        </w:rPr>
        <w:t>H</w:t>
      </w:r>
      <w:r w:rsidRPr="00AC51A9">
        <w:rPr>
          <w:rFonts w:cstheme="minorHAnsi"/>
          <w:i/>
          <w:iCs/>
        </w:rPr>
        <w:t>usbandry</w:t>
      </w:r>
      <w:r w:rsidRPr="00AC51A9">
        <w:rPr>
          <w:rFonts w:cstheme="minorHAnsi"/>
        </w:rPr>
        <w:t xml:space="preserve"> (London: G.G. and J. Robinson, 1795), passim.</w:t>
      </w:r>
    </w:p>
  </w:endnote>
  <w:endnote w:id="27">
    <w:p w14:paraId="6E235A89" w14:textId="7B40471C" w:rsidR="007458FF" w:rsidRPr="00AC51A9" w:rsidRDefault="007458FF" w:rsidP="000D2C38">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 xml:space="preserve">Pauper </w:t>
      </w:r>
      <w:r w:rsidR="00C50B7C">
        <w:rPr>
          <w:rFonts w:cstheme="minorHAnsi"/>
          <w:i/>
        </w:rPr>
        <w:t>L</w:t>
      </w:r>
      <w:r w:rsidRPr="00AC51A9">
        <w:rPr>
          <w:rFonts w:cstheme="minorHAnsi"/>
          <w:i/>
        </w:rPr>
        <w:t>etters</w:t>
      </w:r>
      <w:r w:rsidRPr="00AC51A9">
        <w:rPr>
          <w:rFonts w:cstheme="minorHAnsi"/>
        </w:rPr>
        <w:t xml:space="preserve">, </w:t>
      </w:r>
      <w:r w:rsidR="003D25A1">
        <w:rPr>
          <w:rFonts w:cstheme="minorHAnsi"/>
        </w:rPr>
        <w:t xml:space="preserve">p. </w:t>
      </w:r>
      <w:r w:rsidRPr="00AC51A9">
        <w:rPr>
          <w:rFonts w:cstheme="minorHAnsi"/>
        </w:rPr>
        <w:t>250.</w:t>
      </w:r>
    </w:p>
  </w:endnote>
  <w:endnote w:id="28">
    <w:p w14:paraId="5D551E66" w14:textId="476B8137" w:rsidR="007458FF" w:rsidRPr="00AC51A9" w:rsidRDefault="007458FF" w:rsidP="000D2C38">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 xml:space="preserve">104. </w:t>
      </w:r>
    </w:p>
  </w:endnote>
  <w:endnote w:id="29">
    <w:p w14:paraId="257C06CC" w14:textId="155BF62E" w:rsidR="007458FF" w:rsidRPr="00AC51A9" w:rsidRDefault="007458FF" w:rsidP="000D2C38">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280.</w:t>
      </w:r>
    </w:p>
  </w:endnote>
  <w:endnote w:id="30">
    <w:p w14:paraId="7F0211BA" w14:textId="1625BFF4"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Between 1800-1819 the need for rent was recorded in 8 per cent of letters (n=48), but between 1820-1835 it was noted in 17 per cent (n=164). More tentatively, between 1800-1815 it was not recorded in any letters (n=16), but 16 per cent 1816-1835 (n=196).</w:t>
      </w:r>
    </w:p>
  </w:endnote>
  <w:endnote w:id="31">
    <w:p w14:paraId="72907A49" w14:textId="4651D513" w:rsidR="007458FF" w:rsidRPr="00842F55" w:rsidRDefault="007458FF">
      <w:pPr>
        <w:pStyle w:val="EndnoteText"/>
        <w:rPr>
          <w:rFonts w:cstheme="minorHAnsi"/>
        </w:rPr>
      </w:pPr>
      <w:r w:rsidRPr="00AC51A9">
        <w:rPr>
          <w:rStyle w:val="EndnoteReference"/>
          <w:rFonts w:cstheme="minorHAnsi"/>
        </w:rPr>
        <w:endnoteRef/>
      </w:r>
      <w:r w:rsidRPr="00AC51A9">
        <w:rPr>
          <w:rFonts w:cstheme="minorHAnsi"/>
        </w:rPr>
        <w:t xml:space="preserve"> These changes </w:t>
      </w:r>
      <w:r>
        <w:rPr>
          <w:rFonts w:cstheme="minorHAnsi"/>
        </w:rPr>
        <w:t>in consumption are</w:t>
      </w:r>
      <w:r w:rsidRPr="00AC51A9">
        <w:rPr>
          <w:rFonts w:cstheme="minorHAnsi"/>
        </w:rPr>
        <w:t xml:space="preserve"> summarised in: J</w:t>
      </w:r>
      <w:r w:rsidR="00C50B7C">
        <w:rPr>
          <w:rFonts w:cstheme="minorHAnsi"/>
        </w:rPr>
        <w:t>.</w:t>
      </w:r>
      <w:r w:rsidRPr="00AC51A9">
        <w:rPr>
          <w:rFonts w:cstheme="minorHAnsi"/>
        </w:rPr>
        <w:t xml:space="preserve"> Harley, ‘Consumption and </w:t>
      </w:r>
      <w:r w:rsidR="00C50B7C">
        <w:rPr>
          <w:rFonts w:cstheme="minorHAnsi"/>
        </w:rPr>
        <w:t>M</w:t>
      </w:r>
      <w:r w:rsidRPr="00AC51A9">
        <w:rPr>
          <w:rFonts w:cstheme="minorHAnsi"/>
        </w:rPr>
        <w:t xml:space="preserve">aterial </w:t>
      </w:r>
      <w:r w:rsidR="00C50B7C">
        <w:rPr>
          <w:rFonts w:cstheme="minorHAnsi"/>
        </w:rPr>
        <w:t>C</w:t>
      </w:r>
      <w:r w:rsidRPr="00AC51A9">
        <w:rPr>
          <w:rFonts w:cstheme="minorHAnsi"/>
        </w:rPr>
        <w:t xml:space="preserve">ulture of </w:t>
      </w:r>
      <w:r w:rsidR="00C50B7C">
        <w:rPr>
          <w:rFonts w:cstheme="minorHAnsi"/>
        </w:rPr>
        <w:t>P</w:t>
      </w:r>
      <w:r w:rsidRPr="00AC51A9">
        <w:rPr>
          <w:rFonts w:cstheme="minorHAnsi"/>
        </w:rPr>
        <w:t xml:space="preserve">overty in </w:t>
      </w:r>
      <w:r w:rsidR="00C50B7C">
        <w:rPr>
          <w:rFonts w:cstheme="minorHAnsi"/>
        </w:rPr>
        <w:t>E</w:t>
      </w:r>
      <w:r w:rsidRPr="00AC51A9">
        <w:rPr>
          <w:rFonts w:cstheme="minorHAnsi"/>
        </w:rPr>
        <w:t>arly-</w:t>
      </w:r>
      <w:r w:rsidR="00C50B7C">
        <w:rPr>
          <w:rFonts w:cstheme="minorHAnsi"/>
        </w:rPr>
        <w:t>M</w:t>
      </w:r>
      <w:r w:rsidRPr="00AC51A9">
        <w:rPr>
          <w:rFonts w:cstheme="minorHAnsi"/>
        </w:rPr>
        <w:t>odern Europe, c. 1450-1800’, in D</w:t>
      </w:r>
      <w:r w:rsidR="00C50B7C">
        <w:rPr>
          <w:rFonts w:cstheme="minorHAnsi"/>
        </w:rPr>
        <w:t xml:space="preserve">. </w:t>
      </w:r>
      <w:r w:rsidRPr="00AC51A9">
        <w:rPr>
          <w:rFonts w:cstheme="minorHAnsi"/>
        </w:rPr>
        <w:t>Hitchcock and J</w:t>
      </w:r>
      <w:r w:rsidR="00C50B7C">
        <w:rPr>
          <w:rFonts w:cstheme="minorHAnsi"/>
        </w:rPr>
        <w:t>.</w:t>
      </w:r>
      <w:r w:rsidRPr="00AC51A9">
        <w:rPr>
          <w:rFonts w:cstheme="minorHAnsi"/>
        </w:rPr>
        <w:t xml:space="preserve"> McClure </w:t>
      </w:r>
      <w:r w:rsidR="003D25A1">
        <w:rPr>
          <w:rFonts w:cstheme="minorHAnsi"/>
        </w:rPr>
        <w:t>(</w:t>
      </w:r>
      <w:r w:rsidRPr="00AC51A9">
        <w:rPr>
          <w:rFonts w:cstheme="minorHAnsi"/>
        </w:rPr>
        <w:t>eds</w:t>
      </w:r>
      <w:r w:rsidR="003D25A1">
        <w:rPr>
          <w:rFonts w:cstheme="minorHAnsi"/>
        </w:rPr>
        <w:t>)</w:t>
      </w:r>
      <w:r w:rsidRPr="00AC51A9">
        <w:rPr>
          <w:rFonts w:cstheme="minorHAnsi"/>
        </w:rPr>
        <w:t xml:space="preserve">, </w:t>
      </w:r>
      <w:r w:rsidR="00842F55" w:rsidRPr="00842F55">
        <w:rPr>
          <w:rFonts w:cstheme="minorHAnsi"/>
          <w:i/>
          <w:iCs/>
        </w:rPr>
        <w:t>The Routledge History of Poverty, 1450-1800</w:t>
      </w:r>
      <w:r w:rsidR="00842F55" w:rsidRPr="00842F55">
        <w:rPr>
          <w:rFonts w:cstheme="minorHAnsi"/>
        </w:rPr>
        <w:t xml:space="preserve"> (London: Routledge, 2021), pp. 185-205.</w:t>
      </w:r>
    </w:p>
  </w:endnote>
  <w:endnote w:id="32">
    <w:p w14:paraId="4C1BD22C" w14:textId="1EEB4B22"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Essex Record Office (</w:t>
      </w:r>
      <w:bookmarkStart w:id="1" w:name="_Hlk32305350"/>
      <w:r w:rsidRPr="00AC51A9">
        <w:rPr>
          <w:rFonts w:cstheme="minorHAnsi"/>
        </w:rPr>
        <w:t>ERO) D/P 105/8/</w:t>
      </w:r>
      <w:bookmarkEnd w:id="1"/>
      <w:r>
        <w:rPr>
          <w:rFonts w:cstheme="minorHAnsi"/>
        </w:rPr>
        <w:t>1.</w:t>
      </w:r>
    </w:p>
  </w:endnote>
  <w:endnote w:id="33">
    <w:p w14:paraId="510FE9E7" w14:textId="7053233F"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Ibid.</w:t>
      </w:r>
    </w:p>
  </w:endnote>
  <w:endnote w:id="34">
    <w:p w14:paraId="2D0E271B" w14:textId="4517E19D" w:rsidR="007458FF" w:rsidRPr="00AC51A9" w:rsidRDefault="007458FF" w:rsidP="00BF2E1A">
      <w:pPr>
        <w:pStyle w:val="EndnoteText"/>
        <w:rPr>
          <w:rFonts w:cstheme="minorHAnsi"/>
        </w:rPr>
      </w:pPr>
      <w:r w:rsidRPr="00AC51A9">
        <w:rPr>
          <w:rStyle w:val="EndnoteReference"/>
          <w:rFonts w:cstheme="minorHAnsi"/>
        </w:rPr>
        <w:endnoteRef/>
      </w:r>
      <w:r w:rsidRPr="00AC51A9">
        <w:rPr>
          <w:rFonts w:cstheme="minorHAnsi"/>
        </w:rPr>
        <w:t xml:space="preserve"> J</w:t>
      </w:r>
      <w:r w:rsidR="00C50B7C">
        <w:rPr>
          <w:rFonts w:cstheme="minorHAnsi"/>
        </w:rPr>
        <w:t>.</w:t>
      </w:r>
      <w:r w:rsidRPr="00AC51A9">
        <w:rPr>
          <w:rFonts w:cstheme="minorHAnsi"/>
        </w:rPr>
        <w:t xml:space="preserve"> Harley, ‘Material lives of the English poor: A </w:t>
      </w:r>
      <w:r w:rsidR="00C50B7C">
        <w:rPr>
          <w:rFonts w:cstheme="minorHAnsi"/>
        </w:rPr>
        <w:t>R</w:t>
      </w:r>
      <w:r w:rsidRPr="00AC51A9">
        <w:rPr>
          <w:rFonts w:cstheme="minorHAnsi"/>
        </w:rPr>
        <w:t xml:space="preserve">egional </w:t>
      </w:r>
      <w:r w:rsidR="00C50B7C">
        <w:rPr>
          <w:rFonts w:cstheme="minorHAnsi"/>
        </w:rPr>
        <w:t>P</w:t>
      </w:r>
      <w:r w:rsidRPr="00AC51A9">
        <w:rPr>
          <w:rFonts w:cstheme="minorHAnsi"/>
        </w:rPr>
        <w:t>erspective’, (</w:t>
      </w:r>
      <w:r w:rsidR="003D25A1">
        <w:rPr>
          <w:rFonts w:cstheme="minorHAnsi"/>
        </w:rPr>
        <w:t xml:space="preserve">Unpublished PhD thesis, </w:t>
      </w:r>
      <w:r w:rsidRPr="00AC51A9">
        <w:rPr>
          <w:rFonts w:cstheme="minorHAnsi"/>
        </w:rPr>
        <w:t xml:space="preserve">University of Leicester, 2016), </w:t>
      </w:r>
      <w:r w:rsidR="003D25A1">
        <w:rPr>
          <w:rFonts w:cstheme="minorHAnsi"/>
        </w:rPr>
        <w:t xml:space="preserve">pp. </w:t>
      </w:r>
      <w:r w:rsidRPr="00AC51A9">
        <w:rPr>
          <w:rFonts w:cstheme="minorHAnsi"/>
        </w:rPr>
        <w:t>134, 136-137.</w:t>
      </w:r>
    </w:p>
  </w:endnote>
  <w:endnote w:id="35">
    <w:p w14:paraId="077BFC48" w14:textId="4806348F" w:rsidR="007458FF" w:rsidRPr="00AC51A9" w:rsidRDefault="007458FF" w:rsidP="00752AF3">
      <w:pPr>
        <w:pStyle w:val="EndnoteText"/>
        <w:rPr>
          <w:rFonts w:cstheme="minorHAnsi"/>
        </w:rPr>
      </w:pPr>
      <w:r w:rsidRPr="00AC51A9">
        <w:rPr>
          <w:rStyle w:val="EndnoteReference"/>
          <w:rFonts w:cstheme="minorHAnsi"/>
        </w:rPr>
        <w:endnoteRef/>
      </w:r>
      <w:r w:rsidRPr="00AC51A9">
        <w:rPr>
          <w:rFonts w:cstheme="minorHAnsi"/>
        </w:rPr>
        <w:t xml:space="preserve"> For further information on ‘luxury’ goods, see: M</w:t>
      </w:r>
      <w:r w:rsidR="00C50B7C">
        <w:rPr>
          <w:rFonts w:cstheme="minorHAnsi"/>
        </w:rPr>
        <w:t>.</w:t>
      </w:r>
      <w:r w:rsidRPr="00AC51A9">
        <w:rPr>
          <w:rFonts w:cstheme="minorHAnsi"/>
        </w:rPr>
        <w:t xml:space="preserve"> Berg, </w:t>
      </w:r>
      <w:r w:rsidRPr="00AC51A9">
        <w:rPr>
          <w:rFonts w:cstheme="minorHAnsi"/>
          <w:i/>
          <w:iCs/>
        </w:rPr>
        <w:t xml:space="preserve">Luxury and </w:t>
      </w:r>
      <w:r w:rsidR="00C50B7C">
        <w:rPr>
          <w:rFonts w:cstheme="minorHAnsi"/>
          <w:i/>
          <w:iCs/>
        </w:rPr>
        <w:t>P</w:t>
      </w:r>
      <w:r w:rsidRPr="00AC51A9">
        <w:rPr>
          <w:rFonts w:cstheme="minorHAnsi"/>
          <w:i/>
          <w:iCs/>
        </w:rPr>
        <w:t xml:space="preserve">leasure in </w:t>
      </w:r>
      <w:r w:rsidR="00C50B7C">
        <w:rPr>
          <w:rFonts w:cstheme="minorHAnsi"/>
          <w:i/>
          <w:iCs/>
        </w:rPr>
        <w:t>E</w:t>
      </w:r>
      <w:r w:rsidRPr="00AC51A9">
        <w:rPr>
          <w:rFonts w:cstheme="minorHAnsi"/>
          <w:i/>
          <w:iCs/>
        </w:rPr>
        <w:t>ighteenth-</w:t>
      </w:r>
      <w:r w:rsidR="00C50B7C">
        <w:rPr>
          <w:rFonts w:cstheme="minorHAnsi"/>
          <w:i/>
          <w:iCs/>
        </w:rPr>
        <w:t>C</w:t>
      </w:r>
      <w:r w:rsidRPr="00AC51A9">
        <w:rPr>
          <w:rFonts w:cstheme="minorHAnsi"/>
          <w:i/>
          <w:iCs/>
        </w:rPr>
        <w:t>entury Britain</w:t>
      </w:r>
      <w:r w:rsidRPr="00AC51A9">
        <w:rPr>
          <w:rFonts w:cstheme="minorHAnsi"/>
        </w:rPr>
        <w:t xml:space="preserve"> (Oxford: Oxford University Press, 2005).</w:t>
      </w:r>
    </w:p>
  </w:endnote>
  <w:endnote w:id="36">
    <w:p w14:paraId="4826D1BA" w14:textId="0C6CD8B2"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w:t>
      </w:r>
      <w:bookmarkStart w:id="2" w:name="_Hlk32305365"/>
      <w:r w:rsidRPr="00AC51A9">
        <w:rPr>
          <w:rFonts w:cstheme="minorHAnsi"/>
        </w:rPr>
        <w:t>ERO D/P 219/12/29; ERO D/P 194/18/4; ERO D/P 220/18/7.</w:t>
      </w:r>
      <w:bookmarkEnd w:id="2"/>
    </w:p>
  </w:endnote>
  <w:endnote w:id="37">
    <w:p w14:paraId="469DC7E2" w14:textId="26A5BB29" w:rsidR="007458FF" w:rsidRPr="00AC51A9" w:rsidRDefault="007458FF" w:rsidP="00BF2E1A">
      <w:pPr>
        <w:pStyle w:val="EndnoteText"/>
        <w:rPr>
          <w:rFonts w:cstheme="minorHAnsi"/>
        </w:rPr>
      </w:pPr>
      <w:r w:rsidRPr="00AC51A9">
        <w:rPr>
          <w:rStyle w:val="EndnoteReference"/>
          <w:rFonts w:cstheme="minorHAnsi"/>
        </w:rPr>
        <w:endnoteRef/>
      </w:r>
      <w:r w:rsidRPr="00AC51A9">
        <w:rPr>
          <w:rFonts w:cstheme="minorHAnsi"/>
        </w:rPr>
        <w:t xml:space="preserve"> L</w:t>
      </w:r>
      <w:r w:rsidR="00C50B7C">
        <w:rPr>
          <w:rFonts w:cstheme="minorHAnsi"/>
        </w:rPr>
        <w:t>.</w:t>
      </w:r>
      <w:r w:rsidRPr="00AC51A9">
        <w:rPr>
          <w:rFonts w:cstheme="minorHAnsi"/>
        </w:rPr>
        <w:t xml:space="preserve"> Weatherill, </w:t>
      </w:r>
      <w:r w:rsidRPr="00AC51A9">
        <w:rPr>
          <w:rFonts w:cstheme="minorHAnsi"/>
          <w:i/>
          <w:iCs/>
        </w:rPr>
        <w:t xml:space="preserve">Consumer </w:t>
      </w:r>
      <w:r w:rsidR="00C50B7C">
        <w:rPr>
          <w:rFonts w:cstheme="minorHAnsi"/>
          <w:i/>
          <w:iCs/>
        </w:rPr>
        <w:t>B</w:t>
      </w:r>
      <w:r w:rsidRPr="00AC51A9">
        <w:rPr>
          <w:rFonts w:cstheme="minorHAnsi"/>
          <w:i/>
          <w:iCs/>
        </w:rPr>
        <w:t xml:space="preserve">ehaviour and </w:t>
      </w:r>
      <w:r w:rsidR="00C50B7C">
        <w:rPr>
          <w:rFonts w:cstheme="minorHAnsi"/>
          <w:i/>
          <w:iCs/>
        </w:rPr>
        <w:t>M</w:t>
      </w:r>
      <w:r w:rsidRPr="00AC51A9">
        <w:rPr>
          <w:rFonts w:cstheme="minorHAnsi"/>
          <w:i/>
          <w:iCs/>
        </w:rPr>
        <w:t xml:space="preserve">aterial </w:t>
      </w:r>
      <w:r w:rsidR="00C50B7C">
        <w:rPr>
          <w:rFonts w:cstheme="minorHAnsi"/>
          <w:i/>
          <w:iCs/>
        </w:rPr>
        <w:t>C</w:t>
      </w:r>
      <w:r w:rsidRPr="00AC51A9">
        <w:rPr>
          <w:rFonts w:cstheme="minorHAnsi"/>
          <w:i/>
          <w:iCs/>
        </w:rPr>
        <w:t>ulture in Britain 1660-1760</w:t>
      </w:r>
      <w:r w:rsidRPr="00AC51A9">
        <w:rPr>
          <w:rFonts w:cstheme="minorHAnsi"/>
        </w:rPr>
        <w:t>, 2nd edn. (London: Routledge, 1996); M</w:t>
      </w:r>
      <w:r w:rsidR="00C50B7C">
        <w:rPr>
          <w:rFonts w:cstheme="minorHAnsi"/>
        </w:rPr>
        <w:t>.</w:t>
      </w:r>
      <w:r w:rsidRPr="00AC51A9">
        <w:rPr>
          <w:rFonts w:cstheme="minorHAnsi"/>
        </w:rPr>
        <w:t xml:space="preserve"> Overton, J</w:t>
      </w:r>
      <w:r w:rsidR="00C50B7C">
        <w:rPr>
          <w:rFonts w:cstheme="minorHAnsi"/>
        </w:rPr>
        <w:t>.</w:t>
      </w:r>
      <w:r w:rsidRPr="00AC51A9">
        <w:rPr>
          <w:rFonts w:cstheme="minorHAnsi"/>
        </w:rPr>
        <w:t xml:space="preserve"> Whittle, D</w:t>
      </w:r>
      <w:r w:rsidR="00C50B7C">
        <w:rPr>
          <w:rFonts w:cstheme="minorHAnsi"/>
        </w:rPr>
        <w:t>.</w:t>
      </w:r>
      <w:r w:rsidRPr="00AC51A9">
        <w:rPr>
          <w:rFonts w:cstheme="minorHAnsi"/>
        </w:rPr>
        <w:t xml:space="preserve"> Dean and A</w:t>
      </w:r>
      <w:r w:rsidR="00C50B7C">
        <w:rPr>
          <w:rFonts w:cstheme="minorHAnsi"/>
        </w:rPr>
        <w:t>.</w:t>
      </w:r>
      <w:r w:rsidRPr="00AC51A9">
        <w:rPr>
          <w:rFonts w:cstheme="minorHAnsi"/>
        </w:rPr>
        <w:t xml:space="preserve"> Hann, </w:t>
      </w:r>
      <w:r w:rsidRPr="00AC51A9">
        <w:rPr>
          <w:rFonts w:cstheme="minorHAnsi"/>
          <w:i/>
          <w:iCs/>
        </w:rPr>
        <w:t xml:space="preserve">Production and </w:t>
      </w:r>
      <w:r w:rsidR="00C50B7C">
        <w:rPr>
          <w:rFonts w:cstheme="minorHAnsi"/>
          <w:i/>
          <w:iCs/>
        </w:rPr>
        <w:t>C</w:t>
      </w:r>
      <w:r w:rsidRPr="00AC51A9">
        <w:rPr>
          <w:rFonts w:cstheme="minorHAnsi"/>
          <w:i/>
          <w:iCs/>
        </w:rPr>
        <w:t xml:space="preserve">onsumption in English </w:t>
      </w:r>
      <w:r w:rsidR="00EF7410">
        <w:rPr>
          <w:rFonts w:cstheme="minorHAnsi"/>
          <w:i/>
          <w:iCs/>
        </w:rPr>
        <w:t>H</w:t>
      </w:r>
      <w:r w:rsidRPr="00AC51A9">
        <w:rPr>
          <w:rFonts w:cstheme="minorHAnsi"/>
          <w:i/>
          <w:iCs/>
        </w:rPr>
        <w:t>ouseholds, 1600-1750</w:t>
      </w:r>
      <w:r w:rsidRPr="00AC51A9">
        <w:rPr>
          <w:rFonts w:cstheme="minorHAnsi"/>
        </w:rPr>
        <w:t xml:space="preserve"> (London: Routledge, 2004).</w:t>
      </w:r>
    </w:p>
  </w:endnote>
  <w:endnote w:id="38">
    <w:p w14:paraId="58B244F6" w14:textId="4BFF1ECC" w:rsidR="007458FF" w:rsidRPr="00AC51A9" w:rsidRDefault="007458FF" w:rsidP="005010FC">
      <w:pPr>
        <w:pStyle w:val="EndnoteText"/>
        <w:rPr>
          <w:rFonts w:cstheme="minorHAnsi"/>
        </w:rPr>
      </w:pPr>
      <w:r w:rsidRPr="00AC51A9">
        <w:rPr>
          <w:rStyle w:val="EndnoteReference"/>
          <w:rFonts w:cstheme="minorHAnsi"/>
        </w:rPr>
        <w:endnoteRef/>
      </w:r>
      <w:r w:rsidRPr="00AC51A9">
        <w:rPr>
          <w:rFonts w:cstheme="minorHAnsi"/>
        </w:rPr>
        <w:t xml:space="preserve"> Harley, </w:t>
      </w:r>
      <w:r>
        <w:rPr>
          <w:rFonts w:cstheme="minorHAnsi"/>
          <w:i/>
          <w:iCs/>
        </w:rPr>
        <w:t xml:space="preserve">Norfolk </w:t>
      </w:r>
      <w:r w:rsidR="00C50B7C">
        <w:rPr>
          <w:rFonts w:cstheme="minorHAnsi"/>
          <w:i/>
          <w:iCs/>
        </w:rPr>
        <w:t>P</w:t>
      </w:r>
      <w:r>
        <w:rPr>
          <w:rFonts w:cstheme="minorHAnsi"/>
          <w:i/>
          <w:iCs/>
        </w:rPr>
        <w:t xml:space="preserve">auper </w:t>
      </w:r>
      <w:r w:rsidR="00C50B7C">
        <w:rPr>
          <w:rFonts w:cstheme="minorHAnsi"/>
          <w:i/>
          <w:iCs/>
        </w:rPr>
        <w:t>I</w:t>
      </w:r>
      <w:r>
        <w:rPr>
          <w:rFonts w:cstheme="minorHAnsi"/>
          <w:i/>
          <w:iCs/>
        </w:rPr>
        <w:t>nventories</w:t>
      </w:r>
      <w:r>
        <w:rPr>
          <w:rFonts w:cstheme="minorHAnsi"/>
        </w:rPr>
        <w:t xml:space="preserve">, </w:t>
      </w:r>
      <w:r w:rsidR="003D25A1">
        <w:rPr>
          <w:rFonts w:cstheme="minorHAnsi"/>
        </w:rPr>
        <w:t xml:space="preserve">pp. </w:t>
      </w:r>
      <w:r>
        <w:rPr>
          <w:rFonts w:cstheme="minorHAnsi"/>
        </w:rPr>
        <w:t>64-65; idem,</w:t>
      </w:r>
      <w:r w:rsidRPr="00AC51A9">
        <w:rPr>
          <w:rFonts w:cstheme="minorHAnsi"/>
        </w:rPr>
        <w:t xml:space="preserve"> ‘Consumption and </w:t>
      </w:r>
      <w:r w:rsidR="00C50B7C">
        <w:rPr>
          <w:rFonts w:cstheme="minorHAnsi"/>
        </w:rPr>
        <w:t>P</w:t>
      </w:r>
      <w:r w:rsidRPr="00AC51A9">
        <w:rPr>
          <w:rFonts w:cstheme="minorHAnsi"/>
        </w:rPr>
        <w:t>overty’</w:t>
      </w:r>
      <w:r>
        <w:rPr>
          <w:rFonts w:cstheme="minorHAnsi"/>
        </w:rPr>
        <w:t xml:space="preserve">, </w:t>
      </w:r>
      <w:r w:rsidR="003D25A1">
        <w:rPr>
          <w:rFonts w:cstheme="minorHAnsi"/>
        </w:rPr>
        <w:t xml:space="preserve">p. </w:t>
      </w:r>
      <w:r>
        <w:rPr>
          <w:rFonts w:cstheme="minorHAnsi"/>
        </w:rPr>
        <w:t>102.</w:t>
      </w:r>
    </w:p>
  </w:endnote>
  <w:endnote w:id="39">
    <w:p w14:paraId="379846F8" w14:textId="21A012C7"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Age calculated from: </w:t>
      </w:r>
      <w:r w:rsidRPr="00AC51A9">
        <w:rPr>
          <w:rFonts w:cstheme="minorHAnsi"/>
          <w:i/>
          <w:iCs/>
        </w:rPr>
        <w:t>National census</w:t>
      </w:r>
      <w:r w:rsidRPr="00AC51A9">
        <w:rPr>
          <w:rFonts w:cstheme="minorHAnsi"/>
        </w:rPr>
        <w:t>, 1841.</w:t>
      </w:r>
    </w:p>
  </w:endnote>
  <w:endnote w:id="40">
    <w:p w14:paraId="30C2029A" w14:textId="5287265D" w:rsidR="007458FF" w:rsidRPr="00AC51A9" w:rsidRDefault="007458FF" w:rsidP="00754F7A">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iCs/>
        </w:rPr>
        <w:t xml:space="preserve">Pauper </w:t>
      </w:r>
      <w:r w:rsidR="00C50B7C">
        <w:rPr>
          <w:rFonts w:cstheme="minorHAnsi"/>
          <w:i/>
          <w:iCs/>
        </w:rPr>
        <w:t>L</w:t>
      </w:r>
      <w:r w:rsidRPr="00AC51A9">
        <w:rPr>
          <w:rFonts w:cstheme="minorHAnsi"/>
          <w:i/>
          <w:iCs/>
        </w:rPr>
        <w:t>etters</w:t>
      </w:r>
      <w:r w:rsidRPr="00AC51A9">
        <w:rPr>
          <w:rFonts w:cstheme="minorHAnsi"/>
        </w:rPr>
        <w:t xml:space="preserve">, </w:t>
      </w:r>
      <w:r w:rsidR="003D25A1">
        <w:rPr>
          <w:rFonts w:cstheme="minorHAnsi"/>
        </w:rPr>
        <w:t xml:space="preserve">p. </w:t>
      </w:r>
      <w:r w:rsidRPr="00AC51A9">
        <w:rPr>
          <w:rFonts w:cstheme="minorHAnsi"/>
        </w:rPr>
        <w:t>258.</w:t>
      </w:r>
    </w:p>
  </w:endnote>
  <w:endnote w:id="41">
    <w:p w14:paraId="2D84CEE3" w14:textId="0AB9359F"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A</w:t>
      </w:r>
      <w:r w:rsidR="00C50B7C">
        <w:rPr>
          <w:rFonts w:cstheme="minorHAnsi"/>
        </w:rPr>
        <w:t xml:space="preserve">. </w:t>
      </w:r>
      <w:r w:rsidRPr="00AC51A9">
        <w:rPr>
          <w:rFonts w:cstheme="minorHAnsi"/>
        </w:rPr>
        <w:t xml:space="preserve">G. Crosby </w:t>
      </w:r>
      <w:r w:rsidR="00C50B7C">
        <w:rPr>
          <w:rFonts w:cstheme="minorHAnsi"/>
        </w:rPr>
        <w:t>(</w:t>
      </w:r>
      <w:r w:rsidRPr="00AC51A9">
        <w:rPr>
          <w:rFonts w:cstheme="minorHAnsi"/>
        </w:rPr>
        <w:t>ed</w:t>
      </w:r>
      <w:r w:rsidR="00C50B7C">
        <w:rPr>
          <w:rFonts w:cstheme="minorHAnsi"/>
        </w:rPr>
        <w:t>),</w:t>
      </w:r>
      <w:r w:rsidRPr="00AC51A9">
        <w:rPr>
          <w:rFonts w:cstheme="minorHAnsi"/>
        </w:rPr>
        <w:t xml:space="preserve"> </w:t>
      </w:r>
      <w:r w:rsidRPr="00AC51A9">
        <w:rPr>
          <w:rFonts w:cstheme="minorHAnsi"/>
          <w:i/>
          <w:iCs/>
        </w:rPr>
        <w:t xml:space="preserve">The </w:t>
      </w:r>
      <w:r w:rsidR="00C50B7C">
        <w:rPr>
          <w:rFonts w:cstheme="minorHAnsi"/>
          <w:i/>
          <w:iCs/>
        </w:rPr>
        <w:t>F</w:t>
      </w:r>
      <w:r w:rsidRPr="00AC51A9">
        <w:rPr>
          <w:rFonts w:cstheme="minorHAnsi"/>
          <w:i/>
          <w:iCs/>
        </w:rPr>
        <w:t xml:space="preserve">amily </w:t>
      </w:r>
      <w:r w:rsidR="00C50B7C">
        <w:rPr>
          <w:rFonts w:cstheme="minorHAnsi"/>
          <w:i/>
          <w:iCs/>
        </w:rPr>
        <w:t>R</w:t>
      </w:r>
      <w:r w:rsidRPr="00AC51A9">
        <w:rPr>
          <w:rFonts w:cstheme="minorHAnsi"/>
          <w:i/>
          <w:iCs/>
        </w:rPr>
        <w:t xml:space="preserve">ecords of Benjamin Shaw </w:t>
      </w:r>
      <w:r w:rsidR="00C50B7C">
        <w:rPr>
          <w:rFonts w:cstheme="minorHAnsi"/>
          <w:i/>
          <w:iCs/>
        </w:rPr>
        <w:t>M</w:t>
      </w:r>
      <w:r w:rsidRPr="00AC51A9">
        <w:rPr>
          <w:rFonts w:cstheme="minorHAnsi"/>
          <w:i/>
          <w:iCs/>
        </w:rPr>
        <w:t>echanic of Dent, Dolphinholme and Preston, 1772-1841</w:t>
      </w:r>
      <w:r w:rsidRPr="00AC51A9">
        <w:rPr>
          <w:rFonts w:cstheme="minorHAnsi"/>
        </w:rPr>
        <w:t xml:space="preserve"> (Stroud: Alan Sutton Publishing, 1991), </w:t>
      </w:r>
      <w:r w:rsidR="003D25A1">
        <w:rPr>
          <w:rFonts w:cstheme="minorHAnsi"/>
        </w:rPr>
        <w:t xml:space="preserve">pp. </w:t>
      </w:r>
      <w:r w:rsidRPr="00AC51A9">
        <w:rPr>
          <w:rFonts w:cstheme="minorHAnsi"/>
        </w:rPr>
        <w:t>xvi, 120.</w:t>
      </w:r>
    </w:p>
  </w:endnote>
  <w:endnote w:id="42">
    <w:p w14:paraId="1DEA9907" w14:textId="0A44D45D" w:rsidR="007458FF" w:rsidRPr="00AC51A9" w:rsidRDefault="007458FF" w:rsidP="00754F7A">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32.</w:t>
      </w:r>
    </w:p>
  </w:endnote>
  <w:endnote w:id="43">
    <w:p w14:paraId="4BFD552B" w14:textId="014B9F96" w:rsidR="007458FF" w:rsidRPr="00AC51A9" w:rsidRDefault="007458FF" w:rsidP="00754F7A">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32.</w:t>
      </w:r>
    </w:p>
  </w:endnote>
  <w:endnote w:id="44">
    <w:p w14:paraId="5D6472D3" w14:textId="02A56C38" w:rsidR="007458FF" w:rsidRPr="00AC51A9" w:rsidRDefault="007458FF" w:rsidP="00417767">
      <w:pPr>
        <w:pStyle w:val="EndnoteText"/>
        <w:rPr>
          <w:rFonts w:cstheme="minorHAnsi"/>
        </w:rPr>
      </w:pPr>
      <w:r w:rsidRPr="00AC51A9">
        <w:rPr>
          <w:rStyle w:val="EndnoteReference"/>
          <w:rFonts w:cstheme="minorHAnsi"/>
        </w:rPr>
        <w:endnoteRef/>
      </w:r>
      <w:r w:rsidRPr="00AC51A9">
        <w:rPr>
          <w:rFonts w:cstheme="minorHAnsi"/>
        </w:rPr>
        <w:t xml:space="preserve"> V</w:t>
      </w:r>
      <w:r w:rsidR="00C50B7C">
        <w:rPr>
          <w:rFonts w:cstheme="minorHAnsi"/>
        </w:rPr>
        <w:t>.</w:t>
      </w:r>
      <w:r w:rsidRPr="00AC51A9">
        <w:rPr>
          <w:rFonts w:cstheme="minorHAnsi"/>
        </w:rPr>
        <w:t xml:space="preserve"> Holmes, </w:t>
      </w:r>
      <w:r w:rsidRPr="00AC51A9">
        <w:rPr>
          <w:rFonts w:cstheme="minorHAnsi"/>
          <w:i/>
          <w:iCs/>
        </w:rPr>
        <w:t xml:space="preserve">In </w:t>
      </w:r>
      <w:r w:rsidR="00C50B7C">
        <w:rPr>
          <w:rFonts w:cstheme="minorHAnsi"/>
          <w:i/>
          <w:iCs/>
        </w:rPr>
        <w:t>B</w:t>
      </w:r>
      <w:r w:rsidRPr="00AC51A9">
        <w:rPr>
          <w:rFonts w:cstheme="minorHAnsi"/>
          <w:i/>
          <w:iCs/>
        </w:rPr>
        <w:t xml:space="preserve">ed with the Victorians: The </w:t>
      </w:r>
      <w:r w:rsidR="00C50B7C">
        <w:rPr>
          <w:rFonts w:cstheme="minorHAnsi"/>
          <w:i/>
          <w:iCs/>
        </w:rPr>
        <w:t>L</w:t>
      </w:r>
      <w:r w:rsidRPr="00AC51A9">
        <w:rPr>
          <w:rFonts w:cstheme="minorHAnsi"/>
          <w:i/>
          <w:iCs/>
        </w:rPr>
        <w:t>ife-</w:t>
      </w:r>
      <w:r w:rsidR="00C50B7C">
        <w:rPr>
          <w:rFonts w:cstheme="minorHAnsi"/>
          <w:i/>
          <w:iCs/>
        </w:rPr>
        <w:t>C</w:t>
      </w:r>
      <w:r w:rsidRPr="00AC51A9">
        <w:rPr>
          <w:rFonts w:cstheme="minorHAnsi"/>
          <w:i/>
          <w:iCs/>
        </w:rPr>
        <w:t xml:space="preserve">ycle of </w:t>
      </w:r>
      <w:r w:rsidR="00C50B7C">
        <w:rPr>
          <w:rFonts w:cstheme="minorHAnsi"/>
          <w:i/>
          <w:iCs/>
        </w:rPr>
        <w:t>W</w:t>
      </w:r>
      <w:r w:rsidRPr="00AC51A9">
        <w:rPr>
          <w:rFonts w:cstheme="minorHAnsi"/>
          <w:i/>
          <w:iCs/>
        </w:rPr>
        <w:t>orking-</w:t>
      </w:r>
      <w:r w:rsidR="00C50B7C">
        <w:rPr>
          <w:rFonts w:cstheme="minorHAnsi"/>
          <w:i/>
          <w:iCs/>
        </w:rPr>
        <w:t>C</w:t>
      </w:r>
      <w:r w:rsidRPr="00AC51A9">
        <w:rPr>
          <w:rFonts w:cstheme="minorHAnsi"/>
          <w:i/>
          <w:iCs/>
        </w:rPr>
        <w:t xml:space="preserve">lass </w:t>
      </w:r>
      <w:r w:rsidR="00C50B7C">
        <w:rPr>
          <w:rFonts w:cstheme="minorHAnsi"/>
          <w:i/>
          <w:iCs/>
        </w:rPr>
        <w:t>M</w:t>
      </w:r>
      <w:r w:rsidRPr="00AC51A9">
        <w:rPr>
          <w:rFonts w:cstheme="minorHAnsi"/>
          <w:i/>
          <w:iCs/>
        </w:rPr>
        <w:t>arriage</w:t>
      </w:r>
      <w:r w:rsidRPr="00AC51A9">
        <w:rPr>
          <w:rFonts w:cstheme="minorHAnsi"/>
        </w:rPr>
        <w:t xml:space="preserve"> (</w:t>
      </w:r>
      <w:r w:rsidR="00C50B7C" w:rsidRPr="00C50B7C">
        <w:rPr>
          <w:rFonts w:cstheme="minorHAnsi"/>
        </w:rPr>
        <w:t>Cham, Switzerland: Palgrave Macmillan, 2017)</w:t>
      </w:r>
      <w:r w:rsidRPr="00AC51A9">
        <w:rPr>
          <w:rFonts w:cstheme="minorHAnsi"/>
        </w:rPr>
        <w:t xml:space="preserve">, </w:t>
      </w:r>
      <w:r w:rsidR="003D25A1">
        <w:rPr>
          <w:rFonts w:cstheme="minorHAnsi"/>
        </w:rPr>
        <w:t xml:space="preserve">pp. </w:t>
      </w:r>
      <w:r w:rsidRPr="00AC51A9">
        <w:rPr>
          <w:rFonts w:cstheme="minorHAnsi"/>
        </w:rPr>
        <w:t>15-33.</w:t>
      </w:r>
    </w:p>
  </w:endnote>
  <w:endnote w:id="45">
    <w:p w14:paraId="609D21EE" w14:textId="3CBABF3F" w:rsidR="007458FF" w:rsidRPr="00AC51A9" w:rsidRDefault="007458FF" w:rsidP="00417767">
      <w:pPr>
        <w:pStyle w:val="EndnoteText"/>
        <w:rPr>
          <w:rFonts w:cstheme="minorHAnsi"/>
        </w:rPr>
      </w:pPr>
      <w:r w:rsidRPr="00AC51A9">
        <w:rPr>
          <w:rStyle w:val="EndnoteReference"/>
          <w:rFonts w:cstheme="minorHAnsi"/>
        </w:rPr>
        <w:endnoteRef/>
      </w:r>
      <w:r w:rsidRPr="00AC51A9">
        <w:rPr>
          <w:rFonts w:cstheme="minorHAnsi"/>
        </w:rPr>
        <w:t xml:space="preserve"> Crosby, </w:t>
      </w:r>
      <w:r w:rsidRPr="00AC51A9">
        <w:rPr>
          <w:rFonts w:cstheme="minorHAnsi"/>
          <w:i/>
          <w:iCs/>
        </w:rPr>
        <w:t>Benjamin Shaw</w:t>
      </w:r>
      <w:r w:rsidRPr="00AC51A9">
        <w:rPr>
          <w:rFonts w:cstheme="minorHAnsi"/>
        </w:rPr>
        <w:t xml:space="preserve">, </w:t>
      </w:r>
      <w:r w:rsidR="003D25A1">
        <w:rPr>
          <w:rFonts w:cstheme="minorHAnsi"/>
        </w:rPr>
        <w:t xml:space="preserve">pp. </w:t>
      </w:r>
      <w:r w:rsidRPr="00AC51A9">
        <w:rPr>
          <w:rFonts w:cstheme="minorHAnsi"/>
        </w:rPr>
        <w:t>lxxv-lxxvi.</w:t>
      </w:r>
    </w:p>
  </w:endnote>
  <w:endnote w:id="46">
    <w:p w14:paraId="6BC8D294" w14:textId="17977222" w:rsidR="007458FF" w:rsidRPr="00AC51A9" w:rsidRDefault="007458FF" w:rsidP="00754F7A">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97.</w:t>
      </w:r>
    </w:p>
  </w:endnote>
  <w:endnote w:id="47">
    <w:p w14:paraId="03CA2272" w14:textId="1C4AEC66"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G</w:t>
      </w:r>
      <w:r w:rsidR="00C50B7C">
        <w:rPr>
          <w:rFonts w:cstheme="minorHAnsi"/>
        </w:rPr>
        <w:t>.</w:t>
      </w:r>
      <w:r w:rsidRPr="00AC51A9">
        <w:rPr>
          <w:rFonts w:cstheme="minorHAnsi"/>
        </w:rPr>
        <w:t xml:space="preserve"> Frost, </w:t>
      </w:r>
      <w:r w:rsidRPr="00AC51A9">
        <w:rPr>
          <w:rFonts w:cstheme="minorHAnsi"/>
          <w:i/>
          <w:iCs/>
        </w:rPr>
        <w:t xml:space="preserve">Promises </w:t>
      </w:r>
      <w:r w:rsidR="00C50B7C">
        <w:rPr>
          <w:rFonts w:cstheme="minorHAnsi"/>
          <w:i/>
          <w:iCs/>
        </w:rPr>
        <w:t>B</w:t>
      </w:r>
      <w:r w:rsidRPr="00AC51A9">
        <w:rPr>
          <w:rFonts w:cstheme="minorHAnsi"/>
          <w:i/>
          <w:iCs/>
        </w:rPr>
        <w:t xml:space="preserve">roken: Courtship, </w:t>
      </w:r>
      <w:r w:rsidR="00C50B7C">
        <w:rPr>
          <w:rFonts w:cstheme="minorHAnsi"/>
          <w:i/>
          <w:iCs/>
        </w:rPr>
        <w:t>C</w:t>
      </w:r>
      <w:r w:rsidRPr="00AC51A9">
        <w:rPr>
          <w:rFonts w:cstheme="minorHAnsi"/>
          <w:i/>
          <w:iCs/>
        </w:rPr>
        <w:t xml:space="preserve">lass, and </w:t>
      </w:r>
      <w:r w:rsidR="00C50B7C">
        <w:rPr>
          <w:rFonts w:cstheme="minorHAnsi"/>
          <w:i/>
          <w:iCs/>
        </w:rPr>
        <w:t>G</w:t>
      </w:r>
      <w:r w:rsidRPr="00AC51A9">
        <w:rPr>
          <w:rFonts w:cstheme="minorHAnsi"/>
          <w:i/>
          <w:iCs/>
        </w:rPr>
        <w:t>ender in Victorian England</w:t>
      </w:r>
      <w:r w:rsidRPr="00AC51A9">
        <w:rPr>
          <w:rFonts w:cstheme="minorHAnsi"/>
        </w:rPr>
        <w:t xml:space="preserve"> (Charlottesville: University Press of Virginia, 1995), </w:t>
      </w:r>
      <w:r w:rsidR="003D25A1">
        <w:rPr>
          <w:rFonts w:cstheme="minorHAnsi"/>
        </w:rPr>
        <w:t xml:space="preserve">pp. </w:t>
      </w:r>
      <w:r w:rsidRPr="00AC51A9">
        <w:rPr>
          <w:rFonts w:cstheme="minorHAnsi"/>
        </w:rPr>
        <w:t>98-117.</w:t>
      </w:r>
    </w:p>
  </w:endnote>
  <w:endnote w:id="48">
    <w:p w14:paraId="23D9F6AE" w14:textId="1C0AFF8C" w:rsidR="007458FF" w:rsidRPr="00AC51A9" w:rsidRDefault="007458FF" w:rsidP="003D62DF">
      <w:pPr>
        <w:pStyle w:val="EndnoteText"/>
        <w:rPr>
          <w:rFonts w:cstheme="minorHAnsi"/>
        </w:rPr>
      </w:pPr>
      <w:r w:rsidRPr="00AC51A9">
        <w:rPr>
          <w:rStyle w:val="EndnoteReference"/>
          <w:rFonts w:cstheme="minorHAnsi"/>
        </w:rPr>
        <w:endnoteRef/>
      </w:r>
      <w:r w:rsidRPr="00AC51A9">
        <w:rPr>
          <w:rFonts w:cstheme="minorHAnsi"/>
        </w:rPr>
        <w:t xml:space="preserve"> Crosby, </w:t>
      </w:r>
      <w:r w:rsidRPr="00AC51A9">
        <w:rPr>
          <w:rFonts w:cstheme="minorHAnsi"/>
          <w:i/>
          <w:iCs/>
        </w:rPr>
        <w:t>Benjamin Shaw</w:t>
      </w:r>
      <w:r w:rsidRPr="00AC51A9">
        <w:rPr>
          <w:rFonts w:cstheme="minorHAnsi"/>
        </w:rPr>
        <w:t xml:space="preserve">, </w:t>
      </w:r>
      <w:r w:rsidR="003D25A1">
        <w:rPr>
          <w:rFonts w:cstheme="minorHAnsi"/>
        </w:rPr>
        <w:t xml:space="preserve">p. </w:t>
      </w:r>
      <w:r w:rsidRPr="00AC51A9">
        <w:rPr>
          <w:rFonts w:cstheme="minorHAnsi"/>
        </w:rPr>
        <w:t>34.</w:t>
      </w:r>
    </w:p>
  </w:endnote>
  <w:endnote w:id="49">
    <w:p w14:paraId="4E672A1E" w14:textId="39105091"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w:t>
      </w:r>
      <w:bookmarkStart w:id="6" w:name="_Hlk32305413"/>
      <w:r w:rsidRPr="00AC51A9">
        <w:rPr>
          <w:rFonts w:cstheme="minorHAnsi"/>
        </w:rPr>
        <w:t>ERO D/CR 164</w:t>
      </w:r>
      <w:bookmarkEnd w:id="6"/>
      <w:r w:rsidRPr="00AC51A9">
        <w:rPr>
          <w:rFonts w:cstheme="minorHAnsi"/>
        </w:rPr>
        <w:t xml:space="preserve">; Sokoll, </w:t>
      </w:r>
      <w:r w:rsidRPr="00AC51A9">
        <w:rPr>
          <w:rFonts w:cstheme="minorHAnsi"/>
          <w:i/>
          <w:iCs/>
        </w:rPr>
        <w:t xml:space="preserve">Pauper </w:t>
      </w:r>
      <w:r w:rsidR="00C50B7C">
        <w:rPr>
          <w:rFonts w:cstheme="minorHAnsi"/>
          <w:i/>
          <w:iCs/>
        </w:rPr>
        <w:t>L</w:t>
      </w:r>
      <w:r w:rsidRPr="00AC51A9">
        <w:rPr>
          <w:rFonts w:cstheme="minorHAnsi"/>
          <w:i/>
          <w:iCs/>
        </w:rPr>
        <w:t>etters</w:t>
      </w:r>
      <w:r w:rsidRPr="00AC51A9">
        <w:rPr>
          <w:rFonts w:cstheme="minorHAnsi"/>
        </w:rPr>
        <w:t xml:space="preserve">, </w:t>
      </w:r>
      <w:r w:rsidR="003D25A1">
        <w:rPr>
          <w:rFonts w:cstheme="minorHAnsi"/>
        </w:rPr>
        <w:t xml:space="preserve">p. </w:t>
      </w:r>
      <w:r w:rsidRPr="00AC51A9">
        <w:rPr>
          <w:rFonts w:cstheme="minorHAnsi"/>
        </w:rPr>
        <w:t>215.</w:t>
      </w:r>
    </w:p>
  </w:endnote>
  <w:endnote w:id="50">
    <w:p w14:paraId="47461888" w14:textId="21565B4A"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w:t>
      </w:r>
      <w:bookmarkStart w:id="7" w:name="_Hlk32305424"/>
      <w:r w:rsidRPr="00AC51A9">
        <w:rPr>
          <w:rFonts w:cstheme="minorHAnsi"/>
        </w:rPr>
        <w:t xml:space="preserve">ERO D/P 36/28/3; </w:t>
      </w:r>
      <w:bookmarkEnd w:id="7"/>
      <w:r w:rsidRPr="00AC51A9">
        <w:rPr>
          <w:rFonts w:cstheme="minorHAnsi"/>
        </w:rPr>
        <w:t xml:space="preserve">Sokoll, </w:t>
      </w:r>
      <w:r w:rsidRPr="00AC51A9">
        <w:rPr>
          <w:rFonts w:cstheme="minorHAnsi"/>
          <w:i/>
          <w:iCs/>
        </w:rPr>
        <w:t xml:space="preserve">Pauper </w:t>
      </w:r>
      <w:r w:rsidR="00C50B7C">
        <w:rPr>
          <w:rFonts w:cstheme="minorHAnsi"/>
          <w:i/>
          <w:iCs/>
        </w:rPr>
        <w:t>L</w:t>
      </w:r>
      <w:r w:rsidRPr="00AC51A9">
        <w:rPr>
          <w:rFonts w:cstheme="minorHAnsi"/>
          <w:i/>
          <w:iCs/>
        </w:rPr>
        <w:t>etters</w:t>
      </w:r>
      <w:r w:rsidRPr="00AC51A9">
        <w:rPr>
          <w:rFonts w:cstheme="minorHAnsi"/>
        </w:rPr>
        <w:t xml:space="preserve">, </w:t>
      </w:r>
      <w:r w:rsidR="003D25A1">
        <w:rPr>
          <w:rFonts w:cstheme="minorHAnsi"/>
        </w:rPr>
        <w:t xml:space="preserve">pp. </w:t>
      </w:r>
      <w:r w:rsidRPr="00AC51A9">
        <w:rPr>
          <w:rFonts w:cstheme="minorHAnsi"/>
        </w:rPr>
        <w:t>264, 270.</w:t>
      </w:r>
    </w:p>
  </w:endnote>
  <w:endnote w:id="51">
    <w:p w14:paraId="06ADB1CD" w14:textId="51328801" w:rsidR="007458FF" w:rsidRPr="00AC51A9" w:rsidRDefault="007458FF" w:rsidP="00F60A77">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iCs/>
        </w:rPr>
        <w:t xml:space="preserve">Pauper </w:t>
      </w:r>
      <w:r w:rsidR="00C50B7C">
        <w:rPr>
          <w:rFonts w:cstheme="minorHAnsi"/>
          <w:i/>
          <w:iCs/>
        </w:rPr>
        <w:t>L</w:t>
      </w:r>
      <w:r w:rsidRPr="00AC51A9">
        <w:rPr>
          <w:rFonts w:cstheme="minorHAnsi"/>
          <w:i/>
          <w:iCs/>
        </w:rPr>
        <w:t>etters</w:t>
      </w:r>
      <w:r w:rsidRPr="00AC51A9">
        <w:rPr>
          <w:rFonts w:cstheme="minorHAnsi"/>
        </w:rPr>
        <w:t xml:space="preserve">, </w:t>
      </w:r>
      <w:r w:rsidR="003D25A1">
        <w:rPr>
          <w:rFonts w:cstheme="minorHAnsi"/>
        </w:rPr>
        <w:t xml:space="preserve">p. </w:t>
      </w:r>
      <w:r w:rsidRPr="00AC51A9">
        <w:rPr>
          <w:rFonts w:cstheme="minorHAnsi"/>
        </w:rPr>
        <w:t>270.</w:t>
      </w:r>
    </w:p>
  </w:endnote>
  <w:endnote w:id="52">
    <w:p w14:paraId="55158287" w14:textId="3D9CB8C3" w:rsidR="007458FF" w:rsidRPr="00AC51A9" w:rsidRDefault="007458FF" w:rsidP="00077E10">
      <w:pPr>
        <w:pStyle w:val="EndnoteText"/>
        <w:rPr>
          <w:rFonts w:cstheme="minorHAnsi"/>
        </w:rPr>
      </w:pPr>
      <w:r w:rsidRPr="00AC51A9">
        <w:rPr>
          <w:rStyle w:val="EndnoteReference"/>
          <w:rFonts w:cstheme="minorHAnsi"/>
        </w:rPr>
        <w:endnoteRef/>
      </w:r>
      <w:r w:rsidRPr="00AC51A9">
        <w:rPr>
          <w:rFonts w:cstheme="minorHAnsi"/>
        </w:rPr>
        <w:t xml:space="preserve"> </w:t>
      </w:r>
      <w:r>
        <w:rPr>
          <w:rFonts w:cstheme="minorHAnsi"/>
        </w:rPr>
        <w:t>Ibid.</w:t>
      </w:r>
      <w:r w:rsidRPr="00AC51A9">
        <w:rPr>
          <w:rFonts w:cstheme="minorHAnsi"/>
        </w:rPr>
        <w:t xml:space="preserve">, </w:t>
      </w:r>
      <w:r w:rsidR="003D25A1">
        <w:rPr>
          <w:rFonts w:cstheme="minorHAnsi"/>
        </w:rPr>
        <w:t xml:space="preserve">p. </w:t>
      </w:r>
      <w:r w:rsidRPr="00AC51A9">
        <w:rPr>
          <w:rFonts w:cstheme="minorHAnsi"/>
        </w:rPr>
        <w:t>566.</w:t>
      </w:r>
    </w:p>
  </w:endnote>
  <w:endnote w:id="53">
    <w:p w14:paraId="34AD1C3C" w14:textId="4F445B93"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Ibid., </w:t>
      </w:r>
      <w:r w:rsidR="003D25A1">
        <w:rPr>
          <w:rFonts w:cstheme="minorHAnsi"/>
        </w:rPr>
        <w:t xml:space="preserve">p. </w:t>
      </w:r>
      <w:r w:rsidRPr="00AC51A9">
        <w:rPr>
          <w:rFonts w:cstheme="minorHAnsi"/>
        </w:rPr>
        <w:t>529.</w:t>
      </w:r>
    </w:p>
  </w:endnote>
  <w:endnote w:id="54">
    <w:p w14:paraId="6BD9B2BD" w14:textId="5ED8DC6E" w:rsidR="007458FF" w:rsidRPr="00AC51A9" w:rsidRDefault="007458FF" w:rsidP="00B83FD0">
      <w:pPr>
        <w:pStyle w:val="EndnoteText"/>
        <w:rPr>
          <w:rFonts w:cstheme="minorHAnsi"/>
        </w:rPr>
      </w:pPr>
      <w:r w:rsidRPr="00AC51A9">
        <w:rPr>
          <w:rStyle w:val="EndnoteReference"/>
          <w:rFonts w:cstheme="minorHAnsi"/>
        </w:rPr>
        <w:endnoteRef/>
      </w:r>
      <w:r w:rsidRPr="00AC51A9">
        <w:rPr>
          <w:rFonts w:cstheme="minorHAnsi"/>
        </w:rPr>
        <w:t xml:space="preserve"> Griffin, </w:t>
      </w:r>
      <w:r w:rsidRPr="00AC51A9">
        <w:rPr>
          <w:rFonts w:cstheme="minorHAnsi"/>
          <w:i/>
          <w:iCs/>
        </w:rPr>
        <w:t xml:space="preserve">Liberty’s </w:t>
      </w:r>
      <w:r w:rsidR="00C50B7C">
        <w:rPr>
          <w:rFonts w:cstheme="minorHAnsi"/>
          <w:i/>
          <w:iCs/>
        </w:rPr>
        <w:t>D</w:t>
      </w:r>
      <w:r w:rsidRPr="00AC51A9">
        <w:rPr>
          <w:rFonts w:cstheme="minorHAnsi"/>
          <w:i/>
          <w:iCs/>
        </w:rPr>
        <w:t>awn</w:t>
      </w:r>
      <w:r w:rsidRPr="00AC51A9">
        <w:rPr>
          <w:rFonts w:cstheme="minorHAnsi"/>
        </w:rPr>
        <w:t xml:space="preserve">, </w:t>
      </w:r>
      <w:r w:rsidR="003D25A1">
        <w:rPr>
          <w:rFonts w:cstheme="minorHAnsi"/>
        </w:rPr>
        <w:t xml:space="preserve">pp. </w:t>
      </w:r>
      <w:r w:rsidRPr="00AC51A9">
        <w:rPr>
          <w:rFonts w:cstheme="minorHAnsi"/>
        </w:rPr>
        <w:t>60, 64, 68-78; J</w:t>
      </w:r>
      <w:r w:rsidR="00C50B7C">
        <w:rPr>
          <w:rFonts w:cstheme="minorHAnsi"/>
        </w:rPr>
        <w:t>.</w:t>
      </w:r>
      <w:r w:rsidRPr="00AC51A9">
        <w:rPr>
          <w:rFonts w:cstheme="minorHAnsi"/>
        </w:rPr>
        <w:t xml:space="preserve"> Humphries, </w:t>
      </w:r>
      <w:r w:rsidRPr="00AC51A9">
        <w:rPr>
          <w:rFonts w:cstheme="minorHAnsi"/>
          <w:i/>
          <w:iCs/>
        </w:rPr>
        <w:t xml:space="preserve">Childhood and </w:t>
      </w:r>
      <w:r w:rsidR="00C50B7C">
        <w:rPr>
          <w:rFonts w:cstheme="minorHAnsi"/>
          <w:i/>
          <w:iCs/>
        </w:rPr>
        <w:t>C</w:t>
      </w:r>
      <w:r w:rsidRPr="00AC51A9">
        <w:rPr>
          <w:rFonts w:cstheme="minorHAnsi"/>
          <w:i/>
          <w:iCs/>
        </w:rPr>
        <w:t xml:space="preserve">hild </w:t>
      </w:r>
      <w:r w:rsidR="00C50B7C">
        <w:rPr>
          <w:rFonts w:cstheme="minorHAnsi"/>
          <w:i/>
          <w:iCs/>
        </w:rPr>
        <w:t>L</w:t>
      </w:r>
      <w:r w:rsidRPr="00AC51A9">
        <w:rPr>
          <w:rFonts w:cstheme="minorHAnsi"/>
          <w:i/>
          <w:iCs/>
        </w:rPr>
        <w:t xml:space="preserve">abour in the British </w:t>
      </w:r>
      <w:r w:rsidR="00C50B7C">
        <w:rPr>
          <w:rFonts w:cstheme="minorHAnsi"/>
          <w:i/>
          <w:iCs/>
        </w:rPr>
        <w:t>I</w:t>
      </w:r>
      <w:r w:rsidRPr="00AC51A9">
        <w:rPr>
          <w:rFonts w:cstheme="minorHAnsi"/>
          <w:i/>
          <w:iCs/>
        </w:rPr>
        <w:t xml:space="preserve">ndustrial </w:t>
      </w:r>
      <w:r w:rsidR="00C50B7C">
        <w:rPr>
          <w:rFonts w:cstheme="minorHAnsi"/>
          <w:i/>
          <w:iCs/>
        </w:rPr>
        <w:t>R</w:t>
      </w:r>
      <w:r w:rsidRPr="00AC51A9">
        <w:rPr>
          <w:rFonts w:cstheme="minorHAnsi"/>
          <w:i/>
          <w:iCs/>
        </w:rPr>
        <w:t>evolution</w:t>
      </w:r>
      <w:r w:rsidRPr="00AC51A9">
        <w:rPr>
          <w:rFonts w:cstheme="minorHAnsi"/>
        </w:rPr>
        <w:t xml:space="preserve"> (Cambridge: Cambridge University Press, 2010), </w:t>
      </w:r>
      <w:r w:rsidR="003D25A1">
        <w:rPr>
          <w:rFonts w:cstheme="minorHAnsi"/>
        </w:rPr>
        <w:t xml:space="preserve">p. </w:t>
      </w:r>
      <w:r w:rsidRPr="00AC51A9">
        <w:rPr>
          <w:rFonts w:cstheme="minorHAnsi"/>
        </w:rPr>
        <w:t xml:space="preserve">176; Muldrew, </w:t>
      </w:r>
      <w:r w:rsidRPr="00AC51A9">
        <w:rPr>
          <w:rFonts w:cstheme="minorHAnsi"/>
          <w:i/>
          <w:iCs/>
        </w:rPr>
        <w:t>Food</w:t>
      </w:r>
      <w:r w:rsidRPr="00AC51A9">
        <w:rPr>
          <w:rFonts w:cstheme="minorHAnsi"/>
        </w:rPr>
        <w:t xml:space="preserve">, </w:t>
      </w:r>
      <w:r w:rsidR="003D25A1">
        <w:rPr>
          <w:rFonts w:cstheme="minorHAnsi"/>
        </w:rPr>
        <w:t xml:space="preserve">pp. </w:t>
      </w:r>
      <w:r w:rsidRPr="00AC51A9">
        <w:rPr>
          <w:rFonts w:cstheme="minorHAnsi"/>
        </w:rPr>
        <w:t>233-234.</w:t>
      </w:r>
    </w:p>
  </w:endnote>
  <w:endnote w:id="55">
    <w:p w14:paraId="19AAF24D" w14:textId="310A8DF8" w:rsidR="007458FF" w:rsidRPr="00AC51A9" w:rsidRDefault="007458FF" w:rsidP="00A149A4">
      <w:pPr>
        <w:pStyle w:val="EndnoteText"/>
        <w:rPr>
          <w:rFonts w:cstheme="minorHAnsi"/>
        </w:rPr>
      </w:pPr>
      <w:r w:rsidRPr="00AC51A9">
        <w:rPr>
          <w:rStyle w:val="EndnoteReference"/>
          <w:rFonts w:cstheme="minorHAnsi"/>
        </w:rPr>
        <w:endnoteRef/>
      </w:r>
      <w:r w:rsidRPr="00AC51A9">
        <w:rPr>
          <w:rFonts w:cstheme="minorHAnsi"/>
        </w:rPr>
        <w:t xml:space="preserve"> E. A. Wrigley and R. S. Schofield, </w:t>
      </w:r>
      <w:r w:rsidRPr="00AC51A9">
        <w:rPr>
          <w:rFonts w:cstheme="minorHAnsi"/>
          <w:i/>
          <w:iCs/>
        </w:rPr>
        <w:t xml:space="preserve">The </w:t>
      </w:r>
      <w:r w:rsidR="00C50B7C">
        <w:rPr>
          <w:rFonts w:cstheme="minorHAnsi"/>
          <w:i/>
          <w:iCs/>
        </w:rPr>
        <w:t>P</w:t>
      </w:r>
      <w:r w:rsidRPr="00AC51A9">
        <w:rPr>
          <w:rFonts w:cstheme="minorHAnsi"/>
          <w:i/>
          <w:iCs/>
        </w:rPr>
        <w:t xml:space="preserve">opulation </w:t>
      </w:r>
      <w:r w:rsidR="00C50B7C">
        <w:rPr>
          <w:rFonts w:cstheme="minorHAnsi"/>
          <w:i/>
          <w:iCs/>
        </w:rPr>
        <w:t>H</w:t>
      </w:r>
      <w:r w:rsidRPr="00AC51A9">
        <w:rPr>
          <w:rFonts w:cstheme="minorHAnsi"/>
          <w:i/>
          <w:iCs/>
        </w:rPr>
        <w:t xml:space="preserve">istory of England 1541-1871: A </w:t>
      </w:r>
      <w:r w:rsidR="00C50B7C">
        <w:rPr>
          <w:rFonts w:cstheme="minorHAnsi"/>
          <w:i/>
          <w:iCs/>
        </w:rPr>
        <w:t>R</w:t>
      </w:r>
      <w:r w:rsidRPr="00AC51A9">
        <w:rPr>
          <w:rFonts w:cstheme="minorHAnsi"/>
          <w:i/>
          <w:iCs/>
        </w:rPr>
        <w:t>econstruction</w:t>
      </w:r>
      <w:r w:rsidRPr="00AC51A9">
        <w:rPr>
          <w:rFonts w:cstheme="minorHAnsi"/>
        </w:rPr>
        <w:t xml:space="preserve">, 2nd edn. (Cambridge: Cambridge University Press, 1989), </w:t>
      </w:r>
      <w:r w:rsidR="003D25A1">
        <w:rPr>
          <w:rFonts w:cstheme="minorHAnsi"/>
        </w:rPr>
        <w:t xml:space="preserve">pp. </w:t>
      </w:r>
      <w:r w:rsidRPr="00AC51A9">
        <w:rPr>
          <w:rFonts w:cstheme="minorHAnsi"/>
        </w:rPr>
        <w:t>208, 431</w:t>
      </w:r>
    </w:p>
  </w:endnote>
  <w:endnote w:id="56">
    <w:p w14:paraId="7C4B9989" w14:textId="6BAAE897" w:rsidR="007458FF" w:rsidRPr="00AB11C9" w:rsidRDefault="007458FF" w:rsidP="00DC588B">
      <w:pPr>
        <w:pStyle w:val="EndnoteText"/>
        <w:rPr>
          <w:rFonts w:cstheme="minorHAnsi"/>
        </w:rPr>
      </w:pPr>
      <w:r w:rsidRPr="00AB11C9">
        <w:rPr>
          <w:rStyle w:val="EndnoteReference"/>
          <w:rFonts w:cstheme="minorHAnsi"/>
        </w:rPr>
        <w:endnoteRef/>
      </w:r>
      <w:r w:rsidRPr="00AB11C9">
        <w:rPr>
          <w:rFonts w:cstheme="minorHAnsi"/>
        </w:rPr>
        <w:t xml:space="preserve"> S</w:t>
      </w:r>
      <w:r w:rsidR="00C50B7C">
        <w:rPr>
          <w:rFonts w:cstheme="minorHAnsi"/>
        </w:rPr>
        <w:t>.</w:t>
      </w:r>
      <w:r w:rsidRPr="00AB11C9">
        <w:rPr>
          <w:rFonts w:cstheme="minorHAnsi"/>
        </w:rPr>
        <w:t xml:space="preserve"> King, </w:t>
      </w:r>
      <w:r w:rsidRPr="00AB11C9">
        <w:rPr>
          <w:rFonts w:cstheme="minorHAnsi"/>
          <w:i/>
          <w:iCs/>
        </w:rPr>
        <w:t xml:space="preserve">Sickness, </w:t>
      </w:r>
      <w:r w:rsidR="00C50B7C">
        <w:rPr>
          <w:rFonts w:cstheme="minorHAnsi"/>
          <w:i/>
          <w:iCs/>
        </w:rPr>
        <w:t>M</w:t>
      </w:r>
      <w:r w:rsidRPr="00AB11C9">
        <w:rPr>
          <w:rFonts w:cstheme="minorHAnsi"/>
          <w:i/>
          <w:iCs/>
        </w:rPr>
        <w:t xml:space="preserve">edical </w:t>
      </w:r>
      <w:r w:rsidR="00C50B7C">
        <w:rPr>
          <w:rFonts w:cstheme="minorHAnsi"/>
          <w:i/>
          <w:iCs/>
        </w:rPr>
        <w:t>W</w:t>
      </w:r>
      <w:r w:rsidRPr="00AB11C9">
        <w:rPr>
          <w:rFonts w:cstheme="minorHAnsi"/>
          <w:i/>
          <w:iCs/>
        </w:rPr>
        <w:t xml:space="preserve">elfare and the English </w:t>
      </w:r>
      <w:r w:rsidR="00C50B7C">
        <w:rPr>
          <w:rFonts w:cstheme="minorHAnsi"/>
          <w:i/>
          <w:iCs/>
        </w:rPr>
        <w:t>P</w:t>
      </w:r>
      <w:r w:rsidRPr="00AB11C9">
        <w:rPr>
          <w:rFonts w:cstheme="minorHAnsi"/>
          <w:i/>
          <w:iCs/>
        </w:rPr>
        <w:t>oor, 1750-1834</w:t>
      </w:r>
      <w:r w:rsidRPr="00AB11C9">
        <w:rPr>
          <w:rFonts w:cstheme="minorHAnsi"/>
        </w:rPr>
        <w:t xml:space="preserve"> (Manchester: Manchester University Press, 2018).</w:t>
      </w:r>
    </w:p>
  </w:endnote>
  <w:endnote w:id="57">
    <w:p w14:paraId="266B6E82" w14:textId="1A9B51AA" w:rsidR="007458FF" w:rsidRPr="00AC51A9" w:rsidRDefault="007458FF" w:rsidP="00300716">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Pauper letters</w:t>
      </w:r>
      <w:r w:rsidRPr="00AC51A9">
        <w:rPr>
          <w:rFonts w:cstheme="minorHAnsi"/>
        </w:rPr>
        <w:t xml:space="preserve">, 316; </w:t>
      </w:r>
      <w:r w:rsidR="00C50B7C">
        <w:rPr>
          <w:rFonts w:cstheme="minorHAnsi"/>
        </w:rPr>
        <w:t>P.</w:t>
      </w:r>
      <w:r w:rsidRPr="00AC51A9">
        <w:rPr>
          <w:rFonts w:cstheme="minorHAnsi"/>
        </w:rPr>
        <w:t xml:space="preserve"> Sharpe, ‘“The bowels of compation”: A </w:t>
      </w:r>
      <w:r w:rsidR="00C50B7C">
        <w:rPr>
          <w:rFonts w:cstheme="minorHAnsi"/>
        </w:rPr>
        <w:t>L</w:t>
      </w:r>
      <w:r w:rsidRPr="00AC51A9">
        <w:rPr>
          <w:rFonts w:cstheme="minorHAnsi"/>
        </w:rPr>
        <w:t xml:space="preserve">abouring </w:t>
      </w:r>
      <w:r w:rsidR="00C50B7C">
        <w:rPr>
          <w:rFonts w:cstheme="minorHAnsi"/>
        </w:rPr>
        <w:t>F</w:t>
      </w:r>
      <w:r w:rsidRPr="00AC51A9">
        <w:rPr>
          <w:rFonts w:cstheme="minorHAnsi"/>
        </w:rPr>
        <w:t xml:space="preserve">amily and the </w:t>
      </w:r>
      <w:r w:rsidR="00C50B7C">
        <w:rPr>
          <w:rFonts w:cstheme="minorHAnsi"/>
        </w:rPr>
        <w:t>L</w:t>
      </w:r>
      <w:r w:rsidRPr="00AC51A9">
        <w:rPr>
          <w:rFonts w:cstheme="minorHAnsi"/>
        </w:rPr>
        <w:t xml:space="preserve">aw, c.1790-1834, in </w:t>
      </w:r>
      <w:r w:rsidRPr="004C0EC9">
        <w:rPr>
          <w:rFonts w:cstheme="minorHAnsi"/>
        </w:rPr>
        <w:t>T</w:t>
      </w:r>
      <w:r w:rsidR="00C50B7C">
        <w:rPr>
          <w:rFonts w:cstheme="minorHAnsi"/>
        </w:rPr>
        <w:t>.</w:t>
      </w:r>
      <w:r w:rsidRPr="004C0EC9">
        <w:rPr>
          <w:rFonts w:cstheme="minorHAnsi"/>
        </w:rPr>
        <w:t xml:space="preserve"> Hitchcock, P</w:t>
      </w:r>
      <w:r w:rsidR="00C50B7C">
        <w:rPr>
          <w:rFonts w:cstheme="minorHAnsi"/>
        </w:rPr>
        <w:t>.</w:t>
      </w:r>
      <w:r w:rsidRPr="004C0EC9">
        <w:rPr>
          <w:rFonts w:cstheme="minorHAnsi"/>
        </w:rPr>
        <w:t xml:space="preserve"> King and P</w:t>
      </w:r>
      <w:r w:rsidR="00C50B7C">
        <w:rPr>
          <w:rFonts w:cstheme="minorHAnsi"/>
        </w:rPr>
        <w:t>.</w:t>
      </w:r>
      <w:r w:rsidRPr="004C0EC9">
        <w:rPr>
          <w:rFonts w:cstheme="minorHAnsi"/>
        </w:rPr>
        <w:t xml:space="preserve"> Sharpe </w:t>
      </w:r>
      <w:r w:rsidR="00C50B7C">
        <w:rPr>
          <w:rFonts w:cstheme="minorHAnsi"/>
        </w:rPr>
        <w:t>(</w:t>
      </w:r>
      <w:r w:rsidRPr="004C0EC9">
        <w:rPr>
          <w:rFonts w:cstheme="minorHAnsi"/>
        </w:rPr>
        <w:t>eds</w:t>
      </w:r>
      <w:r w:rsidR="00C50B7C">
        <w:rPr>
          <w:rFonts w:cstheme="minorHAnsi"/>
        </w:rPr>
        <w:t>)</w:t>
      </w:r>
      <w:r w:rsidRPr="004C0EC9">
        <w:rPr>
          <w:rFonts w:cstheme="minorHAnsi"/>
        </w:rPr>
        <w:t xml:space="preserve">, </w:t>
      </w:r>
      <w:r w:rsidRPr="004C0EC9">
        <w:rPr>
          <w:rFonts w:cstheme="minorHAnsi"/>
          <w:i/>
          <w:iCs/>
        </w:rPr>
        <w:t xml:space="preserve">Chronicling Poverty: The </w:t>
      </w:r>
      <w:r w:rsidR="00C50B7C">
        <w:rPr>
          <w:rFonts w:cstheme="minorHAnsi"/>
          <w:i/>
          <w:iCs/>
        </w:rPr>
        <w:t>V</w:t>
      </w:r>
      <w:r w:rsidRPr="004C0EC9">
        <w:rPr>
          <w:rFonts w:cstheme="minorHAnsi"/>
          <w:i/>
          <w:iCs/>
        </w:rPr>
        <w:t xml:space="preserve">oices and </w:t>
      </w:r>
      <w:r w:rsidR="00C50B7C">
        <w:rPr>
          <w:rFonts w:cstheme="minorHAnsi"/>
          <w:i/>
          <w:iCs/>
        </w:rPr>
        <w:t>S</w:t>
      </w:r>
      <w:r w:rsidRPr="004C0EC9">
        <w:rPr>
          <w:rFonts w:cstheme="minorHAnsi"/>
          <w:i/>
          <w:iCs/>
        </w:rPr>
        <w:t xml:space="preserve">trategies of the English </w:t>
      </w:r>
      <w:r w:rsidR="00C50B7C">
        <w:rPr>
          <w:rFonts w:cstheme="minorHAnsi"/>
          <w:i/>
          <w:iCs/>
        </w:rPr>
        <w:t>P</w:t>
      </w:r>
      <w:r w:rsidRPr="004C0EC9">
        <w:rPr>
          <w:rFonts w:cstheme="minorHAnsi"/>
          <w:i/>
          <w:iCs/>
        </w:rPr>
        <w:t xml:space="preserve">oor, 1640-1840 </w:t>
      </w:r>
      <w:r w:rsidRPr="004C0EC9">
        <w:rPr>
          <w:rFonts w:cstheme="minorHAnsi"/>
        </w:rPr>
        <w:t>(Basingstoke: Palgrave Macmillan, 1997)</w:t>
      </w:r>
      <w:r>
        <w:rPr>
          <w:rFonts w:cstheme="minorHAnsi"/>
        </w:rPr>
        <w:t xml:space="preserve">, </w:t>
      </w:r>
      <w:r w:rsidR="00C50B7C">
        <w:rPr>
          <w:rFonts w:cstheme="minorHAnsi"/>
        </w:rPr>
        <w:t xml:space="preserve">pp. </w:t>
      </w:r>
      <w:r w:rsidRPr="00AC51A9">
        <w:rPr>
          <w:rFonts w:cstheme="minorHAnsi"/>
        </w:rPr>
        <w:t>90-91</w:t>
      </w:r>
      <w:r>
        <w:rPr>
          <w:rFonts w:cstheme="minorHAnsi"/>
        </w:rPr>
        <w:t>.</w:t>
      </w:r>
    </w:p>
  </w:endnote>
  <w:endnote w:id="58">
    <w:p w14:paraId="242D0806" w14:textId="4E0DC85B" w:rsidR="007458FF" w:rsidRPr="00AC51A9" w:rsidRDefault="007458FF" w:rsidP="00300716">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Pauper letters</w:t>
      </w:r>
      <w:r w:rsidRPr="00AC51A9">
        <w:rPr>
          <w:rFonts w:cstheme="minorHAnsi"/>
        </w:rPr>
        <w:t xml:space="preserve">, </w:t>
      </w:r>
      <w:r w:rsidR="005E0773">
        <w:rPr>
          <w:rFonts w:cstheme="minorHAnsi"/>
        </w:rPr>
        <w:t xml:space="preserve">p. </w:t>
      </w:r>
      <w:r w:rsidRPr="00AC51A9">
        <w:rPr>
          <w:rFonts w:cstheme="minorHAnsi"/>
        </w:rPr>
        <w:t>510.</w:t>
      </w:r>
    </w:p>
  </w:endnote>
  <w:endnote w:id="59">
    <w:p w14:paraId="43F4DFA8" w14:textId="3F09D130" w:rsidR="007458FF" w:rsidRPr="00AC51A9" w:rsidRDefault="007458FF" w:rsidP="003E04CE">
      <w:pPr>
        <w:pStyle w:val="EndnoteText"/>
        <w:rPr>
          <w:rFonts w:cstheme="minorHAnsi"/>
        </w:rPr>
      </w:pPr>
      <w:r w:rsidRPr="00AC51A9">
        <w:rPr>
          <w:rStyle w:val="EndnoteReference"/>
          <w:rFonts w:cstheme="minorHAnsi"/>
        </w:rPr>
        <w:endnoteRef/>
      </w:r>
      <w:r w:rsidRPr="00AC51A9">
        <w:rPr>
          <w:rFonts w:cstheme="minorHAnsi"/>
        </w:rPr>
        <w:t xml:space="preserve"> A</w:t>
      </w:r>
      <w:r w:rsidR="005E0773">
        <w:rPr>
          <w:rFonts w:cstheme="minorHAnsi"/>
        </w:rPr>
        <w:t>.</w:t>
      </w:r>
      <w:r w:rsidRPr="00AC51A9">
        <w:rPr>
          <w:rFonts w:cstheme="minorHAnsi"/>
        </w:rPr>
        <w:t xml:space="preserve"> Tomkins, ‘“Labouring on a bed of sickness”: The </w:t>
      </w:r>
      <w:r w:rsidR="005E0773">
        <w:rPr>
          <w:rFonts w:cstheme="minorHAnsi"/>
        </w:rPr>
        <w:t>M</w:t>
      </w:r>
      <w:r w:rsidRPr="00AC51A9">
        <w:rPr>
          <w:rFonts w:cstheme="minorHAnsi"/>
        </w:rPr>
        <w:t xml:space="preserve">aterial and </w:t>
      </w:r>
      <w:r w:rsidR="005E0773">
        <w:rPr>
          <w:rFonts w:cstheme="minorHAnsi"/>
        </w:rPr>
        <w:t>R</w:t>
      </w:r>
      <w:r w:rsidRPr="00AC51A9">
        <w:rPr>
          <w:rFonts w:cstheme="minorHAnsi"/>
        </w:rPr>
        <w:t xml:space="preserve">hetorical </w:t>
      </w:r>
      <w:r w:rsidR="005E0773">
        <w:rPr>
          <w:rFonts w:cstheme="minorHAnsi"/>
        </w:rPr>
        <w:t>D</w:t>
      </w:r>
      <w:r w:rsidRPr="00AC51A9">
        <w:rPr>
          <w:rFonts w:cstheme="minorHAnsi"/>
        </w:rPr>
        <w:t xml:space="preserve">eployment of </w:t>
      </w:r>
      <w:r w:rsidR="005E0773">
        <w:rPr>
          <w:rFonts w:cstheme="minorHAnsi"/>
        </w:rPr>
        <w:t>I</w:t>
      </w:r>
      <w:r w:rsidRPr="00AC51A9">
        <w:rPr>
          <w:rFonts w:cstheme="minorHAnsi"/>
        </w:rPr>
        <w:t xml:space="preserve">ll-health in </w:t>
      </w:r>
      <w:r w:rsidR="005E0773">
        <w:rPr>
          <w:rFonts w:cstheme="minorHAnsi"/>
        </w:rPr>
        <w:t>M</w:t>
      </w:r>
      <w:r w:rsidRPr="00AC51A9">
        <w:rPr>
          <w:rFonts w:cstheme="minorHAnsi"/>
        </w:rPr>
        <w:t xml:space="preserve">ale </w:t>
      </w:r>
      <w:r w:rsidR="005E0773">
        <w:rPr>
          <w:rFonts w:cstheme="minorHAnsi"/>
        </w:rPr>
        <w:t>P</w:t>
      </w:r>
      <w:r w:rsidRPr="00AC51A9">
        <w:rPr>
          <w:rFonts w:cstheme="minorHAnsi"/>
        </w:rPr>
        <w:t xml:space="preserve">auper </w:t>
      </w:r>
      <w:r w:rsidR="005E0773">
        <w:rPr>
          <w:rFonts w:cstheme="minorHAnsi"/>
        </w:rPr>
        <w:t>L</w:t>
      </w:r>
      <w:r w:rsidRPr="00AC51A9">
        <w:rPr>
          <w:rFonts w:cstheme="minorHAnsi"/>
        </w:rPr>
        <w:t>etters’, in A</w:t>
      </w:r>
      <w:r w:rsidR="005E0773">
        <w:rPr>
          <w:rFonts w:cstheme="minorHAnsi"/>
        </w:rPr>
        <w:t xml:space="preserve">. </w:t>
      </w:r>
      <w:r w:rsidRPr="00AC51A9">
        <w:rPr>
          <w:rFonts w:cstheme="minorHAnsi"/>
        </w:rPr>
        <w:t>Gestrich, E</w:t>
      </w:r>
      <w:r w:rsidR="005E0773">
        <w:rPr>
          <w:rFonts w:cstheme="minorHAnsi"/>
        </w:rPr>
        <w:t>.</w:t>
      </w:r>
      <w:r w:rsidRPr="00AC51A9">
        <w:rPr>
          <w:rFonts w:cstheme="minorHAnsi"/>
        </w:rPr>
        <w:t xml:space="preserve"> Hurren</w:t>
      </w:r>
      <w:r w:rsidR="00EF7410">
        <w:rPr>
          <w:rFonts w:cstheme="minorHAnsi"/>
        </w:rPr>
        <w:t>,</w:t>
      </w:r>
      <w:r w:rsidRPr="00AC51A9">
        <w:rPr>
          <w:rFonts w:cstheme="minorHAnsi"/>
        </w:rPr>
        <w:t xml:space="preserve"> and S</w:t>
      </w:r>
      <w:r w:rsidR="005E0773">
        <w:rPr>
          <w:rFonts w:cstheme="minorHAnsi"/>
        </w:rPr>
        <w:t>.</w:t>
      </w:r>
      <w:r w:rsidRPr="00AC51A9">
        <w:rPr>
          <w:rFonts w:cstheme="minorHAnsi"/>
        </w:rPr>
        <w:t xml:space="preserve"> King </w:t>
      </w:r>
      <w:r w:rsidR="005E0773">
        <w:rPr>
          <w:rFonts w:cstheme="minorHAnsi"/>
        </w:rPr>
        <w:t>(</w:t>
      </w:r>
      <w:r w:rsidRPr="00AC51A9">
        <w:rPr>
          <w:rFonts w:cstheme="minorHAnsi"/>
        </w:rPr>
        <w:t>eds</w:t>
      </w:r>
      <w:r w:rsidR="005E0773">
        <w:rPr>
          <w:rFonts w:cstheme="minorHAnsi"/>
        </w:rPr>
        <w:t>)</w:t>
      </w:r>
      <w:r w:rsidRPr="00AC51A9">
        <w:rPr>
          <w:rFonts w:cstheme="minorHAnsi"/>
        </w:rPr>
        <w:t xml:space="preserve">, </w:t>
      </w:r>
      <w:r w:rsidRPr="00AC51A9">
        <w:rPr>
          <w:rFonts w:cstheme="minorHAnsi"/>
          <w:i/>
          <w:iCs/>
        </w:rPr>
        <w:t xml:space="preserve">Poverty and </w:t>
      </w:r>
      <w:r w:rsidR="005E0773">
        <w:rPr>
          <w:rFonts w:cstheme="minorHAnsi"/>
          <w:i/>
          <w:iCs/>
        </w:rPr>
        <w:t>S</w:t>
      </w:r>
      <w:r w:rsidRPr="00AC51A9">
        <w:rPr>
          <w:rFonts w:cstheme="minorHAnsi"/>
          <w:i/>
          <w:iCs/>
        </w:rPr>
        <w:t xml:space="preserve">ickness in </w:t>
      </w:r>
      <w:r w:rsidR="005E0773">
        <w:rPr>
          <w:rFonts w:cstheme="minorHAnsi"/>
          <w:i/>
          <w:iCs/>
        </w:rPr>
        <w:t>M</w:t>
      </w:r>
      <w:r w:rsidRPr="00AC51A9">
        <w:rPr>
          <w:rFonts w:cstheme="minorHAnsi"/>
          <w:i/>
          <w:iCs/>
        </w:rPr>
        <w:t xml:space="preserve">odern Europe: Narratives of the </w:t>
      </w:r>
      <w:r w:rsidR="005E0773">
        <w:rPr>
          <w:rFonts w:cstheme="minorHAnsi"/>
          <w:i/>
          <w:iCs/>
        </w:rPr>
        <w:t>S</w:t>
      </w:r>
      <w:r w:rsidRPr="00AC51A9">
        <w:rPr>
          <w:rFonts w:cstheme="minorHAnsi"/>
          <w:i/>
          <w:iCs/>
        </w:rPr>
        <w:t xml:space="preserve">ick </w:t>
      </w:r>
      <w:r w:rsidR="005E0773">
        <w:rPr>
          <w:rFonts w:cstheme="minorHAnsi"/>
          <w:i/>
          <w:iCs/>
        </w:rPr>
        <w:t>P</w:t>
      </w:r>
      <w:r w:rsidRPr="00AC51A9">
        <w:rPr>
          <w:rFonts w:cstheme="minorHAnsi"/>
          <w:i/>
          <w:iCs/>
        </w:rPr>
        <w:t>oor, 1780-1938</w:t>
      </w:r>
      <w:r w:rsidRPr="00AC51A9">
        <w:rPr>
          <w:rFonts w:cstheme="minorHAnsi"/>
        </w:rPr>
        <w:t xml:space="preserve"> (London: Continuum, 2012), </w:t>
      </w:r>
      <w:r w:rsidR="005E0773">
        <w:rPr>
          <w:rFonts w:cstheme="minorHAnsi"/>
        </w:rPr>
        <w:t xml:space="preserve">pp. </w:t>
      </w:r>
      <w:r w:rsidRPr="00AC51A9">
        <w:rPr>
          <w:rFonts w:cstheme="minorHAnsi"/>
        </w:rPr>
        <w:t>51-68.</w:t>
      </w:r>
    </w:p>
  </w:endnote>
  <w:endnote w:id="60">
    <w:p w14:paraId="2E93461F" w14:textId="1EF30980"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 xml:space="preserve">Pauper </w:t>
      </w:r>
      <w:r w:rsidR="005E0773">
        <w:rPr>
          <w:rFonts w:cstheme="minorHAnsi"/>
          <w:i/>
        </w:rPr>
        <w:t>L</w:t>
      </w:r>
      <w:r w:rsidRPr="00AC51A9">
        <w:rPr>
          <w:rFonts w:cstheme="minorHAnsi"/>
          <w:i/>
        </w:rPr>
        <w:t>etters</w:t>
      </w:r>
      <w:r w:rsidRPr="00AC51A9">
        <w:rPr>
          <w:rFonts w:cstheme="minorHAnsi"/>
        </w:rPr>
        <w:t xml:space="preserve">, </w:t>
      </w:r>
      <w:r w:rsidR="005E0773">
        <w:rPr>
          <w:rFonts w:cstheme="minorHAnsi"/>
        </w:rPr>
        <w:t xml:space="preserve">p. </w:t>
      </w:r>
      <w:r w:rsidRPr="00AC51A9">
        <w:rPr>
          <w:rFonts w:cstheme="minorHAnsi"/>
        </w:rPr>
        <w:t xml:space="preserve">326; Sharpe, ‘Bowels’, </w:t>
      </w:r>
      <w:r w:rsidR="005E0773">
        <w:rPr>
          <w:rFonts w:cstheme="minorHAnsi"/>
        </w:rPr>
        <w:t xml:space="preserve">p. </w:t>
      </w:r>
      <w:r w:rsidRPr="00AC51A9">
        <w:rPr>
          <w:rFonts w:cstheme="minorHAnsi"/>
        </w:rPr>
        <w:t>90</w:t>
      </w:r>
      <w:r w:rsidR="005E0773">
        <w:rPr>
          <w:rFonts w:cstheme="minorHAnsi"/>
        </w:rPr>
        <w:t>.</w:t>
      </w:r>
    </w:p>
  </w:endnote>
  <w:endnote w:id="61">
    <w:p w14:paraId="4E7138D1" w14:textId="3D58B526"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M</w:t>
      </w:r>
      <w:r w:rsidR="005E0773">
        <w:rPr>
          <w:rFonts w:cstheme="minorHAnsi"/>
        </w:rPr>
        <w:t>.</w:t>
      </w:r>
      <w:r w:rsidRPr="00AC51A9">
        <w:rPr>
          <w:rFonts w:cstheme="minorHAnsi"/>
        </w:rPr>
        <w:t xml:space="preserve"> Saxby, </w:t>
      </w:r>
      <w:r w:rsidRPr="00AC51A9">
        <w:rPr>
          <w:rFonts w:cstheme="minorHAnsi"/>
          <w:i/>
          <w:iCs/>
        </w:rPr>
        <w:t xml:space="preserve">Memoirs of a </w:t>
      </w:r>
      <w:r w:rsidR="005E0773">
        <w:rPr>
          <w:rFonts w:cstheme="minorHAnsi"/>
          <w:i/>
          <w:iCs/>
        </w:rPr>
        <w:t>F</w:t>
      </w:r>
      <w:r w:rsidRPr="00AC51A9">
        <w:rPr>
          <w:rFonts w:cstheme="minorHAnsi"/>
          <w:i/>
          <w:iCs/>
        </w:rPr>
        <w:t xml:space="preserve">emale </w:t>
      </w:r>
      <w:r w:rsidR="005E0773">
        <w:rPr>
          <w:rFonts w:cstheme="minorHAnsi"/>
          <w:i/>
          <w:iCs/>
        </w:rPr>
        <w:t>V</w:t>
      </w:r>
      <w:r w:rsidRPr="00AC51A9">
        <w:rPr>
          <w:rFonts w:cstheme="minorHAnsi"/>
          <w:i/>
          <w:iCs/>
        </w:rPr>
        <w:t>agrant</w:t>
      </w:r>
      <w:r w:rsidRPr="00AC51A9">
        <w:rPr>
          <w:rFonts w:cstheme="minorHAnsi"/>
        </w:rPr>
        <w:t xml:space="preserve"> (London: J. W. Morris, 1806), </w:t>
      </w:r>
      <w:r w:rsidR="005E0773">
        <w:rPr>
          <w:rFonts w:cstheme="minorHAnsi"/>
        </w:rPr>
        <w:t xml:space="preserve">p. </w:t>
      </w:r>
      <w:r w:rsidRPr="00AC51A9">
        <w:rPr>
          <w:rFonts w:cstheme="minorHAnsi"/>
        </w:rPr>
        <w:t>25.</w:t>
      </w:r>
    </w:p>
  </w:endnote>
  <w:endnote w:id="62">
    <w:p w14:paraId="2F222AFB" w14:textId="4C3EA8E1" w:rsidR="007458FF" w:rsidRPr="00AC51A9" w:rsidRDefault="007458FF" w:rsidP="009547A0">
      <w:pPr>
        <w:pStyle w:val="EndnoteText"/>
        <w:rPr>
          <w:rFonts w:cstheme="minorHAnsi"/>
        </w:rPr>
      </w:pPr>
      <w:r w:rsidRPr="00AC51A9">
        <w:rPr>
          <w:rStyle w:val="EndnoteReference"/>
          <w:rFonts w:cstheme="minorHAnsi"/>
        </w:rPr>
        <w:endnoteRef/>
      </w:r>
      <w:r w:rsidRPr="00AC51A9">
        <w:rPr>
          <w:rFonts w:cstheme="minorHAnsi"/>
        </w:rPr>
        <w:t xml:space="preserve"> In contrast, the numbers of letters which noted bills for doctors and medicine were relatively consistent over the same period (21 and 18 per cent respectively).</w:t>
      </w:r>
    </w:p>
  </w:endnote>
  <w:endnote w:id="63">
    <w:p w14:paraId="48C6C384" w14:textId="76AAE83D" w:rsidR="007458FF" w:rsidRPr="00AB11C9" w:rsidRDefault="007458FF">
      <w:pPr>
        <w:pStyle w:val="EndnoteText"/>
        <w:rPr>
          <w:rFonts w:cstheme="minorHAnsi"/>
        </w:rPr>
      </w:pPr>
      <w:r w:rsidRPr="00AB11C9">
        <w:rPr>
          <w:rStyle w:val="EndnoteReference"/>
          <w:rFonts w:cstheme="minorHAnsi"/>
        </w:rPr>
        <w:endnoteRef/>
      </w:r>
      <w:r w:rsidRPr="00AB11C9">
        <w:rPr>
          <w:rFonts w:cstheme="minorHAnsi"/>
        </w:rPr>
        <w:t xml:space="preserve"> King </w:t>
      </w:r>
      <w:r>
        <w:rPr>
          <w:rFonts w:cstheme="minorHAnsi"/>
        </w:rPr>
        <w:t xml:space="preserve">also found </w:t>
      </w:r>
      <w:r w:rsidRPr="00AB11C9">
        <w:rPr>
          <w:rFonts w:cstheme="minorHAnsi"/>
        </w:rPr>
        <w:t>that the frequency</w:t>
      </w:r>
      <w:r>
        <w:rPr>
          <w:rFonts w:cstheme="minorHAnsi"/>
        </w:rPr>
        <w:t>,</w:t>
      </w:r>
      <w:r w:rsidRPr="00AB11C9">
        <w:rPr>
          <w:rFonts w:cstheme="minorHAnsi"/>
        </w:rPr>
        <w:t xml:space="preserve"> duration</w:t>
      </w:r>
      <w:r w:rsidR="00EF7410">
        <w:rPr>
          <w:rFonts w:cstheme="minorHAnsi"/>
        </w:rPr>
        <w:t>,</w:t>
      </w:r>
      <w:r>
        <w:rPr>
          <w:rFonts w:cstheme="minorHAnsi"/>
        </w:rPr>
        <w:t xml:space="preserve"> and costs</w:t>
      </w:r>
      <w:r w:rsidRPr="00AB11C9">
        <w:rPr>
          <w:rFonts w:cstheme="minorHAnsi"/>
        </w:rPr>
        <w:t xml:space="preserve"> of sicknesses was </w:t>
      </w:r>
      <w:r>
        <w:rPr>
          <w:rFonts w:cstheme="minorHAnsi"/>
        </w:rPr>
        <w:t xml:space="preserve">potentially </w:t>
      </w:r>
      <w:r w:rsidRPr="00AB11C9">
        <w:rPr>
          <w:rFonts w:cstheme="minorHAnsi"/>
        </w:rPr>
        <w:t>increasing among the English poor</w:t>
      </w:r>
      <w:r>
        <w:rPr>
          <w:rFonts w:cstheme="minorHAnsi"/>
        </w:rPr>
        <w:t xml:space="preserve"> over time</w:t>
      </w:r>
      <w:r w:rsidRPr="00AB11C9">
        <w:rPr>
          <w:rFonts w:cstheme="minorHAnsi"/>
        </w:rPr>
        <w:t xml:space="preserve">. King, </w:t>
      </w:r>
      <w:r w:rsidRPr="00AB11C9">
        <w:rPr>
          <w:rFonts w:cstheme="minorHAnsi"/>
          <w:i/>
          <w:iCs/>
        </w:rPr>
        <w:t xml:space="preserve">Sickness, </w:t>
      </w:r>
      <w:r w:rsidR="005E0773">
        <w:rPr>
          <w:rFonts w:cstheme="minorHAnsi"/>
          <w:i/>
          <w:iCs/>
        </w:rPr>
        <w:t>M</w:t>
      </w:r>
      <w:r w:rsidRPr="00AB11C9">
        <w:rPr>
          <w:rFonts w:cstheme="minorHAnsi"/>
          <w:i/>
          <w:iCs/>
        </w:rPr>
        <w:t xml:space="preserve">edical </w:t>
      </w:r>
      <w:r w:rsidR="005E0773">
        <w:rPr>
          <w:rFonts w:cstheme="minorHAnsi"/>
          <w:i/>
          <w:iCs/>
        </w:rPr>
        <w:t>W</w:t>
      </w:r>
      <w:r w:rsidRPr="00AB11C9">
        <w:rPr>
          <w:rFonts w:cstheme="minorHAnsi"/>
          <w:i/>
          <w:iCs/>
        </w:rPr>
        <w:t>elfare</w:t>
      </w:r>
      <w:r w:rsidRPr="00AB11C9">
        <w:rPr>
          <w:rFonts w:cstheme="minorHAnsi"/>
        </w:rPr>
        <w:t xml:space="preserve">, </w:t>
      </w:r>
      <w:r w:rsidR="005E0773">
        <w:rPr>
          <w:rFonts w:cstheme="minorHAnsi"/>
        </w:rPr>
        <w:t xml:space="preserve">pp. </w:t>
      </w:r>
      <w:r w:rsidRPr="00AB11C9">
        <w:rPr>
          <w:rFonts w:cstheme="minorHAnsi"/>
        </w:rPr>
        <w:t>33-68</w:t>
      </w:r>
      <w:r>
        <w:rPr>
          <w:rFonts w:cstheme="minorHAnsi"/>
        </w:rPr>
        <w:t>, 115-118.</w:t>
      </w:r>
    </w:p>
  </w:endnote>
  <w:endnote w:id="64">
    <w:p w14:paraId="75FCADC4" w14:textId="7B06B8D5" w:rsidR="007458FF" w:rsidRPr="00AC51A9" w:rsidRDefault="007458FF" w:rsidP="00C55F62">
      <w:pPr>
        <w:pStyle w:val="EndnoteText"/>
        <w:rPr>
          <w:rFonts w:cstheme="minorHAnsi"/>
        </w:rPr>
      </w:pPr>
      <w:r w:rsidRPr="00AC51A9">
        <w:rPr>
          <w:rStyle w:val="EndnoteReference"/>
          <w:rFonts w:cstheme="minorHAnsi"/>
        </w:rPr>
        <w:endnoteRef/>
      </w:r>
      <w:r w:rsidRPr="00AC51A9">
        <w:rPr>
          <w:rFonts w:cstheme="minorHAnsi"/>
        </w:rPr>
        <w:t xml:space="preserve"> </w:t>
      </w:r>
      <w:r w:rsidRPr="00F77BB2">
        <w:rPr>
          <w:rFonts w:cstheme="minorHAnsi"/>
        </w:rPr>
        <w:t>R</w:t>
      </w:r>
      <w:r w:rsidR="005E0773">
        <w:rPr>
          <w:rFonts w:cstheme="minorHAnsi"/>
        </w:rPr>
        <w:t>.</w:t>
      </w:r>
      <w:r w:rsidRPr="00F77BB2">
        <w:rPr>
          <w:rFonts w:cstheme="minorHAnsi"/>
        </w:rPr>
        <w:t xml:space="preserve"> Wall, ‘Families in </w:t>
      </w:r>
      <w:r w:rsidR="005E0773">
        <w:rPr>
          <w:rFonts w:cstheme="minorHAnsi"/>
        </w:rPr>
        <w:t>C</w:t>
      </w:r>
      <w:r w:rsidRPr="00F77BB2">
        <w:rPr>
          <w:rFonts w:cstheme="minorHAnsi"/>
        </w:rPr>
        <w:t xml:space="preserve">risis and the English </w:t>
      </w:r>
      <w:r w:rsidR="005E0773">
        <w:rPr>
          <w:rFonts w:cstheme="minorHAnsi"/>
        </w:rPr>
        <w:t>P</w:t>
      </w:r>
      <w:r w:rsidRPr="00F77BB2">
        <w:rPr>
          <w:rFonts w:cstheme="minorHAnsi"/>
        </w:rPr>
        <w:t xml:space="preserve">oor </w:t>
      </w:r>
      <w:r w:rsidR="005E0773">
        <w:rPr>
          <w:rFonts w:cstheme="minorHAnsi"/>
        </w:rPr>
        <w:t>L</w:t>
      </w:r>
      <w:r w:rsidRPr="00F77BB2">
        <w:rPr>
          <w:rFonts w:cstheme="minorHAnsi"/>
        </w:rPr>
        <w:t xml:space="preserve">aw as </w:t>
      </w:r>
      <w:r w:rsidR="005E0773">
        <w:rPr>
          <w:rFonts w:cstheme="minorHAnsi"/>
        </w:rPr>
        <w:t>ex</w:t>
      </w:r>
      <w:r w:rsidRPr="00F77BB2">
        <w:rPr>
          <w:rFonts w:cstheme="minorHAnsi"/>
        </w:rPr>
        <w:t xml:space="preserve">emplified by the relief programme in the Essex parish of Ardleigh 1795-7’, in </w:t>
      </w:r>
      <w:r w:rsidR="005E0773">
        <w:rPr>
          <w:rFonts w:cstheme="minorHAnsi"/>
        </w:rPr>
        <w:t>E.</w:t>
      </w:r>
      <w:r w:rsidRPr="00F77BB2">
        <w:rPr>
          <w:rFonts w:cstheme="minorHAnsi"/>
        </w:rPr>
        <w:t xml:space="preserve"> Ochiai</w:t>
      </w:r>
      <w:r w:rsidR="005E0773">
        <w:rPr>
          <w:rFonts w:cstheme="minorHAnsi"/>
        </w:rPr>
        <w:t xml:space="preserve"> (</w:t>
      </w:r>
      <w:r w:rsidRPr="00F77BB2">
        <w:rPr>
          <w:rFonts w:cstheme="minorHAnsi"/>
        </w:rPr>
        <w:t>ed</w:t>
      </w:r>
      <w:r w:rsidR="005E0773">
        <w:rPr>
          <w:rFonts w:cstheme="minorHAnsi"/>
        </w:rPr>
        <w:t>)</w:t>
      </w:r>
      <w:r w:rsidRPr="00F77BB2">
        <w:rPr>
          <w:rFonts w:cstheme="minorHAnsi"/>
        </w:rPr>
        <w:t xml:space="preserve">, </w:t>
      </w:r>
      <w:r w:rsidRPr="00F77BB2">
        <w:rPr>
          <w:rFonts w:cstheme="minorHAnsi"/>
          <w:i/>
          <w:iCs/>
        </w:rPr>
        <w:t xml:space="preserve">The </w:t>
      </w:r>
      <w:r w:rsidR="005E0773">
        <w:rPr>
          <w:rFonts w:cstheme="minorHAnsi"/>
          <w:i/>
          <w:iCs/>
        </w:rPr>
        <w:t>L</w:t>
      </w:r>
      <w:r w:rsidRPr="00F77BB2">
        <w:rPr>
          <w:rFonts w:cstheme="minorHAnsi"/>
          <w:i/>
          <w:iCs/>
        </w:rPr>
        <w:t xml:space="preserve">ogic of </w:t>
      </w:r>
      <w:r w:rsidR="005E0773">
        <w:rPr>
          <w:rFonts w:cstheme="minorHAnsi"/>
          <w:i/>
          <w:iCs/>
        </w:rPr>
        <w:t>F</w:t>
      </w:r>
      <w:r w:rsidRPr="00F77BB2">
        <w:rPr>
          <w:rFonts w:cstheme="minorHAnsi"/>
          <w:i/>
          <w:iCs/>
        </w:rPr>
        <w:t xml:space="preserve">emale </w:t>
      </w:r>
      <w:r w:rsidR="005E0773">
        <w:rPr>
          <w:rFonts w:cstheme="minorHAnsi"/>
          <w:i/>
          <w:iCs/>
        </w:rPr>
        <w:t>S</w:t>
      </w:r>
      <w:r w:rsidRPr="00F77BB2">
        <w:rPr>
          <w:rFonts w:cstheme="minorHAnsi"/>
          <w:i/>
          <w:iCs/>
        </w:rPr>
        <w:t xml:space="preserve">uccession: Rethinking </w:t>
      </w:r>
      <w:r w:rsidR="005E0773">
        <w:rPr>
          <w:rFonts w:cstheme="minorHAnsi"/>
          <w:i/>
          <w:iCs/>
        </w:rPr>
        <w:t>P</w:t>
      </w:r>
      <w:r w:rsidRPr="00F77BB2">
        <w:rPr>
          <w:rFonts w:cstheme="minorHAnsi"/>
          <w:i/>
          <w:iCs/>
        </w:rPr>
        <w:t xml:space="preserve">atriarchy and </w:t>
      </w:r>
      <w:r w:rsidR="005E0773">
        <w:rPr>
          <w:rFonts w:cstheme="minorHAnsi"/>
          <w:i/>
          <w:iCs/>
        </w:rPr>
        <w:t>P</w:t>
      </w:r>
      <w:r w:rsidRPr="00F77BB2">
        <w:rPr>
          <w:rFonts w:cstheme="minorHAnsi"/>
          <w:i/>
          <w:iCs/>
        </w:rPr>
        <w:t xml:space="preserve">atrilineality in </w:t>
      </w:r>
      <w:r w:rsidR="005E0773">
        <w:rPr>
          <w:rFonts w:cstheme="minorHAnsi"/>
          <w:i/>
          <w:iCs/>
        </w:rPr>
        <w:t>G</w:t>
      </w:r>
      <w:r w:rsidRPr="00F77BB2">
        <w:rPr>
          <w:rFonts w:cstheme="minorHAnsi"/>
          <w:i/>
          <w:iCs/>
        </w:rPr>
        <w:t xml:space="preserve">lobal and </w:t>
      </w:r>
      <w:r w:rsidR="005E0773">
        <w:rPr>
          <w:rFonts w:cstheme="minorHAnsi"/>
          <w:i/>
          <w:iCs/>
        </w:rPr>
        <w:t>H</w:t>
      </w:r>
      <w:r w:rsidRPr="00F77BB2">
        <w:rPr>
          <w:rFonts w:cstheme="minorHAnsi"/>
          <w:i/>
          <w:iCs/>
        </w:rPr>
        <w:t xml:space="preserve">istorical </w:t>
      </w:r>
      <w:r w:rsidR="005E0773">
        <w:rPr>
          <w:rFonts w:cstheme="minorHAnsi"/>
          <w:i/>
          <w:iCs/>
        </w:rPr>
        <w:t>P</w:t>
      </w:r>
      <w:r w:rsidRPr="00F77BB2">
        <w:rPr>
          <w:rFonts w:cstheme="minorHAnsi"/>
          <w:i/>
          <w:iCs/>
        </w:rPr>
        <w:t>erspective</w:t>
      </w:r>
      <w:r w:rsidRPr="00F77BB2">
        <w:rPr>
          <w:rFonts w:cstheme="minorHAnsi"/>
        </w:rPr>
        <w:t xml:space="preserve"> (Kyoto: International Research Center for Japanese Studies, 2003), </w:t>
      </w:r>
      <w:r w:rsidR="005E0773">
        <w:rPr>
          <w:rFonts w:cstheme="minorHAnsi"/>
        </w:rPr>
        <w:t xml:space="preserve">p. </w:t>
      </w:r>
      <w:r w:rsidRPr="00F77BB2">
        <w:rPr>
          <w:rFonts w:cstheme="minorHAnsi"/>
        </w:rPr>
        <w:t xml:space="preserve">105; </w:t>
      </w:r>
      <w:r w:rsidRPr="00BE0F68">
        <w:rPr>
          <w:rFonts w:cstheme="minorHAnsi"/>
        </w:rPr>
        <w:t>W</w:t>
      </w:r>
      <w:r w:rsidR="005E0773">
        <w:rPr>
          <w:rFonts w:cstheme="minorHAnsi"/>
        </w:rPr>
        <w:t xml:space="preserve">. </w:t>
      </w:r>
      <w:r w:rsidRPr="00AC51A9">
        <w:rPr>
          <w:rFonts w:cstheme="minorHAnsi"/>
        </w:rPr>
        <w:t>Page and J. Horace Round</w:t>
      </w:r>
      <w:r w:rsidR="005E0773">
        <w:rPr>
          <w:rFonts w:cstheme="minorHAnsi"/>
        </w:rPr>
        <w:t xml:space="preserve"> (</w:t>
      </w:r>
      <w:r w:rsidRPr="00AC51A9">
        <w:rPr>
          <w:rFonts w:cstheme="minorHAnsi"/>
        </w:rPr>
        <w:t>eds</w:t>
      </w:r>
      <w:r w:rsidR="005E0773">
        <w:rPr>
          <w:rFonts w:cstheme="minorHAnsi"/>
        </w:rPr>
        <w:t>)</w:t>
      </w:r>
      <w:r w:rsidRPr="00AC51A9">
        <w:rPr>
          <w:rFonts w:cstheme="minorHAnsi"/>
        </w:rPr>
        <w:t xml:space="preserve">, </w:t>
      </w:r>
      <w:r w:rsidRPr="00AC51A9">
        <w:rPr>
          <w:rFonts w:cstheme="minorHAnsi"/>
          <w:i/>
          <w:iCs/>
        </w:rPr>
        <w:t xml:space="preserve">The Victoria </w:t>
      </w:r>
      <w:r w:rsidR="005E0773">
        <w:rPr>
          <w:rFonts w:cstheme="minorHAnsi"/>
          <w:i/>
          <w:iCs/>
        </w:rPr>
        <w:t>H</w:t>
      </w:r>
      <w:r w:rsidRPr="00AC51A9">
        <w:rPr>
          <w:rFonts w:cstheme="minorHAnsi"/>
          <w:i/>
          <w:iCs/>
        </w:rPr>
        <w:t xml:space="preserve">istory of the </w:t>
      </w:r>
      <w:r w:rsidR="005E0773">
        <w:rPr>
          <w:rFonts w:cstheme="minorHAnsi"/>
          <w:i/>
          <w:iCs/>
        </w:rPr>
        <w:t>C</w:t>
      </w:r>
      <w:r w:rsidRPr="00AC51A9">
        <w:rPr>
          <w:rFonts w:cstheme="minorHAnsi"/>
          <w:i/>
          <w:iCs/>
        </w:rPr>
        <w:t xml:space="preserve">ounty of Essex. </w:t>
      </w:r>
      <w:r w:rsidRPr="00AC51A9">
        <w:rPr>
          <w:rFonts w:cstheme="minorHAnsi"/>
        </w:rPr>
        <w:t xml:space="preserve">Vol.2 (London: Constable, 1907), </w:t>
      </w:r>
      <w:r w:rsidR="005E0773">
        <w:rPr>
          <w:rFonts w:cstheme="minorHAnsi"/>
        </w:rPr>
        <w:t xml:space="preserve">p. </w:t>
      </w:r>
      <w:r w:rsidRPr="00AC51A9">
        <w:rPr>
          <w:rStyle w:val="Strong"/>
          <w:rFonts w:cstheme="minorHAnsi"/>
          <w:b w:val="0"/>
        </w:rPr>
        <w:t>342</w:t>
      </w:r>
      <w:r w:rsidRPr="00AC51A9">
        <w:rPr>
          <w:rFonts w:cstheme="minorHAnsi"/>
        </w:rPr>
        <w:t>.</w:t>
      </w:r>
    </w:p>
  </w:endnote>
  <w:endnote w:id="65">
    <w:p w14:paraId="69E09D3B" w14:textId="3849F5D1" w:rsidR="007458FF" w:rsidRPr="00AC51A9" w:rsidRDefault="007458FF" w:rsidP="00C8361F">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 xml:space="preserve">Pauper </w:t>
      </w:r>
      <w:r w:rsidR="005E0773">
        <w:rPr>
          <w:rFonts w:cstheme="minorHAnsi"/>
          <w:i/>
        </w:rPr>
        <w:t>L</w:t>
      </w:r>
      <w:r w:rsidRPr="00AC51A9">
        <w:rPr>
          <w:rFonts w:cstheme="minorHAnsi"/>
          <w:i/>
        </w:rPr>
        <w:t>etters</w:t>
      </w:r>
      <w:r w:rsidRPr="00AC51A9">
        <w:rPr>
          <w:rFonts w:cstheme="minorHAnsi"/>
        </w:rPr>
        <w:t xml:space="preserve">, </w:t>
      </w:r>
      <w:r w:rsidR="005E0773">
        <w:rPr>
          <w:rFonts w:cstheme="minorHAnsi"/>
        </w:rPr>
        <w:t xml:space="preserve">p. </w:t>
      </w:r>
      <w:r w:rsidRPr="00AC51A9">
        <w:rPr>
          <w:rFonts w:cstheme="minorHAnsi"/>
        </w:rPr>
        <w:t>624.</w:t>
      </w:r>
    </w:p>
  </w:endnote>
  <w:endnote w:id="66">
    <w:p w14:paraId="72837627" w14:textId="603823F6" w:rsidR="007458FF" w:rsidRPr="00AC51A9" w:rsidRDefault="007458FF" w:rsidP="00DC588B">
      <w:pPr>
        <w:pStyle w:val="EndnoteText"/>
        <w:rPr>
          <w:rFonts w:cstheme="minorHAnsi"/>
        </w:rPr>
      </w:pPr>
      <w:r w:rsidRPr="00AC51A9">
        <w:rPr>
          <w:rStyle w:val="EndnoteReference"/>
          <w:rFonts w:cstheme="minorHAnsi"/>
        </w:rPr>
        <w:endnoteRef/>
      </w:r>
      <w:r w:rsidRPr="00AC51A9">
        <w:rPr>
          <w:rFonts w:cstheme="minorHAnsi"/>
        </w:rPr>
        <w:t xml:space="preserve"> Ibid., 195-196; </w:t>
      </w:r>
      <w:bookmarkStart w:id="8" w:name="_Hlk32305443"/>
      <w:r w:rsidRPr="00AC51A9">
        <w:rPr>
          <w:rFonts w:cstheme="minorHAnsi"/>
        </w:rPr>
        <w:t>ERO D/P 94/18/55.</w:t>
      </w:r>
      <w:bookmarkEnd w:id="8"/>
    </w:p>
  </w:endnote>
  <w:endnote w:id="67">
    <w:p w14:paraId="2164D45A" w14:textId="6C7668B3" w:rsidR="007458FF" w:rsidRPr="00951F41" w:rsidRDefault="007458FF" w:rsidP="002C5326">
      <w:pPr>
        <w:pStyle w:val="EndnoteText"/>
        <w:rPr>
          <w:rFonts w:cstheme="minorHAnsi"/>
        </w:rPr>
      </w:pPr>
      <w:r w:rsidRPr="00951F41">
        <w:rPr>
          <w:rStyle w:val="EndnoteReference"/>
          <w:rFonts w:cstheme="minorHAnsi"/>
        </w:rPr>
        <w:endnoteRef/>
      </w:r>
      <w:r w:rsidRPr="00951F41">
        <w:rPr>
          <w:rFonts w:cstheme="minorHAnsi"/>
        </w:rPr>
        <w:t xml:space="preserve"> Sokoll, </w:t>
      </w:r>
      <w:r w:rsidRPr="00951F41">
        <w:rPr>
          <w:rFonts w:cstheme="minorHAnsi"/>
          <w:i/>
        </w:rPr>
        <w:t xml:space="preserve">Pauper </w:t>
      </w:r>
      <w:r w:rsidR="005E0773">
        <w:rPr>
          <w:rFonts w:cstheme="minorHAnsi"/>
          <w:i/>
        </w:rPr>
        <w:t>L</w:t>
      </w:r>
      <w:r w:rsidRPr="00951F41">
        <w:rPr>
          <w:rFonts w:cstheme="minorHAnsi"/>
          <w:i/>
        </w:rPr>
        <w:t>etters</w:t>
      </w:r>
      <w:r w:rsidRPr="00951F41">
        <w:rPr>
          <w:rFonts w:cstheme="minorHAnsi"/>
        </w:rPr>
        <w:t xml:space="preserve">, </w:t>
      </w:r>
      <w:r w:rsidR="005E0773">
        <w:rPr>
          <w:rFonts w:cstheme="minorHAnsi"/>
        </w:rPr>
        <w:t xml:space="preserve">p. </w:t>
      </w:r>
      <w:r w:rsidRPr="00951F41">
        <w:rPr>
          <w:rFonts w:cstheme="minorHAnsi"/>
        </w:rPr>
        <w:t>233.</w:t>
      </w:r>
    </w:p>
  </w:endnote>
  <w:endnote w:id="68">
    <w:p w14:paraId="54EF6BDB" w14:textId="4EB76156" w:rsidR="007458FF" w:rsidRPr="00951F41" w:rsidRDefault="007458FF" w:rsidP="002C5326">
      <w:pPr>
        <w:pStyle w:val="EndnoteText"/>
        <w:rPr>
          <w:rFonts w:cstheme="minorHAnsi"/>
        </w:rPr>
      </w:pPr>
      <w:r w:rsidRPr="00951F41">
        <w:rPr>
          <w:rStyle w:val="EndnoteReference"/>
          <w:rFonts w:cstheme="minorHAnsi"/>
        </w:rPr>
        <w:endnoteRef/>
      </w:r>
      <w:r w:rsidRPr="00951F41">
        <w:rPr>
          <w:rFonts w:cstheme="minorHAnsi"/>
        </w:rPr>
        <w:t xml:space="preserve"> Ibid., </w:t>
      </w:r>
      <w:r w:rsidR="005E0773">
        <w:rPr>
          <w:rFonts w:cstheme="minorHAnsi"/>
        </w:rPr>
        <w:t xml:space="preserve">pp. </w:t>
      </w:r>
      <w:r w:rsidRPr="00951F41">
        <w:rPr>
          <w:rFonts w:cstheme="minorHAnsi"/>
        </w:rPr>
        <w:t>235, 264.</w:t>
      </w:r>
    </w:p>
  </w:endnote>
  <w:endnote w:id="69">
    <w:p w14:paraId="388AFABD" w14:textId="19A51757" w:rsidR="007458FF" w:rsidRPr="00951F41" w:rsidRDefault="007458FF">
      <w:pPr>
        <w:pStyle w:val="EndnoteText"/>
        <w:rPr>
          <w:rFonts w:cstheme="minorHAnsi"/>
        </w:rPr>
      </w:pPr>
      <w:r w:rsidRPr="00951F41">
        <w:rPr>
          <w:rStyle w:val="EndnoteReference"/>
          <w:rFonts w:cstheme="minorHAnsi"/>
        </w:rPr>
        <w:endnoteRef/>
      </w:r>
      <w:r w:rsidRPr="00951F41">
        <w:rPr>
          <w:rFonts w:cstheme="minorHAnsi"/>
        </w:rPr>
        <w:t xml:space="preserve"> Ibid., </w:t>
      </w:r>
      <w:r w:rsidR="005E0773">
        <w:rPr>
          <w:rFonts w:cstheme="minorHAnsi"/>
        </w:rPr>
        <w:t xml:space="preserve">pp. </w:t>
      </w:r>
      <w:r w:rsidRPr="00951F41">
        <w:rPr>
          <w:rFonts w:cstheme="minorHAnsi"/>
        </w:rPr>
        <w:t>241, 270.</w:t>
      </w:r>
    </w:p>
  </w:endnote>
  <w:endnote w:id="70">
    <w:p w14:paraId="3F8CE12F" w14:textId="22D0EAE8" w:rsidR="007458FF" w:rsidRPr="00226F55" w:rsidRDefault="007458FF">
      <w:pPr>
        <w:pStyle w:val="EndnoteText"/>
      </w:pPr>
      <w:r>
        <w:rPr>
          <w:rStyle w:val="EndnoteReference"/>
        </w:rPr>
        <w:endnoteRef/>
      </w:r>
      <w:r>
        <w:t xml:space="preserve"> </w:t>
      </w:r>
      <w:r w:rsidRPr="00AC51A9">
        <w:rPr>
          <w:rFonts w:cstheme="minorHAnsi"/>
        </w:rPr>
        <w:t xml:space="preserve">Holmes, </w:t>
      </w:r>
      <w:r w:rsidRPr="00AC51A9">
        <w:rPr>
          <w:rFonts w:cstheme="minorHAnsi"/>
          <w:i/>
          <w:iCs/>
        </w:rPr>
        <w:t xml:space="preserve">In </w:t>
      </w:r>
      <w:r w:rsidR="005E0773">
        <w:rPr>
          <w:rFonts w:cstheme="minorHAnsi"/>
          <w:i/>
          <w:iCs/>
        </w:rPr>
        <w:t>B</w:t>
      </w:r>
      <w:r w:rsidRPr="00AC51A9">
        <w:rPr>
          <w:rFonts w:cstheme="minorHAnsi"/>
          <w:i/>
          <w:iCs/>
        </w:rPr>
        <w:t>ed</w:t>
      </w:r>
      <w:r>
        <w:rPr>
          <w:rFonts w:cstheme="minorHAnsi"/>
        </w:rPr>
        <w:t>, 83-102; J</w:t>
      </w:r>
      <w:r w:rsidR="005E0773">
        <w:rPr>
          <w:rFonts w:cstheme="minorHAnsi"/>
        </w:rPr>
        <w:t>-M.</w:t>
      </w:r>
      <w:r>
        <w:rPr>
          <w:rFonts w:cstheme="minorHAnsi"/>
        </w:rPr>
        <w:t xml:space="preserve"> Strange, </w:t>
      </w:r>
      <w:r>
        <w:rPr>
          <w:rFonts w:cstheme="minorHAnsi"/>
          <w:i/>
          <w:iCs/>
        </w:rPr>
        <w:t xml:space="preserve">Death, </w:t>
      </w:r>
      <w:r w:rsidR="005E0773">
        <w:rPr>
          <w:rFonts w:cstheme="minorHAnsi"/>
          <w:i/>
          <w:iCs/>
        </w:rPr>
        <w:t>G</w:t>
      </w:r>
      <w:r>
        <w:rPr>
          <w:rFonts w:cstheme="minorHAnsi"/>
          <w:i/>
          <w:iCs/>
        </w:rPr>
        <w:t xml:space="preserve">rief and </w:t>
      </w:r>
      <w:r w:rsidR="005E0773">
        <w:rPr>
          <w:rFonts w:cstheme="minorHAnsi"/>
          <w:i/>
          <w:iCs/>
        </w:rPr>
        <w:t>P</w:t>
      </w:r>
      <w:r>
        <w:rPr>
          <w:rFonts w:cstheme="minorHAnsi"/>
          <w:i/>
          <w:iCs/>
        </w:rPr>
        <w:t>overty in Britain, 1870-1914</w:t>
      </w:r>
      <w:r>
        <w:rPr>
          <w:rFonts w:cstheme="minorHAnsi"/>
        </w:rPr>
        <w:t xml:space="preserve"> (Cambridge: Cambridge University Press, 2005), </w:t>
      </w:r>
      <w:r w:rsidR="005E0773">
        <w:rPr>
          <w:rFonts w:cstheme="minorHAnsi"/>
        </w:rPr>
        <w:t xml:space="preserve">pp. </w:t>
      </w:r>
      <w:r>
        <w:rPr>
          <w:rFonts w:cstheme="minorHAnsi"/>
        </w:rPr>
        <w:t>195-203.</w:t>
      </w:r>
    </w:p>
  </w:endnote>
  <w:endnote w:id="71">
    <w:p w14:paraId="11A0D9B7" w14:textId="1A346E08" w:rsidR="007458FF" w:rsidRPr="001A5A2C" w:rsidRDefault="007458FF">
      <w:pPr>
        <w:pStyle w:val="EndnoteText"/>
      </w:pPr>
      <w:r>
        <w:rPr>
          <w:rStyle w:val="EndnoteReference"/>
        </w:rPr>
        <w:endnoteRef/>
      </w:r>
      <w:r>
        <w:t xml:space="preserve"> </w:t>
      </w:r>
      <w:r w:rsidRPr="00AC51A9">
        <w:rPr>
          <w:rFonts w:cstheme="minorHAnsi"/>
        </w:rPr>
        <w:t xml:space="preserve">Saxby, </w:t>
      </w:r>
      <w:r w:rsidRPr="00AC51A9">
        <w:rPr>
          <w:rFonts w:cstheme="minorHAnsi"/>
          <w:i/>
          <w:iCs/>
        </w:rPr>
        <w:t>Memoirs</w:t>
      </w:r>
      <w:r>
        <w:rPr>
          <w:rFonts w:cstheme="minorHAnsi"/>
        </w:rPr>
        <w:t xml:space="preserve">, </w:t>
      </w:r>
      <w:r w:rsidR="005E0773">
        <w:rPr>
          <w:rFonts w:cstheme="minorHAnsi"/>
        </w:rPr>
        <w:t xml:space="preserve">pp. </w:t>
      </w:r>
      <w:r>
        <w:rPr>
          <w:rFonts w:cstheme="minorHAnsi"/>
        </w:rPr>
        <w:t>51-52.</w:t>
      </w:r>
    </w:p>
  </w:endnote>
  <w:endnote w:id="72">
    <w:p w14:paraId="1E67F2E2" w14:textId="14E71FD9" w:rsidR="007458FF" w:rsidRPr="00AC51A9" w:rsidRDefault="007458FF" w:rsidP="009007D0">
      <w:pPr>
        <w:pStyle w:val="EndnoteText"/>
        <w:rPr>
          <w:rFonts w:cstheme="minorHAnsi"/>
        </w:rPr>
      </w:pPr>
      <w:r w:rsidRPr="00951F41">
        <w:rPr>
          <w:rStyle w:val="EndnoteReference"/>
          <w:rFonts w:cstheme="minorHAnsi"/>
        </w:rPr>
        <w:endnoteRef/>
      </w:r>
      <w:r w:rsidRPr="00951F41">
        <w:rPr>
          <w:rFonts w:cstheme="minorHAnsi"/>
        </w:rPr>
        <w:t xml:space="preserve"> Sokoll, </w:t>
      </w:r>
      <w:r w:rsidRPr="00951F41">
        <w:rPr>
          <w:rFonts w:cstheme="minorHAnsi"/>
          <w:i/>
        </w:rPr>
        <w:t xml:space="preserve">Pauper </w:t>
      </w:r>
      <w:r w:rsidR="005E0773">
        <w:rPr>
          <w:rFonts w:cstheme="minorHAnsi"/>
          <w:i/>
        </w:rPr>
        <w:t>L</w:t>
      </w:r>
      <w:r w:rsidRPr="00951F41">
        <w:rPr>
          <w:rFonts w:cstheme="minorHAnsi"/>
          <w:i/>
        </w:rPr>
        <w:t>etters</w:t>
      </w:r>
      <w:r w:rsidRPr="00951F41">
        <w:rPr>
          <w:rFonts w:cstheme="minorHAnsi"/>
        </w:rPr>
        <w:t xml:space="preserve">, </w:t>
      </w:r>
      <w:r w:rsidR="005E0773">
        <w:rPr>
          <w:rFonts w:cstheme="minorHAnsi"/>
        </w:rPr>
        <w:t xml:space="preserve">p. </w:t>
      </w:r>
      <w:r w:rsidRPr="00951F41">
        <w:rPr>
          <w:rFonts w:cstheme="minorHAnsi"/>
        </w:rPr>
        <w:t>562.</w:t>
      </w:r>
    </w:p>
  </w:endnote>
  <w:endnote w:id="73">
    <w:p w14:paraId="449C7A22" w14:textId="5C20F425" w:rsidR="007458FF" w:rsidRPr="00C97367" w:rsidRDefault="007458FF">
      <w:pPr>
        <w:pStyle w:val="EndnoteText"/>
        <w:rPr>
          <w:rFonts w:cstheme="minorHAnsi"/>
        </w:rPr>
      </w:pPr>
      <w:r w:rsidRPr="00AC51A9">
        <w:rPr>
          <w:rStyle w:val="EndnoteReference"/>
          <w:rFonts w:cstheme="minorHAnsi"/>
        </w:rPr>
        <w:endnoteRef/>
      </w:r>
      <w:r w:rsidRPr="00AC51A9">
        <w:rPr>
          <w:rFonts w:cstheme="minorHAnsi"/>
        </w:rPr>
        <w:t xml:space="preserve"> This figure is based on the writer identifying themselves or members of their family as old. Thus, it is a </w:t>
      </w:r>
      <w:r w:rsidRPr="00EE0ED2">
        <w:rPr>
          <w:rFonts w:cstheme="minorHAnsi"/>
        </w:rPr>
        <w:t>subjective category and under-represents the numbers of elderly writers as many failed to have mentioned it.</w:t>
      </w:r>
    </w:p>
  </w:endnote>
  <w:endnote w:id="74">
    <w:p w14:paraId="5BC0E644" w14:textId="7F37931D" w:rsidR="007458FF" w:rsidRPr="00EE0ED2" w:rsidRDefault="007458FF">
      <w:pPr>
        <w:pStyle w:val="EndnoteText"/>
        <w:rPr>
          <w:rFonts w:cstheme="minorHAnsi"/>
        </w:rPr>
      </w:pPr>
      <w:r w:rsidRPr="00EE0ED2">
        <w:rPr>
          <w:rStyle w:val="EndnoteReference"/>
          <w:rFonts w:cstheme="minorHAnsi"/>
        </w:rPr>
        <w:endnoteRef/>
      </w:r>
      <w:r w:rsidRPr="00EE0ED2">
        <w:rPr>
          <w:rFonts w:cstheme="minorHAnsi"/>
        </w:rPr>
        <w:t xml:space="preserve"> Empirical research </w:t>
      </w:r>
      <w:r>
        <w:rPr>
          <w:rFonts w:cstheme="minorHAnsi"/>
        </w:rPr>
        <w:t xml:space="preserve">on census materials </w:t>
      </w:r>
      <w:r w:rsidRPr="00EE0ED2">
        <w:rPr>
          <w:rFonts w:cstheme="minorHAnsi"/>
        </w:rPr>
        <w:t xml:space="preserve">supports this supposition. For example: </w:t>
      </w:r>
      <w:r>
        <w:rPr>
          <w:rFonts w:cstheme="minorHAnsi"/>
        </w:rPr>
        <w:t>Matthew Wool</w:t>
      </w:r>
      <w:r w:rsidR="005E0773">
        <w:rPr>
          <w:rFonts w:cstheme="minorHAnsi"/>
        </w:rPr>
        <w:t>l</w:t>
      </w:r>
      <w:r>
        <w:rPr>
          <w:rFonts w:cstheme="minorHAnsi"/>
        </w:rPr>
        <w:t xml:space="preserve">ard, ‘The </w:t>
      </w:r>
      <w:r w:rsidR="005E0773">
        <w:rPr>
          <w:rFonts w:cstheme="minorHAnsi"/>
        </w:rPr>
        <w:t>E</w:t>
      </w:r>
      <w:r>
        <w:rPr>
          <w:rFonts w:cstheme="minorHAnsi"/>
        </w:rPr>
        <w:t xml:space="preserve">mployment and </w:t>
      </w:r>
      <w:r w:rsidR="005E0773">
        <w:rPr>
          <w:rFonts w:cstheme="minorHAnsi"/>
        </w:rPr>
        <w:t>R</w:t>
      </w:r>
      <w:r>
        <w:rPr>
          <w:rFonts w:cstheme="minorHAnsi"/>
        </w:rPr>
        <w:t xml:space="preserve">etirement of </w:t>
      </w:r>
      <w:r w:rsidR="005E0773">
        <w:rPr>
          <w:rFonts w:cstheme="minorHAnsi"/>
        </w:rPr>
        <w:t>O</w:t>
      </w:r>
      <w:r>
        <w:rPr>
          <w:rFonts w:cstheme="minorHAnsi"/>
        </w:rPr>
        <w:t xml:space="preserve">lder </w:t>
      </w:r>
      <w:r w:rsidR="005E0773">
        <w:rPr>
          <w:rFonts w:cstheme="minorHAnsi"/>
        </w:rPr>
        <w:t>M</w:t>
      </w:r>
      <w:r>
        <w:rPr>
          <w:rFonts w:cstheme="minorHAnsi"/>
        </w:rPr>
        <w:t xml:space="preserve">en, 1851-1881: Further </w:t>
      </w:r>
      <w:r w:rsidR="005E0773">
        <w:rPr>
          <w:rFonts w:cstheme="minorHAnsi"/>
        </w:rPr>
        <w:t>E</w:t>
      </w:r>
      <w:r>
        <w:rPr>
          <w:rFonts w:cstheme="minorHAnsi"/>
        </w:rPr>
        <w:t xml:space="preserve">vidence from the </w:t>
      </w:r>
      <w:r w:rsidR="005E0773">
        <w:rPr>
          <w:rFonts w:cstheme="minorHAnsi"/>
        </w:rPr>
        <w:t>C</w:t>
      </w:r>
      <w:r>
        <w:rPr>
          <w:rFonts w:cstheme="minorHAnsi"/>
        </w:rPr>
        <w:t xml:space="preserve">ensus’, </w:t>
      </w:r>
      <w:r>
        <w:rPr>
          <w:rFonts w:cstheme="minorHAnsi"/>
          <w:i/>
          <w:iCs/>
        </w:rPr>
        <w:t>Continuity and Change</w:t>
      </w:r>
      <w:r>
        <w:rPr>
          <w:rFonts w:cstheme="minorHAnsi"/>
        </w:rPr>
        <w:t xml:space="preserve">, 17 (2002), </w:t>
      </w:r>
      <w:r w:rsidR="005E0773">
        <w:rPr>
          <w:rFonts w:cstheme="minorHAnsi"/>
        </w:rPr>
        <w:t xml:space="preserve">pp. </w:t>
      </w:r>
      <w:r>
        <w:rPr>
          <w:rFonts w:cstheme="minorHAnsi"/>
        </w:rPr>
        <w:t>445-447.</w:t>
      </w:r>
    </w:p>
  </w:endnote>
  <w:endnote w:id="75">
    <w:p w14:paraId="07DA10D3" w14:textId="586F704B" w:rsidR="007458FF" w:rsidRPr="00AC51A9" w:rsidRDefault="007458FF" w:rsidP="000D6D95">
      <w:pPr>
        <w:pStyle w:val="EndnoteText"/>
        <w:rPr>
          <w:rFonts w:cstheme="minorHAnsi"/>
        </w:rPr>
      </w:pPr>
      <w:r w:rsidRPr="00EE0ED2">
        <w:rPr>
          <w:rStyle w:val="EndnoteReference"/>
          <w:rFonts w:cstheme="minorHAnsi"/>
        </w:rPr>
        <w:endnoteRef/>
      </w:r>
      <w:r w:rsidRPr="00EE0ED2">
        <w:rPr>
          <w:rFonts w:cstheme="minorHAnsi"/>
        </w:rPr>
        <w:t xml:space="preserve"> </w:t>
      </w:r>
      <w:proofErr w:type="spellStart"/>
      <w:r w:rsidR="008426FB" w:rsidRPr="00AC51A9">
        <w:rPr>
          <w:rFonts w:cstheme="minorHAnsi"/>
        </w:rPr>
        <w:t>Sokoll</w:t>
      </w:r>
      <w:proofErr w:type="spellEnd"/>
      <w:r w:rsidR="008426FB" w:rsidRPr="00AC51A9">
        <w:rPr>
          <w:rFonts w:cstheme="minorHAnsi"/>
        </w:rPr>
        <w:t xml:space="preserve">, </w:t>
      </w:r>
      <w:r w:rsidR="008426FB" w:rsidRPr="00AC51A9">
        <w:rPr>
          <w:rFonts w:cstheme="minorHAnsi"/>
          <w:i/>
        </w:rPr>
        <w:t xml:space="preserve">Pauper </w:t>
      </w:r>
      <w:r w:rsidR="008426FB">
        <w:rPr>
          <w:rFonts w:cstheme="minorHAnsi"/>
          <w:i/>
        </w:rPr>
        <w:t>L</w:t>
      </w:r>
      <w:r w:rsidR="008426FB" w:rsidRPr="00AC51A9">
        <w:rPr>
          <w:rFonts w:cstheme="minorHAnsi"/>
          <w:i/>
        </w:rPr>
        <w:t>etters</w:t>
      </w:r>
      <w:r w:rsidR="008426FB" w:rsidRPr="00AC51A9">
        <w:rPr>
          <w:rFonts w:cstheme="minorHAnsi"/>
        </w:rPr>
        <w:t xml:space="preserve">, </w:t>
      </w:r>
      <w:r w:rsidR="005E0773">
        <w:rPr>
          <w:rFonts w:cstheme="minorHAnsi"/>
        </w:rPr>
        <w:t xml:space="preserve">p. </w:t>
      </w:r>
      <w:r w:rsidRPr="00AC51A9">
        <w:rPr>
          <w:rFonts w:cstheme="minorHAnsi"/>
        </w:rPr>
        <w:t xml:space="preserve">390; </w:t>
      </w:r>
      <w:bookmarkStart w:id="9" w:name="_Hlk32305458"/>
      <w:r w:rsidRPr="00AC51A9">
        <w:rPr>
          <w:rFonts w:cstheme="minorHAnsi"/>
        </w:rPr>
        <w:t>ERO D/P 178/1/15; ERO T/R 300/1.</w:t>
      </w:r>
      <w:bookmarkEnd w:id="9"/>
    </w:p>
  </w:endnote>
  <w:endnote w:id="76">
    <w:p w14:paraId="0895A47F" w14:textId="3A08ED3A" w:rsidR="007458FF" w:rsidRPr="00AC51A9" w:rsidRDefault="007458FF" w:rsidP="000D6D95">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 xml:space="preserve">Pauper </w:t>
      </w:r>
      <w:r w:rsidR="005E0773">
        <w:rPr>
          <w:rFonts w:cstheme="minorHAnsi"/>
          <w:i/>
        </w:rPr>
        <w:t>L</w:t>
      </w:r>
      <w:r w:rsidRPr="00AC51A9">
        <w:rPr>
          <w:rFonts w:cstheme="minorHAnsi"/>
          <w:i/>
        </w:rPr>
        <w:t>etters</w:t>
      </w:r>
      <w:r w:rsidRPr="00AC51A9">
        <w:rPr>
          <w:rFonts w:cstheme="minorHAnsi"/>
        </w:rPr>
        <w:t xml:space="preserve">, </w:t>
      </w:r>
      <w:r w:rsidR="005E0773">
        <w:rPr>
          <w:rFonts w:cstheme="minorHAnsi"/>
        </w:rPr>
        <w:t xml:space="preserve">pp. </w:t>
      </w:r>
      <w:r w:rsidRPr="00AC51A9">
        <w:rPr>
          <w:rFonts w:cstheme="minorHAnsi"/>
        </w:rPr>
        <w:t>409, 413.</w:t>
      </w:r>
    </w:p>
  </w:endnote>
  <w:endnote w:id="77">
    <w:p w14:paraId="5D3CE3F1" w14:textId="3DE7F730" w:rsidR="007458FF" w:rsidRPr="00AC51A9" w:rsidRDefault="007458FF" w:rsidP="001B0256">
      <w:pPr>
        <w:pStyle w:val="EndnoteText"/>
        <w:rPr>
          <w:rFonts w:cstheme="minorHAnsi"/>
        </w:rPr>
      </w:pPr>
      <w:r w:rsidRPr="00AC51A9">
        <w:rPr>
          <w:rStyle w:val="EndnoteReference"/>
          <w:rFonts w:cstheme="minorHAnsi"/>
        </w:rPr>
        <w:endnoteRef/>
      </w:r>
      <w:r w:rsidRPr="00AC51A9">
        <w:rPr>
          <w:rFonts w:cstheme="minorHAnsi"/>
        </w:rPr>
        <w:t xml:space="preserve"> Ibid., </w:t>
      </w:r>
      <w:r w:rsidR="005E0773">
        <w:rPr>
          <w:rFonts w:cstheme="minorHAnsi"/>
        </w:rPr>
        <w:t xml:space="preserve">pp. </w:t>
      </w:r>
      <w:r w:rsidRPr="00AC51A9">
        <w:rPr>
          <w:rFonts w:cstheme="minorHAnsi"/>
        </w:rPr>
        <w:t>411, 414, 417.</w:t>
      </w:r>
    </w:p>
  </w:endnote>
  <w:endnote w:id="78">
    <w:p w14:paraId="6FD44FAF" w14:textId="2384F268" w:rsidR="007458FF" w:rsidRPr="00AC51A9" w:rsidRDefault="007458FF" w:rsidP="000D6D95">
      <w:pPr>
        <w:pStyle w:val="EndnoteText"/>
        <w:rPr>
          <w:rFonts w:cstheme="minorHAnsi"/>
        </w:rPr>
      </w:pPr>
      <w:r w:rsidRPr="00AC51A9">
        <w:rPr>
          <w:rStyle w:val="EndnoteReference"/>
          <w:rFonts w:cstheme="minorHAnsi"/>
        </w:rPr>
        <w:endnoteRef/>
      </w:r>
      <w:r w:rsidRPr="00AC51A9">
        <w:rPr>
          <w:rFonts w:cstheme="minorHAnsi"/>
        </w:rPr>
        <w:t xml:space="preserve"> Ibid., </w:t>
      </w:r>
      <w:r w:rsidR="005E0773">
        <w:rPr>
          <w:rFonts w:cstheme="minorHAnsi"/>
        </w:rPr>
        <w:t xml:space="preserve">p. </w:t>
      </w:r>
      <w:r w:rsidRPr="00AC51A9">
        <w:rPr>
          <w:rFonts w:cstheme="minorHAnsi"/>
        </w:rPr>
        <w:t>479.</w:t>
      </w:r>
    </w:p>
  </w:endnote>
  <w:endnote w:id="79">
    <w:p w14:paraId="65D1C6D7" w14:textId="6E6E9F5F" w:rsidR="007458FF" w:rsidRPr="00AC51A9" w:rsidRDefault="007458FF" w:rsidP="00BC3685">
      <w:pPr>
        <w:pStyle w:val="EndnoteText"/>
        <w:rPr>
          <w:rFonts w:cstheme="minorHAnsi"/>
        </w:rPr>
      </w:pPr>
      <w:r w:rsidRPr="00AC51A9">
        <w:rPr>
          <w:rStyle w:val="EndnoteReference"/>
          <w:rFonts w:cstheme="minorHAnsi"/>
        </w:rPr>
        <w:endnoteRef/>
      </w:r>
      <w:r w:rsidRPr="00AC51A9">
        <w:rPr>
          <w:rFonts w:cstheme="minorHAnsi"/>
        </w:rPr>
        <w:t xml:space="preserve"> Ibid., </w:t>
      </w:r>
      <w:r w:rsidR="005E0773">
        <w:rPr>
          <w:rFonts w:cstheme="minorHAnsi"/>
        </w:rPr>
        <w:t xml:space="preserve">pp. </w:t>
      </w:r>
      <w:r w:rsidRPr="00AC51A9">
        <w:rPr>
          <w:rFonts w:cstheme="minorHAnsi"/>
        </w:rPr>
        <w:t>483-484.</w:t>
      </w:r>
    </w:p>
  </w:endnote>
  <w:endnote w:id="80">
    <w:p w14:paraId="47B7621C" w14:textId="51EDC94B" w:rsidR="007458FF" w:rsidRPr="00AC51A9" w:rsidRDefault="007458FF" w:rsidP="000D6D95">
      <w:pPr>
        <w:pStyle w:val="EndnoteText"/>
        <w:rPr>
          <w:rFonts w:cstheme="minorHAnsi"/>
        </w:rPr>
      </w:pPr>
      <w:r w:rsidRPr="00AC51A9">
        <w:rPr>
          <w:rStyle w:val="EndnoteReference"/>
          <w:rFonts w:cstheme="minorHAnsi"/>
        </w:rPr>
        <w:endnoteRef/>
      </w:r>
      <w:r w:rsidRPr="00AC51A9">
        <w:rPr>
          <w:rFonts w:cstheme="minorHAnsi"/>
        </w:rPr>
        <w:t xml:space="preserve"> Ibid., </w:t>
      </w:r>
      <w:r w:rsidR="005E0773">
        <w:rPr>
          <w:rFonts w:cstheme="minorHAnsi"/>
        </w:rPr>
        <w:t xml:space="preserve">pp. </w:t>
      </w:r>
      <w:r w:rsidRPr="00AC51A9">
        <w:rPr>
          <w:rFonts w:cstheme="minorHAnsi"/>
        </w:rPr>
        <w:t>414, 417.</w:t>
      </w:r>
    </w:p>
  </w:endnote>
  <w:endnote w:id="81">
    <w:p w14:paraId="1E7CAF15" w14:textId="2ACCB51D"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w:t>
      </w:r>
      <w:proofErr w:type="spellStart"/>
      <w:r w:rsidR="008426FB" w:rsidRPr="00AC51A9">
        <w:rPr>
          <w:rFonts w:cstheme="minorHAnsi"/>
        </w:rPr>
        <w:t>Sokoll</w:t>
      </w:r>
      <w:proofErr w:type="spellEnd"/>
      <w:r w:rsidR="008426FB" w:rsidRPr="00AC51A9">
        <w:rPr>
          <w:rFonts w:cstheme="minorHAnsi"/>
        </w:rPr>
        <w:t xml:space="preserve">, </w:t>
      </w:r>
      <w:r w:rsidR="008426FB" w:rsidRPr="00AC51A9">
        <w:rPr>
          <w:rFonts w:cstheme="minorHAnsi"/>
          <w:i/>
        </w:rPr>
        <w:t xml:space="preserve">Pauper </w:t>
      </w:r>
      <w:r w:rsidR="008426FB">
        <w:rPr>
          <w:rFonts w:cstheme="minorHAnsi"/>
          <w:i/>
        </w:rPr>
        <w:t>L</w:t>
      </w:r>
      <w:r w:rsidR="008426FB" w:rsidRPr="00AC51A9">
        <w:rPr>
          <w:rFonts w:cstheme="minorHAnsi"/>
          <w:i/>
        </w:rPr>
        <w:t>etters</w:t>
      </w:r>
      <w:r w:rsidR="008426FB" w:rsidRPr="00AC51A9">
        <w:rPr>
          <w:rFonts w:cstheme="minorHAnsi"/>
        </w:rPr>
        <w:t xml:space="preserve">, </w:t>
      </w:r>
      <w:r w:rsidR="005E0773">
        <w:rPr>
          <w:rFonts w:cstheme="minorHAnsi"/>
        </w:rPr>
        <w:t xml:space="preserve">p. </w:t>
      </w:r>
      <w:r w:rsidRPr="00AC51A9">
        <w:rPr>
          <w:rFonts w:cstheme="minorHAnsi"/>
        </w:rPr>
        <w:t xml:space="preserve">390; </w:t>
      </w:r>
      <w:bookmarkStart w:id="11" w:name="_Hlk32305486"/>
      <w:r w:rsidRPr="00AC51A9">
        <w:rPr>
          <w:rFonts w:cstheme="minorHAnsi"/>
        </w:rPr>
        <w:t>ERO T/R 61/3; ERO D/P 178/1/4.</w:t>
      </w:r>
      <w:bookmarkEnd w:id="11"/>
    </w:p>
  </w:endnote>
  <w:endnote w:id="82">
    <w:p w14:paraId="414027A9" w14:textId="56B197D8"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Sokoll, </w:t>
      </w:r>
      <w:r w:rsidRPr="00AC51A9">
        <w:rPr>
          <w:rFonts w:cstheme="minorHAnsi"/>
          <w:i/>
        </w:rPr>
        <w:t xml:space="preserve">Pauper </w:t>
      </w:r>
      <w:r w:rsidR="005E0773">
        <w:rPr>
          <w:rFonts w:cstheme="minorHAnsi"/>
          <w:i/>
        </w:rPr>
        <w:t>L</w:t>
      </w:r>
      <w:r w:rsidRPr="00AC51A9">
        <w:rPr>
          <w:rFonts w:cstheme="minorHAnsi"/>
          <w:i/>
        </w:rPr>
        <w:t>etters</w:t>
      </w:r>
      <w:r w:rsidRPr="00AC51A9">
        <w:rPr>
          <w:rFonts w:cstheme="minorHAnsi"/>
          <w:iCs/>
        </w:rPr>
        <w:t>,</w:t>
      </w:r>
      <w:r w:rsidRPr="00AC51A9">
        <w:rPr>
          <w:rFonts w:cstheme="minorHAnsi"/>
        </w:rPr>
        <w:t xml:space="preserve"> </w:t>
      </w:r>
      <w:r w:rsidR="005E0773">
        <w:rPr>
          <w:rFonts w:cstheme="minorHAnsi"/>
        </w:rPr>
        <w:t xml:space="preserve">p. </w:t>
      </w:r>
      <w:r w:rsidRPr="00AC51A9">
        <w:rPr>
          <w:rFonts w:cstheme="minorHAnsi"/>
        </w:rPr>
        <w:t>390.</w:t>
      </w:r>
    </w:p>
  </w:endnote>
  <w:endnote w:id="83">
    <w:p w14:paraId="5D30BFDA" w14:textId="1A1B8D46" w:rsidR="007458FF" w:rsidRPr="00EB477F" w:rsidRDefault="007458FF">
      <w:pPr>
        <w:pStyle w:val="EndnoteText"/>
        <w:rPr>
          <w:rFonts w:cstheme="minorHAnsi"/>
        </w:rPr>
      </w:pPr>
      <w:r w:rsidRPr="00AC51A9">
        <w:rPr>
          <w:rStyle w:val="EndnoteReference"/>
          <w:rFonts w:cstheme="minorHAnsi"/>
        </w:rPr>
        <w:endnoteRef/>
      </w:r>
      <w:r w:rsidRPr="00AC51A9">
        <w:rPr>
          <w:rFonts w:cstheme="minorHAnsi"/>
        </w:rPr>
        <w:t xml:space="preserve"> ERO </w:t>
      </w:r>
      <w:r w:rsidRPr="00EB477F">
        <w:rPr>
          <w:rFonts w:cstheme="minorHAnsi"/>
        </w:rPr>
        <w:t>D/P 219/12/29.</w:t>
      </w:r>
    </w:p>
  </w:endnote>
  <w:endnote w:id="84">
    <w:p w14:paraId="393FA2F1" w14:textId="1111BBFB" w:rsidR="007458FF" w:rsidRPr="00EB477F" w:rsidRDefault="007458FF" w:rsidP="00EB477F">
      <w:pPr>
        <w:pStyle w:val="EndnoteText"/>
        <w:rPr>
          <w:rFonts w:cstheme="minorHAnsi"/>
        </w:rPr>
      </w:pPr>
      <w:r w:rsidRPr="00EB477F">
        <w:rPr>
          <w:rStyle w:val="EndnoteReference"/>
          <w:rFonts w:cstheme="minorHAnsi"/>
        </w:rPr>
        <w:endnoteRef/>
      </w:r>
      <w:r w:rsidRPr="00EB477F">
        <w:rPr>
          <w:rFonts w:cstheme="minorHAnsi"/>
        </w:rPr>
        <w:t xml:space="preserve"> For more information on workhouse</w:t>
      </w:r>
      <w:r>
        <w:rPr>
          <w:rFonts w:cstheme="minorHAnsi"/>
        </w:rPr>
        <w:t xml:space="preserve"> </w:t>
      </w:r>
      <w:r w:rsidRPr="00EB477F">
        <w:rPr>
          <w:rFonts w:cstheme="minorHAnsi"/>
        </w:rPr>
        <w:t xml:space="preserve">admittance inventories see: Harley, ‘Material </w:t>
      </w:r>
      <w:r w:rsidR="005E0773">
        <w:rPr>
          <w:rFonts w:cstheme="minorHAnsi"/>
        </w:rPr>
        <w:t>L</w:t>
      </w:r>
      <w:r w:rsidRPr="00EB477F">
        <w:rPr>
          <w:rFonts w:cstheme="minorHAnsi"/>
        </w:rPr>
        <w:t xml:space="preserve">ives of the </w:t>
      </w:r>
      <w:r w:rsidR="005E0773">
        <w:rPr>
          <w:rFonts w:cstheme="minorHAnsi"/>
        </w:rPr>
        <w:t>P</w:t>
      </w:r>
      <w:r w:rsidRPr="00EB477F">
        <w:rPr>
          <w:rFonts w:cstheme="minorHAnsi"/>
        </w:rPr>
        <w:t>oor and their</w:t>
      </w:r>
      <w:r>
        <w:rPr>
          <w:rFonts w:cstheme="minorHAnsi"/>
        </w:rPr>
        <w:t xml:space="preserve"> </w:t>
      </w:r>
      <w:r w:rsidR="005E0773">
        <w:rPr>
          <w:rFonts w:cstheme="minorHAnsi"/>
        </w:rPr>
        <w:t>S</w:t>
      </w:r>
      <w:r w:rsidRPr="00EB477F">
        <w:rPr>
          <w:rFonts w:cstheme="minorHAnsi"/>
        </w:rPr>
        <w:t xml:space="preserve">trategic </w:t>
      </w:r>
      <w:r w:rsidR="005E0773">
        <w:rPr>
          <w:rFonts w:cstheme="minorHAnsi"/>
        </w:rPr>
        <w:t>U</w:t>
      </w:r>
      <w:r w:rsidRPr="00EB477F">
        <w:rPr>
          <w:rFonts w:cstheme="minorHAnsi"/>
        </w:rPr>
        <w:t xml:space="preserve">se of the </w:t>
      </w:r>
      <w:r w:rsidR="005E0773">
        <w:rPr>
          <w:rFonts w:cstheme="minorHAnsi"/>
        </w:rPr>
        <w:t>W</w:t>
      </w:r>
      <w:r w:rsidRPr="00EB477F">
        <w:rPr>
          <w:rFonts w:cstheme="minorHAnsi"/>
        </w:rPr>
        <w:t xml:space="preserve">orkhouse’, </w:t>
      </w:r>
      <w:r w:rsidR="005E0773">
        <w:rPr>
          <w:rFonts w:cstheme="minorHAnsi"/>
        </w:rPr>
        <w:t xml:space="preserve">pp. </w:t>
      </w:r>
      <w:r w:rsidRPr="00EB477F">
        <w:rPr>
          <w:rFonts w:cstheme="minorHAnsi"/>
        </w:rPr>
        <w:t>71</w:t>
      </w:r>
      <w:r>
        <w:rPr>
          <w:rFonts w:cstheme="minorHAnsi"/>
        </w:rPr>
        <w:t>-</w:t>
      </w:r>
      <w:r w:rsidRPr="00EB477F">
        <w:rPr>
          <w:rFonts w:cstheme="minorHAnsi"/>
        </w:rPr>
        <w:t>103</w:t>
      </w:r>
      <w:r>
        <w:rPr>
          <w:rFonts w:cstheme="minorHAnsi"/>
        </w:rPr>
        <w:t>.</w:t>
      </w:r>
    </w:p>
  </w:endnote>
  <w:endnote w:id="85">
    <w:p w14:paraId="19CF71BB" w14:textId="5F3B5EA9" w:rsidR="007458FF" w:rsidRPr="00AC51A9" w:rsidRDefault="007458FF">
      <w:pPr>
        <w:pStyle w:val="EndnoteText"/>
        <w:rPr>
          <w:rFonts w:cstheme="minorHAnsi"/>
        </w:rPr>
      </w:pPr>
      <w:r w:rsidRPr="00EB477F">
        <w:rPr>
          <w:rStyle w:val="EndnoteReference"/>
          <w:rFonts w:cstheme="minorHAnsi"/>
        </w:rPr>
        <w:endnoteRef/>
      </w:r>
      <w:r w:rsidRPr="00EB477F">
        <w:rPr>
          <w:rFonts w:cstheme="minorHAnsi"/>
        </w:rPr>
        <w:t xml:space="preserve"> Age calculated from </w:t>
      </w:r>
      <w:bookmarkStart w:id="13" w:name="_Hlk32305505"/>
      <w:r w:rsidRPr="00AC51A9">
        <w:rPr>
          <w:rFonts w:cstheme="minorHAnsi"/>
        </w:rPr>
        <w:t>ERO D/P 105/1/19.</w:t>
      </w:r>
      <w:bookmarkEnd w:id="13"/>
    </w:p>
  </w:endnote>
  <w:endnote w:id="86">
    <w:p w14:paraId="14B759C2" w14:textId="0EC598FA"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w:t>
      </w:r>
      <w:bookmarkStart w:id="14" w:name="_Hlk32305519"/>
      <w:r w:rsidRPr="00AC51A9">
        <w:rPr>
          <w:rFonts w:cstheme="minorHAnsi"/>
        </w:rPr>
        <w:t>ERO D/P 220/12/3</w:t>
      </w:r>
      <w:bookmarkEnd w:id="14"/>
      <w:r w:rsidRPr="00AC51A9">
        <w:rPr>
          <w:rFonts w:cstheme="minorHAnsi"/>
        </w:rPr>
        <w:t>; ERO D/P 105/8/1-2.</w:t>
      </w:r>
    </w:p>
  </w:endnote>
  <w:endnote w:id="87">
    <w:p w14:paraId="43A5240A" w14:textId="2BAA3E10" w:rsidR="007458FF" w:rsidRPr="00AC51A9" w:rsidRDefault="007458FF">
      <w:pPr>
        <w:pStyle w:val="EndnoteText"/>
        <w:rPr>
          <w:rFonts w:cstheme="minorHAnsi"/>
        </w:rPr>
      </w:pPr>
      <w:r w:rsidRPr="00AC51A9">
        <w:rPr>
          <w:rStyle w:val="EndnoteReference"/>
          <w:rFonts w:cstheme="minorHAnsi"/>
        </w:rPr>
        <w:endnoteRef/>
      </w:r>
      <w:r w:rsidRPr="00AC51A9">
        <w:rPr>
          <w:rFonts w:cstheme="minorHAnsi"/>
        </w:rPr>
        <w:t xml:space="preserve"> For an overview of this </w:t>
      </w:r>
      <w:r>
        <w:rPr>
          <w:rFonts w:cstheme="minorHAnsi"/>
        </w:rPr>
        <w:t>literature</w:t>
      </w:r>
      <w:r w:rsidRPr="00AC51A9">
        <w:rPr>
          <w:rFonts w:cstheme="minorHAnsi"/>
        </w:rPr>
        <w:t>, see: J</w:t>
      </w:r>
      <w:r w:rsidR="005E0773">
        <w:rPr>
          <w:rFonts w:cstheme="minorHAnsi"/>
        </w:rPr>
        <w:t xml:space="preserve">. </w:t>
      </w:r>
      <w:r w:rsidRPr="00AC51A9">
        <w:rPr>
          <w:rFonts w:cstheme="minorHAnsi"/>
        </w:rPr>
        <w:t xml:space="preserve">Harley, ‘Consumption and </w:t>
      </w:r>
      <w:r w:rsidR="005E0773">
        <w:rPr>
          <w:rFonts w:cstheme="minorHAnsi"/>
        </w:rPr>
        <w:t>M</w:t>
      </w:r>
      <w:r w:rsidRPr="00AC51A9">
        <w:rPr>
          <w:rFonts w:cstheme="minorHAnsi"/>
        </w:rPr>
        <w:t>aterial culture’.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879AC" w14:textId="77777777" w:rsidR="00B929B9" w:rsidRDefault="00B92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01E16" w14:textId="77777777" w:rsidR="00A233B4" w:rsidRDefault="00A233B4" w:rsidP="00CF4580">
      <w:pPr>
        <w:spacing w:after="0" w:line="240" w:lineRule="auto"/>
      </w:pPr>
      <w:r>
        <w:separator/>
      </w:r>
    </w:p>
  </w:footnote>
  <w:footnote w:type="continuationSeparator" w:id="0">
    <w:p w14:paraId="04C398E1" w14:textId="77777777" w:rsidR="00A233B4" w:rsidRDefault="00A233B4" w:rsidP="00CF45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F93190"/>
    <w:multiLevelType w:val="hybridMultilevel"/>
    <w:tmpl w:val="9E3E34AC"/>
    <w:lvl w:ilvl="0" w:tplc="5DD62F44">
      <w:start w:val="3"/>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59A"/>
    <w:rsid w:val="00002B06"/>
    <w:rsid w:val="000041FD"/>
    <w:rsid w:val="00004507"/>
    <w:rsid w:val="00005303"/>
    <w:rsid w:val="0000777D"/>
    <w:rsid w:val="00016364"/>
    <w:rsid w:val="0001641F"/>
    <w:rsid w:val="00026260"/>
    <w:rsid w:val="0002633E"/>
    <w:rsid w:val="00035921"/>
    <w:rsid w:val="00037AA4"/>
    <w:rsid w:val="00041F52"/>
    <w:rsid w:val="000421A0"/>
    <w:rsid w:val="000463C8"/>
    <w:rsid w:val="0005166B"/>
    <w:rsid w:val="0005259A"/>
    <w:rsid w:val="00052B54"/>
    <w:rsid w:val="00055E79"/>
    <w:rsid w:val="00056F95"/>
    <w:rsid w:val="00061BB0"/>
    <w:rsid w:val="00064BCC"/>
    <w:rsid w:val="000656B3"/>
    <w:rsid w:val="0007043B"/>
    <w:rsid w:val="00074E75"/>
    <w:rsid w:val="00077E10"/>
    <w:rsid w:val="00080F52"/>
    <w:rsid w:val="00084559"/>
    <w:rsid w:val="00096AC8"/>
    <w:rsid w:val="00097DC8"/>
    <w:rsid w:val="000A1039"/>
    <w:rsid w:val="000A295C"/>
    <w:rsid w:val="000A2C2B"/>
    <w:rsid w:val="000A4111"/>
    <w:rsid w:val="000B5210"/>
    <w:rsid w:val="000B592C"/>
    <w:rsid w:val="000C0088"/>
    <w:rsid w:val="000C0692"/>
    <w:rsid w:val="000C11A3"/>
    <w:rsid w:val="000C25BD"/>
    <w:rsid w:val="000C26BE"/>
    <w:rsid w:val="000C3F8F"/>
    <w:rsid w:val="000C59A7"/>
    <w:rsid w:val="000C5E7D"/>
    <w:rsid w:val="000C68BF"/>
    <w:rsid w:val="000C6E94"/>
    <w:rsid w:val="000D0CD9"/>
    <w:rsid w:val="000D26A0"/>
    <w:rsid w:val="000D2C38"/>
    <w:rsid w:val="000D6098"/>
    <w:rsid w:val="000D6D95"/>
    <w:rsid w:val="000E0194"/>
    <w:rsid w:val="000E200C"/>
    <w:rsid w:val="000E27B3"/>
    <w:rsid w:val="000E3A69"/>
    <w:rsid w:val="000E667B"/>
    <w:rsid w:val="000F07AD"/>
    <w:rsid w:val="001005B6"/>
    <w:rsid w:val="00102D67"/>
    <w:rsid w:val="00104DB9"/>
    <w:rsid w:val="00106C53"/>
    <w:rsid w:val="00106E39"/>
    <w:rsid w:val="00112AE5"/>
    <w:rsid w:val="00115306"/>
    <w:rsid w:val="00116855"/>
    <w:rsid w:val="0011685F"/>
    <w:rsid w:val="001176C7"/>
    <w:rsid w:val="00120137"/>
    <w:rsid w:val="001221F1"/>
    <w:rsid w:val="00124AC9"/>
    <w:rsid w:val="0012574B"/>
    <w:rsid w:val="0012784B"/>
    <w:rsid w:val="00127B31"/>
    <w:rsid w:val="00133CFF"/>
    <w:rsid w:val="001346DF"/>
    <w:rsid w:val="00136C49"/>
    <w:rsid w:val="00136E9B"/>
    <w:rsid w:val="00150565"/>
    <w:rsid w:val="00150615"/>
    <w:rsid w:val="00150F35"/>
    <w:rsid w:val="00151F14"/>
    <w:rsid w:val="0015324B"/>
    <w:rsid w:val="00156EF8"/>
    <w:rsid w:val="00160E6D"/>
    <w:rsid w:val="001622A5"/>
    <w:rsid w:val="00164B81"/>
    <w:rsid w:val="0016608C"/>
    <w:rsid w:val="00166FFD"/>
    <w:rsid w:val="00172D99"/>
    <w:rsid w:val="00181444"/>
    <w:rsid w:val="00190E92"/>
    <w:rsid w:val="00193BC3"/>
    <w:rsid w:val="001A38CD"/>
    <w:rsid w:val="001A5A2C"/>
    <w:rsid w:val="001B0256"/>
    <w:rsid w:val="001B39CA"/>
    <w:rsid w:val="001B48B8"/>
    <w:rsid w:val="001C4D01"/>
    <w:rsid w:val="001D0BA8"/>
    <w:rsid w:val="001D3282"/>
    <w:rsid w:val="001D57D9"/>
    <w:rsid w:val="001D609D"/>
    <w:rsid w:val="001E019E"/>
    <w:rsid w:val="001E0542"/>
    <w:rsid w:val="001E0B48"/>
    <w:rsid w:val="001E4B28"/>
    <w:rsid w:val="001E4BE3"/>
    <w:rsid w:val="001F187B"/>
    <w:rsid w:val="001F1D3D"/>
    <w:rsid w:val="001F6E21"/>
    <w:rsid w:val="00203D03"/>
    <w:rsid w:val="0020707B"/>
    <w:rsid w:val="002127C0"/>
    <w:rsid w:val="002257B5"/>
    <w:rsid w:val="00226F55"/>
    <w:rsid w:val="002279F4"/>
    <w:rsid w:val="00235560"/>
    <w:rsid w:val="00236251"/>
    <w:rsid w:val="00237A7B"/>
    <w:rsid w:val="0024158A"/>
    <w:rsid w:val="002439BF"/>
    <w:rsid w:val="002472AF"/>
    <w:rsid w:val="00251482"/>
    <w:rsid w:val="00251ACB"/>
    <w:rsid w:val="00253050"/>
    <w:rsid w:val="00254E30"/>
    <w:rsid w:val="002609F5"/>
    <w:rsid w:val="0026392B"/>
    <w:rsid w:val="002704D8"/>
    <w:rsid w:val="0027131D"/>
    <w:rsid w:val="00271A79"/>
    <w:rsid w:val="00280FCA"/>
    <w:rsid w:val="00282DF1"/>
    <w:rsid w:val="00284762"/>
    <w:rsid w:val="002867F9"/>
    <w:rsid w:val="002871F7"/>
    <w:rsid w:val="00290582"/>
    <w:rsid w:val="00291A02"/>
    <w:rsid w:val="00296330"/>
    <w:rsid w:val="002A4F19"/>
    <w:rsid w:val="002A563A"/>
    <w:rsid w:val="002B4629"/>
    <w:rsid w:val="002B56F9"/>
    <w:rsid w:val="002B575F"/>
    <w:rsid w:val="002C0BE9"/>
    <w:rsid w:val="002C0D00"/>
    <w:rsid w:val="002C5326"/>
    <w:rsid w:val="002C548C"/>
    <w:rsid w:val="002D1BCE"/>
    <w:rsid w:val="002D1F6A"/>
    <w:rsid w:val="002D7A6B"/>
    <w:rsid w:val="002E0F39"/>
    <w:rsid w:val="002E2334"/>
    <w:rsid w:val="002E4295"/>
    <w:rsid w:val="002E46D0"/>
    <w:rsid w:val="002E5045"/>
    <w:rsid w:val="002F0433"/>
    <w:rsid w:val="002F1EE8"/>
    <w:rsid w:val="002F22CD"/>
    <w:rsid w:val="002F3BC4"/>
    <w:rsid w:val="003004DA"/>
    <w:rsid w:val="00300716"/>
    <w:rsid w:val="0030216A"/>
    <w:rsid w:val="003026B8"/>
    <w:rsid w:val="00303C0A"/>
    <w:rsid w:val="00314DCD"/>
    <w:rsid w:val="00315AD6"/>
    <w:rsid w:val="00315CE9"/>
    <w:rsid w:val="00320B00"/>
    <w:rsid w:val="00321431"/>
    <w:rsid w:val="0032259C"/>
    <w:rsid w:val="003234A9"/>
    <w:rsid w:val="0032708A"/>
    <w:rsid w:val="00327A75"/>
    <w:rsid w:val="00330998"/>
    <w:rsid w:val="003316DA"/>
    <w:rsid w:val="00332377"/>
    <w:rsid w:val="00337766"/>
    <w:rsid w:val="00340DD7"/>
    <w:rsid w:val="0034248A"/>
    <w:rsid w:val="00343B59"/>
    <w:rsid w:val="00350F41"/>
    <w:rsid w:val="00351275"/>
    <w:rsid w:val="00354C5A"/>
    <w:rsid w:val="0036160F"/>
    <w:rsid w:val="00365032"/>
    <w:rsid w:val="003657A5"/>
    <w:rsid w:val="00367CD7"/>
    <w:rsid w:val="0037059C"/>
    <w:rsid w:val="00372A35"/>
    <w:rsid w:val="00375403"/>
    <w:rsid w:val="00381F50"/>
    <w:rsid w:val="00383867"/>
    <w:rsid w:val="00385053"/>
    <w:rsid w:val="003904D6"/>
    <w:rsid w:val="00390AE7"/>
    <w:rsid w:val="0039308D"/>
    <w:rsid w:val="003A124F"/>
    <w:rsid w:val="003A18D0"/>
    <w:rsid w:val="003A2C32"/>
    <w:rsid w:val="003A2D00"/>
    <w:rsid w:val="003A5426"/>
    <w:rsid w:val="003A744D"/>
    <w:rsid w:val="003B0617"/>
    <w:rsid w:val="003B1416"/>
    <w:rsid w:val="003B66BA"/>
    <w:rsid w:val="003C2492"/>
    <w:rsid w:val="003C39F5"/>
    <w:rsid w:val="003C5CED"/>
    <w:rsid w:val="003D25A1"/>
    <w:rsid w:val="003D2ED2"/>
    <w:rsid w:val="003D62DF"/>
    <w:rsid w:val="003D6733"/>
    <w:rsid w:val="003E04CE"/>
    <w:rsid w:val="003E08F8"/>
    <w:rsid w:val="003E352D"/>
    <w:rsid w:val="003E5D4F"/>
    <w:rsid w:val="003E5E77"/>
    <w:rsid w:val="003E7C0D"/>
    <w:rsid w:val="003F3966"/>
    <w:rsid w:val="003F4B8B"/>
    <w:rsid w:val="003F4DD0"/>
    <w:rsid w:val="003F7095"/>
    <w:rsid w:val="00403AAE"/>
    <w:rsid w:val="004169DF"/>
    <w:rsid w:val="00417767"/>
    <w:rsid w:val="00420C4B"/>
    <w:rsid w:val="00422D17"/>
    <w:rsid w:val="004255BF"/>
    <w:rsid w:val="004255CA"/>
    <w:rsid w:val="00427AD4"/>
    <w:rsid w:val="00430F04"/>
    <w:rsid w:val="00431DB7"/>
    <w:rsid w:val="004328A0"/>
    <w:rsid w:val="00433CAD"/>
    <w:rsid w:val="004409EB"/>
    <w:rsid w:val="0044280D"/>
    <w:rsid w:val="00444226"/>
    <w:rsid w:val="0045158D"/>
    <w:rsid w:val="00456485"/>
    <w:rsid w:val="004609D2"/>
    <w:rsid w:val="00461450"/>
    <w:rsid w:val="00464107"/>
    <w:rsid w:val="00464CF7"/>
    <w:rsid w:val="0046634A"/>
    <w:rsid w:val="004670E8"/>
    <w:rsid w:val="0046760E"/>
    <w:rsid w:val="004714FF"/>
    <w:rsid w:val="00471EC5"/>
    <w:rsid w:val="00472254"/>
    <w:rsid w:val="00472482"/>
    <w:rsid w:val="00474BAD"/>
    <w:rsid w:val="00475AEF"/>
    <w:rsid w:val="004771B4"/>
    <w:rsid w:val="00482349"/>
    <w:rsid w:val="00483E38"/>
    <w:rsid w:val="00484822"/>
    <w:rsid w:val="00485B4E"/>
    <w:rsid w:val="004944CE"/>
    <w:rsid w:val="00495BB8"/>
    <w:rsid w:val="00495BC4"/>
    <w:rsid w:val="004A0634"/>
    <w:rsid w:val="004A1152"/>
    <w:rsid w:val="004A22E2"/>
    <w:rsid w:val="004A2D15"/>
    <w:rsid w:val="004A7B4D"/>
    <w:rsid w:val="004B17BA"/>
    <w:rsid w:val="004B2569"/>
    <w:rsid w:val="004B46BF"/>
    <w:rsid w:val="004B4B66"/>
    <w:rsid w:val="004C0B9D"/>
    <w:rsid w:val="004C0EC9"/>
    <w:rsid w:val="004C1E5E"/>
    <w:rsid w:val="004C6F89"/>
    <w:rsid w:val="004C7801"/>
    <w:rsid w:val="004D22F7"/>
    <w:rsid w:val="004D38C5"/>
    <w:rsid w:val="004D48B5"/>
    <w:rsid w:val="004D7342"/>
    <w:rsid w:val="004E3833"/>
    <w:rsid w:val="004E486E"/>
    <w:rsid w:val="004E5F21"/>
    <w:rsid w:val="004E7EB3"/>
    <w:rsid w:val="004F013F"/>
    <w:rsid w:val="004F0979"/>
    <w:rsid w:val="004F0B2D"/>
    <w:rsid w:val="004F0E97"/>
    <w:rsid w:val="004F6DF3"/>
    <w:rsid w:val="004F7AE2"/>
    <w:rsid w:val="005010FC"/>
    <w:rsid w:val="0050775D"/>
    <w:rsid w:val="005079DC"/>
    <w:rsid w:val="005158BE"/>
    <w:rsid w:val="00517C2F"/>
    <w:rsid w:val="00517C3F"/>
    <w:rsid w:val="005204B0"/>
    <w:rsid w:val="00523095"/>
    <w:rsid w:val="00524071"/>
    <w:rsid w:val="0052545C"/>
    <w:rsid w:val="005278C7"/>
    <w:rsid w:val="00527F64"/>
    <w:rsid w:val="00531C54"/>
    <w:rsid w:val="00536ABF"/>
    <w:rsid w:val="00540122"/>
    <w:rsid w:val="00541C48"/>
    <w:rsid w:val="005429C2"/>
    <w:rsid w:val="00544C2D"/>
    <w:rsid w:val="00550972"/>
    <w:rsid w:val="00555D33"/>
    <w:rsid w:val="005562D7"/>
    <w:rsid w:val="00570CCD"/>
    <w:rsid w:val="005A5688"/>
    <w:rsid w:val="005A5F90"/>
    <w:rsid w:val="005A6D5E"/>
    <w:rsid w:val="005B035C"/>
    <w:rsid w:val="005B0E1F"/>
    <w:rsid w:val="005B2A16"/>
    <w:rsid w:val="005B4F00"/>
    <w:rsid w:val="005B5C13"/>
    <w:rsid w:val="005C092B"/>
    <w:rsid w:val="005C11EF"/>
    <w:rsid w:val="005C1D36"/>
    <w:rsid w:val="005C3D40"/>
    <w:rsid w:val="005C6A88"/>
    <w:rsid w:val="005D01D6"/>
    <w:rsid w:val="005D1FA7"/>
    <w:rsid w:val="005D256C"/>
    <w:rsid w:val="005D33B4"/>
    <w:rsid w:val="005D405C"/>
    <w:rsid w:val="005D4CC9"/>
    <w:rsid w:val="005D570E"/>
    <w:rsid w:val="005D6D32"/>
    <w:rsid w:val="005E0773"/>
    <w:rsid w:val="005F09EC"/>
    <w:rsid w:val="005F3ED9"/>
    <w:rsid w:val="005F7627"/>
    <w:rsid w:val="0060039B"/>
    <w:rsid w:val="006022AD"/>
    <w:rsid w:val="0061033C"/>
    <w:rsid w:val="0061063A"/>
    <w:rsid w:val="00612B00"/>
    <w:rsid w:val="00615012"/>
    <w:rsid w:val="006157B1"/>
    <w:rsid w:val="006207F2"/>
    <w:rsid w:val="006224FF"/>
    <w:rsid w:val="00624F59"/>
    <w:rsid w:val="00631412"/>
    <w:rsid w:val="0063365C"/>
    <w:rsid w:val="00636CAB"/>
    <w:rsid w:val="00647621"/>
    <w:rsid w:val="006477EC"/>
    <w:rsid w:val="00651688"/>
    <w:rsid w:val="006524FB"/>
    <w:rsid w:val="0065610D"/>
    <w:rsid w:val="00667012"/>
    <w:rsid w:val="006672F8"/>
    <w:rsid w:val="00674986"/>
    <w:rsid w:val="00677FCD"/>
    <w:rsid w:val="00680ABD"/>
    <w:rsid w:val="0068500E"/>
    <w:rsid w:val="00691362"/>
    <w:rsid w:val="00692FFD"/>
    <w:rsid w:val="00693DA9"/>
    <w:rsid w:val="00694366"/>
    <w:rsid w:val="006964F1"/>
    <w:rsid w:val="006975DB"/>
    <w:rsid w:val="006A0E50"/>
    <w:rsid w:val="006A197A"/>
    <w:rsid w:val="006A2489"/>
    <w:rsid w:val="006A2EBC"/>
    <w:rsid w:val="006A5354"/>
    <w:rsid w:val="006A6DD0"/>
    <w:rsid w:val="006A72D7"/>
    <w:rsid w:val="006B3B9E"/>
    <w:rsid w:val="006B494E"/>
    <w:rsid w:val="006B5D9A"/>
    <w:rsid w:val="006B669A"/>
    <w:rsid w:val="006C07F1"/>
    <w:rsid w:val="006C1410"/>
    <w:rsid w:val="006C7AA5"/>
    <w:rsid w:val="006C7B8E"/>
    <w:rsid w:val="006D4380"/>
    <w:rsid w:val="006D619E"/>
    <w:rsid w:val="006E79E0"/>
    <w:rsid w:val="006F1B67"/>
    <w:rsid w:val="006F4EB2"/>
    <w:rsid w:val="00702FE4"/>
    <w:rsid w:val="00713248"/>
    <w:rsid w:val="007167E4"/>
    <w:rsid w:val="007235CB"/>
    <w:rsid w:val="00724BBE"/>
    <w:rsid w:val="007253DB"/>
    <w:rsid w:val="00725F7C"/>
    <w:rsid w:val="007305EB"/>
    <w:rsid w:val="00735DFE"/>
    <w:rsid w:val="00742651"/>
    <w:rsid w:val="007458FF"/>
    <w:rsid w:val="007476C9"/>
    <w:rsid w:val="007516B7"/>
    <w:rsid w:val="007521E7"/>
    <w:rsid w:val="00752AF3"/>
    <w:rsid w:val="00752BC2"/>
    <w:rsid w:val="00753003"/>
    <w:rsid w:val="00754F7A"/>
    <w:rsid w:val="00757CF9"/>
    <w:rsid w:val="00760C55"/>
    <w:rsid w:val="0076428B"/>
    <w:rsid w:val="007716AE"/>
    <w:rsid w:val="00771AF9"/>
    <w:rsid w:val="00781DD6"/>
    <w:rsid w:val="00782351"/>
    <w:rsid w:val="0078420F"/>
    <w:rsid w:val="00792798"/>
    <w:rsid w:val="007A2622"/>
    <w:rsid w:val="007A3FEA"/>
    <w:rsid w:val="007A59DB"/>
    <w:rsid w:val="007A6808"/>
    <w:rsid w:val="007B0026"/>
    <w:rsid w:val="007B60C6"/>
    <w:rsid w:val="007C4B1B"/>
    <w:rsid w:val="007C4FC8"/>
    <w:rsid w:val="007C530B"/>
    <w:rsid w:val="007D013E"/>
    <w:rsid w:val="007D5273"/>
    <w:rsid w:val="007E0952"/>
    <w:rsid w:val="007E0E62"/>
    <w:rsid w:val="007E2967"/>
    <w:rsid w:val="007E70BD"/>
    <w:rsid w:val="007F2871"/>
    <w:rsid w:val="007F6446"/>
    <w:rsid w:val="00801C82"/>
    <w:rsid w:val="00804ABF"/>
    <w:rsid w:val="00806714"/>
    <w:rsid w:val="00810FE7"/>
    <w:rsid w:val="00811441"/>
    <w:rsid w:val="00811D6C"/>
    <w:rsid w:val="0081214B"/>
    <w:rsid w:val="00812326"/>
    <w:rsid w:val="008142C9"/>
    <w:rsid w:val="0081455A"/>
    <w:rsid w:val="008244D4"/>
    <w:rsid w:val="008257CA"/>
    <w:rsid w:val="00834159"/>
    <w:rsid w:val="00835248"/>
    <w:rsid w:val="00835ECB"/>
    <w:rsid w:val="008426FB"/>
    <w:rsid w:val="00842B22"/>
    <w:rsid w:val="00842F55"/>
    <w:rsid w:val="00844639"/>
    <w:rsid w:val="008453FC"/>
    <w:rsid w:val="00845C37"/>
    <w:rsid w:val="008464C5"/>
    <w:rsid w:val="00852FCD"/>
    <w:rsid w:val="0085749C"/>
    <w:rsid w:val="008574C7"/>
    <w:rsid w:val="0086150C"/>
    <w:rsid w:val="00861C1C"/>
    <w:rsid w:val="00866F57"/>
    <w:rsid w:val="008713AA"/>
    <w:rsid w:val="00871882"/>
    <w:rsid w:val="00871B92"/>
    <w:rsid w:val="008741BD"/>
    <w:rsid w:val="0087552A"/>
    <w:rsid w:val="008759ED"/>
    <w:rsid w:val="00881EF1"/>
    <w:rsid w:val="00883C32"/>
    <w:rsid w:val="00884932"/>
    <w:rsid w:val="00884D91"/>
    <w:rsid w:val="00885677"/>
    <w:rsid w:val="008867E8"/>
    <w:rsid w:val="00891C80"/>
    <w:rsid w:val="00896A82"/>
    <w:rsid w:val="008A0A04"/>
    <w:rsid w:val="008A1CF5"/>
    <w:rsid w:val="008A3884"/>
    <w:rsid w:val="008A5018"/>
    <w:rsid w:val="008A7842"/>
    <w:rsid w:val="008B103F"/>
    <w:rsid w:val="008B18B4"/>
    <w:rsid w:val="008B4FF5"/>
    <w:rsid w:val="008B5A0C"/>
    <w:rsid w:val="008C12BF"/>
    <w:rsid w:val="008C4042"/>
    <w:rsid w:val="008C7805"/>
    <w:rsid w:val="008D03B6"/>
    <w:rsid w:val="008D0DD2"/>
    <w:rsid w:val="008D2371"/>
    <w:rsid w:val="008D5DF7"/>
    <w:rsid w:val="008E2398"/>
    <w:rsid w:val="008E7D70"/>
    <w:rsid w:val="008F1170"/>
    <w:rsid w:val="008F1497"/>
    <w:rsid w:val="008F4014"/>
    <w:rsid w:val="008F4283"/>
    <w:rsid w:val="008F490C"/>
    <w:rsid w:val="008F52DF"/>
    <w:rsid w:val="008F5A23"/>
    <w:rsid w:val="008F7D51"/>
    <w:rsid w:val="009007D0"/>
    <w:rsid w:val="0090325B"/>
    <w:rsid w:val="00905ED3"/>
    <w:rsid w:val="00906B52"/>
    <w:rsid w:val="00910978"/>
    <w:rsid w:val="00916E26"/>
    <w:rsid w:val="00917361"/>
    <w:rsid w:val="00917932"/>
    <w:rsid w:val="0092388D"/>
    <w:rsid w:val="009263B3"/>
    <w:rsid w:val="00926E6A"/>
    <w:rsid w:val="0092780A"/>
    <w:rsid w:val="00936CB1"/>
    <w:rsid w:val="00943B26"/>
    <w:rsid w:val="00946749"/>
    <w:rsid w:val="00951F41"/>
    <w:rsid w:val="009547A0"/>
    <w:rsid w:val="0095519A"/>
    <w:rsid w:val="009602D2"/>
    <w:rsid w:val="00960704"/>
    <w:rsid w:val="009616A5"/>
    <w:rsid w:val="009623B5"/>
    <w:rsid w:val="0096400C"/>
    <w:rsid w:val="00966609"/>
    <w:rsid w:val="0097112F"/>
    <w:rsid w:val="00975AE8"/>
    <w:rsid w:val="00975C63"/>
    <w:rsid w:val="00977AAB"/>
    <w:rsid w:val="0098247E"/>
    <w:rsid w:val="00984869"/>
    <w:rsid w:val="009868B5"/>
    <w:rsid w:val="00986F5E"/>
    <w:rsid w:val="009871DF"/>
    <w:rsid w:val="00992061"/>
    <w:rsid w:val="0099353B"/>
    <w:rsid w:val="0099356A"/>
    <w:rsid w:val="009954EA"/>
    <w:rsid w:val="009957DD"/>
    <w:rsid w:val="00996B33"/>
    <w:rsid w:val="0099719E"/>
    <w:rsid w:val="009A3A20"/>
    <w:rsid w:val="009A4A11"/>
    <w:rsid w:val="009A53C4"/>
    <w:rsid w:val="009A6AB7"/>
    <w:rsid w:val="009B797B"/>
    <w:rsid w:val="009C3B23"/>
    <w:rsid w:val="009C54FC"/>
    <w:rsid w:val="009C56A5"/>
    <w:rsid w:val="009D16A4"/>
    <w:rsid w:val="009D1CAE"/>
    <w:rsid w:val="009D356A"/>
    <w:rsid w:val="009D7454"/>
    <w:rsid w:val="009E23A5"/>
    <w:rsid w:val="009E2E95"/>
    <w:rsid w:val="009E56D9"/>
    <w:rsid w:val="009E72B7"/>
    <w:rsid w:val="00A02E27"/>
    <w:rsid w:val="00A0681F"/>
    <w:rsid w:val="00A06EBD"/>
    <w:rsid w:val="00A06F8E"/>
    <w:rsid w:val="00A079C8"/>
    <w:rsid w:val="00A13634"/>
    <w:rsid w:val="00A13777"/>
    <w:rsid w:val="00A13892"/>
    <w:rsid w:val="00A13F41"/>
    <w:rsid w:val="00A149A4"/>
    <w:rsid w:val="00A15876"/>
    <w:rsid w:val="00A16A70"/>
    <w:rsid w:val="00A22824"/>
    <w:rsid w:val="00A22A83"/>
    <w:rsid w:val="00A233B4"/>
    <w:rsid w:val="00A24608"/>
    <w:rsid w:val="00A24EB1"/>
    <w:rsid w:val="00A31544"/>
    <w:rsid w:val="00A319EF"/>
    <w:rsid w:val="00A32859"/>
    <w:rsid w:val="00A35FAC"/>
    <w:rsid w:val="00A40DFD"/>
    <w:rsid w:val="00A43FC1"/>
    <w:rsid w:val="00A44839"/>
    <w:rsid w:val="00A50130"/>
    <w:rsid w:val="00A501EC"/>
    <w:rsid w:val="00A50483"/>
    <w:rsid w:val="00A57276"/>
    <w:rsid w:val="00A62421"/>
    <w:rsid w:val="00A66F6E"/>
    <w:rsid w:val="00A67645"/>
    <w:rsid w:val="00A67663"/>
    <w:rsid w:val="00A70B33"/>
    <w:rsid w:val="00A714D1"/>
    <w:rsid w:val="00A77C00"/>
    <w:rsid w:val="00A82340"/>
    <w:rsid w:val="00A82F80"/>
    <w:rsid w:val="00A8382C"/>
    <w:rsid w:val="00AA2EBD"/>
    <w:rsid w:val="00AA54CA"/>
    <w:rsid w:val="00AB11C9"/>
    <w:rsid w:val="00AB2ABF"/>
    <w:rsid w:val="00AB41B8"/>
    <w:rsid w:val="00AC0C6D"/>
    <w:rsid w:val="00AC327C"/>
    <w:rsid w:val="00AC45D7"/>
    <w:rsid w:val="00AC4D16"/>
    <w:rsid w:val="00AC51A9"/>
    <w:rsid w:val="00AC67D3"/>
    <w:rsid w:val="00AC6E6C"/>
    <w:rsid w:val="00AD21EB"/>
    <w:rsid w:val="00AD329E"/>
    <w:rsid w:val="00AF1393"/>
    <w:rsid w:val="00AF14A4"/>
    <w:rsid w:val="00AF4213"/>
    <w:rsid w:val="00AF7FFD"/>
    <w:rsid w:val="00B001D6"/>
    <w:rsid w:val="00B020D2"/>
    <w:rsid w:val="00B032F0"/>
    <w:rsid w:val="00B04B9F"/>
    <w:rsid w:val="00B10610"/>
    <w:rsid w:val="00B118CF"/>
    <w:rsid w:val="00B145FF"/>
    <w:rsid w:val="00B146F7"/>
    <w:rsid w:val="00B14714"/>
    <w:rsid w:val="00B14DF1"/>
    <w:rsid w:val="00B15BEA"/>
    <w:rsid w:val="00B16BD5"/>
    <w:rsid w:val="00B16C16"/>
    <w:rsid w:val="00B179B6"/>
    <w:rsid w:val="00B17FE5"/>
    <w:rsid w:val="00B20B67"/>
    <w:rsid w:val="00B222FC"/>
    <w:rsid w:val="00B262DB"/>
    <w:rsid w:val="00B2706E"/>
    <w:rsid w:val="00B27E10"/>
    <w:rsid w:val="00B30E34"/>
    <w:rsid w:val="00B353A6"/>
    <w:rsid w:val="00B371FF"/>
    <w:rsid w:val="00B40194"/>
    <w:rsid w:val="00B40933"/>
    <w:rsid w:val="00B45A13"/>
    <w:rsid w:val="00B5210F"/>
    <w:rsid w:val="00B53C20"/>
    <w:rsid w:val="00B53D73"/>
    <w:rsid w:val="00B54957"/>
    <w:rsid w:val="00B54DBD"/>
    <w:rsid w:val="00B54E14"/>
    <w:rsid w:val="00B60F9A"/>
    <w:rsid w:val="00B66EF6"/>
    <w:rsid w:val="00B70A88"/>
    <w:rsid w:val="00B723E3"/>
    <w:rsid w:val="00B75840"/>
    <w:rsid w:val="00B809F7"/>
    <w:rsid w:val="00B83ADC"/>
    <w:rsid w:val="00B83FD0"/>
    <w:rsid w:val="00B86146"/>
    <w:rsid w:val="00B929B9"/>
    <w:rsid w:val="00B94032"/>
    <w:rsid w:val="00B96FD0"/>
    <w:rsid w:val="00B973E4"/>
    <w:rsid w:val="00B9792E"/>
    <w:rsid w:val="00BA2816"/>
    <w:rsid w:val="00BA3B1F"/>
    <w:rsid w:val="00BA71AA"/>
    <w:rsid w:val="00BB0A40"/>
    <w:rsid w:val="00BB205E"/>
    <w:rsid w:val="00BB2F84"/>
    <w:rsid w:val="00BB50DA"/>
    <w:rsid w:val="00BB5B7F"/>
    <w:rsid w:val="00BB6D21"/>
    <w:rsid w:val="00BC25CA"/>
    <w:rsid w:val="00BC2C95"/>
    <w:rsid w:val="00BC3685"/>
    <w:rsid w:val="00BC486D"/>
    <w:rsid w:val="00BC7AA6"/>
    <w:rsid w:val="00BD1395"/>
    <w:rsid w:val="00BD65B8"/>
    <w:rsid w:val="00BD68AC"/>
    <w:rsid w:val="00BE0F68"/>
    <w:rsid w:val="00BE3455"/>
    <w:rsid w:val="00BE5225"/>
    <w:rsid w:val="00BF1D09"/>
    <w:rsid w:val="00BF2E1A"/>
    <w:rsid w:val="00BF3721"/>
    <w:rsid w:val="00BF37F3"/>
    <w:rsid w:val="00BF7D76"/>
    <w:rsid w:val="00C01A79"/>
    <w:rsid w:val="00C02C44"/>
    <w:rsid w:val="00C04107"/>
    <w:rsid w:val="00C04490"/>
    <w:rsid w:val="00C2031C"/>
    <w:rsid w:val="00C20495"/>
    <w:rsid w:val="00C222DA"/>
    <w:rsid w:val="00C22518"/>
    <w:rsid w:val="00C25A88"/>
    <w:rsid w:val="00C433A6"/>
    <w:rsid w:val="00C43AFE"/>
    <w:rsid w:val="00C46C72"/>
    <w:rsid w:val="00C50B7C"/>
    <w:rsid w:val="00C54E8D"/>
    <w:rsid w:val="00C55F62"/>
    <w:rsid w:val="00C620B2"/>
    <w:rsid w:val="00C6403A"/>
    <w:rsid w:val="00C75088"/>
    <w:rsid w:val="00C828FF"/>
    <w:rsid w:val="00C8361F"/>
    <w:rsid w:val="00C83F59"/>
    <w:rsid w:val="00C84434"/>
    <w:rsid w:val="00C87D06"/>
    <w:rsid w:val="00C90C02"/>
    <w:rsid w:val="00C95FDE"/>
    <w:rsid w:val="00C97367"/>
    <w:rsid w:val="00C979F3"/>
    <w:rsid w:val="00CA1876"/>
    <w:rsid w:val="00CA1F61"/>
    <w:rsid w:val="00CA2435"/>
    <w:rsid w:val="00CA3005"/>
    <w:rsid w:val="00CB20CD"/>
    <w:rsid w:val="00CB2D7C"/>
    <w:rsid w:val="00CB4346"/>
    <w:rsid w:val="00CB4400"/>
    <w:rsid w:val="00CB5ACD"/>
    <w:rsid w:val="00CC6DA4"/>
    <w:rsid w:val="00CC7EAE"/>
    <w:rsid w:val="00CD0635"/>
    <w:rsid w:val="00CD0E6F"/>
    <w:rsid w:val="00CD1908"/>
    <w:rsid w:val="00CD20B4"/>
    <w:rsid w:val="00CD41AD"/>
    <w:rsid w:val="00CD505D"/>
    <w:rsid w:val="00CD5462"/>
    <w:rsid w:val="00CD6035"/>
    <w:rsid w:val="00CD6F8C"/>
    <w:rsid w:val="00CD7F29"/>
    <w:rsid w:val="00CE1875"/>
    <w:rsid w:val="00CE34E4"/>
    <w:rsid w:val="00CE489A"/>
    <w:rsid w:val="00CE513A"/>
    <w:rsid w:val="00CF1252"/>
    <w:rsid w:val="00CF366D"/>
    <w:rsid w:val="00CF4580"/>
    <w:rsid w:val="00CF5654"/>
    <w:rsid w:val="00CF5AD7"/>
    <w:rsid w:val="00CF7139"/>
    <w:rsid w:val="00D01110"/>
    <w:rsid w:val="00D01E67"/>
    <w:rsid w:val="00D037C2"/>
    <w:rsid w:val="00D03E22"/>
    <w:rsid w:val="00D0400D"/>
    <w:rsid w:val="00D1117B"/>
    <w:rsid w:val="00D1121E"/>
    <w:rsid w:val="00D119FE"/>
    <w:rsid w:val="00D143B6"/>
    <w:rsid w:val="00D16C17"/>
    <w:rsid w:val="00D234E0"/>
    <w:rsid w:val="00D27689"/>
    <w:rsid w:val="00D30AE6"/>
    <w:rsid w:val="00D354A9"/>
    <w:rsid w:val="00D37848"/>
    <w:rsid w:val="00D442C0"/>
    <w:rsid w:val="00D44FF2"/>
    <w:rsid w:val="00D45201"/>
    <w:rsid w:val="00D50DE0"/>
    <w:rsid w:val="00D5225C"/>
    <w:rsid w:val="00D532D4"/>
    <w:rsid w:val="00D679E8"/>
    <w:rsid w:val="00D74B0A"/>
    <w:rsid w:val="00D76D70"/>
    <w:rsid w:val="00D8133F"/>
    <w:rsid w:val="00D834BA"/>
    <w:rsid w:val="00D8455B"/>
    <w:rsid w:val="00D85A01"/>
    <w:rsid w:val="00D85F86"/>
    <w:rsid w:val="00D9104E"/>
    <w:rsid w:val="00D93D0A"/>
    <w:rsid w:val="00D9402C"/>
    <w:rsid w:val="00D963AB"/>
    <w:rsid w:val="00D97681"/>
    <w:rsid w:val="00DB17AC"/>
    <w:rsid w:val="00DB4253"/>
    <w:rsid w:val="00DB4465"/>
    <w:rsid w:val="00DB7E83"/>
    <w:rsid w:val="00DC417C"/>
    <w:rsid w:val="00DC588B"/>
    <w:rsid w:val="00DD1132"/>
    <w:rsid w:val="00DD241F"/>
    <w:rsid w:val="00DD4DD1"/>
    <w:rsid w:val="00DD7FB3"/>
    <w:rsid w:val="00DE01F8"/>
    <w:rsid w:val="00DE1664"/>
    <w:rsid w:val="00DE358B"/>
    <w:rsid w:val="00DE3A96"/>
    <w:rsid w:val="00DF2547"/>
    <w:rsid w:val="00E012C2"/>
    <w:rsid w:val="00E03DA4"/>
    <w:rsid w:val="00E06B38"/>
    <w:rsid w:val="00E15D19"/>
    <w:rsid w:val="00E21598"/>
    <w:rsid w:val="00E22ED8"/>
    <w:rsid w:val="00E24035"/>
    <w:rsid w:val="00E2761E"/>
    <w:rsid w:val="00E2769E"/>
    <w:rsid w:val="00E30ADB"/>
    <w:rsid w:val="00E325D2"/>
    <w:rsid w:val="00E333A1"/>
    <w:rsid w:val="00E33AB4"/>
    <w:rsid w:val="00E340C2"/>
    <w:rsid w:val="00E36F0E"/>
    <w:rsid w:val="00E4176D"/>
    <w:rsid w:val="00E45ACA"/>
    <w:rsid w:val="00E55486"/>
    <w:rsid w:val="00E56B9C"/>
    <w:rsid w:val="00E60289"/>
    <w:rsid w:val="00E67198"/>
    <w:rsid w:val="00E702BF"/>
    <w:rsid w:val="00E70AB9"/>
    <w:rsid w:val="00E7384A"/>
    <w:rsid w:val="00E75A78"/>
    <w:rsid w:val="00E760D1"/>
    <w:rsid w:val="00E77162"/>
    <w:rsid w:val="00E804B1"/>
    <w:rsid w:val="00E938AF"/>
    <w:rsid w:val="00EA003B"/>
    <w:rsid w:val="00EA3B00"/>
    <w:rsid w:val="00EA65BD"/>
    <w:rsid w:val="00EB11F1"/>
    <w:rsid w:val="00EB125E"/>
    <w:rsid w:val="00EB42BD"/>
    <w:rsid w:val="00EB477F"/>
    <w:rsid w:val="00EB59F2"/>
    <w:rsid w:val="00EB678D"/>
    <w:rsid w:val="00EC231B"/>
    <w:rsid w:val="00EC6B1E"/>
    <w:rsid w:val="00EC7B71"/>
    <w:rsid w:val="00ED0908"/>
    <w:rsid w:val="00ED2CA4"/>
    <w:rsid w:val="00ED346D"/>
    <w:rsid w:val="00ED420F"/>
    <w:rsid w:val="00EE09DA"/>
    <w:rsid w:val="00EE0ED2"/>
    <w:rsid w:val="00EE23DB"/>
    <w:rsid w:val="00EE69A7"/>
    <w:rsid w:val="00EF2D01"/>
    <w:rsid w:val="00EF4996"/>
    <w:rsid w:val="00EF620C"/>
    <w:rsid w:val="00EF7410"/>
    <w:rsid w:val="00EF7C39"/>
    <w:rsid w:val="00F00068"/>
    <w:rsid w:val="00F04E02"/>
    <w:rsid w:val="00F05950"/>
    <w:rsid w:val="00F12D41"/>
    <w:rsid w:val="00F12D6D"/>
    <w:rsid w:val="00F12EB8"/>
    <w:rsid w:val="00F15AEB"/>
    <w:rsid w:val="00F173A1"/>
    <w:rsid w:val="00F24A64"/>
    <w:rsid w:val="00F27E24"/>
    <w:rsid w:val="00F319DF"/>
    <w:rsid w:val="00F34BC5"/>
    <w:rsid w:val="00F3742B"/>
    <w:rsid w:val="00F40192"/>
    <w:rsid w:val="00F4197D"/>
    <w:rsid w:val="00F41C1E"/>
    <w:rsid w:val="00F42A2B"/>
    <w:rsid w:val="00F4616B"/>
    <w:rsid w:val="00F50595"/>
    <w:rsid w:val="00F51085"/>
    <w:rsid w:val="00F53D81"/>
    <w:rsid w:val="00F5625B"/>
    <w:rsid w:val="00F60A77"/>
    <w:rsid w:val="00F61672"/>
    <w:rsid w:val="00F618AC"/>
    <w:rsid w:val="00F66131"/>
    <w:rsid w:val="00F71869"/>
    <w:rsid w:val="00F77BB2"/>
    <w:rsid w:val="00F80897"/>
    <w:rsid w:val="00F80B9E"/>
    <w:rsid w:val="00F832FC"/>
    <w:rsid w:val="00F8540C"/>
    <w:rsid w:val="00F938BB"/>
    <w:rsid w:val="00F95E95"/>
    <w:rsid w:val="00FB0E82"/>
    <w:rsid w:val="00FB6714"/>
    <w:rsid w:val="00FB7041"/>
    <w:rsid w:val="00FB71C9"/>
    <w:rsid w:val="00FB7497"/>
    <w:rsid w:val="00FC0FF4"/>
    <w:rsid w:val="00FC3947"/>
    <w:rsid w:val="00FC47C6"/>
    <w:rsid w:val="00FC509C"/>
    <w:rsid w:val="00FC59C4"/>
    <w:rsid w:val="00FC7ABB"/>
    <w:rsid w:val="00FD1DAD"/>
    <w:rsid w:val="00FD1EE6"/>
    <w:rsid w:val="00FD201B"/>
    <w:rsid w:val="00FD638C"/>
    <w:rsid w:val="00FD6B38"/>
    <w:rsid w:val="00FE039F"/>
    <w:rsid w:val="00FE1535"/>
    <w:rsid w:val="00FF24C7"/>
    <w:rsid w:val="00FF2ACD"/>
    <w:rsid w:val="00FF2D25"/>
    <w:rsid w:val="00FF2F27"/>
    <w:rsid w:val="00FF5541"/>
    <w:rsid w:val="00FF6C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0BADD"/>
  <w15:chartTrackingRefBased/>
  <w15:docId w15:val="{265711D6-AD32-4C12-A161-1C4F81C3D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442C0"/>
    <w:pPr>
      <w:spacing w:line="360" w:lineRule="auto"/>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CF4580"/>
    <w:pPr>
      <w:spacing w:after="0" w:line="240" w:lineRule="auto"/>
    </w:pPr>
    <w:rPr>
      <w:rFonts w:ascii="Times New Roman" w:hAnsi="Times New Roman"/>
      <w:sz w:val="20"/>
      <w:szCs w:val="20"/>
    </w:rPr>
  </w:style>
  <w:style w:type="character" w:customStyle="1" w:styleId="FootnoteTextChar">
    <w:name w:val="Footnote Text Char"/>
    <w:basedOn w:val="DefaultParagraphFont"/>
    <w:link w:val="FootnoteText"/>
    <w:rsid w:val="00CF4580"/>
    <w:rPr>
      <w:rFonts w:ascii="Times New Roman" w:hAnsi="Times New Roman"/>
      <w:sz w:val="20"/>
      <w:szCs w:val="20"/>
    </w:rPr>
  </w:style>
  <w:style w:type="character" w:styleId="FootnoteReference">
    <w:name w:val="footnote reference"/>
    <w:basedOn w:val="DefaultParagraphFont"/>
    <w:uiPriority w:val="99"/>
    <w:semiHidden/>
    <w:unhideWhenUsed/>
    <w:rsid w:val="00CF4580"/>
    <w:rPr>
      <w:vertAlign w:val="superscript"/>
    </w:rPr>
  </w:style>
  <w:style w:type="character" w:styleId="Strong">
    <w:name w:val="Strong"/>
    <w:basedOn w:val="DefaultParagraphFont"/>
    <w:uiPriority w:val="22"/>
    <w:qFormat/>
    <w:rsid w:val="008D0DD2"/>
    <w:rPr>
      <w:b/>
      <w:bCs/>
    </w:rPr>
  </w:style>
  <w:style w:type="paragraph" w:styleId="Header">
    <w:name w:val="header"/>
    <w:basedOn w:val="Normal"/>
    <w:link w:val="HeaderChar"/>
    <w:uiPriority w:val="99"/>
    <w:unhideWhenUsed/>
    <w:rsid w:val="008145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455A"/>
  </w:style>
  <w:style w:type="paragraph" w:styleId="Footer">
    <w:name w:val="footer"/>
    <w:basedOn w:val="Normal"/>
    <w:link w:val="FooterChar"/>
    <w:uiPriority w:val="99"/>
    <w:unhideWhenUsed/>
    <w:rsid w:val="008145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455A"/>
  </w:style>
  <w:style w:type="paragraph" w:styleId="BalloonText">
    <w:name w:val="Balloon Text"/>
    <w:basedOn w:val="Normal"/>
    <w:link w:val="BalloonTextChar"/>
    <w:uiPriority w:val="99"/>
    <w:semiHidden/>
    <w:unhideWhenUsed/>
    <w:rsid w:val="002871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71F7"/>
    <w:rPr>
      <w:rFonts w:ascii="Segoe UI" w:hAnsi="Segoe UI" w:cs="Segoe UI"/>
      <w:sz w:val="18"/>
      <w:szCs w:val="18"/>
    </w:rPr>
  </w:style>
  <w:style w:type="paragraph" w:styleId="ListParagraph">
    <w:name w:val="List Paragraph"/>
    <w:basedOn w:val="Normal"/>
    <w:uiPriority w:val="34"/>
    <w:qFormat/>
    <w:rsid w:val="000421A0"/>
    <w:pPr>
      <w:ind w:left="720"/>
      <w:contextualSpacing/>
    </w:pPr>
  </w:style>
  <w:style w:type="paragraph" w:styleId="EndnoteText">
    <w:name w:val="endnote text"/>
    <w:basedOn w:val="Normal"/>
    <w:link w:val="EndnoteTextChar"/>
    <w:uiPriority w:val="99"/>
    <w:unhideWhenUsed/>
    <w:rsid w:val="007458FF"/>
    <w:pPr>
      <w:spacing w:after="0" w:line="240" w:lineRule="auto"/>
    </w:pPr>
    <w:rPr>
      <w:sz w:val="20"/>
      <w:szCs w:val="20"/>
    </w:rPr>
  </w:style>
  <w:style w:type="character" w:customStyle="1" w:styleId="EndnoteTextChar">
    <w:name w:val="Endnote Text Char"/>
    <w:basedOn w:val="DefaultParagraphFont"/>
    <w:link w:val="EndnoteText"/>
    <w:uiPriority w:val="99"/>
    <w:rsid w:val="007458FF"/>
    <w:rPr>
      <w:sz w:val="20"/>
      <w:szCs w:val="20"/>
    </w:rPr>
  </w:style>
  <w:style w:type="character" w:styleId="EndnoteReference">
    <w:name w:val="endnote reference"/>
    <w:basedOn w:val="DefaultParagraphFont"/>
    <w:uiPriority w:val="99"/>
    <w:semiHidden/>
    <w:unhideWhenUsed/>
    <w:rsid w:val="007458FF"/>
    <w:rPr>
      <w:vertAlign w:val="superscript"/>
    </w:rPr>
  </w:style>
  <w:style w:type="character" w:customStyle="1" w:styleId="Heading1Char">
    <w:name w:val="Heading 1 Char"/>
    <w:basedOn w:val="DefaultParagraphFont"/>
    <w:link w:val="Heading1"/>
    <w:uiPriority w:val="9"/>
    <w:rsid w:val="00D442C0"/>
    <w:rPr>
      <w:b/>
    </w:rPr>
  </w:style>
  <w:style w:type="table" w:styleId="TableGrid">
    <w:name w:val="Table Grid"/>
    <w:basedOn w:val="TableNormal"/>
    <w:uiPriority w:val="39"/>
    <w:rsid w:val="008A5018"/>
    <w:pPr>
      <w:spacing w:after="0" w:line="240" w:lineRule="auto"/>
    </w:pPr>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678369">
      <w:bodyDiv w:val="1"/>
      <w:marLeft w:val="0"/>
      <w:marRight w:val="0"/>
      <w:marTop w:val="0"/>
      <w:marBottom w:val="0"/>
      <w:divBdr>
        <w:top w:val="none" w:sz="0" w:space="0" w:color="auto"/>
        <w:left w:val="none" w:sz="0" w:space="0" w:color="auto"/>
        <w:bottom w:val="none" w:sz="0" w:space="0" w:color="auto"/>
        <w:right w:val="none" w:sz="0" w:space="0" w:color="auto"/>
      </w:divBdr>
    </w:div>
    <w:div w:id="1318220077">
      <w:bodyDiv w:val="1"/>
      <w:marLeft w:val="0"/>
      <w:marRight w:val="0"/>
      <w:marTop w:val="0"/>
      <w:marBottom w:val="0"/>
      <w:divBdr>
        <w:top w:val="none" w:sz="0" w:space="0" w:color="auto"/>
        <w:left w:val="none" w:sz="0" w:space="0" w:color="auto"/>
        <w:bottom w:val="none" w:sz="0" w:space="0" w:color="auto"/>
        <w:right w:val="none" w:sz="0" w:space="0" w:color="auto"/>
      </w:divBdr>
    </w:div>
    <w:div w:id="1524055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011FAF-93A0-43B0-9511-AEB59E4B1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16</Pages>
  <Words>5371</Words>
  <Characters>30618</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Harley</dc:creator>
  <cp:keywords/>
  <dc:description/>
  <cp:lastModifiedBy>Blanshard, Lisa</cp:lastModifiedBy>
  <cp:revision>13</cp:revision>
  <dcterms:created xsi:type="dcterms:W3CDTF">2021-03-26T14:24:00Z</dcterms:created>
  <dcterms:modified xsi:type="dcterms:W3CDTF">2022-03-11T10:22:00Z</dcterms:modified>
</cp:coreProperties>
</file>