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F47CE" w14:textId="3C8E8462" w:rsidR="00483766" w:rsidRPr="00025D0E" w:rsidRDefault="000E4BE0" w:rsidP="00025D0E">
      <w:pPr>
        <w:pStyle w:val="Title"/>
      </w:pPr>
      <w:r w:rsidRPr="00025D0E">
        <w:t xml:space="preserve">Gambling problems among United Kingdom armed forces veterans: Associations with </w:t>
      </w:r>
      <w:r w:rsidR="000D1FDE" w:rsidRPr="00025D0E">
        <w:t xml:space="preserve">gambling motivation </w:t>
      </w:r>
      <w:r w:rsidRPr="00025D0E">
        <w:t>and posttraumatic stress disorder</w:t>
      </w:r>
    </w:p>
    <w:p w14:paraId="42796CF5" w14:textId="4755C62D" w:rsidR="00543012" w:rsidRDefault="00543012" w:rsidP="00316CF8">
      <w:pPr>
        <w:spacing w:line="480" w:lineRule="auto"/>
        <w:jc w:val="center"/>
        <w:rPr>
          <w:iCs/>
        </w:rPr>
      </w:pPr>
    </w:p>
    <w:p w14:paraId="671B0A32" w14:textId="2203A1A2" w:rsidR="00543012" w:rsidRPr="003B6AB3" w:rsidRDefault="00543012" w:rsidP="00543012">
      <w:pPr>
        <w:spacing w:line="480" w:lineRule="auto"/>
        <w:jc w:val="center"/>
        <w:rPr>
          <w:iCs/>
          <w:vertAlign w:val="superscript"/>
        </w:rPr>
      </w:pPr>
      <w:r w:rsidRPr="003B6AB3">
        <w:rPr>
          <w:iCs/>
        </w:rPr>
        <w:t>Glen Dighton</w:t>
      </w:r>
      <w:r w:rsidRPr="003B6AB3">
        <w:rPr>
          <w:iCs/>
          <w:vertAlign w:val="superscript"/>
        </w:rPr>
        <w:t>1</w:t>
      </w:r>
      <w:r w:rsidRPr="003B6AB3">
        <w:rPr>
          <w:iCs/>
        </w:rPr>
        <w:t>, Katie Wood</w:t>
      </w:r>
      <w:r w:rsidRPr="003B6AB3">
        <w:rPr>
          <w:iCs/>
          <w:vertAlign w:val="superscript"/>
        </w:rPr>
        <w:t>1</w:t>
      </w:r>
      <w:r w:rsidRPr="003B6AB3">
        <w:rPr>
          <w:iCs/>
        </w:rPr>
        <w:t>, Cherie Armour</w:t>
      </w:r>
      <w:r w:rsidRPr="003B6AB3">
        <w:rPr>
          <w:iCs/>
          <w:vertAlign w:val="superscript"/>
        </w:rPr>
        <w:t xml:space="preserve"> 2</w:t>
      </w:r>
      <w:r w:rsidRPr="003B6AB3">
        <w:rPr>
          <w:iCs/>
        </w:rPr>
        <w:t>, Matt Fossey</w:t>
      </w:r>
      <w:r w:rsidRPr="003B6AB3">
        <w:rPr>
          <w:iCs/>
          <w:vertAlign w:val="superscript"/>
        </w:rPr>
        <w:t>3</w:t>
      </w:r>
      <w:r w:rsidRPr="003B6AB3">
        <w:rPr>
          <w:iCs/>
        </w:rPr>
        <w:t>, Lee Hogan</w:t>
      </w:r>
      <w:r w:rsidRPr="003B6AB3">
        <w:rPr>
          <w:iCs/>
          <w:vertAlign w:val="superscript"/>
        </w:rPr>
        <w:t>4</w:t>
      </w:r>
      <w:r w:rsidRPr="003B6AB3">
        <w:rPr>
          <w:iCs/>
        </w:rPr>
        <w:t>, Neil Kitchiner</w:t>
      </w:r>
      <w:r w:rsidRPr="003B6AB3">
        <w:rPr>
          <w:iCs/>
          <w:vertAlign w:val="superscript"/>
        </w:rPr>
        <w:t>5,6</w:t>
      </w:r>
      <w:r w:rsidRPr="003B6AB3">
        <w:rPr>
          <w:iCs/>
        </w:rPr>
        <w:t>, Justyn Larcombe</w:t>
      </w:r>
      <w:r w:rsidRPr="003B6AB3">
        <w:rPr>
          <w:iCs/>
          <w:vertAlign w:val="superscript"/>
        </w:rPr>
        <w:t>7</w:t>
      </w:r>
      <w:r w:rsidRPr="003B6AB3">
        <w:rPr>
          <w:iCs/>
        </w:rPr>
        <w:t xml:space="preserve">, Robert D. Rogers </w:t>
      </w:r>
      <w:r w:rsidRPr="003B6AB3">
        <w:rPr>
          <w:iCs/>
          <w:vertAlign w:val="superscript"/>
        </w:rPr>
        <w:t>4</w:t>
      </w:r>
      <w:r w:rsidRPr="003B6AB3">
        <w:rPr>
          <w:iCs/>
        </w:rPr>
        <w:t xml:space="preserve">, &amp; Simon Dymond </w:t>
      </w:r>
      <w:r w:rsidRPr="003B6AB3">
        <w:rPr>
          <w:iCs/>
          <w:vertAlign w:val="superscript"/>
        </w:rPr>
        <w:t>1,8</w:t>
      </w:r>
    </w:p>
    <w:p w14:paraId="136319C7" w14:textId="77777777" w:rsidR="00543012" w:rsidRPr="003B6AB3" w:rsidRDefault="00543012" w:rsidP="00543012">
      <w:pPr>
        <w:spacing w:line="480" w:lineRule="auto"/>
        <w:jc w:val="center"/>
        <w:rPr>
          <w:iCs/>
        </w:rPr>
      </w:pPr>
    </w:p>
    <w:p w14:paraId="5BE09333" w14:textId="77777777" w:rsidR="00543012" w:rsidRPr="003B6AB3" w:rsidRDefault="00543012" w:rsidP="00543012">
      <w:pPr>
        <w:spacing w:line="480" w:lineRule="auto"/>
        <w:jc w:val="center"/>
        <w:rPr>
          <w:iCs/>
        </w:rPr>
      </w:pPr>
      <w:r w:rsidRPr="003B6AB3">
        <w:rPr>
          <w:iCs/>
          <w:vertAlign w:val="superscript"/>
        </w:rPr>
        <w:t xml:space="preserve">1 </w:t>
      </w:r>
      <w:r w:rsidRPr="003B6AB3">
        <w:rPr>
          <w:iCs/>
        </w:rPr>
        <w:t>School of Psychology, Swansea University, Swansea, United Kingdom.</w:t>
      </w:r>
    </w:p>
    <w:p w14:paraId="517BF64D" w14:textId="77777777" w:rsidR="00543012" w:rsidRPr="003B6AB3" w:rsidRDefault="00543012" w:rsidP="00543012">
      <w:pPr>
        <w:spacing w:line="480" w:lineRule="auto"/>
        <w:jc w:val="center"/>
        <w:rPr>
          <w:iCs/>
        </w:rPr>
      </w:pPr>
      <w:r w:rsidRPr="003B6AB3">
        <w:rPr>
          <w:iCs/>
          <w:vertAlign w:val="superscript"/>
        </w:rPr>
        <w:t>2</w:t>
      </w:r>
      <w:r w:rsidRPr="003B6AB3">
        <w:rPr>
          <w:iCs/>
        </w:rPr>
        <w:t xml:space="preserve"> Research Centre for Stress Trauma and Related Conditions (STARC), School of Psychology, Queen’s University Belfast, Belfast, United Kingdom.</w:t>
      </w:r>
    </w:p>
    <w:p w14:paraId="1BA4BB98" w14:textId="77777777" w:rsidR="00543012" w:rsidRPr="003B6AB3" w:rsidRDefault="00543012" w:rsidP="00543012">
      <w:pPr>
        <w:spacing w:line="480" w:lineRule="auto"/>
        <w:jc w:val="center"/>
        <w:rPr>
          <w:iCs/>
        </w:rPr>
      </w:pPr>
      <w:r w:rsidRPr="003B6AB3">
        <w:rPr>
          <w:iCs/>
          <w:vertAlign w:val="superscript"/>
        </w:rPr>
        <w:t>3</w:t>
      </w:r>
      <w:r w:rsidRPr="003B6AB3">
        <w:rPr>
          <w:iCs/>
        </w:rPr>
        <w:t xml:space="preserve"> Veterans and Families Institute, Anglia Ruskin University, Chelmsford, United Kingdom.</w:t>
      </w:r>
    </w:p>
    <w:p w14:paraId="19BD84F9" w14:textId="77777777" w:rsidR="00543012" w:rsidRPr="003B6AB3" w:rsidRDefault="00543012" w:rsidP="00543012">
      <w:pPr>
        <w:spacing w:line="480" w:lineRule="auto"/>
        <w:jc w:val="center"/>
        <w:rPr>
          <w:iCs/>
        </w:rPr>
      </w:pPr>
      <w:r w:rsidRPr="003B6AB3">
        <w:rPr>
          <w:iCs/>
          <w:vertAlign w:val="superscript"/>
        </w:rPr>
        <w:t>4</w:t>
      </w:r>
      <w:r w:rsidRPr="003B6AB3">
        <w:rPr>
          <w:iCs/>
        </w:rPr>
        <w:t xml:space="preserve"> School of Human </w:t>
      </w:r>
      <w:r>
        <w:rPr>
          <w:iCs/>
        </w:rPr>
        <w:t xml:space="preserve">and </w:t>
      </w:r>
      <w:r w:rsidRPr="003B6AB3">
        <w:rPr>
          <w:iCs/>
        </w:rPr>
        <w:t>Behavioural Sciences, Bangor University, Bangor, United Kingdom.</w:t>
      </w:r>
    </w:p>
    <w:p w14:paraId="16A2F444" w14:textId="77777777" w:rsidR="00543012" w:rsidRPr="003B6AB3" w:rsidRDefault="00543012" w:rsidP="00543012">
      <w:pPr>
        <w:spacing w:line="480" w:lineRule="auto"/>
        <w:jc w:val="center"/>
        <w:rPr>
          <w:iCs/>
        </w:rPr>
      </w:pPr>
      <w:r w:rsidRPr="003B6AB3">
        <w:rPr>
          <w:iCs/>
          <w:vertAlign w:val="superscript"/>
        </w:rPr>
        <w:t>5</w:t>
      </w:r>
      <w:r w:rsidRPr="003B6AB3">
        <w:rPr>
          <w:iCs/>
        </w:rPr>
        <w:t xml:space="preserve"> Veterans NHS Wales, Cardiff and Vale University Health Board, Cardiff, United Kingdom.</w:t>
      </w:r>
    </w:p>
    <w:p w14:paraId="048183D6" w14:textId="77777777" w:rsidR="00543012" w:rsidRPr="003B6AB3" w:rsidRDefault="00543012" w:rsidP="00543012">
      <w:pPr>
        <w:spacing w:line="480" w:lineRule="auto"/>
        <w:jc w:val="center"/>
        <w:rPr>
          <w:iCs/>
        </w:rPr>
      </w:pPr>
      <w:r w:rsidRPr="003B6AB3">
        <w:rPr>
          <w:iCs/>
          <w:vertAlign w:val="superscript"/>
        </w:rPr>
        <w:t>6</w:t>
      </w:r>
      <w:r w:rsidRPr="003B6AB3">
        <w:rPr>
          <w:iCs/>
        </w:rPr>
        <w:t xml:space="preserve"> Division of Psychological Medicine and Clinical Neurosciences, Cardiff University, Cardiff, United Kingdom.</w:t>
      </w:r>
    </w:p>
    <w:p w14:paraId="77AB65E1" w14:textId="77777777" w:rsidR="00543012" w:rsidRPr="003B6AB3" w:rsidRDefault="00543012" w:rsidP="00543012">
      <w:pPr>
        <w:spacing w:line="480" w:lineRule="auto"/>
        <w:jc w:val="center"/>
        <w:rPr>
          <w:iCs/>
        </w:rPr>
      </w:pPr>
      <w:r w:rsidRPr="003B6AB3">
        <w:rPr>
          <w:iCs/>
          <w:vertAlign w:val="superscript"/>
        </w:rPr>
        <w:t xml:space="preserve">7 </w:t>
      </w:r>
      <w:r w:rsidRPr="003B6AB3">
        <w:rPr>
          <w:iCs/>
        </w:rPr>
        <w:t>The Recovery Course, c/o Tonbridge Baptist Church, Tonbridge, Kent, United Kingdom.</w:t>
      </w:r>
    </w:p>
    <w:p w14:paraId="05707156" w14:textId="77777777" w:rsidR="00543012" w:rsidRPr="003B6AB3" w:rsidRDefault="00543012" w:rsidP="00543012">
      <w:pPr>
        <w:spacing w:line="480" w:lineRule="auto"/>
        <w:jc w:val="center"/>
        <w:rPr>
          <w:iCs/>
        </w:rPr>
      </w:pPr>
      <w:r w:rsidRPr="003B6AB3">
        <w:rPr>
          <w:iCs/>
          <w:vertAlign w:val="superscript"/>
        </w:rPr>
        <w:t>8</w:t>
      </w:r>
      <w:r w:rsidRPr="003B6AB3">
        <w:rPr>
          <w:iCs/>
        </w:rPr>
        <w:t xml:space="preserve"> Department of Psychology, Reykjavík University, Reykjavík, Iceland.</w:t>
      </w:r>
    </w:p>
    <w:p w14:paraId="40A077A7" w14:textId="6DA810E8" w:rsidR="00543012" w:rsidRDefault="00543012" w:rsidP="00316CF8">
      <w:pPr>
        <w:spacing w:line="480" w:lineRule="auto"/>
        <w:jc w:val="center"/>
        <w:rPr>
          <w:iCs/>
        </w:rPr>
      </w:pPr>
    </w:p>
    <w:p w14:paraId="639D7BFB" w14:textId="4E12FD29" w:rsidR="00543012" w:rsidRPr="00543012" w:rsidRDefault="00543012" w:rsidP="00316CF8">
      <w:pPr>
        <w:spacing w:line="480" w:lineRule="auto"/>
        <w:jc w:val="center"/>
        <w:rPr>
          <w:b/>
          <w:bCs/>
          <w:iCs/>
        </w:rPr>
      </w:pPr>
      <w:r w:rsidRPr="00543012">
        <w:rPr>
          <w:b/>
          <w:bCs/>
          <w:iCs/>
        </w:rPr>
        <w:t xml:space="preserve">ACCEPTED VERSION – </w:t>
      </w:r>
      <w:r w:rsidRPr="00543012">
        <w:rPr>
          <w:b/>
          <w:bCs/>
          <w:i/>
        </w:rPr>
        <w:t>International Gambling Studies</w:t>
      </w:r>
    </w:p>
    <w:p w14:paraId="609905AF" w14:textId="77777777" w:rsidR="003B6AB3" w:rsidRDefault="003B6AB3" w:rsidP="00316CF8">
      <w:pPr>
        <w:spacing w:line="480" w:lineRule="auto"/>
        <w:jc w:val="center"/>
        <w:rPr>
          <w:iCs/>
        </w:rPr>
      </w:pPr>
    </w:p>
    <w:p w14:paraId="70D1FBB1" w14:textId="77777777" w:rsidR="003B6AB3" w:rsidRPr="00A2430F" w:rsidRDefault="003B6AB3" w:rsidP="00316CF8">
      <w:pPr>
        <w:spacing w:line="480" w:lineRule="auto"/>
        <w:jc w:val="center"/>
        <w:rPr>
          <w:iCs/>
        </w:rPr>
      </w:pPr>
    </w:p>
    <w:p w14:paraId="5A2A6E0F" w14:textId="77777777" w:rsidR="00F43AE5" w:rsidRPr="00A2430F" w:rsidRDefault="00F43AE5" w:rsidP="001E63C2">
      <w:pPr>
        <w:spacing w:line="360" w:lineRule="auto"/>
        <w:jc w:val="center"/>
        <w:rPr>
          <w:iCs/>
        </w:rPr>
      </w:pPr>
    </w:p>
    <w:p w14:paraId="0B94B7CA" w14:textId="77777777" w:rsidR="007A65B6" w:rsidRPr="00A2430F" w:rsidRDefault="007A65B6">
      <w:pPr>
        <w:rPr>
          <w:b/>
          <w:bCs/>
          <w:iCs/>
        </w:rPr>
      </w:pPr>
      <w:r w:rsidRPr="00A2430F">
        <w:rPr>
          <w:b/>
          <w:bCs/>
          <w:iCs/>
        </w:rPr>
        <w:br w:type="page"/>
      </w:r>
    </w:p>
    <w:p w14:paraId="61671CE2" w14:textId="2447040E" w:rsidR="00483766" w:rsidRPr="00025D0E" w:rsidRDefault="00483766" w:rsidP="00025D0E">
      <w:pPr>
        <w:pStyle w:val="Heading1"/>
      </w:pPr>
      <w:r w:rsidRPr="00025D0E">
        <w:lastRenderedPageBreak/>
        <w:t>Abstract</w:t>
      </w:r>
    </w:p>
    <w:p w14:paraId="3160C365" w14:textId="78CE38FE" w:rsidR="007068C2" w:rsidRPr="00A2430F" w:rsidRDefault="009D5D7C" w:rsidP="002953A1">
      <w:pPr>
        <w:spacing w:line="480" w:lineRule="auto"/>
        <w:rPr>
          <w:iCs/>
        </w:rPr>
      </w:pPr>
      <w:r w:rsidRPr="00A2430F">
        <w:rPr>
          <w:iCs/>
        </w:rPr>
        <w:t xml:space="preserve">Military veterans </w:t>
      </w:r>
      <w:r w:rsidR="00C8367D" w:rsidRPr="00A2430F">
        <w:rPr>
          <w:iCs/>
        </w:rPr>
        <w:t>have</w:t>
      </w:r>
      <w:r w:rsidRPr="00A2430F">
        <w:rPr>
          <w:iCs/>
        </w:rPr>
        <w:t xml:space="preserve"> heightened vulnerability to problem gambling. </w:t>
      </w:r>
      <w:r w:rsidR="00932415" w:rsidRPr="00A2430F">
        <w:rPr>
          <w:iCs/>
        </w:rPr>
        <w:t>L</w:t>
      </w:r>
      <w:r w:rsidR="00A22278" w:rsidRPr="00A2430F">
        <w:rPr>
          <w:iCs/>
        </w:rPr>
        <w:t xml:space="preserve">ittle is known about </w:t>
      </w:r>
      <w:r w:rsidR="00235A2A" w:rsidRPr="00A2430F">
        <w:rPr>
          <w:iCs/>
        </w:rPr>
        <w:t xml:space="preserve">risk factors for </w:t>
      </w:r>
      <w:r w:rsidR="00A22278" w:rsidRPr="00A2430F">
        <w:rPr>
          <w:iCs/>
        </w:rPr>
        <w:t xml:space="preserve">problem gambling </w:t>
      </w:r>
      <w:r w:rsidR="009B4A6E" w:rsidRPr="00A2430F">
        <w:rPr>
          <w:iCs/>
        </w:rPr>
        <w:t>among</w:t>
      </w:r>
      <w:r w:rsidR="00A22278" w:rsidRPr="00A2430F">
        <w:rPr>
          <w:iCs/>
        </w:rPr>
        <w:t xml:space="preserve"> U</w:t>
      </w:r>
      <w:r w:rsidR="00DE4350" w:rsidRPr="00A2430F">
        <w:rPr>
          <w:iCs/>
        </w:rPr>
        <w:t xml:space="preserve">nited </w:t>
      </w:r>
      <w:r w:rsidR="00A22278" w:rsidRPr="00A2430F">
        <w:rPr>
          <w:iCs/>
        </w:rPr>
        <w:t>K</w:t>
      </w:r>
      <w:r w:rsidR="00DE4350" w:rsidRPr="00A2430F">
        <w:rPr>
          <w:iCs/>
        </w:rPr>
        <w:t>ingdom</w:t>
      </w:r>
      <w:r w:rsidR="00A22278" w:rsidRPr="00A2430F">
        <w:rPr>
          <w:iCs/>
        </w:rPr>
        <w:t xml:space="preserve"> </w:t>
      </w:r>
      <w:r w:rsidR="00EA1776" w:rsidRPr="00A2430F">
        <w:rPr>
          <w:iCs/>
        </w:rPr>
        <w:t xml:space="preserve">(UK) </w:t>
      </w:r>
      <w:r w:rsidR="002925C3" w:rsidRPr="00A2430F">
        <w:rPr>
          <w:iCs/>
        </w:rPr>
        <w:t xml:space="preserve">Armed Forces (AF) </w:t>
      </w:r>
      <w:r w:rsidR="00A22278" w:rsidRPr="00A2430F">
        <w:rPr>
          <w:iCs/>
        </w:rPr>
        <w:t xml:space="preserve">veterans. </w:t>
      </w:r>
      <w:r w:rsidR="00C8367D" w:rsidRPr="00A2430F">
        <w:rPr>
          <w:iCs/>
        </w:rPr>
        <w:t>We</w:t>
      </w:r>
      <w:r w:rsidR="00A22278" w:rsidRPr="00A2430F">
        <w:rPr>
          <w:iCs/>
        </w:rPr>
        <w:t xml:space="preserve"> examine</w:t>
      </w:r>
      <w:r w:rsidR="00DE4350" w:rsidRPr="00A2430F">
        <w:rPr>
          <w:iCs/>
        </w:rPr>
        <w:t>d</w:t>
      </w:r>
      <w:r w:rsidR="00A22278" w:rsidRPr="00A2430F">
        <w:rPr>
          <w:iCs/>
        </w:rPr>
        <w:t xml:space="preserve"> the association</w:t>
      </w:r>
      <w:r w:rsidR="00FE46CB">
        <w:rPr>
          <w:iCs/>
        </w:rPr>
        <w:t>s</w:t>
      </w:r>
      <w:r w:rsidR="00A22278" w:rsidRPr="00A2430F">
        <w:rPr>
          <w:iCs/>
        </w:rPr>
        <w:t xml:space="preserve"> between sociodemographic</w:t>
      </w:r>
      <w:r w:rsidR="00DB0946" w:rsidRPr="00A2430F">
        <w:rPr>
          <w:iCs/>
        </w:rPr>
        <w:t xml:space="preserve"> </w:t>
      </w:r>
      <w:r w:rsidR="003E7492" w:rsidRPr="00A2430F">
        <w:rPr>
          <w:iCs/>
        </w:rPr>
        <w:t>characteristics</w:t>
      </w:r>
      <w:r w:rsidR="00A22278" w:rsidRPr="00A2430F">
        <w:rPr>
          <w:iCs/>
        </w:rPr>
        <w:t>, military service</w:t>
      </w:r>
      <w:r w:rsidR="00DE4350" w:rsidRPr="00A2430F">
        <w:rPr>
          <w:iCs/>
        </w:rPr>
        <w:t>,</w:t>
      </w:r>
      <w:r w:rsidR="00A22278" w:rsidRPr="00A2430F">
        <w:rPr>
          <w:iCs/>
        </w:rPr>
        <w:t xml:space="preserve"> mental health</w:t>
      </w:r>
      <w:r w:rsidR="00C03F05" w:rsidRPr="00A2430F">
        <w:rPr>
          <w:iCs/>
        </w:rPr>
        <w:t>, and gambling activities and motivations</w:t>
      </w:r>
      <w:r w:rsidR="00A22278" w:rsidRPr="00A2430F">
        <w:rPr>
          <w:iCs/>
        </w:rPr>
        <w:t xml:space="preserve"> </w:t>
      </w:r>
      <w:r w:rsidR="00C03F05" w:rsidRPr="00A2430F">
        <w:rPr>
          <w:iCs/>
        </w:rPr>
        <w:t xml:space="preserve">as predictors of problem gambling in a sample of </w:t>
      </w:r>
      <w:r w:rsidR="00516557" w:rsidRPr="00A2430F">
        <w:rPr>
          <w:iCs/>
        </w:rPr>
        <w:t xml:space="preserve">UK </w:t>
      </w:r>
      <w:r w:rsidR="00BA37FD" w:rsidRPr="00A2430F">
        <w:rPr>
          <w:iCs/>
        </w:rPr>
        <w:t xml:space="preserve">AF </w:t>
      </w:r>
      <w:r w:rsidR="00516557" w:rsidRPr="00A2430F">
        <w:rPr>
          <w:iCs/>
        </w:rPr>
        <w:t>veterans</w:t>
      </w:r>
      <w:r w:rsidR="00A22278" w:rsidRPr="00A2430F">
        <w:rPr>
          <w:iCs/>
        </w:rPr>
        <w:t>. Age-and-gender matched samples of veterans (</w:t>
      </w:r>
      <w:r w:rsidR="00A22278" w:rsidRPr="00A2430F">
        <w:rPr>
          <w:i/>
        </w:rPr>
        <w:t>n</w:t>
      </w:r>
      <w:r w:rsidR="00A22278" w:rsidRPr="00A2430F">
        <w:rPr>
          <w:iCs/>
        </w:rPr>
        <w:t>=1</w:t>
      </w:r>
      <w:r w:rsidR="00235FEE">
        <w:rPr>
          <w:iCs/>
        </w:rPr>
        <w:t>,</w:t>
      </w:r>
      <w:r w:rsidR="00A22278" w:rsidRPr="00A2430F">
        <w:rPr>
          <w:iCs/>
        </w:rPr>
        <w:t>037) and non-veterans (</w:t>
      </w:r>
      <w:r w:rsidR="00A22278" w:rsidRPr="00A2430F">
        <w:rPr>
          <w:i/>
        </w:rPr>
        <w:t>n</w:t>
      </w:r>
      <w:r w:rsidR="00A22278" w:rsidRPr="00A2430F">
        <w:rPr>
          <w:iCs/>
        </w:rPr>
        <w:t>=1</w:t>
      </w:r>
      <w:r w:rsidR="00235FEE">
        <w:rPr>
          <w:iCs/>
        </w:rPr>
        <w:t>,</w:t>
      </w:r>
      <w:r w:rsidR="00A22278" w:rsidRPr="00A2430F">
        <w:rPr>
          <w:iCs/>
        </w:rPr>
        <w:t xml:space="preserve">148) completed </w:t>
      </w:r>
      <w:r w:rsidR="007211E4" w:rsidRPr="00A2430F">
        <w:rPr>
          <w:iCs/>
        </w:rPr>
        <w:t xml:space="preserve">an online survey </w:t>
      </w:r>
      <w:r w:rsidR="00A22278" w:rsidRPr="00A2430F">
        <w:rPr>
          <w:iCs/>
        </w:rPr>
        <w:t xml:space="preserve">of </w:t>
      </w:r>
      <w:r w:rsidR="003D791A" w:rsidRPr="00A2430F">
        <w:rPr>
          <w:iCs/>
        </w:rPr>
        <w:t xml:space="preserve">problem gambling, </w:t>
      </w:r>
      <w:r w:rsidR="0015092F" w:rsidRPr="00A2430F">
        <w:rPr>
          <w:iCs/>
        </w:rPr>
        <w:t xml:space="preserve">gambling motivation, </w:t>
      </w:r>
      <w:r w:rsidR="000B42A1">
        <w:rPr>
          <w:iCs/>
        </w:rPr>
        <w:t>mental health (</w:t>
      </w:r>
      <w:r w:rsidR="00A22278" w:rsidRPr="00A2430F">
        <w:rPr>
          <w:iCs/>
        </w:rPr>
        <w:t>depression</w:t>
      </w:r>
      <w:r w:rsidR="000B42A1">
        <w:rPr>
          <w:iCs/>
        </w:rPr>
        <w:t xml:space="preserve"> and </w:t>
      </w:r>
      <w:r w:rsidR="00A22278" w:rsidRPr="00A2430F">
        <w:rPr>
          <w:iCs/>
        </w:rPr>
        <w:t>anxiety</w:t>
      </w:r>
      <w:r w:rsidR="000B42A1">
        <w:rPr>
          <w:iCs/>
        </w:rPr>
        <w:t>)</w:t>
      </w:r>
      <w:r w:rsidR="00A22278" w:rsidRPr="00A2430F">
        <w:rPr>
          <w:iCs/>
        </w:rPr>
        <w:t xml:space="preserve">, </w:t>
      </w:r>
      <w:r w:rsidR="005C010D" w:rsidRPr="00A2430F">
        <w:rPr>
          <w:iCs/>
        </w:rPr>
        <w:t xml:space="preserve">and </w:t>
      </w:r>
      <w:r w:rsidR="00A22278" w:rsidRPr="00A2430F">
        <w:rPr>
          <w:iCs/>
        </w:rPr>
        <w:t xml:space="preserve">posttraumatic stress disorder (PTSD). </w:t>
      </w:r>
      <w:r w:rsidR="009F25ED" w:rsidRPr="00A2430F">
        <w:rPr>
          <w:iCs/>
        </w:rPr>
        <w:t>Past year p</w:t>
      </w:r>
      <w:r w:rsidR="00D14A99" w:rsidRPr="00A2430F">
        <w:rPr>
          <w:iCs/>
        </w:rPr>
        <w:t>roblem g</w:t>
      </w:r>
      <w:r w:rsidR="00A22278" w:rsidRPr="00A2430F">
        <w:rPr>
          <w:iCs/>
        </w:rPr>
        <w:t xml:space="preserve">ambling </w:t>
      </w:r>
      <w:r w:rsidR="00BF4F20" w:rsidRPr="00A2430F">
        <w:rPr>
          <w:iCs/>
        </w:rPr>
        <w:t xml:space="preserve">rates </w:t>
      </w:r>
      <w:r w:rsidR="00D14A99" w:rsidRPr="00A2430F">
        <w:rPr>
          <w:iCs/>
        </w:rPr>
        <w:t xml:space="preserve">were higher </w:t>
      </w:r>
      <w:r w:rsidR="00A22278" w:rsidRPr="00A2430F">
        <w:rPr>
          <w:iCs/>
        </w:rPr>
        <w:t>in veterans</w:t>
      </w:r>
      <w:r w:rsidR="00006788" w:rsidRPr="00A2430F">
        <w:rPr>
          <w:iCs/>
        </w:rPr>
        <w:t xml:space="preserve"> </w:t>
      </w:r>
      <w:r w:rsidR="00A22278" w:rsidRPr="00A2430F">
        <w:rPr>
          <w:iCs/>
        </w:rPr>
        <w:t>compared to non-veterans.</w:t>
      </w:r>
      <w:r w:rsidR="005F5C57" w:rsidRPr="00A2430F">
        <w:rPr>
          <w:iCs/>
        </w:rPr>
        <w:t xml:space="preserve"> </w:t>
      </w:r>
      <w:r w:rsidR="00667F73">
        <w:rPr>
          <w:iCs/>
        </w:rPr>
        <w:t>V</w:t>
      </w:r>
      <w:r w:rsidR="00D14A99" w:rsidRPr="00A2430F">
        <w:rPr>
          <w:iCs/>
        </w:rPr>
        <w:t xml:space="preserve">eteran status predicted </w:t>
      </w:r>
      <w:r w:rsidR="00A22278" w:rsidRPr="00A2430F">
        <w:rPr>
          <w:iCs/>
        </w:rPr>
        <w:t xml:space="preserve">increased </w:t>
      </w:r>
      <w:r w:rsidR="00D14A99" w:rsidRPr="00A2430F">
        <w:rPr>
          <w:iCs/>
        </w:rPr>
        <w:t xml:space="preserve">problem </w:t>
      </w:r>
      <w:r w:rsidR="00A22278" w:rsidRPr="00A2430F">
        <w:rPr>
          <w:iCs/>
        </w:rPr>
        <w:t>gambling</w:t>
      </w:r>
      <w:r w:rsidR="009F25ED" w:rsidRPr="00A2430F">
        <w:rPr>
          <w:iCs/>
        </w:rPr>
        <w:t xml:space="preserve"> risk</w:t>
      </w:r>
      <w:r w:rsidR="00A22278" w:rsidRPr="00A2430F">
        <w:rPr>
          <w:iCs/>
        </w:rPr>
        <w:t xml:space="preserve">. </w:t>
      </w:r>
      <w:r w:rsidR="00FE46CB">
        <w:rPr>
          <w:iCs/>
        </w:rPr>
        <w:t>The relationship between p</w:t>
      </w:r>
      <w:r w:rsidR="00D14A99" w:rsidRPr="00A2430F">
        <w:rPr>
          <w:iCs/>
        </w:rPr>
        <w:t>roblem g</w:t>
      </w:r>
      <w:r w:rsidR="00A22278" w:rsidRPr="00A2430F">
        <w:rPr>
          <w:iCs/>
        </w:rPr>
        <w:t xml:space="preserve">ambling </w:t>
      </w:r>
      <w:r w:rsidR="00FE46CB">
        <w:rPr>
          <w:iCs/>
        </w:rPr>
        <w:t xml:space="preserve">and gambling to cope with </w:t>
      </w:r>
      <w:r w:rsidR="00B1373A">
        <w:rPr>
          <w:iCs/>
        </w:rPr>
        <w:t>di</w:t>
      </w:r>
      <w:r w:rsidR="00FE46CB">
        <w:rPr>
          <w:iCs/>
        </w:rPr>
        <w:t xml:space="preserve">stress </w:t>
      </w:r>
      <w:r w:rsidR="00A22278" w:rsidRPr="00A2430F">
        <w:rPr>
          <w:iCs/>
        </w:rPr>
        <w:t xml:space="preserve">was significantly </w:t>
      </w:r>
      <w:r w:rsidR="00FE46CB">
        <w:rPr>
          <w:iCs/>
        </w:rPr>
        <w:t>stronger among veterans</w:t>
      </w:r>
      <w:r w:rsidR="00A22278" w:rsidRPr="00A2430F">
        <w:rPr>
          <w:iCs/>
        </w:rPr>
        <w:t xml:space="preserve">. Veterans experiencing PTSD and </w:t>
      </w:r>
      <w:r w:rsidR="0012567C" w:rsidRPr="00A2430F">
        <w:rPr>
          <w:iCs/>
        </w:rPr>
        <w:t xml:space="preserve">complex </w:t>
      </w:r>
      <w:r w:rsidR="00A22278" w:rsidRPr="00A2430F">
        <w:rPr>
          <w:iCs/>
        </w:rPr>
        <w:t>PTSD</w:t>
      </w:r>
      <w:r w:rsidR="0012567C" w:rsidRPr="00A2430F">
        <w:rPr>
          <w:iCs/>
        </w:rPr>
        <w:t xml:space="preserve"> (C</w:t>
      </w:r>
      <w:r w:rsidR="006300CF" w:rsidRPr="00A2430F">
        <w:rPr>
          <w:iCs/>
        </w:rPr>
        <w:t>-</w:t>
      </w:r>
      <w:r w:rsidR="0012567C" w:rsidRPr="00A2430F">
        <w:rPr>
          <w:iCs/>
        </w:rPr>
        <w:t>PTSD) were at increased risk of problem gambling</w:t>
      </w:r>
      <w:r w:rsidR="00A22278" w:rsidRPr="00A2430F">
        <w:rPr>
          <w:iCs/>
        </w:rPr>
        <w:t xml:space="preserve">. </w:t>
      </w:r>
      <w:r w:rsidR="00296261" w:rsidRPr="00A2430F">
        <w:rPr>
          <w:iCs/>
        </w:rPr>
        <w:t xml:space="preserve">Overall, </w:t>
      </w:r>
      <w:r w:rsidR="003B0685">
        <w:rPr>
          <w:iCs/>
        </w:rPr>
        <w:t>the present</w:t>
      </w:r>
      <w:r w:rsidR="00D2032A">
        <w:rPr>
          <w:iCs/>
        </w:rPr>
        <w:t xml:space="preserve">, </w:t>
      </w:r>
      <w:r w:rsidR="003B0685">
        <w:rPr>
          <w:iCs/>
        </w:rPr>
        <w:t>large</w:t>
      </w:r>
      <w:r w:rsidR="00374DF8">
        <w:rPr>
          <w:iCs/>
        </w:rPr>
        <w:t xml:space="preserve"> sample-size </w:t>
      </w:r>
      <w:r w:rsidR="003B0685">
        <w:rPr>
          <w:iCs/>
        </w:rPr>
        <w:t>survey of</w:t>
      </w:r>
      <w:r w:rsidR="008112A6">
        <w:rPr>
          <w:iCs/>
        </w:rPr>
        <w:t xml:space="preserve"> </w:t>
      </w:r>
      <w:r w:rsidR="0012567C" w:rsidRPr="00A2430F">
        <w:rPr>
          <w:iCs/>
        </w:rPr>
        <w:t xml:space="preserve">UK </w:t>
      </w:r>
      <w:r w:rsidR="00062617" w:rsidRPr="00A2430F">
        <w:rPr>
          <w:iCs/>
        </w:rPr>
        <w:t xml:space="preserve">AF </w:t>
      </w:r>
      <w:r w:rsidR="00A22278" w:rsidRPr="00A2430F">
        <w:rPr>
          <w:iCs/>
        </w:rPr>
        <w:t xml:space="preserve">veterans </w:t>
      </w:r>
      <w:r w:rsidR="00A05710">
        <w:rPr>
          <w:iCs/>
        </w:rPr>
        <w:t>contributes further</w:t>
      </w:r>
      <w:r w:rsidR="001425D3">
        <w:rPr>
          <w:iCs/>
        </w:rPr>
        <w:t xml:space="preserve"> </w:t>
      </w:r>
      <w:r w:rsidR="003B0685">
        <w:rPr>
          <w:iCs/>
        </w:rPr>
        <w:t xml:space="preserve">international evidence that veterans </w:t>
      </w:r>
      <w:r w:rsidR="00A22278" w:rsidRPr="00A2430F">
        <w:rPr>
          <w:iCs/>
        </w:rPr>
        <w:t xml:space="preserve">are </w:t>
      </w:r>
      <w:r w:rsidR="00E44BAB">
        <w:rPr>
          <w:iCs/>
        </w:rPr>
        <w:t xml:space="preserve">a </w:t>
      </w:r>
      <w:r w:rsidR="00C52513">
        <w:rPr>
          <w:iCs/>
        </w:rPr>
        <w:t xml:space="preserve">population vulnerable to </w:t>
      </w:r>
      <w:r w:rsidR="00A22278" w:rsidRPr="00A2430F">
        <w:rPr>
          <w:iCs/>
        </w:rPr>
        <w:t xml:space="preserve">problem gambling. </w:t>
      </w:r>
      <w:r w:rsidR="0012567C" w:rsidRPr="00A2430F">
        <w:rPr>
          <w:iCs/>
        </w:rPr>
        <w:t>V</w:t>
      </w:r>
      <w:r w:rsidR="00A22278" w:rsidRPr="00A2430F">
        <w:rPr>
          <w:iCs/>
        </w:rPr>
        <w:t xml:space="preserve">eterans </w:t>
      </w:r>
      <w:r w:rsidR="0012567C" w:rsidRPr="00A2430F">
        <w:rPr>
          <w:iCs/>
        </w:rPr>
        <w:t xml:space="preserve">with </w:t>
      </w:r>
      <w:r w:rsidR="00A22278" w:rsidRPr="00A2430F">
        <w:rPr>
          <w:iCs/>
        </w:rPr>
        <w:t xml:space="preserve">PTSD </w:t>
      </w:r>
      <w:r w:rsidR="003E762F">
        <w:rPr>
          <w:iCs/>
        </w:rPr>
        <w:t>or</w:t>
      </w:r>
      <w:r w:rsidR="003E762F" w:rsidRPr="00A2430F">
        <w:rPr>
          <w:iCs/>
        </w:rPr>
        <w:t xml:space="preserve"> </w:t>
      </w:r>
      <w:r w:rsidR="00A22278" w:rsidRPr="00A2430F">
        <w:rPr>
          <w:iCs/>
        </w:rPr>
        <w:t>C</w:t>
      </w:r>
      <w:r w:rsidR="006300CF" w:rsidRPr="00A2430F">
        <w:rPr>
          <w:iCs/>
        </w:rPr>
        <w:t>-</w:t>
      </w:r>
      <w:r w:rsidR="00A22278" w:rsidRPr="00A2430F">
        <w:rPr>
          <w:iCs/>
        </w:rPr>
        <w:t>PTSD are most at</w:t>
      </w:r>
      <w:r w:rsidR="00A75B67">
        <w:rPr>
          <w:iCs/>
        </w:rPr>
        <w:t>-</w:t>
      </w:r>
      <w:r w:rsidR="00A22278" w:rsidRPr="00A2430F">
        <w:rPr>
          <w:iCs/>
        </w:rPr>
        <w:t xml:space="preserve">risk and </w:t>
      </w:r>
      <w:r w:rsidR="00432CBD" w:rsidRPr="00A2430F">
        <w:rPr>
          <w:iCs/>
        </w:rPr>
        <w:t xml:space="preserve">may </w:t>
      </w:r>
      <w:r w:rsidR="0012567C" w:rsidRPr="00A2430F">
        <w:rPr>
          <w:iCs/>
        </w:rPr>
        <w:t xml:space="preserve">engage in problematic gambling </w:t>
      </w:r>
      <w:r w:rsidR="00A22278" w:rsidRPr="00A2430F">
        <w:rPr>
          <w:iCs/>
        </w:rPr>
        <w:t xml:space="preserve">to </w:t>
      </w:r>
      <w:r w:rsidR="0012567C" w:rsidRPr="00A2430F">
        <w:rPr>
          <w:iCs/>
        </w:rPr>
        <w:t>escape/</w:t>
      </w:r>
      <w:r w:rsidR="00A22278" w:rsidRPr="00A2430F">
        <w:rPr>
          <w:iCs/>
        </w:rPr>
        <w:t>avoid</w:t>
      </w:r>
      <w:r w:rsidR="00432CBD" w:rsidRPr="00A2430F">
        <w:rPr>
          <w:iCs/>
        </w:rPr>
        <w:t xml:space="preserve"> distress</w:t>
      </w:r>
      <w:r w:rsidR="00A22278" w:rsidRPr="00A2430F">
        <w:rPr>
          <w:iCs/>
        </w:rPr>
        <w:t xml:space="preserve">. </w:t>
      </w:r>
      <w:r w:rsidR="00482023">
        <w:rPr>
          <w:iCs/>
        </w:rPr>
        <w:t>R</w:t>
      </w:r>
      <w:r w:rsidR="00E50C5F" w:rsidRPr="00A2430F">
        <w:rPr>
          <w:iCs/>
        </w:rPr>
        <w:t>outine s</w:t>
      </w:r>
      <w:r w:rsidR="00A22278" w:rsidRPr="00A2430F">
        <w:rPr>
          <w:iCs/>
        </w:rPr>
        <w:t xml:space="preserve">creening </w:t>
      </w:r>
      <w:r w:rsidR="00030BEC" w:rsidRPr="00A2430F">
        <w:rPr>
          <w:iCs/>
        </w:rPr>
        <w:t xml:space="preserve">for </w:t>
      </w:r>
      <w:r w:rsidR="00A22278" w:rsidRPr="00A2430F">
        <w:rPr>
          <w:iCs/>
        </w:rPr>
        <w:t xml:space="preserve">gambling </w:t>
      </w:r>
      <w:r w:rsidR="00222ECA">
        <w:rPr>
          <w:iCs/>
        </w:rPr>
        <w:t xml:space="preserve">problems </w:t>
      </w:r>
      <w:r w:rsidR="0051409F">
        <w:rPr>
          <w:iCs/>
        </w:rPr>
        <w:t xml:space="preserve">should </w:t>
      </w:r>
      <w:r w:rsidR="00A22278" w:rsidRPr="00A2430F">
        <w:rPr>
          <w:iCs/>
        </w:rPr>
        <w:t xml:space="preserve">be undertaken </w:t>
      </w:r>
      <w:r w:rsidR="00D7406B" w:rsidRPr="00A2430F">
        <w:rPr>
          <w:iCs/>
        </w:rPr>
        <w:t xml:space="preserve">with </w:t>
      </w:r>
      <w:r w:rsidR="00D738EF">
        <w:rPr>
          <w:iCs/>
        </w:rPr>
        <w:t xml:space="preserve">current and former </w:t>
      </w:r>
      <w:r w:rsidR="00FD5E07">
        <w:rPr>
          <w:iCs/>
        </w:rPr>
        <w:t>military</w:t>
      </w:r>
      <w:r w:rsidR="00030BEC" w:rsidRPr="00A2430F">
        <w:rPr>
          <w:iCs/>
        </w:rPr>
        <w:t xml:space="preserve"> </w:t>
      </w:r>
      <w:r w:rsidR="006F4FE4" w:rsidRPr="00A2430F">
        <w:rPr>
          <w:iCs/>
        </w:rPr>
        <w:t>personnel</w:t>
      </w:r>
      <w:r w:rsidR="00222ECA">
        <w:rPr>
          <w:iCs/>
        </w:rPr>
        <w:t>, and further research is needed on the interplay between gambling motivation and veterans’ mental health</w:t>
      </w:r>
      <w:r w:rsidR="00660BA2">
        <w:rPr>
          <w:iCs/>
        </w:rPr>
        <w:t xml:space="preserve">. </w:t>
      </w:r>
    </w:p>
    <w:p w14:paraId="1D02B892" w14:textId="79957A36" w:rsidR="00483766" w:rsidRPr="00A2430F" w:rsidRDefault="007068C2" w:rsidP="0051552A">
      <w:pPr>
        <w:spacing w:line="480" w:lineRule="auto"/>
        <w:ind w:firstLine="720"/>
        <w:rPr>
          <w:iCs/>
        </w:rPr>
      </w:pPr>
      <w:r w:rsidRPr="00A2430F">
        <w:rPr>
          <w:i/>
        </w:rPr>
        <w:t>Keywords</w:t>
      </w:r>
      <w:r w:rsidRPr="00A2430F">
        <w:rPr>
          <w:iCs/>
        </w:rPr>
        <w:t>:</w:t>
      </w:r>
      <w:r w:rsidR="0051552A" w:rsidRPr="00A2430F">
        <w:rPr>
          <w:iCs/>
        </w:rPr>
        <w:t xml:space="preserve"> gambling; veterans; mental health; trauma; </w:t>
      </w:r>
      <w:r w:rsidR="00815143" w:rsidRPr="00A2430F">
        <w:rPr>
          <w:iCs/>
        </w:rPr>
        <w:t xml:space="preserve">motivation; </w:t>
      </w:r>
      <w:r w:rsidR="0051552A" w:rsidRPr="00A2430F">
        <w:rPr>
          <w:iCs/>
        </w:rPr>
        <w:t>escape</w:t>
      </w:r>
      <w:r w:rsidR="005263D8" w:rsidRPr="00A2430F">
        <w:rPr>
          <w:iCs/>
        </w:rPr>
        <w:t>/avoidance</w:t>
      </w:r>
      <w:r w:rsidR="00483766" w:rsidRPr="00A2430F">
        <w:rPr>
          <w:b/>
          <w:bCs/>
          <w:iCs/>
        </w:rPr>
        <w:br w:type="page"/>
      </w:r>
    </w:p>
    <w:p w14:paraId="7815B92A" w14:textId="77777777" w:rsidR="003E5FC4" w:rsidRPr="00025D0E" w:rsidRDefault="003E5FC4" w:rsidP="00025D0E">
      <w:pPr>
        <w:pStyle w:val="Heading1"/>
      </w:pPr>
      <w:r w:rsidRPr="00025D0E">
        <w:lastRenderedPageBreak/>
        <w:t>Introduction</w:t>
      </w:r>
    </w:p>
    <w:p w14:paraId="746D772B" w14:textId="78DB2E26" w:rsidR="003E5FC4" w:rsidRPr="00A2430F" w:rsidRDefault="003E5FC4" w:rsidP="003E5FC4">
      <w:pPr>
        <w:spacing w:line="480" w:lineRule="auto"/>
        <w:ind w:firstLine="720"/>
      </w:pPr>
      <w:r w:rsidRPr="00A2430F">
        <w:t xml:space="preserve">Gambling </w:t>
      </w:r>
      <w:r w:rsidR="00AA6798" w:rsidRPr="00A2430F">
        <w:t xml:space="preserve">is an addictive behaviour </w:t>
      </w:r>
      <w:r w:rsidRPr="00A2430F">
        <w:t>characterised by recurrent, problematic patterns of gambling lead</w:t>
      </w:r>
      <w:r w:rsidR="00AA6798" w:rsidRPr="00A2430F">
        <w:t>ing</w:t>
      </w:r>
      <w:r w:rsidRPr="00A2430F">
        <w:t xml:space="preserve"> to significant harm across several life domains</w:t>
      </w:r>
      <w:r w:rsidR="00303A9D">
        <w:t xml:space="preserve"> (</w:t>
      </w:r>
      <w:r w:rsidR="00303A9D" w:rsidRPr="00A2430F">
        <w:rPr>
          <w:noProof/>
          <w:color w:val="000000"/>
        </w:rPr>
        <w:t>American Psychiatric Association</w:t>
      </w:r>
      <w:r w:rsidR="00303A9D">
        <w:rPr>
          <w:noProof/>
          <w:color w:val="000000"/>
        </w:rPr>
        <w:t>, 2013)</w:t>
      </w:r>
      <w:r w:rsidRPr="00A2430F">
        <w:t xml:space="preserve">. </w:t>
      </w:r>
      <w:r w:rsidR="00AA6798" w:rsidRPr="00A2430F">
        <w:t xml:space="preserve">Gambling problems often fall along a continuum from clinically significant levels of </w:t>
      </w:r>
      <w:r w:rsidR="007A2E76" w:rsidRPr="00A2430F">
        <w:t>severity</w:t>
      </w:r>
      <w:r w:rsidR="00AA6798" w:rsidRPr="00A2430F">
        <w:t xml:space="preserve"> </w:t>
      </w:r>
      <w:r w:rsidR="001B3A7D" w:rsidRPr="00A2430F">
        <w:t xml:space="preserve">ranging from </w:t>
      </w:r>
      <w:r w:rsidR="007A2E76" w:rsidRPr="00A2430F">
        <w:t>what is termed,</w:t>
      </w:r>
      <w:r w:rsidR="00AA6798" w:rsidRPr="00A2430F">
        <w:t xml:space="preserve"> ‘problem gambling’</w:t>
      </w:r>
      <w:r w:rsidR="007A2E76" w:rsidRPr="00A2430F">
        <w:t>,</w:t>
      </w:r>
      <w:r w:rsidR="00AA6798" w:rsidRPr="00A2430F">
        <w:t xml:space="preserve"> to </w:t>
      </w:r>
      <w:r w:rsidRPr="00A2430F">
        <w:t>sub</w:t>
      </w:r>
      <w:r w:rsidR="00AA6798" w:rsidRPr="00A2430F">
        <w:t xml:space="preserve">clinical, problematic behaviours involving some </w:t>
      </w:r>
      <w:r w:rsidR="007A2E76" w:rsidRPr="00A2430F">
        <w:t xml:space="preserve">degree of </w:t>
      </w:r>
      <w:r w:rsidR="00AA6798" w:rsidRPr="00A2430F">
        <w:t xml:space="preserve">harm </w:t>
      </w:r>
      <w:r w:rsidRPr="00A2430F">
        <w:t xml:space="preserve">referred to as </w:t>
      </w:r>
      <w:r w:rsidR="001B3A7D" w:rsidRPr="00A2430F">
        <w:t>‘</w:t>
      </w:r>
      <w:r w:rsidR="00AA6798" w:rsidRPr="00A2430F">
        <w:t>low-risk</w:t>
      </w:r>
      <w:r w:rsidR="001B3A7D" w:rsidRPr="00A2430F">
        <w:t>’</w:t>
      </w:r>
      <w:r w:rsidR="00AA6798" w:rsidRPr="00A2430F">
        <w:t xml:space="preserve">, </w:t>
      </w:r>
      <w:r w:rsidR="001B3A7D" w:rsidRPr="00A2430F">
        <w:t>‘</w:t>
      </w:r>
      <w:r w:rsidR="00AA6798" w:rsidRPr="00A2430F">
        <w:t>moderate-risk</w:t>
      </w:r>
      <w:r w:rsidR="001B3A7D" w:rsidRPr="00A2430F">
        <w:t>’</w:t>
      </w:r>
      <w:r w:rsidR="00AA6798" w:rsidRPr="00A2430F">
        <w:t xml:space="preserve">, </w:t>
      </w:r>
      <w:r w:rsidRPr="00A2430F">
        <w:t xml:space="preserve">or ‘at-risk gambling’ </w:t>
      </w:r>
      <w:r w:rsidR="00303A9D">
        <w:t>(Wardle et al., 2019)</w:t>
      </w:r>
      <w:r w:rsidRPr="00A2430F">
        <w:t xml:space="preserve">. </w:t>
      </w:r>
    </w:p>
    <w:p w14:paraId="79EA4BF7" w14:textId="0D41A90D" w:rsidR="00B157AA" w:rsidRDefault="003E5FC4" w:rsidP="00F82641">
      <w:pPr>
        <w:spacing w:line="480" w:lineRule="auto"/>
        <w:ind w:firstLine="720"/>
        <w:rPr>
          <w:color w:val="000000"/>
        </w:rPr>
      </w:pPr>
      <w:r w:rsidRPr="00A2430F">
        <w:t xml:space="preserve">Increasing evidence highlights vulnerable populations at heightened risk of gambling </w:t>
      </w:r>
      <w:r w:rsidR="00B4291E" w:rsidRPr="00A2430F">
        <w:t xml:space="preserve">problems </w:t>
      </w:r>
      <w:r w:rsidRPr="00A2430F">
        <w:t>such as currently serving military personnel</w:t>
      </w:r>
      <w:r w:rsidR="00A65376">
        <w:t xml:space="preserve"> (Cowlishaw et al., 2020; van der Maas &amp; Nower, 2021) </w:t>
      </w:r>
      <w:r w:rsidRPr="00A2430F">
        <w:t>and Armed Forces (AF) veterans</w:t>
      </w:r>
      <w:r w:rsidR="00A65376">
        <w:t xml:space="preserve"> (Etuk et al., 2020; Sharman et al., 2019)</w:t>
      </w:r>
      <w:r w:rsidRPr="00A2430F">
        <w:t xml:space="preserve">. </w:t>
      </w:r>
      <w:r w:rsidRPr="00A2430F">
        <w:rPr>
          <w:color w:val="000000" w:themeColor="text1"/>
        </w:rPr>
        <w:t xml:space="preserve">International rates of lifetime problem gambling in veterans </w:t>
      </w:r>
      <w:r w:rsidR="006D3F6E" w:rsidRPr="00A2430F">
        <w:rPr>
          <w:color w:val="000000" w:themeColor="text1"/>
        </w:rPr>
        <w:t xml:space="preserve">from jurisdictions with different gambling environments such as the </w:t>
      </w:r>
      <w:r w:rsidR="003C6077" w:rsidRPr="00A2430F">
        <w:rPr>
          <w:color w:val="000000" w:themeColor="text1"/>
        </w:rPr>
        <w:t>United States of America (</w:t>
      </w:r>
      <w:r w:rsidR="006D3F6E" w:rsidRPr="00A2430F">
        <w:rPr>
          <w:color w:val="000000" w:themeColor="text1"/>
        </w:rPr>
        <w:t>US</w:t>
      </w:r>
      <w:r w:rsidR="003C6077" w:rsidRPr="00A2430F">
        <w:rPr>
          <w:color w:val="000000" w:themeColor="text1"/>
        </w:rPr>
        <w:t>A)</w:t>
      </w:r>
      <w:r w:rsidR="006D3F6E" w:rsidRPr="00A2430F">
        <w:rPr>
          <w:color w:val="000000" w:themeColor="text1"/>
        </w:rPr>
        <w:t xml:space="preserve">, </w:t>
      </w:r>
      <w:r w:rsidR="0063391E" w:rsidRPr="00A2430F">
        <w:rPr>
          <w:color w:val="000000" w:themeColor="text1"/>
        </w:rPr>
        <w:t>United Kingdom (</w:t>
      </w:r>
      <w:r w:rsidR="006D3F6E" w:rsidRPr="00A2430F">
        <w:rPr>
          <w:color w:val="000000" w:themeColor="text1"/>
        </w:rPr>
        <w:t>UK</w:t>
      </w:r>
      <w:r w:rsidR="0063391E" w:rsidRPr="00A2430F">
        <w:rPr>
          <w:color w:val="000000" w:themeColor="text1"/>
        </w:rPr>
        <w:t>)</w:t>
      </w:r>
      <w:r w:rsidR="006D3F6E" w:rsidRPr="00A2430F">
        <w:rPr>
          <w:color w:val="000000" w:themeColor="text1"/>
        </w:rPr>
        <w:t>, and Austra</w:t>
      </w:r>
      <w:r w:rsidR="007B0DAA" w:rsidRPr="00A2430F">
        <w:rPr>
          <w:color w:val="000000" w:themeColor="text1"/>
        </w:rPr>
        <w:t xml:space="preserve">lia </w:t>
      </w:r>
      <w:r w:rsidRPr="00A2430F">
        <w:rPr>
          <w:color w:val="000000" w:themeColor="text1"/>
        </w:rPr>
        <w:t xml:space="preserve">range between 2% and 29%, considerably higher than the general population </w:t>
      </w:r>
      <w:r w:rsidR="00B532EC">
        <w:rPr>
          <w:color w:val="000000" w:themeColor="text1"/>
        </w:rPr>
        <w:t>(Etuk et al., 2020; Levy &amp; Tracy, 2018; Paterson et al., 202</w:t>
      </w:r>
      <w:r w:rsidR="00F82641">
        <w:rPr>
          <w:color w:val="000000" w:themeColor="text1"/>
        </w:rPr>
        <w:t>1</w:t>
      </w:r>
      <w:r w:rsidR="00B532EC">
        <w:rPr>
          <w:color w:val="000000" w:themeColor="text1"/>
        </w:rPr>
        <w:t xml:space="preserve">; </w:t>
      </w:r>
      <w:r w:rsidR="00B532EC">
        <w:t>van der Maas &amp; Nower, 2021)</w:t>
      </w:r>
      <w:r w:rsidRPr="00A2430F">
        <w:rPr>
          <w:color w:val="000000" w:themeColor="text1"/>
        </w:rPr>
        <w:t xml:space="preserve">. </w:t>
      </w:r>
      <w:r w:rsidR="00C94EE3">
        <w:rPr>
          <w:color w:val="000000"/>
        </w:rPr>
        <w:t>A</w:t>
      </w:r>
      <w:r w:rsidR="00B157AA" w:rsidRPr="00A2430F">
        <w:rPr>
          <w:color w:val="000000"/>
        </w:rPr>
        <w:t>nalysis of a</w:t>
      </w:r>
      <w:r w:rsidR="005755BC">
        <w:rPr>
          <w:color w:val="000000"/>
        </w:rPr>
        <w:t xml:space="preserve"> </w:t>
      </w:r>
      <w:r w:rsidR="00B157AA" w:rsidRPr="00A2430F">
        <w:rPr>
          <w:color w:val="000000"/>
        </w:rPr>
        <w:t>large national household survey</w:t>
      </w:r>
      <w:r w:rsidR="003D697E">
        <w:rPr>
          <w:color w:val="000000"/>
        </w:rPr>
        <w:t xml:space="preserve"> dataset</w:t>
      </w:r>
      <w:r w:rsidR="00B157AA" w:rsidRPr="00A2430F">
        <w:rPr>
          <w:color w:val="000000"/>
        </w:rPr>
        <w:t xml:space="preserve"> (the </w:t>
      </w:r>
      <w:r w:rsidR="00B157AA" w:rsidRPr="00A2430F">
        <w:rPr>
          <w:i/>
          <w:iCs/>
          <w:color w:val="000000"/>
        </w:rPr>
        <w:t>Adult Psychiatric Morbidity Survey 2007</w:t>
      </w:r>
      <w:r w:rsidR="00B157AA" w:rsidRPr="00A2430F">
        <w:rPr>
          <w:color w:val="000000"/>
        </w:rPr>
        <w:t>)</w:t>
      </w:r>
      <w:r w:rsidR="00597211">
        <w:rPr>
          <w:color w:val="000000"/>
        </w:rPr>
        <w:t xml:space="preserve"> from the UK</w:t>
      </w:r>
      <w:r w:rsidR="00B157AA" w:rsidRPr="00A2430F">
        <w:rPr>
          <w:i/>
          <w:iCs/>
          <w:color w:val="000000"/>
        </w:rPr>
        <w:t xml:space="preserve"> </w:t>
      </w:r>
      <w:r w:rsidR="00B157AA" w:rsidRPr="00A2430F">
        <w:rPr>
          <w:color w:val="000000"/>
        </w:rPr>
        <w:t>identified that community-dwelling veterans were up to 8 times more likely to experience problem gambling than non-veterans</w:t>
      </w:r>
      <w:r w:rsidR="00B157AA">
        <w:rPr>
          <w:color w:val="000000"/>
        </w:rPr>
        <w:t xml:space="preserve"> (Dighton et al., 2018; Roberts et al., 2019)</w:t>
      </w:r>
      <w:r w:rsidR="00B157AA" w:rsidRPr="00A2430F">
        <w:rPr>
          <w:color w:val="000000"/>
        </w:rPr>
        <w:t xml:space="preserve">. This relationship was not explained by differences in mental health conditions, substance use, or financial management. </w:t>
      </w:r>
    </w:p>
    <w:p w14:paraId="1F05E564" w14:textId="0D45E945" w:rsidR="003E5FC4" w:rsidRPr="00124176" w:rsidRDefault="007C3296" w:rsidP="00114DC7">
      <w:pPr>
        <w:spacing w:line="480" w:lineRule="auto"/>
        <w:ind w:firstLine="720"/>
      </w:pPr>
      <w:r w:rsidRPr="00A2430F">
        <w:rPr>
          <w:color w:val="000000" w:themeColor="text1"/>
        </w:rPr>
        <w:t xml:space="preserve">While the availability of differing opportunities to gamble is likely to impact estimated rates of problem gambling, such </w:t>
      </w:r>
      <w:r w:rsidR="003E5FC4" w:rsidRPr="00A2430F">
        <w:rPr>
          <w:color w:val="000000" w:themeColor="text1"/>
        </w:rPr>
        <w:t xml:space="preserve">problems frequently co-occur with common mental health disorders that disproportionately affect veterans relative to non-veterans </w:t>
      </w:r>
      <w:r w:rsidR="00CF7FC4">
        <w:rPr>
          <w:color w:val="000000" w:themeColor="text1"/>
        </w:rPr>
        <w:t>(Ahern et al., 2015; Freeman et al., 2020)</w:t>
      </w:r>
      <w:r w:rsidR="003E5FC4" w:rsidRPr="00A2430F">
        <w:rPr>
          <w:color w:val="000000" w:themeColor="text1"/>
        </w:rPr>
        <w:t xml:space="preserve">. Despite this, research on the associations between the heightened prevalence of gambling problems and mental health disorders in veterans is limited </w:t>
      </w:r>
      <w:r w:rsidR="001031CB">
        <w:rPr>
          <w:color w:val="000000" w:themeColor="text1"/>
        </w:rPr>
        <w:t>(Etuk et al., 2020; Levy &amp; Tracy, 2018)</w:t>
      </w:r>
      <w:r w:rsidR="003E5FC4" w:rsidRPr="00A2430F">
        <w:rPr>
          <w:color w:val="000000" w:themeColor="text1"/>
        </w:rPr>
        <w:t xml:space="preserve">. </w:t>
      </w:r>
      <w:r w:rsidR="003E5FC4" w:rsidRPr="00A2430F">
        <w:t xml:space="preserve">Gambling problems are associated with </w:t>
      </w:r>
      <w:r w:rsidR="003E5FC4" w:rsidRPr="00A2430F">
        <w:lastRenderedPageBreak/>
        <w:t>depression and anxiety, with 41% of veterans seeking treatment for gambling also reporting a lifetime history of mood disorders</w:t>
      </w:r>
      <w:r w:rsidR="002E1BA5">
        <w:t xml:space="preserve"> (Shirk et al., 2018)</w:t>
      </w:r>
      <w:r w:rsidR="003E5FC4" w:rsidRPr="00A2430F">
        <w:t xml:space="preserve">. </w:t>
      </w:r>
      <w:r w:rsidR="00114DC7">
        <w:t xml:space="preserve">Indicators from a longitudinal study of data from </w:t>
      </w:r>
      <w:r w:rsidR="00114DC7" w:rsidRPr="00114DC7">
        <w:t xml:space="preserve">the </w:t>
      </w:r>
      <w:r w:rsidR="00FC33E3">
        <w:t xml:space="preserve">US </w:t>
      </w:r>
      <w:r w:rsidR="00114DC7" w:rsidRPr="00114DC7">
        <w:t>Department</w:t>
      </w:r>
      <w:r w:rsidR="00114DC7">
        <w:t xml:space="preserve"> </w:t>
      </w:r>
      <w:r w:rsidR="00FC33E3">
        <w:t xml:space="preserve">of </w:t>
      </w:r>
      <w:r w:rsidR="00114DC7" w:rsidRPr="00114DC7">
        <w:t>Defense Health Behavior Survey (1980–2008)</w:t>
      </w:r>
      <w:r w:rsidR="00114DC7">
        <w:t xml:space="preserve"> revealed increased rates of poor mental health and suicide attempts in </w:t>
      </w:r>
      <w:r w:rsidR="001957B6">
        <w:t>active service personnel</w:t>
      </w:r>
      <w:r w:rsidR="00114DC7">
        <w:t xml:space="preserve"> (Bray et al., 2010). </w:t>
      </w:r>
      <w:r w:rsidR="003E5FC4" w:rsidRPr="00A2430F">
        <w:t xml:space="preserve">Moreover, </w:t>
      </w:r>
      <w:r w:rsidR="0023488C">
        <w:t>g</w:t>
      </w:r>
      <w:r w:rsidR="003E5FC4" w:rsidRPr="00A2430F">
        <w:t xml:space="preserve">ambling is related to substance misuse in veterans, with 79% of veterans attending treatment for substance misuse reporting ‘cravings’ to gamble and 27% reporting life problems due to their gambling </w:t>
      </w:r>
      <w:r w:rsidR="0086212D">
        <w:t>(Davis et al., 2017)</w:t>
      </w:r>
      <w:r w:rsidR="003E5FC4" w:rsidRPr="00A2430F">
        <w:t>. In a US-based sample of veterans seeking treatment for gambling problems, 66.4% reported substance use or dependence across their lifetime</w:t>
      </w:r>
      <w:r w:rsidR="0098256C">
        <w:t xml:space="preserve"> (Kausch, 2003)</w:t>
      </w:r>
      <w:r w:rsidR="003E5FC4" w:rsidRPr="00A2430F">
        <w:t xml:space="preserve">. </w:t>
      </w:r>
      <w:r w:rsidR="00FD7666">
        <w:t xml:space="preserve">Although </w:t>
      </w:r>
      <w:r w:rsidR="003E5FC4" w:rsidRPr="00A2430F">
        <w:t xml:space="preserve">the association between the two is well known, the causal direction between substance use and gambling in veterans has been minimally analysed. Thus, the associations and interactions between mental health, substance use, and gambling among veterans warrant further investigation </w:t>
      </w:r>
      <w:r w:rsidR="0098256C">
        <w:rPr>
          <w:color w:val="000000" w:themeColor="text1"/>
        </w:rPr>
        <w:t>(Etuk et al., 2020; Levy &amp; Tracy, 2018)</w:t>
      </w:r>
      <w:r w:rsidR="0098256C" w:rsidRPr="00A2430F">
        <w:rPr>
          <w:color w:val="000000" w:themeColor="text1"/>
        </w:rPr>
        <w:t xml:space="preserve">. </w:t>
      </w:r>
    </w:p>
    <w:p w14:paraId="403DE9CC" w14:textId="5CE21384" w:rsidR="003E5FC4" w:rsidRPr="00A2430F" w:rsidRDefault="003E5FC4" w:rsidP="00FD4BDE">
      <w:pPr>
        <w:spacing w:line="480" w:lineRule="auto"/>
        <w:ind w:firstLine="720"/>
      </w:pPr>
      <w:r w:rsidRPr="00A2430F">
        <w:t>The relationship between trauma and gambling</w:t>
      </w:r>
      <w:r w:rsidR="007D311F" w:rsidRPr="00A2430F">
        <w:t xml:space="preserve"> problems</w:t>
      </w:r>
      <w:r w:rsidRPr="00A2430F">
        <w:t xml:space="preserve"> </w:t>
      </w:r>
      <w:r w:rsidR="006F614F" w:rsidRPr="00A2430F">
        <w:t xml:space="preserve">in veterans </w:t>
      </w:r>
      <w:r w:rsidRPr="00A2430F">
        <w:t xml:space="preserve">is similarly unclear. Although gamblers </w:t>
      </w:r>
      <w:r w:rsidR="00946441" w:rsidRPr="00A2430F">
        <w:t xml:space="preserve">among the general population </w:t>
      </w:r>
      <w:r w:rsidRPr="00A2430F">
        <w:t xml:space="preserve">may be more likely to have a diagnosis of </w:t>
      </w:r>
      <w:r w:rsidR="00526287" w:rsidRPr="00A2430F">
        <w:t>posttraumatic stress disorder (</w:t>
      </w:r>
      <w:r w:rsidRPr="00A2430F">
        <w:t>PTSD</w:t>
      </w:r>
      <w:r w:rsidR="00526287" w:rsidRPr="00A2430F">
        <w:t>)</w:t>
      </w:r>
      <w:r w:rsidR="00AE1587" w:rsidRPr="00A2430F">
        <w:t xml:space="preserve"> </w:t>
      </w:r>
      <w:r w:rsidR="00514593">
        <w:t>(Moore &amp; Grubbs, 2021)</w:t>
      </w:r>
      <w:r w:rsidRPr="00A2430F">
        <w:t xml:space="preserve">, Westermeyer et al. </w:t>
      </w:r>
      <w:r w:rsidR="00D56193">
        <w:t>(2018)</w:t>
      </w:r>
      <w:r w:rsidRPr="00A2430F">
        <w:t xml:space="preserve"> found no association between gambling severity and combat exposure. Recent research identified salient associations between a history of physical or sexual trauma and severity of gambling in a large sample of veterans</w:t>
      </w:r>
      <w:r w:rsidR="000042D3">
        <w:t xml:space="preserve"> (Stefanovics et al., 2017)</w:t>
      </w:r>
      <w:r w:rsidRPr="00A2430F">
        <w:t>. Given the changing nature of military involvement, differences between UK and US AF in levels of combat engagement in recent conflicts</w:t>
      </w:r>
      <w:r w:rsidR="007900A1">
        <w:t xml:space="preserve"> (Hoge et al., 2014)</w:t>
      </w:r>
      <w:r w:rsidRPr="00A2430F">
        <w:t xml:space="preserve"> and culture and organisation</w:t>
      </w:r>
      <w:r w:rsidR="007900A1">
        <w:t xml:space="preserve"> (Hoptopf et al., 2016)</w:t>
      </w:r>
      <w:r w:rsidRPr="00A2430F">
        <w:t xml:space="preserve"> leading to wide variances in PTSD rates in samples of veterans between the two countries, analysis of the association between PTSD and gambling among UK AF veterans is pertinent.</w:t>
      </w:r>
      <w:r w:rsidR="0009366E" w:rsidRPr="00A2430F">
        <w:t xml:space="preserve"> Moreover, evidence suggests that </w:t>
      </w:r>
      <w:r w:rsidR="00BF2FDA" w:rsidRPr="00A2430F">
        <w:t>I</w:t>
      </w:r>
      <w:r w:rsidR="00D948CD" w:rsidRPr="00A2430F">
        <w:t xml:space="preserve">nternational </w:t>
      </w:r>
      <w:r w:rsidR="00BF2FDA" w:rsidRPr="00A2430F">
        <w:t>C</w:t>
      </w:r>
      <w:r w:rsidR="00D948CD" w:rsidRPr="00A2430F">
        <w:t xml:space="preserve">lassification of </w:t>
      </w:r>
      <w:r w:rsidR="00BF2FDA" w:rsidRPr="00A2430F">
        <w:t>D</w:t>
      </w:r>
      <w:r w:rsidR="00D948CD" w:rsidRPr="00A2430F">
        <w:t>iseases (ICD)</w:t>
      </w:r>
      <w:r w:rsidR="00161180">
        <w:t>-</w:t>
      </w:r>
      <w:r w:rsidR="00BF2FDA" w:rsidRPr="00A2430F">
        <w:t>11</w:t>
      </w:r>
      <w:r w:rsidR="00855857" w:rsidRPr="00A2430F">
        <w:t xml:space="preserve"> </w:t>
      </w:r>
      <w:r w:rsidR="0009366E" w:rsidRPr="00A2430F">
        <w:t xml:space="preserve">complex PTSD (C-PTSD) is more common than PTSD among </w:t>
      </w:r>
      <w:r w:rsidR="00D948CD" w:rsidRPr="00A2430F">
        <w:t xml:space="preserve">UK </w:t>
      </w:r>
      <w:r w:rsidR="0009366E" w:rsidRPr="00A2430F">
        <w:t>help-</w:t>
      </w:r>
      <w:r w:rsidR="0009366E" w:rsidRPr="00A2430F">
        <w:lastRenderedPageBreak/>
        <w:t>seeking veterans</w:t>
      </w:r>
      <w:r w:rsidR="00BB4E13" w:rsidRPr="00A2430F">
        <w:t xml:space="preserve"> </w:t>
      </w:r>
      <w:r w:rsidR="00FA6FCF">
        <w:t>(Murphy et al., 2021)</w:t>
      </w:r>
      <w:r w:rsidR="00194C2F" w:rsidRPr="00A2430F">
        <w:t xml:space="preserve">. </w:t>
      </w:r>
      <w:r w:rsidR="00ED64B3">
        <w:t xml:space="preserve">The ICD-11 diagnostic criteria for PTSD include re-experiencing trauma, </w:t>
      </w:r>
      <w:r w:rsidR="00B879FF">
        <w:t xml:space="preserve">engaging in </w:t>
      </w:r>
      <w:r w:rsidR="00ED64B3">
        <w:t>avoidance, and a current sense of threat. To meet criteria for potential C-PTSD, additional disturbances in self-organization within related symptom clusters of affective dysregulation, negative self-concept, and disturbances in relationships</w:t>
      </w:r>
      <w:r w:rsidR="00F64C42">
        <w:t xml:space="preserve"> </w:t>
      </w:r>
      <w:r w:rsidR="00FD4BDE">
        <w:t xml:space="preserve">must be evident </w:t>
      </w:r>
      <w:r w:rsidR="00F64C42">
        <w:t>(Brewin et al., 2017</w:t>
      </w:r>
      <w:r w:rsidR="00132049">
        <w:t>; Wolf et al., 2015</w:t>
      </w:r>
      <w:r w:rsidR="00F64C42">
        <w:t>).</w:t>
      </w:r>
      <w:r w:rsidR="00FD4BDE">
        <w:t xml:space="preserve"> </w:t>
      </w:r>
      <w:r w:rsidR="000821BD">
        <w:t>V</w:t>
      </w:r>
      <w:r w:rsidR="00194C2F" w:rsidRPr="00A2430F">
        <w:t xml:space="preserve">eterans </w:t>
      </w:r>
      <w:r w:rsidR="000821BD">
        <w:t xml:space="preserve">screened for symptoms indicating potential C-PTSD </w:t>
      </w:r>
      <w:r w:rsidR="00194C2F" w:rsidRPr="00A2430F">
        <w:t>are more likely to experience greater levels of childhood adversity prior to enrolment and increased bullying during service, as well as elevated levels of comorbid mental health difficulties and greater social isolation</w:t>
      </w:r>
      <w:r w:rsidR="0000005E" w:rsidRPr="00A2430F">
        <w:t xml:space="preserve"> on leaving the services. </w:t>
      </w:r>
      <w:r w:rsidR="00B64864" w:rsidRPr="00A2430F">
        <w:t xml:space="preserve">The </w:t>
      </w:r>
      <w:r w:rsidR="000275B5">
        <w:t xml:space="preserve">respective </w:t>
      </w:r>
      <w:r w:rsidR="00B64864" w:rsidRPr="00A2430F">
        <w:t xml:space="preserve">impact of </w:t>
      </w:r>
      <w:r w:rsidR="00E364F0">
        <w:t xml:space="preserve">PTSD and </w:t>
      </w:r>
      <w:r w:rsidR="001654C6" w:rsidRPr="00A2430F">
        <w:t xml:space="preserve">C-PTSD </w:t>
      </w:r>
      <w:r w:rsidR="00B64864" w:rsidRPr="00A2430F">
        <w:t xml:space="preserve">risk factors and </w:t>
      </w:r>
      <w:r w:rsidR="00245531">
        <w:t xml:space="preserve">their </w:t>
      </w:r>
      <w:r w:rsidR="00B64864" w:rsidRPr="00A2430F">
        <w:t xml:space="preserve">comorbidity on vulnerability to problem </w:t>
      </w:r>
      <w:r w:rsidR="00A67997" w:rsidRPr="00A2430F">
        <w:t>gambling</w:t>
      </w:r>
      <w:r w:rsidR="00B64864" w:rsidRPr="00A2430F">
        <w:t xml:space="preserve"> among veterans</w:t>
      </w:r>
      <w:r w:rsidR="005F04E4" w:rsidRPr="00A2430F">
        <w:t>,</w:t>
      </w:r>
      <w:r w:rsidR="00B64864" w:rsidRPr="00A2430F">
        <w:t xml:space="preserve"> </w:t>
      </w:r>
      <w:r w:rsidR="0050636D" w:rsidRPr="00A2430F">
        <w:t>however</w:t>
      </w:r>
      <w:r w:rsidR="005F04E4" w:rsidRPr="00A2430F">
        <w:t>,</w:t>
      </w:r>
      <w:r w:rsidR="0050636D" w:rsidRPr="00A2430F">
        <w:t xml:space="preserve"> </w:t>
      </w:r>
      <w:r w:rsidR="00B64864" w:rsidRPr="00A2430F">
        <w:t>remains underex</w:t>
      </w:r>
      <w:r w:rsidR="00A67997" w:rsidRPr="00A2430F">
        <w:t>amined.</w:t>
      </w:r>
    </w:p>
    <w:p w14:paraId="1476A4BB" w14:textId="6813A8EF" w:rsidR="003E5FC4" w:rsidRPr="00A2430F" w:rsidRDefault="003E5FC4" w:rsidP="005624E5">
      <w:pPr>
        <w:spacing w:line="480" w:lineRule="auto"/>
        <w:ind w:firstLine="720"/>
      </w:pPr>
      <w:r w:rsidRPr="00A2430F">
        <w:t>Identifying the factors motivating veterans’ gambling is crucial in understanding the co-occurrence of mental health difficulties</w:t>
      </w:r>
      <w:r w:rsidR="00A62DA5">
        <w:t xml:space="preserve"> (Stewart et al., 2016)</w:t>
      </w:r>
      <w:r w:rsidRPr="00A2430F">
        <w:t>. Gambling may be motivated by factors such as to practice or learn the game, to feel competent at an objective, to experience excitement, to socialise with peers and others, to feel important, to win money, and to continue to gamble with no objective</w:t>
      </w:r>
      <w:r w:rsidR="0034304A">
        <w:t xml:space="preserve"> (Chantal et al., 1994)</w:t>
      </w:r>
      <w:r w:rsidRPr="00A2430F">
        <w:t xml:space="preserve">. Understanding gambling motivation may aid in determining the persistence and </w:t>
      </w:r>
      <w:r w:rsidR="00A90B91">
        <w:t xml:space="preserve">resulting </w:t>
      </w:r>
      <w:r w:rsidRPr="00A2430F">
        <w:t xml:space="preserve">severity of gambling related problems among veterans </w:t>
      </w:r>
      <w:r w:rsidR="00D61121">
        <w:t>(Grubbs et al., 2018)</w:t>
      </w:r>
      <w:r w:rsidRPr="00A2430F">
        <w:t xml:space="preserve">. Drawn from research on operant conditioning, studies employing </w:t>
      </w:r>
      <w:r w:rsidR="00235A2A" w:rsidRPr="00A2430F">
        <w:t xml:space="preserve">versions of </w:t>
      </w:r>
      <w:r w:rsidRPr="00A2430F">
        <w:t xml:space="preserve">the Gambling Functional Assessment (GFA; </w:t>
      </w:r>
      <w:r w:rsidR="00E92344">
        <w:t>Dixon et al., 2018; Miller et al., 2009; Weatherly et al., 2011, 2014</w:t>
      </w:r>
      <w:r w:rsidRPr="00A2430F">
        <w:t xml:space="preserve">) found different motives in the maintenance of gambling. These include social attention (e.g., interacting with peers) and accessing tangible rewards (e.g., vouchers or competitions) </w:t>
      </w:r>
      <w:r w:rsidR="00592E4E">
        <w:t xml:space="preserve">that </w:t>
      </w:r>
      <w:r w:rsidRPr="00A2430F">
        <w:t xml:space="preserve">capture the social and non-social positive reinforcement motivations, while sensory experiences (e.g., enjoying the lights and sounds, or feeling an emotional rush), and psychological/physical escape (e.g., leaving/distracting from a difficult work/home environment) capture the negative reinforcement motivations of gambling. Crucially, negative reinforcement is thought to </w:t>
      </w:r>
      <w:r w:rsidRPr="00A2430F">
        <w:lastRenderedPageBreak/>
        <w:t>represent the function most likely to maintain problem gambling</w:t>
      </w:r>
      <w:r w:rsidR="00866C05">
        <w:t xml:space="preserve"> (Dixon et al., 2018)</w:t>
      </w:r>
      <w:r w:rsidRPr="00A2430F">
        <w:t xml:space="preserve">. To date, no study has investigated gambling motivation in veterans. </w:t>
      </w:r>
    </w:p>
    <w:p w14:paraId="7EE9975D" w14:textId="4B9D465B" w:rsidR="003E5FC4" w:rsidRPr="00A2430F" w:rsidRDefault="003E5FC4" w:rsidP="003E5FC4">
      <w:pPr>
        <w:spacing w:line="480" w:lineRule="auto"/>
        <w:ind w:firstLine="720"/>
      </w:pPr>
      <w:r w:rsidRPr="00A2430F">
        <w:t xml:space="preserve">Interestingly, gambling </w:t>
      </w:r>
      <w:r w:rsidR="004B7798">
        <w:t xml:space="preserve">motivated </w:t>
      </w:r>
      <w:r w:rsidRPr="00A2430F">
        <w:t>as a form of escape/avoidance-based coping mechanism is highlighted through findings linking PTSD and gambling</w:t>
      </w:r>
      <w:r w:rsidR="00D775F2">
        <w:t xml:space="preserve"> (Grubbs et al., 2018; Moore &amp; Grubbs, 2021)</w:t>
      </w:r>
      <w:r w:rsidRPr="00A2430F">
        <w:t>. Coping motivations for gambling and positive gambling outcome expecta</w:t>
      </w:r>
      <w:r w:rsidR="00B157AA">
        <w:t>tions</w:t>
      </w:r>
      <w:r w:rsidRPr="00A2430F">
        <w:t xml:space="preserve"> are elevated in those experiencing PTSD symptoms, both in treatment-seeking samples and online convenience samples</w:t>
      </w:r>
      <w:r w:rsidR="00B76C28">
        <w:t xml:space="preserve"> (Grubbs et al., 2019)</w:t>
      </w:r>
      <w:r w:rsidRPr="00A2430F">
        <w:t>. While little is currently known about the possible factors maintaining gambling in veterans, how individuals respond to stress is a significant factor in the gambling behaviour of the general population</w:t>
      </w:r>
      <w:r w:rsidR="00D0484A">
        <w:t xml:space="preserve"> (Buchanan et al., 2020)</w:t>
      </w:r>
      <w:r w:rsidRPr="00A2430F">
        <w:t xml:space="preserve">. Gambling is often used as a coping mechanism to </w:t>
      </w:r>
      <w:r w:rsidR="00235FEE">
        <w:t>deal with s</w:t>
      </w:r>
      <w:r w:rsidRPr="00A2430F">
        <w:t xml:space="preserve">tress, yet the consequences of problematic gambling may also come to act as stressors, leading to a feedback loop accentuated by stress-induced loss-chasing </w:t>
      </w:r>
      <w:r w:rsidR="00B157AA">
        <w:t>that</w:t>
      </w:r>
      <w:r w:rsidR="00B157AA" w:rsidRPr="00A2430F">
        <w:t xml:space="preserve"> </w:t>
      </w:r>
      <w:r w:rsidRPr="00A2430F">
        <w:t xml:space="preserve">may become exacerbated by a blunted physiological reaction to stress as the behaviour becomes established </w:t>
      </w:r>
      <w:r w:rsidR="00564A45">
        <w:t>(Buchanan et al., 2020)</w:t>
      </w:r>
      <w:r w:rsidRPr="00A2430F">
        <w:t xml:space="preserve">. Moreover, family experience and living arrangements contribute to early exposure and provide a motive to escape through gambling </w:t>
      </w:r>
      <w:r w:rsidR="00BF4484">
        <w:t xml:space="preserve">(Allami et al., 2021; </w:t>
      </w:r>
      <w:r w:rsidR="00BF4484" w:rsidRPr="00A2430F">
        <w:rPr>
          <w:noProof/>
          <w:color w:val="000000"/>
        </w:rPr>
        <w:t>Subramaniam</w:t>
      </w:r>
      <w:r w:rsidR="00BF4484" w:rsidRPr="00A2430F">
        <w:t xml:space="preserve"> </w:t>
      </w:r>
      <w:r w:rsidR="00BF4484">
        <w:t>et al., 2017)</w:t>
      </w:r>
      <w:r w:rsidRPr="00A2430F">
        <w:t>, with veterans with family members engaged in gambling having higher likelihood of increased gambling</w:t>
      </w:r>
      <w:r w:rsidR="0072400E">
        <w:t xml:space="preserve"> (Freeman et al., 2020)</w:t>
      </w:r>
      <w:r w:rsidRPr="00A2430F">
        <w:t>.</w:t>
      </w:r>
    </w:p>
    <w:p w14:paraId="5F20D3AB" w14:textId="1587F3ED" w:rsidR="00F6634F" w:rsidRPr="00A2430F" w:rsidRDefault="00C94EE3" w:rsidP="004B0AC2">
      <w:pPr>
        <w:spacing w:line="480" w:lineRule="auto"/>
        <w:ind w:firstLine="720"/>
        <w:rPr>
          <w:iCs/>
          <w:color w:val="FF0000"/>
        </w:rPr>
      </w:pPr>
      <w:r>
        <w:rPr>
          <w:color w:val="000000"/>
        </w:rPr>
        <w:t xml:space="preserve">At present, little is known about the prevalence of gambling problems among UK veterans. The preliminary findings of Dighton et al. (2018) and Roberts et al. (2019) </w:t>
      </w:r>
      <w:r w:rsidR="003E5FC4" w:rsidRPr="00A2430F">
        <w:rPr>
          <w:color w:val="000000"/>
        </w:rPr>
        <w:t xml:space="preserve">involved small numbers of veterans living in England and utilised data obtained over fifteen years ago. </w:t>
      </w:r>
      <w:r w:rsidR="003E5FC4" w:rsidRPr="00A2430F">
        <w:t xml:space="preserve">As such, a contemporary survey is required </w:t>
      </w:r>
      <w:r w:rsidR="00592E4E">
        <w:t xml:space="preserve">that </w:t>
      </w:r>
      <w:r w:rsidR="003E5FC4" w:rsidRPr="00A2430F">
        <w:t>addresses these limitations and reflects both the changing nature of being a member of the AF and the evolving, increasingly online, gambling landscape.</w:t>
      </w:r>
      <w:r w:rsidR="005D2CCB">
        <w:t xml:space="preserve"> </w:t>
      </w:r>
      <w:r w:rsidR="003E5FC4" w:rsidRPr="00A2430F">
        <w:rPr>
          <w:iCs/>
        </w:rPr>
        <w:t xml:space="preserve">The aim of this paper is to </w:t>
      </w:r>
      <w:r w:rsidR="007E667E">
        <w:rPr>
          <w:iCs/>
        </w:rPr>
        <w:t>describe the findings of a survey desig</w:t>
      </w:r>
      <w:r w:rsidR="00375518">
        <w:rPr>
          <w:iCs/>
        </w:rPr>
        <w:t>n</w:t>
      </w:r>
      <w:r w:rsidR="007E667E">
        <w:rPr>
          <w:iCs/>
        </w:rPr>
        <w:t xml:space="preserve">ed to investigate </w:t>
      </w:r>
      <w:r w:rsidR="00F848D4" w:rsidRPr="00A2430F">
        <w:rPr>
          <w:iCs/>
        </w:rPr>
        <w:t xml:space="preserve">sociodemographic, military service, mental health, and gambling activities and </w:t>
      </w:r>
      <w:r w:rsidR="00F848D4" w:rsidRPr="00A2430F">
        <w:rPr>
          <w:iCs/>
        </w:rPr>
        <w:lastRenderedPageBreak/>
        <w:t>motivation variables</w:t>
      </w:r>
      <w:r w:rsidR="00F848D4" w:rsidRPr="00A2430F" w:rsidDel="007E667E">
        <w:rPr>
          <w:iCs/>
        </w:rPr>
        <w:t xml:space="preserve"> </w:t>
      </w:r>
      <w:r w:rsidR="00F848D4">
        <w:rPr>
          <w:iCs/>
        </w:rPr>
        <w:t xml:space="preserve">as </w:t>
      </w:r>
      <w:r w:rsidR="00947E17" w:rsidRPr="00A2430F">
        <w:rPr>
          <w:iCs/>
        </w:rPr>
        <w:t xml:space="preserve">predictors of problem gambling </w:t>
      </w:r>
      <w:r w:rsidR="00B744CE" w:rsidRPr="00A2430F">
        <w:rPr>
          <w:iCs/>
        </w:rPr>
        <w:t xml:space="preserve">among a </w:t>
      </w:r>
      <w:r w:rsidR="00572CB4">
        <w:rPr>
          <w:iCs/>
        </w:rPr>
        <w:t xml:space="preserve">large </w:t>
      </w:r>
      <w:r w:rsidR="00B744CE" w:rsidRPr="00A2430F">
        <w:rPr>
          <w:iCs/>
        </w:rPr>
        <w:t>sample of UK veterans</w:t>
      </w:r>
      <w:r w:rsidR="00884336" w:rsidRPr="00A2430F">
        <w:rPr>
          <w:iCs/>
        </w:rPr>
        <w:t>.</w:t>
      </w:r>
    </w:p>
    <w:p w14:paraId="053018D4" w14:textId="6CE43288" w:rsidR="009E2ADC" w:rsidRPr="00025D0E" w:rsidRDefault="0051159F" w:rsidP="00025D0E">
      <w:pPr>
        <w:pStyle w:val="Heading1"/>
      </w:pPr>
      <w:r w:rsidRPr="00025D0E">
        <w:t xml:space="preserve">Materials and </w:t>
      </w:r>
      <w:r w:rsidR="009E2ADC" w:rsidRPr="00025D0E">
        <w:t>Method</w:t>
      </w:r>
    </w:p>
    <w:p w14:paraId="4AD923C2" w14:textId="63EAC0A9" w:rsidR="009E2ADC" w:rsidRPr="00025D0E" w:rsidRDefault="009E2ADC" w:rsidP="00025D0E">
      <w:pPr>
        <w:pStyle w:val="Heading2"/>
      </w:pPr>
      <w:r w:rsidRPr="00025D0E">
        <w:t>Participants</w:t>
      </w:r>
      <w:r w:rsidR="002222BF" w:rsidRPr="00025D0E">
        <w:t xml:space="preserve"> and Ethics</w:t>
      </w:r>
    </w:p>
    <w:p w14:paraId="0C9B4C91" w14:textId="04161E70" w:rsidR="00861BEB" w:rsidRPr="00A2430F" w:rsidRDefault="00E23193" w:rsidP="004300FE">
      <w:pPr>
        <w:spacing w:line="480" w:lineRule="auto"/>
        <w:ind w:firstLine="720"/>
      </w:pPr>
      <w:r w:rsidRPr="00A2430F">
        <w:t>For the veterans’ sample, p</w:t>
      </w:r>
      <w:r w:rsidR="009134C5" w:rsidRPr="00A2430F">
        <w:t>articipants were recruited primarily online</w:t>
      </w:r>
      <w:r w:rsidR="00E833C4" w:rsidRPr="00A2430F">
        <w:t xml:space="preserve"> </w:t>
      </w:r>
      <w:r w:rsidR="003634A9" w:rsidRPr="00A2430F">
        <w:t xml:space="preserve">to the </w:t>
      </w:r>
      <w:r w:rsidR="00EF59A0" w:rsidRPr="00A2430F">
        <w:t>‘</w:t>
      </w:r>
      <w:r w:rsidR="003634A9" w:rsidRPr="00A2430F">
        <w:t>UK AF Veterans’ Health and Gambling Study</w:t>
      </w:r>
      <w:r w:rsidR="00EF59A0" w:rsidRPr="00A2430F">
        <w:t>’</w:t>
      </w:r>
      <w:r w:rsidR="003634A9" w:rsidRPr="00A2430F">
        <w:t xml:space="preserve"> </w:t>
      </w:r>
      <w:r w:rsidR="00E833C4" w:rsidRPr="00A2430F">
        <w:t xml:space="preserve">using digital </w:t>
      </w:r>
      <w:r w:rsidR="00F4194C" w:rsidRPr="00A2430F">
        <w:t>marketing-based</w:t>
      </w:r>
      <w:r w:rsidR="00E833C4" w:rsidRPr="00A2430F">
        <w:t xml:space="preserve"> methods (e.g., targeted adverts </w:t>
      </w:r>
      <w:r w:rsidR="00515790" w:rsidRPr="00A2430F">
        <w:t>o</w:t>
      </w:r>
      <w:r w:rsidR="00E833C4" w:rsidRPr="00A2430F">
        <w:t>n Facebook)</w:t>
      </w:r>
      <w:r w:rsidR="00AF5CDE" w:rsidRPr="00A2430F">
        <w:t xml:space="preserve">. </w:t>
      </w:r>
      <w:r w:rsidR="007F56A8" w:rsidRPr="00A2430F">
        <w:t>R</w:t>
      </w:r>
      <w:r w:rsidR="009134C5" w:rsidRPr="00A2430F">
        <w:t xml:space="preserve">ecruitment </w:t>
      </w:r>
      <w:r w:rsidR="00BD1650" w:rsidRPr="00A2430F">
        <w:t xml:space="preserve">emails </w:t>
      </w:r>
      <w:r w:rsidR="009134C5" w:rsidRPr="00A2430F">
        <w:t xml:space="preserve">were </w:t>
      </w:r>
      <w:r w:rsidR="007F56A8" w:rsidRPr="00A2430F">
        <w:t xml:space="preserve">also </w:t>
      </w:r>
      <w:r w:rsidR="009134C5" w:rsidRPr="00A2430F">
        <w:t xml:space="preserve">circulated by </w:t>
      </w:r>
      <w:r w:rsidR="00C45D5D" w:rsidRPr="00A2430F">
        <w:t>National Health Service (</w:t>
      </w:r>
      <w:r w:rsidR="009134C5" w:rsidRPr="00A2430F">
        <w:t>NHS</w:t>
      </w:r>
      <w:r w:rsidR="00C45D5D" w:rsidRPr="00A2430F">
        <w:t>)</w:t>
      </w:r>
      <w:r w:rsidR="009134C5" w:rsidRPr="00A2430F">
        <w:t xml:space="preserve"> veterans’ services and charities. Prolific, an online research participation platform, was used to target an age- and gender matched non-veteran sample</w:t>
      </w:r>
      <w:r w:rsidR="001E4E46" w:rsidRPr="00A2430F">
        <w:t xml:space="preserve"> on completion of recruitment for the veteran sample</w:t>
      </w:r>
      <w:r w:rsidR="009134C5" w:rsidRPr="00A2430F">
        <w:t xml:space="preserve">. </w:t>
      </w:r>
      <w:r w:rsidR="019918B0" w:rsidRPr="00A2430F">
        <w:t xml:space="preserve">In total, 5,147 responses were received to the online survey (2,535 veterans and 2,612 non-veterans). </w:t>
      </w:r>
      <w:r w:rsidR="019918B0" w:rsidRPr="00A2430F">
        <w:rPr>
          <w:color w:val="000000" w:themeColor="text1"/>
        </w:rPr>
        <w:t xml:space="preserve">To ensure </w:t>
      </w:r>
      <w:r w:rsidR="00A27B9F" w:rsidRPr="00A2430F">
        <w:rPr>
          <w:color w:val="000000" w:themeColor="text1"/>
        </w:rPr>
        <w:t xml:space="preserve">data </w:t>
      </w:r>
      <w:r w:rsidR="019918B0" w:rsidRPr="00A2430F">
        <w:rPr>
          <w:color w:val="000000" w:themeColor="text1"/>
        </w:rPr>
        <w:t xml:space="preserve">integrity, quality control measures were applied to screen </w:t>
      </w:r>
      <w:r w:rsidR="00BD493F" w:rsidRPr="00A2430F">
        <w:rPr>
          <w:color w:val="000000" w:themeColor="text1"/>
        </w:rPr>
        <w:t>for and remove the following responses</w:t>
      </w:r>
      <w:r w:rsidR="003C0A2B" w:rsidRPr="00A2430F">
        <w:rPr>
          <w:color w:val="000000" w:themeColor="text1"/>
        </w:rPr>
        <w:t xml:space="preserve"> from the veteran sample</w:t>
      </w:r>
      <w:r w:rsidR="00BD493F" w:rsidRPr="00A2430F">
        <w:rPr>
          <w:color w:val="000000" w:themeColor="text1"/>
        </w:rPr>
        <w:t>: (a) opened the survey but did not complete any of the measures (</w:t>
      </w:r>
      <w:r w:rsidR="00AD459B" w:rsidRPr="00A2430F">
        <w:rPr>
          <w:color w:val="000000" w:themeColor="text1"/>
        </w:rPr>
        <w:t>11.1</w:t>
      </w:r>
      <w:r w:rsidR="00BD493F" w:rsidRPr="00A2430F">
        <w:rPr>
          <w:color w:val="000000" w:themeColor="text1"/>
        </w:rPr>
        <w:t>%); (b) did not complete the consent form (</w:t>
      </w:r>
      <w:r w:rsidR="00AD459B" w:rsidRPr="00A2430F">
        <w:rPr>
          <w:color w:val="000000" w:themeColor="text1"/>
        </w:rPr>
        <w:t>3.4</w:t>
      </w:r>
      <w:r w:rsidR="00BD493F" w:rsidRPr="00A2430F">
        <w:rPr>
          <w:color w:val="000000" w:themeColor="text1"/>
        </w:rPr>
        <w:t xml:space="preserve">%); (c) </w:t>
      </w:r>
      <w:r w:rsidR="003C0A2B" w:rsidRPr="00A2430F">
        <w:rPr>
          <w:color w:val="000000" w:themeColor="text1"/>
        </w:rPr>
        <w:t>did not meet the threshold of completion of measures to be included in the dataset (</w:t>
      </w:r>
      <w:r w:rsidR="00AD459B" w:rsidRPr="00A2430F">
        <w:rPr>
          <w:color w:val="000000" w:themeColor="text1"/>
        </w:rPr>
        <w:t>19</w:t>
      </w:r>
      <w:r w:rsidR="003C0A2B" w:rsidRPr="00A2430F">
        <w:rPr>
          <w:color w:val="000000" w:themeColor="text1"/>
        </w:rPr>
        <w:t>%); (d) did not provide legitimate military service credentials (</w:t>
      </w:r>
      <w:r w:rsidR="00AD459B" w:rsidRPr="00A2430F">
        <w:rPr>
          <w:color w:val="000000" w:themeColor="text1"/>
        </w:rPr>
        <w:t>23.3</w:t>
      </w:r>
      <w:r w:rsidR="003C0A2B" w:rsidRPr="00A2430F">
        <w:rPr>
          <w:color w:val="000000" w:themeColor="text1"/>
        </w:rPr>
        <w:t xml:space="preserve">%); </w:t>
      </w:r>
      <w:r w:rsidR="00AD459B" w:rsidRPr="00A2430F">
        <w:rPr>
          <w:color w:val="000000" w:themeColor="text1"/>
        </w:rPr>
        <w:t xml:space="preserve">(e) </w:t>
      </w:r>
      <w:r w:rsidR="003C0A2B" w:rsidRPr="00A2430F">
        <w:rPr>
          <w:color w:val="000000" w:themeColor="text1"/>
        </w:rPr>
        <w:t xml:space="preserve">did not meet the inclusion criteria </w:t>
      </w:r>
      <w:r w:rsidR="00CB515E" w:rsidRPr="00A2430F">
        <w:rPr>
          <w:color w:val="000000" w:themeColor="text1"/>
        </w:rPr>
        <w:t xml:space="preserve">of being at least 18 years old and having served in the UK Armed Forces </w:t>
      </w:r>
      <w:r w:rsidR="003C0A2B" w:rsidRPr="00A2430F">
        <w:rPr>
          <w:color w:val="000000" w:themeColor="text1"/>
        </w:rPr>
        <w:t>(</w:t>
      </w:r>
      <w:r w:rsidR="000614C7" w:rsidRPr="00A2430F">
        <w:rPr>
          <w:color w:val="000000" w:themeColor="text1"/>
        </w:rPr>
        <w:t>2.1</w:t>
      </w:r>
      <w:r w:rsidR="003C0A2B" w:rsidRPr="00A2430F">
        <w:rPr>
          <w:color w:val="000000" w:themeColor="text1"/>
        </w:rPr>
        <w:t>%)</w:t>
      </w:r>
      <w:r w:rsidR="019918B0" w:rsidRPr="00A2430F">
        <w:rPr>
          <w:color w:val="000000" w:themeColor="text1"/>
        </w:rPr>
        <w:t xml:space="preserve">. </w:t>
      </w:r>
      <w:r w:rsidR="00F2529A" w:rsidRPr="00A2430F">
        <w:rPr>
          <w:color w:val="000000" w:themeColor="text1"/>
        </w:rPr>
        <w:t>For the non-veteran sample, the following screening measures were applied: (a) opened the survey but did not complete any of the measures (</w:t>
      </w:r>
      <w:r w:rsidR="00CB515E" w:rsidRPr="00A2430F">
        <w:rPr>
          <w:color w:val="000000" w:themeColor="text1"/>
        </w:rPr>
        <w:t>23.4</w:t>
      </w:r>
      <w:r w:rsidR="00F2529A" w:rsidRPr="00A2430F">
        <w:rPr>
          <w:color w:val="000000" w:themeColor="text1"/>
        </w:rPr>
        <w:t>%); (b) did not complete the consent form (</w:t>
      </w:r>
      <w:r w:rsidR="00CB515E" w:rsidRPr="00A2430F">
        <w:rPr>
          <w:color w:val="000000" w:themeColor="text1"/>
        </w:rPr>
        <w:t>1.9</w:t>
      </w:r>
      <w:r w:rsidR="00F2529A" w:rsidRPr="00A2430F">
        <w:rPr>
          <w:color w:val="000000" w:themeColor="text1"/>
        </w:rPr>
        <w:t>%); (c) did not meet the threshold of completion of measures to be included in the dataset (</w:t>
      </w:r>
      <w:r w:rsidR="00CB515E" w:rsidRPr="00A2430F">
        <w:rPr>
          <w:color w:val="000000" w:themeColor="text1"/>
        </w:rPr>
        <w:t>3.2</w:t>
      </w:r>
      <w:r w:rsidR="00F2529A" w:rsidRPr="00A2430F">
        <w:rPr>
          <w:color w:val="000000" w:themeColor="text1"/>
        </w:rPr>
        <w:t>%); (d) did not provide a legitimate UK postcode, completed the survey outside the UK, or provided inconsistent</w:t>
      </w:r>
      <w:r w:rsidR="00CB515E" w:rsidRPr="00A2430F">
        <w:rPr>
          <w:color w:val="000000" w:themeColor="text1"/>
        </w:rPr>
        <w:t xml:space="preserve"> or questionable</w:t>
      </w:r>
      <w:r w:rsidR="00F2529A" w:rsidRPr="00A2430F">
        <w:rPr>
          <w:color w:val="000000" w:themeColor="text1"/>
        </w:rPr>
        <w:t xml:space="preserve"> responses (</w:t>
      </w:r>
      <w:r w:rsidR="00CB515E" w:rsidRPr="00A2430F">
        <w:rPr>
          <w:color w:val="000000" w:themeColor="text1"/>
        </w:rPr>
        <w:t>24.7</w:t>
      </w:r>
      <w:r w:rsidR="00F2529A" w:rsidRPr="00A2430F">
        <w:rPr>
          <w:color w:val="000000" w:themeColor="text1"/>
        </w:rPr>
        <w:t xml:space="preserve">%). </w:t>
      </w:r>
      <w:r w:rsidR="019918B0" w:rsidRPr="00A2430F">
        <w:rPr>
          <w:color w:val="000000" w:themeColor="text1"/>
        </w:rPr>
        <w:t>Th</w:t>
      </w:r>
      <w:r w:rsidR="008A2600" w:rsidRPr="00A2430F">
        <w:rPr>
          <w:rFonts w:eastAsiaTheme="minorEastAsia"/>
          <w:color w:val="000000" w:themeColor="text1"/>
        </w:rPr>
        <w:t>e f</w:t>
      </w:r>
      <w:r w:rsidR="019918B0" w:rsidRPr="00A2430F">
        <w:rPr>
          <w:rFonts w:eastAsiaTheme="minorEastAsia"/>
          <w:color w:val="000000" w:themeColor="text1"/>
        </w:rPr>
        <w:t xml:space="preserve">inal sample </w:t>
      </w:r>
      <w:r w:rsidR="008A2600" w:rsidRPr="00A2430F">
        <w:rPr>
          <w:rFonts w:eastAsiaTheme="minorEastAsia"/>
          <w:color w:val="000000" w:themeColor="text1"/>
        </w:rPr>
        <w:t xml:space="preserve">consisted </w:t>
      </w:r>
      <w:r w:rsidR="019918B0" w:rsidRPr="00A2430F">
        <w:rPr>
          <w:rFonts w:eastAsiaTheme="minorEastAsia"/>
          <w:color w:val="000000" w:themeColor="text1"/>
        </w:rPr>
        <w:t>of 2,185 responses (</w:t>
      </w:r>
      <w:r w:rsidR="019918B0" w:rsidRPr="00A2430F">
        <w:rPr>
          <w:rFonts w:eastAsiaTheme="minorEastAsia"/>
          <w:i/>
          <w:iCs/>
          <w:color w:val="000000" w:themeColor="text1"/>
        </w:rPr>
        <w:t>n</w:t>
      </w:r>
      <w:r w:rsidR="019918B0" w:rsidRPr="00A2430F">
        <w:rPr>
          <w:rFonts w:eastAsiaTheme="minorEastAsia"/>
          <w:color w:val="000000" w:themeColor="text1"/>
        </w:rPr>
        <w:t xml:space="preserve">=1,037 veterans and </w:t>
      </w:r>
      <w:r w:rsidR="019918B0" w:rsidRPr="00A2430F">
        <w:rPr>
          <w:rFonts w:eastAsiaTheme="minorEastAsia"/>
          <w:i/>
          <w:iCs/>
          <w:color w:val="000000" w:themeColor="text1"/>
        </w:rPr>
        <w:t>n</w:t>
      </w:r>
      <w:r w:rsidR="019918B0" w:rsidRPr="00A2430F">
        <w:rPr>
          <w:rFonts w:eastAsiaTheme="minorEastAsia"/>
          <w:color w:val="000000" w:themeColor="text1"/>
        </w:rPr>
        <w:t>=1,148 non-veterans).</w:t>
      </w:r>
      <w:r w:rsidR="004300FE" w:rsidRPr="00A2430F">
        <w:t xml:space="preserve"> </w:t>
      </w:r>
      <w:r w:rsidR="00861BEB" w:rsidRPr="00A2430F">
        <w:t xml:space="preserve">Veterans and non-veterans were a minimum of 18 years old and not currently serving in the UK </w:t>
      </w:r>
      <w:r w:rsidR="00AB4CC8" w:rsidRPr="00A2430F">
        <w:t>AF</w:t>
      </w:r>
      <w:r w:rsidR="00861BEB" w:rsidRPr="00A2430F">
        <w:t xml:space="preserve">. The non-veteran sample was limited to those who </w:t>
      </w:r>
      <w:r w:rsidR="00F95F78" w:rsidRPr="00A2430F">
        <w:t>were</w:t>
      </w:r>
      <w:r w:rsidR="00861BEB" w:rsidRPr="00A2430F">
        <w:t xml:space="preserve"> domiciled within the UK; however, veterans </w:t>
      </w:r>
      <w:r w:rsidR="002B0B68" w:rsidRPr="00A2430F">
        <w:t>who</w:t>
      </w:r>
      <w:r w:rsidR="00861BEB" w:rsidRPr="00A2430F">
        <w:t xml:space="preserve"> provide</w:t>
      </w:r>
      <w:r w:rsidR="002B0B68" w:rsidRPr="00A2430F">
        <w:t>d</w:t>
      </w:r>
      <w:r w:rsidR="00861BEB" w:rsidRPr="00A2430F">
        <w:t xml:space="preserve"> a</w:t>
      </w:r>
      <w:r w:rsidR="00B53C86" w:rsidRPr="00A2430F">
        <w:t xml:space="preserve"> valid</w:t>
      </w:r>
      <w:r w:rsidR="00861BEB" w:rsidRPr="00A2430F">
        <w:t xml:space="preserve"> service number but had </w:t>
      </w:r>
      <w:r w:rsidR="00861BEB" w:rsidRPr="00A2430F">
        <w:lastRenderedPageBreak/>
        <w:t xml:space="preserve">emigrated since leaving the </w:t>
      </w:r>
      <w:r w:rsidR="00B73267" w:rsidRPr="00A2430F">
        <w:t>AF</w:t>
      </w:r>
      <w:r w:rsidR="00861BEB" w:rsidRPr="00A2430F">
        <w:t xml:space="preserve"> were included</w:t>
      </w:r>
      <w:r w:rsidR="00AC71FD" w:rsidRPr="00A2430F">
        <w:t xml:space="preserve"> (</w:t>
      </w:r>
      <w:r w:rsidR="006140BB" w:rsidRPr="00A2430F">
        <w:t>1</w:t>
      </w:r>
      <w:r w:rsidR="00AC71FD" w:rsidRPr="00A2430F">
        <w:t xml:space="preserve">% of the </w:t>
      </w:r>
      <w:r w:rsidR="00750A8D" w:rsidRPr="00A2430F">
        <w:t xml:space="preserve">veteran </w:t>
      </w:r>
      <w:r w:rsidR="00AC71FD" w:rsidRPr="00A2430F">
        <w:t>sample)</w:t>
      </w:r>
      <w:r w:rsidR="00861BEB" w:rsidRPr="00A2430F">
        <w:t xml:space="preserve">. All participants were reimbursed with a £20 shopping voucher on completion of the study. </w:t>
      </w:r>
    </w:p>
    <w:p w14:paraId="5BE8D571" w14:textId="1C848AB3" w:rsidR="002222BF" w:rsidRPr="00A2430F" w:rsidRDefault="002222BF" w:rsidP="00EC47C3">
      <w:pPr>
        <w:spacing w:line="480" w:lineRule="auto"/>
        <w:ind w:firstLine="720"/>
        <w:rPr>
          <w:color w:val="000000"/>
        </w:rPr>
      </w:pPr>
      <w:r w:rsidRPr="00A2430F">
        <w:rPr>
          <w:color w:val="000000"/>
        </w:rPr>
        <w:t xml:space="preserve">The study protocol was reviewed by </w:t>
      </w:r>
      <w:r w:rsidR="00EC47C3" w:rsidRPr="00EC47C3">
        <w:rPr>
          <w:color w:val="000000"/>
        </w:rPr>
        <w:t>Wales NHS Research Ethics Committee 6 and</w:t>
      </w:r>
      <w:r w:rsidR="00EC47C3">
        <w:rPr>
          <w:color w:val="000000"/>
        </w:rPr>
        <w:t xml:space="preserve"> </w:t>
      </w:r>
      <w:r w:rsidR="00EC47C3" w:rsidRPr="00EC47C3">
        <w:rPr>
          <w:color w:val="000000"/>
        </w:rPr>
        <w:t>obtained favourable HRA and Health and Care Research Wales (HCRW) approval (REC</w:t>
      </w:r>
      <w:r w:rsidR="00EC47C3">
        <w:rPr>
          <w:color w:val="000000"/>
        </w:rPr>
        <w:t xml:space="preserve"> </w:t>
      </w:r>
      <w:r w:rsidR="00EC47C3" w:rsidRPr="00EC47C3">
        <w:rPr>
          <w:color w:val="000000"/>
        </w:rPr>
        <w:t>reference 19/WA/0134)</w:t>
      </w:r>
      <w:r w:rsidR="00EC47C3">
        <w:rPr>
          <w:color w:val="000000"/>
        </w:rPr>
        <w:t xml:space="preserve"> </w:t>
      </w:r>
      <w:r w:rsidRPr="00A2430F">
        <w:rPr>
          <w:color w:val="000000"/>
        </w:rPr>
        <w:t xml:space="preserve">and was conducted in accordance with STROBE guidelines. </w:t>
      </w:r>
      <w:r w:rsidR="00F6634F">
        <w:rPr>
          <w:noProof/>
          <w:color w:val="000000"/>
        </w:rPr>
        <w:t>A</w:t>
      </w:r>
      <w:r w:rsidRPr="00A2430F">
        <w:rPr>
          <w:noProof/>
          <w:color w:val="000000"/>
        </w:rPr>
        <w:t>ll procedures contributing to this work comply with the ethical standards of the relevant national and institutional committees on human experimentation and with the Helsinki Declaration of 1975, as revised in 2008.</w:t>
      </w:r>
    </w:p>
    <w:p w14:paraId="4B8E8400" w14:textId="44BA924E" w:rsidR="003E5FC4" w:rsidRDefault="003E5FC4" w:rsidP="00025D0E">
      <w:pPr>
        <w:pStyle w:val="Heading2"/>
      </w:pPr>
      <w:r w:rsidRPr="00A2430F">
        <w:t>Measures</w:t>
      </w:r>
    </w:p>
    <w:p w14:paraId="448B8D35" w14:textId="63FAE36D" w:rsidR="003F0367" w:rsidRPr="00A2430F" w:rsidRDefault="003F0367" w:rsidP="00124176">
      <w:pPr>
        <w:spacing w:line="480" w:lineRule="auto"/>
        <w:ind w:firstLine="720"/>
        <w:rPr>
          <w:b/>
          <w:bCs/>
        </w:rPr>
      </w:pPr>
      <w:r w:rsidRPr="00A2430F">
        <w:t>The UK AF Veterans’ Health and Gambling Study is an age- and gender-matched cross-sectional online survey of UK veterans no longer serving in the military and those who have never served in the military (non-veterans). As well as sociodemographic characteristics, primary outcome variables included gambling severity and motivation, mental health (anxiety, depression, PTSD, and C-PSTD, and alcohol and nicotine use.</w:t>
      </w:r>
    </w:p>
    <w:p w14:paraId="356ADC9A" w14:textId="2AF3C529" w:rsidR="003E5FC4" w:rsidRPr="006007DA" w:rsidRDefault="003E5FC4" w:rsidP="006007DA">
      <w:pPr>
        <w:spacing w:line="480" w:lineRule="auto"/>
        <w:ind w:firstLine="720"/>
        <w:rPr>
          <w:bCs/>
        </w:rPr>
      </w:pPr>
      <w:bookmarkStart w:id="0" w:name="_Hlk62112506"/>
      <w:r w:rsidRPr="00A2430F">
        <w:rPr>
          <w:b/>
        </w:rPr>
        <w:t>Sociodemographic variables</w:t>
      </w:r>
      <w:r w:rsidRPr="00A2430F">
        <w:rPr>
          <w:bCs/>
        </w:rPr>
        <w:t xml:space="preserve">. Respondents were asked their </w:t>
      </w:r>
      <w:r w:rsidR="00BD7105">
        <w:rPr>
          <w:bCs/>
        </w:rPr>
        <w:t xml:space="preserve">sex (as defined at birth), </w:t>
      </w:r>
      <w:r w:rsidRPr="00A2430F">
        <w:rPr>
          <w:color w:val="000000"/>
        </w:rPr>
        <w:t>gender</w:t>
      </w:r>
      <w:r w:rsidR="00675750">
        <w:rPr>
          <w:color w:val="000000"/>
        </w:rPr>
        <w:t xml:space="preserve"> (i.e</w:t>
      </w:r>
      <w:r w:rsidR="0088123B">
        <w:rPr>
          <w:color w:val="000000"/>
        </w:rPr>
        <w:t>.</w:t>
      </w:r>
      <w:r w:rsidR="00675750">
        <w:rPr>
          <w:color w:val="000000"/>
        </w:rPr>
        <w:t>, male, female, non-binary, prefer to self-define/not to say, other)</w:t>
      </w:r>
      <w:r w:rsidRPr="00A2430F">
        <w:rPr>
          <w:color w:val="000000"/>
        </w:rPr>
        <w:t>, age, ethnicity</w:t>
      </w:r>
      <w:r w:rsidR="00BD7105">
        <w:rPr>
          <w:color w:val="000000"/>
        </w:rPr>
        <w:t xml:space="preserve"> (</w:t>
      </w:r>
      <w:r w:rsidR="00843D79">
        <w:rPr>
          <w:color w:val="000000"/>
        </w:rPr>
        <w:t xml:space="preserve">i.e., </w:t>
      </w:r>
      <w:r w:rsidR="00BD7105" w:rsidRPr="00BD7105">
        <w:rPr>
          <w:color w:val="000000"/>
        </w:rPr>
        <w:t>White-British/Irish, Any other white background, Mixed – White and Black Caribbean/Black African/Asian, Any other mixed background, Asian or Asian British – Indian/Pakistani/Bangladeshi, Any other Asian/Asian British background, Black or Black British – Caribbean/African, Any other Black/Black British background, Chinese, Prefer not to say, Any other</w:t>
      </w:r>
      <w:r w:rsidR="00BD7105">
        <w:rPr>
          <w:color w:val="000000"/>
        </w:rPr>
        <w:t>)</w:t>
      </w:r>
      <w:r w:rsidRPr="00A2430F">
        <w:rPr>
          <w:color w:val="000000"/>
        </w:rPr>
        <w:t xml:space="preserve">, </w:t>
      </w:r>
      <w:r w:rsidR="00AC3A34">
        <w:rPr>
          <w:color w:val="000000"/>
        </w:rPr>
        <w:t xml:space="preserve">relationship </w:t>
      </w:r>
      <w:r w:rsidRPr="00A2430F">
        <w:rPr>
          <w:color w:val="000000"/>
        </w:rPr>
        <w:t>status</w:t>
      </w:r>
      <w:r w:rsidR="00AC3A34">
        <w:rPr>
          <w:color w:val="000000"/>
        </w:rPr>
        <w:t xml:space="preserve"> (</w:t>
      </w:r>
      <w:r w:rsidR="00843D79">
        <w:rPr>
          <w:color w:val="000000"/>
        </w:rPr>
        <w:t xml:space="preserve">i.e., </w:t>
      </w:r>
      <w:r w:rsidR="00AC3A34">
        <w:rPr>
          <w:color w:val="000000"/>
        </w:rPr>
        <w:t>s</w:t>
      </w:r>
      <w:r w:rsidR="00AC3A34" w:rsidRPr="00AC3A34">
        <w:rPr>
          <w:color w:val="000000"/>
        </w:rPr>
        <w:t xml:space="preserve">ingle, </w:t>
      </w:r>
      <w:r w:rsidR="00AC3A34">
        <w:rPr>
          <w:color w:val="000000"/>
        </w:rPr>
        <w:t>i</w:t>
      </w:r>
      <w:r w:rsidR="00AC3A34" w:rsidRPr="00AC3A34">
        <w:rPr>
          <w:color w:val="000000"/>
        </w:rPr>
        <w:t xml:space="preserve">n a relationship, </w:t>
      </w:r>
      <w:r w:rsidR="00AC3A34">
        <w:rPr>
          <w:color w:val="000000"/>
        </w:rPr>
        <w:t>c</w:t>
      </w:r>
      <w:r w:rsidR="00AC3A34" w:rsidRPr="00AC3A34">
        <w:rPr>
          <w:color w:val="000000"/>
        </w:rPr>
        <w:t xml:space="preserve">o-habiting, </w:t>
      </w:r>
      <w:r w:rsidR="00AC3A34">
        <w:rPr>
          <w:color w:val="000000"/>
        </w:rPr>
        <w:t>n</w:t>
      </w:r>
      <w:r w:rsidR="00AC3A34" w:rsidRPr="00AC3A34">
        <w:rPr>
          <w:color w:val="000000"/>
        </w:rPr>
        <w:t xml:space="preserve">ever married, </w:t>
      </w:r>
      <w:r w:rsidR="00AC3A34">
        <w:rPr>
          <w:color w:val="000000"/>
        </w:rPr>
        <w:t>m</w:t>
      </w:r>
      <w:r w:rsidR="00AC3A34" w:rsidRPr="00AC3A34">
        <w:rPr>
          <w:color w:val="000000"/>
        </w:rPr>
        <w:t xml:space="preserve">arried-first and only marriage/second or later marriage, </w:t>
      </w:r>
      <w:r w:rsidR="00AC3A34">
        <w:rPr>
          <w:color w:val="000000"/>
        </w:rPr>
        <w:t>s</w:t>
      </w:r>
      <w:r w:rsidR="00AC3A34" w:rsidRPr="00AC3A34">
        <w:rPr>
          <w:color w:val="000000"/>
        </w:rPr>
        <w:t xml:space="preserve">eparated, </w:t>
      </w:r>
      <w:r w:rsidR="00AC3A34">
        <w:rPr>
          <w:color w:val="000000"/>
        </w:rPr>
        <w:t>d</w:t>
      </w:r>
      <w:r w:rsidR="00AC3A34" w:rsidRPr="00AC3A34">
        <w:rPr>
          <w:color w:val="000000"/>
        </w:rPr>
        <w:t xml:space="preserve">ivorced, </w:t>
      </w:r>
      <w:r w:rsidR="00AC3A34">
        <w:rPr>
          <w:color w:val="000000"/>
        </w:rPr>
        <w:t>w</w:t>
      </w:r>
      <w:r w:rsidR="00AC3A34" w:rsidRPr="00AC3A34">
        <w:rPr>
          <w:color w:val="000000"/>
        </w:rPr>
        <w:t xml:space="preserve">idowed, </w:t>
      </w:r>
      <w:r w:rsidR="00AC3A34">
        <w:rPr>
          <w:color w:val="000000"/>
        </w:rPr>
        <w:t>o</w:t>
      </w:r>
      <w:r w:rsidR="00AC3A34" w:rsidRPr="00AC3A34">
        <w:rPr>
          <w:color w:val="000000"/>
        </w:rPr>
        <w:t>the</w:t>
      </w:r>
      <w:r w:rsidR="00AC3A34">
        <w:rPr>
          <w:color w:val="000000"/>
        </w:rPr>
        <w:t>r)</w:t>
      </w:r>
      <w:r w:rsidRPr="00A2430F">
        <w:rPr>
          <w:color w:val="000000"/>
        </w:rPr>
        <w:t>, highest qualification</w:t>
      </w:r>
      <w:r w:rsidR="00EE215E">
        <w:rPr>
          <w:color w:val="000000"/>
        </w:rPr>
        <w:t xml:space="preserve"> (e.g., no formal qualifications, General Certificate of Secondary Education</w:t>
      </w:r>
      <w:r w:rsidR="00726310">
        <w:rPr>
          <w:color w:val="000000"/>
        </w:rPr>
        <w:t xml:space="preserve"> (GCSE)</w:t>
      </w:r>
      <w:r w:rsidR="00EE215E">
        <w:rPr>
          <w:color w:val="000000"/>
        </w:rPr>
        <w:t>, A</w:t>
      </w:r>
      <w:r w:rsidR="00726310">
        <w:rPr>
          <w:color w:val="000000"/>
        </w:rPr>
        <w:t xml:space="preserve">dvanced </w:t>
      </w:r>
      <w:r w:rsidR="00EE215E">
        <w:rPr>
          <w:color w:val="000000"/>
        </w:rPr>
        <w:t>S</w:t>
      </w:r>
      <w:r w:rsidR="00726310">
        <w:rPr>
          <w:color w:val="000000"/>
        </w:rPr>
        <w:t>ubsidiary (AS)</w:t>
      </w:r>
      <w:r w:rsidR="00EE215E">
        <w:rPr>
          <w:color w:val="000000"/>
        </w:rPr>
        <w:t>/A</w:t>
      </w:r>
      <w:r w:rsidR="00726310">
        <w:rPr>
          <w:color w:val="000000"/>
        </w:rPr>
        <w:t>dvanced</w:t>
      </w:r>
      <w:r w:rsidR="00EE215E">
        <w:rPr>
          <w:color w:val="000000"/>
        </w:rPr>
        <w:t xml:space="preserve"> </w:t>
      </w:r>
      <w:r w:rsidR="00726310">
        <w:rPr>
          <w:color w:val="000000"/>
        </w:rPr>
        <w:t xml:space="preserve">(A) </w:t>
      </w:r>
      <w:r w:rsidR="00EE215E">
        <w:rPr>
          <w:color w:val="000000"/>
        </w:rPr>
        <w:t>Levels, bachelor’s degree)</w:t>
      </w:r>
      <w:r w:rsidRPr="00A2430F">
        <w:rPr>
          <w:color w:val="000000"/>
        </w:rPr>
        <w:t>, accommodation type</w:t>
      </w:r>
      <w:r w:rsidR="00C90136">
        <w:rPr>
          <w:color w:val="000000"/>
        </w:rPr>
        <w:t xml:space="preserve"> (e.g., owner-occupier, privately rented flat or house, sheltered </w:t>
      </w:r>
      <w:r w:rsidR="00C90136">
        <w:rPr>
          <w:color w:val="000000"/>
        </w:rPr>
        <w:lastRenderedPageBreak/>
        <w:t>housing, rehabilitation/long-stay psychiatric ward, homeless)</w:t>
      </w:r>
      <w:r w:rsidRPr="00A2430F">
        <w:rPr>
          <w:color w:val="000000"/>
        </w:rPr>
        <w:t>, and who they lived with</w:t>
      </w:r>
      <w:r w:rsidR="00843D79">
        <w:rPr>
          <w:color w:val="000000"/>
        </w:rPr>
        <w:t xml:space="preserve"> (i.e., </w:t>
      </w:r>
      <w:r w:rsidR="00843D79" w:rsidRPr="00843D79">
        <w:rPr>
          <w:color w:val="000000"/>
        </w:rPr>
        <w:t xml:space="preserve">alone, </w:t>
      </w:r>
      <w:r w:rsidR="00741918">
        <w:rPr>
          <w:color w:val="000000"/>
        </w:rPr>
        <w:t>c</w:t>
      </w:r>
      <w:r w:rsidR="00843D79" w:rsidRPr="00843D79">
        <w:rPr>
          <w:color w:val="000000"/>
        </w:rPr>
        <w:t xml:space="preserve">hildren under 18/over 18, </w:t>
      </w:r>
      <w:r w:rsidR="00741918">
        <w:rPr>
          <w:color w:val="000000"/>
        </w:rPr>
        <w:t>s</w:t>
      </w:r>
      <w:r w:rsidR="00843D79" w:rsidRPr="00843D79">
        <w:rPr>
          <w:color w:val="000000"/>
        </w:rPr>
        <w:t xml:space="preserve">pouse/partner, </w:t>
      </w:r>
      <w:r w:rsidR="00741918">
        <w:rPr>
          <w:color w:val="000000"/>
        </w:rPr>
        <w:t>o</w:t>
      </w:r>
      <w:r w:rsidR="00843D79" w:rsidRPr="00843D79">
        <w:rPr>
          <w:color w:val="000000"/>
        </w:rPr>
        <w:t xml:space="preserve">ther family, </w:t>
      </w:r>
      <w:r w:rsidR="00741918">
        <w:rPr>
          <w:color w:val="000000"/>
        </w:rPr>
        <w:t>p</w:t>
      </w:r>
      <w:r w:rsidR="00843D79" w:rsidRPr="00843D79">
        <w:rPr>
          <w:color w:val="000000"/>
        </w:rPr>
        <w:t xml:space="preserve">arent(s), </w:t>
      </w:r>
      <w:r w:rsidR="00741918">
        <w:rPr>
          <w:color w:val="000000"/>
        </w:rPr>
        <w:t>n</w:t>
      </w:r>
      <w:r w:rsidR="00843D79" w:rsidRPr="00843D79">
        <w:rPr>
          <w:color w:val="000000"/>
        </w:rPr>
        <w:t>on-family, other</w:t>
      </w:r>
      <w:r w:rsidR="00843D79">
        <w:rPr>
          <w:color w:val="000000"/>
        </w:rPr>
        <w:t>)</w:t>
      </w:r>
      <w:r w:rsidRPr="00A2430F">
        <w:rPr>
          <w:color w:val="000000"/>
        </w:rPr>
        <w:t xml:space="preserve">. </w:t>
      </w:r>
    </w:p>
    <w:p w14:paraId="5F9DC94C" w14:textId="64DF7355" w:rsidR="003E5FC4" w:rsidRPr="00A2430F" w:rsidRDefault="003E5FC4" w:rsidP="006007DA">
      <w:pPr>
        <w:spacing w:line="480" w:lineRule="auto"/>
        <w:ind w:firstLine="720"/>
        <w:rPr>
          <w:color w:val="000000"/>
        </w:rPr>
      </w:pPr>
      <w:r w:rsidRPr="00A2430F">
        <w:rPr>
          <w:b/>
          <w:bCs/>
          <w:color w:val="000000"/>
        </w:rPr>
        <w:t>Military demographic variables</w:t>
      </w:r>
      <w:r w:rsidRPr="00A2430F">
        <w:rPr>
          <w:color w:val="000000"/>
        </w:rPr>
        <w:t>. Veterans provided their service number and further details about their military service including years</w:t>
      </w:r>
      <w:r w:rsidR="0025788D">
        <w:rPr>
          <w:color w:val="000000"/>
        </w:rPr>
        <w:t xml:space="preserve"> served</w:t>
      </w:r>
      <w:r w:rsidR="00DC7B32" w:rsidRPr="00A2430F">
        <w:rPr>
          <w:color w:val="000000"/>
        </w:rPr>
        <w:t>, branch</w:t>
      </w:r>
      <w:r w:rsidR="003310D6">
        <w:rPr>
          <w:color w:val="000000"/>
        </w:rPr>
        <w:t xml:space="preserve"> (e.g., Royal Navy, Royal Marines, Army, Royal Air Force, Merchant Navy</w:t>
      </w:r>
      <w:r w:rsidR="0087018F">
        <w:rPr>
          <w:color w:val="000000"/>
        </w:rPr>
        <w:t>)</w:t>
      </w:r>
      <w:r w:rsidR="00DC7B32" w:rsidRPr="00A2430F">
        <w:rPr>
          <w:color w:val="000000"/>
        </w:rPr>
        <w:t xml:space="preserve"> and trade</w:t>
      </w:r>
      <w:r w:rsidRPr="00A2430F">
        <w:rPr>
          <w:color w:val="000000"/>
        </w:rPr>
        <w:t xml:space="preserve"> in service, type of discharge</w:t>
      </w:r>
      <w:r w:rsidR="004B2654">
        <w:rPr>
          <w:color w:val="000000"/>
        </w:rPr>
        <w:t xml:space="preserve"> (e.g., medical, at own request, end of engagement)</w:t>
      </w:r>
      <w:r w:rsidRPr="00A2430F">
        <w:rPr>
          <w:color w:val="000000"/>
        </w:rPr>
        <w:t>, rank at discharge</w:t>
      </w:r>
      <w:r w:rsidR="00DC7B32" w:rsidRPr="00A2430F">
        <w:rPr>
          <w:color w:val="000000"/>
        </w:rPr>
        <w:t xml:space="preserve">, </w:t>
      </w:r>
      <w:r w:rsidRPr="00A2430F">
        <w:rPr>
          <w:color w:val="000000"/>
        </w:rPr>
        <w:t>number of deployments, deployment length, and deployment locations</w:t>
      </w:r>
      <w:r w:rsidR="00DC7B32" w:rsidRPr="00A2430F">
        <w:rPr>
          <w:color w:val="000000"/>
        </w:rPr>
        <w:t>. Locations were selected</w:t>
      </w:r>
      <w:r w:rsidR="0027428E" w:rsidRPr="00A2430F">
        <w:rPr>
          <w:color w:val="000000"/>
        </w:rPr>
        <w:t xml:space="preserve"> from a list </w:t>
      </w:r>
      <w:r w:rsidR="009858F1" w:rsidRPr="00A2430F">
        <w:rPr>
          <w:color w:val="000000"/>
        </w:rPr>
        <w:t xml:space="preserve">of </w:t>
      </w:r>
      <w:r w:rsidR="007F0973" w:rsidRPr="00A2430F">
        <w:rPr>
          <w:color w:val="000000"/>
        </w:rPr>
        <w:t>thirty-seven</w:t>
      </w:r>
      <w:r w:rsidR="009858F1" w:rsidRPr="00A2430F">
        <w:rPr>
          <w:color w:val="000000"/>
        </w:rPr>
        <w:t xml:space="preserve"> </w:t>
      </w:r>
      <w:r w:rsidR="008E70DA" w:rsidRPr="00E27579">
        <w:rPr>
          <w:color w:val="000000"/>
        </w:rPr>
        <w:t xml:space="preserve">deployments </w:t>
      </w:r>
      <w:r w:rsidR="00235A2A" w:rsidRPr="00E27579">
        <w:rPr>
          <w:color w:val="000000"/>
        </w:rPr>
        <w:t>(see Supp</w:t>
      </w:r>
      <w:r w:rsidR="00E27579" w:rsidRPr="00E27579">
        <w:rPr>
          <w:color w:val="000000"/>
        </w:rPr>
        <w:t>lementary Materials</w:t>
      </w:r>
      <w:r w:rsidR="00235A2A" w:rsidRPr="00E27579">
        <w:rPr>
          <w:color w:val="000000"/>
        </w:rPr>
        <w:t xml:space="preserve">) </w:t>
      </w:r>
      <w:r w:rsidR="0027428E" w:rsidRPr="00E27579">
        <w:rPr>
          <w:color w:val="000000"/>
        </w:rPr>
        <w:t>including</w:t>
      </w:r>
      <w:r w:rsidR="0027428E" w:rsidRPr="00A2430F">
        <w:rPr>
          <w:color w:val="000000"/>
        </w:rPr>
        <w:t xml:space="preserve"> Northern Ireland, Falkland Islands, Gulf War (1990-1991), Afghanistan (2001-2014), Iraq (2003-2011), Iran-Iraq conflict (1977), and non-combat and low combat United Nations</w:t>
      </w:r>
      <w:r w:rsidR="00A315E8" w:rsidRPr="00A2430F">
        <w:rPr>
          <w:color w:val="000000"/>
        </w:rPr>
        <w:t>/NATO</w:t>
      </w:r>
      <w:r w:rsidR="0027428E" w:rsidRPr="00A2430F">
        <w:rPr>
          <w:color w:val="000000"/>
        </w:rPr>
        <w:t xml:space="preserve"> peacekeeping missions (e.g., Somalia, Bosnia)</w:t>
      </w:r>
      <w:r w:rsidRPr="00A2430F">
        <w:rPr>
          <w:color w:val="000000"/>
        </w:rPr>
        <w:t>.</w:t>
      </w:r>
      <w:r w:rsidR="0027428E" w:rsidRPr="00A2430F">
        <w:rPr>
          <w:color w:val="000000"/>
        </w:rPr>
        <w:t xml:space="preserve"> </w:t>
      </w:r>
      <w:r w:rsidR="00A315E8" w:rsidRPr="00A2430F">
        <w:rPr>
          <w:color w:val="000000"/>
        </w:rPr>
        <w:t>Respondent</w:t>
      </w:r>
      <w:r w:rsidR="00377E97" w:rsidRPr="00A2430F">
        <w:rPr>
          <w:color w:val="000000"/>
        </w:rPr>
        <w:t>s</w:t>
      </w:r>
      <w:r w:rsidR="00A315E8" w:rsidRPr="00A2430F">
        <w:rPr>
          <w:color w:val="000000"/>
        </w:rPr>
        <w:t xml:space="preserve"> could</w:t>
      </w:r>
      <w:r w:rsidR="005D2C2E" w:rsidRPr="00A2430F">
        <w:rPr>
          <w:color w:val="000000"/>
        </w:rPr>
        <w:t xml:space="preserve"> select more than one </w:t>
      </w:r>
      <w:r w:rsidR="009E7EAF" w:rsidRPr="00A2430F">
        <w:rPr>
          <w:color w:val="000000"/>
        </w:rPr>
        <w:t xml:space="preserve">deployment </w:t>
      </w:r>
      <w:r w:rsidR="005D2C2E" w:rsidRPr="00A2430F">
        <w:rPr>
          <w:color w:val="000000"/>
        </w:rPr>
        <w:t xml:space="preserve">location and </w:t>
      </w:r>
      <w:r w:rsidR="00A315E8" w:rsidRPr="00A2430F">
        <w:rPr>
          <w:color w:val="000000"/>
        </w:rPr>
        <w:t>indicate other</w:t>
      </w:r>
      <w:r w:rsidR="009E7EAF" w:rsidRPr="00A2430F">
        <w:rPr>
          <w:color w:val="000000"/>
        </w:rPr>
        <w:t xml:space="preserve"> locations </w:t>
      </w:r>
      <w:r w:rsidR="001B0850" w:rsidRPr="00A2430F">
        <w:rPr>
          <w:color w:val="000000"/>
        </w:rPr>
        <w:t xml:space="preserve">using </w:t>
      </w:r>
      <w:r w:rsidR="00A315E8" w:rsidRPr="00A2430F">
        <w:rPr>
          <w:color w:val="000000"/>
        </w:rPr>
        <w:t xml:space="preserve">a self-completion </w:t>
      </w:r>
      <w:r w:rsidR="00484683" w:rsidRPr="00A2430F">
        <w:rPr>
          <w:color w:val="000000"/>
        </w:rPr>
        <w:t>textbox</w:t>
      </w:r>
      <w:r w:rsidR="00A315E8" w:rsidRPr="00A2430F">
        <w:rPr>
          <w:color w:val="000000"/>
        </w:rPr>
        <w:t>.</w:t>
      </w:r>
    </w:p>
    <w:p w14:paraId="43406225" w14:textId="4B7CECE1" w:rsidR="003E5FC4" w:rsidRPr="006007DA" w:rsidRDefault="003E5FC4" w:rsidP="006007DA">
      <w:pPr>
        <w:spacing w:line="480" w:lineRule="auto"/>
        <w:ind w:firstLine="720"/>
        <w:rPr>
          <w:i/>
          <w:iCs/>
          <w:color w:val="000000"/>
        </w:rPr>
      </w:pPr>
      <w:r w:rsidRPr="00A2430F">
        <w:rPr>
          <w:b/>
          <w:bCs/>
          <w:color w:val="000000"/>
        </w:rPr>
        <w:t>Gambling participation and activities</w:t>
      </w:r>
      <w:r w:rsidRPr="00A2430F">
        <w:rPr>
          <w:color w:val="000000"/>
        </w:rPr>
        <w:t>.</w:t>
      </w:r>
      <w:r w:rsidRPr="00A2430F">
        <w:rPr>
          <w:i/>
          <w:iCs/>
          <w:color w:val="000000"/>
        </w:rPr>
        <w:t xml:space="preserve"> </w:t>
      </w:r>
      <w:r w:rsidRPr="00A2430F">
        <w:rPr>
          <w:color w:val="000000"/>
        </w:rPr>
        <w:t xml:space="preserve">Respondents were asked whether they had participated in one or more of 19 gambling activities within the past year </w:t>
      </w:r>
      <w:r w:rsidR="00F6634F">
        <w:rPr>
          <w:color w:val="000000"/>
        </w:rPr>
        <w:t xml:space="preserve">(Wardle et al., </w:t>
      </w:r>
      <w:r w:rsidR="007439D7">
        <w:rPr>
          <w:color w:val="000000"/>
        </w:rPr>
        <w:t>2007</w:t>
      </w:r>
      <w:r w:rsidR="00EF13D5">
        <w:rPr>
          <w:color w:val="000000"/>
        </w:rPr>
        <w:t xml:space="preserve">; </w:t>
      </w:r>
      <w:r w:rsidR="00EF13D5" w:rsidRPr="00E27579">
        <w:rPr>
          <w:color w:val="000000"/>
        </w:rPr>
        <w:t>see Supplementary Materials</w:t>
      </w:r>
      <w:r w:rsidR="007439D7">
        <w:rPr>
          <w:color w:val="000000"/>
        </w:rPr>
        <w:t>)</w:t>
      </w:r>
      <w:r w:rsidRPr="00A2430F">
        <w:rPr>
          <w:color w:val="000000"/>
        </w:rPr>
        <w:t>. If participants had gambled, they proceeded to the gambling severity and motivation measures. If not, they proceeded directly to the mental health measures.</w:t>
      </w:r>
    </w:p>
    <w:p w14:paraId="1D7D97EB" w14:textId="542A7CE4" w:rsidR="003E5FC4" w:rsidRPr="006007DA" w:rsidRDefault="003E5FC4" w:rsidP="006007DA">
      <w:pPr>
        <w:spacing w:line="480" w:lineRule="auto"/>
        <w:ind w:firstLine="720"/>
        <w:rPr>
          <w:b/>
          <w:bCs/>
          <w:color w:val="000000"/>
        </w:rPr>
      </w:pPr>
      <w:r w:rsidRPr="00A2430F">
        <w:rPr>
          <w:b/>
          <w:bCs/>
          <w:color w:val="000000"/>
        </w:rPr>
        <w:t>Gambling severity and motivation variables</w:t>
      </w:r>
      <w:r w:rsidR="006007DA">
        <w:rPr>
          <w:b/>
          <w:bCs/>
          <w:color w:val="000000"/>
        </w:rPr>
        <w:t xml:space="preserve">. </w:t>
      </w:r>
      <w:r w:rsidRPr="00A2430F">
        <w:rPr>
          <w:bCs/>
          <w:iCs/>
        </w:rPr>
        <w:t xml:space="preserve">The </w:t>
      </w:r>
      <w:r w:rsidRPr="00A2430F">
        <w:rPr>
          <w:bCs/>
          <w:i/>
        </w:rPr>
        <w:t>Problem Gambling Severity Index</w:t>
      </w:r>
      <w:r w:rsidRPr="00A2430F">
        <w:rPr>
          <w:bCs/>
          <w:iCs/>
        </w:rPr>
        <w:t xml:space="preserve"> (PGSI</w:t>
      </w:r>
      <w:r w:rsidR="00D82C31">
        <w:rPr>
          <w:bCs/>
          <w:iCs/>
        </w:rPr>
        <w:t>; Ferris &amp; Wynne, 2001</w:t>
      </w:r>
      <w:r w:rsidRPr="00A2430F">
        <w:rPr>
          <w:bCs/>
          <w:iCs/>
        </w:rPr>
        <w:t>) comprises nine items measuring problematic gambling. Respondents use a 4-point scale to rate how often in the past year they had experienced a particular behaviour (e.g., ‘</w:t>
      </w:r>
      <w:r w:rsidRPr="00A2430F">
        <w:rPr>
          <w:bCs/>
          <w:i/>
        </w:rPr>
        <w:t>Have you bet more than you could really afford to lose</w:t>
      </w:r>
      <w:r w:rsidRPr="00A2430F">
        <w:rPr>
          <w:bCs/>
          <w:iCs/>
        </w:rPr>
        <w:t>?’), from ‘</w:t>
      </w:r>
      <w:r w:rsidRPr="00A2430F">
        <w:rPr>
          <w:bCs/>
          <w:i/>
        </w:rPr>
        <w:t>Never</w:t>
      </w:r>
      <w:r w:rsidRPr="00A2430F">
        <w:rPr>
          <w:bCs/>
          <w:iCs/>
        </w:rPr>
        <w:t>’ (0) to ‘</w:t>
      </w:r>
      <w:r w:rsidRPr="00A2430F">
        <w:rPr>
          <w:bCs/>
          <w:i/>
        </w:rPr>
        <w:t>Almost Always’</w:t>
      </w:r>
      <w:r w:rsidRPr="00A2430F">
        <w:rPr>
          <w:bCs/>
          <w:iCs/>
        </w:rPr>
        <w:t xml:space="preserve"> (3). Scores are summed, with 0 indicative of </w:t>
      </w:r>
      <w:r w:rsidRPr="00A2430F">
        <w:rPr>
          <w:bCs/>
          <w:i/>
        </w:rPr>
        <w:t>non-problem gambling</w:t>
      </w:r>
      <w:r w:rsidR="00D401C7">
        <w:rPr>
          <w:bCs/>
          <w:iCs/>
        </w:rPr>
        <w:t xml:space="preserve">, </w:t>
      </w:r>
      <w:r w:rsidRPr="00A2430F">
        <w:rPr>
          <w:bCs/>
          <w:iCs/>
        </w:rPr>
        <w:t xml:space="preserve">scores of 1-2 classified as </w:t>
      </w:r>
      <w:r w:rsidRPr="00A2430F">
        <w:rPr>
          <w:bCs/>
          <w:i/>
        </w:rPr>
        <w:t>low-risk gambling</w:t>
      </w:r>
      <w:r w:rsidR="00D401C7">
        <w:rPr>
          <w:bCs/>
          <w:i/>
        </w:rPr>
        <w:t xml:space="preserve">, </w:t>
      </w:r>
      <w:r w:rsidRPr="00A2430F">
        <w:rPr>
          <w:bCs/>
          <w:iCs/>
        </w:rPr>
        <w:t xml:space="preserve">scores between 3 and 7 </w:t>
      </w:r>
      <w:r w:rsidR="004A15DD">
        <w:rPr>
          <w:bCs/>
          <w:iCs/>
        </w:rPr>
        <w:t xml:space="preserve">are </w:t>
      </w:r>
      <w:r w:rsidRPr="00A2430F">
        <w:rPr>
          <w:bCs/>
          <w:iCs/>
        </w:rPr>
        <w:t>indicat</w:t>
      </w:r>
      <w:r w:rsidR="009420C8">
        <w:rPr>
          <w:bCs/>
          <w:iCs/>
        </w:rPr>
        <w:t>ive of</w:t>
      </w:r>
      <w:r w:rsidRPr="00A2430F">
        <w:rPr>
          <w:bCs/>
          <w:iCs/>
        </w:rPr>
        <w:t xml:space="preserve"> </w:t>
      </w:r>
      <w:r w:rsidRPr="00A2430F">
        <w:rPr>
          <w:bCs/>
          <w:i/>
        </w:rPr>
        <w:t>moderate-risk gambling</w:t>
      </w:r>
      <w:r w:rsidR="009420C8">
        <w:rPr>
          <w:bCs/>
          <w:iCs/>
        </w:rPr>
        <w:t xml:space="preserve">, </w:t>
      </w:r>
      <w:r w:rsidRPr="00A2430F">
        <w:rPr>
          <w:bCs/>
          <w:iCs/>
        </w:rPr>
        <w:t>and scores of 8 or above indica</w:t>
      </w:r>
      <w:r w:rsidR="000E59BB">
        <w:rPr>
          <w:bCs/>
          <w:iCs/>
        </w:rPr>
        <w:t>te</w:t>
      </w:r>
      <w:r w:rsidR="009420C8">
        <w:rPr>
          <w:bCs/>
          <w:iCs/>
        </w:rPr>
        <w:t xml:space="preserve"> </w:t>
      </w:r>
      <w:r w:rsidRPr="00A2430F">
        <w:rPr>
          <w:bCs/>
          <w:i/>
        </w:rPr>
        <w:t>problem gambling</w:t>
      </w:r>
      <w:r w:rsidR="00F86761">
        <w:rPr>
          <w:bCs/>
          <w:iCs/>
        </w:rPr>
        <w:t>.</w:t>
      </w:r>
    </w:p>
    <w:p w14:paraId="7639E59D" w14:textId="49870288" w:rsidR="003E5FC4" w:rsidRPr="00A2430F" w:rsidRDefault="003E5FC4" w:rsidP="003E5FC4">
      <w:pPr>
        <w:spacing w:line="480" w:lineRule="auto"/>
        <w:ind w:firstLine="720"/>
        <w:rPr>
          <w:bCs/>
          <w:iCs/>
          <w:color w:val="FF0000"/>
        </w:rPr>
      </w:pPr>
      <w:r w:rsidRPr="00A2430F">
        <w:rPr>
          <w:bCs/>
          <w:iCs/>
        </w:rPr>
        <w:lastRenderedPageBreak/>
        <w:t xml:space="preserve">The </w:t>
      </w:r>
      <w:r w:rsidRPr="00A2430F">
        <w:rPr>
          <w:bCs/>
          <w:i/>
        </w:rPr>
        <w:t>Gambling Functional Assessment</w:t>
      </w:r>
      <w:r w:rsidR="00235A2A" w:rsidRPr="00A2430F">
        <w:rPr>
          <w:bCs/>
          <w:i/>
        </w:rPr>
        <w:t xml:space="preserve"> -</w:t>
      </w:r>
      <w:r w:rsidRPr="00A2430F">
        <w:rPr>
          <w:bCs/>
          <w:i/>
        </w:rPr>
        <w:t xml:space="preserve"> Revised</w:t>
      </w:r>
      <w:r w:rsidRPr="00A2430F">
        <w:rPr>
          <w:bCs/>
          <w:iCs/>
        </w:rPr>
        <w:t xml:space="preserve"> (GFA-</w:t>
      </w:r>
      <w:r w:rsidR="00D82C31">
        <w:rPr>
          <w:bCs/>
          <w:iCs/>
        </w:rPr>
        <w:t>R; Weatherly et al., 2014</w:t>
      </w:r>
      <w:r w:rsidRPr="00A2430F">
        <w:rPr>
          <w:bCs/>
          <w:iCs/>
        </w:rPr>
        <w:t>) is a 16-item measure of gambling motivations. Respondents use a 7-point scale to rate how often, from ‘</w:t>
      </w:r>
      <w:r w:rsidRPr="00A2430F">
        <w:rPr>
          <w:bCs/>
          <w:i/>
        </w:rPr>
        <w:t>Never</w:t>
      </w:r>
      <w:r w:rsidRPr="00A2430F">
        <w:rPr>
          <w:bCs/>
          <w:iCs/>
        </w:rPr>
        <w:t>’ (0) to ‘</w:t>
      </w:r>
      <w:r w:rsidRPr="00A2430F">
        <w:rPr>
          <w:bCs/>
          <w:i/>
        </w:rPr>
        <w:t>Always</w:t>
      </w:r>
      <w:r w:rsidRPr="00A2430F">
        <w:rPr>
          <w:bCs/>
          <w:iCs/>
        </w:rPr>
        <w:t>’ (6) a particular experience motivates their gambling (e.g., ‘</w:t>
      </w:r>
      <w:r w:rsidRPr="00A2430F">
        <w:rPr>
          <w:bCs/>
          <w:i/>
        </w:rPr>
        <w:t>I gamble when I feel stressed or anxious</w:t>
      </w:r>
      <w:r w:rsidRPr="00A2430F">
        <w:rPr>
          <w:bCs/>
          <w:iCs/>
        </w:rPr>
        <w:t xml:space="preserve">.’). The scores are summed and two subscales, or ‘motivations,’ for gambling derived: positive reinforcement and negative reinforcement. </w:t>
      </w:r>
    </w:p>
    <w:p w14:paraId="4EC87B0B" w14:textId="71EAC5A7" w:rsidR="003E5FC4" w:rsidRPr="006007DA" w:rsidRDefault="003E5FC4" w:rsidP="006007DA">
      <w:pPr>
        <w:spacing w:line="480" w:lineRule="auto"/>
        <w:ind w:firstLine="720"/>
        <w:rPr>
          <w:b/>
          <w:iCs/>
        </w:rPr>
      </w:pPr>
      <w:r w:rsidRPr="00A2430F">
        <w:rPr>
          <w:b/>
          <w:iCs/>
        </w:rPr>
        <w:t>Mental health variables</w:t>
      </w:r>
      <w:r w:rsidR="006007DA">
        <w:rPr>
          <w:b/>
          <w:iCs/>
        </w:rPr>
        <w:t xml:space="preserve">. </w:t>
      </w:r>
      <w:r w:rsidRPr="00A2430F">
        <w:rPr>
          <w:bCs/>
          <w:iCs/>
        </w:rPr>
        <w:t xml:space="preserve">The </w:t>
      </w:r>
      <w:r w:rsidRPr="00A2430F">
        <w:rPr>
          <w:bCs/>
          <w:i/>
        </w:rPr>
        <w:t>Patient Health Questionnaire</w:t>
      </w:r>
      <w:r w:rsidRPr="00A2430F">
        <w:rPr>
          <w:bCs/>
          <w:iCs/>
        </w:rPr>
        <w:t xml:space="preserve"> (PHQ-9</w:t>
      </w:r>
      <w:r w:rsidR="00D82C31">
        <w:rPr>
          <w:bCs/>
          <w:iCs/>
        </w:rPr>
        <w:t>; Kroenke et al., 2001</w:t>
      </w:r>
      <w:r w:rsidRPr="00A2430F">
        <w:rPr>
          <w:bCs/>
          <w:iCs/>
        </w:rPr>
        <w:t>) was used to screen for depression. Comprised of nine items, respondents use a 4-point scale to categorise how often over the last 2 weeks they have experienced a certain statement related to symptoms of depression (e.g., ‘</w:t>
      </w:r>
      <w:r w:rsidRPr="00A2430F">
        <w:rPr>
          <w:bCs/>
          <w:i/>
        </w:rPr>
        <w:t>Little interest or pleasure in doing things</w:t>
      </w:r>
      <w:r w:rsidRPr="00A2430F">
        <w:rPr>
          <w:bCs/>
          <w:iCs/>
        </w:rPr>
        <w:t>’) ranging from 0 (‘</w:t>
      </w:r>
      <w:r w:rsidRPr="00A2430F">
        <w:rPr>
          <w:bCs/>
          <w:i/>
        </w:rPr>
        <w:t xml:space="preserve">not at </w:t>
      </w:r>
      <w:r w:rsidRPr="00A2430F">
        <w:rPr>
          <w:bCs/>
          <w:iCs/>
        </w:rPr>
        <w:t>all’) to 3 (‘</w:t>
      </w:r>
      <w:r w:rsidRPr="00A2430F">
        <w:rPr>
          <w:bCs/>
          <w:i/>
        </w:rPr>
        <w:t>nearly every day</w:t>
      </w:r>
      <w:r w:rsidRPr="00A2430F">
        <w:rPr>
          <w:bCs/>
          <w:iCs/>
        </w:rPr>
        <w:t xml:space="preserve">’). The scores are summed and threshold scores of 0-4 indicate none or mild depression, 5 is considered minimal depression, </w:t>
      </w:r>
      <w:r w:rsidRPr="00A2430F">
        <w:rPr>
          <w:rFonts w:ascii="Symbol" w:eastAsia="Symbol" w:hAnsi="Symbol" w:cs="Symbol"/>
          <w:bCs/>
          <w:iCs/>
        </w:rPr>
        <w:t>³</w:t>
      </w:r>
      <w:r w:rsidRPr="00A2430F">
        <w:rPr>
          <w:bCs/>
          <w:iCs/>
        </w:rPr>
        <w:t xml:space="preserve">10 is considered moderate, </w:t>
      </w:r>
      <w:r w:rsidRPr="00A2430F">
        <w:rPr>
          <w:rFonts w:ascii="Symbol" w:eastAsia="Symbol" w:hAnsi="Symbol" w:cs="Symbol"/>
          <w:bCs/>
          <w:iCs/>
        </w:rPr>
        <w:t>³</w:t>
      </w:r>
      <w:r w:rsidRPr="00A2430F">
        <w:rPr>
          <w:bCs/>
          <w:iCs/>
        </w:rPr>
        <w:t xml:space="preserve">15 is considered moderately severe, and </w:t>
      </w:r>
      <w:r w:rsidRPr="00A2430F">
        <w:rPr>
          <w:rFonts w:ascii="Symbol" w:eastAsia="Symbol" w:hAnsi="Symbol" w:cs="Symbol"/>
          <w:bCs/>
          <w:iCs/>
        </w:rPr>
        <w:t>³</w:t>
      </w:r>
      <w:r w:rsidRPr="00A2430F">
        <w:rPr>
          <w:bCs/>
          <w:iCs/>
        </w:rPr>
        <w:t xml:space="preserve"> 20 indicates severe depression, respectively.</w:t>
      </w:r>
    </w:p>
    <w:p w14:paraId="7C25368D" w14:textId="5529267A" w:rsidR="003E5FC4" w:rsidRPr="00A2430F" w:rsidRDefault="003E5FC4" w:rsidP="003E5FC4">
      <w:pPr>
        <w:spacing w:line="480" w:lineRule="auto"/>
        <w:ind w:firstLine="720"/>
        <w:rPr>
          <w:bCs/>
          <w:iCs/>
          <w:color w:val="FF0000"/>
        </w:rPr>
      </w:pPr>
      <w:r w:rsidRPr="00A2430F">
        <w:rPr>
          <w:bCs/>
          <w:iCs/>
        </w:rPr>
        <w:t xml:space="preserve">The </w:t>
      </w:r>
      <w:r w:rsidRPr="00A2430F">
        <w:rPr>
          <w:bCs/>
          <w:i/>
        </w:rPr>
        <w:t>Generalised Anxiety Disorder assessment</w:t>
      </w:r>
      <w:r w:rsidRPr="00A2430F">
        <w:rPr>
          <w:bCs/>
          <w:iCs/>
        </w:rPr>
        <w:t xml:space="preserve"> (GAD-7</w:t>
      </w:r>
      <w:r w:rsidR="00D82C31">
        <w:rPr>
          <w:bCs/>
          <w:iCs/>
        </w:rPr>
        <w:t>; Spitzer et al., 2006</w:t>
      </w:r>
      <w:r w:rsidRPr="00A2430F">
        <w:rPr>
          <w:bCs/>
          <w:iCs/>
        </w:rPr>
        <w:t>) is a 7-item inventory for the screening of generalised anxiety disorder. Respondents use the same scale as the PHQ-9 to score how often over the last 2 weeks they feel they have experienced a certain statement related to symptoms of generalised anxiety disorder (e.g., “</w:t>
      </w:r>
      <w:r w:rsidRPr="00A2430F">
        <w:rPr>
          <w:bCs/>
          <w:i/>
        </w:rPr>
        <w:t>Not being able to stop or control worrying</w:t>
      </w:r>
      <w:r w:rsidRPr="00A2430F">
        <w:rPr>
          <w:bCs/>
          <w:iCs/>
        </w:rPr>
        <w:t>.</w:t>
      </w:r>
      <w:r w:rsidRPr="00A2430F">
        <w:rPr>
          <w:bCs/>
          <w:i/>
        </w:rPr>
        <w:t>”</w:t>
      </w:r>
      <w:r w:rsidRPr="00A2430F">
        <w:rPr>
          <w:bCs/>
          <w:iCs/>
        </w:rPr>
        <w:t xml:space="preserve">). The scores are summed, with scores of 0-4 indicating none/normal levels of anxiety, 5-9 is considered mild, 10-14 is considered moderate, and 15-21 is considered severe anxiety. </w:t>
      </w:r>
    </w:p>
    <w:p w14:paraId="3AAAAC18" w14:textId="2D0B6EBC" w:rsidR="003E5FC4" w:rsidRPr="00A2430F" w:rsidRDefault="003E5FC4" w:rsidP="003E5FC4">
      <w:pPr>
        <w:spacing w:line="480" w:lineRule="auto"/>
        <w:ind w:firstLine="720"/>
        <w:rPr>
          <w:color w:val="FF0000"/>
        </w:rPr>
      </w:pPr>
      <w:r w:rsidRPr="00A2430F">
        <w:rPr>
          <w:color w:val="000000"/>
        </w:rPr>
        <w:t xml:space="preserve">The </w:t>
      </w:r>
      <w:r w:rsidRPr="00A2430F">
        <w:rPr>
          <w:i/>
          <w:iCs/>
          <w:color w:val="000000"/>
        </w:rPr>
        <w:t>International Trauma Questionnaire</w:t>
      </w:r>
      <w:r w:rsidRPr="00A2430F">
        <w:rPr>
          <w:color w:val="000000"/>
        </w:rPr>
        <w:t xml:space="preserve"> (ITQ</w:t>
      </w:r>
      <w:r w:rsidR="00D82C31">
        <w:rPr>
          <w:color w:val="000000"/>
        </w:rPr>
        <w:t>; Cloitre et al., 2018</w:t>
      </w:r>
      <w:r w:rsidRPr="00A2430F">
        <w:rPr>
          <w:color w:val="000000"/>
        </w:rPr>
        <w:t>) is an eighteen-item measure for the diagnosis of post-traumatic stress disorder (PTSD) and complex PTSD (C</w:t>
      </w:r>
      <w:r w:rsidR="00D45B15" w:rsidRPr="00A2430F">
        <w:rPr>
          <w:color w:val="000000"/>
        </w:rPr>
        <w:t>-</w:t>
      </w:r>
      <w:r w:rsidRPr="00A2430F">
        <w:rPr>
          <w:color w:val="000000"/>
        </w:rPr>
        <w:t>PTSD) based on ICD-11. The ITQ is comprised of four sections, with the first two sections determining probable PTSD, and the second two sections, identifying</w:t>
      </w:r>
      <w:r w:rsidRPr="00A2430F">
        <w:t xml:space="preserve"> </w:t>
      </w:r>
      <w:r w:rsidRPr="00A2430F">
        <w:rPr>
          <w:color w:val="000000"/>
        </w:rPr>
        <w:t xml:space="preserve">Disturbances in Self-Organization (DSO). In the first section, respondents report how much they </w:t>
      </w:r>
      <w:r w:rsidRPr="00A2430F">
        <w:rPr>
          <w:color w:val="000000"/>
        </w:rPr>
        <w:lastRenderedPageBreak/>
        <w:t>experienced any of six problems within the past month (e.g., “</w:t>
      </w:r>
      <w:r w:rsidRPr="00A2430F">
        <w:rPr>
          <w:i/>
          <w:iCs/>
          <w:color w:val="000000"/>
        </w:rPr>
        <w:t>Feeling jumpy or easily startled</w:t>
      </w:r>
      <w:r w:rsidR="00D82C31">
        <w:rPr>
          <w:color w:val="000000"/>
        </w:rPr>
        <w:t>”</w:t>
      </w:r>
      <w:r w:rsidRPr="00A2430F">
        <w:rPr>
          <w:color w:val="000000"/>
        </w:rPr>
        <w:t>). Pairs of questions in this section relate to three PTSD symptom clusters: re-experiencing in the here and now, avoidance, and sense of current threat. The second section asks whether the above problem has affected any of three domains of life (e.g., “</w:t>
      </w:r>
      <w:r w:rsidRPr="00A2430F">
        <w:rPr>
          <w:i/>
          <w:iCs/>
          <w:color w:val="000000"/>
        </w:rPr>
        <w:t>Affected your work or ability to work</w:t>
      </w:r>
      <w:r w:rsidRPr="00A2430F">
        <w:rPr>
          <w:color w:val="000000"/>
        </w:rPr>
        <w:t>?). The questions in this section relate to functional impairment from PTSD. The third section asks how a respondent ‘typically’ feels, thinks about themselves, or how they might relate to others in six statements (e.g., “</w:t>
      </w:r>
      <w:r w:rsidRPr="00A2430F">
        <w:rPr>
          <w:i/>
          <w:iCs/>
          <w:color w:val="000000"/>
        </w:rPr>
        <w:t>I feel like a failure</w:t>
      </w:r>
      <w:r w:rsidRPr="00A2430F">
        <w:rPr>
          <w:color w:val="000000"/>
        </w:rPr>
        <w:t>”). Pairs of questions in this section relate to symptoms from three DSO clusters: affective dysregulation, negative self-concept, and disturbances in relationships. The final section asks how the emotions identified in the third section may have affected three domains of the respondent’s life (e.g., “</w:t>
      </w:r>
      <w:r w:rsidRPr="00A2430F">
        <w:rPr>
          <w:i/>
          <w:iCs/>
          <w:color w:val="000000"/>
        </w:rPr>
        <w:t>Created concern or distress about your relationships or social life</w:t>
      </w:r>
      <w:r w:rsidRPr="00A2430F">
        <w:rPr>
          <w:color w:val="000000"/>
        </w:rPr>
        <w:t>”). The questions in this section relate to functional impairment from DSO. Respondents use a 5-point Likert-scale to indicate their responses to questions in all sections, from 0 (‘</w:t>
      </w:r>
      <w:r w:rsidRPr="00A2430F">
        <w:rPr>
          <w:i/>
          <w:iCs/>
          <w:color w:val="000000"/>
        </w:rPr>
        <w:t>Not at all</w:t>
      </w:r>
      <w:r w:rsidRPr="00A2430F">
        <w:rPr>
          <w:color w:val="000000"/>
        </w:rPr>
        <w:t>’) to 4 (‘</w:t>
      </w:r>
      <w:r w:rsidRPr="00A2430F">
        <w:rPr>
          <w:i/>
          <w:iCs/>
          <w:color w:val="000000"/>
        </w:rPr>
        <w:t>Extremely</w:t>
      </w:r>
      <w:r w:rsidRPr="00A2430F">
        <w:rPr>
          <w:color w:val="000000"/>
        </w:rPr>
        <w:t>’). For a diagnosis of PTSD, respondents must score above the threshold (greater than, or equal to 2) for each PTSD symptom cluster, and above this threshold on the PTSD functional impairment section. For a diagnosis of C</w:t>
      </w:r>
      <w:r w:rsidR="00D45B15" w:rsidRPr="00A2430F">
        <w:rPr>
          <w:color w:val="000000"/>
        </w:rPr>
        <w:t>-</w:t>
      </w:r>
      <w:r w:rsidRPr="00A2430F">
        <w:rPr>
          <w:color w:val="000000"/>
        </w:rPr>
        <w:t>PTSD</w:t>
      </w:r>
      <w:r w:rsidR="00A963D7" w:rsidRPr="00A2430F">
        <w:rPr>
          <w:color w:val="000000"/>
        </w:rPr>
        <w:t>,</w:t>
      </w:r>
      <w:r w:rsidRPr="00A2430F">
        <w:rPr>
          <w:color w:val="000000"/>
        </w:rPr>
        <w:t xml:space="preserve"> respondents must score above the threshold (greater than, or equal to 2) for each DSO symptom cluster, and above this threshold on the DSO functional impairment section in addition to meeting the diagnosis criteria for PTSD. Respondents can receive either a </w:t>
      </w:r>
      <w:r w:rsidR="009D2C80">
        <w:rPr>
          <w:color w:val="000000"/>
        </w:rPr>
        <w:t xml:space="preserve">potential </w:t>
      </w:r>
      <w:r w:rsidRPr="00A2430F">
        <w:rPr>
          <w:color w:val="000000"/>
        </w:rPr>
        <w:t>diagnosis of PTSD or C</w:t>
      </w:r>
      <w:r w:rsidR="00D45B15" w:rsidRPr="00A2430F">
        <w:rPr>
          <w:color w:val="000000"/>
        </w:rPr>
        <w:t>-</w:t>
      </w:r>
      <w:r w:rsidRPr="00A2430F">
        <w:rPr>
          <w:color w:val="000000"/>
        </w:rPr>
        <w:t>PTSD, not both</w:t>
      </w:r>
      <w:r w:rsidRPr="00A2430F">
        <w:t xml:space="preserve">. </w:t>
      </w:r>
    </w:p>
    <w:p w14:paraId="45977A89" w14:textId="0AF5ECE9" w:rsidR="003E5FC4" w:rsidRPr="005B2E88" w:rsidRDefault="003E5FC4" w:rsidP="005B2E88">
      <w:pPr>
        <w:spacing w:line="480" w:lineRule="auto"/>
        <w:ind w:firstLine="720"/>
        <w:rPr>
          <w:b/>
          <w:bCs/>
        </w:rPr>
      </w:pPr>
      <w:r w:rsidRPr="00A2430F">
        <w:rPr>
          <w:b/>
          <w:bCs/>
          <w:color w:val="000000"/>
        </w:rPr>
        <w:t>Alcohol use and nicotine dependence</w:t>
      </w:r>
      <w:r w:rsidR="005B2E88">
        <w:rPr>
          <w:b/>
          <w:bCs/>
        </w:rPr>
        <w:t xml:space="preserve">. </w:t>
      </w:r>
      <w:r w:rsidRPr="00A2430F">
        <w:rPr>
          <w:bCs/>
          <w:iCs/>
        </w:rPr>
        <w:t xml:space="preserve">The </w:t>
      </w:r>
      <w:r w:rsidRPr="00A2430F">
        <w:rPr>
          <w:bCs/>
          <w:i/>
        </w:rPr>
        <w:t>Alcohol Use Disorders Identification Test</w:t>
      </w:r>
      <w:r w:rsidRPr="00A2430F">
        <w:rPr>
          <w:bCs/>
          <w:iCs/>
        </w:rPr>
        <w:t xml:space="preserve"> (AUDIT</w:t>
      </w:r>
      <w:r w:rsidR="00D82C31">
        <w:rPr>
          <w:bCs/>
          <w:iCs/>
        </w:rPr>
        <w:t>; Babor et al., 2001</w:t>
      </w:r>
      <w:r w:rsidRPr="00A2430F">
        <w:rPr>
          <w:bCs/>
          <w:iCs/>
        </w:rPr>
        <w:t>) is a 10-item screening tool for harmful alcohol consumption. Respondents use 5-point scales to rate their drinking behaviour in three-axes: how often (e.g., ‘</w:t>
      </w:r>
      <w:r w:rsidRPr="00A2430F">
        <w:rPr>
          <w:bCs/>
          <w:i/>
        </w:rPr>
        <w:t>How often do you have a drink containing alcohol</w:t>
      </w:r>
      <w:r w:rsidRPr="00A2430F">
        <w:rPr>
          <w:bCs/>
          <w:iCs/>
        </w:rPr>
        <w:t>?’: ‘Never’ to ‘4+ times per week.’), how much (e.g., ‘</w:t>
      </w:r>
      <w:r w:rsidRPr="00A2430F">
        <w:rPr>
          <w:bCs/>
          <w:i/>
        </w:rPr>
        <w:t xml:space="preserve">How many units of alcohol do you drink on a typical day when </w:t>
      </w:r>
      <w:r w:rsidRPr="00A2430F">
        <w:rPr>
          <w:bCs/>
          <w:i/>
        </w:rPr>
        <w:lastRenderedPageBreak/>
        <w:t>you are drinking</w:t>
      </w:r>
      <w:r w:rsidRPr="00A2430F">
        <w:rPr>
          <w:bCs/>
          <w:iCs/>
        </w:rPr>
        <w:t>?’: ‘0-2’ to ‘10+’), and their personal perceptions of their own drinking behaviour (e.g., ‘</w:t>
      </w:r>
      <w:r w:rsidRPr="00A2430F">
        <w:rPr>
          <w:bCs/>
          <w:i/>
        </w:rPr>
        <w:t>How often during the last year have you had a feeling of guilt or remorse after drinking</w:t>
      </w:r>
      <w:r w:rsidRPr="00A2430F">
        <w:rPr>
          <w:bCs/>
          <w:iCs/>
        </w:rPr>
        <w:t xml:space="preserve">?’: ‘Never’ to ‘Daily or almost daily’). The final two questions ask whether someone has ever been injured as a direct result of the respondent’s drinking and whether someone has been concerned about the respondent’s drinking habits. Respondents use a 3-point Likert scale ranging from ‘No’ to ‘Yes, but not in the last year’, and ‘Yes, during the last year’. </w:t>
      </w:r>
    </w:p>
    <w:p w14:paraId="5F44B64E" w14:textId="552D1E28" w:rsidR="003E5FC4" w:rsidRPr="00A2430F" w:rsidRDefault="003E5FC4" w:rsidP="003E5FC4">
      <w:pPr>
        <w:spacing w:line="480" w:lineRule="auto"/>
        <w:ind w:firstLine="720"/>
        <w:rPr>
          <w:color w:val="000000"/>
        </w:rPr>
      </w:pPr>
      <w:r w:rsidRPr="00A2430F">
        <w:rPr>
          <w:color w:val="000000"/>
        </w:rPr>
        <w:t xml:space="preserve">The </w:t>
      </w:r>
      <w:r w:rsidRPr="00A2430F">
        <w:rPr>
          <w:i/>
          <w:iCs/>
          <w:color w:val="000000"/>
        </w:rPr>
        <w:t>Fagerström Test for Nicotine Dependence</w:t>
      </w:r>
      <w:r w:rsidRPr="00A2430F">
        <w:rPr>
          <w:color w:val="000000"/>
        </w:rPr>
        <w:t xml:space="preserve"> (FTND</w:t>
      </w:r>
      <w:r w:rsidR="00D82C31">
        <w:rPr>
          <w:color w:val="000000"/>
        </w:rPr>
        <w:t>; Heatherton et al., 1991</w:t>
      </w:r>
      <w:r w:rsidRPr="00A2430F">
        <w:rPr>
          <w:color w:val="000000"/>
        </w:rPr>
        <w:t>) is a six-item measure of the quantity of cigarette consumption, the compulsion to use, and dependence. Four of these questions are binary ‘yes’ or ‘no’ questions (e.g., “</w:t>
      </w:r>
      <w:r w:rsidRPr="00A2430F">
        <w:rPr>
          <w:i/>
          <w:iCs/>
          <w:color w:val="000000"/>
        </w:rPr>
        <w:t>Do you smoke more frequently during the first hours after waking than during the rest of the day</w:t>
      </w:r>
      <w:r w:rsidRPr="00A2430F">
        <w:rPr>
          <w:color w:val="000000"/>
        </w:rPr>
        <w:t>?”), with one multiple choice question (e.g., “</w:t>
      </w:r>
      <w:r w:rsidRPr="00A2430F">
        <w:rPr>
          <w:i/>
          <w:iCs/>
          <w:color w:val="000000"/>
        </w:rPr>
        <w:t>How many cigarettes per day do you smoke?</w:t>
      </w:r>
      <w:r w:rsidR="00914EC9">
        <w:rPr>
          <w:i/>
          <w:iCs/>
          <w:color w:val="000000"/>
        </w:rPr>
        <w:t>”</w:t>
      </w:r>
      <w:r w:rsidRPr="00A2430F">
        <w:rPr>
          <w:i/>
          <w:iCs/>
          <w:color w:val="000000"/>
        </w:rPr>
        <w:t>)</w:t>
      </w:r>
      <w:r w:rsidRPr="00A2430F">
        <w:rPr>
          <w:color w:val="000000"/>
        </w:rPr>
        <w:t xml:space="preserve"> rated from 1 (</w:t>
      </w:r>
      <w:r w:rsidRPr="00A2430F">
        <w:rPr>
          <w:i/>
          <w:iCs/>
          <w:color w:val="000000"/>
        </w:rPr>
        <w:t xml:space="preserve">10 or less) </w:t>
      </w:r>
      <w:r w:rsidRPr="00A2430F">
        <w:rPr>
          <w:color w:val="000000"/>
        </w:rPr>
        <w:t>to 4 (</w:t>
      </w:r>
      <w:r w:rsidRPr="00A2430F">
        <w:rPr>
          <w:i/>
          <w:iCs/>
          <w:color w:val="000000"/>
        </w:rPr>
        <w:t>31 or more</w:t>
      </w:r>
      <w:r w:rsidRPr="00A2430F">
        <w:rPr>
          <w:color w:val="000000"/>
        </w:rPr>
        <w:t xml:space="preserve">) and another (e.g., </w:t>
      </w:r>
      <w:r w:rsidR="004514D7">
        <w:rPr>
          <w:i/>
          <w:iCs/>
          <w:color w:val="000000"/>
        </w:rPr>
        <w:t>“</w:t>
      </w:r>
      <w:r w:rsidRPr="00A2430F">
        <w:rPr>
          <w:i/>
          <w:iCs/>
          <w:color w:val="000000"/>
          <w:lang w:val="en-US"/>
        </w:rPr>
        <w:t>How soon after waking do you smoke your first cigarette</w:t>
      </w:r>
      <w:r w:rsidRPr="00A2430F">
        <w:rPr>
          <w:color w:val="000000"/>
          <w:lang w:val="en-US"/>
        </w:rPr>
        <w:t>?</w:t>
      </w:r>
      <w:r w:rsidR="004514D7">
        <w:rPr>
          <w:color w:val="000000"/>
          <w:lang w:val="en-US"/>
        </w:rPr>
        <w:t>”</w:t>
      </w:r>
      <w:r w:rsidRPr="00A2430F">
        <w:rPr>
          <w:color w:val="000000"/>
          <w:lang w:val="en-US"/>
        </w:rPr>
        <w:t>) rated from 1 (</w:t>
      </w:r>
      <w:r w:rsidRPr="00A2430F">
        <w:rPr>
          <w:i/>
          <w:iCs/>
          <w:color w:val="000000"/>
          <w:lang w:val="en-US"/>
        </w:rPr>
        <w:t>within 5 minutes</w:t>
      </w:r>
      <w:r w:rsidRPr="00A2430F">
        <w:rPr>
          <w:color w:val="000000"/>
          <w:lang w:val="en-US"/>
        </w:rPr>
        <w:t>) to 3 (</w:t>
      </w:r>
      <w:r w:rsidRPr="00A2430F">
        <w:rPr>
          <w:i/>
          <w:iCs/>
          <w:color w:val="000000"/>
          <w:lang w:val="en-US"/>
        </w:rPr>
        <w:t>31-60 minutes</w:t>
      </w:r>
      <w:r w:rsidRPr="00A2430F">
        <w:rPr>
          <w:color w:val="000000"/>
          <w:lang w:val="en-US"/>
        </w:rPr>
        <w:t>)</w:t>
      </w:r>
      <w:r w:rsidRPr="00A2430F">
        <w:rPr>
          <w:color w:val="000000"/>
        </w:rPr>
        <w:t xml:space="preserve">. The items are summed for total score of 0-10, with higher scores indicating greater nicotine dependency. </w:t>
      </w:r>
      <w:bookmarkEnd w:id="0"/>
    </w:p>
    <w:p w14:paraId="6A12B4B0" w14:textId="733AF33C" w:rsidR="003E5FC4" w:rsidRPr="00A2430F" w:rsidRDefault="00C91CFA" w:rsidP="00025D0E">
      <w:pPr>
        <w:pStyle w:val="Heading2"/>
      </w:pPr>
      <w:r>
        <w:t>Data a</w:t>
      </w:r>
      <w:r w:rsidR="003E5FC4" w:rsidRPr="00A2430F">
        <w:t>nalysis</w:t>
      </w:r>
    </w:p>
    <w:p w14:paraId="6AAAA26B" w14:textId="77777777" w:rsidR="003E5FC4" w:rsidRPr="00A2430F" w:rsidRDefault="003E5FC4" w:rsidP="003E5FC4">
      <w:pPr>
        <w:spacing w:line="480" w:lineRule="auto"/>
        <w:ind w:firstLine="720"/>
        <w:rPr>
          <w:bCs/>
          <w:iCs/>
          <w:color w:val="000000"/>
        </w:rPr>
      </w:pPr>
      <w:r w:rsidRPr="00A2430F">
        <w:rPr>
          <w:bCs/>
          <w:iCs/>
          <w:color w:val="000000"/>
        </w:rPr>
        <w:t xml:space="preserve">Associations between veteran status and outcome variables were calculated using chi-square tests of association, unadjusted odds ratios were calculated for significant associations, and differences between groups analysed using parametric analysis (i.e., t-tests and one-way ANOVA). </w:t>
      </w:r>
    </w:p>
    <w:p w14:paraId="2F25E4F3" w14:textId="0FC2080C" w:rsidR="003E5FC4" w:rsidRPr="00B448B9" w:rsidRDefault="003E5FC4" w:rsidP="003E5FC4">
      <w:pPr>
        <w:spacing w:line="480" w:lineRule="auto"/>
        <w:ind w:firstLine="720"/>
        <w:rPr>
          <w:bCs/>
          <w:iCs/>
        </w:rPr>
      </w:pPr>
      <w:r w:rsidRPr="00A2430F">
        <w:rPr>
          <w:bCs/>
          <w:iCs/>
          <w:color w:val="000000"/>
        </w:rPr>
        <w:t>Stepwise multiple linear regressions were utilised to predict gambling severity as measured by continuous PGSI score.</w:t>
      </w:r>
      <w:r w:rsidR="005340B2" w:rsidRPr="00A2430F">
        <w:rPr>
          <w:bCs/>
          <w:iCs/>
          <w:color w:val="000000"/>
        </w:rPr>
        <w:t xml:space="preserve"> </w:t>
      </w:r>
      <w:r w:rsidR="0087416F" w:rsidRPr="00A2430F">
        <w:rPr>
          <w:bCs/>
          <w:iCs/>
        </w:rPr>
        <w:t xml:space="preserve">Four </w:t>
      </w:r>
      <w:r w:rsidRPr="00A2430F">
        <w:rPr>
          <w:bCs/>
          <w:iCs/>
        </w:rPr>
        <w:t>models were developed</w:t>
      </w:r>
      <w:r w:rsidR="00A058F1" w:rsidRPr="00A2430F">
        <w:rPr>
          <w:bCs/>
          <w:iCs/>
        </w:rPr>
        <w:t xml:space="preserve"> either based on factors known to influence the development of problem gambling</w:t>
      </w:r>
      <w:r w:rsidR="001104BB">
        <w:rPr>
          <w:bCs/>
          <w:iCs/>
        </w:rPr>
        <w:t xml:space="preserve"> (Dixon et al., 2018; Etuk et al., 2020; Moore &amp; Grubbs, 202; Sharman et al., 2019; Weatherly et al., 2011, 2014)</w:t>
      </w:r>
      <w:r w:rsidR="00A058F1" w:rsidRPr="00A2430F">
        <w:rPr>
          <w:bCs/>
          <w:iCs/>
        </w:rPr>
        <w:t xml:space="preserve"> or </w:t>
      </w:r>
      <w:r w:rsidR="00D87853" w:rsidRPr="00A2430F">
        <w:rPr>
          <w:bCs/>
          <w:iCs/>
        </w:rPr>
        <w:t xml:space="preserve">about </w:t>
      </w:r>
      <w:r w:rsidR="00A058F1" w:rsidRPr="00A2430F">
        <w:rPr>
          <w:bCs/>
          <w:iCs/>
        </w:rPr>
        <w:lastRenderedPageBreak/>
        <w:t xml:space="preserve">which little information is currently known </w:t>
      </w:r>
      <w:r w:rsidR="002160D2" w:rsidRPr="00A2430F">
        <w:rPr>
          <w:bCs/>
          <w:iCs/>
        </w:rPr>
        <w:t>among veterans</w:t>
      </w:r>
      <w:r w:rsidR="004C3E2F" w:rsidRPr="00A2430F">
        <w:rPr>
          <w:bCs/>
          <w:iCs/>
        </w:rPr>
        <w:t xml:space="preserve">. </w:t>
      </w:r>
      <w:r w:rsidR="00A058F1" w:rsidRPr="00C33F61">
        <w:rPr>
          <w:bCs/>
          <w:iCs/>
        </w:rPr>
        <w:t>T</w:t>
      </w:r>
      <w:r w:rsidRPr="00C33F61">
        <w:rPr>
          <w:bCs/>
          <w:iCs/>
        </w:rPr>
        <w:t xml:space="preserve">he first </w:t>
      </w:r>
      <w:r w:rsidR="00A058F1" w:rsidRPr="00C33F61">
        <w:rPr>
          <w:bCs/>
          <w:iCs/>
        </w:rPr>
        <w:t xml:space="preserve">model </w:t>
      </w:r>
      <w:r w:rsidRPr="00C33F61">
        <w:rPr>
          <w:bCs/>
          <w:iCs/>
        </w:rPr>
        <w:t>utilis</w:t>
      </w:r>
      <w:r w:rsidR="00A058F1" w:rsidRPr="00C33F61">
        <w:rPr>
          <w:bCs/>
          <w:iCs/>
        </w:rPr>
        <w:t>ed</w:t>
      </w:r>
      <w:r w:rsidRPr="00C33F61">
        <w:rPr>
          <w:bCs/>
          <w:iCs/>
        </w:rPr>
        <w:t xml:space="preserve"> sociodemographic</w:t>
      </w:r>
      <w:r w:rsidR="00AA6C9E" w:rsidRPr="00C33F61">
        <w:rPr>
          <w:bCs/>
          <w:iCs/>
        </w:rPr>
        <w:t xml:space="preserve"> characteristic</w:t>
      </w:r>
      <w:r w:rsidRPr="00C33F61">
        <w:rPr>
          <w:bCs/>
          <w:iCs/>
        </w:rPr>
        <w:t xml:space="preserve">s, the second </w:t>
      </w:r>
      <w:r w:rsidR="005C56DF" w:rsidRPr="00C33F61">
        <w:rPr>
          <w:bCs/>
          <w:iCs/>
        </w:rPr>
        <w:t xml:space="preserve">military demographics, the third </w:t>
      </w:r>
      <w:r w:rsidRPr="00C33F61">
        <w:rPr>
          <w:bCs/>
          <w:iCs/>
        </w:rPr>
        <w:t xml:space="preserve">mental health </w:t>
      </w:r>
      <w:r w:rsidR="00AA6C9E" w:rsidRPr="00C33F61">
        <w:rPr>
          <w:bCs/>
          <w:iCs/>
        </w:rPr>
        <w:t>variables</w:t>
      </w:r>
      <w:r w:rsidRPr="00C33F61">
        <w:rPr>
          <w:bCs/>
          <w:iCs/>
        </w:rPr>
        <w:t xml:space="preserve">, and the </w:t>
      </w:r>
      <w:r w:rsidR="005C56DF" w:rsidRPr="00C33F61">
        <w:rPr>
          <w:bCs/>
          <w:iCs/>
        </w:rPr>
        <w:t>fourth gambling activities and motivation variables</w:t>
      </w:r>
      <w:r w:rsidRPr="00C33F61">
        <w:rPr>
          <w:bCs/>
          <w:iCs/>
        </w:rPr>
        <w:t>.</w:t>
      </w:r>
      <w:r w:rsidRPr="00A2430F">
        <w:rPr>
          <w:bCs/>
          <w:iCs/>
          <w:color w:val="FF0000"/>
        </w:rPr>
        <w:t xml:space="preserve"> </w:t>
      </w:r>
      <w:r w:rsidRPr="00A2430F">
        <w:rPr>
          <w:bCs/>
          <w:iCs/>
        </w:rPr>
        <w:t>Continuously scored variables were entered as ordinal variables to compensate for non-transformable non-normality. These ordinal variables models were included as binary dummy variables of each category</w:t>
      </w:r>
      <w:r w:rsidR="002A0F27" w:rsidRPr="00A2430F">
        <w:rPr>
          <w:bCs/>
          <w:iCs/>
        </w:rPr>
        <w:t xml:space="preserve"> </w:t>
      </w:r>
      <w:r w:rsidR="00880BA7">
        <w:rPr>
          <w:bCs/>
          <w:iCs/>
        </w:rPr>
        <w:t xml:space="preserve">(Rosenberg et al., 2013). </w:t>
      </w:r>
      <w:r w:rsidRPr="00A2430F">
        <w:rPr>
          <w:bCs/>
          <w:iCs/>
        </w:rPr>
        <w:t xml:space="preserve">Multicollinearity of variables was examined by inspection of variance inflation factors (VIF); these all remained below 2 indicating that variables were </w:t>
      </w:r>
      <w:r w:rsidRPr="00B448B9">
        <w:rPr>
          <w:bCs/>
          <w:iCs/>
        </w:rPr>
        <w:t xml:space="preserve">not closely correlated for regression analysis. </w:t>
      </w:r>
    </w:p>
    <w:p w14:paraId="41F5863F" w14:textId="49E27135" w:rsidR="00BD479E" w:rsidRPr="00BD479E" w:rsidRDefault="00BD479E" w:rsidP="00BD479E">
      <w:pPr>
        <w:spacing w:line="480" w:lineRule="auto"/>
        <w:ind w:firstLine="720"/>
        <w:rPr>
          <w:bCs/>
          <w:iCs/>
          <w:color w:val="FF0000"/>
        </w:rPr>
      </w:pPr>
      <w:r w:rsidRPr="00B448B9">
        <w:rPr>
          <w:bCs/>
          <w:iCs/>
        </w:rPr>
        <w:t>S</w:t>
      </w:r>
      <w:r w:rsidRPr="00BD479E">
        <w:rPr>
          <w:bCs/>
          <w:iCs/>
        </w:rPr>
        <w:t>kewness and kurtosis of the PGSI data was within accepted threshold tolerances for normal univariate distribution (+/- 2; George &amp; Mallery, 2010; Hair et al., 2010</w:t>
      </w:r>
      <w:r w:rsidR="000758F8">
        <w:rPr>
          <w:bCs/>
          <w:iCs/>
        </w:rPr>
        <w:t xml:space="preserve">; </w:t>
      </w:r>
      <w:r w:rsidR="000758F8" w:rsidRPr="00BD479E">
        <w:rPr>
          <w:bCs/>
          <w:iCs/>
        </w:rPr>
        <w:t>Kline, 2011</w:t>
      </w:r>
      <w:r w:rsidRPr="00BD479E">
        <w:rPr>
          <w:bCs/>
          <w:iCs/>
        </w:rPr>
        <w:t xml:space="preserve">). For the full sample, skewness was identified as 1.297 (SE =.058) with a kurtosis of 0.642 (SE=.117); for the veteran subsample, </w:t>
      </w:r>
      <w:r w:rsidRPr="00212428">
        <w:rPr>
          <w:bCs/>
          <w:iCs/>
        </w:rPr>
        <w:t>continuous PGSI score skewness was calculated as 0.574 (SE = .079) with a kurtosis of -0.840 (SE = 0.159).</w:t>
      </w:r>
    </w:p>
    <w:p w14:paraId="21BB6F08" w14:textId="77777777" w:rsidR="00BD479E" w:rsidRDefault="00BD479E" w:rsidP="003E5FC4">
      <w:pPr>
        <w:spacing w:line="480" w:lineRule="auto"/>
        <w:ind w:firstLine="720"/>
        <w:rPr>
          <w:bCs/>
          <w:iCs/>
        </w:rPr>
      </w:pPr>
    </w:p>
    <w:p w14:paraId="3FB20F55" w14:textId="42D5E8EE" w:rsidR="007377F4" w:rsidRPr="00A2430F" w:rsidRDefault="007377F4" w:rsidP="007377F4">
      <w:pPr>
        <w:spacing w:line="480" w:lineRule="auto"/>
        <w:ind w:firstLine="720"/>
        <w:jc w:val="center"/>
        <w:rPr>
          <w:bCs/>
          <w:iCs/>
        </w:rPr>
      </w:pPr>
      <w:r>
        <w:rPr>
          <w:bCs/>
          <w:iCs/>
        </w:rPr>
        <w:t>***Insert Table 1 About Here***</w:t>
      </w:r>
    </w:p>
    <w:p w14:paraId="662C4D5C" w14:textId="144015BC" w:rsidR="00CF1DA1" w:rsidRPr="00A2430F" w:rsidRDefault="008A5E99" w:rsidP="00025D0E">
      <w:pPr>
        <w:pStyle w:val="Heading1"/>
      </w:pPr>
      <w:r w:rsidRPr="00A2430F">
        <w:t>Results</w:t>
      </w:r>
    </w:p>
    <w:p w14:paraId="43EB5837" w14:textId="72DCCC54" w:rsidR="00B70C64" w:rsidRPr="00B70C64" w:rsidRDefault="00B70C64" w:rsidP="00025D0E">
      <w:pPr>
        <w:pStyle w:val="Heading2"/>
      </w:pPr>
      <w:r w:rsidRPr="00B70C64">
        <w:t>Sociodemographics</w:t>
      </w:r>
    </w:p>
    <w:p w14:paraId="4EB0868D" w14:textId="1D579492" w:rsidR="007377F4" w:rsidRDefault="0059757B" w:rsidP="007377F4">
      <w:pPr>
        <w:spacing w:line="480" w:lineRule="auto"/>
        <w:ind w:firstLine="720"/>
        <w:rPr>
          <w:color w:val="000000" w:themeColor="text1"/>
        </w:rPr>
      </w:pPr>
      <w:r w:rsidRPr="00A2430F">
        <w:rPr>
          <w:color w:val="000000" w:themeColor="text1"/>
        </w:rPr>
        <w:t xml:space="preserve">As shown in Table 1, the sociodemographic </w:t>
      </w:r>
      <w:r w:rsidR="00C71D84" w:rsidRPr="00A2430F">
        <w:rPr>
          <w:color w:val="000000" w:themeColor="text1"/>
        </w:rPr>
        <w:t xml:space="preserve">characteristics </w:t>
      </w:r>
      <w:r w:rsidRPr="00A2430F">
        <w:rPr>
          <w:color w:val="000000" w:themeColor="text1"/>
        </w:rPr>
        <w:t xml:space="preserve">of the veteran cohort are consistent with the profile of the UK AF veteran population </w:t>
      </w:r>
      <w:r w:rsidR="00C02797">
        <w:rPr>
          <w:color w:val="000000" w:themeColor="text1"/>
        </w:rPr>
        <w:t>(Ministry of Defence, 2019)</w:t>
      </w:r>
      <w:r w:rsidRPr="00A2430F">
        <w:rPr>
          <w:color w:val="000000" w:themeColor="text1"/>
        </w:rPr>
        <w:t>. Most veterans were male (93.5%), with a mean age of 46.69 (</w:t>
      </w:r>
      <w:r w:rsidRPr="00A2430F">
        <w:rPr>
          <w:i/>
          <w:iCs/>
          <w:color w:val="000000" w:themeColor="text1"/>
        </w:rPr>
        <w:t>SD</w:t>
      </w:r>
      <w:r w:rsidRPr="00A2430F">
        <w:rPr>
          <w:color w:val="000000" w:themeColor="text1"/>
        </w:rPr>
        <w:t xml:space="preserve">=13.21), white-British, married, resided in England, and in paid employment. Veterans tended to be educated to GCSE level A*-C or above and living with family. Most of both samples were not in receipt of benefits, yet the proportion of veterans who were (45.8%) was more than twice that of non-veterans (23.5%). </w:t>
      </w:r>
      <w:r w:rsidR="00617C24" w:rsidRPr="00A2430F">
        <w:rPr>
          <w:color w:val="000000" w:themeColor="text1"/>
        </w:rPr>
        <w:t xml:space="preserve">Overall, the samples were adequately matched for age and gender, but </w:t>
      </w:r>
      <w:r w:rsidR="00617C24" w:rsidRPr="00A2430F">
        <w:rPr>
          <w:color w:val="000000" w:themeColor="text1"/>
        </w:rPr>
        <w:lastRenderedPageBreak/>
        <w:t xml:space="preserve">did </w:t>
      </w:r>
      <w:r w:rsidR="00B824B4" w:rsidRPr="00A2430F">
        <w:rPr>
          <w:color w:val="000000" w:themeColor="text1"/>
        </w:rPr>
        <w:t xml:space="preserve">inadvertently </w:t>
      </w:r>
      <w:r w:rsidR="00617C24" w:rsidRPr="00A2430F">
        <w:rPr>
          <w:color w:val="000000" w:themeColor="text1"/>
        </w:rPr>
        <w:t>differ by country of residence, ethnicity, marital status, employment, qualifications, household arrangement, accommodation, and benefits.</w:t>
      </w:r>
    </w:p>
    <w:p w14:paraId="17504687" w14:textId="71B3D03E" w:rsidR="007377F4" w:rsidRPr="007377F4" w:rsidRDefault="007377F4" w:rsidP="007377F4">
      <w:pPr>
        <w:spacing w:line="480" w:lineRule="auto"/>
        <w:ind w:firstLine="720"/>
        <w:jc w:val="center"/>
        <w:rPr>
          <w:bCs/>
          <w:iCs/>
        </w:rPr>
      </w:pPr>
      <w:r>
        <w:rPr>
          <w:bCs/>
          <w:iCs/>
        </w:rPr>
        <w:t>***Insert Table 2 About Here***</w:t>
      </w:r>
    </w:p>
    <w:p w14:paraId="225A5514" w14:textId="44D85304" w:rsidR="00B70C64" w:rsidRPr="00B70C64" w:rsidRDefault="00B70C64" w:rsidP="00025D0E">
      <w:pPr>
        <w:pStyle w:val="Heading2"/>
      </w:pPr>
      <w:r w:rsidRPr="00B70C64">
        <w:t>Military demographics</w:t>
      </w:r>
    </w:p>
    <w:p w14:paraId="46688365" w14:textId="1B979C77" w:rsidR="007377F4" w:rsidRDefault="0059757B" w:rsidP="007377F4">
      <w:pPr>
        <w:spacing w:line="480" w:lineRule="auto"/>
        <w:ind w:firstLine="720"/>
        <w:rPr>
          <w:color w:val="000000"/>
        </w:rPr>
      </w:pPr>
      <w:r w:rsidRPr="00A2430F">
        <w:rPr>
          <w:color w:val="000000"/>
        </w:rPr>
        <w:t>Table 2 shows military demographic characteristics of the veterans’ sample. Most veterans had served in the Army, for between 5-9 years, had two or more operational deployments</w:t>
      </w:r>
      <w:r w:rsidR="00FB10D0" w:rsidRPr="00A2430F">
        <w:rPr>
          <w:color w:val="000000"/>
        </w:rPr>
        <w:t xml:space="preserve"> (</w:t>
      </w:r>
      <w:r w:rsidR="00FB10D0" w:rsidRPr="007027BD">
        <w:rPr>
          <w:color w:val="000000"/>
        </w:rPr>
        <w:t xml:space="preserve">see </w:t>
      </w:r>
      <w:r w:rsidR="003A03A1" w:rsidRPr="007027BD">
        <w:rPr>
          <w:color w:val="000000"/>
        </w:rPr>
        <w:t>Supp</w:t>
      </w:r>
      <w:r w:rsidR="007027BD" w:rsidRPr="007027BD">
        <w:rPr>
          <w:color w:val="000000"/>
        </w:rPr>
        <w:t>lementary Materials</w:t>
      </w:r>
      <w:r w:rsidR="00FB10D0" w:rsidRPr="007027BD">
        <w:rPr>
          <w:color w:val="000000"/>
        </w:rPr>
        <w:t>)</w:t>
      </w:r>
      <w:r w:rsidRPr="007027BD">
        <w:rPr>
          <w:color w:val="000000"/>
        </w:rPr>
        <w:t>, and</w:t>
      </w:r>
      <w:r w:rsidRPr="00A2430F">
        <w:rPr>
          <w:color w:val="000000"/>
        </w:rPr>
        <w:t xml:space="preserve"> left at the end of their engagement period, 12 or more years ago</w:t>
      </w:r>
      <w:r w:rsidR="007377F4">
        <w:rPr>
          <w:color w:val="000000"/>
        </w:rPr>
        <w:t>.</w:t>
      </w:r>
    </w:p>
    <w:p w14:paraId="7679F35C" w14:textId="32ECFA3B" w:rsidR="007377F4" w:rsidRPr="007377F4" w:rsidRDefault="007377F4" w:rsidP="007377F4">
      <w:pPr>
        <w:spacing w:line="480" w:lineRule="auto"/>
        <w:ind w:firstLine="720"/>
        <w:jc w:val="center"/>
        <w:rPr>
          <w:bCs/>
          <w:iCs/>
        </w:rPr>
      </w:pPr>
      <w:r>
        <w:rPr>
          <w:bCs/>
          <w:iCs/>
        </w:rPr>
        <w:t>***Insert Table 3 About Here***</w:t>
      </w:r>
    </w:p>
    <w:p w14:paraId="1F2FB548" w14:textId="76661628" w:rsidR="00B70C64" w:rsidRPr="00B70C64" w:rsidRDefault="00B70C64" w:rsidP="00025D0E">
      <w:pPr>
        <w:pStyle w:val="Heading2"/>
      </w:pPr>
      <w:r w:rsidRPr="00B70C64">
        <w:t>Gambling</w:t>
      </w:r>
    </w:p>
    <w:p w14:paraId="12F9A38F" w14:textId="39F5A109" w:rsidR="007377F4" w:rsidRDefault="00750B4A" w:rsidP="007377F4">
      <w:pPr>
        <w:spacing w:line="480" w:lineRule="auto"/>
        <w:ind w:firstLine="720"/>
        <w:rPr>
          <w:color w:val="000000"/>
        </w:rPr>
      </w:pPr>
      <w:r w:rsidRPr="00A2430F">
        <w:rPr>
          <w:color w:val="000000"/>
        </w:rPr>
        <w:t>Table 3 displays gambling activities</w:t>
      </w:r>
      <w:r w:rsidR="00B42200" w:rsidRPr="00A2430F">
        <w:rPr>
          <w:color w:val="000000"/>
        </w:rPr>
        <w:t>, severity, and motivations</w:t>
      </w:r>
      <w:r w:rsidRPr="00A2430F">
        <w:rPr>
          <w:color w:val="000000"/>
        </w:rPr>
        <w:t xml:space="preserve"> for both samples. </w:t>
      </w:r>
      <w:r w:rsidR="00D256AA" w:rsidRPr="00A2430F">
        <w:rPr>
          <w:color w:val="000000"/>
        </w:rPr>
        <w:t>Veterans were</w:t>
      </w:r>
      <w:r w:rsidR="000D41CE" w:rsidRPr="00A2430F">
        <w:rPr>
          <w:color w:val="000000"/>
        </w:rPr>
        <w:t xml:space="preserve"> </w:t>
      </w:r>
      <w:r w:rsidR="005C22AA" w:rsidRPr="00A2430F">
        <w:rPr>
          <w:color w:val="000000"/>
        </w:rPr>
        <w:t>over</w:t>
      </w:r>
      <w:r w:rsidR="00BD7036" w:rsidRPr="00A2430F">
        <w:rPr>
          <w:color w:val="000000"/>
        </w:rPr>
        <w:t xml:space="preserve"> </w:t>
      </w:r>
      <w:r w:rsidR="0064317E" w:rsidRPr="00A2430F">
        <w:rPr>
          <w:color w:val="000000"/>
        </w:rPr>
        <w:t xml:space="preserve">4 times more </w:t>
      </w:r>
      <w:r w:rsidR="000D41CE" w:rsidRPr="00A2430F">
        <w:rPr>
          <w:color w:val="000000"/>
        </w:rPr>
        <w:t xml:space="preserve">likely to </w:t>
      </w:r>
      <w:r w:rsidR="0064317E" w:rsidRPr="00A2430F">
        <w:rPr>
          <w:color w:val="000000"/>
        </w:rPr>
        <w:t xml:space="preserve">have </w:t>
      </w:r>
      <w:r w:rsidR="000D41CE" w:rsidRPr="00A2430F">
        <w:rPr>
          <w:color w:val="000000"/>
        </w:rPr>
        <w:t>gamble</w:t>
      </w:r>
      <w:r w:rsidR="0064317E" w:rsidRPr="00A2430F">
        <w:rPr>
          <w:color w:val="000000"/>
        </w:rPr>
        <w:t>d</w:t>
      </w:r>
      <w:r w:rsidR="00E432CF" w:rsidRPr="00A2430F">
        <w:rPr>
          <w:color w:val="000000"/>
        </w:rPr>
        <w:t xml:space="preserve"> in the past </w:t>
      </w:r>
      <w:r w:rsidR="00907B8D" w:rsidRPr="00A2430F">
        <w:rPr>
          <w:color w:val="000000"/>
        </w:rPr>
        <w:t>year</w:t>
      </w:r>
      <w:r w:rsidR="00BD7036" w:rsidRPr="00A2430F">
        <w:rPr>
          <w:color w:val="000000"/>
        </w:rPr>
        <w:t xml:space="preserve"> (</w:t>
      </w:r>
      <w:r w:rsidR="00BD7036" w:rsidRPr="00A2430F">
        <w:rPr>
          <w:i/>
          <w:iCs/>
          <w:color w:val="000000"/>
        </w:rPr>
        <w:t>p</w:t>
      </w:r>
      <w:r w:rsidR="00BD7036" w:rsidRPr="00A2430F">
        <w:rPr>
          <w:color w:val="000000"/>
        </w:rPr>
        <w:t xml:space="preserve"> &lt;.001)</w:t>
      </w:r>
      <w:r w:rsidR="00040F91" w:rsidRPr="00A2430F">
        <w:rPr>
          <w:color w:val="000000"/>
        </w:rPr>
        <w:t xml:space="preserve"> </w:t>
      </w:r>
      <w:r w:rsidR="00BD7036" w:rsidRPr="00A2430F">
        <w:rPr>
          <w:color w:val="000000"/>
        </w:rPr>
        <w:t>and</w:t>
      </w:r>
      <w:r w:rsidR="00E432CF" w:rsidRPr="00A2430F">
        <w:rPr>
          <w:color w:val="000000"/>
        </w:rPr>
        <w:t xml:space="preserve"> did so</w:t>
      </w:r>
      <w:r w:rsidR="00BD7036" w:rsidRPr="00A2430F">
        <w:rPr>
          <w:color w:val="000000"/>
        </w:rPr>
        <w:t xml:space="preserve"> on more activities (</w:t>
      </w:r>
      <w:r w:rsidR="00BD7036" w:rsidRPr="00A2430F">
        <w:rPr>
          <w:i/>
          <w:iCs/>
          <w:color w:val="000000"/>
        </w:rPr>
        <w:t>p</w:t>
      </w:r>
      <w:r w:rsidR="00BD7036" w:rsidRPr="00A2430F">
        <w:rPr>
          <w:color w:val="000000"/>
        </w:rPr>
        <w:t xml:space="preserve"> &lt;.001)</w:t>
      </w:r>
      <w:r w:rsidR="000D41CE" w:rsidRPr="00A2430F">
        <w:rPr>
          <w:color w:val="000000"/>
        </w:rPr>
        <w:t xml:space="preserve"> than non-veterans</w:t>
      </w:r>
      <w:r w:rsidR="00B42200" w:rsidRPr="00A2430F">
        <w:rPr>
          <w:color w:val="000000"/>
        </w:rPr>
        <w:t>. Of the sample, 43.1% of veterans and 6.5% of non-veterans experience</w:t>
      </w:r>
      <w:r w:rsidR="00366227" w:rsidRPr="00A2430F">
        <w:rPr>
          <w:color w:val="000000"/>
        </w:rPr>
        <w:t>d</w:t>
      </w:r>
      <w:r w:rsidR="00B42200" w:rsidRPr="00A2430F">
        <w:rPr>
          <w:color w:val="000000"/>
        </w:rPr>
        <w:t xml:space="preserve"> problem gambling. Veterans were over 10 times more likely to </w:t>
      </w:r>
      <w:r w:rsidR="00B753FE" w:rsidRPr="00A2430F">
        <w:rPr>
          <w:color w:val="000000"/>
        </w:rPr>
        <w:t>be distinguished by</w:t>
      </w:r>
      <w:r w:rsidR="00B42200" w:rsidRPr="00A2430F">
        <w:rPr>
          <w:color w:val="000000"/>
        </w:rPr>
        <w:t xml:space="preserve"> problem gambling than non-veterans (</w:t>
      </w:r>
      <w:r w:rsidR="00B42200" w:rsidRPr="00A2430F">
        <w:rPr>
          <w:i/>
          <w:iCs/>
          <w:color w:val="000000"/>
        </w:rPr>
        <w:t>p</w:t>
      </w:r>
      <w:r w:rsidR="00B42200" w:rsidRPr="00A2430F">
        <w:rPr>
          <w:color w:val="000000"/>
        </w:rPr>
        <w:t xml:space="preserve"> &lt;.001). </w:t>
      </w:r>
      <w:r w:rsidR="00B729EC" w:rsidRPr="00A2430F">
        <w:rPr>
          <w:color w:val="000000"/>
        </w:rPr>
        <w:t>V</w:t>
      </w:r>
      <w:r w:rsidR="00B42200" w:rsidRPr="00A2430F">
        <w:rPr>
          <w:color w:val="000000"/>
        </w:rPr>
        <w:t xml:space="preserve">eterans’ gambling was over 7 times more likely to be </w:t>
      </w:r>
      <w:r w:rsidR="00B729EC" w:rsidRPr="00A2430F">
        <w:rPr>
          <w:color w:val="000000"/>
        </w:rPr>
        <w:t xml:space="preserve">motivated by </w:t>
      </w:r>
      <w:r w:rsidR="00B42200" w:rsidRPr="00A2430F">
        <w:rPr>
          <w:color w:val="000000"/>
        </w:rPr>
        <w:t>negative reinforcement (</w:t>
      </w:r>
      <w:r w:rsidR="00B42200" w:rsidRPr="00A2430F">
        <w:rPr>
          <w:i/>
          <w:iCs/>
          <w:color w:val="000000"/>
        </w:rPr>
        <w:t>p</w:t>
      </w:r>
      <w:r w:rsidR="00B42200" w:rsidRPr="00A2430F">
        <w:rPr>
          <w:color w:val="000000"/>
        </w:rPr>
        <w:t xml:space="preserve"> &lt;.001) compared to non-veterans. </w:t>
      </w:r>
    </w:p>
    <w:p w14:paraId="3C22977B" w14:textId="7EAA3EA2" w:rsidR="007377F4" w:rsidRPr="007377F4" w:rsidRDefault="007377F4" w:rsidP="007377F4">
      <w:pPr>
        <w:spacing w:line="480" w:lineRule="auto"/>
        <w:ind w:firstLine="720"/>
        <w:jc w:val="center"/>
        <w:rPr>
          <w:bCs/>
          <w:iCs/>
        </w:rPr>
      </w:pPr>
      <w:r>
        <w:rPr>
          <w:bCs/>
          <w:iCs/>
        </w:rPr>
        <w:t>***Insert Table 4 About Here***</w:t>
      </w:r>
    </w:p>
    <w:p w14:paraId="7F1A81A2" w14:textId="1B129CFA" w:rsidR="00B70C64" w:rsidRPr="00B70C64" w:rsidRDefault="00B70C64" w:rsidP="00025D0E">
      <w:pPr>
        <w:pStyle w:val="Heading2"/>
      </w:pPr>
      <w:r w:rsidRPr="00B70C64">
        <w:t>Mental health</w:t>
      </w:r>
    </w:p>
    <w:p w14:paraId="7009C64D" w14:textId="510FD1AD" w:rsidR="009E2C5F" w:rsidRDefault="004966C0" w:rsidP="009E2C5F">
      <w:pPr>
        <w:spacing w:line="480" w:lineRule="auto"/>
        <w:ind w:firstLine="720"/>
        <w:rPr>
          <w:color w:val="000000"/>
        </w:rPr>
      </w:pPr>
      <w:r w:rsidRPr="00A2430F">
        <w:rPr>
          <w:color w:val="000000"/>
        </w:rPr>
        <w:t xml:space="preserve">Table </w:t>
      </w:r>
      <w:r w:rsidR="00B42200" w:rsidRPr="00A2430F">
        <w:rPr>
          <w:color w:val="000000"/>
        </w:rPr>
        <w:t>4</w:t>
      </w:r>
      <w:r w:rsidRPr="00A2430F">
        <w:rPr>
          <w:color w:val="000000"/>
        </w:rPr>
        <w:t xml:space="preserve"> displays the prevalence of mental health </w:t>
      </w:r>
      <w:r w:rsidR="00D256AA" w:rsidRPr="00A2430F">
        <w:rPr>
          <w:color w:val="000000"/>
        </w:rPr>
        <w:t>variables</w:t>
      </w:r>
      <w:r w:rsidRPr="00A2430F">
        <w:rPr>
          <w:color w:val="000000"/>
        </w:rPr>
        <w:t xml:space="preserve">. </w:t>
      </w:r>
      <w:r w:rsidR="00547BD5" w:rsidRPr="00A2430F">
        <w:rPr>
          <w:color w:val="000000"/>
        </w:rPr>
        <w:t xml:space="preserve">The </w:t>
      </w:r>
      <w:r w:rsidR="00380F7C" w:rsidRPr="00A2430F">
        <w:rPr>
          <w:color w:val="000000"/>
        </w:rPr>
        <w:t xml:space="preserve">single largest </w:t>
      </w:r>
      <w:r w:rsidR="00547BD5" w:rsidRPr="00A2430F">
        <w:rPr>
          <w:color w:val="000000"/>
        </w:rPr>
        <w:t xml:space="preserve">proportion of both </w:t>
      </w:r>
      <w:r w:rsidR="00C814AA" w:rsidRPr="00A2430F">
        <w:rPr>
          <w:color w:val="000000"/>
        </w:rPr>
        <w:t xml:space="preserve">veterans and non-veterans </w:t>
      </w:r>
      <w:r w:rsidR="00424F3D" w:rsidRPr="00A2430F">
        <w:rPr>
          <w:color w:val="000000"/>
        </w:rPr>
        <w:t xml:space="preserve">reported </w:t>
      </w:r>
      <w:r w:rsidR="00C814AA" w:rsidRPr="00A2430F">
        <w:rPr>
          <w:color w:val="000000"/>
        </w:rPr>
        <w:t>no symptoms of depression</w:t>
      </w:r>
      <w:r w:rsidR="00957FE3" w:rsidRPr="00A2430F">
        <w:rPr>
          <w:color w:val="000000"/>
        </w:rPr>
        <w:t xml:space="preserve"> </w:t>
      </w:r>
      <w:r w:rsidR="00852053" w:rsidRPr="00A2430F">
        <w:rPr>
          <w:color w:val="000000"/>
        </w:rPr>
        <w:t xml:space="preserve">(30.4% and 55%, respectively) </w:t>
      </w:r>
      <w:r w:rsidR="00957FE3" w:rsidRPr="00A2430F">
        <w:rPr>
          <w:color w:val="000000"/>
        </w:rPr>
        <w:t xml:space="preserve">or </w:t>
      </w:r>
      <w:r w:rsidR="0051654E" w:rsidRPr="00A2430F">
        <w:rPr>
          <w:color w:val="000000"/>
        </w:rPr>
        <w:t>anxiety</w:t>
      </w:r>
      <w:r w:rsidR="00957FE3" w:rsidRPr="00A2430F">
        <w:rPr>
          <w:color w:val="000000"/>
        </w:rPr>
        <w:t xml:space="preserve"> </w:t>
      </w:r>
      <w:r w:rsidR="003534CE" w:rsidRPr="00A2430F">
        <w:rPr>
          <w:color w:val="000000"/>
        </w:rPr>
        <w:t xml:space="preserve">(38.7% and 64.9%, respectively) </w:t>
      </w:r>
      <w:r w:rsidR="00957FE3" w:rsidRPr="00A2430F">
        <w:rPr>
          <w:color w:val="000000"/>
        </w:rPr>
        <w:t xml:space="preserve">and </w:t>
      </w:r>
      <w:r w:rsidR="00380F7C" w:rsidRPr="00A2430F">
        <w:rPr>
          <w:color w:val="000000"/>
        </w:rPr>
        <w:t xml:space="preserve">most </w:t>
      </w:r>
      <w:r w:rsidR="00957FE3" w:rsidRPr="00A2430F">
        <w:rPr>
          <w:color w:val="000000"/>
        </w:rPr>
        <w:t>d</w:t>
      </w:r>
      <w:r w:rsidR="0051654E" w:rsidRPr="00A2430F">
        <w:rPr>
          <w:color w:val="000000"/>
        </w:rPr>
        <w:t xml:space="preserve">id not reach the threshold for diagnosis </w:t>
      </w:r>
      <w:r w:rsidR="00634F0C" w:rsidRPr="00A2430F">
        <w:rPr>
          <w:color w:val="000000"/>
        </w:rPr>
        <w:t>of PTSD</w:t>
      </w:r>
      <w:r w:rsidR="0051654E" w:rsidRPr="00A2430F">
        <w:rPr>
          <w:color w:val="000000"/>
        </w:rPr>
        <w:t xml:space="preserve">. However, veterans were </w:t>
      </w:r>
      <w:r w:rsidR="00DE3D95" w:rsidRPr="00A2430F">
        <w:rPr>
          <w:color w:val="000000"/>
        </w:rPr>
        <w:t xml:space="preserve">more than </w:t>
      </w:r>
      <w:r w:rsidR="0051654E" w:rsidRPr="00A2430F">
        <w:rPr>
          <w:color w:val="000000"/>
        </w:rPr>
        <w:t>4</w:t>
      </w:r>
      <w:r w:rsidR="00DE3D95" w:rsidRPr="00A2430F">
        <w:rPr>
          <w:color w:val="000000"/>
        </w:rPr>
        <w:t xml:space="preserve"> </w:t>
      </w:r>
      <w:r w:rsidR="0051654E" w:rsidRPr="00A2430F">
        <w:rPr>
          <w:color w:val="000000"/>
        </w:rPr>
        <w:t xml:space="preserve">times more likely </w:t>
      </w:r>
      <w:r w:rsidR="00D95683" w:rsidRPr="00A2430F">
        <w:rPr>
          <w:color w:val="000000"/>
        </w:rPr>
        <w:t xml:space="preserve">to </w:t>
      </w:r>
      <w:r w:rsidR="0051654E" w:rsidRPr="00A2430F">
        <w:rPr>
          <w:color w:val="000000"/>
        </w:rPr>
        <w:t>have a diagnosis of</w:t>
      </w:r>
      <w:r w:rsidR="00D95683" w:rsidRPr="00A2430F">
        <w:rPr>
          <w:color w:val="000000"/>
        </w:rPr>
        <w:t xml:space="preserve"> likely</w:t>
      </w:r>
      <w:r w:rsidR="0051654E" w:rsidRPr="00A2430F">
        <w:rPr>
          <w:color w:val="000000"/>
        </w:rPr>
        <w:t xml:space="preserve"> PTSD</w:t>
      </w:r>
      <w:r w:rsidR="00D95683" w:rsidRPr="00A2430F">
        <w:rPr>
          <w:color w:val="000000"/>
        </w:rPr>
        <w:t xml:space="preserve"> </w:t>
      </w:r>
      <w:r w:rsidR="0051654E" w:rsidRPr="00A2430F">
        <w:rPr>
          <w:color w:val="000000"/>
        </w:rPr>
        <w:t xml:space="preserve">and </w:t>
      </w:r>
      <w:r w:rsidR="00DE3D95" w:rsidRPr="00A2430F">
        <w:rPr>
          <w:color w:val="000000"/>
        </w:rPr>
        <w:t xml:space="preserve">almost 7 </w:t>
      </w:r>
      <w:r w:rsidR="0051654E" w:rsidRPr="00A2430F">
        <w:rPr>
          <w:color w:val="000000"/>
        </w:rPr>
        <w:t xml:space="preserve">times more likely than non-veterans </w:t>
      </w:r>
      <w:r w:rsidR="00D95683" w:rsidRPr="00A2430F">
        <w:rPr>
          <w:color w:val="000000"/>
        </w:rPr>
        <w:t xml:space="preserve">to </w:t>
      </w:r>
      <w:r w:rsidR="0051654E" w:rsidRPr="00A2430F">
        <w:rPr>
          <w:color w:val="000000"/>
        </w:rPr>
        <w:t xml:space="preserve">have </w:t>
      </w:r>
      <w:r w:rsidR="0051654E" w:rsidRPr="00A2430F">
        <w:rPr>
          <w:color w:val="000000"/>
        </w:rPr>
        <w:lastRenderedPageBreak/>
        <w:t>a diagnosis of C</w:t>
      </w:r>
      <w:r w:rsidR="006101D1" w:rsidRPr="00A2430F">
        <w:rPr>
          <w:color w:val="000000"/>
        </w:rPr>
        <w:t>-</w:t>
      </w:r>
      <w:r w:rsidR="0051654E" w:rsidRPr="00A2430F">
        <w:rPr>
          <w:color w:val="000000"/>
        </w:rPr>
        <w:t>PTSD.</w:t>
      </w:r>
      <w:r w:rsidR="00040DD2" w:rsidRPr="00A2430F">
        <w:rPr>
          <w:color w:val="000000"/>
        </w:rPr>
        <w:t xml:space="preserve"> </w:t>
      </w:r>
      <w:r w:rsidR="0051654E" w:rsidRPr="00A2430F">
        <w:rPr>
          <w:color w:val="000000"/>
        </w:rPr>
        <w:t xml:space="preserve">Most non-veterans experienced lower risk drinking </w:t>
      </w:r>
      <w:r w:rsidR="00957FE3" w:rsidRPr="00A2430F">
        <w:rPr>
          <w:color w:val="000000"/>
        </w:rPr>
        <w:t>while m</w:t>
      </w:r>
      <w:r w:rsidR="00457152" w:rsidRPr="00A2430F">
        <w:rPr>
          <w:color w:val="000000"/>
        </w:rPr>
        <w:t>ost</w:t>
      </w:r>
      <w:r w:rsidR="0051654E" w:rsidRPr="00A2430F">
        <w:rPr>
          <w:color w:val="000000"/>
        </w:rPr>
        <w:t xml:space="preserve"> veterans experienced increasingly </w:t>
      </w:r>
      <w:r w:rsidR="00EE5267" w:rsidRPr="00A2430F">
        <w:rPr>
          <w:color w:val="000000"/>
        </w:rPr>
        <w:t xml:space="preserve">hazardous </w:t>
      </w:r>
      <w:r w:rsidR="0051654E" w:rsidRPr="00A2430F">
        <w:rPr>
          <w:color w:val="000000"/>
        </w:rPr>
        <w:t>drinking levels</w:t>
      </w:r>
      <w:r w:rsidR="00957FE3" w:rsidRPr="00A2430F">
        <w:rPr>
          <w:color w:val="000000"/>
        </w:rPr>
        <w:t xml:space="preserve">. </w:t>
      </w:r>
      <w:r w:rsidR="006101D1" w:rsidRPr="00A2430F">
        <w:rPr>
          <w:color w:val="000000"/>
        </w:rPr>
        <w:t>V</w:t>
      </w:r>
      <w:r w:rsidR="00E474CD" w:rsidRPr="00A2430F">
        <w:rPr>
          <w:color w:val="000000"/>
        </w:rPr>
        <w:t>eterans</w:t>
      </w:r>
      <w:r w:rsidR="00EC664C" w:rsidRPr="00A2430F">
        <w:rPr>
          <w:color w:val="000000"/>
        </w:rPr>
        <w:t xml:space="preserve"> </w:t>
      </w:r>
      <w:r w:rsidR="00E474CD" w:rsidRPr="00A2430F">
        <w:rPr>
          <w:color w:val="000000"/>
        </w:rPr>
        <w:t>and non-veterans</w:t>
      </w:r>
      <w:r w:rsidR="00EC664C" w:rsidRPr="00A2430F">
        <w:rPr>
          <w:color w:val="000000"/>
        </w:rPr>
        <w:t xml:space="preserve"> </w:t>
      </w:r>
      <w:r w:rsidR="00EE6811" w:rsidRPr="00A2430F">
        <w:rPr>
          <w:color w:val="000000"/>
        </w:rPr>
        <w:t>were</w:t>
      </w:r>
      <w:r w:rsidR="00E474CD" w:rsidRPr="00A2430F">
        <w:rPr>
          <w:color w:val="000000"/>
        </w:rPr>
        <w:t xml:space="preserve"> </w:t>
      </w:r>
      <w:r w:rsidR="006101D1" w:rsidRPr="00A2430F">
        <w:rPr>
          <w:color w:val="000000"/>
        </w:rPr>
        <w:t xml:space="preserve">generally </w:t>
      </w:r>
      <w:r w:rsidR="00E474CD" w:rsidRPr="00A2430F">
        <w:rPr>
          <w:color w:val="000000"/>
        </w:rPr>
        <w:t>non-smokers</w:t>
      </w:r>
      <w:r w:rsidR="00957FE3" w:rsidRPr="00A2430F">
        <w:rPr>
          <w:color w:val="000000"/>
        </w:rPr>
        <w:t>.</w:t>
      </w:r>
    </w:p>
    <w:p w14:paraId="66EBAF6A" w14:textId="44861CD5" w:rsidR="00824844" w:rsidRDefault="00824844" w:rsidP="00124176">
      <w:pPr>
        <w:spacing w:line="480" w:lineRule="auto"/>
        <w:ind w:firstLine="720"/>
        <w:jc w:val="center"/>
        <w:rPr>
          <w:b/>
          <w:bCs/>
          <w:color w:val="000000"/>
        </w:rPr>
      </w:pPr>
      <w:r>
        <w:rPr>
          <w:bCs/>
          <w:iCs/>
        </w:rPr>
        <w:t>***Insert Table 5 About Here***</w:t>
      </w:r>
    </w:p>
    <w:p w14:paraId="50283545" w14:textId="082434C9" w:rsidR="00300157" w:rsidRPr="009E2C5F" w:rsidRDefault="00300157" w:rsidP="00025D0E">
      <w:pPr>
        <w:pStyle w:val="Heading2"/>
        <w:rPr>
          <w:color w:val="000000" w:themeColor="text1"/>
        </w:rPr>
      </w:pPr>
      <w:r w:rsidRPr="00A2430F">
        <w:t>Predictors of gambling severity</w:t>
      </w:r>
    </w:p>
    <w:p w14:paraId="4A8E283F" w14:textId="1FA5C785" w:rsidR="00981A05" w:rsidRPr="00A2430F" w:rsidRDefault="00981A05" w:rsidP="00981A05">
      <w:pPr>
        <w:spacing w:line="480" w:lineRule="auto"/>
        <w:ind w:firstLine="720"/>
        <w:rPr>
          <w:noProof/>
          <w:color w:val="000000"/>
        </w:rPr>
      </w:pPr>
      <w:r w:rsidRPr="00A2430F">
        <w:rPr>
          <w:noProof/>
          <w:color w:val="000000"/>
        </w:rPr>
        <w:t xml:space="preserve">Analysis, using four stepwise multiple regression </w:t>
      </w:r>
      <w:r w:rsidR="00B91B1B">
        <w:rPr>
          <w:noProof/>
          <w:color w:val="000000"/>
        </w:rPr>
        <w:t>model</w:t>
      </w:r>
      <w:r w:rsidRPr="00A2430F">
        <w:rPr>
          <w:noProof/>
          <w:color w:val="000000"/>
        </w:rPr>
        <w:t>s, was conducted</w:t>
      </w:r>
      <w:r w:rsidR="00E35A7C">
        <w:rPr>
          <w:noProof/>
          <w:color w:val="000000"/>
        </w:rPr>
        <w:t xml:space="preserve"> using </w:t>
      </w:r>
      <w:r w:rsidRPr="00A2430F">
        <w:rPr>
          <w:noProof/>
          <w:color w:val="000000"/>
        </w:rPr>
        <w:t xml:space="preserve">clustered factor blocks of sociodemographics, military demographics, mental health, and gambling activities and motivations. </w:t>
      </w:r>
    </w:p>
    <w:p w14:paraId="5D64AEAC" w14:textId="023C77EA" w:rsidR="000C1B39" w:rsidRPr="000C1B39" w:rsidRDefault="00E35A7C" w:rsidP="00727848">
      <w:pPr>
        <w:spacing w:line="480" w:lineRule="auto"/>
        <w:ind w:firstLine="720"/>
      </w:pPr>
      <w:bookmarkStart w:id="1" w:name="_Hlk93489770"/>
      <w:r>
        <w:t>Nine</w:t>
      </w:r>
      <w:r w:rsidR="000F49D5" w:rsidRPr="00A2430F">
        <w:t xml:space="preserve"> significant predictors </w:t>
      </w:r>
      <w:r>
        <w:t>of</w:t>
      </w:r>
      <w:r w:rsidRPr="00A2430F">
        <w:t xml:space="preserve"> veterans’ PGSI scores (</w:t>
      </w:r>
      <w:r w:rsidRPr="00A2430F">
        <w:rPr>
          <w:i/>
          <w:iCs/>
        </w:rPr>
        <w:t>F</w:t>
      </w:r>
      <w:r w:rsidRPr="00A2430F">
        <w:t xml:space="preserve"> (9,937) = 42.26, </w:t>
      </w:r>
      <w:r w:rsidRPr="00A2430F">
        <w:rPr>
          <w:i/>
          <w:iCs/>
        </w:rPr>
        <w:t>p</w:t>
      </w:r>
      <w:r w:rsidRPr="00A2430F">
        <w:t xml:space="preserve"> &lt;.001) </w:t>
      </w:r>
      <w:r>
        <w:t xml:space="preserve">from the </w:t>
      </w:r>
      <w:r w:rsidRPr="00A2430F">
        <w:t xml:space="preserve">sociodemographic variables </w:t>
      </w:r>
      <w:r w:rsidR="000F49D5" w:rsidRPr="00A2430F">
        <w:t xml:space="preserve">were included in the </w:t>
      </w:r>
      <w:r w:rsidR="00961686" w:rsidRPr="00A2430F">
        <w:t xml:space="preserve">first </w:t>
      </w:r>
      <w:r w:rsidR="000F49D5" w:rsidRPr="00A2430F">
        <w:t xml:space="preserve">model (Table 5). The multiple correlation for these nine predictors was </w:t>
      </w:r>
      <w:r w:rsidR="000F49D5" w:rsidRPr="00124176">
        <w:rPr>
          <w:i/>
          <w:iCs/>
        </w:rPr>
        <w:t>R</w:t>
      </w:r>
      <w:r w:rsidR="000F49D5" w:rsidRPr="00A2430F">
        <w:t>= .54, account</w:t>
      </w:r>
      <w:r w:rsidR="001874B6">
        <w:t>ing</w:t>
      </w:r>
      <w:r w:rsidR="000F49D5" w:rsidRPr="00A2430F">
        <w:t xml:space="preserve"> for 28.9% of PGSI score variance</w:t>
      </w:r>
      <w:bookmarkStart w:id="2" w:name="_Hlk93487242"/>
      <w:r w:rsidR="000F49D5" w:rsidRPr="00A2430F">
        <w:t xml:space="preserve">. </w:t>
      </w:r>
      <w:bookmarkEnd w:id="1"/>
      <w:r w:rsidR="000C1B39" w:rsidRPr="000C1B39">
        <w:t>Age was the strongest predictor, accounting for 21.0% of the variance (Δ</w:t>
      </w:r>
      <w:r w:rsidR="000C1B39" w:rsidRPr="000C1B39">
        <w:rPr>
          <w:i/>
          <w:iCs/>
        </w:rPr>
        <w:t>R</w:t>
      </w:r>
      <w:r w:rsidR="000C1B39" w:rsidRPr="000C1B39">
        <w:rPr>
          <w:i/>
          <w:iCs/>
          <w:vertAlign w:val="superscript"/>
        </w:rPr>
        <w:t>2</w:t>
      </w:r>
      <w:r w:rsidR="000C1B39" w:rsidRPr="000C1B39">
        <w:t xml:space="preserve"> = .210, F (1,945) = 251.02, p &lt;.001). A</w:t>
      </w:r>
      <w:r w:rsidR="00003BBD">
        <w:t xml:space="preserve">dditionally, </w:t>
      </w:r>
      <w:r w:rsidR="000C1B39" w:rsidRPr="000C1B39">
        <w:t xml:space="preserve">being of White-British ethnicity (ΔR2 = .009), achieving a Doctorate as </w:t>
      </w:r>
      <w:r w:rsidR="00727848">
        <w:t xml:space="preserve">one’s </w:t>
      </w:r>
      <w:r w:rsidR="000C1B39" w:rsidRPr="000C1B39">
        <w:t>highest qualification Δ</w:t>
      </w:r>
      <w:r w:rsidR="000C1B39" w:rsidRPr="000C1B39">
        <w:rPr>
          <w:i/>
          <w:iCs/>
        </w:rPr>
        <w:t>R</w:t>
      </w:r>
      <w:r w:rsidR="000C1B39" w:rsidRPr="000C1B39">
        <w:rPr>
          <w:i/>
          <w:iCs/>
          <w:vertAlign w:val="superscript"/>
        </w:rPr>
        <w:t>2</w:t>
      </w:r>
      <w:r w:rsidR="000C1B39" w:rsidRPr="000C1B39">
        <w:t xml:space="preserve"> = .004) and, living with non-family members (Δ</w:t>
      </w:r>
      <w:r w:rsidR="000C1B39" w:rsidRPr="000C1B39">
        <w:rPr>
          <w:i/>
          <w:iCs/>
        </w:rPr>
        <w:t>R</w:t>
      </w:r>
      <w:r w:rsidR="000C1B39" w:rsidRPr="000C1B39">
        <w:rPr>
          <w:i/>
          <w:iCs/>
          <w:vertAlign w:val="superscript"/>
        </w:rPr>
        <w:t>2</w:t>
      </w:r>
      <w:r w:rsidR="000C1B39" w:rsidRPr="000C1B39">
        <w:t xml:space="preserve"> = .003)</w:t>
      </w:r>
      <w:r w:rsidR="00003BBD">
        <w:t xml:space="preserve"> </w:t>
      </w:r>
      <w:r w:rsidR="000C1B39" w:rsidRPr="000C1B39">
        <w:t>were negative predictors of continuous PGSI score</w:t>
      </w:r>
      <w:r w:rsidR="00003BBD">
        <w:t xml:space="preserve"> (</w:t>
      </w:r>
      <w:r w:rsidR="000C1B39" w:rsidRPr="000C1B39">
        <w:t>i.e., protective factors</w:t>
      </w:r>
      <w:r w:rsidR="00003BBD">
        <w:t>)</w:t>
      </w:r>
      <w:r w:rsidR="000C1B39" w:rsidRPr="000C1B39">
        <w:t xml:space="preserve">. </w:t>
      </w:r>
      <w:r w:rsidR="00727848">
        <w:t xml:space="preserve">Conversely, </w:t>
      </w:r>
      <w:r w:rsidR="00727848" w:rsidRPr="000C1B39">
        <w:t>positive predictors of continuous PGSI score</w:t>
      </w:r>
      <w:r w:rsidR="00727848">
        <w:t xml:space="preserve"> (</w:t>
      </w:r>
      <w:r w:rsidR="00727848" w:rsidRPr="000C1B39">
        <w:t>i.e., risk factors</w:t>
      </w:r>
      <w:r w:rsidR="00727848">
        <w:t>) included t</w:t>
      </w:r>
      <w:r w:rsidR="000C1B39" w:rsidRPr="000C1B39">
        <w:t>he respondent being in receipt of benefits (Δ</w:t>
      </w:r>
      <w:r w:rsidR="000C1B39" w:rsidRPr="000C1B39">
        <w:rPr>
          <w:i/>
          <w:iCs/>
        </w:rPr>
        <w:t>R</w:t>
      </w:r>
      <w:r w:rsidR="000C1B39" w:rsidRPr="000C1B39">
        <w:rPr>
          <w:i/>
          <w:iCs/>
          <w:vertAlign w:val="superscript"/>
        </w:rPr>
        <w:t>2</w:t>
      </w:r>
      <w:r w:rsidR="000C1B39" w:rsidRPr="000C1B39">
        <w:t xml:space="preserve"> = .041), living in supported accommodation (Δ</w:t>
      </w:r>
      <w:r w:rsidR="000C1B39" w:rsidRPr="000C1B39">
        <w:rPr>
          <w:i/>
          <w:iCs/>
        </w:rPr>
        <w:t>R</w:t>
      </w:r>
      <w:r w:rsidR="000C1B39" w:rsidRPr="000C1B39">
        <w:rPr>
          <w:i/>
          <w:iCs/>
          <w:vertAlign w:val="superscript"/>
        </w:rPr>
        <w:t>2</w:t>
      </w:r>
      <w:r w:rsidR="000C1B39" w:rsidRPr="000C1B39">
        <w:t xml:space="preserve"> = .008), being married (Δ</w:t>
      </w:r>
      <w:r w:rsidR="000C1B39" w:rsidRPr="000C1B39">
        <w:rPr>
          <w:i/>
          <w:iCs/>
        </w:rPr>
        <w:t>R</w:t>
      </w:r>
      <w:r w:rsidR="000C1B39" w:rsidRPr="000C1B39">
        <w:rPr>
          <w:i/>
          <w:iCs/>
          <w:vertAlign w:val="superscript"/>
        </w:rPr>
        <w:t>2</w:t>
      </w:r>
      <w:r w:rsidR="000C1B39" w:rsidRPr="000C1B39">
        <w:t xml:space="preserve"> = .006) and living in privately rented accommodation (Δ</w:t>
      </w:r>
      <w:r w:rsidR="000C1B39" w:rsidRPr="000C1B39">
        <w:rPr>
          <w:i/>
          <w:iCs/>
        </w:rPr>
        <w:t>R</w:t>
      </w:r>
      <w:r w:rsidR="000C1B39" w:rsidRPr="000C1B39">
        <w:rPr>
          <w:i/>
          <w:iCs/>
          <w:vertAlign w:val="superscript"/>
        </w:rPr>
        <w:t>2</w:t>
      </w:r>
      <w:r w:rsidR="000C1B39" w:rsidRPr="000C1B39">
        <w:t xml:space="preserve"> = .003)</w:t>
      </w:r>
      <w:r w:rsidR="00727848">
        <w:t>.</w:t>
      </w:r>
    </w:p>
    <w:p w14:paraId="7865C875" w14:textId="48350196" w:rsidR="00362AE1" w:rsidRPr="00362AE1" w:rsidRDefault="00216A22" w:rsidP="0086742C">
      <w:pPr>
        <w:spacing w:line="480" w:lineRule="auto"/>
        <w:ind w:firstLine="720"/>
      </w:pPr>
      <w:bookmarkStart w:id="3" w:name="_Hlk93489885"/>
      <w:bookmarkEnd w:id="2"/>
      <w:r w:rsidRPr="00A2430F">
        <w:t>In the second model, e</w:t>
      </w:r>
      <w:r w:rsidR="000F49D5" w:rsidRPr="00A2430F">
        <w:t>leven significant predictors (</w:t>
      </w:r>
      <w:r w:rsidR="000F49D5" w:rsidRPr="00A2430F">
        <w:rPr>
          <w:i/>
          <w:iCs/>
        </w:rPr>
        <w:t>F</w:t>
      </w:r>
      <w:r w:rsidR="000F49D5" w:rsidRPr="00A2430F">
        <w:t xml:space="preserve"> (11,902) = 44.27, </w:t>
      </w:r>
      <w:r w:rsidR="000F49D5" w:rsidRPr="00A2430F">
        <w:rPr>
          <w:i/>
          <w:iCs/>
        </w:rPr>
        <w:t>p</w:t>
      </w:r>
      <w:r w:rsidR="000F49D5" w:rsidRPr="00A2430F">
        <w:t xml:space="preserve"> &lt;.001) were included (Table 5). In combination, these predictors had a multiple correlation of </w:t>
      </w:r>
      <w:r w:rsidR="000F49D5" w:rsidRPr="00124176">
        <w:rPr>
          <w:i/>
          <w:iCs/>
        </w:rPr>
        <w:t>R</w:t>
      </w:r>
      <w:r w:rsidR="000F49D5" w:rsidRPr="00A2430F">
        <w:t xml:space="preserve">= .59, which accounted for 35.1% of the variance within PGSI scores. </w:t>
      </w:r>
      <w:bookmarkStart w:id="4" w:name="_Hlk93487719"/>
      <w:bookmarkEnd w:id="3"/>
      <w:r w:rsidR="00362AE1" w:rsidRPr="00362AE1">
        <w:t>Serving for longer than 20 years was the strongest predictor of PGSI score, accounting for 12.5% of variance (Δ</w:t>
      </w:r>
      <w:r w:rsidR="00362AE1" w:rsidRPr="00362AE1">
        <w:rPr>
          <w:i/>
          <w:iCs/>
        </w:rPr>
        <w:t>R</w:t>
      </w:r>
      <w:r w:rsidR="00362AE1" w:rsidRPr="00362AE1">
        <w:rPr>
          <w:i/>
          <w:iCs/>
          <w:vertAlign w:val="superscript"/>
        </w:rPr>
        <w:t>2</w:t>
      </w:r>
      <w:r w:rsidR="00362AE1" w:rsidRPr="00362AE1">
        <w:t xml:space="preserve"> = .125, </w:t>
      </w:r>
      <w:r w:rsidR="00362AE1" w:rsidRPr="00362AE1">
        <w:rPr>
          <w:i/>
          <w:iCs/>
        </w:rPr>
        <w:t>F</w:t>
      </w:r>
      <w:r w:rsidR="00362AE1" w:rsidRPr="00362AE1">
        <w:t xml:space="preserve"> (1,912) = 129.92, </w:t>
      </w:r>
      <w:r w:rsidR="00362AE1" w:rsidRPr="00362AE1">
        <w:rPr>
          <w:i/>
          <w:iCs/>
        </w:rPr>
        <w:t>p</w:t>
      </w:r>
      <w:r w:rsidR="00362AE1" w:rsidRPr="00362AE1">
        <w:t xml:space="preserve"> &lt;.001). </w:t>
      </w:r>
      <w:r w:rsidR="008864D1">
        <w:t xml:space="preserve">Additionally, </w:t>
      </w:r>
      <w:r w:rsidR="00362AE1" w:rsidRPr="00362AE1">
        <w:t>serving for between 10-19 years (Δ</w:t>
      </w:r>
      <w:r w:rsidR="00362AE1" w:rsidRPr="00362AE1">
        <w:rPr>
          <w:i/>
          <w:iCs/>
        </w:rPr>
        <w:t>R</w:t>
      </w:r>
      <w:r w:rsidR="00362AE1" w:rsidRPr="00362AE1">
        <w:rPr>
          <w:i/>
          <w:iCs/>
          <w:vertAlign w:val="superscript"/>
        </w:rPr>
        <w:t>2</w:t>
      </w:r>
      <w:r w:rsidR="00362AE1" w:rsidRPr="00362AE1">
        <w:t xml:space="preserve"> = .044), being discharged 25+ years ago (Δ</w:t>
      </w:r>
      <w:r w:rsidR="00362AE1" w:rsidRPr="00362AE1">
        <w:rPr>
          <w:i/>
          <w:iCs/>
        </w:rPr>
        <w:t>R</w:t>
      </w:r>
      <w:r w:rsidR="00362AE1" w:rsidRPr="00362AE1">
        <w:rPr>
          <w:i/>
          <w:iCs/>
          <w:vertAlign w:val="superscript"/>
        </w:rPr>
        <w:t>2</w:t>
      </w:r>
      <w:r w:rsidR="00362AE1" w:rsidRPr="00362AE1">
        <w:t xml:space="preserve"> = .034), discharge due to a reason listed as </w:t>
      </w:r>
      <w:r w:rsidR="00362AE1" w:rsidRPr="00362AE1">
        <w:lastRenderedPageBreak/>
        <w:t>‘other’ (Δ</w:t>
      </w:r>
      <w:r w:rsidR="00362AE1" w:rsidRPr="00362AE1">
        <w:rPr>
          <w:i/>
          <w:iCs/>
        </w:rPr>
        <w:t>R</w:t>
      </w:r>
      <w:r w:rsidR="00362AE1" w:rsidRPr="00362AE1">
        <w:rPr>
          <w:i/>
          <w:iCs/>
          <w:vertAlign w:val="superscript"/>
        </w:rPr>
        <w:t>2</w:t>
      </w:r>
      <w:r w:rsidR="00362AE1" w:rsidRPr="00362AE1">
        <w:t xml:space="preserve"> = .009), not being deployed during their career (Δ</w:t>
      </w:r>
      <w:r w:rsidR="00362AE1" w:rsidRPr="00362AE1">
        <w:rPr>
          <w:i/>
          <w:iCs/>
        </w:rPr>
        <w:t>R</w:t>
      </w:r>
      <w:r w:rsidR="00362AE1" w:rsidRPr="00362AE1">
        <w:rPr>
          <w:i/>
          <w:iCs/>
          <w:vertAlign w:val="superscript"/>
        </w:rPr>
        <w:t>2</w:t>
      </w:r>
      <w:r w:rsidR="00362AE1" w:rsidRPr="00362AE1">
        <w:t xml:space="preserve"> = .008), being discharged at their own request (ΔR2 = .003), and being medically discharged (ΔR2 = .004) were negative predictors of PGSI score</w:t>
      </w:r>
      <w:r w:rsidR="008864D1">
        <w:t xml:space="preserve"> (i.e., </w:t>
      </w:r>
      <w:r w:rsidR="008864D1" w:rsidRPr="000C1B39">
        <w:t>protective factors</w:t>
      </w:r>
      <w:r w:rsidR="008864D1">
        <w:t>)</w:t>
      </w:r>
      <w:r w:rsidR="00362AE1" w:rsidRPr="00362AE1">
        <w:t xml:space="preserve">. </w:t>
      </w:r>
      <w:r w:rsidR="008864D1">
        <w:t>P</w:t>
      </w:r>
      <w:r w:rsidR="008864D1" w:rsidRPr="00362AE1">
        <w:t>ositive predictors of PGSI score</w:t>
      </w:r>
      <w:r w:rsidR="008864D1">
        <w:t xml:space="preserve"> </w:t>
      </w:r>
      <w:r w:rsidR="008265E8">
        <w:t xml:space="preserve">(i.e., risk factors) </w:t>
      </w:r>
      <w:r w:rsidR="008864D1">
        <w:t>wer</w:t>
      </w:r>
      <w:r w:rsidR="008265E8">
        <w:t>e</w:t>
      </w:r>
      <w:r w:rsidR="00362AE1" w:rsidRPr="00362AE1">
        <w:t xml:space="preserve"> being discharged 9-13 years ago (Δ</w:t>
      </w:r>
      <w:r w:rsidR="00362AE1" w:rsidRPr="00362AE1">
        <w:rPr>
          <w:i/>
          <w:iCs/>
        </w:rPr>
        <w:t>R</w:t>
      </w:r>
      <w:r w:rsidR="00362AE1" w:rsidRPr="00362AE1">
        <w:rPr>
          <w:i/>
          <w:iCs/>
          <w:vertAlign w:val="superscript"/>
        </w:rPr>
        <w:t>2</w:t>
      </w:r>
      <w:r w:rsidR="00362AE1" w:rsidRPr="00362AE1">
        <w:t xml:space="preserve"> = .103)</w:t>
      </w:r>
      <w:r w:rsidR="003B71D5">
        <w:t>,</w:t>
      </w:r>
      <w:r w:rsidR="00362AE1" w:rsidRPr="00362AE1">
        <w:t xml:space="preserve"> serving for between 0-4 years (Δ</w:t>
      </w:r>
      <w:r w:rsidR="00362AE1" w:rsidRPr="00362AE1">
        <w:rPr>
          <w:i/>
          <w:iCs/>
        </w:rPr>
        <w:t>R</w:t>
      </w:r>
      <w:r w:rsidR="00362AE1" w:rsidRPr="00362AE1">
        <w:rPr>
          <w:i/>
          <w:iCs/>
          <w:vertAlign w:val="superscript"/>
        </w:rPr>
        <w:t>2</w:t>
      </w:r>
      <w:r w:rsidR="00362AE1" w:rsidRPr="00362AE1">
        <w:t xml:space="preserve"> = .009), and serving in the Royal Navy (Δ</w:t>
      </w:r>
      <w:r w:rsidR="00362AE1" w:rsidRPr="00362AE1">
        <w:rPr>
          <w:i/>
          <w:iCs/>
        </w:rPr>
        <w:t>R</w:t>
      </w:r>
      <w:r w:rsidR="00362AE1" w:rsidRPr="00362AE1">
        <w:rPr>
          <w:i/>
          <w:iCs/>
          <w:vertAlign w:val="superscript"/>
        </w:rPr>
        <w:t>2</w:t>
      </w:r>
      <w:r w:rsidR="00362AE1" w:rsidRPr="00362AE1">
        <w:t xml:space="preserve"> = .005)</w:t>
      </w:r>
      <w:r w:rsidR="00766FA2">
        <w:t>.</w:t>
      </w:r>
    </w:p>
    <w:p w14:paraId="3CB46671" w14:textId="4663A4D3" w:rsidR="00362AE1" w:rsidRPr="00362AE1" w:rsidRDefault="000F49D5" w:rsidP="0086742C">
      <w:pPr>
        <w:spacing w:line="480" w:lineRule="auto"/>
        <w:ind w:firstLine="720"/>
      </w:pPr>
      <w:bookmarkStart w:id="5" w:name="_Hlk93490112"/>
      <w:bookmarkEnd w:id="4"/>
      <w:r w:rsidRPr="00A2430F">
        <w:t xml:space="preserve">The third </w:t>
      </w:r>
      <w:r w:rsidR="00191490" w:rsidRPr="00A2430F">
        <w:t>model</w:t>
      </w:r>
      <w:r w:rsidRPr="00A2430F">
        <w:t xml:space="preserve"> evaluated </w:t>
      </w:r>
      <w:r w:rsidR="00D66676" w:rsidRPr="00A2430F">
        <w:t xml:space="preserve">the role of </w:t>
      </w:r>
      <w:r w:rsidRPr="00A2430F">
        <w:t xml:space="preserve">mental health variables to predict </w:t>
      </w:r>
      <w:r w:rsidR="009B691C" w:rsidRPr="00A2430F">
        <w:t>veterans</w:t>
      </w:r>
      <w:r w:rsidR="00D66676" w:rsidRPr="00A2430F">
        <w:t>’</w:t>
      </w:r>
      <w:r w:rsidR="009B691C" w:rsidRPr="00A2430F">
        <w:t xml:space="preserve"> </w:t>
      </w:r>
      <w:r w:rsidRPr="00A2430F">
        <w:t>PGSI score</w:t>
      </w:r>
      <w:r w:rsidR="00D66676" w:rsidRPr="00A2430F">
        <w:t>s</w:t>
      </w:r>
      <w:r w:rsidRPr="00A2430F">
        <w:t>. Entered stepwise, seven significant predictors (</w:t>
      </w:r>
      <w:r w:rsidRPr="00A2430F">
        <w:rPr>
          <w:i/>
          <w:iCs/>
        </w:rPr>
        <w:t>F</w:t>
      </w:r>
      <w:r w:rsidRPr="00A2430F">
        <w:t xml:space="preserve"> (7,770) = 59.08, </w:t>
      </w:r>
      <w:r w:rsidRPr="00A2430F">
        <w:rPr>
          <w:i/>
          <w:iCs/>
        </w:rPr>
        <w:t>p</w:t>
      </w:r>
      <w:r w:rsidRPr="00A2430F">
        <w:t xml:space="preserve"> &lt;.001) were included (Table 5) that accounted for 35.9% of the variability in PGSI scores with a multiple correlation of </w:t>
      </w:r>
      <w:r w:rsidRPr="00124176">
        <w:rPr>
          <w:i/>
          <w:iCs/>
        </w:rPr>
        <w:t>R</w:t>
      </w:r>
      <w:r w:rsidRPr="00A2430F">
        <w:t xml:space="preserve">= .59. </w:t>
      </w:r>
      <w:r w:rsidR="00362AE1" w:rsidRPr="00CF3C28">
        <w:t>The strongest predictor was having no symptoms of depression within the last 2 weeks and accounted for 19.9% of the variance in PGSI score (ΔR</w:t>
      </w:r>
      <w:r w:rsidR="00362AE1" w:rsidRPr="00CF3C28">
        <w:rPr>
          <w:vertAlign w:val="superscript"/>
        </w:rPr>
        <w:t>2</w:t>
      </w:r>
      <w:r w:rsidR="00362AE1" w:rsidRPr="00CF3C28">
        <w:t xml:space="preserve"> = .199, </w:t>
      </w:r>
      <w:r w:rsidR="00362AE1" w:rsidRPr="00CF3C28">
        <w:rPr>
          <w:i/>
          <w:iCs/>
        </w:rPr>
        <w:t>F</w:t>
      </w:r>
      <w:r w:rsidR="00362AE1" w:rsidRPr="00CF3C28">
        <w:t xml:space="preserve"> (1,776) = 193.28, </w:t>
      </w:r>
      <w:r w:rsidR="00362AE1" w:rsidRPr="00CF3C28">
        <w:rPr>
          <w:i/>
          <w:iCs/>
        </w:rPr>
        <w:t>p</w:t>
      </w:r>
      <w:r w:rsidR="00362AE1" w:rsidRPr="00CF3C28">
        <w:t xml:space="preserve"> &lt;.001)</w:t>
      </w:r>
      <w:r w:rsidR="00362AE1" w:rsidRPr="00362AE1">
        <w:t xml:space="preserve">. </w:t>
      </w:r>
      <w:r w:rsidR="00231274">
        <w:t xml:space="preserve">Additionally, </w:t>
      </w:r>
      <w:r w:rsidR="00362AE1" w:rsidRPr="00CF3C28">
        <w:t>no likely PTSD diagnosis (ΔR</w:t>
      </w:r>
      <w:r w:rsidR="00362AE1" w:rsidRPr="00CF3C28">
        <w:rPr>
          <w:vertAlign w:val="superscript"/>
        </w:rPr>
        <w:t>2</w:t>
      </w:r>
      <w:r w:rsidR="00362AE1" w:rsidRPr="00CF3C28">
        <w:t xml:space="preserve"> = .080), severe anxiety (ΔR</w:t>
      </w:r>
      <w:r w:rsidR="00362AE1" w:rsidRPr="00CF3C28">
        <w:rPr>
          <w:vertAlign w:val="superscript"/>
        </w:rPr>
        <w:t>2</w:t>
      </w:r>
      <w:r w:rsidR="00362AE1" w:rsidRPr="00CF3C28">
        <w:t xml:space="preserve"> = .015)</w:t>
      </w:r>
      <w:r w:rsidR="00362AE1" w:rsidRPr="00362AE1">
        <w:t xml:space="preserve"> and</w:t>
      </w:r>
      <w:r w:rsidR="00231274">
        <w:t xml:space="preserve"> </w:t>
      </w:r>
      <w:r w:rsidR="00362AE1" w:rsidRPr="00CF3C28">
        <w:t>lower risk drinking (ΔR</w:t>
      </w:r>
      <w:r w:rsidR="00362AE1" w:rsidRPr="00CF3C28">
        <w:rPr>
          <w:vertAlign w:val="superscript"/>
        </w:rPr>
        <w:t>2</w:t>
      </w:r>
      <w:r w:rsidR="00362AE1" w:rsidRPr="00CF3C28">
        <w:t xml:space="preserve"> = .008)</w:t>
      </w:r>
      <w:r w:rsidR="00362AE1" w:rsidRPr="00362AE1">
        <w:t xml:space="preserve"> compris</w:t>
      </w:r>
      <w:r w:rsidR="00231274">
        <w:t>ed</w:t>
      </w:r>
      <w:r w:rsidR="00362AE1" w:rsidRPr="00362AE1">
        <w:t xml:space="preserve"> the negative predictors </w:t>
      </w:r>
      <w:r w:rsidR="00231274">
        <w:t xml:space="preserve">(i.e., protective factors) </w:t>
      </w:r>
      <w:r w:rsidR="00362AE1" w:rsidRPr="00362AE1">
        <w:t xml:space="preserve">of PGSI score in this model. </w:t>
      </w:r>
      <w:r w:rsidR="00231274">
        <w:t>The p</w:t>
      </w:r>
      <w:r w:rsidR="00362AE1" w:rsidRPr="00362AE1">
        <w:t xml:space="preserve">ositive predictors were </w:t>
      </w:r>
      <w:r w:rsidR="00362AE1" w:rsidRPr="00CF3C28">
        <w:t>possible alcohol dependence (ΔR</w:t>
      </w:r>
      <w:r w:rsidR="00362AE1" w:rsidRPr="00CF3C28">
        <w:rPr>
          <w:vertAlign w:val="superscript"/>
        </w:rPr>
        <w:t>2</w:t>
      </w:r>
      <w:r w:rsidR="00362AE1" w:rsidRPr="00CF3C28">
        <w:t xml:space="preserve"> = .026), higher risk drinking (ΔR</w:t>
      </w:r>
      <w:r w:rsidR="00362AE1" w:rsidRPr="00CF3C28">
        <w:rPr>
          <w:vertAlign w:val="superscript"/>
        </w:rPr>
        <w:t>2</w:t>
      </w:r>
      <w:r w:rsidR="00362AE1" w:rsidRPr="00CF3C28">
        <w:t xml:space="preserve"> = .018),</w:t>
      </w:r>
      <w:r w:rsidR="00362AE1" w:rsidRPr="00362AE1">
        <w:t xml:space="preserve"> </w:t>
      </w:r>
      <w:r w:rsidR="00362AE1" w:rsidRPr="00CF3C28">
        <w:t>and mild anxiety (ΔR</w:t>
      </w:r>
      <w:r w:rsidR="00362AE1" w:rsidRPr="00CF3C28">
        <w:rPr>
          <w:vertAlign w:val="superscript"/>
        </w:rPr>
        <w:t>2</w:t>
      </w:r>
      <w:r w:rsidR="00362AE1" w:rsidRPr="00CF3C28">
        <w:t xml:space="preserve"> = .004)</w:t>
      </w:r>
      <w:r w:rsidR="00362AE1" w:rsidRPr="00362AE1">
        <w:t>.</w:t>
      </w:r>
    </w:p>
    <w:p w14:paraId="11009F2D" w14:textId="77777777" w:rsidR="00E7011A" w:rsidRDefault="000F49D5" w:rsidP="00663691">
      <w:pPr>
        <w:spacing w:line="480" w:lineRule="auto"/>
        <w:ind w:firstLine="720"/>
      </w:pPr>
      <w:r w:rsidRPr="00A2430F">
        <w:t xml:space="preserve">The </w:t>
      </w:r>
      <w:r w:rsidR="00ED1E25" w:rsidRPr="00A2430F">
        <w:t>final model</w:t>
      </w:r>
      <w:r w:rsidRPr="00A2430F">
        <w:t xml:space="preserve"> analysed </w:t>
      </w:r>
      <w:r w:rsidR="00BA0A99" w:rsidRPr="00A2430F">
        <w:t xml:space="preserve">the role of </w:t>
      </w:r>
      <w:r w:rsidRPr="00A2430F">
        <w:t xml:space="preserve">gambling </w:t>
      </w:r>
      <w:r w:rsidR="00B134C2" w:rsidRPr="00A2430F">
        <w:t>activities</w:t>
      </w:r>
      <w:r w:rsidRPr="00A2430F">
        <w:t xml:space="preserve"> and motivation</w:t>
      </w:r>
      <w:r w:rsidR="00BA0A99" w:rsidRPr="00A2430F">
        <w:t>s in</w:t>
      </w:r>
      <w:r w:rsidRPr="00A2430F">
        <w:t xml:space="preserve"> predict</w:t>
      </w:r>
      <w:r w:rsidR="00BA0A99" w:rsidRPr="00A2430F">
        <w:t>ing</w:t>
      </w:r>
      <w:r w:rsidRPr="00A2430F">
        <w:t xml:space="preserve"> </w:t>
      </w:r>
      <w:r w:rsidR="009B691C" w:rsidRPr="00A2430F">
        <w:t>veterans’</w:t>
      </w:r>
      <w:r w:rsidRPr="00A2430F">
        <w:t xml:space="preserve"> PGSI scor</w:t>
      </w:r>
      <w:r w:rsidR="009B691C" w:rsidRPr="00A2430F">
        <w:t>es</w:t>
      </w:r>
      <w:r w:rsidRPr="00A2430F">
        <w:t xml:space="preserve">. </w:t>
      </w:r>
      <w:r w:rsidR="00362AE1" w:rsidRPr="00CF3C28">
        <w:t>Three significant</w:t>
      </w:r>
      <w:r w:rsidR="00362AE1" w:rsidRPr="00362AE1">
        <w:t>, positive</w:t>
      </w:r>
      <w:r w:rsidR="00362AE1" w:rsidRPr="00CF3C28">
        <w:t xml:space="preserve"> predictors (</w:t>
      </w:r>
      <w:r w:rsidR="00362AE1" w:rsidRPr="00CF3C28">
        <w:rPr>
          <w:i/>
          <w:iCs/>
        </w:rPr>
        <w:t>F</w:t>
      </w:r>
      <w:r w:rsidR="00362AE1" w:rsidRPr="00CF3C28">
        <w:t xml:space="preserve"> (3,943) = 364.79, </w:t>
      </w:r>
      <w:r w:rsidR="00362AE1" w:rsidRPr="00CF3C28">
        <w:rPr>
          <w:i/>
          <w:iCs/>
        </w:rPr>
        <w:t>p</w:t>
      </w:r>
      <w:r w:rsidR="00362AE1" w:rsidRPr="00CF3C28">
        <w:t xml:space="preserve"> &lt;.001) were included (Table 5), accounting for 53.7% of variance within PGSI scores with a multiple correlation </w:t>
      </w:r>
      <w:r w:rsidR="00362AE1" w:rsidRPr="00362AE1">
        <w:t xml:space="preserve">of </w:t>
      </w:r>
      <w:r w:rsidR="00362AE1" w:rsidRPr="00CF3C28">
        <w:rPr>
          <w:i/>
          <w:iCs/>
        </w:rPr>
        <w:t>R</w:t>
      </w:r>
      <w:r w:rsidR="00362AE1" w:rsidRPr="00CF3C28">
        <w:t>= .73. The strongest predictor was gambling due to negative reinforcement, accounting for 40.8% of PGSI score variance (ΔR</w:t>
      </w:r>
      <w:r w:rsidR="00362AE1" w:rsidRPr="00CF3C28">
        <w:rPr>
          <w:vertAlign w:val="superscript"/>
        </w:rPr>
        <w:t>2</w:t>
      </w:r>
      <w:r w:rsidR="00362AE1" w:rsidRPr="00CF3C28">
        <w:t xml:space="preserve"> = .408, </w:t>
      </w:r>
      <w:r w:rsidR="00362AE1" w:rsidRPr="00CF3C28">
        <w:rPr>
          <w:i/>
          <w:iCs/>
        </w:rPr>
        <w:t>F</w:t>
      </w:r>
      <w:r w:rsidR="00362AE1" w:rsidRPr="00CF3C28">
        <w:t xml:space="preserve"> (1,945) = 651.48, </w:t>
      </w:r>
      <w:r w:rsidR="00362AE1" w:rsidRPr="00CF3C28">
        <w:rPr>
          <w:i/>
          <w:iCs/>
        </w:rPr>
        <w:t>p</w:t>
      </w:r>
      <w:r w:rsidR="00362AE1" w:rsidRPr="00CF3C28">
        <w:t xml:space="preserve"> &lt;.001), followed by number of gambling activities (ΔR</w:t>
      </w:r>
      <w:r w:rsidR="00362AE1" w:rsidRPr="00CF3C28">
        <w:rPr>
          <w:vertAlign w:val="superscript"/>
        </w:rPr>
        <w:t>2</w:t>
      </w:r>
      <w:r w:rsidR="00362AE1" w:rsidRPr="00CF3C28">
        <w:t xml:space="preserve"> = .127) and gambling due to positive reinforcement (ΔR</w:t>
      </w:r>
      <w:r w:rsidR="00362AE1" w:rsidRPr="00CF3C28">
        <w:rPr>
          <w:vertAlign w:val="superscript"/>
        </w:rPr>
        <w:t>2</w:t>
      </w:r>
      <w:r w:rsidR="00362AE1" w:rsidRPr="00CF3C28">
        <w:t xml:space="preserve"> = .002), respectively. </w:t>
      </w:r>
      <w:r w:rsidR="00362AE1" w:rsidRPr="00362AE1">
        <w:t xml:space="preserve"> </w:t>
      </w:r>
    </w:p>
    <w:p w14:paraId="629603EC" w14:textId="77777777" w:rsidR="00025D0E" w:rsidRDefault="00025D0E" w:rsidP="00663691">
      <w:pPr>
        <w:spacing w:line="480" w:lineRule="auto"/>
        <w:ind w:firstLine="720"/>
      </w:pPr>
    </w:p>
    <w:p w14:paraId="0BE3CBA4" w14:textId="77777777" w:rsidR="00025D0E" w:rsidRDefault="00025D0E" w:rsidP="00663691">
      <w:pPr>
        <w:spacing w:line="480" w:lineRule="auto"/>
        <w:ind w:firstLine="720"/>
      </w:pPr>
    </w:p>
    <w:p w14:paraId="7B0D7407" w14:textId="77777777" w:rsidR="00025D0E" w:rsidRDefault="00025D0E" w:rsidP="00663691">
      <w:pPr>
        <w:spacing w:line="480" w:lineRule="auto"/>
        <w:ind w:firstLine="720"/>
      </w:pPr>
    </w:p>
    <w:p w14:paraId="0547E8DB" w14:textId="3D081B56" w:rsidR="00025D0E" w:rsidRPr="00A2430F" w:rsidRDefault="00025D0E" w:rsidP="00663691">
      <w:pPr>
        <w:spacing w:line="480" w:lineRule="auto"/>
        <w:ind w:firstLine="720"/>
        <w:rPr>
          <w:color w:val="000000"/>
        </w:rPr>
        <w:sectPr w:rsidR="00025D0E" w:rsidRPr="00A2430F" w:rsidSect="00663691">
          <w:headerReference w:type="even" r:id="rId8"/>
          <w:headerReference w:type="default" r:id="rId9"/>
          <w:footerReference w:type="default" r:id="rId10"/>
          <w:type w:val="continuous"/>
          <w:pgSz w:w="11906" w:h="16838"/>
          <w:pgMar w:top="1440" w:right="1440" w:bottom="1440" w:left="1440" w:header="708" w:footer="708" w:gutter="0"/>
          <w:cols w:space="708"/>
          <w:docGrid w:linePitch="360"/>
        </w:sectPr>
      </w:pPr>
    </w:p>
    <w:bookmarkEnd w:id="5"/>
    <w:p w14:paraId="5A5283E1" w14:textId="77777777" w:rsidR="000B589E" w:rsidRPr="00025D0E" w:rsidRDefault="000B589E" w:rsidP="00025D0E">
      <w:pPr>
        <w:pStyle w:val="Heading1"/>
      </w:pPr>
      <w:r w:rsidRPr="00025D0E">
        <w:lastRenderedPageBreak/>
        <w:t>Discussion</w:t>
      </w:r>
    </w:p>
    <w:p w14:paraId="2A9A4128" w14:textId="2BB57FE9" w:rsidR="000B589E" w:rsidRPr="00A2430F" w:rsidRDefault="000B589E" w:rsidP="000B589E">
      <w:pPr>
        <w:spacing w:line="480" w:lineRule="auto"/>
        <w:ind w:firstLine="720"/>
      </w:pPr>
      <w:r w:rsidRPr="00A2430F">
        <w:t xml:space="preserve">This study represents the first survey of gambling </w:t>
      </w:r>
      <w:r w:rsidR="0050434E" w:rsidRPr="00A2430F">
        <w:t>risk factors</w:t>
      </w:r>
      <w:r w:rsidRPr="00A2430F">
        <w:t xml:space="preserve"> among a </w:t>
      </w:r>
      <w:r w:rsidR="000B2A7D">
        <w:t xml:space="preserve">large </w:t>
      </w:r>
      <w:r w:rsidRPr="00A2430F">
        <w:t xml:space="preserve">sample of community-dwelling UK AF veterans. Consistent with findings from both the UK </w:t>
      </w:r>
      <w:r w:rsidR="003779D4">
        <w:t>(Dighton et al., 2018; Roberts et al., 2019)</w:t>
      </w:r>
      <w:r w:rsidRPr="00A2430F">
        <w:t xml:space="preserve"> and internationally</w:t>
      </w:r>
      <w:r w:rsidR="00707577">
        <w:t xml:space="preserve"> (Etuk et al., 2020; Levy &amp; Tracy, 2018)</w:t>
      </w:r>
      <w:r w:rsidRPr="00A2430F">
        <w:t>, we found that UK veterans were at increased risk of problem gambling. Veterans gambled on more activities than their non-veterans, and their gambling was motivated by negative reinforcement (escape from or avoidance of distress). In line with previous findings, veterans experienced numerous symptoms of depression, anxiety, risky alcohol use, nicotine dependence at higher levels, and increased indications of PTSD and C</w:t>
      </w:r>
      <w:r w:rsidR="00A343E8" w:rsidRPr="00A2430F">
        <w:t>-</w:t>
      </w:r>
      <w:r w:rsidRPr="00A2430F">
        <w:t>PTSD diagnoses compared to non-veterans</w:t>
      </w:r>
      <w:r w:rsidR="00F834BE">
        <w:t xml:space="preserve"> (Biddle et al., 2005; Goodwin et al., </w:t>
      </w:r>
      <w:r w:rsidR="001D05C9">
        <w:t xml:space="preserve">2015; </w:t>
      </w:r>
      <w:r w:rsidR="00F834BE">
        <w:t>Murphy et al., 2021</w:t>
      </w:r>
      <w:r w:rsidR="001D05C9">
        <w:t>)</w:t>
      </w:r>
      <w:r w:rsidRPr="00A2430F">
        <w:t>. Our regression analysis identified that veteran status was a significant predictor of increased PGSI score along with gambling due to negative reinforcement. Length of service and years since discharge also predicted a decrease in gambling severity. These findings indicate that longer service in the AF may be a protective factor; however, negative mental health outcomes may exacerbate gambling problems soon after leaving the AF, with gambling being further motivated by a need to escape or avoid distress.</w:t>
      </w:r>
    </w:p>
    <w:p w14:paraId="7AC25D04" w14:textId="308363BC" w:rsidR="000B589E" w:rsidRPr="00A2430F" w:rsidRDefault="000B589E" w:rsidP="000B589E">
      <w:pPr>
        <w:spacing w:line="480" w:lineRule="auto"/>
        <w:ind w:firstLine="720"/>
      </w:pPr>
      <w:r w:rsidRPr="00A2430F">
        <w:t xml:space="preserve">Our most striking finding was that 43.1% of the veterans’ sample experienced problem gambling and were 10 times more likely to do so than non-veterans. The estimated rate and odds ratio are significantly higher than other studies of problem gambling severity in veterans conducted using the PGSI. For instance, </w:t>
      </w:r>
      <w:r w:rsidR="000B3CE3" w:rsidRPr="00A2430F">
        <w:t xml:space="preserve">a previous </w:t>
      </w:r>
      <w:r w:rsidRPr="00A2430F">
        <w:t xml:space="preserve">study of </w:t>
      </w:r>
      <w:r w:rsidRPr="00A2430F">
        <w:rPr>
          <w:i/>
          <w:iCs/>
        </w:rPr>
        <w:t>n</w:t>
      </w:r>
      <w:r w:rsidRPr="00A2430F">
        <w:t>=1324 members of the Australian Defence Force deployed between 2010 and 2012 found that 2% experienced problem gambling (PGSI&gt;5) and that 7.7% reported at least some gambling related problems post-deployment</w:t>
      </w:r>
      <w:r w:rsidR="00476ED8">
        <w:t xml:space="preserve"> (Cowlishaw et al., 2020)</w:t>
      </w:r>
      <w:r w:rsidRPr="00A2430F">
        <w:t xml:space="preserve">. Notably, greater difficulties were most pronounced in early service leavers serving in the Army as non-commissioned officers (NCOs)/Other Ranks. Our findings partially mirror these, with length of service a key </w:t>
      </w:r>
      <w:r w:rsidRPr="00A2430F">
        <w:lastRenderedPageBreak/>
        <w:t xml:space="preserve">predictor of harm among most of our veterans who had served in the UK Army in NCO roles, albeit with substantially higher distinguishing rates of problem gambling. Comparing our findings on problem gambling to the extant literature, Biddle </w:t>
      </w:r>
      <w:r w:rsidR="005A14C9">
        <w:t xml:space="preserve">et al. (2005) </w:t>
      </w:r>
      <w:r w:rsidRPr="00A2430F">
        <w:t>noted rates of 28% and Grant et al.</w:t>
      </w:r>
      <w:r w:rsidR="00B7434A">
        <w:t xml:space="preserve"> (2017) </w:t>
      </w:r>
      <w:r w:rsidRPr="00A2430F">
        <w:t xml:space="preserve">rates of 25.9% among help-seeking samples of veterans receiving treatment for alcohol dependence and co-occurring psychiatric disorders, respectively. The present findings indicate high, previously undetected estimated rates of problem gambling in UK veterans </w:t>
      </w:r>
      <w:r w:rsidR="002F5773">
        <w:t>(Dighton et al., 2018; Roberts et al., 2019)</w:t>
      </w:r>
      <w:r w:rsidRPr="00A2430F">
        <w:t xml:space="preserve">. </w:t>
      </w:r>
    </w:p>
    <w:p w14:paraId="36A66913" w14:textId="4C711998" w:rsidR="000B589E" w:rsidRPr="00A2430F" w:rsidRDefault="000B589E" w:rsidP="000B589E">
      <w:pPr>
        <w:spacing w:line="480" w:lineRule="auto"/>
        <w:ind w:firstLine="720"/>
        <w:rPr>
          <w:noProof/>
          <w:color w:val="000000"/>
        </w:rPr>
      </w:pPr>
      <w:r w:rsidRPr="00A2430F">
        <w:rPr>
          <w:noProof/>
          <w:color w:val="000000"/>
        </w:rPr>
        <w:t>It was notable that 8.6% veterans in the current study met criteria for likely PTSD, with 26.6% indicating probable C</w:t>
      </w:r>
      <w:r w:rsidR="009275F4" w:rsidRPr="00A2430F">
        <w:rPr>
          <w:noProof/>
          <w:color w:val="000000"/>
        </w:rPr>
        <w:t>-</w:t>
      </w:r>
      <w:r w:rsidRPr="00A2430F">
        <w:rPr>
          <w:noProof/>
          <w:color w:val="000000"/>
        </w:rPr>
        <w:t>PTSD. These findings are lower than the rates reported in help-seeking UK samples (</w:t>
      </w:r>
      <w:r w:rsidRPr="00A2430F">
        <w:rPr>
          <w:i/>
          <w:iCs/>
          <w:noProof/>
          <w:color w:val="000000"/>
        </w:rPr>
        <w:t>n=</w:t>
      </w:r>
      <w:r w:rsidRPr="00A2430F">
        <w:rPr>
          <w:noProof/>
          <w:color w:val="000000"/>
        </w:rPr>
        <w:t xml:space="preserve">96, 54.3%) </w:t>
      </w:r>
      <w:r w:rsidR="00DE22E9">
        <w:rPr>
          <w:noProof/>
          <w:color w:val="000000"/>
        </w:rPr>
        <w:t>(Murphy et al., 2021)</w:t>
      </w:r>
      <w:r w:rsidRPr="00A2430F">
        <w:rPr>
          <w:noProof/>
          <w:color w:val="000000"/>
        </w:rPr>
        <w:t>. Evidence suggests that C</w:t>
      </w:r>
      <w:r w:rsidR="009275F4" w:rsidRPr="00A2430F">
        <w:rPr>
          <w:noProof/>
          <w:color w:val="000000"/>
        </w:rPr>
        <w:t>-</w:t>
      </w:r>
      <w:r w:rsidRPr="00A2430F">
        <w:rPr>
          <w:noProof/>
          <w:color w:val="000000"/>
        </w:rPr>
        <w:t xml:space="preserve">PTSD is more common in veterans than PTSD </w:t>
      </w:r>
      <w:r w:rsidR="000841E0">
        <w:rPr>
          <w:noProof/>
          <w:color w:val="000000"/>
        </w:rPr>
        <w:t xml:space="preserve">(Murphy et al., 2019, 2021; Stevelink et al., 2018) </w:t>
      </w:r>
      <w:r w:rsidRPr="00A2430F">
        <w:rPr>
          <w:noProof/>
          <w:color w:val="000000"/>
        </w:rPr>
        <w:t xml:space="preserve">and, </w:t>
      </w:r>
      <w:r w:rsidR="004A42D6">
        <w:rPr>
          <w:noProof/>
          <w:color w:val="000000"/>
        </w:rPr>
        <w:t xml:space="preserve">although </w:t>
      </w:r>
      <w:r w:rsidRPr="00A2430F">
        <w:rPr>
          <w:noProof/>
          <w:color w:val="000000"/>
        </w:rPr>
        <w:t>research focussing on comorbidites is limited, the association between C</w:t>
      </w:r>
      <w:r w:rsidR="009275F4" w:rsidRPr="00A2430F">
        <w:rPr>
          <w:noProof/>
          <w:color w:val="000000"/>
        </w:rPr>
        <w:t>-</w:t>
      </w:r>
      <w:r w:rsidRPr="00A2430F">
        <w:rPr>
          <w:noProof/>
          <w:color w:val="000000"/>
        </w:rPr>
        <w:t>PTSD and poor treatment outcomes for veterans is relatively well understood</w:t>
      </w:r>
      <w:r w:rsidR="00BA3787">
        <w:rPr>
          <w:noProof/>
          <w:color w:val="000000"/>
        </w:rPr>
        <w:t xml:space="preserve"> (Kitchiner et al., 2019; </w:t>
      </w:r>
      <w:r w:rsidR="00B737A7">
        <w:rPr>
          <w:noProof/>
          <w:color w:val="000000"/>
        </w:rPr>
        <w:t xml:space="preserve">Murphy et al., 2019; </w:t>
      </w:r>
      <w:r w:rsidR="00BA3787">
        <w:rPr>
          <w:noProof/>
          <w:color w:val="000000"/>
        </w:rPr>
        <w:t>Phelps et al., 2018)</w:t>
      </w:r>
      <w:r w:rsidRPr="00A2430F">
        <w:rPr>
          <w:noProof/>
          <w:color w:val="000000"/>
        </w:rPr>
        <w:t>. Complex emotional responses, such as guilt and shame, are closely related to the disorder of self-organisation component of C</w:t>
      </w:r>
      <w:r w:rsidR="009275F4" w:rsidRPr="00A2430F">
        <w:rPr>
          <w:noProof/>
          <w:color w:val="000000"/>
        </w:rPr>
        <w:t>-</w:t>
      </w:r>
      <w:r w:rsidRPr="00A2430F">
        <w:rPr>
          <w:noProof/>
          <w:color w:val="000000"/>
        </w:rPr>
        <w:t xml:space="preserve">PTSD </w:t>
      </w:r>
      <w:r w:rsidR="001C34F3">
        <w:rPr>
          <w:noProof/>
          <w:color w:val="000000"/>
        </w:rPr>
        <w:t>(Goodwin et al., 2015)</w:t>
      </w:r>
      <w:r w:rsidRPr="00A2430F">
        <w:rPr>
          <w:noProof/>
          <w:color w:val="000000"/>
        </w:rPr>
        <w:t xml:space="preserve"> </w:t>
      </w:r>
      <w:r w:rsidR="00592E4E">
        <w:rPr>
          <w:noProof/>
          <w:color w:val="000000"/>
        </w:rPr>
        <w:t xml:space="preserve">that </w:t>
      </w:r>
      <w:r w:rsidRPr="00A2430F">
        <w:rPr>
          <w:noProof/>
          <w:color w:val="000000"/>
        </w:rPr>
        <w:t xml:space="preserve">also overlaps with problem gambling, with shame motivating coping by negative reinforcement in gambling </w:t>
      </w:r>
      <w:r w:rsidR="003A7C5B">
        <w:rPr>
          <w:noProof/>
          <w:color w:val="000000"/>
        </w:rPr>
        <w:t>(</w:t>
      </w:r>
      <w:r w:rsidR="003A7C5B" w:rsidRPr="00A2430F">
        <w:rPr>
          <w:noProof/>
          <w:color w:val="000000"/>
        </w:rPr>
        <w:t xml:space="preserve">Schlagintweit </w:t>
      </w:r>
      <w:r w:rsidR="003A7C5B">
        <w:rPr>
          <w:noProof/>
          <w:color w:val="000000"/>
        </w:rPr>
        <w:t>et al., 2017)</w:t>
      </w:r>
      <w:r w:rsidRPr="00A2430F">
        <w:rPr>
          <w:noProof/>
          <w:color w:val="000000"/>
        </w:rPr>
        <w:t xml:space="preserve">. Our findings </w:t>
      </w:r>
      <w:r w:rsidR="0068337C" w:rsidRPr="00A2430F">
        <w:rPr>
          <w:noProof/>
          <w:color w:val="000000"/>
        </w:rPr>
        <w:t xml:space="preserve">do however </w:t>
      </w:r>
      <w:r w:rsidRPr="00A2430F">
        <w:rPr>
          <w:noProof/>
          <w:color w:val="000000"/>
        </w:rPr>
        <w:t>indicate, for the first time, the co-occurrence of problem gambling and C</w:t>
      </w:r>
      <w:r w:rsidR="009275F4" w:rsidRPr="00A2430F">
        <w:rPr>
          <w:noProof/>
          <w:color w:val="000000"/>
        </w:rPr>
        <w:t>-</w:t>
      </w:r>
      <w:r w:rsidRPr="00A2430F">
        <w:rPr>
          <w:noProof/>
          <w:color w:val="000000"/>
        </w:rPr>
        <w:t xml:space="preserve">PTSD in veterans. </w:t>
      </w:r>
    </w:p>
    <w:p w14:paraId="2919CC6E" w14:textId="6ADD9DFE" w:rsidR="000B589E" w:rsidRPr="00A2430F" w:rsidRDefault="000B589E" w:rsidP="000B589E">
      <w:pPr>
        <w:spacing w:line="480" w:lineRule="auto"/>
        <w:ind w:firstLine="720"/>
      </w:pPr>
      <w:r w:rsidRPr="00A2430F">
        <w:rPr>
          <w:noProof/>
          <w:color w:val="000000"/>
        </w:rPr>
        <w:t xml:space="preserve">The motivation to </w:t>
      </w:r>
      <w:r w:rsidRPr="00A2430F">
        <w:t xml:space="preserve">gamble due to negative reinforcement was the strongest predictor of increased PGSI score in the veteran sample. Indeed, veterans who gambled were over 7 times more likely to be motivated to do so due to avoidance or escape from distress. This </w:t>
      </w:r>
      <w:r w:rsidR="00F23701" w:rsidRPr="00A2430F">
        <w:t xml:space="preserve">unique finding </w:t>
      </w:r>
      <w:r w:rsidRPr="00A2430F">
        <w:t xml:space="preserve">parallels the elevated levels of alcohol misuse </w:t>
      </w:r>
      <w:r w:rsidR="00592E4E">
        <w:t xml:space="preserve">that is </w:t>
      </w:r>
      <w:r w:rsidRPr="00A2430F">
        <w:t xml:space="preserve">considered a potential negative coping strategy in veterans </w:t>
      </w:r>
      <w:r w:rsidR="00F04B73">
        <w:t>(</w:t>
      </w:r>
      <w:r w:rsidR="00F04B73">
        <w:rPr>
          <w:noProof/>
          <w:color w:val="000000"/>
        </w:rPr>
        <w:t>Goodwin et al., 2015</w:t>
      </w:r>
      <w:r w:rsidR="00F04B73">
        <w:t>)</w:t>
      </w:r>
      <w:r w:rsidRPr="00A2430F">
        <w:t>. In interviews on coping with trauma in the military, Williamson et al.</w:t>
      </w:r>
      <w:r w:rsidR="00F04B73">
        <w:t xml:space="preserve"> (2019)</w:t>
      </w:r>
      <w:r w:rsidRPr="00A2430F">
        <w:t xml:space="preserve"> noted that some veterans indicated that </w:t>
      </w:r>
      <w:r w:rsidRPr="00A2430F">
        <w:lastRenderedPageBreak/>
        <w:t>‘avoidance’ was the most accessible coping strategy; avoidance is core to the symptomatology of PTSD. Taken together, these findings highlight increased scores on mental health variables and high rates of probable C</w:t>
      </w:r>
      <w:r w:rsidR="009275F4" w:rsidRPr="00A2430F">
        <w:t>-</w:t>
      </w:r>
      <w:r w:rsidRPr="00A2430F">
        <w:t>PTSD in the veterans’ sample, suggesting that gambling may become a maladaptive, avoidant coping mechanism for veterans.</w:t>
      </w:r>
    </w:p>
    <w:p w14:paraId="576099E0" w14:textId="352C7ABA" w:rsidR="0071259E" w:rsidRPr="00A2430F" w:rsidRDefault="0071259E" w:rsidP="000B589E">
      <w:pPr>
        <w:spacing w:line="480" w:lineRule="auto"/>
        <w:ind w:firstLine="720"/>
      </w:pPr>
      <w:r w:rsidRPr="00A2430F">
        <w:t>Identifying the motivations or functi</w:t>
      </w:r>
      <w:r w:rsidR="001E4404" w:rsidRPr="00A2430F">
        <w:t xml:space="preserve">ons </w:t>
      </w:r>
      <w:r w:rsidRPr="00A2430F">
        <w:t xml:space="preserve">of gambling has </w:t>
      </w:r>
      <w:r w:rsidR="00906CEF" w:rsidRPr="00A2430F">
        <w:t>novel</w:t>
      </w:r>
      <w:r w:rsidR="00D82229" w:rsidRPr="00A2430F">
        <w:t xml:space="preserve"> </w:t>
      </w:r>
      <w:r w:rsidRPr="00A2430F">
        <w:t>implications for</w:t>
      </w:r>
      <w:r w:rsidR="00906CEF" w:rsidRPr="00A2430F">
        <w:t xml:space="preserve"> </w:t>
      </w:r>
      <w:r w:rsidRPr="00A2430F">
        <w:t>clinical treatment of gambling problems. Although the present study adopted a</w:t>
      </w:r>
      <w:r w:rsidR="003422E5" w:rsidRPr="00A2430F">
        <w:t xml:space="preserve"> broadly</w:t>
      </w:r>
      <w:r w:rsidRPr="00A2430F">
        <w:t xml:space="preserve"> two-factor approach as revealed by the GFA-R</w:t>
      </w:r>
      <w:r w:rsidR="00BD79F7" w:rsidRPr="00A2430F">
        <w:t xml:space="preserve"> and found that problem gambling among veterans was significantly motivated by the moderation or amelioration of heightened stress</w:t>
      </w:r>
      <w:r w:rsidR="00443B5D" w:rsidRPr="00A2430F">
        <w:t xml:space="preserve"> </w:t>
      </w:r>
      <w:r w:rsidR="00BD79F7" w:rsidRPr="00A2430F">
        <w:t>(i.e., negative reinforcement)</w:t>
      </w:r>
      <w:r w:rsidRPr="00A2430F">
        <w:t>, it is unlikely that there are just two distinct functions of gambling related problems (</w:t>
      </w:r>
      <w:r w:rsidR="00D80C43" w:rsidRPr="00A2430F">
        <w:t>i.e.</w:t>
      </w:r>
      <w:r w:rsidRPr="00A2430F">
        <w:t xml:space="preserve">, </w:t>
      </w:r>
      <w:proofErr w:type="gramStart"/>
      <w:r w:rsidRPr="00A2430F">
        <w:t>positive</w:t>
      </w:r>
      <w:proofErr w:type="gramEnd"/>
      <w:r w:rsidRPr="00A2430F">
        <w:t xml:space="preserve"> or negative reinforcement) and that a four-factor model may have greater clinical utility. As Dixon et al. </w:t>
      </w:r>
      <w:r w:rsidR="005828A4">
        <w:t xml:space="preserve">(2018) </w:t>
      </w:r>
      <w:r w:rsidRPr="00A2430F">
        <w:t>describe, these four-factors of “social attention (e.g., enjoyment of interacting with peers), psychological/physical escape (e.g., ability to forget about stress at home, leave a troubled work environment), access to tangible rewards (e.g., money, comps, vouchers), and sensory (e.g., feeling a rush or buzz)” (p.177) account for topographies of reinforcement-maintained gambling behaviour, yet a complete assessment also necessitates identification of relevant antecedent conditions (i.e., those life events that precede or prompt occurrence of the different functions</w:t>
      </w:r>
      <w:r w:rsidR="00B10AD8" w:rsidRPr="00A2430F">
        <w:t xml:space="preserve"> at different times</w:t>
      </w:r>
      <w:r w:rsidRPr="00A2430F">
        <w:t xml:space="preserve">). </w:t>
      </w:r>
      <w:r w:rsidR="00BD5047" w:rsidRPr="00A2430F">
        <w:t>Such a</w:t>
      </w:r>
      <w:r w:rsidRPr="00A2430F">
        <w:t xml:space="preserve"> functional analytic approach </w:t>
      </w:r>
      <w:r w:rsidR="00BD5047" w:rsidRPr="00A2430F">
        <w:t>is consistent with</w:t>
      </w:r>
      <w:r w:rsidRPr="00A2430F">
        <w:t xml:space="preserve"> </w:t>
      </w:r>
      <w:r w:rsidR="0085326E" w:rsidRPr="00A2430F">
        <w:t xml:space="preserve">the </w:t>
      </w:r>
      <w:r w:rsidRPr="00A2430F">
        <w:t xml:space="preserve">goals of case conceptualisation where individuals are interviewed about the triggers to their gambling or </w:t>
      </w:r>
      <w:r w:rsidR="0085326E" w:rsidRPr="00A2430F">
        <w:t xml:space="preserve">the </w:t>
      </w:r>
      <w:r w:rsidRPr="00A2430F">
        <w:t xml:space="preserve">antecedents </w:t>
      </w:r>
      <w:r w:rsidR="00592E4E">
        <w:t>that</w:t>
      </w:r>
      <w:r w:rsidR="00592E4E" w:rsidRPr="00A2430F">
        <w:t xml:space="preserve"> </w:t>
      </w:r>
      <w:r w:rsidRPr="00A2430F">
        <w:t xml:space="preserve">may prompt relapse if </w:t>
      </w:r>
      <w:r w:rsidR="0085326E" w:rsidRPr="00A2430F">
        <w:t xml:space="preserve">they are </w:t>
      </w:r>
      <w:r w:rsidRPr="00A2430F">
        <w:t xml:space="preserve">in recovery. Determining </w:t>
      </w:r>
      <w:r w:rsidR="00404BEF" w:rsidRPr="00A2430F">
        <w:t xml:space="preserve">both </w:t>
      </w:r>
      <w:r w:rsidR="00FE32A9" w:rsidRPr="00A2430F">
        <w:t xml:space="preserve">the </w:t>
      </w:r>
      <w:r w:rsidRPr="00A2430F">
        <w:t>antecedents and motivations</w:t>
      </w:r>
      <w:r w:rsidR="00404BEF" w:rsidRPr="00A2430F">
        <w:t xml:space="preserve"> (i.e., consequences</w:t>
      </w:r>
      <w:r w:rsidR="004F1BA6" w:rsidRPr="00A2430F">
        <w:t>)</w:t>
      </w:r>
      <w:r w:rsidRPr="00A2430F">
        <w:t xml:space="preserve"> of gambling </w:t>
      </w:r>
      <w:r w:rsidR="00F563F1" w:rsidRPr="00A2430F">
        <w:t xml:space="preserve">may aid </w:t>
      </w:r>
      <w:r w:rsidR="007E353A" w:rsidRPr="00A2430F">
        <w:t xml:space="preserve">in </w:t>
      </w:r>
      <w:r w:rsidR="00F563F1" w:rsidRPr="00A2430F">
        <w:t xml:space="preserve">the development of </w:t>
      </w:r>
      <w:r w:rsidRPr="00A2430F">
        <w:t xml:space="preserve">individualised treatment plans and </w:t>
      </w:r>
      <w:r w:rsidR="002A5466" w:rsidRPr="00A2430F">
        <w:t>assist with</w:t>
      </w:r>
      <w:r w:rsidRPr="00A2430F">
        <w:t xml:space="preserve"> cross-validation of self-report-based assessment interviews with functional assessment outcomes measured by the recent</w:t>
      </w:r>
      <w:r w:rsidR="002A5466" w:rsidRPr="00A2430F">
        <w:t>ly</w:t>
      </w:r>
      <w:r w:rsidRPr="00A2430F">
        <w:t xml:space="preserve"> develop</w:t>
      </w:r>
      <w:r w:rsidR="002A5466" w:rsidRPr="00A2430F">
        <w:t>ed</w:t>
      </w:r>
      <w:r w:rsidRPr="00A2430F">
        <w:t xml:space="preserve"> four-factor GFA-II</w:t>
      </w:r>
      <w:r w:rsidR="0085326E" w:rsidRPr="00A2430F">
        <w:t xml:space="preserve"> </w:t>
      </w:r>
      <w:r w:rsidR="00D6453C">
        <w:t>(Dixon et al., 2018)</w:t>
      </w:r>
      <w:r w:rsidRPr="00A2430F">
        <w:t xml:space="preserve">. The potential utility of this functional approach warrants further </w:t>
      </w:r>
      <w:r w:rsidRPr="00A2430F">
        <w:lastRenderedPageBreak/>
        <w:t xml:space="preserve">investigation with vulnerable populations </w:t>
      </w:r>
      <w:r w:rsidR="00431B96" w:rsidRPr="00A2430F">
        <w:t>like</w:t>
      </w:r>
      <w:r w:rsidRPr="00A2430F">
        <w:t xml:space="preserve"> veterans. Doing so may lead to greater synthesis with </w:t>
      </w:r>
      <w:r w:rsidR="00684493" w:rsidRPr="00A2430F">
        <w:t xml:space="preserve">established </w:t>
      </w:r>
      <w:r w:rsidRPr="00A2430F">
        <w:t>treatment</w:t>
      </w:r>
      <w:r w:rsidR="0037017A" w:rsidRPr="00A2430F">
        <w:t xml:space="preserve">s </w:t>
      </w:r>
      <w:r w:rsidRPr="00A2430F">
        <w:t xml:space="preserve">from </w:t>
      </w:r>
      <w:r w:rsidR="006E28EC" w:rsidRPr="00A2430F">
        <w:t>behavioural psychology</w:t>
      </w:r>
      <w:r w:rsidRPr="00A2430F">
        <w:t xml:space="preserve"> </w:t>
      </w:r>
      <w:r w:rsidR="00BD3720" w:rsidRPr="00A2430F">
        <w:t xml:space="preserve">for negatively reinforced behaviour </w:t>
      </w:r>
      <w:r w:rsidR="00002B91">
        <w:t>(Miltenberge</w:t>
      </w:r>
      <w:r w:rsidR="00D47112">
        <w:t>r</w:t>
      </w:r>
      <w:r w:rsidR="00002B91">
        <w:t>, 2015)</w:t>
      </w:r>
      <w:r w:rsidR="00FA1F7B" w:rsidRPr="00A2430F">
        <w:t xml:space="preserve">, </w:t>
      </w:r>
      <w:r w:rsidR="00204BEA" w:rsidRPr="00A2430F">
        <w:t xml:space="preserve">perhaps </w:t>
      </w:r>
      <w:r w:rsidRPr="00A2430F">
        <w:t>as adjunct treatments for gambling problems identified through prior functional assessment</w:t>
      </w:r>
      <w:r w:rsidR="00F53539" w:rsidRPr="00A2430F">
        <w:t xml:space="preserve"> </w:t>
      </w:r>
      <w:r w:rsidR="00AD04FA">
        <w:t>(Hofman</w:t>
      </w:r>
      <w:r w:rsidR="00365732">
        <w:t>n</w:t>
      </w:r>
      <w:r w:rsidR="00AD04FA">
        <w:t xml:space="preserve"> &amp; Hayes, 2019; Hurl et al., 2016)</w:t>
      </w:r>
      <w:r w:rsidRPr="00A2430F">
        <w:t>.</w:t>
      </w:r>
    </w:p>
    <w:p w14:paraId="5DC45939" w14:textId="15741004" w:rsidR="000B589E" w:rsidRPr="00A2430F" w:rsidRDefault="000B589E" w:rsidP="000B589E">
      <w:pPr>
        <w:spacing w:line="480" w:lineRule="auto"/>
        <w:ind w:firstLine="720"/>
        <w:rPr>
          <w:noProof/>
          <w:color w:val="FF0000"/>
        </w:rPr>
      </w:pPr>
      <w:r w:rsidRPr="00A2430F">
        <w:t xml:space="preserve">Our findings indicate that screening for potential gambling problems should be conducted by </w:t>
      </w:r>
      <w:r w:rsidRPr="00A2430F">
        <w:rPr>
          <w:noProof/>
          <w:color w:val="000000"/>
        </w:rPr>
        <w:t xml:space="preserve">the UK AF </w:t>
      </w:r>
      <w:r w:rsidR="00246C07">
        <w:rPr>
          <w:noProof/>
          <w:color w:val="000000"/>
        </w:rPr>
        <w:t xml:space="preserve">as it is with military personnel </w:t>
      </w:r>
      <w:r w:rsidR="00BC3873">
        <w:rPr>
          <w:noProof/>
          <w:color w:val="000000"/>
        </w:rPr>
        <w:t xml:space="preserve">in the USA </w:t>
      </w:r>
      <w:r w:rsidR="001F0DEC">
        <w:rPr>
          <w:noProof/>
          <w:color w:val="000000"/>
        </w:rPr>
        <w:t>(Etuk et al., 2020; Levy &amp; Tracy, 2018; Milton et al., 2019)</w:t>
      </w:r>
      <w:r w:rsidRPr="00A2430F">
        <w:rPr>
          <w:noProof/>
          <w:color w:val="000000"/>
        </w:rPr>
        <w:t xml:space="preserve">. At </w:t>
      </w:r>
      <w:r w:rsidRPr="00A2430F">
        <w:rPr>
          <w:noProof/>
        </w:rPr>
        <w:t>present, gambling is not assessed in pre-enlistment screening processes or during active service and discharge procedures. Doing so</w:t>
      </w:r>
      <w:r w:rsidR="00642E37">
        <w:rPr>
          <w:noProof/>
        </w:rPr>
        <w:t xml:space="preserve"> in pre-existing surveys such as the AF Continuous Attitudes Surv</w:t>
      </w:r>
      <w:r w:rsidR="00E616D8">
        <w:rPr>
          <w:noProof/>
        </w:rPr>
        <w:t>ey</w:t>
      </w:r>
      <w:r w:rsidRPr="00A2430F">
        <w:rPr>
          <w:noProof/>
        </w:rPr>
        <w:t xml:space="preserve"> would establish parity of care for gambling-related harm with, for instance, substance use disorders among personnel who are at heightened vulnerability for problem gambling. </w:t>
      </w:r>
    </w:p>
    <w:p w14:paraId="509FC190" w14:textId="77777777" w:rsidR="000B589E" w:rsidRPr="00A2430F" w:rsidRDefault="000B589E" w:rsidP="00025D0E">
      <w:pPr>
        <w:pStyle w:val="Heading2"/>
        <w:rPr>
          <w:noProof/>
        </w:rPr>
      </w:pPr>
      <w:r w:rsidRPr="00A2430F">
        <w:rPr>
          <w:noProof/>
        </w:rPr>
        <w:t>Limitations</w:t>
      </w:r>
    </w:p>
    <w:p w14:paraId="1BD193B2" w14:textId="4E394E5A" w:rsidR="000B589E" w:rsidRPr="00A2430F" w:rsidRDefault="000B589E" w:rsidP="000B589E">
      <w:pPr>
        <w:spacing w:line="480" w:lineRule="auto"/>
        <w:ind w:firstLine="720"/>
        <w:rPr>
          <w:noProof/>
          <w:color w:val="000000"/>
        </w:rPr>
      </w:pPr>
      <w:r w:rsidRPr="00A2430F">
        <w:rPr>
          <w:noProof/>
          <w:color w:val="000000"/>
        </w:rPr>
        <w:t>The present study was conducted almost entirely online (78.3% of veterans and 100% of non-veterans</w:t>
      </w:r>
      <w:r w:rsidR="00765479" w:rsidRPr="00A2430F">
        <w:rPr>
          <w:noProof/>
          <w:color w:val="000000"/>
        </w:rPr>
        <w:t xml:space="preserve"> </w:t>
      </w:r>
      <w:r w:rsidR="00A46EDB" w:rsidRPr="00A2430F">
        <w:rPr>
          <w:noProof/>
          <w:color w:val="000000"/>
        </w:rPr>
        <w:t xml:space="preserve">were </w:t>
      </w:r>
      <w:r w:rsidR="00765479" w:rsidRPr="00A2430F">
        <w:rPr>
          <w:noProof/>
          <w:color w:val="000000"/>
        </w:rPr>
        <w:t>recruited in this way</w:t>
      </w:r>
      <w:r w:rsidRPr="00A2430F">
        <w:rPr>
          <w:noProof/>
          <w:color w:val="000000"/>
        </w:rPr>
        <w:t xml:space="preserve">), with recruitment primarily carried out through </w:t>
      </w:r>
      <w:r w:rsidR="005F3971" w:rsidRPr="00A2430F">
        <w:rPr>
          <w:noProof/>
          <w:color w:val="000000"/>
        </w:rPr>
        <w:t xml:space="preserve">targeted </w:t>
      </w:r>
      <w:r w:rsidR="000C54D1" w:rsidRPr="00A2430F">
        <w:rPr>
          <w:noProof/>
          <w:color w:val="000000"/>
        </w:rPr>
        <w:t xml:space="preserve">paid </w:t>
      </w:r>
      <w:r w:rsidR="00255965" w:rsidRPr="00A2430F">
        <w:rPr>
          <w:noProof/>
          <w:color w:val="000000"/>
        </w:rPr>
        <w:t>content</w:t>
      </w:r>
      <w:r w:rsidR="005F3971" w:rsidRPr="00A2430F">
        <w:rPr>
          <w:noProof/>
          <w:color w:val="000000"/>
        </w:rPr>
        <w:t xml:space="preserve"> on </w:t>
      </w:r>
      <w:r w:rsidRPr="00A2430F">
        <w:rPr>
          <w:noProof/>
          <w:color w:val="000000"/>
        </w:rPr>
        <w:t>social media</w:t>
      </w:r>
      <w:r w:rsidR="005F3971" w:rsidRPr="00A2430F">
        <w:rPr>
          <w:noProof/>
          <w:color w:val="000000"/>
        </w:rPr>
        <w:t xml:space="preserve"> for a survey of ‘veterans’ health and gambling’</w:t>
      </w:r>
      <w:r w:rsidRPr="00A2430F">
        <w:rPr>
          <w:noProof/>
          <w:color w:val="000000"/>
        </w:rPr>
        <w:t xml:space="preserve">. While potential study sampling effects and the risk of self-selection bias cannot </w:t>
      </w:r>
      <w:r w:rsidR="0077274C" w:rsidRPr="00A2430F">
        <w:rPr>
          <w:noProof/>
          <w:color w:val="000000"/>
        </w:rPr>
        <w:t xml:space="preserve">therefore </w:t>
      </w:r>
      <w:r w:rsidRPr="00A2430F">
        <w:rPr>
          <w:noProof/>
          <w:color w:val="000000"/>
        </w:rPr>
        <w:t xml:space="preserve">be ruled out </w:t>
      </w:r>
      <w:r w:rsidR="001E5E6D">
        <w:rPr>
          <w:noProof/>
          <w:color w:val="000000"/>
        </w:rPr>
        <w:t>(Angus et al., 2021)</w:t>
      </w:r>
      <w:r w:rsidRPr="00A2430F">
        <w:rPr>
          <w:noProof/>
          <w:color w:val="000000"/>
        </w:rPr>
        <w:t>, we employed recommended methods for increasing data quality such as participant screening, removing duplicate and non-sensical responses, presenting content-knowledge questions (e.g. providing a service number that was correctly structured and within date bounds), and IP address geolocation and monitoring</w:t>
      </w:r>
      <w:r w:rsidR="006906D7">
        <w:rPr>
          <w:noProof/>
          <w:color w:val="000000"/>
        </w:rPr>
        <w:t xml:space="preserve"> (</w:t>
      </w:r>
      <w:r w:rsidR="006906D7" w:rsidRPr="00A2430F">
        <w:rPr>
          <w:noProof/>
          <w:color w:val="000000"/>
        </w:rPr>
        <w:t>Pickering &amp; Blaszczynski</w:t>
      </w:r>
      <w:r w:rsidR="006906D7">
        <w:rPr>
          <w:noProof/>
          <w:color w:val="000000"/>
        </w:rPr>
        <w:t>, 2021)</w:t>
      </w:r>
      <w:r w:rsidRPr="00A2430F">
        <w:rPr>
          <w:noProof/>
          <w:color w:val="000000"/>
        </w:rPr>
        <w:t xml:space="preserve">. Collecting data online may have inadvertently excluded older veterans, those without access to the internet, and the homeless. </w:t>
      </w:r>
      <w:r w:rsidR="006A1CEE">
        <w:rPr>
          <w:noProof/>
          <w:color w:val="000000"/>
        </w:rPr>
        <w:t xml:space="preserve">The range </w:t>
      </w:r>
      <w:r w:rsidR="00874A6E">
        <w:rPr>
          <w:noProof/>
          <w:color w:val="000000"/>
        </w:rPr>
        <w:t xml:space="preserve">and complexity </w:t>
      </w:r>
      <w:r w:rsidR="006A1CEE">
        <w:rPr>
          <w:noProof/>
          <w:color w:val="000000"/>
        </w:rPr>
        <w:t xml:space="preserve">of </w:t>
      </w:r>
      <w:r w:rsidR="00874A6E">
        <w:rPr>
          <w:noProof/>
          <w:color w:val="000000"/>
        </w:rPr>
        <w:t xml:space="preserve">the </w:t>
      </w:r>
      <w:r w:rsidR="006A1CEE">
        <w:rPr>
          <w:noProof/>
          <w:color w:val="000000"/>
        </w:rPr>
        <w:t xml:space="preserve">measures obtained online may have benefitted from the inclusion of attention-checks </w:t>
      </w:r>
      <w:r w:rsidR="009414F6">
        <w:rPr>
          <w:noProof/>
          <w:color w:val="000000"/>
        </w:rPr>
        <w:t>and controls to reduce response set</w:t>
      </w:r>
      <w:r w:rsidR="00874A6E">
        <w:rPr>
          <w:noProof/>
          <w:color w:val="000000"/>
        </w:rPr>
        <w:t xml:space="preserve"> and/or </w:t>
      </w:r>
      <w:r w:rsidR="00C33F61">
        <w:rPr>
          <w:noProof/>
          <w:color w:val="000000"/>
        </w:rPr>
        <w:t xml:space="preserve">prompt </w:t>
      </w:r>
      <w:r w:rsidR="00874A6E">
        <w:rPr>
          <w:noProof/>
          <w:color w:val="000000"/>
        </w:rPr>
        <w:t>truthful answers from respondents</w:t>
      </w:r>
      <w:r w:rsidR="009414F6">
        <w:rPr>
          <w:noProof/>
          <w:color w:val="000000"/>
        </w:rPr>
        <w:t xml:space="preserve">. </w:t>
      </w:r>
      <w:r w:rsidR="00174067" w:rsidRPr="00A2430F">
        <w:rPr>
          <w:noProof/>
          <w:color w:val="000000"/>
        </w:rPr>
        <w:t xml:space="preserve">The samples differed on 8 of the 10 demographic characteristics examined </w:t>
      </w:r>
      <w:r w:rsidR="00592E4E">
        <w:rPr>
          <w:noProof/>
          <w:color w:val="000000"/>
        </w:rPr>
        <w:t>that</w:t>
      </w:r>
      <w:r w:rsidR="00592E4E" w:rsidRPr="00A2430F">
        <w:rPr>
          <w:noProof/>
          <w:color w:val="000000"/>
        </w:rPr>
        <w:t xml:space="preserve"> </w:t>
      </w:r>
      <w:r w:rsidR="00174067" w:rsidRPr="00A2430F">
        <w:rPr>
          <w:noProof/>
          <w:color w:val="000000"/>
        </w:rPr>
        <w:t xml:space="preserve">are known to be </w:t>
      </w:r>
      <w:r w:rsidR="00174067" w:rsidRPr="00A2430F">
        <w:rPr>
          <w:noProof/>
          <w:color w:val="000000"/>
        </w:rPr>
        <w:lastRenderedPageBreak/>
        <w:t xml:space="preserve">associated with increased risk of gambling problems </w:t>
      </w:r>
      <w:r w:rsidR="008B58D4">
        <w:rPr>
          <w:noProof/>
          <w:color w:val="000000"/>
        </w:rPr>
        <w:t>(Allami et al., 2021)</w:t>
      </w:r>
      <w:r w:rsidR="00174067" w:rsidRPr="00A2430F">
        <w:rPr>
          <w:noProof/>
          <w:color w:val="000000"/>
        </w:rPr>
        <w:t xml:space="preserve">. </w:t>
      </w:r>
      <w:r w:rsidR="00287D47" w:rsidRPr="00A2430F">
        <w:rPr>
          <w:noProof/>
          <w:color w:val="000000"/>
        </w:rPr>
        <w:t xml:space="preserve">Moreover, some data were collected during COVID-19 national lockdowns. </w:t>
      </w:r>
      <w:r w:rsidRPr="00A2430F">
        <w:rPr>
          <w:noProof/>
          <w:color w:val="000000"/>
        </w:rPr>
        <w:t xml:space="preserve">Additional stress related to the pandemic may have facilitated problematic, risky behaviours </w:t>
      </w:r>
      <w:r w:rsidR="007F35B9">
        <w:rPr>
          <w:noProof/>
          <w:color w:val="000000"/>
        </w:rPr>
        <w:t>(Albertella et al., 2021)</w:t>
      </w:r>
      <w:r w:rsidRPr="00A2430F">
        <w:rPr>
          <w:noProof/>
          <w:color w:val="000000"/>
        </w:rPr>
        <w:t xml:space="preserve"> </w:t>
      </w:r>
      <w:r w:rsidR="00592E4E">
        <w:rPr>
          <w:noProof/>
          <w:color w:val="000000"/>
        </w:rPr>
        <w:t>and</w:t>
      </w:r>
      <w:r w:rsidRPr="00A2430F">
        <w:rPr>
          <w:noProof/>
          <w:color w:val="000000"/>
        </w:rPr>
        <w:t xml:space="preserve"> influenced report</w:t>
      </w:r>
      <w:r w:rsidR="00262DB1" w:rsidRPr="00A2430F">
        <w:rPr>
          <w:noProof/>
          <w:color w:val="000000"/>
        </w:rPr>
        <w:t>ing</w:t>
      </w:r>
      <w:r w:rsidRPr="00A2430F">
        <w:rPr>
          <w:noProof/>
          <w:color w:val="000000"/>
        </w:rPr>
        <w:t xml:space="preserve">. </w:t>
      </w:r>
      <w:r w:rsidR="000467A0" w:rsidRPr="00A2430F">
        <w:rPr>
          <w:noProof/>
          <w:color w:val="000000"/>
        </w:rPr>
        <w:t xml:space="preserve">Further </w:t>
      </w:r>
      <w:r w:rsidR="00621B39" w:rsidRPr="00A2430F">
        <w:rPr>
          <w:noProof/>
          <w:color w:val="000000"/>
        </w:rPr>
        <w:t xml:space="preserve">cross-cultural comparative </w:t>
      </w:r>
      <w:r w:rsidR="000467A0" w:rsidRPr="00A2430F">
        <w:rPr>
          <w:noProof/>
          <w:color w:val="000000"/>
        </w:rPr>
        <w:t xml:space="preserve">research should examine the impact of the different gambling legislative environments on reported estimates of gambling problems in veterans. </w:t>
      </w:r>
      <w:r w:rsidRPr="00A2430F">
        <w:rPr>
          <w:noProof/>
          <w:color w:val="000000"/>
        </w:rPr>
        <w:t>Finally, the study used self-report measures rather than clinical interviews for mental health conditions which may limit generalizability.</w:t>
      </w:r>
    </w:p>
    <w:p w14:paraId="521BDA19" w14:textId="77777777" w:rsidR="000B589E" w:rsidRPr="00A2430F" w:rsidRDefault="000B589E" w:rsidP="00025D0E">
      <w:pPr>
        <w:pStyle w:val="Heading2"/>
        <w:rPr>
          <w:noProof/>
        </w:rPr>
      </w:pPr>
      <w:r w:rsidRPr="00A2430F">
        <w:rPr>
          <w:noProof/>
        </w:rPr>
        <w:t>Conclusions</w:t>
      </w:r>
    </w:p>
    <w:p w14:paraId="48498C62" w14:textId="7895E3ED" w:rsidR="00767155" w:rsidRPr="00A2430F" w:rsidRDefault="000B589E" w:rsidP="000B589E">
      <w:pPr>
        <w:spacing w:line="480" w:lineRule="auto"/>
        <w:ind w:firstLine="720"/>
        <w:rPr>
          <w:b/>
          <w:bCs/>
          <w:noProof/>
          <w:color w:val="000000"/>
        </w:rPr>
      </w:pPr>
      <w:r w:rsidRPr="00A2430F">
        <w:rPr>
          <w:noProof/>
          <w:color w:val="000000"/>
        </w:rPr>
        <w:t xml:space="preserve">The present study provides the first gambling-focussed source of data in UK AF veterans with an age- and gender-matched comparison group of non-veterans. We found that problem gambling is significantly higher in UK veterans, is a likely coping mechanism for mental health conditions, and </w:t>
      </w:r>
      <w:r w:rsidRPr="00A2430F">
        <w:t>driven by a need to avoid or escape distress. In veterans, problem gambling cooccurred with, for the first time, C</w:t>
      </w:r>
      <w:r w:rsidR="00972976" w:rsidRPr="00A2430F">
        <w:t>-</w:t>
      </w:r>
      <w:r w:rsidRPr="00A2430F">
        <w:t xml:space="preserve">PTSD. Screening for problem gambling should be undertaken to provide improved treatment and support. </w:t>
      </w:r>
      <w:r w:rsidR="00767155" w:rsidRPr="00A2430F">
        <w:rPr>
          <w:b/>
          <w:bCs/>
          <w:noProof/>
          <w:color w:val="000000"/>
        </w:rPr>
        <w:br w:type="page"/>
      </w:r>
    </w:p>
    <w:p w14:paraId="2FAEC5A2" w14:textId="3EF0C418" w:rsidR="00DD1F1D" w:rsidRPr="00A2430F" w:rsidRDefault="00DD1F1D" w:rsidP="00025D0E">
      <w:pPr>
        <w:pStyle w:val="Heading1"/>
        <w:rPr>
          <w:noProof/>
        </w:rPr>
      </w:pPr>
      <w:r w:rsidRPr="00A2430F">
        <w:rPr>
          <w:noProof/>
        </w:rPr>
        <w:lastRenderedPageBreak/>
        <w:t>Acknowledgements</w:t>
      </w:r>
    </w:p>
    <w:p w14:paraId="0297B4AC" w14:textId="55831E89" w:rsidR="00A5132D" w:rsidRPr="00A2430F" w:rsidRDefault="00967850" w:rsidP="00896F71">
      <w:pPr>
        <w:spacing w:line="480" w:lineRule="auto"/>
        <w:ind w:firstLine="720"/>
        <w:rPr>
          <w:noProof/>
          <w:color w:val="000000"/>
        </w:rPr>
      </w:pPr>
      <w:r w:rsidRPr="00A2430F">
        <w:rPr>
          <w:color w:val="000000"/>
        </w:rPr>
        <w:t xml:space="preserve">We thank the </w:t>
      </w:r>
      <w:r w:rsidR="000E693D" w:rsidRPr="00A2430F">
        <w:rPr>
          <w:color w:val="000000"/>
        </w:rPr>
        <w:t xml:space="preserve">UK </w:t>
      </w:r>
      <w:r w:rsidRPr="00A2430F">
        <w:rPr>
          <w:color w:val="000000"/>
        </w:rPr>
        <w:t>Armed Forces charities and veterans</w:t>
      </w:r>
      <w:r w:rsidR="00B54BC4" w:rsidRPr="00A2430F">
        <w:rPr>
          <w:color w:val="000000"/>
        </w:rPr>
        <w:t>’</w:t>
      </w:r>
      <w:r w:rsidRPr="00A2430F">
        <w:rPr>
          <w:color w:val="000000"/>
        </w:rPr>
        <w:t xml:space="preserve"> networks for their keen support of this research.</w:t>
      </w:r>
      <w:r w:rsidR="002222BF" w:rsidRPr="00A2430F">
        <w:rPr>
          <w:color w:val="000000"/>
        </w:rPr>
        <w:t xml:space="preserve"> </w:t>
      </w:r>
      <w:r w:rsidR="006802E8" w:rsidRPr="00A2430F">
        <w:rPr>
          <w:noProof/>
          <w:color w:val="000000"/>
        </w:rPr>
        <w:t>This work was supported by a grant from Forces in Mind Trust</w:t>
      </w:r>
      <w:r w:rsidR="00833968" w:rsidRPr="00A2430F">
        <w:rPr>
          <w:noProof/>
          <w:color w:val="000000"/>
        </w:rPr>
        <w:t xml:space="preserve"> (FiMT17/0510S)</w:t>
      </w:r>
      <w:r w:rsidR="006802E8" w:rsidRPr="00A2430F">
        <w:rPr>
          <w:noProof/>
          <w:color w:val="000000"/>
        </w:rPr>
        <w:t>.</w:t>
      </w:r>
      <w:r w:rsidR="00E22F88" w:rsidRPr="00A2430F">
        <w:rPr>
          <w:noProof/>
          <w:color w:val="000000"/>
        </w:rPr>
        <w:t xml:space="preserve"> Forces in Mind Trust was founded with an endowment from the National Lottery Community Fund.</w:t>
      </w:r>
      <w:r w:rsidR="00896F71" w:rsidRPr="00A2430F">
        <w:rPr>
          <w:noProof/>
          <w:color w:val="000000"/>
        </w:rPr>
        <w:t xml:space="preserve"> The funding source had no involvement in study design, data collection, analysis, interpretation, or the submission of findings for publication.</w:t>
      </w:r>
      <w:r w:rsidR="00A5132D" w:rsidRPr="00A2430F">
        <w:rPr>
          <w:b/>
          <w:bCs/>
          <w:noProof/>
          <w:color w:val="000000"/>
        </w:rPr>
        <w:br w:type="page"/>
      </w:r>
    </w:p>
    <w:p w14:paraId="62DA5388" w14:textId="6634DD51" w:rsidR="00CF18E2" w:rsidRPr="00CF18E2" w:rsidRDefault="00C674E6" w:rsidP="00025D0E">
      <w:pPr>
        <w:pStyle w:val="Heading1"/>
        <w:rPr>
          <w:noProof/>
        </w:rPr>
      </w:pPr>
      <w:r w:rsidRPr="00A2430F">
        <w:rPr>
          <w:noProof/>
        </w:rPr>
        <w:lastRenderedPageBreak/>
        <w:t>References</w:t>
      </w:r>
    </w:p>
    <w:p w14:paraId="21012104" w14:textId="39A5EAD7" w:rsidR="00CF18E2" w:rsidRDefault="00CF18E2" w:rsidP="00065168">
      <w:pPr>
        <w:spacing w:line="276" w:lineRule="auto"/>
        <w:ind w:left="851" w:hanging="851"/>
        <w:rPr>
          <w:noProof/>
          <w:color w:val="000000"/>
        </w:rPr>
      </w:pPr>
      <w:r w:rsidRPr="001D7AFC">
        <w:rPr>
          <w:noProof/>
          <w:color w:val="000000"/>
        </w:rPr>
        <w:t>Ahern</w:t>
      </w:r>
      <w:r>
        <w:rPr>
          <w:noProof/>
          <w:color w:val="000000"/>
        </w:rPr>
        <w:t>,</w:t>
      </w:r>
      <w:r w:rsidRPr="001D7AFC">
        <w:rPr>
          <w:noProof/>
          <w:color w:val="000000"/>
        </w:rPr>
        <w:t xml:space="preserve"> J</w:t>
      </w:r>
      <w:r>
        <w:rPr>
          <w:noProof/>
          <w:color w:val="000000"/>
        </w:rPr>
        <w:t>.</w:t>
      </w:r>
      <w:r w:rsidRPr="001D7AFC">
        <w:rPr>
          <w:noProof/>
          <w:color w:val="000000"/>
        </w:rPr>
        <w:t>, Worthen</w:t>
      </w:r>
      <w:r>
        <w:rPr>
          <w:noProof/>
          <w:color w:val="000000"/>
        </w:rPr>
        <w:t>,</w:t>
      </w:r>
      <w:r w:rsidRPr="001D7AFC">
        <w:rPr>
          <w:noProof/>
          <w:color w:val="000000"/>
        </w:rPr>
        <w:t xml:space="preserve"> M</w:t>
      </w:r>
      <w:r>
        <w:rPr>
          <w:noProof/>
          <w:color w:val="000000"/>
        </w:rPr>
        <w:t>.</w:t>
      </w:r>
      <w:r w:rsidRPr="001D7AFC">
        <w:rPr>
          <w:noProof/>
          <w:color w:val="000000"/>
        </w:rPr>
        <w:t>, Masters</w:t>
      </w:r>
      <w:r>
        <w:rPr>
          <w:noProof/>
          <w:color w:val="000000"/>
        </w:rPr>
        <w:t>,</w:t>
      </w:r>
      <w:r w:rsidRPr="001D7AFC">
        <w:rPr>
          <w:noProof/>
          <w:color w:val="000000"/>
        </w:rPr>
        <w:t xml:space="preserve"> J</w:t>
      </w:r>
      <w:r>
        <w:rPr>
          <w:noProof/>
          <w:color w:val="000000"/>
        </w:rPr>
        <w:t>.</w:t>
      </w:r>
      <w:r w:rsidRPr="001D7AFC">
        <w:rPr>
          <w:noProof/>
          <w:color w:val="000000"/>
        </w:rPr>
        <w:t>, Lippman</w:t>
      </w:r>
      <w:r>
        <w:rPr>
          <w:noProof/>
          <w:color w:val="000000"/>
        </w:rPr>
        <w:t>,</w:t>
      </w:r>
      <w:r w:rsidRPr="001D7AFC">
        <w:rPr>
          <w:noProof/>
          <w:color w:val="000000"/>
        </w:rPr>
        <w:t xml:space="preserve"> S</w:t>
      </w:r>
      <w:r>
        <w:rPr>
          <w:noProof/>
          <w:color w:val="000000"/>
        </w:rPr>
        <w:t>.</w:t>
      </w:r>
      <w:r w:rsidRPr="001D7AFC">
        <w:rPr>
          <w:noProof/>
          <w:color w:val="000000"/>
        </w:rPr>
        <w:t>A</w:t>
      </w:r>
      <w:r>
        <w:rPr>
          <w:noProof/>
          <w:color w:val="000000"/>
        </w:rPr>
        <w:t>.</w:t>
      </w:r>
      <w:r w:rsidRPr="001D7AFC">
        <w:rPr>
          <w:noProof/>
          <w:color w:val="000000"/>
        </w:rPr>
        <w:t>, Ozer</w:t>
      </w:r>
      <w:r>
        <w:rPr>
          <w:noProof/>
          <w:color w:val="000000"/>
        </w:rPr>
        <w:t>,</w:t>
      </w:r>
      <w:r w:rsidRPr="001D7AFC">
        <w:rPr>
          <w:noProof/>
          <w:color w:val="000000"/>
        </w:rPr>
        <w:t xml:space="preserve"> E</w:t>
      </w:r>
      <w:r>
        <w:rPr>
          <w:noProof/>
          <w:color w:val="000000"/>
        </w:rPr>
        <w:t>.</w:t>
      </w:r>
      <w:r w:rsidRPr="001D7AFC">
        <w:rPr>
          <w:noProof/>
          <w:color w:val="000000"/>
        </w:rPr>
        <w:t>J</w:t>
      </w:r>
      <w:r>
        <w:rPr>
          <w:noProof/>
          <w:color w:val="000000"/>
        </w:rPr>
        <w:t>.</w:t>
      </w:r>
      <w:r w:rsidRPr="001D7AFC">
        <w:rPr>
          <w:noProof/>
          <w:color w:val="000000"/>
        </w:rPr>
        <w:t>, &amp; Moos</w:t>
      </w:r>
      <w:r>
        <w:rPr>
          <w:noProof/>
          <w:color w:val="000000"/>
        </w:rPr>
        <w:t>,</w:t>
      </w:r>
      <w:r w:rsidRPr="001D7AFC">
        <w:rPr>
          <w:noProof/>
          <w:color w:val="000000"/>
        </w:rPr>
        <w:t xml:space="preserve"> R. </w:t>
      </w:r>
      <w:r>
        <w:rPr>
          <w:noProof/>
          <w:color w:val="000000"/>
        </w:rPr>
        <w:t xml:space="preserve">(2015). </w:t>
      </w:r>
      <w:r w:rsidRPr="001D7AFC">
        <w:rPr>
          <w:noProof/>
          <w:color w:val="000000"/>
        </w:rPr>
        <w:t>The challenges of Afghanistan and Iraq veterans’ transition from military to civilian life and approaches to reconnection. </w:t>
      </w:r>
      <w:r w:rsidRPr="002D44BB">
        <w:rPr>
          <w:i/>
          <w:iCs/>
          <w:noProof/>
          <w:color w:val="000000"/>
        </w:rPr>
        <w:t>PloS ONE, 10</w:t>
      </w:r>
      <w:r w:rsidRPr="001D7AFC">
        <w:rPr>
          <w:noProof/>
          <w:color w:val="000000"/>
        </w:rPr>
        <w:t xml:space="preserve">(7). </w:t>
      </w:r>
      <w:r w:rsidRPr="001D7AFC">
        <w:rPr>
          <w:noProof/>
        </w:rPr>
        <w:t>doi: 10.1371/journal.pone.0128599</w:t>
      </w:r>
    </w:p>
    <w:p w14:paraId="435C4E20" w14:textId="77777777" w:rsidR="00CF18E2" w:rsidRPr="00AE2935" w:rsidRDefault="00CF18E2" w:rsidP="00065168">
      <w:pPr>
        <w:spacing w:line="276" w:lineRule="auto"/>
        <w:ind w:left="851" w:hanging="851"/>
        <w:rPr>
          <w:noProof/>
          <w:color w:val="000000"/>
        </w:rPr>
      </w:pPr>
      <w:r w:rsidRPr="001D7AFC">
        <w:rPr>
          <w:noProof/>
          <w:color w:val="000000"/>
        </w:rPr>
        <w:t>Albertella</w:t>
      </w:r>
      <w:r>
        <w:rPr>
          <w:noProof/>
          <w:color w:val="000000"/>
        </w:rPr>
        <w:t>,</w:t>
      </w:r>
      <w:r w:rsidRPr="001D7AFC">
        <w:rPr>
          <w:noProof/>
          <w:color w:val="000000"/>
        </w:rPr>
        <w:t xml:space="preserve"> L</w:t>
      </w:r>
      <w:r>
        <w:rPr>
          <w:noProof/>
          <w:color w:val="000000"/>
        </w:rPr>
        <w:t>.</w:t>
      </w:r>
      <w:r w:rsidRPr="001D7AFC">
        <w:rPr>
          <w:noProof/>
          <w:color w:val="000000"/>
        </w:rPr>
        <w:t>, Rotaru</w:t>
      </w:r>
      <w:r>
        <w:rPr>
          <w:noProof/>
          <w:color w:val="000000"/>
        </w:rPr>
        <w:t>,</w:t>
      </w:r>
      <w:r w:rsidRPr="001D7AFC">
        <w:rPr>
          <w:noProof/>
          <w:color w:val="000000"/>
        </w:rPr>
        <w:t xml:space="preserve"> K</w:t>
      </w:r>
      <w:r>
        <w:rPr>
          <w:noProof/>
          <w:color w:val="000000"/>
        </w:rPr>
        <w:t>.</w:t>
      </w:r>
      <w:r w:rsidRPr="001D7AFC">
        <w:rPr>
          <w:noProof/>
          <w:color w:val="000000"/>
        </w:rPr>
        <w:t>, Christensen</w:t>
      </w:r>
      <w:r>
        <w:rPr>
          <w:noProof/>
          <w:color w:val="000000"/>
        </w:rPr>
        <w:t>,</w:t>
      </w:r>
      <w:r w:rsidRPr="001D7AFC">
        <w:rPr>
          <w:noProof/>
          <w:color w:val="000000"/>
        </w:rPr>
        <w:t xml:space="preserve"> E</w:t>
      </w:r>
      <w:r>
        <w:rPr>
          <w:noProof/>
          <w:color w:val="000000"/>
        </w:rPr>
        <w:t>.</w:t>
      </w:r>
      <w:r w:rsidRPr="001D7AFC">
        <w:rPr>
          <w:noProof/>
          <w:color w:val="000000"/>
        </w:rPr>
        <w:t>, Lowe</w:t>
      </w:r>
      <w:r>
        <w:rPr>
          <w:noProof/>
          <w:color w:val="000000"/>
        </w:rPr>
        <w:t>,</w:t>
      </w:r>
      <w:r w:rsidRPr="001D7AFC">
        <w:rPr>
          <w:noProof/>
          <w:color w:val="000000"/>
        </w:rPr>
        <w:t xml:space="preserve"> A</w:t>
      </w:r>
      <w:r>
        <w:rPr>
          <w:noProof/>
          <w:color w:val="000000"/>
        </w:rPr>
        <w:t>.</w:t>
      </w:r>
      <w:r w:rsidRPr="001D7AFC">
        <w:rPr>
          <w:noProof/>
          <w:color w:val="000000"/>
        </w:rPr>
        <w:t>, Brierley</w:t>
      </w:r>
      <w:r>
        <w:rPr>
          <w:noProof/>
          <w:color w:val="000000"/>
        </w:rPr>
        <w:t>,</w:t>
      </w:r>
      <w:r w:rsidRPr="001D7AFC">
        <w:rPr>
          <w:noProof/>
          <w:color w:val="000000"/>
        </w:rPr>
        <w:t xml:space="preserve"> M</w:t>
      </w:r>
      <w:r>
        <w:rPr>
          <w:noProof/>
          <w:color w:val="000000"/>
        </w:rPr>
        <w:t>.</w:t>
      </w:r>
      <w:r w:rsidRPr="001D7AFC">
        <w:rPr>
          <w:noProof/>
          <w:color w:val="000000"/>
        </w:rPr>
        <w:t>E</w:t>
      </w:r>
      <w:r>
        <w:rPr>
          <w:noProof/>
          <w:color w:val="000000"/>
        </w:rPr>
        <w:t>.</w:t>
      </w:r>
      <w:r w:rsidRPr="001D7AFC">
        <w:rPr>
          <w:noProof/>
          <w:color w:val="000000"/>
        </w:rPr>
        <w:t>, Richardson</w:t>
      </w:r>
      <w:r>
        <w:rPr>
          <w:noProof/>
          <w:color w:val="000000"/>
        </w:rPr>
        <w:t>,</w:t>
      </w:r>
      <w:r w:rsidRPr="001D7AFC">
        <w:rPr>
          <w:noProof/>
          <w:color w:val="000000"/>
        </w:rPr>
        <w:t xml:space="preserve"> K</w:t>
      </w:r>
      <w:r>
        <w:rPr>
          <w:noProof/>
          <w:color w:val="000000"/>
        </w:rPr>
        <w:t>.</w:t>
      </w:r>
      <w:r w:rsidRPr="001D7AFC">
        <w:rPr>
          <w:noProof/>
          <w:color w:val="000000"/>
        </w:rPr>
        <w:t xml:space="preserve">, </w:t>
      </w:r>
      <w:r w:rsidRPr="00AE2935">
        <w:rPr>
          <w:noProof/>
          <w:color w:val="000000"/>
        </w:rPr>
        <w:t>Chamberlain</w:t>
      </w:r>
      <w:r>
        <w:rPr>
          <w:noProof/>
          <w:color w:val="000000"/>
        </w:rPr>
        <w:t>,</w:t>
      </w:r>
      <w:r w:rsidRPr="00AE2935">
        <w:rPr>
          <w:noProof/>
          <w:color w:val="000000"/>
        </w:rPr>
        <w:t xml:space="preserve"> S</w:t>
      </w:r>
      <w:r>
        <w:rPr>
          <w:noProof/>
          <w:color w:val="000000"/>
        </w:rPr>
        <w:t>.</w:t>
      </w:r>
      <w:r w:rsidRPr="00AE2935">
        <w:rPr>
          <w:noProof/>
          <w:color w:val="000000"/>
        </w:rPr>
        <w:t>R</w:t>
      </w:r>
      <w:r>
        <w:rPr>
          <w:noProof/>
          <w:color w:val="000000"/>
        </w:rPr>
        <w:t>.</w:t>
      </w:r>
      <w:r w:rsidRPr="00AE2935">
        <w:rPr>
          <w:noProof/>
          <w:color w:val="000000"/>
        </w:rPr>
        <w:t>, Lee</w:t>
      </w:r>
      <w:r>
        <w:rPr>
          <w:noProof/>
          <w:color w:val="000000"/>
        </w:rPr>
        <w:t>,</w:t>
      </w:r>
      <w:r w:rsidRPr="00AE2935">
        <w:rPr>
          <w:noProof/>
          <w:color w:val="000000"/>
        </w:rPr>
        <w:t xml:space="preserve"> R</w:t>
      </w:r>
      <w:r>
        <w:rPr>
          <w:noProof/>
          <w:color w:val="000000"/>
        </w:rPr>
        <w:t>.</w:t>
      </w:r>
      <w:r w:rsidRPr="00AE2935">
        <w:rPr>
          <w:noProof/>
          <w:color w:val="000000"/>
        </w:rPr>
        <w:t>S</w:t>
      </w:r>
      <w:r>
        <w:rPr>
          <w:noProof/>
          <w:color w:val="000000"/>
        </w:rPr>
        <w:t>.</w:t>
      </w:r>
      <w:r w:rsidRPr="00AE2935">
        <w:rPr>
          <w:noProof/>
          <w:color w:val="000000"/>
        </w:rPr>
        <w:t>C</w:t>
      </w:r>
      <w:r>
        <w:rPr>
          <w:noProof/>
          <w:color w:val="000000"/>
        </w:rPr>
        <w:t>.</w:t>
      </w:r>
      <w:r w:rsidRPr="00AE2935">
        <w:rPr>
          <w:noProof/>
          <w:color w:val="000000"/>
        </w:rPr>
        <w:t>, Kayayan</w:t>
      </w:r>
      <w:r>
        <w:rPr>
          <w:noProof/>
          <w:color w:val="000000"/>
        </w:rPr>
        <w:t>,</w:t>
      </w:r>
      <w:r w:rsidRPr="00AE2935">
        <w:rPr>
          <w:noProof/>
          <w:color w:val="000000"/>
        </w:rPr>
        <w:t xml:space="preserve"> E</w:t>
      </w:r>
      <w:r>
        <w:rPr>
          <w:noProof/>
          <w:color w:val="000000"/>
        </w:rPr>
        <w:t>.</w:t>
      </w:r>
      <w:r w:rsidRPr="00AE2935">
        <w:rPr>
          <w:noProof/>
          <w:color w:val="000000"/>
        </w:rPr>
        <w:t>, Grant</w:t>
      </w:r>
      <w:r>
        <w:rPr>
          <w:noProof/>
          <w:color w:val="000000"/>
        </w:rPr>
        <w:t>,</w:t>
      </w:r>
      <w:r w:rsidRPr="00AE2935">
        <w:rPr>
          <w:noProof/>
          <w:color w:val="000000"/>
        </w:rPr>
        <w:t xml:space="preserve"> J</w:t>
      </w:r>
      <w:r>
        <w:rPr>
          <w:noProof/>
          <w:color w:val="000000"/>
        </w:rPr>
        <w:t>.</w:t>
      </w:r>
      <w:r w:rsidRPr="00AE2935">
        <w:rPr>
          <w:noProof/>
          <w:color w:val="000000"/>
        </w:rPr>
        <w:t>E</w:t>
      </w:r>
      <w:r>
        <w:rPr>
          <w:noProof/>
          <w:color w:val="000000"/>
        </w:rPr>
        <w:t>.</w:t>
      </w:r>
      <w:r w:rsidRPr="00AE2935">
        <w:rPr>
          <w:noProof/>
          <w:color w:val="000000"/>
        </w:rPr>
        <w:t>, Schluter-Hughes</w:t>
      </w:r>
      <w:r>
        <w:rPr>
          <w:noProof/>
          <w:color w:val="000000"/>
        </w:rPr>
        <w:t>,</w:t>
      </w:r>
      <w:r w:rsidRPr="00AE2935">
        <w:rPr>
          <w:noProof/>
          <w:color w:val="000000"/>
        </w:rPr>
        <w:t xml:space="preserve"> S</w:t>
      </w:r>
      <w:r>
        <w:rPr>
          <w:noProof/>
          <w:color w:val="000000"/>
        </w:rPr>
        <w:t>.</w:t>
      </w:r>
      <w:r w:rsidRPr="00AE2935">
        <w:rPr>
          <w:noProof/>
          <w:color w:val="000000"/>
        </w:rPr>
        <w:t>, Ince</w:t>
      </w:r>
      <w:r>
        <w:rPr>
          <w:noProof/>
          <w:color w:val="000000"/>
        </w:rPr>
        <w:t>,</w:t>
      </w:r>
      <w:r w:rsidRPr="00AE2935">
        <w:rPr>
          <w:noProof/>
          <w:color w:val="000000"/>
        </w:rPr>
        <w:t xml:space="preserve"> C</w:t>
      </w:r>
      <w:r>
        <w:rPr>
          <w:noProof/>
          <w:color w:val="000000"/>
        </w:rPr>
        <w:t>.</w:t>
      </w:r>
      <w:r w:rsidRPr="00AE2935">
        <w:rPr>
          <w:noProof/>
          <w:color w:val="000000"/>
        </w:rPr>
        <w:t>, Fontenelle</w:t>
      </w:r>
      <w:r>
        <w:rPr>
          <w:noProof/>
          <w:color w:val="000000"/>
        </w:rPr>
        <w:t>,</w:t>
      </w:r>
      <w:r w:rsidRPr="00AE2935">
        <w:rPr>
          <w:noProof/>
          <w:color w:val="000000"/>
        </w:rPr>
        <w:t xml:space="preserve"> L</w:t>
      </w:r>
      <w:r>
        <w:rPr>
          <w:noProof/>
          <w:color w:val="000000"/>
        </w:rPr>
        <w:t>.</w:t>
      </w:r>
      <w:r w:rsidRPr="00AE2935">
        <w:rPr>
          <w:noProof/>
          <w:color w:val="000000"/>
        </w:rPr>
        <w:t>F</w:t>
      </w:r>
      <w:r>
        <w:rPr>
          <w:noProof/>
          <w:color w:val="000000"/>
        </w:rPr>
        <w:t>.</w:t>
      </w:r>
      <w:r w:rsidRPr="00AE2935">
        <w:rPr>
          <w:noProof/>
          <w:color w:val="000000"/>
        </w:rPr>
        <w:t>, Segrave</w:t>
      </w:r>
      <w:r>
        <w:rPr>
          <w:noProof/>
          <w:color w:val="000000"/>
        </w:rPr>
        <w:t>,</w:t>
      </w:r>
      <w:r w:rsidRPr="00AE2935">
        <w:rPr>
          <w:noProof/>
          <w:color w:val="000000"/>
        </w:rPr>
        <w:t xml:space="preserve"> R</w:t>
      </w:r>
      <w:r>
        <w:rPr>
          <w:noProof/>
          <w:color w:val="000000"/>
        </w:rPr>
        <w:t>.</w:t>
      </w:r>
      <w:r w:rsidRPr="00AE2935">
        <w:rPr>
          <w:noProof/>
          <w:color w:val="000000"/>
        </w:rPr>
        <w:t xml:space="preserve">, </w:t>
      </w:r>
      <w:r>
        <w:rPr>
          <w:noProof/>
          <w:color w:val="000000"/>
        </w:rPr>
        <w:t xml:space="preserve">&amp; </w:t>
      </w:r>
      <w:r w:rsidRPr="00AE2935">
        <w:rPr>
          <w:noProof/>
          <w:color w:val="000000"/>
        </w:rPr>
        <w:t>Yücel</w:t>
      </w:r>
      <w:r>
        <w:rPr>
          <w:noProof/>
          <w:color w:val="000000"/>
        </w:rPr>
        <w:t>,</w:t>
      </w:r>
      <w:r w:rsidRPr="00AE2935">
        <w:rPr>
          <w:noProof/>
          <w:color w:val="000000"/>
        </w:rPr>
        <w:t xml:space="preserve"> M.</w:t>
      </w:r>
      <w:r>
        <w:rPr>
          <w:noProof/>
          <w:color w:val="000000"/>
        </w:rPr>
        <w:t xml:space="preserve"> (2021). </w:t>
      </w:r>
      <w:r w:rsidRPr="001D7AFC">
        <w:rPr>
          <w:noProof/>
          <w:color w:val="000000"/>
        </w:rPr>
        <w:t xml:space="preserve">The influence of trait compulsivity and impulsivity on addictive and compulsive behaviors during COVID-19. </w:t>
      </w:r>
      <w:r w:rsidRPr="00130C22">
        <w:rPr>
          <w:i/>
          <w:iCs/>
          <w:noProof/>
          <w:color w:val="000000"/>
        </w:rPr>
        <w:t>Frontiers in Psychiatry, 162</w:t>
      </w:r>
      <w:r w:rsidRPr="001D7AFC">
        <w:rPr>
          <w:noProof/>
          <w:color w:val="000000"/>
        </w:rPr>
        <w:t xml:space="preserve">(12). </w:t>
      </w:r>
      <w:r w:rsidRPr="001D7AFC">
        <w:rPr>
          <w:noProof/>
        </w:rPr>
        <w:t>doi: 10.3389/fpsyt.2021.634583</w:t>
      </w:r>
    </w:p>
    <w:p w14:paraId="49D8789E" w14:textId="5499B6E6" w:rsidR="00CF18E2" w:rsidRDefault="00CF18E2" w:rsidP="00065168">
      <w:pPr>
        <w:spacing w:line="276" w:lineRule="auto"/>
        <w:ind w:left="851" w:hanging="851"/>
        <w:rPr>
          <w:noProof/>
          <w:color w:val="000000"/>
        </w:rPr>
      </w:pPr>
      <w:r w:rsidRPr="001D7AFC">
        <w:rPr>
          <w:noProof/>
          <w:color w:val="000000"/>
        </w:rPr>
        <w:t>Allami</w:t>
      </w:r>
      <w:r>
        <w:rPr>
          <w:noProof/>
          <w:color w:val="000000"/>
        </w:rPr>
        <w:t>,</w:t>
      </w:r>
      <w:r w:rsidRPr="001D7AFC">
        <w:rPr>
          <w:noProof/>
          <w:color w:val="000000"/>
        </w:rPr>
        <w:t xml:space="preserve"> Y</w:t>
      </w:r>
      <w:r>
        <w:rPr>
          <w:noProof/>
          <w:color w:val="000000"/>
        </w:rPr>
        <w:t>.</w:t>
      </w:r>
      <w:r w:rsidRPr="001D7AFC">
        <w:rPr>
          <w:noProof/>
          <w:color w:val="000000"/>
        </w:rPr>
        <w:t>, Hodgins</w:t>
      </w:r>
      <w:r>
        <w:rPr>
          <w:noProof/>
          <w:color w:val="000000"/>
        </w:rPr>
        <w:t>,</w:t>
      </w:r>
      <w:r w:rsidRPr="001D7AFC">
        <w:rPr>
          <w:noProof/>
          <w:color w:val="000000"/>
        </w:rPr>
        <w:t xml:space="preserve"> D</w:t>
      </w:r>
      <w:r>
        <w:rPr>
          <w:noProof/>
          <w:color w:val="000000"/>
        </w:rPr>
        <w:t>.</w:t>
      </w:r>
      <w:r w:rsidRPr="001D7AFC">
        <w:rPr>
          <w:noProof/>
          <w:color w:val="000000"/>
        </w:rPr>
        <w:t>C</w:t>
      </w:r>
      <w:r>
        <w:rPr>
          <w:noProof/>
          <w:color w:val="000000"/>
        </w:rPr>
        <w:t>.</w:t>
      </w:r>
      <w:r w:rsidRPr="001D7AFC">
        <w:rPr>
          <w:noProof/>
          <w:color w:val="000000"/>
        </w:rPr>
        <w:t>, Young</w:t>
      </w:r>
      <w:r>
        <w:rPr>
          <w:noProof/>
          <w:color w:val="000000"/>
        </w:rPr>
        <w:t>,</w:t>
      </w:r>
      <w:r w:rsidRPr="001D7AFC">
        <w:rPr>
          <w:noProof/>
          <w:color w:val="000000"/>
        </w:rPr>
        <w:t xml:space="preserve"> M</w:t>
      </w:r>
      <w:r>
        <w:rPr>
          <w:noProof/>
          <w:color w:val="000000"/>
        </w:rPr>
        <w:t>.</w:t>
      </w:r>
      <w:r w:rsidRPr="001D7AFC">
        <w:rPr>
          <w:noProof/>
          <w:color w:val="000000"/>
        </w:rPr>
        <w:t>, Brunelle</w:t>
      </w:r>
      <w:r>
        <w:rPr>
          <w:noProof/>
          <w:color w:val="000000"/>
        </w:rPr>
        <w:t>,</w:t>
      </w:r>
      <w:r w:rsidRPr="001D7AFC">
        <w:rPr>
          <w:noProof/>
          <w:color w:val="000000"/>
        </w:rPr>
        <w:t xml:space="preserve"> N</w:t>
      </w:r>
      <w:r>
        <w:rPr>
          <w:noProof/>
          <w:color w:val="000000"/>
        </w:rPr>
        <w:t>.</w:t>
      </w:r>
      <w:r w:rsidRPr="001D7AFC">
        <w:rPr>
          <w:noProof/>
          <w:color w:val="000000"/>
        </w:rPr>
        <w:t>, Currie</w:t>
      </w:r>
      <w:r>
        <w:rPr>
          <w:noProof/>
          <w:color w:val="000000"/>
        </w:rPr>
        <w:t>,</w:t>
      </w:r>
      <w:r w:rsidRPr="001D7AFC">
        <w:rPr>
          <w:noProof/>
          <w:color w:val="000000"/>
        </w:rPr>
        <w:t xml:space="preserve"> S</w:t>
      </w:r>
      <w:r>
        <w:rPr>
          <w:noProof/>
          <w:color w:val="000000"/>
        </w:rPr>
        <w:t>.</w:t>
      </w:r>
      <w:r w:rsidRPr="001D7AFC">
        <w:rPr>
          <w:noProof/>
          <w:color w:val="000000"/>
        </w:rPr>
        <w:t>, Dufour</w:t>
      </w:r>
      <w:r>
        <w:rPr>
          <w:noProof/>
          <w:color w:val="000000"/>
        </w:rPr>
        <w:t>,</w:t>
      </w:r>
      <w:r w:rsidRPr="001D7AFC">
        <w:rPr>
          <w:noProof/>
          <w:color w:val="000000"/>
        </w:rPr>
        <w:t xml:space="preserve"> M</w:t>
      </w:r>
      <w:r>
        <w:rPr>
          <w:noProof/>
          <w:color w:val="000000"/>
        </w:rPr>
        <w:t>.</w:t>
      </w:r>
      <w:r w:rsidRPr="001D7AFC">
        <w:rPr>
          <w:noProof/>
          <w:color w:val="000000"/>
        </w:rPr>
        <w:t>, Flores-Pajot</w:t>
      </w:r>
      <w:r>
        <w:rPr>
          <w:noProof/>
          <w:color w:val="000000"/>
        </w:rPr>
        <w:t>,</w:t>
      </w:r>
      <w:r w:rsidRPr="001D7AFC">
        <w:rPr>
          <w:noProof/>
          <w:color w:val="000000"/>
        </w:rPr>
        <w:t xml:space="preserve"> M-C</w:t>
      </w:r>
      <w:r>
        <w:rPr>
          <w:noProof/>
          <w:color w:val="000000"/>
        </w:rPr>
        <w:t>.</w:t>
      </w:r>
      <w:r w:rsidRPr="001D7AFC">
        <w:rPr>
          <w:noProof/>
          <w:color w:val="000000"/>
        </w:rPr>
        <w:t>, &amp; Nadeau</w:t>
      </w:r>
      <w:r>
        <w:rPr>
          <w:noProof/>
          <w:color w:val="000000"/>
        </w:rPr>
        <w:t>,</w:t>
      </w:r>
      <w:r w:rsidRPr="001D7AFC">
        <w:rPr>
          <w:noProof/>
          <w:color w:val="000000"/>
        </w:rPr>
        <w:t xml:space="preserve"> L. </w:t>
      </w:r>
      <w:r>
        <w:rPr>
          <w:noProof/>
          <w:color w:val="000000"/>
        </w:rPr>
        <w:t xml:space="preserve">(2021). </w:t>
      </w:r>
      <w:r w:rsidRPr="001D7AFC">
        <w:rPr>
          <w:noProof/>
          <w:color w:val="000000"/>
        </w:rPr>
        <w:t xml:space="preserve">A meta-analysis of problem gambling risk factors in the general adult population. </w:t>
      </w:r>
      <w:r w:rsidRPr="007D0187">
        <w:rPr>
          <w:i/>
          <w:iCs/>
          <w:noProof/>
          <w:color w:val="000000"/>
        </w:rPr>
        <w:t>Addiction, 116</w:t>
      </w:r>
      <w:r w:rsidRPr="009004D1">
        <w:rPr>
          <w:noProof/>
          <w:color w:val="000000"/>
        </w:rPr>
        <w:t>(11)</w:t>
      </w:r>
      <w:r>
        <w:rPr>
          <w:noProof/>
          <w:color w:val="000000"/>
        </w:rPr>
        <w:t xml:space="preserve">, </w:t>
      </w:r>
      <w:r w:rsidRPr="009004D1">
        <w:rPr>
          <w:noProof/>
          <w:color w:val="000000"/>
        </w:rPr>
        <w:t>2968-2977</w:t>
      </w:r>
      <w:r w:rsidRPr="001D7AFC">
        <w:rPr>
          <w:noProof/>
          <w:color w:val="000000"/>
        </w:rPr>
        <w:t xml:space="preserve"> doi:10.1111/add.15449</w:t>
      </w:r>
    </w:p>
    <w:p w14:paraId="385A88AB" w14:textId="280A68BA" w:rsidR="00CF18E2" w:rsidRDefault="00CF18E2" w:rsidP="00CF18E2">
      <w:pPr>
        <w:spacing w:line="276" w:lineRule="auto"/>
        <w:ind w:left="851" w:hanging="851"/>
        <w:rPr>
          <w:noProof/>
          <w:color w:val="000000"/>
        </w:rPr>
      </w:pPr>
      <w:r w:rsidRPr="001D7AFC">
        <w:rPr>
          <w:noProof/>
          <w:color w:val="000000"/>
        </w:rPr>
        <w:t>American Psychiatric Association</w:t>
      </w:r>
      <w:r>
        <w:rPr>
          <w:noProof/>
          <w:color w:val="000000"/>
        </w:rPr>
        <w:t>, (2013)</w:t>
      </w:r>
      <w:r w:rsidRPr="001D7AFC">
        <w:rPr>
          <w:noProof/>
          <w:color w:val="000000"/>
        </w:rPr>
        <w:t>. Diagnostic and Statistical Manual of Mental Disorders. 6th ed. Washington, DC: American Psychiatric Association</w:t>
      </w:r>
      <w:r>
        <w:rPr>
          <w:noProof/>
          <w:color w:val="000000"/>
        </w:rPr>
        <w:t>.</w:t>
      </w:r>
    </w:p>
    <w:p w14:paraId="3917A923" w14:textId="326072E0" w:rsidR="00CF18E2" w:rsidRDefault="00CF18E2" w:rsidP="00CF18E2">
      <w:pPr>
        <w:spacing w:line="276" w:lineRule="auto"/>
        <w:ind w:left="851" w:hanging="851"/>
        <w:rPr>
          <w:noProof/>
          <w:color w:val="000000"/>
        </w:rPr>
      </w:pPr>
      <w:r w:rsidRPr="001D7AFC">
        <w:rPr>
          <w:noProof/>
          <w:color w:val="000000"/>
        </w:rPr>
        <w:t>Angus</w:t>
      </w:r>
      <w:r>
        <w:rPr>
          <w:noProof/>
          <w:color w:val="000000"/>
        </w:rPr>
        <w:t>,</w:t>
      </w:r>
      <w:r w:rsidRPr="001D7AFC">
        <w:rPr>
          <w:noProof/>
          <w:color w:val="000000"/>
        </w:rPr>
        <w:t xml:space="preserve"> D</w:t>
      </w:r>
      <w:r>
        <w:rPr>
          <w:noProof/>
          <w:color w:val="000000"/>
        </w:rPr>
        <w:t>.</w:t>
      </w:r>
      <w:r w:rsidRPr="001D7AFC">
        <w:rPr>
          <w:noProof/>
          <w:color w:val="000000"/>
        </w:rPr>
        <w:t>J</w:t>
      </w:r>
      <w:r>
        <w:rPr>
          <w:noProof/>
          <w:color w:val="000000"/>
        </w:rPr>
        <w:t>.</w:t>
      </w:r>
      <w:r w:rsidRPr="001D7AFC">
        <w:rPr>
          <w:noProof/>
          <w:color w:val="000000"/>
        </w:rPr>
        <w:t>, Pickering</w:t>
      </w:r>
      <w:r>
        <w:rPr>
          <w:noProof/>
          <w:color w:val="000000"/>
        </w:rPr>
        <w:t>,</w:t>
      </w:r>
      <w:r w:rsidRPr="001D7AFC">
        <w:rPr>
          <w:noProof/>
          <w:color w:val="000000"/>
        </w:rPr>
        <w:t xml:space="preserve"> D</w:t>
      </w:r>
      <w:r>
        <w:rPr>
          <w:noProof/>
          <w:color w:val="000000"/>
        </w:rPr>
        <w:t>.</w:t>
      </w:r>
      <w:r w:rsidRPr="001D7AFC">
        <w:rPr>
          <w:noProof/>
          <w:color w:val="000000"/>
        </w:rPr>
        <w:t>, Keen</w:t>
      </w:r>
      <w:r>
        <w:rPr>
          <w:noProof/>
          <w:color w:val="000000"/>
        </w:rPr>
        <w:t>,</w:t>
      </w:r>
      <w:r w:rsidRPr="001D7AFC">
        <w:rPr>
          <w:noProof/>
          <w:color w:val="000000"/>
        </w:rPr>
        <w:t xml:space="preserve"> B</w:t>
      </w:r>
      <w:r>
        <w:rPr>
          <w:noProof/>
          <w:color w:val="000000"/>
        </w:rPr>
        <w:t>.</w:t>
      </w:r>
      <w:r w:rsidRPr="001D7AFC">
        <w:rPr>
          <w:noProof/>
          <w:color w:val="000000"/>
        </w:rPr>
        <w:t>, &amp; Blaszczynski</w:t>
      </w:r>
      <w:r>
        <w:rPr>
          <w:noProof/>
          <w:color w:val="000000"/>
        </w:rPr>
        <w:t>,</w:t>
      </w:r>
      <w:r w:rsidRPr="001D7AFC">
        <w:rPr>
          <w:noProof/>
          <w:color w:val="000000"/>
        </w:rPr>
        <w:t xml:space="preserve"> A. </w:t>
      </w:r>
      <w:r>
        <w:rPr>
          <w:noProof/>
          <w:color w:val="000000"/>
        </w:rPr>
        <w:t xml:space="preserve">(2021). </w:t>
      </w:r>
      <w:r w:rsidRPr="001D7AFC">
        <w:rPr>
          <w:noProof/>
          <w:color w:val="000000"/>
        </w:rPr>
        <w:t xml:space="preserve">Study framing influences crowdsourced rates of problem gambling and alcohol use disorder. </w:t>
      </w:r>
      <w:r w:rsidRPr="00355BE0">
        <w:rPr>
          <w:i/>
          <w:iCs/>
          <w:noProof/>
          <w:color w:val="000000"/>
        </w:rPr>
        <w:t>Psychology of Addictive Behavior</w:t>
      </w:r>
      <w:r>
        <w:rPr>
          <w:noProof/>
          <w:color w:val="000000"/>
        </w:rPr>
        <w:t>s,</w:t>
      </w:r>
      <w:r w:rsidRPr="001D7AFC">
        <w:rPr>
          <w:noProof/>
          <w:color w:val="000000"/>
        </w:rPr>
        <w:t xml:space="preserve"> </w:t>
      </w:r>
      <w:r w:rsidRPr="001D7AFC">
        <w:rPr>
          <w:noProof/>
        </w:rPr>
        <w:t>doi: 10.1037/adb0000687</w:t>
      </w:r>
    </w:p>
    <w:p w14:paraId="038657C9" w14:textId="3923C3E8" w:rsidR="00CF18E2" w:rsidRDefault="00CF18E2" w:rsidP="00CF18E2">
      <w:pPr>
        <w:spacing w:line="276" w:lineRule="auto"/>
        <w:ind w:left="851" w:hanging="851"/>
        <w:rPr>
          <w:noProof/>
          <w:color w:val="000000"/>
        </w:rPr>
      </w:pPr>
      <w:r w:rsidRPr="001D7AFC">
        <w:rPr>
          <w:noProof/>
          <w:color w:val="000000"/>
        </w:rPr>
        <w:t>Babor</w:t>
      </w:r>
      <w:r>
        <w:rPr>
          <w:noProof/>
          <w:color w:val="000000"/>
        </w:rPr>
        <w:t>,</w:t>
      </w:r>
      <w:r w:rsidRPr="001D7AFC">
        <w:rPr>
          <w:noProof/>
          <w:color w:val="000000"/>
        </w:rPr>
        <w:t xml:space="preserve"> T</w:t>
      </w:r>
      <w:r>
        <w:rPr>
          <w:noProof/>
          <w:color w:val="000000"/>
        </w:rPr>
        <w:t>.</w:t>
      </w:r>
      <w:r w:rsidRPr="001D7AFC">
        <w:rPr>
          <w:noProof/>
          <w:color w:val="000000"/>
        </w:rPr>
        <w:t>F</w:t>
      </w:r>
      <w:r>
        <w:rPr>
          <w:noProof/>
          <w:color w:val="000000"/>
        </w:rPr>
        <w:t>.</w:t>
      </w:r>
      <w:r w:rsidRPr="001D7AFC">
        <w:rPr>
          <w:noProof/>
          <w:color w:val="000000"/>
        </w:rPr>
        <w:t>, Higgins-Biddle</w:t>
      </w:r>
      <w:r>
        <w:rPr>
          <w:noProof/>
          <w:color w:val="000000"/>
        </w:rPr>
        <w:t>,</w:t>
      </w:r>
      <w:r w:rsidRPr="001D7AFC">
        <w:rPr>
          <w:noProof/>
          <w:color w:val="000000"/>
        </w:rPr>
        <w:t xml:space="preserve"> J</w:t>
      </w:r>
      <w:r>
        <w:rPr>
          <w:noProof/>
          <w:color w:val="000000"/>
        </w:rPr>
        <w:t>.</w:t>
      </w:r>
      <w:r w:rsidRPr="001D7AFC">
        <w:rPr>
          <w:noProof/>
          <w:color w:val="000000"/>
        </w:rPr>
        <w:t>C</w:t>
      </w:r>
      <w:r>
        <w:rPr>
          <w:noProof/>
          <w:color w:val="000000"/>
        </w:rPr>
        <w:t>.</w:t>
      </w:r>
      <w:r w:rsidRPr="001D7AFC">
        <w:rPr>
          <w:noProof/>
          <w:color w:val="000000"/>
        </w:rPr>
        <w:t>, Saunders</w:t>
      </w:r>
      <w:r>
        <w:rPr>
          <w:noProof/>
          <w:color w:val="000000"/>
        </w:rPr>
        <w:t>,</w:t>
      </w:r>
      <w:r w:rsidRPr="001D7AFC">
        <w:rPr>
          <w:noProof/>
          <w:color w:val="000000"/>
        </w:rPr>
        <w:t xml:space="preserve"> J</w:t>
      </w:r>
      <w:r>
        <w:rPr>
          <w:noProof/>
          <w:color w:val="000000"/>
        </w:rPr>
        <w:t>.</w:t>
      </w:r>
      <w:r w:rsidRPr="001D7AFC">
        <w:rPr>
          <w:noProof/>
          <w:color w:val="000000"/>
        </w:rPr>
        <w:t>B</w:t>
      </w:r>
      <w:r>
        <w:rPr>
          <w:noProof/>
          <w:color w:val="000000"/>
        </w:rPr>
        <w:t>.</w:t>
      </w:r>
      <w:r w:rsidRPr="001D7AFC">
        <w:rPr>
          <w:noProof/>
          <w:color w:val="000000"/>
        </w:rPr>
        <w:t>, &amp; Monteiro</w:t>
      </w:r>
      <w:r>
        <w:rPr>
          <w:noProof/>
          <w:color w:val="000000"/>
        </w:rPr>
        <w:t>,</w:t>
      </w:r>
      <w:r w:rsidRPr="001D7AFC">
        <w:rPr>
          <w:noProof/>
          <w:color w:val="000000"/>
        </w:rPr>
        <w:t xml:space="preserve"> M</w:t>
      </w:r>
      <w:r>
        <w:rPr>
          <w:noProof/>
          <w:color w:val="000000"/>
        </w:rPr>
        <w:t>.</w:t>
      </w:r>
      <w:r w:rsidRPr="001D7AFC">
        <w:rPr>
          <w:noProof/>
          <w:color w:val="000000"/>
        </w:rPr>
        <w:t xml:space="preserve">G. </w:t>
      </w:r>
      <w:r>
        <w:rPr>
          <w:noProof/>
          <w:color w:val="000000"/>
        </w:rPr>
        <w:t xml:space="preserve">(2001). </w:t>
      </w:r>
      <w:r w:rsidRPr="00FC7EE7">
        <w:rPr>
          <w:i/>
          <w:iCs/>
          <w:noProof/>
          <w:color w:val="000000"/>
        </w:rPr>
        <w:t>The alcohol use disorders identification test (AUDIT) Guidelines for use in primary care</w:t>
      </w:r>
      <w:r w:rsidRPr="001D7AFC">
        <w:rPr>
          <w:noProof/>
          <w:color w:val="000000"/>
        </w:rPr>
        <w:t xml:space="preserve"> (2nd ed. (WHO Publication No. 01.6a)). Geneva, Switzerland: World Health Organization</w:t>
      </w:r>
      <w:r>
        <w:rPr>
          <w:noProof/>
          <w:color w:val="000000"/>
        </w:rPr>
        <w:t>.</w:t>
      </w:r>
      <w:r w:rsidRPr="001D7AFC">
        <w:rPr>
          <w:noProof/>
          <w:color w:val="000000"/>
        </w:rPr>
        <w:t xml:space="preserve"> </w:t>
      </w:r>
    </w:p>
    <w:p w14:paraId="3235FFCC" w14:textId="2C1F6E87" w:rsidR="00CF18E2" w:rsidRPr="001D7AFC" w:rsidRDefault="00CF18E2" w:rsidP="00CF18E2">
      <w:pPr>
        <w:spacing w:line="276" w:lineRule="auto"/>
        <w:ind w:left="851" w:hanging="851"/>
        <w:rPr>
          <w:noProof/>
          <w:color w:val="000000"/>
        </w:rPr>
      </w:pPr>
      <w:r w:rsidRPr="001D7AFC">
        <w:rPr>
          <w:noProof/>
          <w:color w:val="000000"/>
        </w:rPr>
        <w:t>Biddle</w:t>
      </w:r>
      <w:r>
        <w:rPr>
          <w:noProof/>
          <w:color w:val="000000"/>
        </w:rPr>
        <w:t>,</w:t>
      </w:r>
      <w:r w:rsidRPr="001D7AFC">
        <w:rPr>
          <w:noProof/>
          <w:color w:val="000000"/>
        </w:rPr>
        <w:t xml:space="preserve"> D</w:t>
      </w:r>
      <w:r>
        <w:rPr>
          <w:noProof/>
          <w:color w:val="000000"/>
        </w:rPr>
        <w:t>.</w:t>
      </w:r>
      <w:r w:rsidRPr="001D7AFC">
        <w:rPr>
          <w:noProof/>
          <w:color w:val="000000"/>
        </w:rPr>
        <w:t>, Hawthorne</w:t>
      </w:r>
      <w:r>
        <w:rPr>
          <w:noProof/>
          <w:color w:val="000000"/>
        </w:rPr>
        <w:t>,</w:t>
      </w:r>
      <w:r w:rsidRPr="001D7AFC">
        <w:rPr>
          <w:noProof/>
          <w:color w:val="000000"/>
        </w:rPr>
        <w:t xml:space="preserve"> G</w:t>
      </w:r>
      <w:r>
        <w:rPr>
          <w:noProof/>
          <w:color w:val="000000"/>
        </w:rPr>
        <w:t>.</w:t>
      </w:r>
      <w:r w:rsidRPr="001D7AFC">
        <w:rPr>
          <w:noProof/>
          <w:color w:val="000000"/>
        </w:rPr>
        <w:t>, Forbes</w:t>
      </w:r>
      <w:r>
        <w:rPr>
          <w:noProof/>
          <w:color w:val="000000"/>
        </w:rPr>
        <w:t>,</w:t>
      </w:r>
      <w:r w:rsidRPr="001D7AFC">
        <w:rPr>
          <w:noProof/>
          <w:color w:val="000000"/>
        </w:rPr>
        <w:t xml:space="preserve"> D</w:t>
      </w:r>
      <w:r>
        <w:rPr>
          <w:noProof/>
          <w:color w:val="000000"/>
        </w:rPr>
        <w:t>.</w:t>
      </w:r>
      <w:r w:rsidRPr="001D7AFC">
        <w:rPr>
          <w:noProof/>
          <w:color w:val="000000"/>
        </w:rPr>
        <w:t>, &amp; Coman</w:t>
      </w:r>
      <w:r>
        <w:rPr>
          <w:noProof/>
          <w:color w:val="000000"/>
        </w:rPr>
        <w:t>,</w:t>
      </w:r>
      <w:r w:rsidRPr="001D7AFC">
        <w:rPr>
          <w:noProof/>
          <w:color w:val="000000"/>
        </w:rPr>
        <w:t xml:space="preserve"> G. </w:t>
      </w:r>
      <w:r>
        <w:rPr>
          <w:noProof/>
          <w:color w:val="000000"/>
        </w:rPr>
        <w:t xml:space="preserve">(2005). </w:t>
      </w:r>
      <w:r w:rsidRPr="001D7AFC">
        <w:rPr>
          <w:noProof/>
          <w:color w:val="000000"/>
        </w:rPr>
        <w:t>Problem gambling in Australian PTSD treatment‐seeking veterans. </w:t>
      </w:r>
      <w:r w:rsidRPr="00AF0477">
        <w:rPr>
          <w:i/>
          <w:iCs/>
          <w:noProof/>
          <w:color w:val="000000"/>
        </w:rPr>
        <w:t>Journal of Traumatic Stress, 18</w:t>
      </w:r>
      <w:r w:rsidRPr="001D7AFC">
        <w:rPr>
          <w:noProof/>
          <w:color w:val="000000"/>
        </w:rPr>
        <w:t>(6)</w:t>
      </w:r>
      <w:r>
        <w:rPr>
          <w:noProof/>
          <w:color w:val="000000"/>
        </w:rPr>
        <w:t xml:space="preserve">, </w:t>
      </w:r>
      <w:r w:rsidRPr="001D7AFC">
        <w:rPr>
          <w:noProof/>
          <w:color w:val="000000"/>
        </w:rPr>
        <w:t xml:space="preserve">759-767. </w:t>
      </w:r>
      <w:r w:rsidRPr="001D7AFC">
        <w:rPr>
          <w:noProof/>
        </w:rPr>
        <w:t>doi: 10.1002/jts.20084</w:t>
      </w:r>
    </w:p>
    <w:p w14:paraId="0817B95F" w14:textId="2803A5E3" w:rsidR="006107C8" w:rsidRDefault="00CF18E2" w:rsidP="006107C8">
      <w:pPr>
        <w:spacing w:line="276" w:lineRule="auto"/>
        <w:ind w:left="851" w:hanging="851"/>
        <w:rPr>
          <w:noProof/>
        </w:rPr>
      </w:pPr>
      <w:r w:rsidRPr="001D7AFC">
        <w:rPr>
          <w:noProof/>
          <w:color w:val="000000"/>
        </w:rPr>
        <w:t>Buchanan</w:t>
      </w:r>
      <w:r>
        <w:rPr>
          <w:noProof/>
          <w:color w:val="000000"/>
        </w:rPr>
        <w:t>,</w:t>
      </w:r>
      <w:r w:rsidRPr="001D7AFC">
        <w:rPr>
          <w:noProof/>
          <w:color w:val="000000"/>
        </w:rPr>
        <w:t xml:space="preserve"> T</w:t>
      </w:r>
      <w:r>
        <w:rPr>
          <w:noProof/>
          <w:color w:val="000000"/>
        </w:rPr>
        <w:t>.</w:t>
      </w:r>
      <w:r w:rsidRPr="001D7AFC">
        <w:rPr>
          <w:noProof/>
          <w:color w:val="000000"/>
        </w:rPr>
        <w:t>W</w:t>
      </w:r>
      <w:r>
        <w:rPr>
          <w:noProof/>
          <w:color w:val="000000"/>
        </w:rPr>
        <w:t>.</w:t>
      </w:r>
      <w:r w:rsidRPr="001D7AFC">
        <w:rPr>
          <w:noProof/>
          <w:color w:val="000000"/>
        </w:rPr>
        <w:t>, McMullin</w:t>
      </w:r>
      <w:r>
        <w:rPr>
          <w:noProof/>
          <w:color w:val="000000"/>
        </w:rPr>
        <w:t>,</w:t>
      </w:r>
      <w:r w:rsidRPr="001D7AFC">
        <w:rPr>
          <w:noProof/>
          <w:color w:val="000000"/>
        </w:rPr>
        <w:t xml:space="preserve"> S</w:t>
      </w:r>
      <w:r>
        <w:rPr>
          <w:noProof/>
          <w:color w:val="000000"/>
        </w:rPr>
        <w:t>.</w:t>
      </w:r>
      <w:r w:rsidRPr="001D7AFC">
        <w:rPr>
          <w:noProof/>
          <w:color w:val="000000"/>
        </w:rPr>
        <w:t>D</w:t>
      </w:r>
      <w:r>
        <w:rPr>
          <w:noProof/>
          <w:color w:val="000000"/>
        </w:rPr>
        <w:t>.</w:t>
      </w:r>
      <w:r w:rsidRPr="001D7AFC">
        <w:rPr>
          <w:noProof/>
          <w:color w:val="000000"/>
        </w:rPr>
        <w:t>, Baxley</w:t>
      </w:r>
      <w:r>
        <w:rPr>
          <w:noProof/>
          <w:color w:val="000000"/>
        </w:rPr>
        <w:t>,</w:t>
      </w:r>
      <w:r w:rsidRPr="001D7AFC">
        <w:rPr>
          <w:noProof/>
          <w:color w:val="000000"/>
        </w:rPr>
        <w:t xml:space="preserve"> C</w:t>
      </w:r>
      <w:r>
        <w:rPr>
          <w:noProof/>
          <w:color w:val="000000"/>
        </w:rPr>
        <w:t>.</w:t>
      </w:r>
      <w:r w:rsidRPr="001D7AFC">
        <w:rPr>
          <w:noProof/>
          <w:color w:val="000000"/>
        </w:rPr>
        <w:t>, &amp; Weinstock</w:t>
      </w:r>
      <w:r>
        <w:rPr>
          <w:noProof/>
          <w:color w:val="000000"/>
        </w:rPr>
        <w:t>,</w:t>
      </w:r>
      <w:r w:rsidRPr="001D7AFC">
        <w:rPr>
          <w:noProof/>
          <w:color w:val="000000"/>
        </w:rPr>
        <w:t xml:space="preserve"> J. </w:t>
      </w:r>
      <w:r>
        <w:rPr>
          <w:noProof/>
          <w:color w:val="000000"/>
        </w:rPr>
        <w:t xml:space="preserve">(2020). </w:t>
      </w:r>
      <w:r w:rsidRPr="001D7AFC">
        <w:rPr>
          <w:noProof/>
          <w:color w:val="000000"/>
        </w:rPr>
        <w:t xml:space="preserve">Stress and gambling. </w:t>
      </w:r>
      <w:r w:rsidRPr="00BB153A">
        <w:rPr>
          <w:i/>
          <w:iCs/>
          <w:noProof/>
          <w:color w:val="000000"/>
        </w:rPr>
        <w:t>Current Opinion in Behavioral Science, 31</w:t>
      </w:r>
      <w:r>
        <w:rPr>
          <w:noProof/>
          <w:color w:val="000000"/>
        </w:rPr>
        <w:t xml:space="preserve">, </w:t>
      </w:r>
      <w:r w:rsidRPr="001D7AFC">
        <w:rPr>
          <w:noProof/>
          <w:color w:val="000000"/>
        </w:rPr>
        <w:t xml:space="preserve">8-12. </w:t>
      </w:r>
      <w:r w:rsidRPr="001D7AFC">
        <w:rPr>
          <w:noProof/>
        </w:rPr>
        <w:t>doi: 10.1016/j.cobeha.2019.09.004</w:t>
      </w:r>
    </w:p>
    <w:p w14:paraId="39FFF123" w14:textId="102D4D1E" w:rsidR="006107C8" w:rsidRDefault="006107C8" w:rsidP="006107C8">
      <w:pPr>
        <w:spacing w:line="276" w:lineRule="auto"/>
        <w:ind w:left="851" w:hanging="851"/>
        <w:rPr>
          <w:noProof/>
        </w:rPr>
      </w:pPr>
      <w:r w:rsidRPr="006107C8">
        <w:rPr>
          <w:noProof/>
        </w:rPr>
        <w:t>Bray, R. M., Pemberton, M. R., Lane, M. E., Hourani, L. L., Mattiko, M. J., &amp; Babeu, L. A.</w:t>
      </w:r>
      <w:r>
        <w:rPr>
          <w:noProof/>
        </w:rPr>
        <w:t xml:space="preserve"> </w:t>
      </w:r>
      <w:r w:rsidRPr="006107C8">
        <w:rPr>
          <w:noProof/>
        </w:rPr>
        <w:t>(2010). Substance use and mental health trends among US military active duty</w:t>
      </w:r>
      <w:r>
        <w:rPr>
          <w:noProof/>
        </w:rPr>
        <w:t xml:space="preserve"> </w:t>
      </w:r>
      <w:r w:rsidRPr="006107C8">
        <w:rPr>
          <w:noProof/>
        </w:rPr>
        <w:t xml:space="preserve">personnel: Key findings from the 2008 DoD Health Behavior Survey. </w:t>
      </w:r>
      <w:r w:rsidRPr="00124176">
        <w:rPr>
          <w:i/>
          <w:iCs/>
          <w:noProof/>
        </w:rPr>
        <w:t>Military Medicine, 17</w:t>
      </w:r>
      <w:r w:rsidRPr="006107C8">
        <w:rPr>
          <w:noProof/>
        </w:rPr>
        <w:t>5(6), 390–399.</w:t>
      </w:r>
      <w:r w:rsidR="00414E34">
        <w:rPr>
          <w:noProof/>
        </w:rPr>
        <w:t xml:space="preserve"> do</w:t>
      </w:r>
      <w:r w:rsidR="00414E34" w:rsidRPr="00414E34">
        <w:rPr>
          <w:noProof/>
        </w:rPr>
        <w:t>i: 10.7205/milmed-d-09-00132.</w:t>
      </w:r>
    </w:p>
    <w:p w14:paraId="3D10ED90" w14:textId="23553658" w:rsidR="00D475B5" w:rsidRPr="006107C8" w:rsidRDefault="000B3EEC" w:rsidP="00D475B5">
      <w:pPr>
        <w:spacing w:line="276" w:lineRule="auto"/>
        <w:ind w:left="851" w:hanging="851"/>
        <w:rPr>
          <w:noProof/>
        </w:rPr>
      </w:pPr>
      <w:r w:rsidRPr="000B3EEC">
        <w:rPr>
          <w:noProof/>
        </w:rPr>
        <w:t>Brewin</w:t>
      </w:r>
      <w:r>
        <w:rPr>
          <w:noProof/>
        </w:rPr>
        <w:t>,</w:t>
      </w:r>
      <w:r w:rsidRPr="000B3EEC">
        <w:rPr>
          <w:noProof/>
        </w:rPr>
        <w:t xml:space="preserve"> C</w:t>
      </w:r>
      <w:r>
        <w:rPr>
          <w:noProof/>
        </w:rPr>
        <w:t xml:space="preserve">. </w:t>
      </w:r>
      <w:r w:rsidRPr="000B3EEC">
        <w:rPr>
          <w:noProof/>
        </w:rPr>
        <w:t>R</w:t>
      </w:r>
      <w:r>
        <w:rPr>
          <w:noProof/>
        </w:rPr>
        <w:t>.</w:t>
      </w:r>
      <w:r w:rsidRPr="000B3EEC">
        <w:rPr>
          <w:noProof/>
        </w:rPr>
        <w:t>, Cloitre</w:t>
      </w:r>
      <w:r>
        <w:rPr>
          <w:noProof/>
        </w:rPr>
        <w:t>,</w:t>
      </w:r>
      <w:r w:rsidRPr="000B3EEC">
        <w:rPr>
          <w:noProof/>
        </w:rPr>
        <w:t xml:space="preserve"> M</w:t>
      </w:r>
      <w:r>
        <w:rPr>
          <w:noProof/>
        </w:rPr>
        <w:t>.</w:t>
      </w:r>
      <w:r w:rsidRPr="000B3EEC">
        <w:rPr>
          <w:noProof/>
        </w:rPr>
        <w:t>, Hyland</w:t>
      </w:r>
      <w:r>
        <w:rPr>
          <w:noProof/>
        </w:rPr>
        <w:t>,</w:t>
      </w:r>
      <w:r w:rsidRPr="000B3EEC">
        <w:rPr>
          <w:noProof/>
        </w:rPr>
        <w:t xml:space="preserve"> P</w:t>
      </w:r>
      <w:r>
        <w:rPr>
          <w:noProof/>
        </w:rPr>
        <w:t>.</w:t>
      </w:r>
      <w:r w:rsidRPr="000B3EEC">
        <w:rPr>
          <w:noProof/>
        </w:rPr>
        <w:t>, Shevlin</w:t>
      </w:r>
      <w:r>
        <w:rPr>
          <w:noProof/>
        </w:rPr>
        <w:t>,</w:t>
      </w:r>
      <w:r w:rsidRPr="000B3EEC">
        <w:rPr>
          <w:noProof/>
        </w:rPr>
        <w:t xml:space="preserve"> M</w:t>
      </w:r>
      <w:r>
        <w:rPr>
          <w:noProof/>
        </w:rPr>
        <w:t>.</w:t>
      </w:r>
      <w:r w:rsidRPr="000B3EEC">
        <w:rPr>
          <w:noProof/>
        </w:rPr>
        <w:t>, Maercker</w:t>
      </w:r>
      <w:r>
        <w:rPr>
          <w:noProof/>
        </w:rPr>
        <w:t>,</w:t>
      </w:r>
      <w:r w:rsidRPr="000B3EEC">
        <w:rPr>
          <w:noProof/>
        </w:rPr>
        <w:t xml:space="preserve"> A</w:t>
      </w:r>
      <w:r>
        <w:rPr>
          <w:noProof/>
        </w:rPr>
        <w:t>.</w:t>
      </w:r>
      <w:r w:rsidRPr="000B3EEC">
        <w:rPr>
          <w:noProof/>
        </w:rPr>
        <w:t>, Bryant</w:t>
      </w:r>
      <w:r>
        <w:rPr>
          <w:noProof/>
        </w:rPr>
        <w:t>,</w:t>
      </w:r>
      <w:r w:rsidRPr="000B3EEC">
        <w:rPr>
          <w:noProof/>
        </w:rPr>
        <w:t xml:space="preserve"> R</w:t>
      </w:r>
      <w:r>
        <w:rPr>
          <w:noProof/>
        </w:rPr>
        <w:t xml:space="preserve">. </w:t>
      </w:r>
      <w:r w:rsidRPr="000B3EEC">
        <w:rPr>
          <w:noProof/>
        </w:rPr>
        <w:t>A</w:t>
      </w:r>
      <w:r>
        <w:rPr>
          <w:noProof/>
        </w:rPr>
        <w:t>.</w:t>
      </w:r>
      <w:r w:rsidRPr="000B3EEC">
        <w:rPr>
          <w:noProof/>
        </w:rPr>
        <w:t>, Humayun</w:t>
      </w:r>
      <w:r>
        <w:rPr>
          <w:noProof/>
        </w:rPr>
        <w:t>,</w:t>
      </w:r>
      <w:r w:rsidRPr="000B3EEC">
        <w:rPr>
          <w:noProof/>
        </w:rPr>
        <w:t xml:space="preserve"> A</w:t>
      </w:r>
      <w:r>
        <w:rPr>
          <w:noProof/>
        </w:rPr>
        <w:t>.</w:t>
      </w:r>
      <w:r w:rsidRPr="000B3EEC">
        <w:rPr>
          <w:noProof/>
        </w:rPr>
        <w:t>, Jones</w:t>
      </w:r>
      <w:r>
        <w:rPr>
          <w:noProof/>
        </w:rPr>
        <w:t>,</w:t>
      </w:r>
      <w:r w:rsidRPr="000B3EEC">
        <w:rPr>
          <w:noProof/>
        </w:rPr>
        <w:t xml:space="preserve"> L</w:t>
      </w:r>
      <w:r>
        <w:rPr>
          <w:noProof/>
        </w:rPr>
        <w:t xml:space="preserve">. </w:t>
      </w:r>
      <w:r w:rsidRPr="000B3EEC">
        <w:rPr>
          <w:noProof/>
        </w:rPr>
        <w:t>M</w:t>
      </w:r>
      <w:r>
        <w:rPr>
          <w:noProof/>
        </w:rPr>
        <w:t>.</w:t>
      </w:r>
      <w:r w:rsidRPr="000B3EEC">
        <w:rPr>
          <w:noProof/>
        </w:rPr>
        <w:t>, Kagee</w:t>
      </w:r>
      <w:r>
        <w:rPr>
          <w:noProof/>
        </w:rPr>
        <w:t>,</w:t>
      </w:r>
      <w:r w:rsidRPr="000B3EEC">
        <w:rPr>
          <w:noProof/>
        </w:rPr>
        <w:t xml:space="preserve"> A</w:t>
      </w:r>
      <w:r>
        <w:rPr>
          <w:noProof/>
        </w:rPr>
        <w:t>.</w:t>
      </w:r>
      <w:r w:rsidRPr="000B3EEC">
        <w:rPr>
          <w:noProof/>
        </w:rPr>
        <w:t>, Rousseau</w:t>
      </w:r>
      <w:r>
        <w:rPr>
          <w:noProof/>
        </w:rPr>
        <w:t>,</w:t>
      </w:r>
      <w:r w:rsidRPr="000B3EEC">
        <w:rPr>
          <w:noProof/>
        </w:rPr>
        <w:t xml:space="preserve"> C</w:t>
      </w:r>
      <w:r>
        <w:rPr>
          <w:noProof/>
        </w:rPr>
        <w:t>.</w:t>
      </w:r>
      <w:r w:rsidRPr="000B3EEC">
        <w:rPr>
          <w:noProof/>
        </w:rPr>
        <w:t>, Somasundaram</w:t>
      </w:r>
      <w:r>
        <w:rPr>
          <w:noProof/>
        </w:rPr>
        <w:t>,</w:t>
      </w:r>
      <w:r w:rsidRPr="000B3EEC">
        <w:rPr>
          <w:noProof/>
        </w:rPr>
        <w:t xml:space="preserve"> D</w:t>
      </w:r>
      <w:r>
        <w:rPr>
          <w:noProof/>
        </w:rPr>
        <w:t>.</w:t>
      </w:r>
      <w:r w:rsidRPr="000B3EEC">
        <w:rPr>
          <w:noProof/>
        </w:rPr>
        <w:t>, Suzuki</w:t>
      </w:r>
      <w:r>
        <w:rPr>
          <w:noProof/>
        </w:rPr>
        <w:t>,</w:t>
      </w:r>
      <w:r w:rsidRPr="000B3EEC">
        <w:rPr>
          <w:noProof/>
        </w:rPr>
        <w:t xml:space="preserve"> Y</w:t>
      </w:r>
      <w:r>
        <w:rPr>
          <w:noProof/>
        </w:rPr>
        <w:t>.</w:t>
      </w:r>
      <w:r w:rsidRPr="000B3EEC">
        <w:rPr>
          <w:noProof/>
        </w:rPr>
        <w:t>, Wessely</w:t>
      </w:r>
      <w:r>
        <w:rPr>
          <w:noProof/>
        </w:rPr>
        <w:t>,</w:t>
      </w:r>
      <w:r w:rsidRPr="000B3EEC">
        <w:rPr>
          <w:noProof/>
        </w:rPr>
        <w:t xml:space="preserve"> S</w:t>
      </w:r>
      <w:r>
        <w:rPr>
          <w:noProof/>
        </w:rPr>
        <w:t>.</w:t>
      </w:r>
      <w:r w:rsidRPr="000B3EEC">
        <w:rPr>
          <w:noProof/>
        </w:rPr>
        <w:t>, van Ommeren</w:t>
      </w:r>
      <w:r>
        <w:rPr>
          <w:noProof/>
        </w:rPr>
        <w:t>,</w:t>
      </w:r>
      <w:r w:rsidRPr="000B3EEC">
        <w:rPr>
          <w:noProof/>
        </w:rPr>
        <w:t xml:space="preserve"> M</w:t>
      </w:r>
      <w:r>
        <w:rPr>
          <w:noProof/>
        </w:rPr>
        <w:t>.</w:t>
      </w:r>
      <w:r w:rsidRPr="000B3EEC">
        <w:rPr>
          <w:noProof/>
        </w:rPr>
        <w:t xml:space="preserve">, </w:t>
      </w:r>
      <w:r>
        <w:rPr>
          <w:noProof/>
        </w:rPr>
        <w:t xml:space="preserve">&amp; </w:t>
      </w:r>
      <w:r w:rsidRPr="000B3EEC">
        <w:rPr>
          <w:noProof/>
        </w:rPr>
        <w:t>Reed</w:t>
      </w:r>
      <w:r>
        <w:rPr>
          <w:noProof/>
        </w:rPr>
        <w:t>,</w:t>
      </w:r>
      <w:r w:rsidRPr="000B3EEC">
        <w:rPr>
          <w:noProof/>
        </w:rPr>
        <w:t xml:space="preserve"> G</w:t>
      </w:r>
      <w:r>
        <w:rPr>
          <w:noProof/>
        </w:rPr>
        <w:t xml:space="preserve">. </w:t>
      </w:r>
      <w:r w:rsidRPr="000B3EEC">
        <w:rPr>
          <w:noProof/>
        </w:rPr>
        <w:t xml:space="preserve">M. </w:t>
      </w:r>
      <w:r>
        <w:rPr>
          <w:noProof/>
        </w:rPr>
        <w:t xml:space="preserve">(2010). </w:t>
      </w:r>
      <w:r w:rsidR="00D475B5" w:rsidRPr="000178D4">
        <w:rPr>
          <w:noProof/>
        </w:rPr>
        <w:t>A review of</w:t>
      </w:r>
      <w:r w:rsidR="00D475B5" w:rsidRPr="00D475B5">
        <w:rPr>
          <w:noProof/>
        </w:rPr>
        <w:t xml:space="preserve"> current evidence regarding the</w:t>
      </w:r>
      <w:r w:rsidR="00D475B5">
        <w:rPr>
          <w:noProof/>
        </w:rPr>
        <w:t xml:space="preserve"> I</w:t>
      </w:r>
      <w:r w:rsidR="00D475B5" w:rsidRPr="00D475B5">
        <w:rPr>
          <w:noProof/>
        </w:rPr>
        <w:t xml:space="preserve">CD-11 proposals for diagnosing PTSD and complex PTSD. </w:t>
      </w:r>
      <w:r w:rsidR="00D475B5" w:rsidRPr="00124176">
        <w:rPr>
          <w:i/>
          <w:iCs/>
          <w:noProof/>
        </w:rPr>
        <w:t>Clinical Psychology Review, 58</w:t>
      </w:r>
      <w:r w:rsidR="00D475B5">
        <w:rPr>
          <w:noProof/>
        </w:rPr>
        <w:t xml:space="preserve">, </w:t>
      </w:r>
      <w:r w:rsidR="00D475B5" w:rsidRPr="00D475B5">
        <w:rPr>
          <w:noProof/>
        </w:rPr>
        <w:t xml:space="preserve">1–5. </w:t>
      </w:r>
      <w:r w:rsidR="00A108E0">
        <w:rPr>
          <w:noProof/>
        </w:rPr>
        <w:t>doi:</w:t>
      </w:r>
      <w:r w:rsidR="00D475B5" w:rsidRPr="00D475B5">
        <w:rPr>
          <w:noProof/>
        </w:rPr>
        <w:t>10.1016/j.cpr.2017.09.00</w:t>
      </w:r>
    </w:p>
    <w:p w14:paraId="0C6F02FB" w14:textId="48EBFED6" w:rsidR="00CF18E2" w:rsidRDefault="00CF18E2" w:rsidP="00CF18E2">
      <w:pPr>
        <w:spacing w:line="276" w:lineRule="auto"/>
        <w:ind w:left="851" w:hanging="851"/>
        <w:rPr>
          <w:noProof/>
          <w:color w:val="000000"/>
        </w:rPr>
      </w:pPr>
      <w:r w:rsidRPr="001D7AFC">
        <w:rPr>
          <w:noProof/>
          <w:color w:val="000000"/>
        </w:rPr>
        <w:t>Chantal</w:t>
      </w:r>
      <w:r>
        <w:rPr>
          <w:noProof/>
          <w:color w:val="000000"/>
        </w:rPr>
        <w:t>,</w:t>
      </w:r>
      <w:r w:rsidRPr="001D7AFC">
        <w:rPr>
          <w:noProof/>
          <w:color w:val="000000"/>
        </w:rPr>
        <w:t xml:space="preserve"> Y</w:t>
      </w:r>
      <w:r>
        <w:rPr>
          <w:noProof/>
          <w:color w:val="000000"/>
        </w:rPr>
        <w:t>.</w:t>
      </w:r>
      <w:r w:rsidRPr="001D7AFC">
        <w:rPr>
          <w:noProof/>
          <w:color w:val="000000"/>
        </w:rPr>
        <w:t>, Vallerand</w:t>
      </w:r>
      <w:r>
        <w:rPr>
          <w:noProof/>
          <w:color w:val="000000"/>
        </w:rPr>
        <w:t>,</w:t>
      </w:r>
      <w:r w:rsidRPr="001D7AFC">
        <w:rPr>
          <w:noProof/>
          <w:color w:val="000000"/>
        </w:rPr>
        <w:t xml:space="preserve"> R</w:t>
      </w:r>
      <w:r>
        <w:rPr>
          <w:noProof/>
          <w:color w:val="000000"/>
        </w:rPr>
        <w:t>.</w:t>
      </w:r>
      <w:r w:rsidRPr="001D7AFC">
        <w:rPr>
          <w:noProof/>
          <w:color w:val="000000"/>
        </w:rPr>
        <w:t>J</w:t>
      </w:r>
      <w:r>
        <w:rPr>
          <w:noProof/>
          <w:color w:val="000000"/>
        </w:rPr>
        <w:t>.</w:t>
      </w:r>
      <w:r w:rsidRPr="001D7AFC">
        <w:rPr>
          <w:noProof/>
          <w:color w:val="000000"/>
        </w:rPr>
        <w:t>, &amp; Vallieres</w:t>
      </w:r>
      <w:r>
        <w:rPr>
          <w:noProof/>
          <w:color w:val="000000"/>
        </w:rPr>
        <w:t>,</w:t>
      </w:r>
      <w:r w:rsidRPr="001D7AFC">
        <w:rPr>
          <w:noProof/>
          <w:color w:val="000000"/>
        </w:rPr>
        <w:t xml:space="preserve"> E</w:t>
      </w:r>
      <w:r>
        <w:rPr>
          <w:noProof/>
          <w:color w:val="000000"/>
        </w:rPr>
        <w:t>.</w:t>
      </w:r>
      <w:r w:rsidRPr="001D7AFC">
        <w:rPr>
          <w:noProof/>
          <w:color w:val="000000"/>
        </w:rPr>
        <w:t xml:space="preserve">F. </w:t>
      </w:r>
      <w:r>
        <w:rPr>
          <w:noProof/>
          <w:color w:val="000000"/>
        </w:rPr>
        <w:t xml:space="preserve">(1994). </w:t>
      </w:r>
      <w:r w:rsidRPr="001D7AFC">
        <w:rPr>
          <w:noProof/>
          <w:color w:val="000000"/>
        </w:rPr>
        <w:t xml:space="preserve">Assessing motivation to gamble: On the development and validation of the Gambling Motivation Scale. </w:t>
      </w:r>
      <w:r w:rsidRPr="000976CE">
        <w:rPr>
          <w:i/>
          <w:iCs/>
          <w:noProof/>
          <w:color w:val="000000"/>
        </w:rPr>
        <w:t>Loisir et Société / Society and Leisure, 17</w:t>
      </w:r>
      <w:r w:rsidRPr="001D7AFC">
        <w:rPr>
          <w:noProof/>
          <w:color w:val="000000"/>
        </w:rPr>
        <w:t xml:space="preserve">, 189–212. </w:t>
      </w:r>
      <w:r w:rsidRPr="001D7AFC">
        <w:rPr>
          <w:noProof/>
        </w:rPr>
        <w:t>doi: 10.1080/07053436.1994.10715471</w:t>
      </w:r>
    </w:p>
    <w:p w14:paraId="285A794E" w14:textId="209C2B5D" w:rsidR="00CF18E2" w:rsidRDefault="00CF18E2" w:rsidP="00CF18E2">
      <w:pPr>
        <w:spacing w:line="276" w:lineRule="auto"/>
        <w:ind w:left="851" w:hanging="851"/>
        <w:rPr>
          <w:noProof/>
          <w:color w:val="000000"/>
        </w:rPr>
      </w:pPr>
      <w:r w:rsidRPr="001D7AFC">
        <w:rPr>
          <w:noProof/>
          <w:color w:val="000000"/>
        </w:rPr>
        <w:t>Cloitre</w:t>
      </w:r>
      <w:r>
        <w:rPr>
          <w:noProof/>
          <w:color w:val="000000"/>
        </w:rPr>
        <w:t>,</w:t>
      </w:r>
      <w:r w:rsidRPr="001D7AFC">
        <w:rPr>
          <w:noProof/>
          <w:color w:val="000000"/>
        </w:rPr>
        <w:t xml:space="preserve"> M</w:t>
      </w:r>
      <w:r>
        <w:rPr>
          <w:noProof/>
          <w:color w:val="000000"/>
        </w:rPr>
        <w:t>.</w:t>
      </w:r>
      <w:r w:rsidRPr="001D7AFC">
        <w:rPr>
          <w:noProof/>
          <w:color w:val="000000"/>
        </w:rPr>
        <w:t>, Shevlin</w:t>
      </w:r>
      <w:r>
        <w:rPr>
          <w:noProof/>
          <w:color w:val="000000"/>
        </w:rPr>
        <w:t>,</w:t>
      </w:r>
      <w:r w:rsidRPr="001D7AFC">
        <w:rPr>
          <w:noProof/>
          <w:color w:val="000000"/>
        </w:rPr>
        <w:t xml:space="preserve"> M</w:t>
      </w:r>
      <w:r>
        <w:rPr>
          <w:noProof/>
          <w:color w:val="000000"/>
        </w:rPr>
        <w:t>.</w:t>
      </w:r>
      <w:r w:rsidRPr="001D7AFC">
        <w:rPr>
          <w:noProof/>
          <w:color w:val="000000"/>
        </w:rPr>
        <w:t>, Brewin</w:t>
      </w:r>
      <w:r>
        <w:rPr>
          <w:noProof/>
          <w:color w:val="000000"/>
        </w:rPr>
        <w:t>,</w:t>
      </w:r>
      <w:r w:rsidRPr="001D7AFC">
        <w:rPr>
          <w:noProof/>
          <w:color w:val="000000"/>
        </w:rPr>
        <w:t xml:space="preserve"> C</w:t>
      </w:r>
      <w:r>
        <w:rPr>
          <w:noProof/>
          <w:color w:val="000000"/>
        </w:rPr>
        <w:t>.</w:t>
      </w:r>
      <w:r w:rsidRPr="001D7AFC">
        <w:rPr>
          <w:noProof/>
          <w:color w:val="000000"/>
        </w:rPr>
        <w:t>R</w:t>
      </w:r>
      <w:r>
        <w:rPr>
          <w:noProof/>
          <w:color w:val="000000"/>
        </w:rPr>
        <w:t>.</w:t>
      </w:r>
      <w:r w:rsidRPr="001D7AFC">
        <w:rPr>
          <w:noProof/>
          <w:color w:val="000000"/>
        </w:rPr>
        <w:t>, Bisson</w:t>
      </w:r>
      <w:r>
        <w:rPr>
          <w:noProof/>
          <w:color w:val="000000"/>
        </w:rPr>
        <w:t>,</w:t>
      </w:r>
      <w:r w:rsidRPr="001D7AFC">
        <w:rPr>
          <w:noProof/>
          <w:color w:val="000000"/>
        </w:rPr>
        <w:t xml:space="preserve"> J</w:t>
      </w:r>
      <w:r>
        <w:rPr>
          <w:noProof/>
          <w:color w:val="000000"/>
        </w:rPr>
        <w:t>.</w:t>
      </w:r>
      <w:r w:rsidRPr="001D7AFC">
        <w:rPr>
          <w:noProof/>
          <w:color w:val="000000"/>
        </w:rPr>
        <w:t>I</w:t>
      </w:r>
      <w:r>
        <w:rPr>
          <w:noProof/>
          <w:color w:val="000000"/>
        </w:rPr>
        <w:t>.</w:t>
      </w:r>
      <w:r w:rsidRPr="001D7AFC">
        <w:rPr>
          <w:noProof/>
          <w:color w:val="000000"/>
        </w:rPr>
        <w:t>, Roberts</w:t>
      </w:r>
      <w:r>
        <w:rPr>
          <w:noProof/>
          <w:color w:val="000000"/>
        </w:rPr>
        <w:t>,</w:t>
      </w:r>
      <w:r w:rsidRPr="001D7AFC">
        <w:rPr>
          <w:noProof/>
          <w:color w:val="000000"/>
        </w:rPr>
        <w:t xml:space="preserve"> N</w:t>
      </w:r>
      <w:r>
        <w:rPr>
          <w:noProof/>
          <w:color w:val="000000"/>
        </w:rPr>
        <w:t>.</w:t>
      </w:r>
      <w:r w:rsidRPr="001D7AFC">
        <w:rPr>
          <w:noProof/>
          <w:color w:val="000000"/>
        </w:rPr>
        <w:t>P</w:t>
      </w:r>
      <w:r>
        <w:rPr>
          <w:noProof/>
          <w:color w:val="000000"/>
        </w:rPr>
        <w:t>.</w:t>
      </w:r>
      <w:r w:rsidRPr="001D7AFC">
        <w:rPr>
          <w:noProof/>
          <w:color w:val="000000"/>
        </w:rPr>
        <w:t>, Maercker</w:t>
      </w:r>
      <w:r>
        <w:rPr>
          <w:noProof/>
          <w:color w:val="000000"/>
        </w:rPr>
        <w:t>,</w:t>
      </w:r>
      <w:r w:rsidRPr="001D7AFC">
        <w:rPr>
          <w:noProof/>
          <w:color w:val="000000"/>
        </w:rPr>
        <w:t xml:space="preserve"> A</w:t>
      </w:r>
      <w:r>
        <w:rPr>
          <w:noProof/>
          <w:color w:val="000000"/>
        </w:rPr>
        <w:t>.,</w:t>
      </w:r>
      <w:r w:rsidRPr="001D7AFC">
        <w:rPr>
          <w:noProof/>
          <w:color w:val="000000"/>
        </w:rPr>
        <w:t xml:space="preserve"> </w:t>
      </w:r>
      <w:r w:rsidRPr="004C5CFB">
        <w:rPr>
          <w:noProof/>
          <w:color w:val="000000"/>
        </w:rPr>
        <w:t>Karatzias</w:t>
      </w:r>
      <w:r>
        <w:rPr>
          <w:noProof/>
          <w:color w:val="000000"/>
        </w:rPr>
        <w:t>,</w:t>
      </w:r>
      <w:r w:rsidRPr="004C5CFB">
        <w:rPr>
          <w:noProof/>
          <w:color w:val="000000"/>
        </w:rPr>
        <w:t xml:space="preserve"> T</w:t>
      </w:r>
      <w:r>
        <w:rPr>
          <w:noProof/>
          <w:color w:val="000000"/>
        </w:rPr>
        <w:t>.</w:t>
      </w:r>
      <w:r w:rsidRPr="004C5CFB">
        <w:rPr>
          <w:noProof/>
          <w:color w:val="000000"/>
        </w:rPr>
        <w:t xml:space="preserve">, </w:t>
      </w:r>
      <w:r>
        <w:rPr>
          <w:noProof/>
          <w:color w:val="000000"/>
        </w:rPr>
        <w:t xml:space="preserve">&amp; </w:t>
      </w:r>
      <w:r w:rsidRPr="004C5CFB">
        <w:rPr>
          <w:noProof/>
          <w:color w:val="000000"/>
        </w:rPr>
        <w:t>Hyland</w:t>
      </w:r>
      <w:r>
        <w:rPr>
          <w:noProof/>
          <w:color w:val="000000"/>
        </w:rPr>
        <w:t>,</w:t>
      </w:r>
      <w:r w:rsidRPr="004C5CFB">
        <w:rPr>
          <w:noProof/>
          <w:color w:val="000000"/>
        </w:rPr>
        <w:t xml:space="preserve"> P.</w:t>
      </w:r>
      <w:r>
        <w:rPr>
          <w:noProof/>
          <w:color w:val="000000"/>
        </w:rPr>
        <w:t xml:space="preserve"> (2018). </w:t>
      </w:r>
      <w:r w:rsidRPr="001D7AFC">
        <w:rPr>
          <w:noProof/>
          <w:color w:val="000000"/>
        </w:rPr>
        <w:t xml:space="preserve">The International Trauma Questionnaire: Development of a self‐report measure of ICD‐11 PTSD and complex PTSD. </w:t>
      </w:r>
      <w:r w:rsidRPr="004C5CFB">
        <w:rPr>
          <w:i/>
          <w:iCs/>
          <w:noProof/>
          <w:color w:val="000000"/>
        </w:rPr>
        <w:t>Acta Psychiatrica Scandinavica, 138</w:t>
      </w:r>
      <w:r w:rsidRPr="001D7AFC">
        <w:rPr>
          <w:noProof/>
          <w:color w:val="000000"/>
        </w:rPr>
        <w:t>(6)</w:t>
      </w:r>
      <w:r>
        <w:rPr>
          <w:noProof/>
          <w:color w:val="000000"/>
        </w:rPr>
        <w:t xml:space="preserve">, </w:t>
      </w:r>
      <w:r w:rsidRPr="001D7AFC">
        <w:rPr>
          <w:noProof/>
          <w:color w:val="000000"/>
        </w:rPr>
        <w:t xml:space="preserve">536-546. </w:t>
      </w:r>
      <w:r w:rsidRPr="001D7AFC">
        <w:rPr>
          <w:noProof/>
        </w:rPr>
        <w:t>doi: 10.1111/acps.12956</w:t>
      </w:r>
    </w:p>
    <w:p w14:paraId="53DE4C4F" w14:textId="22385D89" w:rsidR="00CF18E2" w:rsidRDefault="00CF18E2" w:rsidP="00CF18E2">
      <w:pPr>
        <w:spacing w:line="276" w:lineRule="auto"/>
        <w:ind w:left="851" w:hanging="851"/>
        <w:rPr>
          <w:noProof/>
          <w:color w:val="000000"/>
        </w:rPr>
      </w:pPr>
      <w:r w:rsidRPr="001D7AFC">
        <w:rPr>
          <w:noProof/>
          <w:color w:val="000000"/>
        </w:rPr>
        <w:lastRenderedPageBreak/>
        <w:t>Cowlishaw</w:t>
      </w:r>
      <w:r>
        <w:rPr>
          <w:noProof/>
          <w:color w:val="000000"/>
        </w:rPr>
        <w:t>,</w:t>
      </w:r>
      <w:r w:rsidRPr="001D7AFC">
        <w:rPr>
          <w:noProof/>
          <w:color w:val="000000"/>
        </w:rPr>
        <w:t xml:space="preserve"> S</w:t>
      </w:r>
      <w:r>
        <w:rPr>
          <w:noProof/>
          <w:color w:val="000000"/>
        </w:rPr>
        <w:t>.</w:t>
      </w:r>
      <w:r w:rsidRPr="001D7AFC">
        <w:rPr>
          <w:noProof/>
          <w:color w:val="000000"/>
        </w:rPr>
        <w:t>, Metcalf</w:t>
      </w:r>
      <w:r>
        <w:rPr>
          <w:noProof/>
          <w:color w:val="000000"/>
        </w:rPr>
        <w:t>,</w:t>
      </w:r>
      <w:r w:rsidRPr="001D7AFC">
        <w:rPr>
          <w:noProof/>
          <w:color w:val="000000"/>
        </w:rPr>
        <w:t xml:space="preserve"> O</w:t>
      </w:r>
      <w:r>
        <w:rPr>
          <w:noProof/>
          <w:color w:val="000000"/>
        </w:rPr>
        <w:t>.</w:t>
      </w:r>
      <w:r w:rsidRPr="001D7AFC">
        <w:rPr>
          <w:noProof/>
          <w:color w:val="000000"/>
        </w:rPr>
        <w:t>, Lawrence-Wood</w:t>
      </w:r>
      <w:r>
        <w:rPr>
          <w:noProof/>
          <w:color w:val="000000"/>
        </w:rPr>
        <w:t>,</w:t>
      </w:r>
      <w:r w:rsidRPr="001D7AFC">
        <w:rPr>
          <w:noProof/>
          <w:color w:val="000000"/>
        </w:rPr>
        <w:t xml:space="preserve"> E</w:t>
      </w:r>
      <w:r>
        <w:rPr>
          <w:noProof/>
          <w:color w:val="000000"/>
        </w:rPr>
        <w:t>.</w:t>
      </w:r>
      <w:r w:rsidRPr="001D7AFC">
        <w:rPr>
          <w:noProof/>
          <w:color w:val="000000"/>
        </w:rPr>
        <w:t>, Little</w:t>
      </w:r>
      <w:r>
        <w:rPr>
          <w:noProof/>
          <w:color w:val="000000"/>
        </w:rPr>
        <w:t>,</w:t>
      </w:r>
      <w:r w:rsidRPr="001D7AFC">
        <w:rPr>
          <w:noProof/>
          <w:color w:val="000000"/>
        </w:rPr>
        <w:t xml:space="preserve"> J</w:t>
      </w:r>
      <w:r>
        <w:rPr>
          <w:noProof/>
          <w:color w:val="000000"/>
        </w:rPr>
        <w:t>.</w:t>
      </w:r>
      <w:r w:rsidRPr="001D7AFC">
        <w:rPr>
          <w:noProof/>
          <w:color w:val="000000"/>
        </w:rPr>
        <w:t>, Sbisa</w:t>
      </w:r>
      <w:r>
        <w:rPr>
          <w:noProof/>
          <w:color w:val="000000"/>
        </w:rPr>
        <w:t>,</w:t>
      </w:r>
      <w:r w:rsidRPr="001D7AFC">
        <w:rPr>
          <w:noProof/>
          <w:color w:val="000000"/>
        </w:rPr>
        <w:t xml:space="preserve"> A</w:t>
      </w:r>
      <w:r>
        <w:rPr>
          <w:noProof/>
          <w:color w:val="000000"/>
        </w:rPr>
        <w:t>.</w:t>
      </w:r>
      <w:r w:rsidRPr="001D7AFC">
        <w:rPr>
          <w:noProof/>
          <w:color w:val="000000"/>
        </w:rPr>
        <w:t>, Deans</w:t>
      </w:r>
      <w:r>
        <w:rPr>
          <w:noProof/>
          <w:color w:val="000000"/>
        </w:rPr>
        <w:t>,</w:t>
      </w:r>
      <w:r w:rsidRPr="001D7AFC">
        <w:rPr>
          <w:noProof/>
          <w:color w:val="000000"/>
        </w:rPr>
        <w:t xml:space="preserve"> C</w:t>
      </w:r>
      <w:r>
        <w:rPr>
          <w:noProof/>
          <w:color w:val="000000"/>
        </w:rPr>
        <w:t>.</w:t>
      </w:r>
      <w:r w:rsidRPr="001D7AFC">
        <w:rPr>
          <w:noProof/>
          <w:color w:val="000000"/>
        </w:rPr>
        <w:t xml:space="preserve">, </w:t>
      </w:r>
      <w:r w:rsidRPr="00691301">
        <w:rPr>
          <w:noProof/>
          <w:color w:val="000000"/>
        </w:rPr>
        <w:t>O'Donnell</w:t>
      </w:r>
      <w:r>
        <w:rPr>
          <w:noProof/>
          <w:color w:val="000000"/>
        </w:rPr>
        <w:t>,</w:t>
      </w:r>
      <w:r w:rsidRPr="00691301">
        <w:rPr>
          <w:noProof/>
          <w:color w:val="000000"/>
        </w:rPr>
        <w:t xml:space="preserve"> M</w:t>
      </w:r>
      <w:r>
        <w:rPr>
          <w:noProof/>
          <w:color w:val="000000"/>
        </w:rPr>
        <w:t>.</w:t>
      </w:r>
      <w:r w:rsidRPr="00691301">
        <w:rPr>
          <w:noProof/>
          <w:color w:val="000000"/>
        </w:rPr>
        <w:t>, Sadler</w:t>
      </w:r>
      <w:r>
        <w:rPr>
          <w:noProof/>
          <w:color w:val="000000"/>
        </w:rPr>
        <w:t>,</w:t>
      </w:r>
      <w:r w:rsidRPr="00691301">
        <w:rPr>
          <w:noProof/>
          <w:color w:val="000000"/>
        </w:rPr>
        <w:t xml:space="preserve"> N</w:t>
      </w:r>
      <w:r>
        <w:rPr>
          <w:noProof/>
          <w:color w:val="000000"/>
        </w:rPr>
        <w:t>.</w:t>
      </w:r>
      <w:r w:rsidRPr="00691301">
        <w:rPr>
          <w:noProof/>
          <w:color w:val="000000"/>
        </w:rPr>
        <w:t>, Van Hooff</w:t>
      </w:r>
      <w:r>
        <w:rPr>
          <w:noProof/>
          <w:color w:val="000000"/>
        </w:rPr>
        <w:t>,</w:t>
      </w:r>
      <w:r w:rsidRPr="00691301">
        <w:rPr>
          <w:noProof/>
          <w:color w:val="000000"/>
        </w:rPr>
        <w:t xml:space="preserve"> M</w:t>
      </w:r>
      <w:r>
        <w:rPr>
          <w:noProof/>
          <w:color w:val="000000"/>
        </w:rPr>
        <w:t>.</w:t>
      </w:r>
      <w:r w:rsidRPr="00691301">
        <w:rPr>
          <w:noProof/>
          <w:color w:val="000000"/>
        </w:rPr>
        <w:t>, Crozier</w:t>
      </w:r>
      <w:r>
        <w:rPr>
          <w:noProof/>
          <w:color w:val="000000"/>
        </w:rPr>
        <w:t>,</w:t>
      </w:r>
      <w:r w:rsidRPr="00691301">
        <w:rPr>
          <w:noProof/>
          <w:color w:val="000000"/>
        </w:rPr>
        <w:t xml:space="preserve"> M</w:t>
      </w:r>
      <w:r>
        <w:rPr>
          <w:noProof/>
          <w:color w:val="000000"/>
        </w:rPr>
        <w:t>.</w:t>
      </w:r>
      <w:r w:rsidRPr="00691301">
        <w:rPr>
          <w:noProof/>
          <w:color w:val="000000"/>
        </w:rPr>
        <w:t>, Battersby</w:t>
      </w:r>
      <w:r>
        <w:rPr>
          <w:noProof/>
          <w:color w:val="000000"/>
        </w:rPr>
        <w:t>,</w:t>
      </w:r>
      <w:r w:rsidRPr="00691301">
        <w:rPr>
          <w:noProof/>
          <w:color w:val="000000"/>
        </w:rPr>
        <w:t xml:space="preserve"> M</w:t>
      </w:r>
      <w:r>
        <w:rPr>
          <w:noProof/>
          <w:color w:val="000000"/>
        </w:rPr>
        <w:t>.</w:t>
      </w:r>
      <w:r w:rsidRPr="00691301">
        <w:rPr>
          <w:noProof/>
          <w:color w:val="000000"/>
        </w:rPr>
        <w:t>, Forbes</w:t>
      </w:r>
      <w:r>
        <w:rPr>
          <w:noProof/>
          <w:color w:val="000000"/>
        </w:rPr>
        <w:t>,</w:t>
      </w:r>
      <w:r w:rsidRPr="00691301">
        <w:rPr>
          <w:noProof/>
          <w:color w:val="000000"/>
        </w:rPr>
        <w:t xml:space="preserve"> D</w:t>
      </w:r>
      <w:r>
        <w:rPr>
          <w:noProof/>
          <w:color w:val="000000"/>
        </w:rPr>
        <w:t>.</w:t>
      </w:r>
      <w:r w:rsidRPr="00691301">
        <w:rPr>
          <w:noProof/>
          <w:color w:val="000000"/>
        </w:rPr>
        <w:t xml:space="preserve">, </w:t>
      </w:r>
      <w:r>
        <w:rPr>
          <w:noProof/>
          <w:color w:val="000000"/>
        </w:rPr>
        <w:t xml:space="preserve">&amp; </w:t>
      </w:r>
      <w:r w:rsidRPr="00691301">
        <w:rPr>
          <w:noProof/>
          <w:color w:val="000000"/>
        </w:rPr>
        <w:t>McFarlane</w:t>
      </w:r>
      <w:r>
        <w:rPr>
          <w:noProof/>
          <w:color w:val="000000"/>
        </w:rPr>
        <w:t>,</w:t>
      </w:r>
      <w:r w:rsidRPr="00691301">
        <w:rPr>
          <w:noProof/>
          <w:color w:val="000000"/>
        </w:rPr>
        <w:t xml:space="preserve"> A</w:t>
      </w:r>
      <w:r>
        <w:rPr>
          <w:noProof/>
          <w:color w:val="000000"/>
        </w:rPr>
        <w:t>.</w:t>
      </w:r>
      <w:r w:rsidRPr="00691301">
        <w:rPr>
          <w:noProof/>
          <w:color w:val="000000"/>
        </w:rPr>
        <w:t>C</w:t>
      </w:r>
      <w:r>
        <w:rPr>
          <w:noProof/>
          <w:color w:val="000000"/>
        </w:rPr>
        <w:t xml:space="preserve">. (2020). </w:t>
      </w:r>
      <w:r w:rsidRPr="001D7AFC">
        <w:rPr>
          <w:noProof/>
          <w:color w:val="000000"/>
        </w:rPr>
        <w:t xml:space="preserve">Gambling problems among military personnel after deployment. </w:t>
      </w:r>
      <w:r w:rsidRPr="009F0B18">
        <w:rPr>
          <w:i/>
          <w:iCs/>
          <w:noProof/>
          <w:color w:val="000000"/>
        </w:rPr>
        <w:t>Journal of Psychiatric Research, 131</w:t>
      </w:r>
      <w:r>
        <w:rPr>
          <w:noProof/>
          <w:color w:val="000000"/>
        </w:rPr>
        <w:t xml:space="preserve">, </w:t>
      </w:r>
      <w:r w:rsidRPr="001D7AFC">
        <w:rPr>
          <w:noProof/>
          <w:color w:val="000000"/>
        </w:rPr>
        <w:t xml:space="preserve">47-53. </w:t>
      </w:r>
      <w:r w:rsidRPr="001D7AFC">
        <w:rPr>
          <w:noProof/>
        </w:rPr>
        <w:t>doi: 10.1016/j.jpsychires.2020.07.035</w:t>
      </w:r>
    </w:p>
    <w:p w14:paraId="4C2F15A7" w14:textId="077FBE39" w:rsidR="00CF18E2" w:rsidRPr="00A2430F" w:rsidRDefault="00CF18E2" w:rsidP="00306129">
      <w:pPr>
        <w:spacing w:line="276" w:lineRule="auto"/>
        <w:ind w:left="851" w:hanging="851"/>
        <w:rPr>
          <w:noProof/>
          <w:color w:val="000000"/>
        </w:rPr>
      </w:pPr>
      <w:r w:rsidRPr="001D7AFC">
        <w:rPr>
          <w:noProof/>
          <w:color w:val="000000"/>
        </w:rPr>
        <w:t>Davis</w:t>
      </w:r>
      <w:r>
        <w:rPr>
          <w:noProof/>
          <w:color w:val="000000"/>
        </w:rPr>
        <w:t>,</w:t>
      </w:r>
      <w:r w:rsidRPr="001D7AFC">
        <w:rPr>
          <w:noProof/>
          <w:color w:val="000000"/>
        </w:rPr>
        <w:t xml:space="preserve"> A</w:t>
      </w:r>
      <w:r>
        <w:rPr>
          <w:noProof/>
          <w:color w:val="000000"/>
        </w:rPr>
        <w:t>.</w:t>
      </w:r>
      <w:r w:rsidRPr="001D7AFC">
        <w:rPr>
          <w:noProof/>
          <w:color w:val="000000"/>
        </w:rPr>
        <w:t>K</w:t>
      </w:r>
      <w:r>
        <w:rPr>
          <w:noProof/>
          <w:color w:val="000000"/>
        </w:rPr>
        <w:t>.</w:t>
      </w:r>
      <w:r w:rsidRPr="001D7AFC">
        <w:rPr>
          <w:noProof/>
          <w:color w:val="000000"/>
        </w:rPr>
        <w:t>, Bonar</w:t>
      </w:r>
      <w:r>
        <w:rPr>
          <w:noProof/>
          <w:color w:val="000000"/>
        </w:rPr>
        <w:t>,</w:t>
      </w:r>
      <w:r w:rsidRPr="001D7AFC">
        <w:rPr>
          <w:noProof/>
          <w:color w:val="000000"/>
        </w:rPr>
        <w:t xml:space="preserve"> E</w:t>
      </w:r>
      <w:r>
        <w:rPr>
          <w:noProof/>
          <w:color w:val="000000"/>
        </w:rPr>
        <w:t>.</w:t>
      </w:r>
      <w:r w:rsidRPr="001D7AFC">
        <w:rPr>
          <w:noProof/>
          <w:color w:val="000000"/>
        </w:rPr>
        <w:t>E</w:t>
      </w:r>
      <w:r>
        <w:rPr>
          <w:noProof/>
          <w:color w:val="000000"/>
        </w:rPr>
        <w:t>.</w:t>
      </w:r>
      <w:r w:rsidRPr="001D7AFC">
        <w:rPr>
          <w:noProof/>
          <w:color w:val="000000"/>
        </w:rPr>
        <w:t>, Goldstick</w:t>
      </w:r>
      <w:r>
        <w:rPr>
          <w:noProof/>
          <w:color w:val="000000"/>
        </w:rPr>
        <w:t>,</w:t>
      </w:r>
      <w:r w:rsidRPr="001D7AFC">
        <w:rPr>
          <w:noProof/>
          <w:color w:val="000000"/>
        </w:rPr>
        <w:t xml:space="preserve"> J</w:t>
      </w:r>
      <w:r>
        <w:rPr>
          <w:noProof/>
          <w:color w:val="000000"/>
        </w:rPr>
        <w:t>.</w:t>
      </w:r>
      <w:r w:rsidRPr="001D7AFC">
        <w:rPr>
          <w:noProof/>
          <w:color w:val="000000"/>
        </w:rPr>
        <w:t>E</w:t>
      </w:r>
      <w:r>
        <w:rPr>
          <w:noProof/>
          <w:color w:val="000000"/>
        </w:rPr>
        <w:t>.</w:t>
      </w:r>
      <w:r w:rsidRPr="001D7AFC">
        <w:rPr>
          <w:noProof/>
          <w:color w:val="000000"/>
        </w:rPr>
        <w:t>, Walton</w:t>
      </w:r>
      <w:r>
        <w:rPr>
          <w:noProof/>
          <w:color w:val="000000"/>
        </w:rPr>
        <w:t>,</w:t>
      </w:r>
      <w:r w:rsidRPr="001D7AFC">
        <w:rPr>
          <w:noProof/>
          <w:color w:val="000000"/>
        </w:rPr>
        <w:t xml:space="preserve"> M</w:t>
      </w:r>
      <w:r>
        <w:rPr>
          <w:noProof/>
          <w:color w:val="000000"/>
        </w:rPr>
        <w:t>.</w:t>
      </w:r>
      <w:r w:rsidRPr="001D7AFC">
        <w:rPr>
          <w:noProof/>
          <w:color w:val="000000"/>
        </w:rPr>
        <w:t>A</w:t>
      </w:r>
      <w:r>
        <w:rPr>
          <w:noProof/>
          <w:color w:val="000000"/>
        </w:rPr>
        <w:t>.</w:t>
      </w:r>
      <w:r w:rsidRPr="001D7AFC">
        <w:rPr>
          <w:noProof/>
          <w:color w:val="000000"/>
        </w:rPr>
        <w:t>, Winters</w:t>
      </w:r>
      <w:r>
        <w:rPr>
          <w:noProof/>
          <w:color w:val="000000"/>
        </w:rPr>
        <w:t>,</w:t>
      </w:r>
      <w:r w:rsidRPr="001D7AFC">
        <w:rPr>
          <w:noProof/>
          <w:color w:val="000000"/>
        </w:rPr>
        <w:t xml:space="preserve"> J</w:t>
      </w:r>
      <w:r>
        <w:rPr>
          <w:noProof/>
          <w:color w:val="000000"/>
        </w:rPr>
        <w:t>.</w:t>
      </w:r>
      <w:r w:rsidRPr="001D7AFC">
        <w:rPr>
          <w:noProof/>
          <w:color w:val="000000"/>
        </w:rPr>
        <w:t>, &amp; Chermack</w:t>
      </w:r>
      <w:r>
        <w:rPr>
          <w:noProof/>
          <w:color w:val="000000"/>
        </w:rPr>
        <w:t>,</w:t>
      </w:r>
      <w:r w:rsidRPr="001D7AFC">
        <w:rPr>
          <w:noProof/>
          <w:color w:val="000000"/>
        </w:rPr>
        <w:t xml:space="preserve"> S</w:t>
      </w:r>
      <w:r>
        <w:rPr>
          <w:noProof/>
          <w:color w:val="000000"/>
        </w:rPr>
        <w:t>.</w:t>
      </w:r>
      <w:r w:rsidRPr="001D7AFC">
        <w:rPr>
          <w:noProof/>
          <w:color w:val="000000"/>
        </w:rPr>
        <w:t>T.</w:t>
      </w:r>
      <w:r>
        <w:rPr>
          <w:noProof/>
          <w:color w:val="000000"/>
        </w:rPr>
        <w:t xml:space="preserve"> (2017).</w:t>
      </w:r>
      <w:r w:rsidRPr="001D7AFC">
        <w:rPr>
          <w:noProof/>
          <w:color w:val="000000"/>
        </w:rPr>
        <w:t xml:space="preserve"> Binge-drinking and non-partner aggression are associated with gambling among veterans with recent substance use in VA outpatient treatment. </w:t>
      </w:r>
      <w:r w:rsidRPr="009966A4">
        <w:rPr>
          <w:i/>
          <w:iCs/>
          <w:noProof/>
          <w:color w:val="000000"/>
        </w:rPr>
        <w:t>Addictive Behaviour, 74</w:t>
      </w:r>
      <w:r>
        <w:rPr>
          <w:noProof/>
          <w:color w:val="000000"/>
        </w:rPr>
        <w:t xml:space="preserve">, </w:t>
      </w:r>
      <w:r w:rsidRPr="001D7AFC">
        <w:rPr>
          <w:noProof/>
          <w:color w:val="000000"/>
        </w:rPr>
        <w:t xml:space="preserve">27-32. </w:t>
      </w:r>
      <w:r w:rsidRPr="001D7AFC">
        <w:rPr>
          <w:noProof/>
        </w:rPr>
        <w:t>doi: 10.1016/j.addbeh.2017.05.022</w:t>
      </w:r>
    </w:p>
    <w:p w14:paraId="5752F61C" w14:textId="676926EF" w:rsidR="00CF18E2" w:rsidRDefault="00CF18E2" w:rsidP="00CF18E2">
      <w:pPr>
        <w:spacing w:line="276" w:lineRule="auto"/>
        <w:ind w:left="851" w:hanging="851"/>
        <w:rPr>
          <w:noProof/>
          <w:color w:val="000000"/>
        </w:rPr>
      </w:pPr>
      <w:r w:rsidRPr="001D7AFC">
        <w:rPr>
          <w:noProof/>
          <w:color w:val="000000"/>
        </w:rPr>
        <w:t>Dighton</w:t>
      </w:r>
      <w:r>
        <w:rPr>
          <w:noProof/>
          <w:color w:val="000000"/>
        </w:rPr>
        <w:t>,</w:t>
      </w:r>
      <w:r w:rsidRPr="001D7AFC">
        <w:rPr>
          <w:noProof/>
          <w:color w:val="000000"/>
        </w:rPr>
        <w:t xml:space="preserve"> G</w:t>
      </w:r>
      <w:r>
        <w:rPr>
          <w:noProof/>
          <w:color w:val="000000"/>
        </w:rPr>
        <w:t>.</w:t>
      </w:r>
      <w:r w:rsidRPr="001D7AFC">
        <w:rPr>
          <w:noProof/>
          <w:color w:val="000000"/>
        </w:rPr>
        <w:t>, Roberts</w:t>
      </w:r>
      <w:r>
        <w:rPr>
          <w:noProof/>
          <w:color w:val="000000"/>
        </w:rPr>
        <w:t>,</w:t>
      </w:r>
      <w:r w:rsidRPr="001D7AFC">
        <w:rPr>
          <w:noProof/>
          <w:color w:val="000000"/>
        </w:rPr>
        <w:t xml:space="preserve"> E</w:t>
      </w:r>
      <w:r>
        <w:rPr>
          <w:noProof/>
          <w:color w:val="000000"/>
        </w:rPr>
        <w:t>.</w:t>
      </w:r>
      <w:r w:rsidRPr="001D7AFC">
        <w:rPr>
          <w:noProof/>
          <w:color w:val="000000"/>
        </w:rPr>
        <w:t>, Hoon</w:t>
      </w:r>
      <w:r>
        <w:rPr>
          <w:noProof/>
          <w:color w:val="000000"/>
        </w:rPr>
        <w:t>,</w:t>
      </w:r>
      <w:r w:rsidRPr="001D7AFC">
        <w:rPr>
          <w:noProof/>
          <w:color w:val="000000"/>
        </w:rPr>
        <w:t xml:space="preserve"> A</w:t>
      </w:r>
      <w:r>
        <w:rPr>
          <w:noProof/>
          <w:color w:val="000000"/>
        </w:rPr>
        <w:t>.</w:t>
      </w:r>
      <w:r w:rsidRPr="001D7AFC">
        <w:rPr>
          <w:noProof/>
          <w:color w:val="000000"/>
        </w:rPr>
        <w:t>E</w:t>
      </w:r>
      <w:r>
        <w:rPr>
          <w:noProof/>
          <w:color w:val="000000"/>
        </w:rPr>
        <w:t>.</w:t>
      </w:r>
      <w:r w:rsidRPr="001D7AFC">
        <w:rPr>
          <w:noProof/>
          <w:color w:val="000000"/>
        </w:rPr>
        <w:t>, &amp; Dymond</w:t>
      </w:r>
      <w:r>
        <w:rPr>
          <w:noProof/>
          <w:color w:val="000000"/>
        </w:rPr>
        <w:t>,</w:t>
      </w:r>
      <w:r w:rsidRPr="001D7AFC">
        <w:rPr>
          <w:noProof/>
          <w:color w:val="000000"/>
        </w:rPr>
        <w:t xml:space="preserve"> S. </w:t>
      </w:r>
      <w:r>
        <w:rPr>
          <w:noProof/>
          <w:color w:val="000000"/>
        </w:rPr>
        <w:t xml:space="preserve">(2018). </w:t>
      </w:r>
      <w:r w:rsidRPr="001D7AFC">
        <w:rPr>
          <w:noProof/>
          <w:color w:val="000000"/>
        </w:rPr>
        <w:t>Gambling problems and the impact of family in UK armed forces veterans. </w:t>
      </w:r>
      <w:r w:rsidRPr="00934D95">
        <w:rPr>
          <w:i/>
          <w:iCs/>
          <w:noProof/>
          <w:color w:val="000000"/>
        </w:rPr>
        <w:t>Journal of Behavioral Addiction, 7</w:t>
      </w:r>
      <w:r w:rsidRPr="001D7AFC">
        <w:rPr>
          <w:noProof/>
          <w:color w:val="000000"/>
        </w:rPr>
        <w:t>(2)</w:t>
      </w:r>
      <w:r>
        <w:rPr>
          <w:noProof/>
          <w:color w:val="000000"/>
        </w:rPr>
        <w:t xml:space="preserve">, </w:t>
      </w:r>
      <w:r w:rsidRPr="001D7AFC">
        <w:rPr>
          <w:noProof/>
          <w:color w:val="000000"/>
        </w:rPr>
        <w:t xml:space="preserve">355-365. </w:t>
      </w:r>
      <w:r w:rsidRPr="001D7AFC">
        <w:rPr>
          <w:noProof/>
        </w:rPr>
        <w:t>doi: 10.1556/2006.7.2018.25</w:t>
      </w:r>
    </w:p>
    <w:p w14:paraId="54F54229" w14:textId="0B94C7A4" w:rsidR="00CF18E2" w:rsidRDefault="00CF18E2" w:rsidP="00CF18E2">
      <w:pPr>
        <w:spacing w:line="276" w:lineRule="auto"/>
        <w:ind w:left="851" w:hanging="851"/>
        <w:rPr>
          <w:noProof/>
          <w:color w:val="000000"/>
        </w:rPr>
      </w:pPr>
      <w:r w:rsidRPr="001D7AFC">
        <w:rPr>
          <w:noProof/>
          <w:color w:val="000000"/>
        </w:rPr>
        <w:t>Dixon</w:t>
      </w:r>
      <w:r>
        <w:rPr>
          <w:noProof/>
          <w:color w:val="000000"/>
        </w:rPr>
        <w:t>,</w:t>
      </w:r>
      <w:r w:rsidRPr="001D7AFC">
        <w:rPr>
          <w:noProof/>
          <w:color w:val="000000"/>
        </w:rPr>
        <w:t xml:space="preserve"> M</w:t>
      </w:r>
      <w:r>
        <w:rPr>
          <w:noProof/>
          <w:color w:val="000000"/>
        </w:rPr>
        <w:t>.</w:t>
      </w:r>
      <w:r w:rsidRPr="001D7AFC">
        <w:rPr>
          <w:noProof/>
          <w:color w:val="000000"/>
        </w:rPr>
        <w:t>R</w:t>
      </w:r>
      <w:r>
        <w:rPr>
          <w:noProof/>
          <w:color w:val="000000"/>
        </w:rPr>
        <w:t>.</w:t>
      </w:r>
      <w:r w:rsidRPr="001D7AFC">
        <w:rPr>
          <w:noProof/>
          <w:color w:val="000000"/>
        </w:rPr>
        <w:t>, Wilson</w:t>
      </w:r>
      <w:r>
        <w:rPr>
          <w:noProof/>
          <w:color w:val="000000"/>
        </w:rPr>
        <w:t>,</w:t>
      </w:r>
      <w:r w:rsidRPr="001D7AFC">
        <w:rPr>
          <w:noProof/>
          <w:color w:val="000000"/>
        </w:rPr>
        <w:t xml:space="preserve"> A</w:t>
      </w:r>
      <w:r>
        <w:rPr>
          <w:noProof/>
          <w:color w:val="000000"/>
        </w:rPr>
        <w:t>.</w:t>
      </w:r>
      <w:r w:rsidRPr="001D7AFC">
        <w:rPr>
          <w:noProof/>
          <w:color w:val="000000"/>
        </w:rPr>
        <w:t>N</w:t>
      </w:r>
      <w:r>
        <w:rPr>
          <w:noProof/>
          <w:color w:val="000000"/>
        </w:rPr>
        <w:t>.</w:t>
      </w:r>
      <w:r w:rsidRPr="001D7AFC">
        <w:rPr>
          <w:noProof/>
          <w:color w:val="000000"/>
        </w:rPr>
        <w:t>, Belisle</w:t>
      </w:r>
      <w:r>
        <w:rPr>
          <w:noProof/>
          <w:color w:val="000000"/>
        </w:rPr>
        <w:t>,</w:t>
      </w:r>
      <w:r w:rsidRPr="001D7AFC">
        <w:rPr>
          <w:noProof/>
          <w:color w:val="000000"/>
        </w:rPr>
        <w:t xml:space="preserve"> J</w:t>
      </w:r>
      <w:r>
        <w:rPr>
          <w:noProof/>
          <w:color w:val="000000"/>
        </w:rPr>
        <w:t>.</w:t>
      </w:r>
      <w:r w:rsidRPr="001D7AFC">
        <w:rPr>
          <w:noProof/>
          <w:color w:val="000000"/>
        </w:rPr>
        <w:t>, &amp; Schreiber</w:t>
      </w:r>
      <w:r>
        <w:rPr>
          <w:noProof/>
          <w:color w:val="000000"/>
        </w:rPr>
        <w:t>,</w:t>
      </w:r>
      <w:r w:rsidRPr="001D7AFC">
        <w:rPr>
          <w:noProof/>
          <w:color w:val="000000"/>
        </w:rPr>
        <w:t xml:space="preserve"> J</w:t>
      </w:r>
      <w:r>
        <w:rPr>
          <w:noProof/>
          <w:color w:val="000000"/>
        </w:rPr>
        <w:t>.</w:t>
      </w:r>
      <w:r w:rsidRPr="001D7AFC">
        <w:rPr>
          <w:noProof/>
          <w:color w:val="000000"/>
        </w:rPr>
        <w:t xml:space="preserve">B. </w:t>
      </w:r>
      <w:r>
        <w:rPr>
          <w:noProof/>
          <w:color w:val="000000"/>
        </w:rPr>
        <w:t xml:space="preserve">(2018). </w:t>
      </w:r>
      <w:r w:rsidRPr="001D7AFC">
        <w:rPr>
          <w:noProof/>
          <w:color w:val="000000"/>
        </w:rPr>
        <w:t xml:space="preserve">A functional analytic approach to understanding disordered gambling. </w:t>
      </w:r>
      <w:r w:rsidRPr="00934D95">
        <w:rPr>
          <w:i/>
          <w:iCs/>
          <w:noProof/>
          <w:color w:val="000000"/>
        </w:rPr>
        <w:t>The Psychological Record, 68</w:t>
      </w:r>
      <w:r>
        <w:rPr>
          <w:noProof/>
          <w:color w:val="000000"/>
        </w:rPr>
        <w:t xml:space="preserve">, </w:t>
      </w:r>
      <w:r w:rsidRPr="001D7AFC">
        <w:rPr>
          <w:noProof/>
          <w:color w:val="000000"/>
        </w:rPr>
        <w:t xml:space="preserve">177–187 </w:t>
      </w:r>
      <w:r w:rsidR="00DA70EA" w:rsidRPr="00124176">
        <w:t>doi</w:t>
      </w:r>
      <w:r w:rsidRPr="001D7AFC">
        <w:rPr>
          <w:noProof/>
          <w:color w:val="000000"/>
        </w:rPr>
        <w:t>:10.1007/s40732-018-0279-y</w:t>
      </w:r>
    </w:p>
    <w:p w14:paraId="4A6F4F0B" w14:textId="1BCA29EA" w:rsidR="00CF18E2" w:rsidRDefault="00CF18E2" w:rsidP="00CF18E2">
      <w:pPr>
        <w:spacing w:line="276" w:lineRule="auto"/>
        <w:ind w:left="851" w:hanging="851"/>
        <w:rPr>
          <w:noProof/>
          <w:color w:val="000000"/>
        </w:rPr>
      </w:pPr>
      <w:r w:rsidRPr="001D7AFC">
        <w:rPr>
          <w:noProof/>
          <w:color w:val="000000"/>
        </w:rPr>
        <w:t>Etuk</w:t>
      </w:r>
      <w:r>
        <w:rPr>
          <w:noProof/>
          <w:color w:val="000000"/>
        </w:rPr>
        <w:t>,</w:t>
      </w:r>
      <w:r w:rsidRPr="001D7AFC">
        <w:rPr>
          <w:noProof/>
          <w:color w:val="000000"/>
        </w:rPr>
        <w:t xml:space="preserve"> R</w:t>
      </w:r>
      <w:r>
        <w:rPr>
          <w:noProof/>
          <w:color w:val="000000"/>
        </w:rPr>
        <w:t>.</w:t>
      </w:r>
      <w:r w:rsidRPr="001D7AFC">
        <w:rPr>
          <w:noProof/>
          <w:color w:val="000000"/>
        </w:rPr>
        <w:t>, Shirk</w:t>
      </w:r>
      <w:r>
        <w:rPr>
          <w:noProof/>
          <w:color w:val="000000"/>
        </w:rPr>
        <w:t>,</w:t>
      </w:r>
      <w:r w:rsidRPr="001D7AFC">
        <w:rPr>
          <w:noProof/>
          <w:color w:val="000000"/>
        </w:rPr>
        <w:t xml:space="preserve"> S</w:t>
      </w:r>
      <w:r>
        <w:rPr>
          <w:noProof/>
          <w:color w:val="000000"/>
        </w:rPr>
        <w:t>.</w:t>
      </w:r>
      <w:r w:rsidRPr="001D7AFC">
        <w:rPr>
          <w:noProof/>
          <w:color w:val="000000"/>
        </w:rPr>
        <w:t>D</w:t>
      </w:r>
      <w:r>
        <w:rPr>
          <w:noProof/>
          <w:color w:val="000000"/>
        </w:rPr>
        <w:t>.</w:t>
      </w:r>
      <w:r w:rsidRPr="001D7AFC">
        <w:rPr>
          <w:noProof/>
          <w:color w:val="000000"/>
        </w:rPr>
        <w:t>, Grubbs</w:t>
      </w:r>
      <w:r>
        <w:rPr>
          <w:noProof/>
          <w:color w:val="000000"/>
        </w:rPr>
        <w:t>,</w:t>
      </w:r>
      <w:r w:rsidRPr="001D7AFC">
        <w:rPr>
          <w:noProof/>
          <w:color w:val="000000"/>
        </w:rPr>
        <w:t xml:space="preserve"> J</w:t>
      </w:r>
      <w:r>
        <w:rPr>
          <w:noProof/>
          <w:color w:val="000000"/>
        </w:rPr>
        <w:t>.</w:t>
      </w:r>
      <w:r w:rsidRPr="001D7AFC">
        <w:rPr>
          <w:noProof/>
          <w:color w:val="000000"/>
        </w:rPr>
        <w:t>, &amp; Kraus</w:t>
      </w:r>
      <w:r>
        <w:rPr>
          <w:noProof/>
          <w:color w:val="000000"/>
        </w:rPr>
        <w:t>,</w:t>
      </w:r>
      <w:r w:rsidRPr="001D7AFC">
        <w:rPr>
          <w:noProof/>
          <w:color w:val="000000"/>
        </w:rPr>
        <w:t xml:space="preserve"> S</w:t>
      </w:r>
      <w:r>
        <w:rPr>
          <w:noProof/>
          <w:color w:val="000000"/>
        </w:rPr>
        <w:t>.</w:t>
      </w:r>
      <w:r w:rsidRPr="001D7AFC">
        <w:rPr>
          <w:noProof/>
          <w:color w:val="000000"/>
        </w:rPr>
        <w:t xml:space="preserve">W. </w:t>
      </w:r>
      <w:r>
        <w:rPr>
          <w:noProof/>
          <w:color w:val="000000"/>
        </w:rPr>
        <w:t xml:space="preserve">(2020). </w:t>
      </w:r>
      <w:r w:rsidRPr="001D7AFC">
        <w:rPr>
          <w:noProof/>
          <w:color w:val="000000"/>
        </w:rPr>
        <w:t xml:space="preserve">Gambling problems in US military veterans. </w:t>
      </w:r>
      <w:r w:rsidRPr="00934D95">
        <w:rPr>
          <w:i/>
          <w:iCs/>
          <w:noProof/>
          <w:color w:val="000000"/>
        </w:rPr>
        <w:t>Current Addiction Reports, 7</w:t>
      </w:r>
      <w:r>
        <w:rPr>
          <w:noProof/>
          <w:color w:val="000000"/>
        </w:rPr>
        <w:t xml:space="preserve">, </w:t>
      </w:r>
      <w:r w:rsidRPr="001D7AFC">
        <w:rPr>
          <w:noProof/>
          <w:color w:val="000000"/>
        </w:rPr>
        <w:t xml:space="preserve">210-228. </w:t>
      </w:r>
      <w:r w:rsidRPr="001D7AFC">
        <w:rPr>
          <w:noProof/>
        </w:rPr>
        <w:t>doi: 10.1007/s40429-020 00310-2</w:t>
      </w:r>
    </w:p>
    <w:p w14:paraId="2406444F" w14:textId="27BC07D2" w:rsidR="00CF18E2" w:rsidRDefault="00CF18E2" w:rsidP="00CF18E2">
      <w:pPr>
        <w:spacing w:line="276" w:lineRule="auto"/>
        <w:ind w:left="851" w:hanging="851"/>
        <w:rPr>
          <w:noProof/>
          <w:color w:val="000000"/>
        </w:rPr>
      </w:pPr>
      <w:r w:rsidRPr="001D7AFC">
        <w:rPr>
          <w:noProof/>
          <w:color w:val="000000"/>
        </w:rPr>
        <w:t>Ferris</w:t>
      </w:r>
      <w:r>
        <w:rPr>
          <w:noProof/>
          <w:color w:val="000000"/>
        </w:rPr>
        <w:t>,</w:t>
      </w:r>
      <w:r w:rsidRPr="001D7AFC">
        <w:rPr>
          <w:noProof/>
          <w:color w:val="000000"/>
        </w:rPr>
        <w:t xml:space="preserve"> J</w:t>
      </w:r>
      <w:r>
        <w:rPr>
          <w:noProof/>
          <w:color w:val="000000"/>
        </w:rPr>
        <w:t>.</w:t>
      </w:r>
      <w:r w:rsidRPr="001D7AFC">
        <w:rPr>
          <w:noProof/>
          <w:color w:val="000000"/>
        </w:rPr>
        <w:t>A</w:t>
      </w:r>
      <w:r>
        <w:rPr>
          <w:noProof/>
          <w:color w:val="000000"/>
        </w:rPr>
        <w:t>.,</w:t>
      </w:r>
      <w:r w:rsidRPr="001D7AFC">
        <w:rPr>
          <w:noProof/>
          <w:color w:val="000000"/>
        </w:rPr>
        <w:t xml:space="preserve"> &amp; Wynne</w:t>
      </w:r>
      <w:r>
        <w:rPr>
          <w:noProof/>
          <w:color w:val="000000"/>
        </w:rPr>
        <w:t>,</w:t>
      </w:r>
      <w:r w:rsidRPr="001D7AFC">
        <w:rPr>
          <w:noProof/>
          <w:color w:val="000000"/>
        </w:rPr>
        <w:t xml:space="preserve"> H</w:t>
      </w:r>
      <w:r>
        <w:rPr>
          <w:noProof/>
          <w:color w:val="000000"/>
        </w:rPr>
        <w:t>.</w:t>
      </w:r>
      <w:r w:rsidRPr="001D7AFC">
        <w:rPr>
          <w:noProof/>
          <w:color w:val="000000"/>
        </w:rPr>
        <w:t xml:space="preserve">J. </w:t>
      </w:r>
      <w:r>
        <w:rPr>
          <w:noProof/>
          <w:color w:val="000000"/>
        </w:rPr>
        <w:t xml:space="preserve">(2001). </w:t>
      </w:r>
      <w:r w:rsidRPr="00D43B30">
        <w:rPr>
          <w:i/>
          <w:iCs/>
          <w:noProof/>
          <w:color w:val="000000"/>
        </w:rPr>
        <w:t>The Canadian problem gambling index</w:t>
      </w:r>
      <w:r w:rsidRPr="001D7AFC">
        <w:rPr>
          <w:noProof/>
          <w:color w:val="000000"/>
        </w:rPr>
        <w:t> (1-59). Ottawa, ON: Canadian Centre on Substance Abuse</w:t>
      </w:r>
      <w:r w:rsidR="00D43B30">
        <w:rPr>
          <w:noProof/>
          <w:color w:val="000000"/>
        </w:rPr>
        <w:t>.</w:t>
      </w:r>
    </w:p>
    <w:p w14:paraId="3C9BF5E4" w14:textId="075521AB" w:rsidR="00CF18E2" w:rsidRDefault="00CF18E2" w:rsidP="00CF18E2">
      <w:pPr>
        <w:spacing w:line="276" w:lineRule="auto"/>
        <w:ind w:left="851" w:hanging="851"/>
        <w:rPr>
          <w:noProof/>
        </w:rPr>
      </w:pPr>
      <w:r w:rsidRPr="001D7AFC">
        <w:rPr>
          <w:noProof/>
          <w:color w:val="000000"/>
        </w:rPr>
        <w:t>Freeman</w:t>
      </w:r>
      <w:r>
        <w:rPr>
          <w:noProof/>
          <w:color w:val="000000"/>
        </w:rPr>
        <w:t>,</w:t>
      </w:r>
      <w:r w:rsidRPr="001D7AFC">
        <w:rPr>
          <w:noProof/>
          <w:color w:val="000000"/>
        </w:rPr>
        <w:t xml:space="preserve"> J</w:t>
      </w:r>
      <w:r>
        <w:rPr>
          <w:noProof/>
          <w:color w:val="000000"/>
        </w:rPr>
        <w:t>.</w:t>
      </w:r>
      <w:r w:rsidRPr="001D7AFC">
        <w:rPr>
          <w:noProof/>
          <w:color w:val="000000"/>
        </w:rPr>
        <w:t>R</w:t>
      </w:r>
      <w:r>
        <w:rPr>
          <w:noProof/>
          <w:color w:val="000000"/>
        </w:rPr>
        <w:t>.</w:t>
      </w:r>
      <w:r w:rsidRPr="001D7AFC">
        <w:rPr>
          <w:noProof/>
          <w:color w:val="000000"/>
        </w:rPr>
        <w:t>, Volberg</w:t>
      </w:r>
      <w:r>
        <w:rPr>
          <w:noProof/>
          <w:color w:val="000000"/>
        </w:rPr>
        <w:t>,</w:t>
      </w:r>
      <w:r w:rsidRPr="001D7AFC">
        <w:rPr>
          <w:noProof/>
          <w:color w:val="000000"/>
        </w:rPr>
        <w:t xml:space="preserve"> R</w:t>
      </w:r>
      <w:r>
        <w:rPr>
          <w:noProof/>
          <w:color w:val="000000"/>
        </w:rPr>
        <w:t>.</w:t>
      </w:r>
      <w:r w:rsidRPr="001D7AFC">
        <w:rPr>
          <w:noProof/>
          <w:color w:val="000000"/>
        </w:rPr>
        <w:t>A</w:t>
      </w:r>
      <w:r>
        <w:rPr>
          <w:noProof/>
          <w:color w:val="000000"/>
        </w:rPr>
        <w:t>.</w:t>
      </w:r>
      <w:r w:rsidRPr="001D7AFC">
        <w:rPr>
          <w:noProof/>
          <w:color w:val="000000"/>
        </w:rPr>
        <w:t>, &amp; Zorn</w:t>
      </w:r>
      <w:r>
        <w:rPr>
          <w:noProof/>
          <w:color w:val="000000"/>
        </w:rPr>
        <w:t>,</w:t>
      </w:r>
      <w:r w:rsidRPr="001D7AFC">
        <w:rPr>
          <w:noProof/>
          <w:color w:val="000000"/>
        </w:rPr>
        <w:t xml:space="preserve"> M. </w:t>
      </w:r>
      <w:r>
        <w:rPr>
          <w:noProof/>
          <w:color w:val="000000"/>
        </w:rPr>
        <w:t xml:space="preserve">(2020). </w:t>
      </w:r>
      <w:r w:rsidRPr="001D7AFC">
        <w:rPr>
          <w:noProof/>
          <w:color w:val="000000"/>
        </w:rPr>
        <w:t xml:space="preserve">Correlates of at-risk and problem gambling among veterans in Massachusetts. </w:t>
      </w:r>
      <w:r w:rsidRPr="00934D95">
        <w:rPr>
          <w:i/>
          <w:iCs/>
          <w:noProof/>
          <w:color w:val="000000"/>
        </w:rPr>
        <w:t>Journa</w:t>
      </w:r>
      <w:r>
        <w:rPr>
          <w:i/>
          <w:iCs/>
          <w:noProof/>
          <w:color w:val="000000"/>
        </w:rPr>
        <w:t>l</w:t>
      </w:r>
      <w:r w:rsidRPr="00934D95">
        <w:rPr>
          <w:i/>
          <w:iCs/>
          <w:noProof/>
          <w:color w:val="000000"/>
        </w:rPr>
        <w:t xml:space="preserve"> of Gambling Studies, 36</w:t>
      </w:r>
      <w:r w:rsidRPr="001D7AFC">
        <w:rPr>
          <w:noProof/>
          <w:color w:val="000000"/>
        </w:rPr>
        <w:t>(1)</w:t>
      </w:r>
      <w:r>
        <w:rPr>
          <w:noProof/>
          <w:color w:val="000000"/>
        </w:rPr>
        <w:t xml:space="preserve">, </w:t>
      </w:r>
      <w:r w:rsidRPr="001D7AFC">
        <w:rPr>
          <w:noProof/>
          <w:color w:val="000000"/>
        </w:rPr>
        <w:t xml:space="preserve">69-83. </w:t>
      </w:r>
      <w:r w:rsidRPr="001D7AFC">
        <w:rPr>
          <w:noProof/>
        </w:rPr>
        <w:t>doi: 10.1007/s10899-018-9814-7</w:t>
      </w:r>
    </w:p>
    <w:p w14:paraId="67F95E15" w14:textId="7A5F762B" w:rsidR="00574404" w:rsidRPr="00CF18E2" w:rsidRDefault="00574404" w:rsidP="00574404">
      <w:pPr>
        <w:spacing w:line="276" w:lineRule="auto"/>
        <w:ind w:left="851" w:hanging="851"/>
        <w:rPr>
          <w:noProof/>
        </w:rPr>
      </w:pPr>
      <w:r>
        <w:rPr>
          <w:noProof/>
        </w:rPr>
        <w:t>G</w:t>
      </w:r>
      <w:r w:rsidRPr="00574404">
        <w:rPr>
          <w:noProof/>
        </w:rPr>
        <w:t>eorge, D.</w:t>
      </w:r>
      <w:r>
        <w:rPr>
          <w:noProof/>
        </w:rPr>
        <w:t xml:space="preserve">, </w:t>
      </w:r>
      <w:r w:rsidR="005E4258">
        <w:rPr>
          <w:noProof/>
        </w:rPr>
        <w:t>&amp;</w:t>
      </w:r>
      <w:r w:rsidRPr="00574404">
        <w:rPr>
          <w:noProof/>
        </w:rPr>
        <w:t xml:space="preserve"> Mallery, P. (2010) </w:t>
      </w:r>
      <w:r w:rsidRPr="00574404">
        <w:rPr>
          <w:i/>
          <w:iCs/>
          <w:noProof/>
        </w:rPr>
        <w:t>SPSS for Windows Step by Step: A Simple Guide and Reference 17.0 Update</w:t>
      </w:r>
      <w:r w:rsidR="00F56D21">
        <w:rPr>
          <w:i/>
          <w:iCs/>
          <w:noProof/>
        </w:rPr>
        <w:t xml:space="preserve"> (1</w:t>
      </w:r>
      <w:r w:rsidRPr="00574404">
        <w:rPr>
          <w:noProof/>
        </w:rPr>
        <w:t>0</w:t>
      </w:r>
      <w:r w:rsidRPr="00574404">
        <w:rPr>
          <w:noProof/>
          <w:vertAlign w:val="superscript"/>
        </w:rPr>
        <w:t>t</w:t>
      </w:r>
      <w:r w:rsidR="00F56D21" w:rsidRPr="00F56D21">
        <w:rPr>
          <w:noProof/>
          <w:vertAlign w:val="superscript"/>
        </w:rPr>
        <w:t>h</w:t>
      </w:r>
      <w:r w:rsidR="00F56D21">
        <w:rPr>
          <w:noProof/>
        </w:rPr>
        <w:t xml:space="preserve"> </w:t>
      </w:r>
      <w:r w:rsidRPr="00574404">
        <w:rPr>
          <w:noProof/>
        </w:rPr>
        <w:t>Ed</w:t>
      </w:r>
      <w:r w:rsidR="00F56D21">
        <w:rPr>
          <w:noProof/>
        </w:rPr>
        <w:t>.)</w:t>
      </w:r>
      <w:r w:rsidR="00706442">
        <w:rPr>
          <w:noProof/>
        </w:rPr>
        <w:t xml:space="preserve">. </w:t>
      </w:r>
      <w:r w:rsidRPr="00574404">
        <w:rPr>
          <w:noProof/>
        </w:rPr>
        <w:t xml:space="preserve">Pearson, Boston. </w:t>
      </w:r>
    </w:p>
    <w:p w14:paraId="7A77EAAE" w14:textId="46669F8D" w:rsidR="00CF18E2" w:rsidRPr="00A2430F" w:rsidRDefault="00CF18E2" w:rsidP="00CF18E2">
      <w:pPr>
        <w:spacing w:line="276" w:lineRule="auto"/>
        <w:ind w:left="851" w:hanging="851"/>
        <w:rPr>
          <w:noProof/>
          <w:color w:val="000000"/>
        </w:rPr>
      </w:pPr>
      <w:r w:rsidRPr="001D7AFC">
        <w:rPr>
          <w:noProof/>
          <w:color w:val="000000"/>
        </w:rPr>
        <w:t>Goodwin</w:t>
      </w:r>
      <w:r>
        <w:rPr>
          <w:noProof/>
          <w:color w:val="000000"/>
        </w:rPr>
        <w:t>,</w:t>
      </w:r>
      <w:r w:rsidRPr="001D7AFC">
        <w:rPr>
          <w:noProof/>
          <w:color w:val="000000"/>
        </w:rPr>
        <w:t xml:space="preserve"> L</w:t>
      </w:r>
      <w:r>
        <w:rPr>
          <w:noProof/>
          <w:color w:val="000000"/>
        </w:rPr>
        <w:t>.</w:t>
      </w:r>
      <w:r w:rsidRPr="001D7AFC">
        <w:rPr>
          <w:noProof/>
          <w:color w:val="000000"/>
        </w:rPr>
        <w:t>, Wessely</w:t>
      </w:r>
      <w:r>
        <w:rPr>
          <w:noProof/>
          <w:color w:val="000000"/>
        </w:rPr>
        <w:t>,</w:t>
      </w:r>
      <w:r w:rsidRPr="001D7AFC">
        <w:rPr>
          <w:noProof/>
          <w:color w:val="000000"/>
        </w:rPr>
        <w:t xml:space="preserve"> S</w:t>
      </w:r>
      <w:r>
        <w:rPr>
          <w:noProof/>
          <w:color w:val="000000"/>
        </w:rPr>
        <w:t>.</w:t>
      </w:r>
      <w:r w:rsidRPr="001D7AFC">
        <w:rPr>
          <w:noProof/>
          <w:color w:val="000000"/>
        </w:rPr>
        <w:t>, Hotopf</w:t>
      </w:r>
      <w:r>
        <w:rPr>
          <w:noProof/>
          <w:color w:val="000000"/>
        </w:rPr>
        <w:t>,</w:t>
      </w:r>
      <w:r w:rsidRPr="001D7AFC">
        <w:rPr>
          <w:noProof/>
          <w:color w:val="000000"/>
        </w:rPr>
        <w:t xml:space="preserve"> M</w:t>
      </w:r>
      <w:r>
        <w:rPr>
          <w:noProof/>
          <w:color w:val="000000"/>
        </w:rPr>
        <w:t>.</w:t>
      </w:r>
      <w:r w:rsidRPr="001D7AFC">
        <w:rPr>
          <w:noProof/>
          <w:color w:val="000000"/>
        </w:rPr>
        <w:t>, Jones</w:t>
      </w:r>
      <w:r>
        <w:rPr>
          <w:noProof/>
          <w:color w:val="000000"/>
        </w:rPr>
        <w:t>,</w:t>
      </w:r>
      <w:r w:rsidRPr="001D7AFC">
        <w:rPr>
          <w:noProof/>
          <w:color w:val="000000"/>
        </w:rPr>
        <w:t xml:space="preserve"> M</w:t>
      </w:r>
      <w:r>
        <w:rPr>
          <w:noProof/>
          <w:color w:val="000000"/>
        </w:rPr>
        <w:t>.</w:t>
      </w:r>
      <w:r w:rsidRPr="001D7AFC">
        <w:rPr>
          <w:noProof/>
          <w:color w:val="000000"/>
        </w:rPr>
        <w:t>, Greenberg</w:t>
      </w:r>
      <w:r>
        <w:rPr>
          <w:noProof/>
          <w:color w:val="000000"/>
        </w:rPr>
        <w:t>,</w:t>
      </w:r>
      <w:r w:rsidRPr="001D7AFC">
        <w:rPr>
          <w:noProof/>
          <w:color w:val="000000"/>
        </w:rPr>
        <w:t xml:space="preserve"> N</w:t>
      </w:r>
      <w:r>
        <w:rPr>
          <w:noProof/>
          <w:color w:val="000000"/>
        </w:rPr>
        <w:t>.</w:t>
      </w:r>
      <w:r w:rsidRPr="001D7AFC">
        <w:rPr>
          <w:noProof/>
          <w:color w:val="000000"/>
        </w:rPr>
        <w:t>, Rona</w:t>
      </w:r>
      <w:r>
        <w:rPr>
          <w:noProof/>
          <w:color w:val="000000"/>
        </w:rPr>
        <w:t>,</w:t>
      </w:r>
      <w:r w:rsidRPr="001D7AFC">
        <w:rPr>
          <w:noProof/>
          <w:color w:val="000000"/>
        </w:rPr>
        <w:t xml:space="preserve"> R</w:t>
      </w:r>
      <w:r>
        <w:rPr>
          <w:noProof/>
          <w:color w:val="000000"/>
        </w:rPr>
        <w:t>.</w:t>
      </w:r>
      <w:r w:rsidRPr="001D7AFC">
        <w:rPr>
          <w:noProof/>
          <w:color w:val="000000"/>
        </w:rPr>
        <w:t>J</w:t>
      </w:r>
      <w:r>
        <w:rPr>
          <w:noProof/>
          <w:color w:val="000000"/>
        </w:rPr>
        <w:t>.</w:t>
      </w:r>
      <w:r w:rsidRPr="001D7AFC">
        <w:rPr>
          <w:noProof/>
          <w:color w:val="000000"/>
        </w:rPr>
        <w:t xml:space="preserve">, </w:t>
      </w:r>
      <w:r>
        <w:rPr>
          <w:noProof/>
          <w:color w:val="000000"/>
        </w:rPr>
        <w:t xml:space="preserve">Hull, L., &amp; Fear, N.T. (2015). </w:t>
      </w:r>
      <w:r w:rsidRPr="001D7AFC">
        <w:rPr>
          <w:noProof/>
          <w:color w:val="000000"/>
        </w:rPr>
        <w:t>Are common mental disorders more prevalent in the UK serving military compared to the general working population? </w:t>
      </w:r>
      <w:r w:rsidRPr="003E5A7F">
        <w:rPr>
          <w:i/>
          <w:iCs/>
          <w:noProof/>
          <w:color w:val="000000"/>
        </w:rPr>
        <w:t>Psychological Medicine, 45</w:t>
      </w:r>
      <w:r w:rsidRPr="001D7AFC">
        <w:rPr>
          <w:noProof/>
          <w:color w:val="000000"/>
        </w:rPr>
        <w:t>(9)</w:t>
      </w:r>
      <w:r>
        <w:rPr>
          <w:noProof/>
          <w:color w:val="000000"/>
        </w:rPr>
        <w:t xml:space="preserve">, </w:t>
      </w:r>
      <w:r w:rsidRPr="001D7AFC">
        <w:rPr>
          <w:noProof/>
          <w:color w:val="000000"/>
        </w:rPr>
        <w:t xml:space="preserve">1881-1891. </w:t>
      </w:r>
      <w:r w:rsidRPr="001D7AFC">
        <w:rPr>
          <w:noProof/>
        </w:rPr>
        <w:t>doi: 10.1017/S0033291714002980</w:t>
      </w:r>
    </w:p>
    <w:p w14:paraId="0865D393" w14:textId="6A03CF85" w:rsidR="00CF18E2" w:rsidRDefault="00CF18E2" w:rsidP="00CF18E2">
      <w:pPr>
        <w:spacing w:line="276" w:lineRule="auto"/>
        <w:ind w:left="851" w:hanging="851"/>
        <w:rPr>
          <w:noProof/>
          <w:color w:val="000000"/>
        </w:rPr>
      </w:pPr>
      <w:r w:rsidRPr="001D7AFC">
        <w:rPr>
          <w:noProof/>
          <w:color w:val="000000"/>
        </w:rPr>
        <w:t>Grant</w:t>
      </w:r>
      <w:r>
        <w:rPr>
          <w:noProof/>
          <w:color w:val="000000"/>
        </w:rPr>
        <w:t xml:space="preserve">, </w:t>
      </w:r>
      <w:r w:rsidRPr="001D7AFC">
        <w:rPr>
          <w:noProof/>
          <w:color w:val="000000"/>
        </w:rPr>
        <w:t>J</w:t>
      </w:r>
      <w:r>
        <w:rPr>
          <w:noProof/>
          <w:color w:val="000000"/>
        </w:rPr>
        <w:t>.</w:t>
      </w:r>
      <w:r w:rsidRPr="001D7AFC">
        <w:rPr>
          <w:noProof/>
          <w:color w:val="000000"/>
        </w:rPr>
        <w:t>E</w:t>
      </w:r>
      <w:r>
        <w:rPr>
          <w:noProof/>
          <w:color w:val="000000"/>
        </w:rPr>
        <w:t>.</w:t>
      </w:r>
      <w:r w:rsidRPr="001D7AFC">
        <w:rPr>
          <w:noProof/>
          <w:color w:val="000000"/>
        </w:rPr>
        <w:t>, Potenza</w:t>
      </w:r>
      <w:r>
        <w:rPr>
          <w:noProof/>
          <w:color w:val="000000"/>
        </w:rPr>
        <w:t>,</w:t>
      </w:r>
      <w:r w:rsidRPr="001D7AFC">
        <w:rPr>
          <w:noProof/>
          <w:color w:val="000000"/>
        </w:rPr>
        <w:t xml:space="preserve"> M</w:t>
      </w:r>
      <w:r>
        <w:rPr>
          <w:noProof/>
          <w:color w:val="000000"/>
        </w:rPr>
        <w:t>.</w:t>
      </w:r>
      <w:r w:rsidRPr="001D7AFC">
        <w:rPr>
          <w:noProof/>
          <w:color w:val="000000"/>
        </w:rPr>
        <w:t>N</w:t>
      </w:r>
      <w:r>
        <w:rPr>
          <w:noProof/>
          <w:color w:val="000000"/>
        </w:rPr>
        <w:t>.</w:t>
      </w:r>
      <w:r w:rsidRPr="001D7AFC">
        <w:rPr>
          <w:noProof/>
          <w:color w:val="000000"/>
        </w:rPr>
        <w:t>, Kraus</w:t>
      </w:r>
      <w:r>
        <w:rPr>
          <w:noProof/>
          <w:color w:val="000000"/>
        </w:rPr>
        <w:t>,</w:t>
      </w:r>
      <w:r w:rsidRPr="001D7AFC">
        <w:rPr>
          <w:noProof/>
          <w:color w:val="000000"/>
        </w:rPr>
        <w:t xml:space="preserve"> S</w:t>
      </w:r>
      <w:r>
        <w:rPr>
          <w:noProof/>
          <w:color w:val="000000"/>
        </w:rPr>
        <w:t>.</w:t>
      </w:r>
      <w:r w:rsidRPr="001D7AFC">
        <w:rPr>
          <w:noProof/>
          <w:color w:val="000000"/>
        </w:rPr>
        <w:t>W</w:t>
      </w:r>
      <w:r>
        <w:rPr>
          <w:noProof/>
          <w:color w:val="000000"/>
        </w:rPr>
        <w:t>.</w:t>
      </w:r>
      <w:r w:rsidRPr="001D7AFC">
        <w:rPr>
          <w:noProof/>
          <w:color w:val="000000"/>
        </w:rPr>
        <w:t>, &amp; Petrakis</w:t>
      </w:r>
      <w:r>
        <w:rPr>
          <w:noProof/>
          <w:color w:val="000000"/>
        </w:rPr>
        <w:t>,</w:t>
      </w:r>
      <w:r w:rsidRPr="001D7AFC">
        <w:rPr>
          <w:noProof/>
          <w:color w:val="000000"/>
        </w:rPr>
        <w:t xml:space="preserve"> I</w:t>
      </w:r>
      <w:r>
        <w:rPr>
          <w:noProof/>
          <w:color w:val="000000"/>
        </w:rPr>
        <w:t>.</w:t>
      </w:r>
      <w:r w:rsidRPr="001D7AFC">
        <w:rPr>
          <w:noProof/>
          <w:color w:val="000000"/>
        </w:rPr>
        <w:t xml:space="preserve">L. </w:t>
      </w:r>
      <w:r>
        <w:rPr>
          <w:noProof/>
          <w:color w:val="000000"/>
        </w:rPr>
        <w:t xml:space="preserve">(2017). </w:t>
      </w:r>
      <w:r w:rsidRPr="001D7AFC">
        <w:rPr>
          <w:noProof/>
          <w:color w:val="000000"/>
        </w:rPr>
        <w:t xml:space="preserve">Naltrexone and disulfiram treatment response in veterans with alcohol dependence and co-occurring problem-gambling features. </w:t>
      </w:r>
      <w:r w:rsidRPr="003E5A7F">
        <w:rPr>
          <w:i/>
          <w:iCs/>
          <w:noProof/>
          <w:color w:val="000000"/>
        </w:rPr>
        <w:t>Journal of Clinical Psychiatry, 78</w:t>
      </w:r>
      <w:r w:rsidRPr="001D7AFC">
        <w:rPr>
          <w:noProof/>
          <w:color w:val="000000"/>
        </w:rPr>
        <w:t>(9)</w:t>
      </w:r>
      <w:r>
        <w:rPr>
          <w:noProof/>
          <w:color w:val="000000"/>
        </w:rPr>
        <w:t xml:space="preserve">, </w:t>
      </w:r>
      <w:r w:rsidRPr="001D7AFC">
        <w:rPr>
          <w:noProof/>
          <w:color w:val="000000"/>
        </w:rPr>
        <w:t xml:space="preserve">1299-1306. </w:t>
      </w:r>
      <w:r w:rsidRPr="001D7AFC">
        <w:rPr>
          <w:noProof/>
        </w:rPr>
        <w:t>doi: 10.4088/JCP.16m11220</w:t>
      </w:r>
    </w:p>
    <w:p w14:paraId="5177D705" w14:textId="2F3CFF5A" w:rsidR="00CF18E2" w:rsidRDefault="00CF18E2" w:rsidP="00CF18E2">
      <w:pPr>
        <w:spacing w:line="276" w:lineRule="auto"/>
        <w:ind w:left="851" w:hanging="851"/>
        <w:rPr>
          <w:noProof/>
          <w:color w:val="000000"/>
        </w:rPr>
      </w:pPr>
      <w:r w:rsidRPr="001D7AFC">
        <w:rPr>
          <w:noProof/>
          <w:color w:val="000000"/>
        </w:rPr>
        <w:t>Grubbs</w:t>
      </w:r>
      <w:r>
        <w:rPr>
          <w:noProof/>
          <w:color w:val="000000"/>
        </w:rPr>
        <w:t>,</w:t>
      </w:r>
      <w:r w:rsidRPr="001D7AFC">
        <w:rPr>
          <w:noProof/>
          <w:color w:val="000000"/>
        </w:rPr>
        <w:t xml:space="preserve"> J</w:t>
      </w:r>
      <w:r>
        <w:rPr>
          <w:noProof/>
          <w:color w:val="000000"/>
        </w:rPr>
        <w:t>.</w:t>
      </w:r>
      <w:r w:rsidRPr="001D7AFC">
        <w:rPr>
          <w:noProof/>
          <w:color w:val="000000"/>
        </w:rPr>
        <w:t>B</w:t>
      </w:r>
      <w:r>
        <w:rPr>
          <w:noProof/>
          <w:color w:val="000000"/>
        </w:rPr>
        <w:t>.</w:t>
      </w:r>
      <w:r w:rsidRPr="001D7AFC">
        <w:rPr>
          <w:noProof/>
          <w:color w:val="000000"/>
        </w:rPr>
        <w:t>, Chapman</w:t>
      </w:r>
      <w:r>
        <w:rPr>
          <w:noProof/>
          <w:color w:val="000000"/>
        </w:rPr>
        <w:t>,</w:t>
      </w:r>
      <w:r w:rsidRPr="001D7AFC">
        <w:rPr>
          <w:noProof/>
          <w:color w:val="000000"/>
        </w:rPr>
        <w:t xml:space="preserve"> H</w:t>
      </w:r>
      <w:r>
        <w:rPr>
          <w:noProof/>
          <w:color w:val="000000"/>
        </w:rPr>
        <w:t>.</w:t>
      </w:r>
      <w:r w:rsidRPr="001D7AFC">
        <w:rPr>
          <w:noProof/>
          <w:color w:val="000000"/>
        </w:rPr>
        <w:t>, Milner</w:t>
      </w:r>
      <w:r>
        <w:rPr>
          <w:noProof/>
          <w:color w:val="000000"/>
        </w:rPr>
        <w:t>,</w:t>
      </w:r>
      <w:r w:rsidRPr="001D7AFC">
        <w:rPr>
          <w:noProof/>
          <w:color w:val="000000"/>
        </w:rPr>
        <w:t xml:space="preserve"> L</w:t>
      </w:r>
      <w:r>
        <w:rPr>
          <w:noProof/>
          <w:color w:val="000000"/>
        </w:rPr>
        <w:t>.</w:t>
      </w:r>
      <w:r w:rsidRPr="001D7AFC">
        <w:rPr>
          <w:noProof/>
          <w:color w:val="000000"/>
        </w:rPr>
        <w:t>, Gutierrez</w:t>
      </w:r>
      <w:r>
        <w:rPr>
          <w:noProof/>
          <w:color w:val="000000"/>
        </w:rPr>
        <w:t>,</w:t>
      </w:r>
      <w:r w:rsidRPr="001D7AFC">
        <w:rPr>
          <w:noProof/>
          <w:color w:val="000000"/>
        </w:rPr>
        <w:t xml:space="preserve"> I</w:t>
      </w:r>
      <w:r>
        <w:rPr>
          <w:noProof/>
          <w:color w:val="000000"/>
        </w:rPr>
        <w:t>.</w:t>
      </w:r>
      <w:r w:rsidRPr="001D7AFC">
        <w:rPr>
          <w:noProof/>
          <w:color w:val="000000"/>
        </w:rPr>
        <w:t>A</w:t>
      </w:r>
      <w:r>
        <w:rPr>
          <w:noProof/>
          <w:color w:val="000000"/>
        </w:rPr>
        <w:t>.</w:t>
      </w:r>
      <w:r w:rsidRPr="001D7AFC">
        <w:rPr>
          <w:noProof/>
          <w:color w:val="000000"/>
        </w:rPr>
        <w:t>, &amp; Bradley</w:t>
      </w:r>
      <w:r>
        <w:rPr>
          <w:noProof/>
          <w:color w:val="000000"/>
        </w:rPr>
        <w:t>,</w:t>
      </w:r>
      <w:r w:rsidRPr="001D7AFC">
        <w:rPr>
          <w:noProof/>
          <w:color w:val="000000"/>
        </w:rPr>
        <w:t xml:space="preserve"> D</w:t>
      </w:r>
      <w:r>
        <w:rPr>
          <w:noProof/>
          <w:color w:val="000000"/>
        </w:rPr>
        <w:t>.</w:t>
      </w:r>
      <w:r w:rsidRPr="001D7AFC">
        <w:rPr>
          <w:noProof/>
          <w:color w:val="000000"/>
        </w:rPr>
        <w:t xml:space="preserve">F. </w:t>
      </w:r>
      <w:r>
        <w:rPr>
          <w:noProof/>
          <w:color w:val="000000"/>
        </w:rPr>
        <w:t xml:space="preserve">(2018). </w:t>
      </w:r>
      <w:r w:rsidRPr="001D7AFC">
        <w:rPr>
          <w:noProof/>
          <w:color w:val="000000"/>
        </w:rPr>
        <w:t xml:space="preserve">Examining links between posttraumatic stress and gambling motives: The role of positive gambling expectancies. </w:t>
      </w:r>
      <w:r w:rsidRPr="00951A8B">
        <w:rPr>
          <w:i/>
          <w:iCs/>
          <w:noProof/>
          <w:color w:val="000000"/>
        </w:rPr>
        <w:t>Psychology of Addictive Behaviors, 32</w:t>
      </w:r>
      <w:r w:rsidRPr="001D7AFC">
        <w:rPr>
          <w:noProof/>
          <w:color w:val="000000"/>
        </w:rPr>
        <w:t>(7)</w:t>
      </w:r>
      <w:r>
        <w:rPr>
          <w:noProof/>
          <w:color w:val="000000"/>
        </w:rPr>
        <w:t xml:space="preserve">, </w:t>
      </w:r>
      <w:r w:rsidRPr="001D7AFC">
        <w:rPr>
          <w:noProof/>
          <w:color w:val="000000"/>
        </w:rPr>
        <w:t>821</w:t>
      </w:r>
      <w:r>
        <w:rPr>
          <w:noProof/>
          <w:color w:val="000000"/>
        </w:rPr>
        <w:t>-831</w:t>
      </w:r>
      <w:r w:rsidRPr="001D7AFC">
        <w:rPr>
          <w:noProof/>
          <w:color w:val="000000"/>
        </w:rPr>
        <w:t xml:space="preserve">. </w:t>
      </w:r>
      <w:r w:rsidRPr="001D7AFC">
        <w:rPr>
          <w:noProof/>
        </w:rPr>
        <w:t>doi: 10.1037/adb0000399</w:t>
      </w:r>
    </w:p>
    <w:p w14:paraId="4ECD3520" w14:textId="0702E028" w:rsidR="00CF18E2" w:rsidRDefault="00CF18E2" w:rsidP="00CF18E2">
      <w:pPr>
        <w:spacing w:line="276" w:lineRule="auto"/>
        <w:ind w:left="851" w:hanging="851"/>
        <w:rPr>
          <w:noProof/>
        </w:rPr>
      </w:pPr>
      <w:r w:rsidRPr="001D7AFC">
        <w:rPr>
          <w:noProof/>
          <w:color w:val="000000"/>
        </w:rPr>
        <w:t>Grubbs</w:t>
      </w:r>
      <w:r>
        <w:rPr>
          <w:noProof/>
          <w:color w:val="000000"/>
        </w:rPr>
        <w:t>,</w:t>
      </w:r>
      <w:r w:rsidRPr="001D7AFC">
        <w:rPr>
          <w:noProof/>
          <w:color w:val="000000"/>
        </w:rPr>
        <w:t xml:space="preserve"> J</w:t>
      </w:r>
      <w:r>
        <w:rPr>
          <w:noProof/>
          <w:color w:val="000000"/>
        </w:rPr>
        <w:t>.</w:t>
      </w:r>
      <w:r w:rsidRPr="001D7AFC">
        <w:rPr>
          <w:noProof/>
          <w:color w:val="000000"/>
        </w:rPr>
        <w:t>B</w:t>
      </w:r>
      <w:r>
        <w:rPr>
          <w:noProof/>
          <w:color w:val="000000"/>
        </w:rPr>
        <w:t>.</w:t>
      </w:r>
      <w:r w:rsidRPr="001D7AFC">
        <w:rPr>
          <w:noProof/>
          <w:color w:val="000000"/>
        </w:rPr>
        <w:t>, Chapman</w:t>
      </w:r>
      <w:r>
        <w:rPr>
          <w:noProof/>
          <w:color w:val="000000"/>
        </w:rPr>
        <w:t>,</w:t>
      </w:r>
      <w:r w:rsidRPr="001D7AFC">
        <w:rPr>
          <w:noProof/>
          <w:color w:val="000000"/>
        </w:rPr>
        <w:t xml:space="preserve"> H</w:t>
      </w:r>
      <w:r>
        <w:rPr>
          <w:noProof/>
          <w:color w:val="000000"/>
        </w:rPr>
        <w:t>.</w:t>
      </w:r>
      <w:r w:rsidRPr="001D7AFC">
        <w:rPr>
          <w:noProof/>
          <w:color w:val="000000"/>
        </w:rPr>
        <w:t>, &amp; Shepherd</w:t>
      </w:r>
      <w:r>
        <w:rPr>
          <w:noProof/>
          <w:color w:val="000000"/>
        </w:rPr>
        <w:t>,</w:t>
      </w:r>
      <w:r w:rsidRPr="001D7AFC">
        <w:rPr>
          <w:noProof/>
          <w:color w:val="000000"/>
        </w:rPr>
        <w:t xml:space="preserve"> K</w:t>
      </w:r>
      <w:r>
        <w:rPr>
          <w:noProof/>
          <w:color w:val="000000"/>
        </w:rPr>
        <w:t>.</w:t>
      </w:r>
      <w:r w:rsidRPr="001D7AFC">
        <w:rPr>
          <w:noProof/>
          <w:color w:val="000000"/>
        </w:rPr>
        <w:t xml:space="preserve">A. </w:t>
      </w:r>
      <w:r>
        <w:rPr>
          <w:noProof/>
          <w:color w:val="000000"/>
        </w:rPr>
        <w:t xml:space="preserve">(2019). </w:t>
      </w:r>
      <w:r w:rsidRPr="001D7AFC">
        <w:rPr>
          <w:noProof/>
          <w:color w:val="000000"/>
        </w:rPr>
        <w:t>Post-traumatic stress and gambling related cognitions: Analyses in inpatient and online samples. </w:t>
      </w:r>
      <w:r w:rsidRPr="00951A8B">
        <w:rPr>
          <w:i/>
          <w:iCs/>
          <w:noProof/>
          <w:color w:val="000000"/>
        </w:rPr>
        <w:t>Addictive Behavior, 89</w:t>
      </w:r>
      <w:r>
        <w:rPr>
          <w:noProof/>
          <w:color w:val="000000"/>
        </w:rPr>
        <w:t xml:space="preserve">, </w:t>
      </w:r>
      <w:r w:rsidRPr="001D7AFC">
        <w:rPr>
          <w:noProof/>
          <w:color w:val="000000"/>
        </w:rPr>
        <w:t xml:space="preserve">128-135 </w:t>
      </w:r>
      <w:r w:rsidRPr="001D7AFC">
        <w:rPr>
          <w:noProof/>
        </w:rPr>
        <w:t>doi: 10.1016/j.addbeh.2018.09.035</w:t>
      </w:r>
    </w:p>
    <w:p w14:paraId="145E24BF" w14:textId="724A2492" w:rsidR="005F0207" w:rsidRDefault="005F0207" w:rsidP="00CF18E2">
      <w:pPr>
        <w:spacing w:line="276" w:lineRule="auto"/>
        <w:ind w:left="851" w:hanging="851"/>
        <w:rPr>
          <w:noProof/>
          <w:color w:val="000000"/>
        </w:rPr>
      </w:pPr>
      <w:r>
        <w:rPr>
          <w:noProof/>
          <w:color w:val="000000"/>
        </w:rPr>
        <w:t>H</w:t>
      </w:r>
      <w:r w:rsidRPr="005F0207">
        <w:rPr>
          <w:noProof/>
          <w:color w:val="000000"/>
        </w:rPr>
        <w:t>air, J.F., Black, W.C., Babin, B.J.</w:t>
      </w:r>
      <w:r>
        <w:rPr>
          <w:noProof/>
          <w:color w:val="000000"/>
        </w:rPr>
        <w:t xml:space="preserve">, &amp; </w:t>
      </w:r>
      <w:r w:rsidRPr="005F0207">
        <w:rPr>
          <w:noProof/>
          <w:color w:val="000000"/>
        </w:rPr>
        <w:t>Anderson, R.E. (2010)</w:t>
      </w:r>
      <w:r>
        <w:rPr>
          <w:noProof/>
          <w:color w:val="000000"/>
        </w:rPr>
        <w:t>.</w:t>
      </w:r>
      <w:r w:rsidRPr="005F0207">
        <w:rPr>
          <w:noProof/>
          <w:color w:val="000000"/>
        </w:rPr>
        <w:t xml:space="preserve"> </w:t>
      </w:r>
      <w:r w:rsidRPr="005F0207">
        <w:rPr>
          <w:i/>
          <w:iCs/>
          <w:noProof/>
          <w:color w:val="000000"/>
        </w:rPr>
        <w:t>Multivariate Data Analysis</w:t>
      </w:r>
      <w:r w:rsidR="007709A6">
        <w:rPr>
          <w:noProof/>
          <w:color w:val="000000"/>
        </w:rPr>
        <w:t xml:space="preserve"> (</w:t>
      </w:r>
      <w:r w:rsidRPr="005F0207">
        <w:rPr>
          <w:noProof/>
          <w:color w:val="000000"/>
        </w:rPr>
        <w:t>7</w:t>
      </w:r>
      <w:r w:rsidR="007709A6" w:rsidRPr="007709A6">
        <w:rPr>
          <w:noProof/>
          <w:color w:val="000000"/>
          <w:vertAlign w:val="superscript"/>
        </w:rPr>
        <w:t>th</w:t>
      </w:r>
      <w:r w:rsidR="007709A6">
        <w:rPr>
          <w:noProof/>
          <w:color w:val="000000"/>
        </w:rPr>
        <w:t xml:space="preserve"> </w:t>
      </w:r>
      <w:r w:rsidRPr="005F0207">
        <w:rPr>
          <w:noProof/>
          <w:color w:val="000000"/>
        </w:rPr>
        <w:t>Ed</w:t>
      </w:r>
      <w:r w:rsidR="007709A6">
        <w:rPr>
          <w:noProof/>
          <w:color w:val="000000"/>
        </w:rPr>
        <w:t>.)</w:t>
      </w:r>
      <w:r w:rsidRPr="005F0207">
        <w:rPr>
          <w:noProof/>
          <w:color w:val="000000"/>
        </w:rPr>
        <w:t>, Pearson, New York.</w:t>
      </w:r>
    </w:p>
    <w:p w14:paraId="779BC80A" w14:textId="3C617128" w:rsidR="00CF18E2" w:rsidRDefault="00CF18E2" w:rsidP="00CF18E2">
      <w:pPr>
        <w:spacing w:line="276" w:lineRule="auto"/>
        <w:ind w:left="851" w:hanging="851"/>
        <w:rPr>
          <w:noProof/>
          <w:color w:val="000000"/>
        </w:rPr>
      </w:pPr>
      <w:r w:rsidRPr="001D7AFC">
        <w:rPr>
          <w:noProof/>
          <w:color w:val="000000"/>
        </w:rPr>
        <w:t>Heatherton</w:t>
      </w:r>
      <w:r>
        <w:rPr>
          <w:noProof/>
          <w:color w:val="000000"/>
        </w:rPr>
        <w:t>,</w:t>
      </w:r>
      <w:r w:rsidRPr="001D7AFC">
        <w:rPr>
          <w:noProof/>
          <w:color w:val="000000"/>
        </w:rPr>
        <w:t xml:space="preserve"> T</w:t>
      </w:r>
      <w:r>
        <w:rPr>
          <w:noProof/>
          <w:color w:val="000000"/>
        </w:rPr>
        <w:t>.</w:t>
      </w:r>
      <w:r w:rsidRPr="001D7AFC">
        <w:rPr>
          <w:noProof/>
          <w:color w:val="000000"/>
        </w:rPr>
        <w:t>F</w:t>
      </w:r>
      <w:r>
        <w:rPr>
          <w:noProof/>
          <w:color w:val="000000"/>
        </w:rPr>
        <w:t>.</w:t>
      </w:r>
      <w:r w:rsidRPr="001D7AFC">
        <w:rPr>
          <w:noProof/>
          <w:color w:val="000000"/>
        </w:rPr>
        <w:t>, Kozlowski</w:t>
      </w:r>
      <w:r>
        <w:rPr>
          <w:noProof/>
          <w:color w:val="000000"/>
        </w:rPr>
        <w:t>,</w:t>
      </w:r>
      <w:r w:rsidRPr="001D7AFC">
        <w:rPr>
          <w:noProof/>
          <w:color w:val="000000"/>
        </w:rPr>
        <w:t xml:space="preserve"> L</w:t>
      </w:r>
      <w:r>
        <w:rPr>
          <w:noProof/>
          <w:color w:val="000000"/>
        </w:rPr>
        <w:t>.</w:t>
      </w:r>
      <w:r w:rsidRPr="001D7AFC">
        <w:rPr>
          <w:noProof/>
          <w:color w:val="000000"/>
        </w:rPr>
        <w:t>T</w:t>
      </w:r>
      <w:r>
        <w:rPr>
          <w:noProof/>
          <w:color w:val="000000"/>
        </w:rPr>
        <w:t>.</w:t>
      </w:r>
      <w:r w:rsidRPr="001D7AFC">
        <w:rPr>
          <w:noProof/>
          <w:color w:val="000000"/>
        </w:rPr>
        <w:t>, Frecker</w:t>
      </w:r>
      <w:r>
        <w:rPr>
          <w:noProof/>
          <w:color w:val="000000"/>
        </w:rPr>
        <w:t>,</w:t>
      </w:r>
      <w:r w:rsidRPr="001D7AFC">
        <w:rPr>
          <w:noProof/>
          <w:color w:val="000000"/>
        </w:rPr>
        <w:t xml:space="preserve"> R</w:t>
      </w:r>
      <w:r>
        <w:rPr>
          <w:noProof/>
          <w:color w:val="000000"/>
        </w:rPr>
        <w:t>.</w:t>
      </w:r>
      <w:r w:rsidRPr="001D7AFC">
        <w:rPr>
          <w:noProof/>
          <w:color w:val="000000"/>
        </w:rPr>
        <w:t>C</w:t>
      </w:r>
      <w:r>
        <w:rPr>
          <w:noProof/>
          <w:color w:val="000000"/>
        </w:rPr>
        <w:t>.</w:t>
      </w:r>
      <w:r w:rsidRPr="001D7AFC">
        <w:rPr>
          <w:noProof/>
          <w:color w:val="000000"/>
        </w:rPr>
        <w:t>, &amp; Fagerstrom</w:t>
      </w:r>
      <w:r>
        <w:rPr>
          <w:noProof/>
          <w:color w:val="000000"/>
        </w:rPr>
        <w:t>,</w:t>
      </w:r>
      <w:r w:rsidRPr="001D7AFC">
        <w:rPr>
          <w:noProof/>
          <w:color w:val="000000"/>
        </w:rPr>
        <w:t xml:space="preserve"> K</w:t>
      </w:r>
      <w:r>
        <w:rPr>
          <w:noProof/>
          <w:color w:val="000000"/>
        </w:rPr>
        <w:t>.</w:t>
      </w:r>
      <w:r w:rsidRPr="001D7AFC">
        <w:rPr>
          <w:noProof/>
          <w:color w:val="000000"/>
        </w:rPr>
        <w:t xml:space="preserve">O. </w:t>
      </w:r>
      <w:r>
        <w:rPr>
          <w:noProof/>
          <w:color w:val="000000"/>
        </w:rPr>
        <w:t xml:space="preserve">(1991). </w:t>
      </w:r>
      <w:r w:rsidRPr="001D7AFC">
        <w:rPr>
          <w:noProof/>
          <w:color w:val="000000"/>
        </w:rPr>
        <w:t xml:space="preserve">The Fagerström test for nicotine dependence: A revision of the Fagerström Tolerance Questionnaire. </w:t>
      </w:r>
      <w:r w:rsidRPr="003C74ED">
        <w:rPr>
          <w:i/>
          <w:iCs/>
          <w:noProof/>
          <w:color w:val="000000"/>
        </w:rPr>
        <w:t>British Journal of Addiction, 86</w:t>
      </w:r>
      <w:r w:rsidRPr="001D7AFC">
        <w:rPr>
          <w:noProof/>
          <w:color w:val="000000"/>
        </w:rPr>
        <w:t>(9)</w:t>
      </w:r>
      <w:r>
        <w:rPr>
          <w:noProof/>
          <w:color w:val="000000"/>
        </w:rPr>
        <w:t xml:space="preserve">, </w:t>
      </w:r>
      <w:r w:rsidRPr="001D7AFC">
        <w:rPr>
          <w:noProof/>
          <w:color w:val="000000"/>
        </w:rPr>
        <w:t xml:space="preserve">1119-1127. </w:t>
      </w:r>
      <w:r w:rsidRPr="001D7AFC">
        <w:rPr>
          <w:noProof/>
        </w:rPr>
        <w:t>doi: 10.1111/j.1360-0443.1991.tb01879.x</w:t>
      </w:r>
    </w:p>
    <w:p w14:paraId="399C55FE" w14:textId="013EEEBE" w:rsidR="00CF18E2" w:rsidRDefault="00CF18E2" w:rsidP="00CF18E2">
      <w:pPr>
        <w:spacing w:line="276" w:lineRule="auto"/>
        <w:ind w:left="851" w:hanging="851"/>
        <w:rPr>
          <w:noProof/>
          <w:color w:val="000000"/>
        </w:rPr>
      </w:pPr>
      <w:r w:rsidRPr="001D7AFC">
        <w:rPr>
          <w:noProof/>
          <w:color w:val="000000"/>
        </w:rPr>
        <w:lastRenderedPageBreak/>
        <w:t>Hofmann</w:t>
      </w:r>
      <w:r>
        <w:rPr>
          <w:noProof/>
          <w:color w:val="000000"/>
        </w:rPr>
        <w:t>,</w:t>
      </w:r>
      <w:r w:rsidRPr="001D7AFC">
        <w:rPr>
          <w:noProof/>
          <w:color w:val="000000"/>
        </w:rPr>
        <w:t xml:space="preserve"> S</w:t>
      </w:r>
      <w:r>
        <w:rPr>
          <w:noProof/>
          <w:color w:val="000000"/>
        </w:rPr>
        <w:t>.</w:t>
      </w:r>
      <w:r w:rsidRPr="001D7AFC">
        <w:rPr>
          <w:noProof/>
          <w:color w:val="000000"/>
        </w:rPr>
        <w:t>G</w:t>
      </w:r>
      <w:r>
        <w:rPr>
          <w:noProof/>
          <w:color w:val="000000"/>
        </w:rPr>
        <w:t>.</w:t>
      </w:r>
      <w:r w:rsidRPr="001D7AFC">
        <w:rPr>
          <w:noProof/>
          <w:color w:val="000000"/>
        </w:rPr>
        <w:t>, &amp; Hayes</w:t>
      </w:r>
      <w:r>
        <w:rPr>
          <w:noProof/>
          <w:color w:val="000000"/>
        </w:rPr>
        <w:t>,</w:t>
      </w:r>
      <w:r w:rsidRPr="001D7AFC">
        <w:rPr>
          <w:noProof/>
          <w:color w:val="000000"/>
        </w:rPr>
        <w:t xml:space="preserve"> S</w:t>
      </w:r>
      <w:r>
        <w:rPr>
          <w:noProof/>
          <w:color w:val="000000"/>
        </w:rPr>
        <w:t>.</w:t>
      </w:r>
      <w:r w:rsidRPr="001D7AFC">
        <w:rPr>
          <w:noProof/>
          <w:color w:val="000000"/>
        </w:rPr>
        <w:t xml:space="preserve">C. </w:t>
      </w:r>
      <w:r>
        <w:rPr>
          <w:noProof/>
          <w:color w:val="000000"/>
        </w:rPr>
        <w:t xml:space="preserve">(2019). </w:t>
      </w:r>
      <w:r w:rsidRPr="001D7AFC">
        <w:rPr>
          <w:noProof/>
          <w:color w:val="000000"/>
        </w:rPr>
        <w:t>Functional analysis is dead: Long live functional analysis</w:t>
      </w:r>
      <w:r w:rsidRPr="004E5D08">
        <w:rPr>
          <w:i/>
          <w:iCs/>
          <w:noProof/>
          <w:color w:val="000000"/>
        </w:rPr>
        <w:t>. Clinical Psychological Science,</w:t>
      </w:r>
      <w:r>
        <w:rPr>
          <w:noProof/>
          <w:color w:val="000000"/>
        </w:rPr>
        <w:t xml:space="preserve"> </w:t>
      </w:r>
      <w:r w:rsidRPr="001D7AFC">
        <w:rPr>
          <w:noProof/>
          <w:color w:val="000000"/>
        </w:rPr>
        <w:t>7(1)</w:t>
      </w:r>
      <w:r>
        <w:rPr>
          <w:noProof/>
          <w:color w:val="000000"/>
        </w:rPr>
        <w:t>,</w:t>
      </w:r>
      <w:r w:rsidRPr="001D7AFC">
        <w:rPr>
          <w:noProof/>
          <w:color w:val="000000"/>
        </w:rPr>
        <w:t xml:space="preserve"> 63-67. doi:</w:t>
      </w:r>
      <w:r w:rsidRPr="001D7AFC">
        <w:t xml:space="preserve"> 10.1177/2167702618805513</w:t>
      </w:r>
    </w:p>
    <w:p w14:paraId="195970EA" w14:textId="66598F04" w:rsidR="00CF18E2" w:rsidRPr="00A2430F" w:rsidRDefault="00CF18E2" w:rsidP="00CF18E2">
      <w:pPr>
        <w:spacing w:line="276" w:lineRule="auto"/>
        <w:ind w:left="851" w:hanging="851"/>
        <w:rPr>
          <w:noProof/>
          <w:color w:val="000000"/>
        </w:rPr>
      </w:pPr>
      <w:r w:rsidRPr="001D7AFC">
        <w:rPr>
          <w:noProof/>
          <w:color w:val="000000"/>
        </w:rPr>
        <w:t>Hoge</w:t>
      </w:r>
      <w:r>
        <w:rPr>
          <w:noProof/>
          <w:color w:val="000000"/>
        </w:rPr>
        <w:t>,</w:t>
      </w:r>
      <w:r w:rsidRPr="001D7AFC">
        <w:rPr>
          <w:noProof/>
          <w:color w:val="000000"/>
        </w:rPr>
        <w:t xml:space="preserve"> C</w:t>
      </w:r>
      <w:r>
        <w:rPr>
          <w:noProof/>
          <w:color w:val="000000"/>
        </w:rPr>
        <w:t>.</w:t>
      </w:r>
      <w:r w:rsidRPr="001D7AFC">
        <w:rPr>
          <w:noProof/>
          <w:color w:val="000000"/>
        </w:rPr>
        <w:t>W</w:t>
      </w:r>
      <w:r>
        <w:rPr>
          <w:noProof/>
          <w:color w:val="000000"/>
        </w:rPr>
        <w:t>.</w:t>
      </w:r>
      <w:r w:rsidRPr="001D7AFC">
        <w:rPr>
          <w:noProof/>
          <w:color w:val="000000"/>
        </w:rPr>
        <w:t>, Castro</w:t>
      </w:r>
      <w:r>
        <w:rPr>
          <w:noProof/>
          <w:color w:val="000000"/>
        </w:rPr>
        <w:t>,</w:t>
      </w:r>
      <w:r w:rsidRPr="001D7AFC">
        <w:rPr>
          <w:noProof/>
          <w:color w:val="000000"/>
        </w:rPr>
        <w:t xml:space="preserve"> C</w:t>
      </w:r>
      <w:r>
        <w:rPr>
          <w:noProof/>
          <w:color w:val="000000"/>
        </w:rPr>
        <w:t>.</w:t>
      </w:r>
      <w:r w:rsidRPr="001D7AFC">
        <w:rPr>
          <w:noProof/>
          <w:color w:val="000000"/>
        </w:rPr>
        <w:t>A</w:t>
      </w:r>
      <w:r>
        <w:rPr>
          <w:noProof/>
          <w:color w:val="000000"/>
        </w:rPr>
        <w:t>.</w:t>
      </w:r>
      <w:r w:rsidRPr="001D7AFC">
        <w:rPr>
          <w:noProof/>
          <w:color w:val="000000"/>
        </w:rPr>
        <w:t>, Messer</w:t>
      </w:r>
      <w:r>
        <w:rPr>
          <w:noProof/>
          <w:color w:val="000000"/>
        </w:rPr>
        <w:t>,</w:t>
      </w:r>
      <w:r w:rsidRPr="001D7AFC">
        <w:rPr>
          <w:noProof/>
          <w:color w:val="000000"/>
        </w:rPr>
        <w:t xml:space="preserve"> S</w:t>
      </w:r>
      <w:r>
        <w:rPr>
          <w:noProof/>
          <w:color w:val="000000"/>
        </w:rPr>
        <w:t>.</w:t>
      </w:r>
      <w:r w:rsidRPr="001D7AFC">
        <w:rPr>
          <w:noProof/>
          <w:color w:val="000000"/>
        </w:rPr>
        <w:t>C</w:t>
      </w:r>
      <w:r>
        <w:rPr>
          <w:noProof/>
          <w:color w:val="000000"/>
        </w:rPr>
        <w:t>.</w:t>
      </w:r>
      <w:r w:rsidRPr="001D7AFC">
        <w:rPr>
          <w:noProof/>
          <w:color w:val="000000"/>
        </w:rPr>
        <w:t>, McGurk</w:t>
      </w:r>
      <w:r>
        <w:rPr>
          <w:noProof/>
          <w:color w:val="000000"/>
        </w:rPr>
        <w:t>,</w:t>
      </w:r>
      <w:r w:rsidRPr="001D7AFC">
        <w:rPr>
          <w:noProof/>
          <w:color w:val="000000"/>
        </w:rPr>
        <w:t xml:space="preserve"> D</w:t>
      </w:r>
      <w:r>
        <w:rPr>
          <w:noProof/>
          <w:color w:val="000000"/>
        </w:rPr>
        <w:t>.</w:t>
      </w:r>
      <w:r w:rsidRPr="001D7AFC">
        <w:rPr>
          <w:noProof/>
          <w:color w:val="000000"/>
        </w:rPr>
        <w:t>, Cotting</w:t>
      </w:r>
      <w:r>
        <w:rPr>
          <w:noProof/>
          <w:color w:val="000000"/>
        </w:rPr>
        <w:t>,</w:t>
      </w:r>
      <w:r w:rsidRPr="001D7AFC">
        <w:rPr>
          <w:noProof/>
          <w:color w:val="000000"/>
        </w:rPr>
        <w:t xml:space="preserve"> D</w:t>
      </w:r>
      <w:r>
        <w:rPr>
          <w:noProof/>
          <w:color w:val="000000"/>
        </w:rPr>
        <w:t>.</w:t>
      </w:r>
      <w:r w:rsidRPr="001D7AFC">
        <w:rPr>
          <w:noProof/>
          <w:color w:val="000000"/>
        </w:rPr>
        <w:t>I</w:t>
      </w:r>
      <w:r>
        <w:rPr>
          <w:noProof/>
          <w:color w:val="000000"/>
        </w:rPr>
        <w:t>.</w:t>
      </w:r>
      <w:r w:rsidRPr="001D7AFC">
        <w:rPr>
          <w:noProof/>
          <w:color w:val="000000"/>
        </w:rPr>
        <w:t>, &amp; Koffman</w:t>
      </w:r>
      <w:r>
        <w:rPr>
          <w:noProof/>
          <w:color w:val="000000"/>
        </w:rPr>
        <w:t>,</w:t>
      </w:r>
      <w:r w:rsidRPr="001D7AFC">
        <w:rPr>
          <w:noProof/>
          <w:color w:val="000000"/>
        </w:rPr>
        <w:t xml:space="preserve"> R</w:t>
      </w:r>
      <w:r>
        <w:rPr>
          <w:noProof/>
          <w:color w:val="000000"/>
        </w:rPr>
        <w:t>.</w:t>
      </w:r>
      <w:r w:rsidRPr="001D7AFC">
        <w:rPr>
          <w:noProof/>
          <w:color w:val="000000"/>
        </w:rPr>
        <w:t>L.</w:t>
      </w:r>
      <w:r>
        <w:rPr>
          <w:noProof/>
          <w:color w:val="000000"/>
        </w:rPr>
        <w:t xml:space="preserve"> (2014).</w:t>
      </w:r>
      <w:r w:rsidRPr="001D7AFC">
        <w:rPr>
          <w:noProof/>
          <w:color w:val="000000"/>
        </w:rPr>
        <w:t xml:space="preserve"> Combat duty in Iraq and Afghanistan, mental health problems, and barriers to care. </w:t>
      </w:r>
      <w:r w:rsidRPr="00124176">
        <w:rPr>
          <w:i/>
          <w:iCs/>
          <w:noProof/>
          <w:color w:val="000000"/>
        </w:rPr>
        <w:t xml:space="preserve">New </w:t>
      </w:r>
      <w:r w:rsidRPr="00E65F2B">
        <w:rPr>
          <w:i/>
          <w:iCs/>
          <w:noProof/>
          <w:color w:val="000000"/>
        </w:rPr>
        <w:t>England Journal of Medicine, 351</w:t>
      </w:r>
      <w:r w:rsidRPr="001D7AFC">
        <w:rPr>
          <w:noProof/>
          <w:color w:val="000000"/>
        </w:rPr>
        <w:t>(1)</w:t>
      </w:r>
      <w:r>
        <w:rPr>
          <w:noProof/>
          <w:color w:val="000000"/>
        </w:rPr>
        <w:t xml:space="preserve">, </w:t>
      </w:r>
      <w:r w:rsidRPr="001D7AFC">
        <w:rPr>
          <w:noProof/>
          <w:color w:val="000000"/>
        </w:rPr>
        <w:t xml:space="preserve">13-22. </w:t>
      </w:r>
      <w:r w:rsidRPr="001D7AFC">
        <w:rPr>
          <w:noProof/>
        </w:rPr>
        <w:t>doi: 10.1056/NEJMoa040603</w:t>
      </w:r>
    </w:p>
    <w:p w14:paraId="1149ACEC" w14:textId="14D07BCD" w:rsidR="00CF18E2" w:rsidRDefault="00CF18E2" w:rsidP="00CF18E2">
      <w:pPr>
        <w:spacing w:line="276" w:lineRule="auto"/>
        <w:ind w:left="851" w:hanging="851"/>
        <w:rPr>
          <w:noProof/>
          <w:color w:val="000000"/>
        </w:rPr>
      </w:pPr>
      <w:r w:rsidRPr="001D7AFC">
        <w:rPr>
          <w:noProof/>
          <w:color w:val="000000"/>
        </w:rPr>
        <w:t>Hotopf</w:t>
      </w:r>
      <w:r>
        <w:rPr>
          <w:noProof/>
          <w:color w:val="000000"/>
        </w:rPr>
        <w:t>,</w:t>
      </w:r>
      <w:r w:rsidRPr="001D7AFC">
        <w:rPr>
          <w:noProof/>
          <w:color w:val="000000"/>
        </w:rPr>
        <w:t xml:space="preserve"> M</w:t>
      </w:r>
      <w:r>
        <w:rPr>
          <w:noProof/>
          <w:color w:val="000000"/>
        </w:rPr>
        <w:t>.</w:t>
      </w:r>
      <w:r w:rsidRPr="001D7AFC">
        <w:rPr>
          <w:noProof/>
          <w:color w:val="000000"/>
        </w:rPr>
        <w:t>, Hull</w:t>
      </w:r>
      <w:r>
        <w:rPr>
          <w:noProof/>
          <w:color w:val="000000"/>
        </w:rPr>
        <w:t>,</w:t>
      </w:r>
      <w:r w:rsidRPr="001D7AFC">
        <w:rPr>
          <w:noProof/>
          <w:color w:val="000000"/>
        </w:rPr>
        <w:t xml:space="preserve"> L</w:t>
      </w:r>
      <w:r>
        <w:rPr>
          <w:noProof/>
          <w:color w:val="000000"/>
        </w:rPr>
        <w:t>.</w:t>
      </w:r>
      <w:r w:rsidRPr="001D7AFC">
        <w:rPr>
          <w:noProof/>
          <w:color w:val="000000"/>
        </w:rPr>
        <w:t>, Fear</w:t>
      </w:r>
      <w:r>
        <w:rPr>
          <w:noProof/>
          <w:color w:val="000000"/>
        </w:rPr>
        <w:t>,</w:t>
      </w:r>
      <w:r w:rsidRPr="001D7AFC">
        <w:rPr>
          <w:noProof/>
          <w:color w:val="000000"/>
        </w:rPr>
        <w:t xml:space="preserve"> N</w:t>
      </w:r>
      <w:r>
        <w:rPr>
          <w:noProof/>
          <w:color w:val="000000"/>
        </w:rPr>
        <w:t>.</w:t>
      </w:r>
      <w:r w:rsidRPr="001D7AFC">
        <w:rPr>
          <w:noProof/>
          <w:color w:val="000000"/>
        </w:rPr>
        <w:t>T</w:t>
      </w:r>
      <w:r>
        <w:rPr>
          <w:noProof/>
          <w:color w:val="000000"/>
        </w:rPr>
        <w:t>.</w:t>
      </w:r>
      <w:r w:rsidRPr="001D7AFC">
        <w:rPr>
          <w:noProof/>
          <w:color w:val="000000"/>
        </w:rPr>
        <w:t>, Browne</w:t>
      </w:r>
      <w:r>
        <w:rPr>
          <w:noProof/>
          <w:color w:val="000000"/>
        </w:rPr>
        <w:t>,</w:t>
      </w:r>
      <w:r w:rsidRPr="001D7AFC">
        <w:rPr>
          <w:noProof/>
          <w:color w:val="000000"/>
        </w:rPr>
        <w:t xml:space="preserve"> T</w:t>
      </w:r>
      <w:r>
        <w:rPr>
          <w:noProof/>
          <w:color w:val="000000"/>
        </w:rPr>
        <w:t>.</w:t>
      </w:r>
      <w:r w:rsidRPr="001D7AFC">
        <w:rPr>
          <w:noProof/>
          <w:color w:val="000000"/>
        </w:rPr>
        <w:t>, Horn</w:t>
      </w:r>
      <w:r>
        <w:rPr>
          <w:noProof/>
          <w:color w:val="000000"/>
        </w:rPr>
        <w:t>,</w:t>
      </w:r>
      <w:r w:rsidRPr="001D7AFC">
        <w:rPr>
          <w:noProof/>
          <w:color w:val="000000"/>
        </w:rPr>
        <w:t xml:space="preserve"> O</w:t>
      </w:r>
      <w:r>
        <w:rPr>
          <w:noProof/>
          <w:color w:val="000000"/>
        </w:rPr>
        <w:t>.</w:t>
      </w:r>
      <w:r w:rsidRPr="001D7AFC">
        <w:rPr>
          <w:noProof/>
          <w:color w:val="000000"/>
        </w:rPr>
        <w:t>, Iversen</w:t>
      </w:r>
      <w:r>
        <w:rPr>
          <w:noProof/>
          <w:color w:val="000000"/>
        </w:rPr>
        <w:t>,</w:t>
      </w:r>
      <w:r w:rsidRPr="001D7AFC">
        <w:rPr>
          <w:noProof/>
          <w:color w:val="000000"/>
        </w:rPr>
        <w:t xml:space="preserve"> A</w:t>
      </w:r>
      <w:r>
        <w:rPr>
          <w:noProof/>
          <w:color w:val="000000"/>
        </w:rPr>
        <w:t>.</w:t>
      </w:r>
      <w:r w:rsidRPr="001D7AFC">
        <w:rPr>
          <w:noProof/>
          <w:color w:val="000000"/>
        </w:rPr>
        <w:t xml:space="preserve">, </w:t>
      </w:r>
      <w:r>
        <w:rPr>
          <w:noProof/>
          <w:color w:val="000000"/>
        </w:rPr>
        <w:t>J</w:t>
      </w:r>
      <w:r w:rsidRPr="00E65F2B">
        <w:rPr>
          <w:noProof/>
          <w:color w:val="000000"/>
        </w:rPr>
        <w:t>ones</w:t>
      </w:r>
      <w:r>
        <w:rPr>
          <w:noProof/>
          <w:color w:val="000000"/>
        </w:rPr>
        <w:t>,</w:t>
      </w:r>
      <w:r w:rsidRPr="00E65F2B">
        <w:rPr>
          <w:noProof/>
          <w:color w:val="000000"/>
        </w:rPr>
        <w:t xml:space="preserve"> M</w:t>
      </w:r>
      <w:r>
        <w:rPr>
          <w:noProof/>
          <w:color w:val="000000"/>
        </w:rPr>
        <w:t>.</w:t>
      </w:r>
      <w:r w:rsidRPr="00E65F2B">
        <w:rPr>
          <w:noProof/>
          <w:color w:val="000000"/>
        </w:rPr>
        <w:t>, Murphy</w:t>
      </w:r>
      <w:r>
        <w:rPr>
          <w:noProof/>
          <w:color w:val="000000"/>
        </w:rPr>
        <w:t>,</w:t>
      </w:r>
      <w:r w:rsidRPr="00E65F2B">
        <w:rPr>
          <w:noProof/>
          <w:color w:val="000000"/>
        </w:rPr>
        <w:t xml:space="preserve"> D</w:t>
      </w:r>
      <w:r>
        <w:rPr>
          <w:noProof/>
          <w:color w:val="000000"/>
        </w:rPr>
        <w:t>.</w:t>
      </w:r>
      <w:r w:rsidRPr="00E65F2B">
        <w:rPr>
          <w:noProof/>
          <w:color w:val="000000"/>
        </w:rPr>
        <w:t>, Bland</w:t>
      </w:r>
      <w:r>
        <w:rPr>
          <w:noProof/>
          <w:color w:val="000000"/>
        </w:rPr>
        <w:t>,</w:t>
      </w:r>
      <w:r w:rsidRPr="00E65F2B">
        <w:rPr>
          <w:noProof/>
          <w:color w:val="000000"/>
        </w:rPr>
        <w:t xml:space="preserve"> D</w:t>
      </w:r>
      <w:r>
        <w:rPr>
          <w:noProof/>
          <w:color w:val="000000"/>
        </w:rPr>
        <w:t>.</w:t>
      </w:r>
      <w:r w:rsidRPr="00E65F2B">
        <w:rPr>
          <w:noProof/>
          <w:color w:val="000000"/>
        </w:rPr>
        <w:t>, Earnshaw</w:t>
      </w:r>
      <w:r>
        <w:rPr>
          <w:noProof/>
          <w:color w:val="000000"/>
        </w:rPr>
        <w:t>,</w:t>
      </w:r>
      <w:r w:rsidRPr="00E65F2B">
        <w:rPr>
          <w:noProof/>
          <w:color w:val="000000"/>
        </w:rPr>
        <w:t xml:space="preserve"> M</w:t>
      </w:r>
      <w:r>
        <w:rPr>
          <w:noProof/>
          <w:color w:val="000000"/>
        </w:rPr>
        <w:t>.</w:t>
      </w:r>
      <w:r w:rsidRPr="00E65F2B">
        <w:rPr>
          <w:noProof/>
          <w:color w:val="000000"/>
        </w:rPr>
        <w:t>, Greenberg</w:t>
      </w:r>
      <w:r>
        <w:rPr>
          <w:noProof/>
          <w:color w:val="000000"/>
        </w:rPr>
        <w:t>,</w:t>
      </w:r>
      <w:r w:rsidRPr="00E65F2B">
        <w:rPr>
          <w:noProof/>
          <w:color w:val="000000"/>
        </w:rPr>
        <w:t xml:space="preserve"> N</w:t>
      </w:r>
      <w:r>
        <w:rPr>
          <w:noProof/>
          <w:color w:val="000000"/>
        </w:rPr>
        <w:t>.</w:t>
      </w:r>
      <w:r w:rsidRPr="00E65F2B">
        <w:rPr>
          <w:noProof/>
          <w:color w:val="000000"/>
        </w:rPr>
        <w:t>, Hughes</w:t>
      </w:r>
      <w:r>
        <w:rPr>
          <w:noProof/>
          <w:color w:val="000000"/>
        </w:rPr>
        <w:t>,</w:t>
      </w:r>
      <w:r w:rsidRPr="00E65F2B">
        <w:rPr>
          <w:noProof/>
          <w:color w:val="000000"/>
        </w:rPr>
        <w:t xml:space="preserve"> J</w:t>
      </w:r>
      <w:r>
        <w:rPr>
          <w:noProof/>
          <w:color w:val="000000"/>
        </w:rPr>
        <w:t>.</w:t>
      </w:r>
      <w:r w:rsidRPr="00E65F2B">
        <w:rPr>
          <w:noProof/>
          <w:color w:val="000000"/>
        </w:rPr>
        <w:t>H</w:t>
      </w:r>
      <w:r>
        <w:rPr>
          <w:noProof/>
          <w:color w:val="000000"/>
        </w:rPr>
        <w:t>.</w:t>
      </w:r>
      <w:r w:rsidRPr="00E65F2B">
        <w:rPr>
          <w:noProof/>
          <w:color w:val="000000"/>
        </w:rPr>
        <w:t>, Tate</w:t>
      </w:r>
      <w:r>
        <w:rPr>
          <w:noProof/>
          <w:color w:val="000000"/>
        </w:rPr>
        <w:t>,</w:t>
      </w:r>
      <w:r w:rsidRPr="00E65F2B">
        <w:rPr>
          <w:noProof/>
          <w:color w:val="000000"/>
        </w:rPr>
        <w:t xml:space="preserve"> A</w:t>
      </w:r>
      <w:r>
        <w:rPr>
          <w:noProof/>
          <w:color w:val="000000"/>
        </w:rPr>
        <w:t>.</w:t>
      </w:r>
      <w:r w:rsidRPr="00E65F2B">
        <w:rPr>
          <w:noProof/>
          <w:color w:val="000000"/>
        </w:rPr>
        <w:t>R</w:t>
      </w:r>
      <w:r>
        <w:rPr>
          <w:noProof/>
          <w:color w:val="000000"/>
        </w:rPr>
        <w:t>.</w:t>
      </w:r>
      <w:r w:rsidRPr="00E65F2B">
        <w:rPr>
          <w:noProof/>
          <w:color w:val="000000"/>
        </w:rPr>
        <w:t>, Dandeker</w:t>
      </w:r>
      <w:r>
        <w:rPr>
          <w:noProof/>
          <w:color w:val="000000"/>
        </w:rPr>
        <w:t>,</w:t>
      </w:r>
      <w:r w:rsidRPr="00E65F2B">
        <w:rPr>
          <w:noProof/>
          <w:color w:val="000000"/>
        </w:rPr>
        <w:t xml:space="preserve"> C</w:t>
      </w:r>
      <w:r>
        <w:rPr>
          <w:noProof/>
          <w:color w:val="000000"/>
        </w:rPr>
        <w:t>.</w:t>
      </w:r>
      <w:r w:rsidRPr="00E65F2B">
        <w:rPr>
          <w:noProof/>
          <w:color w:val="000000"/>
        </w:rPr>
        <w:t>, Rona</w:t>
      </w:r>
      <w:r>
        <w:rPr>
          <w:noProof/>
          <w:color w:val="000000"/>
        </w:rPr>
        <w:t>,</w:t>
      </w:r>
      <w:r w:rsidRPr="00E65F2B">
        <w:rPr>
          <w:noProof/>
          <w:color w:val="000000"/>
        </w:rPr>
        <w:t xml:space="preserve"> R</w:t>
      </w:r>
      <w:r>
        <w:rPr>
          <w:noProof/>
          <w:color w:val="000000"/>
        </w:rPr>
        <w:t>.</w:t>
      </w:r>
      <w:r w:rsidRPr="00E65F2B">
        <w:rPr>
          <w:noProof/>
          <w:color w:val="000000"/>
        </w:rPr>
        <w:t xml:space="preserve">, </w:t>
      </w:r>
      <w:r>
        <w:rPr>
          <w:noProof/>
          <w:color w:val="000000"/>
        </w:rPr>
        <w:t xml:space="preserve">&amp; </w:t>
      </w:r>
      <w:r w:rsidRPr="00E65F2B">
        <w:rPr>
          <w:noProof/>
          <w:color w:val="000000"/>
        </w:rPr>
        <w:t>Wessely</w:t>
      </w:r>
      <w:r>
        <w:rPr>
          <w:noProof/>
          <w:color w:val="000000"/>
        </w:rPr>
        <w:t>,</w:t>
      </w:r>
      <w:r w:rsidRPr="00E65F2B">
        <w:rPr>
          <w:noProof/>
          <w:color w:val="000000"/>
        </w:rPr>
        <w:t xml:space="preserve"> S</w:t>
      </w:r>
      <w:r>
        <w:rPr>
          <w:noProof/>
          <w:color w:val="000000"/>
        </w:rPr>
        <w:t xml:space="preserve">. (2016). </w:t>
      </w:r>
      <w:r w:rsidRPr="001D7AFC">
        <w:rPr>
          <w:noProof/>
          <w:color w:val="000000"/>
        </w:rPr>
        <w:t>The health of UK military personnel who deployed to the 2003 Iraq war: A cohort study. </w:t>
      </w:r>
      <w:r w:rsidRPr="00E65F2B">
        <w:rPr>
          <w:i/>
          <w:iCs/>
          <w:noProof/>
          <w:color w:val="000000"/>
        </w:rPr>
        <w:t>Lancet, 367</w:t>
      </w:r>
      <w:r w:rsidRPr="001D7AFC">
        <w:rPr>
          <w:noProof/>
          <w:color w:val="000000"/>
        </w:rPr>
        <w:t xml:space="preserve">(9524):1731-1741. </w:t>
      </w:r>
      <w:r w:rsidRPr="001D7AFC">
        <w:rPr>
          <w:noProof/>
        </w:rPr>
        <w:t>doi: 10.1016/S0140-6736(06)68662-5</w:t>
      </w:r>
    </w:p>
    <w:p w14:paraId="67D40E93" w14:textId="1D2A2345" w:rsidR="00CF18E2" w:rsidRDefault="00CF18E2" w:rsidP="00CF18E2">
      <w:pPr>
        <w:spacing w:line="276" w:lineRule="auto"/>
        <w:ind w:left="851" w:hanging="851"/>
        <w:rPr>
          <w:noProof/>
          <w:color w:val="000000"/>
        </w:rPr>
      </w:pPr>
      <w:r w:rsidRPr="001D7AFC">
        <w:rPr>
          <w:noProof/>
          <w:color w:val="000000"/>
        </w:rPr>
        <w:t>Hurl</w:t>
      </w:r>
      <w:r>
        <w:rPr>
          <w:noProof/>
          <w:color w:val="000000"/>
        </w:rPr>
        <w:t>,</w:t>
      </w:r>
      <w:r w:rsidRPr="001D7AFC">
        <w:rPr>
          <w:noProof/>
          <w:color w:val="000000"/>
        </w:rPr>
        <w:t xml:space="preserve"> K</w:t>
      </w:r>
      <w:r>
        <w:rPr>
          <w:noProof/>
          <w:color w:val="000000"/>
        </w:rPr>
        <w:t>.</w:t>
      </w:r>
      <w:r w:rsidRPr="001D7AFC">
        <w:rPr>
          <w:noProof/>
          <w:color w:val="000000"/>
        </w:rPr>
        <w:t>, Wightmann</w:t>
      </w:r>
      <w:r>
        <w:rPr>
          <w:noProof/>
          <w:color w:val="000000"/>
        </w:rPr>
        <w:t>,</w:t>
      </w:r>
      <w:r w:rsidRPr="001D7AFC">
        <w:rPr>
          <w:noProof/>
          <w:color w:val="000000"/>
        </w:rPr>
        <w:t xml:space="preserve"> J</w:t>
      </w:r>
      <w:r>
        <w:rPr>
          <w:noProof/>
          <w:color w:val="000000"/>
        </w:rPr>
        <w:t>.</w:t>
      </w:r>
      <w:r w:rsidRPr="001D7AFC">
        <w:rPr>
          <w:noProof/>
          <w:color w:val="000000"/>
        </w:rPr>
        <w:t>, Haynes</w:t>
      </w:r>
      <w:r>
        <w:rPr>
          <w:noProof/>
          <w:color w:val="000000"/>
        </w:rPr>
        <w:t>,</w:t>
      </w:r>
      <w:r w:rsidRPr="001D7AFC">
        <w:rPr>
          <w:noProof/>
          <w:color w:val="000000"/>
        </w:rPr>
        <w:t xml:space="preserve"> S</w:t>
      </w:r>
      <w:r>
        <w:rPr>
          <w:noProof/>
          <w:color w:val="000000"/>
        </w:rPr>
        <w:t>.</w:t>
      </w:r>
      <w:r w:rsidRPr="001D7AFC">
        <w:rPr>
          <w:noProof/>
          <w:color w:val="000000"/>
        </w:rPr>
        <w:t>N</w:t>
      </w:r>
      <w:r>
        <w:rPr>
          <w:noProof/>
          <w:color w:val="000000"/>
        </w:rPr>
        <w:t>.</w:t>
      </w:r>
      <w:r w:rsidRPr="001D7AFC">
        <w:rPr>
          <w:noProof/>
          <w:color w:val="000000"/>
        </w:rPr>
        <w:t>, &amp; Virues-Ortega</w:t>
      </w:r>
      <w:r>
        <w:rPr>
          <w:noProof/>
          <w:color w:val="000000"/>
        </w:rPr>
        <w:t>,</w:t>
      </w:r>
      <w:r w:rsidRPr="001D7AFC">
        <w:rPr>
          <w:noProof/>
          <w:color w:val="000000"/>
        </w:rPr>
        <w:t xml:space="preserve"> J. </w:t>
      </w:r>
      <w:r>
        <w:rPr>
          <w:noProof/>
          <w:color w:val="000000"/>
        </w:rPr>
        <w:t xml:space="preserve">(2016). </w:t>
      </w:r>
      <w:r w:rsidRPr="001D7AFC">
        <w:rPr>
          <w:noProof/>
          <w:color w:val="000000"/>
        </w:rPr>
        <w:t>Does a pre-intervention functional assessment increase intervention effectiveness? A meta-analysis of within-subject interrupted</w:t>
      </w:r>
      <w:r>
        <w:rPr>
          <w:noProof/>
          <w:color w:val="000000"/>
        </w:rPr>
        <w:t xml:space="preserve"> </w:t>
      </w:r>
      <w:r w:rsidRPr="001D7AFC">
        <w:rPr>
          <w:noProof/>
          <w:color w:val="000000"/>
        </w:rPr>
        <w:t xml:space="preserve">time-series studies. </w:t>
      </w:r>
      <w:r w:rsidRPr="002C7041">
        <w:rPr>
          <w:i/>
          <w:iCs/>
          <w:noProof/>
          <w:color w:val="000000"/>
        </w:rPr>
        <w:t>Clinical Psychology Review, 47</w:t>
      </w:r>
      <w:r>
        <w:rPr>
          <w:noProof/>
          <w:color w:val="000000"/>
        </w:rPr>
        <w:t xml:space="preserve">, </w:t>
      </w:r>
      <w:r w:rsidRPr="001D7AFC">
        <w:rPr>
          <w:noProof/>
          <w:color w:val="000000"/>
        </w:rPr>
        <w:t>71-84.</w:t>
      </w:r>
      <w:r w:rsidRPr="001D7AFC">
        <w:t xml:space="preserve"> </w:t>
      </w:r>
      <w:r w:rsidRPr="001D7AFC">
        <w:rPr>
          <w:noProof/>
          <w:color w:val="000000"/>
        </w:rPr>
        <w:t>doi: 10.1016/j.cpr.2016.05.003</w:t>
      </w:r>
    </w:p>
    <w:p w14:paraId="24D54125" w14:textId="70DC843A" w:rsidR="00CF18E2" w:rsidRDefault="00CF18E2" w:rsidP="00CF18E2">
      <w:pPr>
        <w:spacing w:line="276" w:lineRule="auto"/>
        <w:ind w:left="851" w:hanging="851"/>
        <w:rPr>
          <w:noProof/>
          <w:color w:val="000000"/>
        </w:rPr>
      </w:pPr>
      <w:r w:rsidRPr="001D7AFC">
        <w:rPr>
          <w:noProof/>
          <w:color w:val="000000"/>
        </w:rPr>
        <w:t>Kausch</w:t>
      </w:r>
      <w:r>
        <w:rPr>
          <w:noProof/>
          <w:color w:val="000000"/>
        </w:rPr>
        <w:t>,</w:t>
      </w:r>
      <w:r w:rsidRPr="001D7AFC">
        <w:rPr>
          <w:noProof/>
          <w:color w:val="000000"/>
        </w:rPr>
        <w:t xml:space="preserve"> O. </w:t>
      </w:r>
      <w:r>
        <w:rPr>
          <w:noProof/>
          <w:color w:val="000000"/>
        </w:rPr>
        <w:t xml:space="preserve">(2003). </w:t>
      </w:r>
      <w:r w:rsidRPr="001D7AFC">
        <w:rPr>
          <w:noProof/>
          <w:color w:val="000000"/>
        </w:rPr>
        <w:t xml:space="preserve">Patterns of substance abuse among treatment-seeking pathological gamblers. </w:t>
      </w:r>
      <w:r w:rsidRPr="000F6A04">
        <w:rPr>
          <w:i/>
          <w:iCs/>
          <w:noProof/>
          <w:color w:val="000000"/>
        </w:rPr>
        <w:t>Journal of Substance Abuse Treatment, 25</w:t>
      </w:r>
      <w:r w:rsidRPr="001D7AFC">
        <w:rPr>
          <w:noProof/>
          <w:color w:val="000000"/>
        </w:rPr>
        <w:t>(4)</w:t>
      </w:r>
      <w:r>
        <w:rPr>
          <w:noProof/>
          <w:color w:val="000000"/>
        </w:rPr>
        <w:t>,</w:t>
      </w:r>
      <w:r w:rsidRPr="001D7AFC">
        <w:rPr>
          <w:noProof/>
          <w:color w:val="000000"/>
        </w:rPr>
        <w:t xml:space="preserve"> 263-270. </w:t>
      </w:r>
      <w:r w:rsidRPr="001D7AFC">
        <w:rPr>
          <w:noProof/>
        </w:rPr>
        <w:t>doi: 10.1016/S0740-5472(03)00117-X</w:t>
      </w:r>
    </w:p>
    <w:p w14:paraId="018B76E2" w14:textId="0D8D2430" w:rsidR="00CF18E2" w:rsidRDefault="00CF18E2" w:rsidP="00CF18E2">
      <w:pPr>
        <w:spacing w:line="276" w:lineRule="auto"/>
        <w:ind w:left="851" w:hanging="851"/>
        <w:rPr>
          <w:noProof/>
        </w:rPr>
      </w:pPr>
      <w:r w:rsidRPr="001D7AFC">
        <w:rPr>
          <w:noProof/>
          <w:color w:val="000000"/>
        </w:rPr>
        <w:t>Kitchiner</w:t>
      </w:r>
      <w:r>
        <w:rPr>
          <w:noProof/>
          <w:color w:val="000000"/>
        </w:rPr>
        <w:t>,</w:t>
      </w:r>
      <w:r w:rsidRPr="001D7AFC">
        <w:rPr>
          <w:noProof/>
          <w:color w:val="000000"/>
        </w:rPr>
        <w:t xml:space="preserve"> N</w:t>
      </w:r>
      <w:r>
        <w:rPr>
          <w:noProof/>
          <w:color w:val="000000"/>
        </w:rPr>
        <w:t>.</w:t>
      </w:r>
      <w:r w:rsidRPr="001D7AFC">
        <w:rPr>
          <w:noProof/>
          <w:color w:val="000000"/>
        </w:rPr>
        <w:t>J</w:t>
      </w:r>
      <w:r>
        <w:rPr>
          <w:noProof/>
          <w:color w:val="000000"/>
        </w:rPr>
        <w:t>.</w:t>
      </w:r>
      <w:r w:rsidRPr="001D7AFC">
        <w:rPr>
          <w:noProof/>
          <w:color w:val="000000"/>
        </w:rPr>
        <w:t>, Lewis</w:t>
      </w:r>
      <w:r>
        <w:rPr>
          <w:noProof/>
          <w:color w:val="000000"/>
        </w:rPr>
        <w:t>,</w:t>
      </w:r>
      <w:r w:rsidRPr="001D7AFC">
        <w:rPr>
          <w:noProof/>
          <w:color w:val="000000"/>
        </w:rPr>
        <w:t xml:space="preserve"> C</w:t>
      </w:r>
      <w:r>
        <w:rPr>
          <w:noProof/>
          <w:color w:val="000000"/>
        </w:rPr>
        <w:t>.</w:t>
      </w:r>
      <w:r w:rsidRPr="001D7AFC">
        <w:rPr>
          <w:noProof/>
          <w:color w:val="000000"/>
        </w:rPr>
        <w:t>, Roberts</w:t>
      </w:r>
      <w:r>
        <w:rPr>
          <w:noProof/>
          <w:color w:val="000000"/>
        </w:rPr>
        <w:t>,</w:t>
      </w:r>
      <w:r w:rsidRPr="001D7AFC">
        <w:rPr>
          <w:noProof/>
          <w:color w:val="000000"/>
        </w:rPr>
        <w:t xml:space="preserve"> N</w:t>
      </w:r>
      <w:r>
        <w:rPr>
          <w:noProof/>
          <w:color w:val="000000"/>
        </w:rPr>
        <w:t>.</w:t>
      </w:r>
      <w:r w:rsidRPr="001D7AFC">
        <w:rPr>
          <w:noProof/>
          <w:color w:val="000000"/>
        </w:rPr>
        <w:t>P</w:t>
      </w:r>
      <w:r>
        <w:rPr>
          <w:noProof/>
          <w:color w:val="000000"/>
        </w:rPr>
        <w:t>.</w:t>
      </w:r>
      <w:r w:rsidRPr="001D7AFC">
        <w:rPr>
          <w:noProof/>
          <w:color w:val="000000"/>
        </w:rPr>
        <w:t>, &amp; Bisson, J</w:t>
      </w:r>
      <w:r>
        <w:rPr>
          <w:noProof/>
          <w:color w:val="000000"/>
        </w:rPr>
        <w:t>.</w:t>
      </w:r>
      <w:r w:rsidRPr="001D7AFC">
        <w:rPr>
          <w:noProof/>
          <w:color w:val="000000"/>
        </w:rPr>
        <w:t xml:space="preserve">I. </w:t>
      </w:r>
      <w:r>
        <w:rPr>
          <w:noProof/>
          <w:color w:val="000000"/>
        </w:rPr>
        <w:t xml:space="preserve">(2019). </w:t>
      </w:r>
      <w:r w:rsidRPr="001D7AFC">
        <w:rPr>
          <w:noProof/>
          <w:color w:val="000000"/>
        </w:rPr>
        <w:t>Active duty and ex-serving military personnel with post-traumatic stress disorder treated with psychological therapies: Systematic review and meta-analysis. </w:t>
      </w:r>
      <w:r w:rsidRPr="00A95FC7">
        <w:rPr>
          <w:i/>
          <w:iCs/>
          <w:noProof/>
          <w:color w:val="000000"/>
        </w:rPr>
        <w:t>European Journal of Psychotraumatology, 10</w:t>
      </w:r>
      <w:r w:rsidRPr="001D7AFC">
        <w:rPr>
          <w:noProof/>
          <w:color w:val="000000"/>
        </w:rPr>
        <w:t>(1)</w:t>
      </w:r>
      <w:r>
        <w:rPr>
          <w:noProof/>
          <w:color w:val="000000"/>
        </w:rPr>
        <w:t xml:space="preserve">, </w:t>
      </w:r>
      <w:r w:rsidRPr="001D7AFC">
        <w:rPr>
          <w:noProof/>
          <w:color w:val="000000"/>
        </w:rPr>
        <w:t xml:space="preserve">1-17. </w:t>
      </w:r>
      <w:r w:rsidRPr="001D7AFC">
        <w:rPr>
          <w:noProof/>
        </w:rPr>
        <w:t>doi: 10.1080/20008198.2019.1684226</w:t>
      </w:r>
    </w:p>
    <w:p w14:paraId="7AB200DA" w14:textId="05962DD5" w:rsidR="00BD479E" w:rsidRPr="00BD479E" w:rsidRDefault="00BD479E" w:rsidP="00BD479E">
      <w:pPr>
        <w:spacing w:line="276" w:lineRule="auto"/>
        <w:ind w:left="851" w:hanging="851"/>
        <w:rPr>
          <w:rFonts w:eastAsiaTheme="minorHAnsi"/>
          <w:noProof/>
          <w:color w:val="000000"/>
          <w:lang w:eastAsia="en-US"/>
        </w:rPr>
      </w:pPr>
      <w:r w:rsidRPr="00BD479E">
        <w:rPr>
          <w:rFonts w:eastAsiaTheme="minorHAnsi"/>
          <w:noProof/>
          <w:color w:val="000000"/>
          <w:lang w:eastAsia="en-US"/>
        </w:rPr>
        <w:t xml:space="preserve">Kline, R. B. (2011). </w:t>
      </w:r>
      <w:r w:rsidRPr="00BD479E">
        <w:rPr>
          <w:rFonts w:eastAsiaTheme="minorHAnsi"/>
          <w:i/>
          <w:iCs/>
          <w:noProof/>
          <w:color w:val="000000"/>
          <w:lang w:eastAsia="en-US"/>
        </w:rPr>
        <w:t>Principles and practice of structural equation modeling</w:t>
      </w:r>
      <w:r w:rsidRPr="00BD479E">
        <w:rPr>
          <w:rFonts w:eastAsiaTheme="minorHAnsi"/>
          <w:noProof/>
          <w:color w:val="000000"/>
          <w:lang w:eastAsia="en-US"/>
        </w:rPr>
        <w:t xml:space="preserve"> (3</w:t>
      </w:r>
      <w:r w:rsidR="001F7AAE" w:rsidRPr="001F7AAE">
        <w:rPr>
          <w:rFonts w:eastAsiaTheme="minorHAnsi"/>
          <w:noProof/>
          <w:color w:val="000000"/>
          <w:vertAlign w:val="superscript"/>
          <w:lang w:eastAsia="en-US"/>
        </w:rPr>
        <w:t>rd</w:t>
      </w:r>
      <w:r w:rsidR="001F7AAE">
        <w:rPr>
          <w:rFonts w:eastAsiaTheme="minorHAnsi"/>
          <w:noProof/>
          <w:color w:val="000000"/>
          <w:lang w:eastAsia="en-US"/>
        </w:rPr>
        <w:t xml:space="preserve"> E</w:t>
      </w:r>
      <w:r w:rsidRPr="00BD479E">
        <w:rPr>
          <w:rFonts w:eastAsiaTheme="minorHAnsi"/>
          <w:noProof/>
          <w:color w:val="000000"/>
          <w:lang w:eastAsia="en-US"/>
        </w:rPr>
        <w:t xml:space="preserve">d.). Guilford Press. </w:t>
      </w:r>
    </w:p>
    <w:p w14:paraId="1B50F105" w14:textId="31A53E75" w:rsidR="00CF18E2" w:rsidRDefault="00CF18E2" w:rsidP="00CF18E2">
      <w:pPr>
        <w:spacing w:line="276" w:lineRule="auto"/>
        <w:ind w:left="851" w:hanging="851"/>
        <w:rPr>
          <w:noProof/>
          <w:color w:val="000000"/>
        </w:rPr>
      </w:pPr>
      <w:r w:rsidRPr="001D7AFC">
        <w:rPr>
          <w:noProof/>
          <w:color w:val="000000"/>
        </w:rPr>
        <w:t>Kroenke</w:t>
      </w:r>
      <w:r>
        <w:rPr>
          <w:noProof/>
          <w:color w:val="000000"/>
        </w:rPr>
        <w:t>,</w:t>
      </w:r>
      <w:r w:rsidRPr="001D7AFC">
        <w:rPr>
          <w:noProof/>
          <w:color w:val="000000"/>
        </w:rPr>
        <w:t xml:space="preserve"> K</w:t>
      </w:r>
      <w:r>
        <w:rPr>
          <w:noProof/>
          <w:color w:val="000000"/>
        </w:rPr>
        <w:t>.</w:t>
      </w:r>
      <w:r w:rsidRPr="001D7AFC">
        <w:rPr>
          <w:noProof/>
          <w:color w:val="000000"/>
        </w:rPr>
        <w:t>, Spitzer</w:t>
      </w:r>
      <w:r>
        <w:rPr>
          <w:noProof/>
          <w:color w:val="000000"/>
        </w:rPr>
        <w:t>,</w:t>
      </w:r>
      <w:r w:rsidRPr="001D7AFC">
        <w:rPr>
          <w:noProof/>
          <w:color w:val="000000"/>
        </w:rPr>
        <w:t xml:space="preserve"> R</w:t>
      </w:r>
      <w:r>
        <w:rPr>
          <w:noProof/>
          <w:color w:val="000000"/>
        </w:rPr>
        <w:t>.</w:t>
      </w:r>
      <w:r w:rsidRPr="001D7AFC">
        <w:rPr>
          <w:noProof/>
          <w:color w:val="000000"/>
        </w:rPr>
        <w:t>L</w:t>
      </w:r>
      <w:r>
        <w:rPr>
          <w:noProof/>
          <w:color w:val="000000"/>
        </w:rPr>
        <w:t>.</w:t>
      </w:r>
      <w:r w:rsidRPr="001D7AFC">
        <w:rPr>
          <w:noProof/>
          <w:color w:val="000000"/>
        </w:rPr>
        <w:t>, &amp; Williams</w:t>
      </w:r>
      <w:r>
        <w:rPr>
          <w:noProof/>
          <w:color w:val="000000"/>
        </w:rPr>
        <w:t>,</w:t>
      </w:r>
      <w:r w:rsidRPr="001D7AFC">
        <w:rPr>
          <w:noProof/>
          <w:color w:val="000000"/>
        </w:rPr>
        <w:t xml:space="preserve"> J</w:t>
      </w:r>
      <w:r>
        <w:rPr>
          <w:noProof/>
          <w:color w:val="000000"/>
        </w:rPr>
        <w:t>.</w:t>
      </w:r>
      <w:r w:rsidRPr="001D7AFC">
        <w:rPr>
          <w:noProof/>
          <w:color w:val="000000"/>
        </w:rPr>
        <w:t>B.</w:t>
      </w:r>
      <w:r>
        <w:rPr>
          <w:noProof/>
          <w:color w:val="000000"/>
        </w:rPr>
        <w:t xml:space="preserve"> (2001). </w:t>
      </w:r>
      <w:r w:rsidRPr="001D7AFC">
        <w:rPr>
          <w:noProof/>
          <w:color w:val="000000"/>
        </w:rPr>
        <w:t>The PHQ‐9: Validity of a brief depression severity measure. </w:t>
      </w:r>
      <w:r w:rsidRPr="0055643A">
        <w:rPr>
          <w:i/>
          <w:iCs/>
          <w:noProof/>
          <w:color w:val="000000"/>
        </w:rPr>
        <w:t>Journal of General Internal Medicine, 16</w:t>
      </w:r>
      <w:r w:rsidRPr="001D7AFC">
        <w:rPr>
          <w:noProof/>
          <w:color w:val="000000"/>
        </w:rPr>
        <w:t>(9)</w:t>
      </w:r>
      <w:r>
        <w:rPr>
          <w:noProof/>
          <w:color w:val="000000"/>
        </w:rPr>
        <w:t xml:space="preserve">, </w:t>
      </w:r>
      <w:r w:rsidRPr="001D7AFC">
        <w:rPr>
          <w:noProof/>
          <w:color w:val="000000"/>
        </w:rPr>
        <w:t xml:space="preserve">606-613. </w:t>
      </w:r>
      <w:r w:rsidRPr="001D7AFC">
        <w:rPr>
          <w:noProof/>
        </w:rPr>
        <w:t>doi: 10.1046/j.1525-1497.2001.016009606.x</w:t>
      </w:r>
    </w:p>
    <w:p w14:paraId="722247EE" w14:textId="2B59D503" w:rsidR="00CF18E2" w:rsidRDefault="00CF18E2" w:rsidP="00CF18E2">
      <w:pPr>
        <w:spacing w:line="276" w:lineRule="auto"/>
        <w:ind w:left="851" w:hanging="851"/>
        <w:rPr>
          <w:noProof/>
          <w:color w:val="000000"/>
        </w:rPr>
      </w:pPr>
      <w:r w:rsidRPr="001D7AFC">
        <w:rPr>
          <w:noProof/>
          <w:color w:val="000000"/>
        </w:rPr>
        <w:t>Levy</w:t>
      </w:r>
      <w:r>
        <w:rPr>
          <w:noProof/>
          <w:color w:val="000000"/>
        </w:rPr>
        <w:t>,</w:t>
      </w:r>
      <w:r w:rsidRPr="001D7AFC">
        <w:rPr>
          <w:noProof/>
          <w:color w:val="000000"/>
        </w:rPr>
        <w:t xml:space="preserve"> L</w:t>
      </w:r>
      <w:r>
        <w:rPr>
          <w:noProof/>
          <w:color w:val="000000"/>
        </w:rPr>
        <w:t>.</w:t>
      </w:r>
      <w:r w:rsidRPr="001D7AFC">
        <w:rPr>
          <w:noProof/>
          <w:color w:val="000000"/>
        </w:rPr>
        <w:t>, &amp; Tracy</w:t>
      </w:r>
      <w:r>
        <w:rPr>
          <w:noProof/>
          <w:color w:val="000000"/>
        </w:rPr>
        <w:t>,</w:t>
      </w:r>
      <w:r w:rsidRPr="001D7AFC">
        <w:rPr>
          <w:noProof/>
          <w:color w:val="000000"/>
        </w:rPr>
        <w:t xml:space="preserve"> J</w:t>
      </w:r>
      <w:r>
        <w:rPr>
          <w:noProof/>
          <w:color w:val="000000"/>
        </w:rPr>
        <w:t>.</w:t>
      </w:r>
      <w:r w:rsidRPr="001D7AFC">
        <w:rPr>
          <w:noProof/>
          <w:color w:val="000000"/>
        </w:rPr>
        <w:t xml:space="preserve">K. </w:t>
      </w:r>
      <w:r>
        <w:rPr>
          <w:noProof/>
          <w:color w:val="000000"/>
        </w:rPr>
        <w:t xml:space="preserve">(2018). </w:t>
      </w:r>
      <w:r w:rsidRPr="001D7AFC">
        <w:rPr>
          <w:noProof/>
          <w:color w:val="000000"/>
        </w:rPr>
        <w:t xml:space="preserve">Gambling disorder in veterans: A review of the literature and </w:t>
      </w:r>
      <w:r>
        <w:rPr>
          <w:noProof/>
          <w:color w:val="000000"/>
        </w:rPr>
        <w:t xml:space="preserve"> </w:t>
      </w:r>
      <w:r w:rsidRPr="001D7AFC">
        <w:rPr>
          <w:noProof/>
          <w:color w:val="000000"/>
        </w:rPr>
        <w:t>implications for future research. </w:t>
      </w:r>
      <w:r w:rsidRPr="0055643A">
        <w:rPr>
          <w:i/>
          <w:iCs/>
          <w:noProof/>
          <w:color w:val="000000"/>
        </w:rPr>
        <w:t>Journal of Gambling Studies, 34</w:t>
      </w:r>
      <w:r>
        <w:rPr>
          <w:noProof/>
          <w:color w:val="000000"/>
        </w:rPr>
        <w:t xml:space="preserve">, </w:t>
      </w:r>
      <w:r w:rsidRPr="001D7AFC">
        <w:rPr>
          <w:noProof/>
          <w:color w:val="000000"/>
        </w:rPr>
        <w:t xml:space="preserve">1205-1239. </w:t>
      </w:r>
      <w:r w:rsidRPr="001D7AFC">
        <w:rPr>
          <w:noProof/>
        </w:rPr>
        <w:t>doi: 10.1007/s10899-018-9749-z</w:t>
      </w:r>
    </w:p>
    <w:p w14:paraId="1A78C018" w14:textId="304DAB02" w:rsidR="00CF18E2" w:rsidRDefault="00CF18E2" w:rsidP="00CF18E2">
      <w:pPr>
        <w:spacing w:line="276" w:lineRule="auto"/>
        <w:ind w:left="851" w:hanging="851"/>
        <w:rPr>
          <w:noProof/>
          <w:color w:val="000000"/>
        </w:rPr>
      </w:pPr>
      <w:r w:rsidRPr="001D7AFC">
        <w:rPr>
          <w:noProof/>
          <w:color w:val="000000"/>
        </w:rPr>
        <w:t>Miller</w:t>
      </w:r>
      <w:r>
        <w:rPr>
          <w:noProof/>
          <w:color w:val="000000"/>
        </w:rPr>
        <w:t>,</w:t>
      </w:r>
      <w:r w:rsidRPr="001D7AFC">
        <w:rPr>
          <w:noProof/>
          <w:color w:val="000000"/>
        </w:rPr>
        <w:t xml:space="preserve"> J</w:t>
      </w:r>
      <w:r>
        <w:rPr>
          <w:noProof/>
          <w:color w:val="000000"/>
        </w:rPr>
        <w:t>.</w:t>
      </w:r>
      <w:r w:rsidRPr="001D7AFC">
        <w:rPr>
          <w:noProof/>
          <w:color w:val="000000"/>
        </w:rPr>
        <w:t>C</w:t>
      </w:r>
      <w:r>
        <w:rPr>
          <w:noProof/>
          <w:color w:val="000000"/>
        </w:rPr>
        <w:t>.</w:t>
      </w:r>
      <w:r w:rsidRPr="001D7AFC">
        <w:rPr>
          <w:noProof/>
          <w:color w:val="000000"/>
        </w:rPr>
        <w:t>, Meier</w:t>
      </w:r>
      <w:r>
        <w:rPr>
          <w:noProof/>
          <w:color w:val="000000"/>
        </w:rPr>
        <w:t>,</w:t>
      </w:r>
      <w:r w:rsidRPr="001D7AFC">
        <w:rPr>
          <w:noProof/>
          <w:color w:val="000000"/>
        </w:rPr>
        <w:t xml:space="preserve"> E</w:t>
      </w:r>
      <w:r>
        <w:rPr>
          <w:noProof/>
          <w:color w:val="000000"/>
        </w:rPr>
        <w:t>.</w:t>
      </w:r>
      <w:r w:rsidRPr="001D7AFC">
        <w:rPr>
          <w:noProof/>
          <w:color w:val="000000"/>
        </w:rPr>
        <w:t>, Muehlenkamp</w:t>
      </w:r>
      <w:r>
        <w:rPr>
          <w:noProof/>
          <w:color w:val="000000"/>
        </w:rPr>
        <w:t>,</w:t>
      </w:r>
      <w:r w:rsidRPr="001D7AFC">
        <w:rPr>
          <w:noProof/>
          <w:color w:val="000000"/>
        </w:rPr>
        <w:t xml:space="preserve"> J</w:t>
      </w:r>
      <w:r>
        <w:rPr>
          <w:noProof/>
          <w:color w:val="000000"/>
        </w:rPr>
        <w:t>.</w:t>
      </w:r>
      <w:r w:rsidRPr="001D7AFC">
        <w:rPr>
          <w:noProof/>
          <w:color w:val="000000"/>
        </w:rPr>
        <w:t>, &amp; Weatherly</w:t>
      </w:r>
      <w:r>
        <w:rPr>
          <w:noProof/>
          <w:color w:val="000000"/>
        </w:rPr>
        <w:t>,</w:t>
      </w:r>
      <w:r w:rsidRPr="001D7AFC">
        <w:rPr>
          <w:noProof/>
          <w:color w:val="000000"/>
        </w:rPr>
        <w:t xml:space="preserve"> J</w:t>
      </w:r>
      <w:r>
        <w:rPr>
          <w:noProof/>
          <w:color w:val="000000"/>
        </w:rPr>
        <w:t>.</w:t>
      </w:r>
      <w:r w:rsidRPr="001D7AFC">
        <w:rPr>
          <w:noProof/>
          <w:color w:val="000000"/>
        </w:rPr>
        <w:t xml:space="preserve">N. </w:t>
      </w:r>
      <w:r>
        <w:rPr>
          <w:noProof/>
          <w:color w:val="000000"/>
        </w:rPr>
        <w:t xml:space="preserve">(2009). </w:t>
      </w:r>
      <w:r w:rsidRPr="001D7AFC">
        <w:rPr>
          <w:noProof/>
          <w:color w:val="000000"/>
        </w:rPr>
        <w:t xml:space="preserve">Testing the construct validity of Dixon and Johnson's (2007) </w:t>
      </w:r>
      <w:r w:rsidRPr="002A6942">
        <w:rPr>
          <w:noProof/>
          <w:color w:val="000000"/>
        </w:rPr>
        <w:t>Gambling Functional Assessment.</w:t>
      </w:r>
      <w:r w:rsidRPr="00A13042">
        <w:rPr>
          <w:i/>
          <w:iCs/>
          <w:noProof/>
          <w:color w:val="000000"/>
        </w:rPr>
        <w:t xml:space="preserve"> Behavior Modification, 33</w:t>
      </w:r>
      <w:r w:rsidRPr="001D7AFC">
        <w:rPr>
          <w:noProof/>
          <w:color w:val="000000"/>
        </w:rPr>
        <w:t>(2)</w:t>
      </w:r>
      <w:r>
        <w:rPr>
          <w:noProof/>
          <w:color w:val="000000"/>
        </w:rPr>
        <w:t xml:space="preserve">, </w:t>
      </w:r>
      <w:r w:rsidRPr="001D7AFC">
        <w:rPr>
          <w:noProof/>
          <w:color w:val="000000"/>
        </w:rPr>
        <w:t xml:space="preserve">156-174. </w:t>
      </w:r>
      <w:r w:rsidRPr="001D7AFC">
        <w:rPr>
          <w:noProof/>
        </w:rPr>
        <w:t>doi: 10.1177/0145445508320927</w:t>
      </w:r>
    </w:p>
    <w:p w14:paraId="16C11A73" w14:textId="56C99670" w:rsidR="004D681B" w:rsidRDefault="00CF18E2" w:rsidP="00CF18E2">
      <w:pPr>
        <w:spacing w:line="276" w:lineRule="auto"/>
        <w:ind w:left="851" w:hanging="851"/>
        <w:rPr>
          <w:noProof/>
          <w:color w:val="000000"/>
        </w:rPr>
      </w:pPr>
      <w:r w:rsidRPr="001D7AFC">
        <w:rPr>
          <w:noProof/>
          <w:color w:val="000000"/>
        </w:rPr>
        <w:t>Miltenberger</w:t>
      </w:r>
      <w:r>
        <w:rPr>
          <w:noProof/>
          <w:color w:val="000000"/>
        </w:rPr>
        <w:t>,</w:t>
      </w:r>
      <w:r w:rsidRPr="001D7AFC">
        <w:rPr>
          <w:noProof/>
          <w:color w:val="000000"/>
        </w:rPr>
        <w:t xml:space="preserve"> R</w:t>
      </w:r>
      <w:r>
        <w:rPr>
          <w:noProof/>
          <w:color w:val="000000"/>
        </w:rPr>
        <w:t>.</w:t>
      </w:r>
      <w:r w:rsidRPr="001D7AFC">
        <w:rPr>
          <w:noProof/>
          <w:color w:val="000000"/>
        </w:rPr>
        <w:t xml:space="preserve">G. </w:t>
      </w:r>
      <w:r>
        <w:rPr>
          <w:noProof/>
          <w:color w:val="000000"/>
        </w:rPr>
        <w:t xml:space="preserve">(2005). </w:t>
      </w:r>
      <w:r w:rsidRPr="001D7AFC">
        <w:rPr>
          <w:noProof/>
          <w:color w:val="000000"/>
        </w:rPr>
        <w:t xml:space="preserve">The role of automatic negative reinforcement in clinical problems. </w:t>
      </w:r>
      <w:r w:rsidRPr="004311B3">
        <w:rPr>
          <w:i/>
          <w:iCs/>
          <w:noProof/>
          <w:color w:val="000000"/>
        </w:rPr>
        <w:t>International J</w:t>
      </w:r>
      <w:r>
        <w:rPr>
          <w:i/>
          <w:iCs/>
          <w:noProof/>
          <w:color w:val="000000"/>
        </w:rPr>
        <w:t>ournal</w:t>
      </w:r>
      <w:r w:rsidRPr="004311B3">
        <w:rPr>
          <w:i/>
          <w:iCs/>
          <w:noProof/>
          <w:color w:val="000000"/>
        </w:rPr>
        <w:t xml:space="preserve"> of Behavioral Consulting &amp; Therapy, 1</w:t>
      </w:r>
      <w:r w:rsidRPr="001D7AFC">
        <w:rPr>
          <w:noProof/>
          <w:color w:val="000000"/>
        </w:rPr>
        <w:t>(1)</w:t>
      </w:r>
      <w:r>
        <w:rPr>
          <w:noProof/>
          <w:color w:val="000000"/>
        </w:rPr>
        <w:t>,</w:t>
      </w:r>
      <w:r w:rsidRPr="001D7AFC">
        <w:rPr>
          <w:noProof/>
          <w:color w:val="000000"/>
        </w:rPr>
        <w:t xml:space="preserve"> 1-11. </w:t>
      </w:r>
      <w:r w:rsidRPr="00124176">
        <w:t>doi:10.1037/h0100729</w:t>
      </w:r>
    </w:p>
    <w:p w14:paraId="7B160DA3" w14:textId="0E9D19C9" w:rsidR="004D681B" w:rsidRDefault="00CF18E2" w:rsidP="00124176">
      <w:pPr>
        <w:spacing w:line="276" w:lineRule="auto"/>
        <w:ind w:left="851" w:hanging="851"/>
        <w:rPr>
          <w:noProof/>
          <w:color w:val="000000"/>
        </w:rPr>
      </w:pPr>
      <w:r w:rsidRPr="001D7AFC">
        <w:rPr>
          <w:noProof/>
          <w:color w:val="000000"/>
        </w:rPr>
        <w:t>Milton</w:t>
      </w:r>
      <w:r>
        <w:rPr>
          <w:noProof/>
          <w:color w:val="000000"/>
        </w:rPr>
        <w:t>,</w:t>
      </w:r>
      <w:r w:rsidRPr="001D7AFC">
        <w:rPr>
          <w:noProof/>
          <w:color w:val="000000"/>
        </w:rPr>
        <w:t xml:space="preserve"> A</w:t>
      </w:r>
      <w:r>
        <w:rPr>
          <w:noProof/>
          <w:color w:val="000000"/>
        </w:rPr>
        <w:t>.</w:t>
      </w:r>
      <w:r w:rsidRPr="001D7AFC">
        <w:rPr>
          <w:noProof/>
          <w:color w:val="000000"/>
        </w:rPr>
        <w:t>C</w:t>
      </w:r>
      <w:r>
        <w:rPr>
          <w:noProof/>
          <w:color w:val="000000"/>
        </w:rPr>
        <w:t>.</w:t>
      </w:r>
      <w:r w:rsidRPr="001D7AFC">
        <w:rPr>
          <w:noProof/>
          <w:color w:val="000000"/>
        </w:rPr>
        <w:t>, La Monica</w:t>
      </w:r>
      <w:r>
        <w:rPr>
          <w:noProof/>
          <w:color w:val="000000"/>
        </w:rPr>
        <w:t>,</w:t>
      </w:r>
      <w:r w:rsidRPr="001D7AFC">
        <w:rPr>
          <w:noProof/>
          <w:color w:val="000000"/>
        </w:rPr>
        <w:t xml:space="preserve"> H</w:t>
      </w:r>
      <w:r>
        <w:rPr>
          <w:noProof/>
          <w:color w:val="000000"/>
        </w:rPr>
        <w:t>.</w:t>
      </w:r>
      <w:r w:rsidRPr="001D7AFC">
        <w:rPr>
          <w:noProof/>
          <w:color w:val="000000"/>
        </w:rPr>
        <w:t>, Dowling</w:t>
      </w:r>
      <w:r>
        <w:rPr>
          <w:noProof/>
          <w:color w:val="000000"/>
        </w:rPr>
        <w:t>,</w:t>
      </w:r>
      <w:r w:rsidRPr="001D7AFC">
        <w:rPr>
          <w:noProof/>
          <w:color w:val="000000"/>
        </w:rPr>
        <w:t xml:space="preserve"> M</w:t>
      </w:r>
      <w:r>
        <w:rPr>
          <w:noProof/>
          <w:color w:val="000000"/>
        </w:rPr>
        <w:t>.</w:t>
      </w:r>
      <w:r w:rsidRPr="001D7AFC">
        <w:rPr>
          <w:noProof/>
          <w:color w:val="000000"/>
        </w:rPr>
        <w:t>, Yee</w:t>
      </w:r>
      <w:r>
        <w:rPr>
          <w:noProof/>
          <w:color w:val="000000"/>
        </w:rPr>
        <w:t>,</w:t>
      </w:r>
      <w:r w:rsidRPr="001D7AFC">
        <w:rPr>
          <w:noProof/>
          <w:color w:val="000000"/>
        </w:rPr>
        <w:t xml:space="preserve"> H</w:t>
      </w:r>
      <w:r>
        <w:rPr>
          <w:noProof/>
          <w:color w:val="000000"/>
        </w:rPr>
        <w:t>.</w:t>
      </w:r>
      <w:r w:rsidRPr="001D7AFC">
        <w:rPr>
          <w:noProof/>
          <w:color w:val="000000"/>
        </w:rPr>
        <w:t>, Davenport</w:t>
      </w:r>
      <w:r>
        <w:rPr>
          <w:noProof/>
          <w:color w:val="000000"/>
        </w:rPr>
        <w:t>,</w:t>
      </w:r>
      <w:r w:rsidRPr="001D7AFC">
        <w:rPr>
          <w:noProof/>
          <w:color w:val="000000"/>
        </w:rPr>
        <w:t xml:space="preserve"> T</w:t>
      </w:r>
      <w:r>
        <w:rPr>
          <w:noProof/>
          <w:color w:val="000000"/>
        </w:rPr>
        <w:t>.</w:t>
      </w:r>
      <w:r w:rsidRPr="001D7AFC">
        <w:rPr>
          <w:noProof/>
          <w:color w:val="000000"/>
        </w:rPr>
        <w:t>, Braunstein</w:t>
      </w:r>
      <w:r>
        <w:rPr>
          <w:noProof/>
          <w:color w:val="000000"/>
        </w:rPr>
        <w:t>,</w:t>
      </w:r>
      <w:r w:rsidRPr="001D7AFC">
        <w:rPr>
          <w:noProof/>
          <w:color w:val="000000"/>
        </w:rPr>
        <w:t xml:space="preserve"> K</w:t>
      </w:r>
      <w:r>
        <w:rPr>
          <w:noProof/>
          <w:color w:val="000000"/>
        </w:rPr>
        <w:t>.</w:t>
      </w:r>
      <w:r w:rsidRPr="001D7AFC">
        <w:rPr>
          <w:noProof/>
          <w:color w:val="000000"/>
        </w:rPr>
        <w:t xml:space="preserve">, </w:t>
      </w:r>
      <w:r w:rsidRPr="009D61EF">
        <w:rPr>
          <w:noProof/>
          <w:color w:val="000000"/>
        </w:rPr>
        <w:t>Flego</w:t>
      </w:r>
      <w:r>
        <w:rPr>
          <w:noProof/>
          <w:color w:val="000000"/>
        </w:rPr>
        <w:t>,</w:t>
      </w:r>
      <w:r w:rsidRPr="009D61EF">
        <w:rPr>
          <w:noProof/>
          <w:color w:val="000000"/>
        </w:rPr>
        <w:t xml:space="preserve"> A</w:t>
      </w:r>
      <w:r>
        <w:rPr>
          <w:noProof/>
          <w:color w:val="000000"/>
        </w:rPr>
        <w:t>.</w:t>
      </w:r>
      <w:r w:rsidRPr="009D61EF">
        <w:rPr>
          <w:noProof/>
          <w:color w:val="000000"/>
        </w:rPr>
        <w:t>, Burns</w:t>
      </w:r>
      <w:r>
        <w:rPr>
          <w:noProof/>
          <w:color w:val="000000"/>
        </w:rPr>
        <w:t>,</w:t>
      </w:r>
      <w:r w:rsidRPr="009D61EF">
        <w:rPr>
          <w:noProof/>
          <w:color w:val="000000"/>
        </w:rPr>
        <w:t xml:space="preserve"> J</w:t>
      </w:r>
      <w:r>
        <w:rPr>
          <w:noProof/>
          <w:color w:val="000000"/>
        </w:rPr>
        <w:t>.</w:t>
      </w:r>
      <w:r w:rsidRPr="009D61EF">
        <w:rPr>
          <w:noProof/>
          <w:color w:val="000000"/>
        </w:rPr>
        <w:t>M</w:t>
      </w:r>
      <w:r>
        <w:rPr>
          <w:noProof/>
          <w:color w:val="000000"/>
        </w:rPr>
        <w:t>.</w:t>
      </w:r>
      <w:r w:rsidRPr="009D61EF">
        <w:rPr>
          <w:noProof/>
          <w:color w:val="000000"/>
        </w:rPr>
        <w:t xml:space="preserve">, </w:t>
      </w:r>
      <w:r>
        <w:rPr>
          <w:noProof/>
          <w:color w:val="000000"/>
        </w:rPr>
        <w:t xml:space="preserve">&amp; </w:t>
      </w:r>
      <w:r w:rsidRPr="009D61EF">
        <w:rPr>
          <w:noProof/>
          <w:color w:val="000000"/>
        </w:rPr>
        <w:t>Hickie</w:t>
      </w:r>
      <w:r>
        <w:rPr>
          <w:noProof/>
          <w:color w:val="000000"/>
        </w:rPr>
        <w:t>,</w:t>
      </w:r>
      <w:r w:rsidRPr="009D61EF">
        <w:rPr>
          <w:noProof/>
          <w:color w:val="000000"/>
        </w:rPr>
        <w:t xml:space="preserve"> I</w:t>
      </w:r>
      <w:r>
        <w:rPr>
          <w:noProof/>
          <w:color w:val="000000"/>
        </w:rPr>
        <w:t>.</w:t>
      </w:r>
      <w:r w:rsidRPr="009D61EF">
        <w:rPr>
          <w:noProof/>
          <w:color w:val="000000"/>
        </w:rPr>
        <w:t>B.</w:t>
      </w:r>
      <w:r>
        <w:rPr>
          <w:noProof/>
          <w:color w:val="000000"/>
        </w:rPr>
        <w:t xml:space="preserve"> (2019). </w:t>
      </w:r>
      <w:r w:rsidRPr="001D7AFC">
        <w:rPr>
          <w:noProof/>
          <w:color w:val="000000"/>
        </w:rPr>
        <w:t>Gambling and the role of resilience in an international online sample of current and ex-serving military personnel as compared to the general population. </w:t>
      </w:r>
      <w:r w:rsidRPr="009D61EF">
        <w:rPr>
          <w:i/>
          <w:iCs/>
          <w:noProof/>
          <w:color w:val="000000"/>
        </w:rPr>
        <w:t>Journal of Gambling Studies, 36</w:t>
      </w:r>
      <w:r>
        <w:rPr>
          <w:noProof/>
          <w:color w:val="000000"/>
        </w:rPr>
        <w:t xml:space="preserve">, </w:t>
      </w:r>
      <w:r w:rsidRPr="001D7AFC">
        <w:rPr>
          <w:noProof/>
          <w:color w:val="000000"/>
        </w:rPr>
        <w:t xml:space="preserve">477-498. </w:t>
      </w:r>
      <w:r w:rsidRPr="001D7AFC">
        <w:rPr>
          <w:noProof/>
        </w:rPr>
        <w:t>doi: 10.1007/s10899-019-09900-w</w:t>
      </w:r>
    </w:p>
    <w:p w14:paraId="2C04E346" w14:textId="3E09051D" w:rsidR="00CF18E2" w:rsidRDefault="00CF18E2" w:rsidP="00124176">
      <w:pPr>
        <w:spacing w:line="276" w:lineRule="auto"/>
        <w:ind w:left="851" w:hanging="709"/>
        <w:rPr>
          <w:noProof/>
          <w:color w:val="000000"/>
        </w:rPr>
      </w:pPr>
      <w:r w:rsidRPr="001D7AFC">
        <w:rPr>
          <w:noProof/>
          <w:color w:val="000000"/>
        </w:rPr>
        <w:t>Ministry of Defence</w:t>
      </w:r>
      <w:r>
        <w:rPr>
          <w:noProof/>
          <w:color w:val="000000"/>
        </w:rPr>
        <w:t xml:space="preserve">, (2019). </w:t>
      </w:r>
      <w:r w:rsidRPr="001D7AFC">
        <w:rPr>
          <w:noProof/>
          <w:color w:val="000000"/>
        </w:rPr>
        <w:t xml:space="preserve">Population projections: UK armed forces veterans residing in Great Britain, 2016 to 2028. 2019. Available from: </w:t>
      </w:r>
      <w:hyperlink r:id="rId11" w:history="1">
        <w:r w:rsidRPr="001D7AFC">
          <w:rPr>
            <w:rStyle w:val="Hyperlink"/>
            <w:noProof/>
          </w:rPr>
          <w:t>https://assets.publishing.service.gov.uk/government/uploads/system/uploads/attachment_data/file/775151/20190107_Enclosure_1_Population_Projections_-_UK_Armed_Forces_Veterans_residing_in_Great_Britain_-_2016_to_2028.pdf</w:t>
        </w:r>
      </w:hyperlink>
    </w:p>
    <w:p w14:paraId="71CF1FE6" w14:textId="3BF2F85B" w:rsidR="00CF18E2" w:rsidRPr="00A2430F" w:rsidRDefault="00CF18E2" w:rsidP="00306129">
      <w:pPr>
        <w:spacing w:line="276" w:lineRule="auto"/>
        <w:ind w:left="851" w:hanging="851"/>
        <w:rPr>
          <w:noProof/>
          <w:color w:val="000000"/>
        </w:rPr>
      </w:pPr>
      <w:r w:rsidRPr="001D7AFC">
        <w:rPr>
          <w:noProof/>
          <w:color w:val="000000"/>
        </w:rPr>
        <w:t>Moore</w:t>
      </w:r>
      <w:r>
        <w:rPr>
          <w:noProof/>
          <w:color w:val="000000"/>
        </w:rPr>
        <w:t>,</w:t>
      </w:r>
      <w:r w:rsidRPr="001D7AFC">
        <w:rPr>
          <w:noProof/>
          <w:color w:val="000000"/>
        </w:rPr>
        <w:t xml:space="preserve"> L</w:t>
      </w:r>
      <w:r>
        <w:rPr>
          <w:noProof/>
          <w:color w:val="000000"/>
        </w:rPr>
        <w:t>.</w:t>
      </w:r>
      <w:r w:rsidRPr="001D7AFC">
        <w:rPr>
          <w:noProof/>
          <w:color w:val="000000"/>
        </w:rPr>
        <w:t>H</w:t>
      </w:r>
      <w:r>
        <w:rPr>
          <w:noProof/>
          <w:color w:val="000000"/>
        </w:rPr>
        <w:t>.,</w:t>
      </w:r>
      <w:r w:rsidRPr="001D7AFC">
        <w:rPr>
          <w:noProof/>
          <w:color w:val="000000"/>
        </w:rPr>
        <w:t xml:space="preserve"> &amp; Grubbs</w:t>
      </w:r>
      <w:r>
        <w:rPr>
          <w:noProof/>
          <w:color w:val="000000"/>
        </w:rPr>
        <w:t>,</w:t>
      </w:r>
      <w:r w:rsidRPr="001D7AFC">
        <w:rPr>
          <w:noProof/>
          <w:color w:val="000000"/>
        </w:rPr>
        <w:t xml:space="preserve"> J</w:t>
      </w:r>
      <w:r>
        <w:rPr>
          <w:noProof/>
          <w:color w:val="000000"/>
        </w:rPr>
        <w:t>.</w:t>
      </w:r>
      <w:r w:rsidRPr="001D7AFC">
        <w:rPr>
          <w:noProof/>
          <w:color w:val="000000"/>
        </w:rPr>
        <w:t xml:space="preserve">B. </w:t>
      </w:r>
      <w:r>
        <w:rPr>
          <w:noProof/>
          <w:color w:val="000000"/>
        </w:rPr>
        <w:t xml:space="preserve">(2021). </w:t>
      </w:r>
      <w:r w:rsidRPr="001D7AFC">
        <w:rPr>
          <w:noProof/>
          <w:color w:val="000000"/>
        </w:rPr>
        <w:t xml:space="preserve">Gambling Disorder and comorbid PTSD: A systematic review of empirical research. </w:t>
      </w:r>
      <w:r w:rsidRPr="009B2BE1">
        <w:rPr>
          <w:i/>
          <w:iCs/>
          <w:noProof/>
          <w:color w:val="000000"/>
        </w:rPr>
        <w:t>Addictive Behaviour, 114</w:t>
      </w:r>
      <w:r w:rsidRPr="001D7AFC">
        <w:rPr>
          <w:noProof/>
          <w:color w:val="000000"/>
        </w:rPr>
        <w:t>, 106713.</w:t>
      </w:r>
      <w:r w:rsidRPr="001D7AFC">
        <w:t xml:space="preserve"> </w:t>
      </w:r>
      <w:r w:rsidRPr="001D7AFC">
        <w:rPr>
          <w:noProof/>
          <w:color w:val="000000"/>
        </w:rPr>
        <w:t>doi:10.1016/j.addbeh.2020.106713</w:t>
      </w:r>
    </w:p>
    <w:p w14:paraId="6D52591F" w14:textId="6E8676DA" w:rsidR="00CF18E2" w:rsidRDefault="00CF18E2" w:rsidP="00CF18E2">
      <w:pPr>
        <w:spacing w:line="276" w:lineRule="auto"/>
        <w:ind w:left="851" w:hanging="851"/>
        <w:rPr>
          <w:noProof/>
          <w:color w:val="000000"/>
        </w:rPr>
      </w:pPr>
      <w:r w:rsidRPr="001D7AFC">
        <w:rPr>
          <w:noProof/>
          <w:color w:val="000000"/>
        </w:rPr>
        <w:t>Murphy, D., Karatzias, T., Busuttil, W.</w:t>
      </w:r>
      <w:r w:rsidR="002A427A">
        <w:rPr>
          <w:noProof/>
          <w:color w:val="000000"/>
        </w:rPr>
        <w:t xml:space="preserve">, Greenberg, N., &amp; Shevlin, </w:t>
      </w:r>
      <w:r w:rsidR="002864AF">
        <w:rPr>
          <w:noProof/>
          <w:color w:val="000000"/>
        </w:rPr>
        <w:t>M</w:t>
      </w:r>
      <w:r w:rsidR="002A427A">
        <w:rPr>
          <w:noProof/>
          <w:color w:val="000000"/>
        </w:rPr>
        <w:t xml:space="preserve">. </w:t>
      </w:r>
      <w:r>
        <w:rPr>
          <w:noProof/>
          <w:color w:val="000000"/>
        </w:rPr>
        <w:t xml:space="preserve">(2021). </w:t>
      </w:r>
      <w:r w:rsidRPr="001D7AFC">
        <w:rPr>
          <w:noProof/>
          <w:color w:val="000000"/>
        </w:rPr>
        <w:t xml:space="preserve">ICD-11 posttraumatic stress disorder (PTSD) and complex PTSD (CPTSD) in treatment seeking veterans: risk factors and comorbidity. </w:t>
      </w:r>
      <w:r w:rsidRPr="00D52540">
        <w:rPr>
          <w:i/>
          <w:iCs/>
          <w:noProof/>
          <w:color w:val="000000"/>
        </w:rPr>
        <w:t>Social Psychiatry &amp; Psychiatric Epidemiology, 56</w:t>
      </w:r>
      <w:r>
        <w:rPr>
          <w:noProof/>
          <w:color w:val="000000"/>
        </w:rPr>
        <w:t xml:space="preserve">, </w:t>
      </w:r>
      <w:r w:rsidRPr="001D7AFC">
        <w:rPr>
          <w:noProof/>
          <w:color w:val="000000"/>
        </w:rPr>
        <w:t>1289–1298. doi:10.1007/s00127-021-02028-6</w:t>
      </w:r>
    </w:p>
    <w:p w14:paraId="14463CE1" w14:textId="3F3090FD" w:rsidR="00CF18E2" w:rsidRPr="00A2430F" w:rsidRDefault="00CF18E2" w:rsidP="00CF18E2">
      <w:pPr>
        <w:spacing w:line="276" w:lineRule="auto"/>
        <w:ind w:left="851" w:hanging="851"/>
        <w:rPr>
          <w:noProof/>
          <w:color w:val="000000"/>
        </w:rPr>
      </w:pPr>
      <w:r w:rsidRPr="001D7AFC">
        <w:rPr>
          <w:noProof/>
          <w:color w:val="000000"/>
        </w:rPr>
        <w:t>Murphy</w:t>
      </w:r>
      <w:r>
        <w:rPr>
          <w:noProof/>
          <w:color w:val="000000"/>
        </w:rPr>
        <w:t>,</w:t>
      </w:r>
      <w:r w:rsidRPr="001D7AFC">
        <w:rPr>
          <w:noProof/>
          <w:color w:val="000000"/>
        </w:rPr>
        <w:t xml:space="preserve"> D</w:t>
      </w:r>
      <w:r>
        <w:rPr>
          <w:noProof/>
          <w:color w:val="000000"/>
        </w:rPr>
        <w:t>.</w:t>
      </w:r>
      <w:r w:rsidRPr="001D7AFC">
        <w:rPr>
          <w:noProof/>
          <w:color w:val="000000"/>
        </w:rPr>
        <w:t>, Ashwick</w:t>
      </w:r>
      <w:r>
        <w:rPr>
          <w:noProof/>
          <w:color w:val="000000"/>
        </w:rPr>
        <w:t>,</w:t>
      </w:r>
      <w:r w:rsidRPr="001D7AFC">
        <w:rPr>
          <w:noProof/>
          <w:color w:val="000000"/>
        </w:rPr>
        <w:t xml:space="preserve"> R</w:t>
      </w:r>
      <w:r>
        <w:rPr>
          <w:noProof/>
          <w:color w:val="000000"/>
        </w:rPr>
        <w:t>.</w:t>
      </w:r>
      <w:r w:rsidRPr="001D7AFC">
        <w:rPr>
          <w:noProof/>
          <w:color w:val="000000"/>
        </w:rPr>
        <w:t>, Palmer</w:t>
      </w:r>
      <w:r>
        <w:rPr>
          <w:noProof/>
          <w:color w:val="000000"/>
        </w:rPr>
        <w:t>,</w:t>
      </w:r>
      <w:r w:rsidRPr="001D7AFC">
        <w:rPr>
          <w:noProof/>
          <w:color w:val="000000"/>
        </w:rPr>
        <w:t xml:space="preserve"> E</w:t>
      </w:r>
      <w:r>
        <w:rPr>
          <w:noProof/>
          <w:color w:val="000000"/>
        </w:rPr>
        <w:t>.</w:t>
      </w:r>
      <w:r w:rsidRPr="001D7AFC">
        <w:rPr>
          <w:noProof/>
          <w:color w:val="000000"/>
        </w:rPr>
        <w:t xml:space="preserve">, &amp; Busuttil W. </w:t>
      </w:r>
      <w:r>
        <w:rPr>
          <w:noProof/>
          <w:color w:val="000000"/>
        </w:rPr>
        <w:t xml:space="preserve">(2019). </w:t>
      </w:r>
      <w:r w:rsidRPr="001D7AFC">
        <w:rPr>
          <w:noProof/>
          <w:color w:val="000000"/>
        </w:rPr>
        <w:t xml:space="preserve">Describing the profile of a population of UK veterans seeking support for mental health difficulties. </w:t>
      </w:r>
      <w:r w:rsidRPr="00D52540">
        <w:rPr>
          <w:i/>
          <w:iCs/>
          <w:noProof/>
          <w:color w:val="000000"/>
        </w:rPr>
        <w:t>Journal of Mental Health, 28</w:t>
      </w:r>
      <w:r w:rsidRPr="001D7AFC">
        <w:rPr>
          <w:noProof/>
          <w:color w:val="000000"/>
        </w:rPr>
        <w:t>(6)</w:t>
      </w:r>
      <w:r>
        <w:rPr>
          <w:noProof/>
          <w:color w:val="000000"/>
        </w:rPr>
        <w:t xml:space="preserve">, </w:t>
      </w:r>
      <w:r w:rsidRPr="001D7AFC">
        <w:rPr>
          <w:noProof/>
          <w:color w:val="000000"/>
        </w:rPr>
        <w:t xml:space="preserve">654-661. </w:t>
      </w:r>
      <w:r w:rsidRPr="001D7AFC">
        <w:rPr>
          <w:noProof/>
        </w:rPr>
        <w:t>doi: 10.1080/09638237.2017.1385739</w:t>
      </w:r>
    </w:p>
    <w:p w14:paraId="68E3238A" w14:textId="45371E77" w:rsidR="00CF18E2" w:rsidRDefault="00CF18E2" w:rsidP="00CF18E2">
      <w:pPr>
        <w:spacing w:line="276" w:lineRule="auto"/>
        <w:ind w:left="851" w:hanging="851"/>
        <w:rPr>
          <w:noProof/>
          <w:color w:val="000000"/>
        </w:rPr>
      </w:pPr>
      <w:r w:rsidRPr="001D7AFC">
        <w:rPr>
          <w:noProof/>
          <w:color w:val="000000"/>
        </w:rPr>
        <w:t>Murphy</w:t>
      </w:r>
      <w:r>
        <w:rPr>
          <w:noProof/>
          <w:color w:val="000000"/>
        </w:rPr>
        <w:t>,</w:t>
      </w:r>
      <w:r w:rsidRPr="001D7AFC">
        <w:rPr>
          <w:noProof/>
          <w:color w:val="000000"/>
        </w:rPr>
        <w:t xml:space="preserve"> D</w:t>
      </w:r>
      <w:r>
        <w:rPr>
          <w:noProof/>
          <w:color w:val="000000"/>
        </w:rPr>
        <w:t>.</w:t>
      </w:r>
      <w:r w:rsidRPr="001D7AFC">
        <w:rPr>
          <w:noProof/>
          <w:color w:val="000000"/>
        </w:rPr>
        <w:t>, Shevlin</w:t>
      </w:r>
      <w:r>
        <w:rPr>
          <w:noProof/>
          <w:color w:val="000000"/>
        </w:rPr>
        <w:t>,</w:t>
      </w:r>
      <w:r w:rsidRPr="001D7AFC">
        <w:rPr>
          <w:noProof/>
          <w:color w:val="000000"/>
        </w:rPr>
        <w:t xml:space="preserve"> M</w:t>
      </w:r>
      <w:r>
        <w:rPr>
          <w:noProof/>
          <w:color w:val="000000"/>
        </w:rPr>
        <w:t>.</w:t>
      </w:r>
      <w:r w:rsidRPr="001D7AFC">
        <w:rPr>
          <w:noProof/>
          <w:color w:val="000000"/>
        </w:rPr>
        <w:t>, Pearson</w:t>
      </w:r>
      <w:r>
        <w:rPr>
          <w:noProof/>
          <w:color w:val="000000"/>
        </w:rPr>
        <w:t>,</w:t>
      </w:r>
      <w:r w:rsidRPr="001D7AFC">
        <w:rPr>
          <w:noProof/>
          <w:color w:val="000000"/>
        </w:rPr>
        <w:t xml:space="preserve"> E</w:t>
      </w:r>
      <w:r>
        <w:rPr>
          <w:noProof/>
          <w:color w:val="000000"/>
        </w:rPr>
        <w:t>.</w:t>
      </w:r>
      <w:r w:rsidRPr="001D7AFC">
        <w:rPr>
          <w:noProof/>
          <w:color w:val="000000"/>
        </w:rPr>
        <w:t>, Greenberg</w:t>
      </w:r>
      <w:r>
        <w:rPr>
          <w:noProof/>
          <w:color w:val="000000"/>
        </w:rPr>
        <w:t>,</w:t>
      </w:r>
      <w:r w:rsidRPr="001D7AFC">
        <w:rPr>
          <w:noProof/>
          <w:color w:val="000000"/>
        </w:rPr>
        <w:t xml:space="preserve"> N</w:t>
      </w:r>
      <w:r>
        <w:rPr>
          <w:noProof/>
          <w:color w:val="000000"/>
        </w:rPr>
        <w:t>.</w:t>
      </w:r>
      <w:r w:rsidRPr="001D7AFC">
        <w:rPr>
          <w:noProof/>
          <w:color w:val="000000"/>
        </w:rPr>
        <w:t>, Wessely</w:t>
      </w:r>
      <w:r>
        <w:rPr>
          <w:noProof/>
          <w:color w:val="000000"/>
        </w:rPr>
        <w:t>,</w:t>
      </w:r>
      <w:r w:rsidRPr="001D7AFC">
        <w:rPr>
          <w:noProof/>
          <w:color w:val="000000"/>
        </w:rPr>
        <w:t xml:space="preserve"> S</w:t>
      </w:r>
      <w:r>
        <w:rPr>
          <w:noProof/>
          <w:color w:val="000000"/>
        </w:rPr>
        <w:t>.</w:t>
      </w:r>
      <w:r w:rsidRPr="001D7AFC">
        <w:rPr>
          <w:noProof/>
          <w:color w:val="000000"/>
        </w:rPr>
        <w:t>, Busuttil</w:t>
      </w:r>
      <w:r>
        <w:rPr>
          <w:noProof/>
          <w:color w:val="000000"/>
        </w:rPr>
        <w:t>,</w:t>
      </w:r>
      <w:r w:rsidRPr="001D7AFC">
        <w:rPr>
          <w:noProof/>
          <w:color w:val="000000"/>
        </w:rPr>
        <w:t xml:space="preserve"> W</w:t>
      </w:r>
      <w:r>
        <w:rPr>
          <w:noProof/>
          <w:color w:val="000000"/>
        </w:rPr>
        <w:t>.</w:t>
      </w:r>
      <w:r w:rsidRPr="001D7AFC">
        <w:rPr>
          <w:noProof/>
          <w:color w:val="000000"/>
        </w:rPr>
        <w:t xml:space="preserve">, </w:t>
      </w:r>
      <w:r>
        <w:rPr>
          <w:noProof/>
          <w:color w:val="000000"/>
        </w:rPr>
        <w:t xml:space="preserve">&amp; Karatzias, T. (2020). </w:t>
      </w:r>
      <w:r w:rsidRPr="001D7AFC">
        <w:rPr>
          <w:noProof/>
          <w:color w:val="000000"/>
        </w:rPr>
        <w:t xml:space="preserve">A validation study of the International Trauma Questionnaire to assess post-traumatic stress disorder in treatment-seeking veterans. </w:t>
      </w:r>
      <w:r w:rsidRPr="00D52540">
        <w:rPr>
          <w:i/>
          <w:iCs/>
          <w:noProof/>
          <w:color w:val="000000"/>
        </w:rPr>
        <w:t>British Journal of Psychiatry, 216</w:t>
      </w:r>
      <w:r w:rsidRPr="001D7AFC">
        <w:rPr>
          <w:noProof/>
          <w:color w:val="000000"/>
        </w:rPr>
        <w:t>(3)</w:t>
      </w:r>
      <w:r>
        <w:rPr>
          <w:noProof/>
          <w:color w:val="000000"/>
        </w:rPr>
        <w:t xml:space="preserve">, </w:t>
      </w:r>
      <w:r w:rsidRPr="001D7AFC">
        <w:rPr>
          <w:noProof/>
          <w:color w:val="000000"/>
        </w:rPr>
        <w:t xml:space="preserve">132-137. </w:t>
      </w:r>
      <w:r w:rsidRPr="001D7AFC">
        <w:rPr>
          <w:noProof/>
        </w:rPr>
        <w:t>doi: 10.1192/bjp.2020.9</w:t>
      </w:r>
    </w:p>
    <w:p w14:paraId="190D82D4" w14:textId="6E988BED" w:rsidR="00CF18E2" w:rsidRPr="00A2430F" w:rsidRDefault="00CF18E2" w:rsidP="00CF18E2">
      <w:pPr>
        <w:spacing w:line="276" w:lineRule="auto"/>
        <w:ind w:left="851" w:hanging="851"/>
        <w:rPr>
          <w:noProof/>
          <w:color w:val="000000"/>
        </w:rPr>
      </w:pPr>
      <w:r w:rsidRPr="001D7AFC">
        <w:rPr>
          <w:noProof/>
          <w:color w:val="000000"/>
        </w:rPr>
        <w:t>Murphy</w:t>
      </w:r>
      <w:r>
        <w:rPr>
          <w:noProof/>
          <w:color w:val="000000"/>
        </w:rPr>
        <w:t>,</w:t>
      </w:r>
      <w:r w:rsidRPr="001D7AFC">
        <w:rPr>
          <w:noProof/>
          <w:color w:val="000000"/>
        </w:rPr>
        <w:t xml:space="preserve"> D</w:t>
      </w:r>
      <w:r>
        <w:rPr>
          <w:noProof/>
          <w:color w:val="000000"/>
        </w:rPr>
        <w:t>.</w:t>
      </w:r>
      <w:r w:rsidRPr="001D7AFC">
        <w:rPr>
          <w:noProof/>
          <w:color w:val="000000"/>
        </w:rPr>
        <w:t>, &amp; Turgoose</w:t>
      </w:r>
      <w:r>
        <w:rPr>
          <w:noProof/>
          <w:color w:val="000000"/>
        </w:rPr>
        <w:t>,</w:t>
      </w:r>
      <w:r w:rsidRPr="001D7AFC">
        <w:rPr>
          <w:noProof/>
          <w:color w:val="000000"/>
        </w:rPr>
        <w:t xml:space="preserve"> D. </w:t>
      </w:r>
      <w:r>
        <w:rPr>
          <w:noProof/>
          <w:color w:val="000000"/>
        </w:rPr>
        <w:t xml:space="preserve">(2019). </w:t>
      </w:r>
      <w:r w:rsidRPr="001D7AFC">
        <w:rPr>
          <w:noProof/>
          <w:color w:val="000000"/>
        </w:rPr>
        <w:t xml:space="preserve">Childhood adversity and mental health in veterans seeking treatment for mental health difficulties: Comparisons with the general military population. </w:t>
      </w:r>
      <w:r w:rsidRPr="00115CE4">
        <w:rPr>
          <w:i/>
          <w:iCs/>
          <w:noProof/>
          <w:color w:val="000000"/>
        </w:rPr>
        <w:t>Psychological Trauma</w:t>
      </w:r>
      <w:r>
        <w:rPr>
          <w:noProof/>
          <w:color w:val="000000"/>
        </w:rPr>
        <w:t xml:space="preserve">, </w:t>
      </w:r>
      <w:r w:rsidRPr="001D7AFC">
        <w:rPr>
          <w:noProof/>
        </w:rPr>
        <w:t>doi: 10.1037/tra0000538</w:t>
      </w:r>
    </w:p>
    <w:p w14:paraId="3660C8F9" w14:textId="77777777" w:rsidR="00CF18E2" w:rsidRPr="001D7AFC" w:rsidRDefault="00CF18E2" w:rsidP="00CF18E2">
      <w:pPr>
        <w:spacing w:line="276" w:lineRule="auto"/>
        <w:ind w:left="851" w:hanging="851"/>
        <w:rPr>
          <w:noProof/>
          <w:color w:val="000000"/>
        </w:rPr>
      </w:pPr>
      <w:r w:rsidRPr="001D7AFC">
        <w:rPr>
          <w:noProof/>
          <w:color w:val="000000"/>
        </w:rPr>
        <w:t>Paterson</w:t>
      </w:r>
      <w:r>
        <w:rPr>
          <w:noProof/>
          <w:color w:val="000000"/>
        </w:rPr>
        <w:t>,</w:t>
      </w:r>
      <w:r w:rsidRPr="001D7AFC">
        <w:rPr>
          <w:noProof/>
          <w:color w:val="000000"/>
        </w:rPr>
        <w:t xml:space="preserve"> M</w:t>
      </w:r>
      <w:r>
        <w:rPr>
          <w:noProof/>
          <w:color w:val="000000"/>
        </w:rPr>
        <w:t>.</w:t>
      </w:r>
      <w:r w:rsidRPr="001D7AFC">
        <w:rPr>
          <w:noProof/>
          <w:color w:val="000000"/>
        </w:rPr>
        <w:t>, Whitty</w:t>
      </w:r>
      <w:r>
        <w:rPr>
          <w:noProof/>
          <w:color w:val="000000"/>
        </w:rPr>
        <w:t>,</w:t>
      </w:r>
      <w:r w:rsidRPr="001D7AFC">
        <w:rPr>
          <w:noProof/>
          <w:color w:val="000000"/>
        </w:rPr>
        <w:t xml:space="preserve"> M</w:t>
      </w:r>
      <w:r>
        <w:rPr>
          <w:noProof/>
          <w:color w:val="000000"/>
        </w:rPr>
        <w:t>.</w:t>
      </w:r>
      <w:r w:rsidRPr="001D7AFC">
        <w:rPr>
          <w:noProof/>
          <w:color w:val="000000"/>
        </w:rPr>
        <w:t>, &amp; Leslie</w:t>
      </w:r>
      <w:r>
        <w:rPr>
          <w:noProof/>
          <w:color w:val="000000"/>
        </w:rPr>
        <w:t>,</w:t>
      </w:r>
      <w:r w:rsidRPr="001D7AFC">
        <w:rPr>
          <w:noProof/>
          <w:color w:val="000000"/>
        </w:rPr>
        <w:t xml:space="preserve"> P. </w:t>
      </w:r>
      <w:r>
        <w:rPr>
          <w:noProof/>
          <w:color w:val="000000"/>
        </w:rPr>
        <w:t xml:space="preserve">(2021). </w:t>
      </w:r>
      <w:r w:rsidRPr="001D7AFC">
        <w:rPr>
          <w:noProof/>
          <w:color w:val="000000"/>
        </w:rPr>
        <w:t xml:space="preserve">Exploring the prevalence of gambling harm among active-duty military personnel: A systematic scoping review. </w:t>
      </w:r>
      <w:r w:rsidRPr="0083737F">
        <w:rPr>
          <w:i/>
          <w:iCs/>
          <w:noProof/>
          <w:color w:val="000000"/>
        </w:rPr>
        <w:t>Journal of Gambling Studies, 37</w:t>
      </w:r>
      <w:r>
        <w:rPr>
          <w:noProof/>
          <w:color w:val="000000"/>
        </w:rPr>
        <w:t xml:space="preserve">, 529-549. </w:t>
      </w:r>
      <w:r w:rsidRPr="001D7AFC">
        <w:rPr>
          <w:noProof/>
        </w:rPr>
        <w:t>doi: 10.1007/s10899-020-09951-4</w:t>
      </w:r>
    </w:p>
    <w:p w14:paraId="54CB24E4" w14:textId="017C7D40" w:rsidR="00CF18E2" w:rsidRPr="00A2430F" w:rsidRDefault="00CF18E2" w:rsidP="00CF18E2">
      <w:pPr>
        <w:spacing w:line="276" w:lineRule="auto"/>
        <w:ind w:left="851" w:hanging="851"/>
        <w:rPr>
          <w:noProof/>
          <w:color w:val="000000"/>
        </w:rPr>
      </w:pPr>
      <w:r w:rsidRPr="001D7AFC">
        <w:rPr>
          <w:noProof/>
          <w:color w:val="000000"/>
        </w:rPr>
        <w:t>Phelps</w:t>
      </w:r>
      <w:r>
        <w:rPr>
          <w:noProof/>
          <w:color w:val="000000"/>
        </w:rPr>
        <w:t>,</w:t>
      </w:r>
      <w:r w:rsidRPr="001D7AFC">
        <w:rPr>
          <w:noProof/>
          <w:color w:val="000000"/>
        </w:rPr>
        <w:t xml:space="preserve"> A</w:t>
      </w:r>
      <w:r>
        <w:rPr>
          <w:noProof/>
          <w:color w:val="000000"/>
        </w:rPr>
        <w:t>.</w:t>
      </w:r>
      <w:r w:rsidRPr="001D7AFC">
        <w:rPr>
          <w:noProof/>
          <w:color w:val="000000"/>
        </w:rPr>
        <w:t>J</w:t>
      </w:r>
      <w:r>
        <w:rPr>
          <w:noProof/>
          <w:color w:val="000000"/>
        </w:rPr>
        <w:t>.</w:t>
      </w:r>
      <w:r w:rsidRPr="001D7AFC">
        <w:rPr>
          <w:noProof/>
          <w:color w:val="000000"/>
        </w:rPr>
        <w:t>, Steel</w:t>
      </w:r>
      <w:r>
        <w:rPr>
          <w:noProof/>
          <w:color w:val="000000"/>
        </w:rPr>
        <w:t>,</w:t>
      </w:r>
      <w:r w:rsidRPr="001D7AFC">
        <w:rPr>
          <w:noProof/>
          <w:color w:val="000000"/>
        </w:rPr>
        <w:t xml:space="preserve"> Z</w:t>
      </w:r>
      <w:r>
        <w:rPr>
          <w:noProof/>
          <w:color w:val="000000"/>
        </w:rPr>
        <w:t>.</w:t>
      </w:r>
      <w:r w:rsidRPr="001D7AFC">
        <w:rPr>
          <w:noProof/>
          <w:color w:val="000000"/>
        </w:rPr>
        <w:t>, Metcalf</w:t>
      </w:r>
      <w:r>
        <w:rPr>
          <w:noProof/>
          <w:color w:val="000000"/>
        </w:rPr>
        <w:t>,</w:t>
      </w:r>
      <w:r w:rsidRPr="001D7AFC">
        <w:rPr>
          <w:noProof/>
          <w:color w:val="000000"/>
        </w:rPr>
        <w:t xml:space="preserve"> O</w:t>
      </w:r>
      <w:r>
        <w:rPr>
          <w:noProof/>
          <w:color w:val="000000"/>
        </w:rPr>
        <w:t>.</w:t>
      </w:r>
      <w:r w:rsidRPr="001D7AFC">
        <w:rPr>
          <w:noProof/>
          <w:color w:val="000000"/>
        </w:rPr>
        <w:t>, Alkemade</w:t>
      </w:r>
      <w:r>
        <w:rPr>
          <w:noProof/>
          <w:color w:val="000000"/>
        </w:rPr>
        <w:t>,</w:t>
      </w:r>
      <w:r w:rsidRPr="001D7AFC">
        <w:rPr>
          <w:noProof/>
          <w:color w:val="000000"/>
        </w:rPr>
        <w:t xml:space="preserve"> N</w:t>
      </w:r>
      <w:r>
        <w:rPr>
          <w:noProof/>
          <w:color w:val="000000"/>
        </w:rPr>
        <w:t>.</w:t>
      </w:r>
      <w:r w:rsidRPr="001D7AFC">
        <w:rPr>
          <w:noProof/>
          <w:color w:val="000000"/>
        </w:rPr>
        <w:t>, Kerr</w:t>
      </w:r>
      <w:r>
        <w:rPr>
          <w:noProof/>
          <w:color w:val="000000"/>
        </w:rPr>
        <w:t>,</w:t>
      </w:r>
      <w:r w:rsidRPr="001D7AFC">
        <w:rPr>
          <w:noProof/>
          <w:color w:val="000000"/>
        </w:rPr>
        <w:t xml:space="preserve"> K</w:t>
      </w:r>
      <w:r>
        <w:rPr>
          <w:noProof/>
          <w:color w:val="000000"/>
        </w:rPr>
        <w:t>.</w:t>
      </w:r>
      <w:r w:rsidRPr="001D7AFC">
        <w:rPr>
          <w:noProof/>
          <w:color w:val="000000"/>
        </w:rPr>
        <w:t>, O'Donnell</w:t>
      </w:r>
      <w:r>
        <w:rPr>
          <w:noProof/>
          <w:color w:val="000000"/>
        </w:rPr>
        <w:t>,</w:t>
      </w:r>
      <w:r w:rsidRPr="001D7AFC">
        <w:rPr>
          <w:noProof/>
          <w:color w:val="000000"/>
        </w:rPr>
        <w:t xml:space="preserve"> M</w:t>
      </w:r>
      <w:r>
        <w:rPr>
          <w:noProof/>
          <w:color w:val="000000"/>
        </w:rPr>
        <w:t>.</w:t>
      </w:r>
      <w:r w:rsidRPr="001D7AFC">
        <w:rPr>
          <w:noProof/>
          <w:color w:val="000000"/>
        </w:rPr>
        <w:t xml:space="preserve">, </w:t>
      </w:r>
      <w:r w:rsidRPr="00824BBD">
        <w:rPr>
          <w:noProof/>
          <w:color w:val="000000"/>
        </w:rPr>
        <w:t>Nursey</w:t>
      </w:r>
      <w:r>
        <w:rPr>
          <w:noProof/>
          <w:color w:val="000000"/>
        </w:rPr>
        <w:t>,</w:t>
      </w:r>
      <w:r w:rsidRPr="00824BBD">
        <w:rPr>
          <w:noProof/>
          <w:color w:val="000000"/>
        </w:rPr>
        <w:t xml:space="preserve"> J</w:t>
      </w:r>
      <w:r>
        <w:rPr>
          <w:noProof/>
          <w:color w:val="000000"/>
        </w:rPr>
        <w:t>.</w:t>
      </w:r>
      <w:r w:rsidRPr="00824BBD">
        <w:rPr>
          <w:noProof/>
          <w:color w:val="000000"/>
        </w:rPr>
        <w:t>, Cooper</w:t>
      </w:r>
      <w:r>
        <w:rPr>
          <w:noProof/>
          <w:color w:val="000000"/>
        </w:rPr>
        <w:t>,</w:t>
      </w:r>
      <w:r w:rsidRPr="00824BBD">
        <w:rPr>
          <w:noProof/>
          <w:color w:val="000000"/>
        </w:rPr>
        <w:t xml:space="preserve"> J</w:t>
      </w:r>
      <w:r>
        <w:rPr>
          <w:noProof/>
          <w:color w:val="000000"/>
        </w:rPr>
        <w:t>.</w:t>
      </w:r>
      <w:r w:rsidRPr="00824BBD">
        <w:rPr>
          <w:noProof/>
          <w:color w:val="000000"/>
        </w:rPr>
        <w:t>, Howard</w:t>
      </w:r>
      <w:r>
        <w:rPr>
          <w:noProof/>
          <w:color w:val="000000"/>
        </w:rPr>
        <w:t>,</w:t>
      </w:r>
      <w:r w:rsidRPr="00824BBD">
        <w:rPr>
          <w:noProof/>
          <w:color w:val="000000"/>
        </w:rPr>
        <w:t xml:space="preserve"> A</w:t>
      </w:r>
      <w:r>
        <w:rPr>
          <w:noProof/>
          <w:color w:val="000000"/>
        </w:rPr>
        <w:t>.</w:t>
      </w:r>
      <w:r w:rsidRPr="00824BBD">
        <w:rPr>
          <w:noProof/>
          <w:color w:val="000000"/>
        </w:rPr>
        <w:t>, Armstrong</w:t>
      </w:r>
      <w:r>
        <w:rPr>
          <w:noProof/>
          <w:color w:val="000000"/>
        </w:rPr>
        <w:t>,</w:t>
      </w:r>
      <w:r w:rsidRPr="00824BBD">
        <w:rPr>
          <w:noProof/>
          <w:color w:val="000000"/>
        </w:rPr>
        <w:t xml:space="preserve"> R</w:t>
      </w:r>
      <w:r>
        <w:rPr>
          <w:noProof/>
          <w:color w:val="000000"/>
        </w:rPr>
        <w:t>.</w:t>
      </w:r>
      <w:r w:rsidRPr="00824BBD">
        <w:rPr>
          <w:noProof/>
          <w:color w:val="000000"/>
        </w:rPr>
        <w:t xml:space="preserve">, </w:t>
      </w:r>
      <w:r>
        <w:rPr>
          <w:noProof/>
          <w:color w:val="000000"/>
        </w:rPr>
        <w:t xml:space="preserve">&amp; </w:t>
      </w:r>
      <w:r w:rsidRPr="00824BBD">
        <w:rPr>
          <w:noProof/>
          <w:color w:val="000000"/>
        </w:rPr>
        <w:t>Forbes</w:t>
      </w:r>
      <w:r>
        <w:rPr>
          <w:noProof/>
          <w:color w:val="000000"/>
        </w:rPr>
        <w:t>,</w:t>
      </w:r>
      <w:r w:rsidRPr="00824BBD">
        <w:rPr>
          <w:noProof/>
          <w:color w:val="000000"/>
        </w:rPr>
        <w:t xml:space="preserve"> D</w:t>
      </w:r>
      <w:r w:rsidRPr="001D7AFC">
        <w:rPr>
          <w:noProof/>
          <w:color w:val="000000"/>
        </w:rPr>
        <w:t xml:space="preserve">. </w:t>
      </w:r>
      <w:r>
        <w:rPr>
          <w:noProof/>
          <w:color w:val="000000"/>
        </w:rPr>
        <w:t xml:space="preserve">(2018). </w:t>
      </w:r>
      <w:r w:rsidRPr="001D7AFC">
        <w:rPr>
          <w:noProof/>
          <w:color w:val="000000"/>
        </w:rPr>
        <w:t xml:space="preserve">Key patterns and predictors of response to treatment for military veterans with post-traumatic stress disorder: A growth mixture modelling approach. </w:t>
      </w:r>
      <w:r w:rsidRPr="003274D5">
        <w:rPr>
          <w:i/>
          <w:iCs/>
          <w:noProof/>
          <w:color w:val="000000"/>
        </w:rPr>
        <w:t>Psychological Medicine, 48</w:t>
      </w:r>
      <w:r w:rsidRPr="001D7AFC">
        <w:rPr>
          <w:noProof/>
          <w:color w:val="000000"/>
        </w:rPr>
        <w:t>(1)</w:t>
      </w:r>
      <w:r>
        <w:rPr>
          <w:noProof/>
          <w:color w:val="000000"/>
        </w:rPr>
        <w:t xml:space="preserve">, </w:t>
      </w:r>
      <w:r w:rsidRPr="001D7AFC">
        <w:rPr>
          <w:noProof/>
          <w:color w:val="000000"/>
        </w:rPr>
        <w:t xml:space="preserve">95-103. </w:t>
      </w:r>
      <w:r w:rsidRPr="001D7AFC">
        <w:rPr>
          <w:noProof/>
        </w:rPr>
        <w:t>doi: 10.1017/S0033291717001404</w:t>
      </w:r>
    </w:p>
    <w:p w14:paraId="5F702395" w14:textId="378A7026" w:rsidR="00CF18E2" w:rsidRDefault="00CF18E2" w:rsidP="00CF18E2">
      <w:pPr>
        <w:spacing w:line="276" w:lineRule="auto"/>
        <w:ind w:left="851" w:hanging="851"/>
        <w:rPr>
          <w:noProof/>
          <w:color w:val="000000"/>
        </w:rPr>
      </w:pPr>
      <w:r w:rsidRPr="001D7AFC">
        <w:rPr>
          <w:noProof/>
          <w:color w:val="000000"/>
        </w:rPr>
        <w:t>Pickering</w:t>
      </w:r>
      <w:r>
        <w:rPr>
          <w:noProof/>
          <w:color w:val="000000"/>
        </w:rPr>
        <w:t>,</w:t>
      </w:r>
      <w:r w:rsidRPr="001D7AFC">
        <w:rPr>
          <w:noProof/>
          <w:color w:val="000000"/>
        </w:rPr>
        <w:t xml:space="preserve"> D</w:t>
      </w:r>
      <w:r>
        <w:rPr>
          <w:noProof/>
          <w:color w:val="000000"/>
        </w:rPr>
        <w:t>.</w:t>
      </w:r>
      <w:r w:rsidRPr="001D7AFC">
        <w:rPr>
          <w:noProof/>
          <w:color w:val="000000"/>
        </w:rPr>
        <w:t>, &amp; Blaszczynski</w:t>
      </w:r>
      <w:r>
        <w:rPr>
          <w:noProof/>
          <w:color w:val="000000"/>
        </w:rPr>
        <w:t>,</w:t>
      </w:r>
      <w:r w:rsidRPr="001D7AFC">
        <w:rPr>
          <w:noProof/>
          <w:color w:val="000000"/>
        </w:rPr>
        <w:t xml:space="preserve"> A. </w:t>
      </w:r>
      <w:r>
        <w:rPr>
          <w:noProof/>
          <w:color w:val="000000"/>
        </w:rPr>
        <w:t xml:space="preserve">(2021). </w:t>
      </w:r>
      <w:r w:rsidRPr="001D7AFC">
        <w:rPr>
          <w:noProof/>
          <w:color w:val="000000"/>
        </w:rPr>
        <w:t xml:space="preserve">Paid online convenience samples in gambling studies: Questionable data quality. </w:t>
      </w:r>
      <w:r w:rsidRPr="00135C50">
        <w:rPr>
          <w:i/>
          <w:iCs/>
          <w:noProof/>
          <w:color w:val="000000"/>
        </w:rPr>
        <w:t>International Gambling Studies</w:t>
      </w:r>
      <w:r>
        <w:rPr>
          <w:noProof/>
          <w:color w:val="000000"/>
        </w:rPr>
        <w:t xml:space="preserve">, </w:t>
      </w:r>
      <w:r w:rsidR="00893571" w:rsidRPr="00124176">
        <w:rPr>
          <w:i/>
          <w:iCs/>
          <w:noProof/>
          <w:color w:val="000000"/>
        </w:rPr>
        <w:t>21</w:t>
      </w:r>
      <w:r w:rsidR="00893571">
        <w:rPr>
          <w:noProof/>
          <w:color w:val="000000"/>
        </w:rPr>
        <w:t xml:space="preserve">, 516-536. </w:t>
      </w:r>
      <w:r w:rsidRPr="001D7AFC">
        <w:rPr>
          <w:noProof/>
        </w:rPr>
        <w:t>doi: 10.1080/14459795.2021.1884735</w:t>
      </w:r>
    </w:p>
    <w:p w14:paraId="0A5258AD" w14:textId="179AF45E" w:rsidR="00CF18E2" w:rsidRPr="00A2430F" w:rsidRDefault="00CF18E2" w:rsidP="00CF18E2">
      <w:pPr>
        <w:spacing w:line="276" w:lineRule="auto"/>
        <w:ind w:left="851" w:hanging="851"/>
        <w:rPr>
          <w:noProof/>
          <w:color w:val="000000"/>
        </w:rPr>
      </w:pPr>
      <w:r w:rsidRPr="001D7AFC">
        <w:rPr>
          <w:noProof/>
          <w:color w:val="000000"/>
        </w:rPr>
        <w:t>Roberts</w:t>
      </w:r>
      <w:r>
        <w:rPr>
          <w:noProof/>
          <w:color w:val="000000"/>
        </w:rPr>
        <w:t>,</w:t>
      </w:r>
      <w:r w:rsidRPr="001D7AFC">
        <w:rPr>
          <w:noProof/>
          <w:color w:val="000000"/>
        </w:rPr>
        <w:t xml:space="preserve"> E</w:t>
      </w:r>
      <w:r>
        <w:rPr>
          <w:noProof/>
          <w:color w:val="000000"/>
        </w:rPr>
        <w:t>.</w:t>
      </w:r>
      <w:r w:rsidRPr="001D7AFC">
        <w:rPr>
          <w:noProof/>
          <w:color w:val="000000"/>
        </w:rPr>
        <w:t>, Dighton</w:t>
      </w:r>
      <w:r>
        <w:rPr>
          <w:noProof/>
          <w:color w:val="000000"/>
        </w:rPr>
        <w:t>,</w:t>
      </w:r>
      <w:r w:rsidRPr="001D7AFC">
        <w:rPr>
          <w:noProof/>
          <w:color w:val="000000"/>
        </w:rPr>
        <w:t xml:space="preserve"> G</w:t>
      </w:r>
      <w:r>
        <w:rPr>
          <w:noProof/>
          <w:color w:val="000000"/>
        </w:rPr>
        <w:t>.</w:t>
      </w:r>
      <w:r w:rsidRPr="001D7AFC">
        <w:rPr>
          <w:noProof/>
          <w:color w:val="000000"/>
        </w:rPr>
        <w:t>, Fossey,</w:t>
      </w:r>
      <w:r>
        <w:rPr>
          <w:noProof/>
          <w:color w:val="000000"/>
        </w:rPr>
        <w:t xml:space="preserve"> </w:t>
      </w:r>
      <w:r w:rsidRPr="001D7AFC">
        <w:rPr>
          <w:noProof/>
          <w:color w:val="000000"/>
        </w:rPr>
        <w:t>M</w:t>
      </w:r>
      <w:r>
        <w:rPr>
          <w:noProof/>
          <w:color w:val="000000"/>
        </w:rPr>
        <w:t>.</w:t>
      </w:r>
      <w:r w:rsidRPr="001D7AFC">
        <w:rPr>
          <w:noProof/>
          <w:color w:val="000000"/>
        </w:rPr>
        <w:t>, Hogan</w:t>
      </w:r>
      <w:r>
        <w:rPr>
          <w:noProof/>
          <w:color w:val="000000"/>
        </w:rPr>
        <w:t>,</w:t>
      </w:r>
      <w:r w:rsidRPr="001D7AFC">
        <w:rPr>
          <w:noProof/>
          <w:color w:val="000000"/>
        </w:rPr>
        <w:t xml:space="preserve"> L</w:t>
      </w:r>
      <w:r>
        <w:rPr>
          <w:noProof/>
          <w:color w:val="000000"/>
        </w:rPr>
        <w:t>.</w:t>
      </w:r>
      <w:r w:rsidRPr="001D7AFC">
        <w:rPr>
          <w:noProof/>
          <w:color w:val="000000"/>
        </w:rPr>
        <w:t>, Kitchiner</w:t>
      </w:r>
      <w:r>
        <w:rPr>
          <w:noProof/>
          <w:color w:val="000000"/>
        </w:rPr>
        <w:t>,</w:t>
      </w:r>
      <w:r w:rsidRPr="001D7AFC">
        <w:rPr>
          <w:noProof/>
          <w:color w:val="000000"/>
        </w:rPr>
        <w:t xml:space="preserve"> N</w:t>
      </w:r>
      <w:r>
        <w:rPr>
          <w:noProof/>
          <w:color w:val="000000"/>
        </w:rPr>
        <w:t>.</w:t>
      </w:r>
      <w:r w:rsidRPr="001D7AFC">
        <w:rPr>
          <w:noProof/>
          <w:color w:val="000000"/>
        </w:rPr>
        <w:t>, Rogers</w:t>
      </w:r>
      <w:r>
        <w:rPr>
          <w:noProof/>
          <w:color w:val="000000"/>
        </w:rPr>
        <w:t>,</w:t>
      </w:r>
      <w:r w:rsidRPr="001D7AFC">
        <w:rPr>
          <w:noProof/>
          <w:color w:val="000000"/>
        </w:rPr>
        <w:t xml:space="preserve"> R</w:t>
      </w:r>
      <w:r>
        <w:rPr>
          <w:noProof/>
          <w:color w:val="000000"/>
        </w:rPr>
        <w:t>.</w:t>
      </w:r>
      <w:r w:rsidRPr="001D7AFC">
        <w:rPr>
          <w:noProof/>
          <w:color w:val="000000"/>
        </w:rPr>
        <w:t>D</w:t>
      </w:r>
      <w:r>
        <w:rPr>
          <w:noProof/>
          <w:color w:val="000000"/>
        </w:rPr>
        <w:t>., &amp; Dymond, S.,</w:t>
      </w:r>
      <w:r w:rsidRPr="001D7AFC">
        <w:rPr>
          <w:noProof/>
          <w:color w:val="000000"/>
        </w:rPr>
        <w:t xml:space="preserve"> </w:t>
      </w:r>
      <w:r>
        <w:rPr>
          <w:noProof/>
          <w:color w:val="000000"/>
        </w:rPr>
        <w:t xml:space="preserve">(2019). </w:t>
      </w:r>
      <w:r w:rsidRPr="001D7AFC">
        <w:rPr>
          <w:noProof/>
          <w:color w:val="000000"/>
        </w:rPr>
        <w:t>Gambling problems and military-and health-related behaviour in UK Armed Forces veterans. </w:t>
      </w:r>
      <w:r w:rsidRPr="00C90FEA">
        <w:rPr>
          <w:i/>
          <w:iCs/>
          <w:noProof/>
          <w:color w:val="000000"/>
        </w:rPr>
        <w:t>Military Behavioral Health, 8</w:t>
      </w:r>
      <w:r w:rsidRPr="001D7AFC">
        <w:rPr>
          <w:noProof/>
          <w:color w:val="000000"/>
        </w:rPr>
        <w:t>(2)</w:t>
      </w:r>
      <w:r>
        <w:rPr>
          <w:noProof/>
          <w:color w:val="000000"/>
        </w:rPr>
        <w:t xml:space="preserve">, </w:t>
      </w:r>
      <w:r w:rsidRPr="001D7AFC">
        <w:rPr>
          <w:noProof/>
          <w:color w:val="000000"/>
        </w:rPr>
        <w:t xml:space="preserve">212-221. </w:t>
      </w:r>
      <w:r w:rsidRPr="001D7AFC">
        <w:rPr>
          <w:noProof/>
        </w:rPr>
        <w:t>doi: 10.1080/21635781.2019.1644263</w:t>
      </w:r>
    </w:p>
    <w:p w14:paraId="42CDEAD3" w14:textId="2E9D7023" w:rsidR="00CF18E2" w:rsidRPr="00A2430F" w:rsidRDefault="00CF18E2" w:rsidP="00CF18E2">
      <w:pPr>
        <w:spacing w:line="276" w:lineRule="auto"/>
        <w:ind w:left="851" w:hanging="851"/>
        <w:rPr>
          <w:noProof/>
          <w:color w:val="000000"/>
        </w:rPr>
      </w:pPr>
      <w:r w:rsidRPr="001D7AFC">
        <w:rPr>
          <w:noProof/>
          <w:color w:val="000000"/>
        </w:rPr>
        <w:t>Rosenberg</w:t>
      </w:r>
      <w:r>
        <w:rPr>
          <w:noProof/>
          <w:color w:val="000000"/>
        </w:rPr>
        <w:t>,</w:t>
      </w:r>
      <w:r w:rsidRPr="001D7AFC">
        <w:rPr>
          <w:noProof/>
          <w:color w:val="000000"/>
        </w:rPr>
        <w:t xml:space="preserve"> E</w:t>
      </w:r>
      <w:r>
        <w:rPr>
          <w:noProof/>
          <w:color w:val="000000"/>
        </w:rPr>
        <w:t>.</w:t>
      </w:r>
      <w:r w:rsidRPr="001D7AFC">
        <w:rPr>
          <w:noProof/>
          <w:color w:val="000000"/>
        </w:rPr>
        <w:t>S</w:t>
      </w:r>
      <w:r>
        <w:rPr>
          <w:noProof/>
          <w:color w:val="000000"/>
        </w:rPr>
        <w:t>.</w:t>
      </w:r>
      <w:r w:rsidRPr="001D7AFC">
        <w:rPr>
          <w:noProof/>
          <w:color w:val="000000"/>
        </w:rPr>
        <w:t>, Nizam</w:t>
      </w:r>
      <w:r>
        <w:rPr>
          <w:noProof/>
          <w:color w:val="000000"/>
        </w:rPr>
        <w:t>,</w:t>
      </w:r>
      <w:r w:rsidRPr="001D7AFC">
        <w:rPr>
          <w:noProof/>
          <w:color w:val="000000"/>
        </w:rPr>
        <w:t> A</w:t>
      </w:r>
      <w:r>
        <w:rPr>
          <w:noProof/>
          <w:color w:val="000000"/>
        </w:rPr>
        <w:t>.</w:t>
      </w:r>
      <w:r w:rsidRPr="001D7AFC">
        <w:rPr>
          <w:noProof/>
          <w:color w:val="000000"/>
        </w:rPr>
        <w:t>, Kupper</w:t>
      </w:r>
      <w:r>
        <w:rPr>
          <w:noProof/>
          <w:color w:val="000000"/>
        </w:rPr>
        <w:t>,</w:t>
      </w:r>
      <w:r w:rsidRPr="001D7AFC">
        <w:rPr>
          <w:noProof/>
          <w:color w:val="000000"/>
        </w:rPr>
        <w:t> L</w:t>
      </w:r>
      <w:r>
        <w:rPr>
          <w:noProof/>
          <w:color w:val="000000"/>
        </w:rPr>
        <w:t>.</w:t>
      </w:r>
      <w:r w:rsidRPr="001D7AFC">
        <w:rPr>
          <w:noProof/>
          <w:color w:val="000000"/>
        </w:rPr>
        <w:t>L</w:t>
      </w:r>
      <w:r>
        <w:rPr>
          <w:noProof/>
          <w:color w:val="000000"/>
        </w:rPr>
        <w:t>.</w:t>
      </w:r>
      <w:r w:rsidRPr="001D7AFC">
        <w:rPr>
          <w:noProof/>
          <w:color w:val="000000"/>
        </w:rPr>
        <w:t>, Kleinbaum</w:t>
      </w:r>
      <w:r>
        <w:rPr>
          <w:noProof/>
          <w:color w:val="000000"/>
        </w:rPr>
        <w:t>,</w:t>
      </w:r>
      <w:r w:rsidRPr="001D7AFC">
        <w:rPr>
          <w:noProof/>
          <w:color w:val="000000"/>
        </w:rPr>
        <w:t> D</w:t>
      </w:r>
      <w:r>
        <w:rPr>
          <w:noProof/>
          <w:color w:val="000000"/>
        </w:rPr>
        <w:t>.</w:t>
      </w:r>
      <w:r w:rsidRPr="001D7AFC">
        <w:rPr>
          <w:noProof/>
          <w:color w:val="000000"/>
        </w:rPr>
        <w:t xml:space="preserve">G. </w:t>
      </w:r>
      <w:r>
        <w:rPr>
          <w:noProof/>
          <w:color w:val="000000"/>
        </w:rPr>
        <w:t xml:space="preserve">(2013). </w:t>
      </w:r>
      <w:r w:rsidRPr="00BD4E29">
        <w:rPr>
          <w:i/>
          <w:iCs/>
          <w:noProof/>
          <w:color w:val="000000"/>
        </w:rPr>
        <w:t>Applied regression analysis and other multivariable methods</w:t>
      </w:r>
      <w:r w:rsidRPr="001D7AFC">
        <w:rPr>
          <w:noProof/>
          <w:color w:val="000000"/>
        </w:rPr>
        <w:t>. United States: Cengage Learning; 2013</w:t>
      </w:r>
    </w:p>
    <w:p w14:paraId="20CE64BF" w14:textId="68E3B076" w:rsidR="00CF18E2" w:rsidRDefault="00CF18E2" w:rsidP="00CF18E2">
      <w:pPr>
        <w:spacing w:line="276" w:lineRule="auto"/>
        <w:ind w:left="851" w:hanging="851"/>
        <w:rPr>
          <w:noProof/>
          <w:color w:val="000000"/>
        </w:rPr>
      </w:pPr>
      <w:r w:rsidRPr="001D7AFC">
        <w:rPr>
          <w:noProof/>
          <w:color w:val="000000"/>
        </w:rPr>
        <w:t>Schlagintweit, H</w:t>
      </w:r>
      <w:r>
        <w:rPr>
          <w:noProof/>
          <w:color w:val="000000"/>
        </w:rPr>
        <w:t>.</w:t>
      </w:r>
      <w:r w:rsidRPr="001D7AFC">
        <w:rPr>
          <w:noProof/>
          <w:color w:val="000000"/>
        </w:rPr>
        <w:t>E</w:t>
      </w:r>
      <w:r>
        <w:rPr>
          <w:noProof/>
          <w:color w:val="000000"/>
        </w:rPr>
        <w:t>.</w:t>
      </w:r>
      <w:r w:rsidRPr="001D7AFC">
        <w:rPr>
          <w:noProof/>
          <w:color w:val="000000"/>
        </w:rPr>
        <w:t>, Thompson, K</w:t>
      </w:r>
      <w:r>
        <w:rPr>
          <w:noProof/>
          <w:color w:val="000000"/>
        </w:rPr>
        <w:t>.</w:t>
      </w:r>
      <w:r w:rsidRPr="001D7AFC">
        <w:rPr>
          <w:noProof/>
          <w:color w:val="000000"/>
        </w:rPr>
        <w:t>, Goldstein, A</w:t>
      </w:r>
      <w:r>
        <w:rPr>
          <w:noProof/>
          <w:color w:val="000000"/>
        </w:rPr>
        <w:t>.</w:t>
      </w:r>
      <w:r w:rsidRPr="001D7AFC">
        <w:rPr>
          <w:noProof/>
          <w:color w:val="000000"/>
        </w:rPr>
        <w:t>L</w:t>
      </w:r>
      <w:r>
        <w:rPr>
          <w:noProof/>
          <w:color w:val="000000"/>
        </w:rPr>
        <w:t>.</w:t>
      </w:r>
      <w:r w:rsidRPr="001D7AFC">
        <w:rPr>
          <w:noProof/>
          <w:color w:val="000000"/>
        </w:rPr>
        <w:t>, &amp; Stewart, S</w:t>
      </w:r>
      <w:r>
        <w:rPr>
          <w:noProof/>
          <w:color w:val="000000"/>
        </w:rPr>
        <w:t>.</w:t>
      </w:r>
      <w:r w:rsidRPr="001D7AFC">
        <w:rPr>
          <w:noProof/>
          <w:color w:val="000000"/>
        </w:rPr>
        <w:t xml:space="preserve">H. </w:t>
      </w:r>
      <w:r>
        <w:rPr>
          <w:noProof/>
          <w:color w:val="000000"/>
        </w:rPr>
        <w:t xml:space="preserve">(2017). </w:t>
      </w:r>
      <w:r w:rsidRPr="001D7AFC">
        <w:rPr>
          <w:noProof/>
          <w:color w:val="000000"/>
        </w:rPr>
        <w:t>An investigation</w:t>
      </w:r>
      <w:r>
        <w:rPr>
          <w:noProof/>
          <w:color w:val="000000"/>
        </w:rPr>
        <w:t xml:space="preserve"> </w:t>
      </w:r>
      <w:r w:rsidRPr="001D7AFC">
        <w:rPr>
          <w:noProof/>
          <w:color w:val="000000"/>
        </w:rPr>
        <w:t xml:space="preserve">of the association between shame and problem gambling: The mediating role of maladaptive coping motives. </w:t>
      </w:r>
      <w:r w:rsidRPr="00DF3287">
        <w:rPr>
          <w:i/>
          <w:iCs/>
          <w:noProof/>
          <w:color w:val="000000"/>
        </w:rPr>
        <w:t>Journal of Gambling Studies, 33</w:t>
      </w:r>
      <w:r w:rsidRPr="001D7AFC">
        <w:rPr>
          <w:noProof/>
          <w:color w:val="000000"/>
        </w:rPr>
        <w:t>(4)</w:t>
      </w:r>
      <w:r>
        <w:rPr>
          <w:noProof/>
          <w:color w:val="000000"/>
        </w:rPr>
        <w:t xml:space="preserve">, </w:t>
      </w:r>
      <w:r w:rsidRPr="001D7AFC">
        <w:rPr>
          <w:noProof/>
          <w:color w:val="000000"/>
        </w:rPr>
        <w:t xml:space="preserve">1067-1079. </w:t>
      </w:r>
      <w:r w:rsidRPr="001D7AFC">
        <w:rPr>
          <w:noProof/>
        </w:rPr>
        <w:t>doi: 10.1007/s10899-017-9674-6</w:t>
      </w:r>
    </w:p>
    <w:p w14:paraId="59263EFE" w14:textId="01F59AD7" w:rsidR="00CF18E2" w:rsidRPr="00A2430F" w:rsidRDefault="00CF18E2" w:rsidP="00CF18E2">
      <w:pPr>
        <w:spacing w:line="276" w:lineRule="auto"/>
        <w:ind w:left="851" w:hanging="851"/>
        <w:rPr>
          <w:noProof/>
          <w:color w:val="000000"/>
        </w:rPr>
      </w:pPr>
      <w:r w:rsidRPr="001D7AFC">
        <w:rPr>
          <w:noProof/>
          <w:color w:val="000000"/>
        </w:rPr>
        <w:t>Sharman</w:t>
      </w:r>
      <w:r>
        <w:rPr>
          <w:noProof/>
          <w:color w:val="000000"/>
        </w:rPr>
        <w:t>,</w:t>
      </w:r>
      <w:r w:rsidRPr="001D7AFC">
        <w:rPr>
          <w:noProof/>
          <w:color w:val="000000"/>
        </w:rPr>
        <w:t xml:space="preserve"> S</w:t>
      </w:r>
      <w:r>
        <w:rPr>
          <w:noProof/>
          <w:color w:val="000000"/>
        </w:rPr>
        <w:t>.</w:t>
      </w:r>
      <w:r w:rsidRPr="001D7AFC">
        <w:rPr>
          <w:noProof/>
          <w:color w:val="000000"/>
        </w:rPr>
        <w:t>, Butler</w:t>
      </w:r>
      <w:r>
        <w:rPr>
          <w:noProof/>
          <w:color w:val="000000"/>
        </w:rPr>
        <w:t>,</w:t>
      </w:r>
      <w:r w:rsidRPr="001D7AFC">
        <w:rPr>
          <w:noProof/>
          <w:color w:val="000000"/>
        </w:rPr>
        <w:t xml:space="preserve"> K</w:t>
      </w:r>
      <w:r>
        <w:rPr>
          <w:noProof/>
          <w:color w:val="000000"/>
        </w:rPr>
        <w:t>.</w:t>
      </w:r>
      <w:r w:rsidRPr="001D7AFC">
        <w:rPr>
          <w:noProof/>
          <w:color w:val="000000"/>
        </w:rPr>
        <w:t>, &amp; Roberts</w:t>
      </w:r>
      <w:r>
        <w:rPr>
          <w:noProof/>
          <w:color w:val="000000"/>
        </w:rPr>
        <w:t>,</w:t>
      </w:r>
      <w:r w:rsidRPr="001D7AFC">
        <w:rPr>
          <w:noProof/>
          <w:color w:val="000000"/>
        </w:rPr>
        <w:t xml:space="preserve"> A. </w:t>
      </w:r>
      <w:r>
        <w:rPr>
          <w:noProof/>
          <w:color w:val="000000"/>
        </w:rPr>
        <w:t xml:space="preserve">(2019). </w:t>
      </w:r>
      <w:r w:rsidRPr="001D7AFC">
        <w:rPr>
          <w:noProof/>
          <w:color w:val="000000"/>
        </w:rPr>
        <w:t xml:space="preserve">Psychosocial risk factors in disordered gambling: A descriptive systematic overview of vulnerable populations. </w:t>
      </w:r>
      <w:r w:rsidRPr="00A04DC0">
        <w:rPr>
          <w:i/>
          <w:iCs/>
          <w:noProof/>
          <w:color w:val="000000"/>
        </w:rPr>
        <w:t>Addictive Behaviour, 99</w:t>
      </w:r>
      <w:r w:rsidRPr="001D7AFC">
        <w:rPr>
          <w:noProof/>
          <w:color w:val="000000"/>
        </w:rPr>
        <w:t xml:space="preserve">, 106071. </w:t>
      </w:r>
      <w:r w:rsidRPr="001D7AFC">
        <w:rPr>
          <w:noProof/>
        </w:rPr>
        <w:t>doi: 10.1016/j.addbeh.2019.106071</w:t>
      </w:r>
    </w:p>
    <w:p w14:paraId="4C4A3443" w14:textId="77777777" w:rsidR="000C0107" w:rsidRDefault="000C0107" w:rsidP="00306129">
      <w:pPr>
        <w:spacing w:line="276" w:lineRule="auto"/>
        <w:ind w:left="851" w:hanging="851"/>
        <w:rPr>
          <w:noProof/>
          <w:color w:val="000000"/>
        </w:rPr>
      </w:pPr>
    </w:p>
    <w:p w14:paraId="6249D6BC" w14:textId="77777777" w:rsidR="000C0107" w:rsidRDefault="000C0107" w:rsidP="00306129">
      <w:pPr>
        <w:spacing w:line="276" w:lineRule="auto"/>
        <w:ind w:left="851" w:hanging="851"/>
        <w:rPr>
          <w:noProof/>
          <w:color w:val="000000"/>
        </w:rPr>
      </w:pPr>
    </w:p>
    <w:p w14:paraId="0738A44C" w14:textId="54FD2B75" w:rsidR="00CF18E2" w:rsidRDefault="00CF18E2" w:rsidP="00306129">
      <w:pPr>
        <w:spacing w:line="276" w:lineRule="auto"/>
        <w:ind w:left="851" w:hanging="851"/>
        <w:rPr>
          <w:noProof/>
          <w:color w:val="000000"/>
        </w:rPr>
      </w:pPr>
      <w:r w:rsidRPr="001D7AFC">
        <w:rPr>
          <w:noProof/>
          <w:color w:val="000000"/>
        </w:rPr>
        <w:t>Shirk</w:t>
      </w:r>
      <w:r>
        <w:rPr>
          <w:noProof/>
          <w:color w:val="000000"/>
        </w:rPr>
        <w:t>,</w:t>
      </w:r>
      <w:r w:rsidRPr="001D7AFC">
        <w:rPr>
          <w:noProof/>
          <w:color w:val="000000"/>
        </w:rPr>
        <w:t xml:space="preserve"> S</w:t>
      </w:r>
      <w:r>
        <w:rPr>
          <w:noProof/>
          <w:color w:val="000000"/>
        </w:rPr>
        <w:t>.</w:t>
      </w:r>
      <w:r w:rsidRPr="001D7AFC">
        <w:rPr>
          <w:noProof/>
          <w:color w:val="000000"/>
        </w:rPr>
        <w:t>D</w:t>
      </w:r>
      <w:r>
        <w:rPr>
          <w:noProof/>
          <w:color w:val="000000"/>
        </w:rPr>
        <w:t>.</w:t>
      </w:r>
      <w:r w:rsidRPr="001D7AFC">
        <w:rPr>
          <w:noProof/>
          <w:color w:val="000000"/>
        </w:rPr>
        <w:t>, Kelly</w:t>
      </w:r>
      <w:r>
        <w:rPr>
          <w:noProof/>
          <w:color w:val="000000"/>
        </w:rPr>
        <w:t>,</w:t>
      </w:r>
      <w:r w:rsidRPr="001D7AFC">
        <w:rPr>
          <w:noProof/>
          <w:color w:val="000000"/>
        </w:rPr>
        <w:t xml:space="preserve"> M</w:t>
      </w:r>
      <w:r>
        <w:rPr>
          <w:noProof/>
          <w:color w:val="000000"/>
        </w:rPr>
        <w:t>.</w:t>
      </w:r>
      <w:r w:rsidRPr="001D7AFC">
        <w:rPr>
          <w:noProof/>
          <w:color w:val="000000"/>
        </w:rPr>
        <w:t>M</w:t>
      </w:r>
      <w:r>
        <w:rPr>
          <w:noProof/>
          <w:color w:val="000000"/>
        </w:rPr>
        <w:t>.</w:t>
      </w:r>
      <w:r w:rsidRPr="001D7AFC">
        <w:rPr>
          <w:noProof/>
          <w:color w:val="000000"/>
        </w:rPr>
        <w:t>, Kraus</w:t>
      </w:r>
      <w:r>
        <w:rPr>
          <w:noProof/>
          <w:color w:val="000000"/>
        </w:rPr>
        <w:t>,</w:t>
      </w:r>
      <w:r w:rsidRPr="001D7AFC">
        <w:rPr>
          <w:noProof/>
          <w:color w:val="000000"/>
        </w:rPr>
        <w:t xml:space="preserve"> S</w:t>
      </w:r>
      <w:r>
        <w:rPr>
          <w:noProof/>
          <w:color w:val="000000"/>
        </w:rPr>
        <w:t>.</w:t>
      </w:r>
      <w:r w:rsidRPr="001D7AFC">
        <w:rPr>
          <w:noProof/>
          <w:color w:val="000000"/>
        </w:rPr>
        <w:t>W</w:t>
      </w:r>
      <w:r>
        <w:rPr>
          <w:noProof/>
          <w:color w:val="000000"/>
        </w:rPr>
        <w:t>.</w:t>
      </w:r>
      <w:r w:rsidRPr="001D7AFC">
        <w:rPr>
          <w:noProof/>
          <w:color w:val="000000"/>
        </w:rPr>
        <w:t>, Potenza</w:t>
      </w:r>
      <w:r>
        <w:rPr>
          <w:noProof/>
          <w:color w:val="000000"/>
        </w:rPr>
        <w:t>,</w:t>
      </w:r>
      <w:r w:rsidRPr="001D7AFC">
        <w:rPr>
          <w:noProof/>
          <w:color w:val="000000"/>
        </w:rPr>
        <w:t xml:space="preserve"> M</w:t>
      </w:r>
      <w:r>
        <w:rPr>
          <w:noProof/>
          <w:color w:val="000000"/>
        </w:rPr>
        <w:t>.</w:t>
      </w:r>
      <w:r w:rsidRPr="001D7AFC">
        <w:rPr>
          <w:noProof/>
          <w:color w:val="000000"/>
        </w:rPr>
        <w:t>N</w:t>
      </w:r>
      <w:r>
        <w:rPr>
          <w:noProof/>
          <w:color w:val="000000"/>
        </w:rPr>
        <w:t>.</w:t>
      </w:r>
      <w:r w:rsidRPr="001D7AFC">
        <w:rPr>
          <w:noProof/>
          <w:color w:val="000000"/>
        </w:rPr>
        <w:t>, Pugh</w:t>
      </w:r>
      <w:r>
        <w:rPr>
          <w:noProof/>
          <w:color w:val="000000"/>
        </w:rPr>
        <w:t>,</w:t>
      </w:r>
      <w:r w:rsidRPr="001D7AFC">
        <w:rPr>
          <w:noProof/>
          <w:color w:val="000000"/>
        </w:rPr>
        <w:t xml:space="preserve"> K</w:t>
      </w:r>
      <w:r>
        <w:rPr>
          <w:noProof/>
          <w:color w:val="000000"/>
        </w:rPr>
        <w:t>.</w:t>
      </w:r>
      <w:r w:rsidRPr="001D7AFC">
        <w:rPr>
          <w:noProof/>
          <w:color w:val="000000"/>
        </w:rPr>
        <w:t>, Waltrous</w:t>
      </w:r>
      <w:r>
        <w:rPr>
          <w:noProof/>
          <w:color w:val="000000"/>
        </w:rPr>
        <w:t>,</w:t>
      </w:r>
      <w:r w:rsidRPr="001D7AFC">
        <w:rPr>
          <w:noProof/>
          <w:color w:val="000000"/>
        </w:rPr>
        <w:t xml:space="preserve"> C</w:t>
      </w:r>
      <w:r>
        <w:rPr>
          <w:noProof/>
          <w:color w:val="000000"/>
        </w:rPr>
        <w:t>.</w:t>
      </w:r>
      <w:r w:rsidRPr="001D7AFC">
        <w:rPr>
          <w:noProof/>
          <w:color w:val="000000"/>
        </w:rPr>
        <w:t>, et al.</w:t>
      </w:r>
      <w:r>
        <w:rPr>
          <w:noProof/>
          <w:color w:val="000000"/>
        </w:rPr>
        <w:t xml:space="preserve"> (2018). </w:t>
      </w:r>
      <w:r w:rsidRPr="001D7AFC">
        <w:rPr>
          <w:noProof/>
          <w:color w:val="000000"/>
        </w:rPr>
        <w:t xml:space="preserve">Gambling‐related cognitive distortions predict level of function among US veterans seeking treatment for gambling disorders. </w:t>
      </w:r>
      <w:r w:rsidRPr="00FB242E">
        <w:rPr>
          <w:i/>
          <w:iCs/>
          <w:noProof/>
          <w:color w:val="000000"/>
        </w:rPr>
        <w:t>American Journal of Addiction, 27</w:t>
      </w:r>
      <w:r w:rsidRPr="001D7AFC">
        <w:rPr>
          <w:noProof/>
          <w:color w:val="000000"/>
        </w:rPr>
        <w:t>(2)</w:t>
      </w:r>
      <w:r>
        <w:rPr>
          <w:noProof/>
          <w:color w:val="000000"/>
        </w:rPr>
        <w:t xml:space="preserve">, </w:t>
      </w:r>
      <w:r w:rsidRPr="001D7AFC">
        <w:rPr>
          <w:noProof/>
          <w:color w:val="000000"/>
        </w:rPr>
        <w:t xml:space="preserve"> 108-115. </w:t>
      </w:r>
      <w:r w:rsidRPr="001D7AFC">
        <w:rPr>
          <w:noProof/>
        </w:rPr>
        <w:t>doi: 10.1111/ajad.12685</w:t>
      </w:r>
    </w:p>
    <w:p w14:paraId="60E3A459" w14:textId="4641DE8E" w:rsidR="00CF18E2" w:rsidRDefault="00CF18E2" w:rsidP="00CF18E2">
      <w:pPr>
        <w:spacing w:line="276" w:lineRule="auto"/>
        <w:ind w:left="851" w:hanging="851"/>
        <w:rPr>
          <w:noProof/>
          <w:color w:val="000000"/>
        </w:rPr>
      </w:pPr>
      <w:r w:rsidRPr="001D7AFC">
        <w:rPr>
          <w:noProof/>
          <w:color w:val="000000"/>
        </w:rPr>
        <w:t>Spitzer</w:t>
      </w:r>
      <w:r>
        <w:rPr>
          <w:noProof/>
          <w:color w:val="000000"/>
        </w:rPr>
        <w:t>,</w:t>
      </w:r>
      <w:r w:rsidRPr="001D7AFC">
        <w:rPr>
          <w:noProof/>
          <w:color w:val="000000"/>
        </w:rPr>
        <w:t xml:space="preserve"> R</w:t>
      </w:r>
      <w:r>
        <w:rPr>
          <w:noProof/>
          <w:color w:val="000000"/>
        </w:rPr>
        <w:t>.</w:t>
      </w:r>
      <w:r w:rsidRPr="001D7AFC">
        <w:rPr>
          <w:noProof/>
          <w:color w:val="000000"/>
        </w:rPr>
        <w:t>L</w:t>
      </w:r>
      <w:r>
        <w:rPr>
          <w:noProof/>
          <w:color w:val="000000"/>
        </w:rPr>
        <w:t>.</w:t>
      </w:r>
      <w:r w:rsidRPr="001D7AFC">
        <w:rPr>
          <w:noProof/>
          <w:color w:val="000000"/>
        </w:rPr>
        <w:t>, Kroenke</w:t>
      </w:r>
      <w:r>
        <w:rPr>
          <w:noProof/>
          <w:color w:val="000000"/>
        </w:rPr>
        <w:t>,</w:t>
      </w:r>
      <w:r w:rsidRPr="001D7AFC">
        <w:rPr>
          <w:noProof/>
          <w:color w:val="000000"/>
        </w:rPr>
        <w:t xml:space="preserve"> K</w:t>
      </w:r>
      <w:r>
        <w:rPr>
          <w:noProof/>
          <w:color w:val="000000"/>
        </w:rPr>
        <w:t>.</w:t>
      </w:r>
      <w:r w:rsidRPr="001D7AFC">
        <w:rPr>
          <w:noProof/>
          <w:color w:val="000000"/>
        </w:rPr>
        <w:t>, Williams</w:t>
      </w:r>
      <w:r>
        <w:rPr>
          <w:noProof/>
          <w:color w:val="000000"/>
        </w:rPr>
        <w:t>,</w:t>
      </w:r>
      <w:r w:rsidRPr="001D7AFC">
        <w:rPr>
          <w:noProof/>
          <w:color w:val="000000"/>
        </w:rPr>
        <w:t xml:space="preserve"> J</w:t>
      </w:r>
      <w:r>
        <w:rPr>
          <w:noProof/>
          <w:color w:val="000000"/>
        </w:rPr>
        <w:t>.</w:t>
      </w:r>
      <w:r w:rsidRPr="001D7AFC">
        <w:rPr>
          <w:noProof/>
          <w:color w:val="000000"/>
        </w:rPr>
        <w:t>B</w:t>
      </w:r>
      <w:r>
        <w:rPr>
          <w:noProof/>
          <w:color w:val="000000"/>
        </w:rPr>
        <w:t>.</w:t>
      </w:r>
      <w:r w:rsidRPr="001D7AFC">
        <w:rPr>
          <w:noProof/>
          <w:color w:val="000000"/>
        </w:rPr>
        <w:t>, &amp; Löwe</w:t>
      </w:r>
      <w:r>
        <w:rPr>
          <w:noProof/>
          <w:color w:val="000000"/>
        </w:rPr>
        <w:t>,</w:t>
      </w:r>
      <w:r w:rsidRPr="001D7AFC">
        <w:rPr>
          <w:noProof/>
          <w:color w:val="000000"/>
        </w:rPr>
        <w:t xml:space="preserve"> B. </w:t>
      </w:r>
      <w:r>
        <w:rPr>
          <w:noProof/>
          <w:color w:val="000000"/>
        </w:rPr>
        <w:t xml:space="preserve">(2006). </w:t>
      </w:r>
      <w:r w:rsidRPr="001D7AFC">
        <w:rPr>
          <w:noProof/>
          <w:color w:val="000000"/>
        </w:rPr>
        <w:t>A brief measure for assessing generalized anxiety disorder: The GAD-7. </w:t>
      </w:r>
      <w:r w:rsidRPr="001B6944">
        <w:rPr>
          <w:i/>
          <w:iCs/>
          <w:noProof/>
          <w:color w:val="000000"/>
        </w:rPr>
        <w:t>Archives of Internal Medicine, 166</w:t>
      </w:r>
      <w:r w:rsidRPr="001D7AFC">
        <w:rPr>
          <w:noProof/>
          <w:color w:val="000000"/>
        </w:rPr>
        <w:t>(10)</w:t>
      </w:r>
      <w:r>
        <w:rPr>
          <w:noProof/>
          <w:color w:val="000000"/>
        </w:rPr>
        <w:t xml:space="preserve">, </w:t>
      </w:r>
      <w:r w:rsidRPr="001D7AFC">
        <w:rPr>
          <w:noProof/>
          <w:color w:val="000000"/>
        </w:rPr>
        <w:t xml:space="preserve">1092-1097. </w:t>
      </w:r>
      <w:r w:rsidRPr="001D7AFC">
        <w:rPr>
          <w:noProof/>
        </w:rPr>
        <w:t>doi: 10.1001/archinte.166.10.1092</w:t>
      </w:r>
    </w:p>
    <w:p w14:paraId="5A15A926" w14:textId="6803CD1F" w:rsidR="00CF18E2" w:rsidRDefault="00CF18E2" w:rsidP="00CF18E2">
      <w:pPr>
        <w:spacing w:line="276" w:lineRule="auto"/>
        <w:ind w:left="851" w:hanging="851"/>
        <w:rPr>
          <w:noProof/>
          <w:color w:val="000000"/>
        </w:rPr>
      </w:pPr>
      <w:r w:rsidRPr="001D7AFC">
        <w:rPr>
          <w:noProof/>
          <w:color w:val="000000"/>
        </w:rPr>
        <w:t>Stefanovics</w:t>
      </w:r>
      <w:r>
        <w:rPr>
          <w:noProof/>
          <w:color w:val="000000"/>
        </w:rPr>
        <w:t>,</w:t>
      </w:r>
      <w:r w:rsidRPr="001D7AFC">
        <w:rPr>
          <w:noProof/>
          <w:color w:val="000000"/>
        </w:rPr>
        <w:t xml:space="preserve"> E</w:t>
      </w:r>
      <w:r>
        <w:rPr>
          <w:noProof/>
          <w:color w:val="000000"/>
        </w:rPr>
        <w:t>.</w:t>
      </w:r>
      <w:r w:rsidRPr="001D7AFC">
        <w:rPr>
          <w:noProof/>
          <w:color w:val="000000"/>
        </w:rPr>
        <w:t>A</w:t>
      </w:r>
      <w:r>
        <w:rPr>
          <w:noProof/>
          <w:color w:val="000000"/>
        </w:rPr>
        <w:t>.</w:t>
      </w:r>
      <w:r w:rsidRPr="001D7AFC">
        <w:rPr>
          <w:noProof/>
          <w:color w:val="000000"/>
        </w:rPr>
        <w:t>, Potenza</w:t>
      </w:r>
      <w:r>
        <w:rPr>
          <w:noProof/>
          <w:color w:val="000000"/>
        </w:rPr>
        <w:t>,</w:t>
      </w:r>
      <w:r w:rsidRPr="001D7AFC">
        <w:rPr>
          <w:noProof/>
          <w:color w:val="000000"/>
        </w:rPr>
        <w:t xml:space="preserve"> M</w:t>
      </w:r>
      <w:r>
        <w:rPr>
          <w:noProof/>
          <w:color w:val="000000"/>
        </w:rPr>
        <w:t>.</w:t>
      </w:r>
      <w:r w:rsidRPr="001D7AFC">
        <w:rPr>
          <w:noProof/>
          <w:color w:val="000000"/>
        </w:rPr>
        <w:t>N</w:t>
      </w:r>
      <w:r>
        <w:rPr>
          <w:noProof/>
          <w:color w:val="000000"/>
        </w:rPr>
        <w:t>.</w:t>
      </w:r>
      <w:r w:rsidRPr="001D7AFC">
        <w:rPr>
          <w:noProof/>
          <w:color w:val="000000"/>
        </w:rPr>
        <w:t>, &amp; Pietrzak</w:t>
      </w:r>
      <w:r>
        <w:rPr>
          <w:noProof/>
          <w:color w:val="000000"/>
        </w:rPr>
        <w:t>,</w:t>
      </w:r>
      <w:r w:rsidRPr="001D7AFC">
        <w:rPr>
          <w:noProof/>
          <w:color w:val="000000"/>
        </w:rPr>
        <w:t xml:space="preserve"> R</w:t>
      </w:r>
      <w:r>
        <w:rPr>
          <w:noProof/>
          <w:color w:val="000000"/>
        </w:rPr>
        <w:t>.</w:t>
      </w:r>
      <w:r w:rsidRPr="001D7AFC">
        <w:rPr>
          <w:noProof/>
          <w:color w:val="000000"/>
        </w:rPr>
        <w:t xml:space="preserve">H. </w:t>
      </w:r>
      <w:r>
        <w:rPr>
          <w:noProof/>
          <w:color w:val="000000"/>
        </w:rPr>
        <w:t xml:space="preserve">(2017). </w:t>
      </w:r>
      <w:r w:rsidRPr="001D7AFC">
        <w:rPr>
          <w:noProof/>
          <w:color w:val="000000"/>
        </w:rPr>
        <w:t>Gambling in a national US veteran population: Prevalence, socio-demographics, and psychiatric comorbidities. </w:t>
      </w:r>
      <w:r w:rsidRPr="00892018">
        <w:rPr>
          <w:i/>
          <w:iCs/>
          <w:noProof/>
          <w:color w:val="000000"/>
        </w:rPr>
        <w:t>Journal of Gambling Studies, 33</w:t>
      </w:r>
      <w:r>
        <w:rPr>
          <w:noProof/>
          <w:color w:val="000000"/>
        </w:rPr>
        <w:t xml:space="preserve">, </w:t>
      </w:r>
      <w:r w:rsidRPr="001D7AFC">
        <w:rPr>
          <w:noProof/>
          <w:color w:val="000000"/>
        </w:rPr>
        <w:t xml:space="preserve">1099-1120. </w:t>
      </w:r>
      <w:r w:rsidRPr="001D7AFC">
        <w:rPr>
          <w:noProof/>
        </w:rPr>
        <w:t>doi: 10.1007/s10899-017-9678-2</w:t>
      </w:r>
      <w:r w:rsidRPr="001D7AFC">
        <w:rPr>
          <w:noProof/>
          <w:color w:val="000000"/>
        </w:rPr>
        <w:t xml:space="preserve"> </w:t>
      </w:r>
    </w:p>
    <w:p w14:paraId="0372A2C9" w14:textId="74E0FF71" w:rsidR="00CF18E2" w:rsidRDefault="00CF18E2" w:rsidP="00CF18E2">
      <w:pPr>
        <w:spacing w:line="276" w:lineRule="auto"/>
        <w:ind w:left="851" w:hanging="851"/>
        <w:rPr>
          <w:noProof/>
          <w:color w:val="000000"/>
        </w:rPr>
      </w:pPr>
      <w:r w:rsidRPr="001D7AFC">
        <w:rPr>
          <w:noProof/>
          <w:color w:val="000000"/>
        </w:rPr>
        <w:t>Stevelink</w:t>
      </w:r>
      <w:r>
        <w:rPr>
          <w:noProof/>
          <w:color w:val="000000"/>
        </w:rPr>
        <w:t>,</w:t>
      </w:r>
      <w:r w:rsidRPr="001D7AFC">
        <w:rPr>
          <w:noProof/>
          <w:color w:val="000000"/>
        </w:rPr>
        <w:t xml:space="preserve"> S</w:t>
      </w:r>
      <w:r>
        <w:rPr>
          <w:noProof/>
          <w:color w:val="000000"/>
        </w:rPr>
        <w:t>.</w:t>
      </w:r>
      <w:r w:rsidRPr="001D7AFC">
        <w:rPr>
          <w:noProof/>
          <w:color w:val="000000"/>
        </w:rPr>
        <w:t>A</w:t>
      </w:r>
      <w:r>
        <w:rPr>
          <w:noProof/>
          <w:color w:val="000000"/>
        </w:rPr>
        <w:t>.</w:t>
      </w:r>
      <w:r w:rsidRPr="001D7AFC">
        <w:rPr>
          <w:noProof/>
          <w:color w:val="000000"/>
        </w:rPr>
        <w:t>, Jones</w:t>
      </w:r>
      <w:r>
        <w:rPr>
          <w:noProof/>
          <w:color w:val="000000"/>
        </w:rPr>
        <w:t>,</w:t>
      </w:r>
      <w:r w:rsidRPr="001D7AFC">
        <w:rPr>
          <w:noProof/>
          <w:color w:val="000000"/>
        </w:rPr>
        <w:t xml:space="preserve"> M</w:t>
      </w:r>
      <w:r>
        <w:rPr>
          <w:noProof/>
          <w:color w:val="000000"/>
        </w:rPr>
        <w:t>.</w:t>
      </w:r>
      <w:r w:rsidRPr="001D7AFC">
        <w:rPr>
          <w:noProof/>
          <w:color w:val="000000"/>
        </w:rPr>
        <w:t>, Hull</w:t>
      </w:r>
      <w:r>
        <w:rPr>
          <w:noProof/>
          <w:color w:val="000000"/>
        </w:rPr>
        <w:t>,</w:t>
      </w:r>
      <w:r w:rsidRPr="001D7AFC">
        <w:rPr>
          <w:noProof/>
          <w:color w:val="000000"/>
        </w:rPr>
        <w:t xml:space="preserve"> L</w:t>
      </w:r>
      <w:r>
        <w:rPr>
          <w:noProof/>
          <w:color w:val="000000"/>
        </w:rPr>
        <w:t>.</w:t>
      </w:r>
      <w:r w:rsidRPr="001D7AFC">
        <w:rPr>
          <w:noProof/>
          <w:color w:val="000000"/>
        </w:rPr>
        <w:t>, Pernet</w:t>
      </w:r>
      <w:r>
        <w:rPr>
          <w:noProof/>
          <w:color w:val="000000"/>
        </w:rPr>
        <w:t>,</w:t>
      </w:r>
      <w:r w:rsidRPr="001D7AFC">
        <w:rPr>
          <w:noProof/>
          <w:color w:val="000000"/>
        </w:rPr>
        <w:t xml:space="preserve"> D</w:t>
      </w:r>
      <w:r>
        <w:rPr>
          <w:noProof/>
          <w:color w:val="000000"/>
        </w:rPr>
        <w:t>.</w:t>
      </w:r>
      <w:r w:rsidRPr="001D7AFC">
        <w:rPr>
          <w:noProof/>
          <w:color w:val="000000"/>
        </w:rPr>
        <w:t>, MacCrimmon</w:t>
      </w:r>
      <w:r>
        <w:rPr>
          <w:noProof/>
          <w:color w:val="000000"/>
        </w:rPr>
        <w:t>,</w:t>
      </w:r>
      <w:r w:rsidRPr="001D7AFC">
        <w:rPr>
          <w:noProof/>
          <w:color w:val="000000"/>
        </w:rPr>
        <w:t xml:space="preserve"> S</w:t>
      </w:r>
      <w:r>
        <w:rPr>
          <w:noProof/>
          <w:color w:val="000000"/>
        </w:rPr>
        <w:t>.</w:t>
      </w:r>
      <w:r w:rsidRPr="001D7AFC">
        <w:rPr>
          <w:noProof/>
          <w:color w:val="000000"/>
        </w:rPr>
        <w:t>, Goodwin</w:t>
      </w:r>
      <w:r>
        <w:rPr>
          <w:noProof/>
          <w:color w:val="000000"/>
        </w:rPr>
        <w:t>,</w:t>
      </w:r>
      <w:r w:rsidRPr="001D7AFC">
        <w:rPr>
          <w:noProof/>
          <w:color w:val="000000"/>
        </w:rPr>
        <w:t xml:space="preserve"> L</w:t>
      </w:r>
      <w:r>
        <w:rPr>
          <w:noProof/>
          <w:color w:val="000000"/>
        </w:rPr>
        <w:t>.</w:t>
      </w:r>
      <w:r w:rsidRPr="001D7AFC">
        <w:rPr>
          <w:noProof/>
          <w:color w:val="000000"/>
        </w:rPr>
        <w:t xml:space="preserve">, </w:t>
      </w:r>
      <w:r w:rsidRPr="00EA461B">
        <w:rPr>
          <w:noProof/>
          <w:color w:val="000000"/>
        </w:rPr>
        <w:t>MacManus</w:t>
      </w:r>
      <w:r>
        <w:rPr>
          <w:noProof/>
          <w:color w:val="000000"/>
        </w:rPr>
        <w:t>,</w:t>
      </w:r>
      <w:r w:rsidRPr="00EA461B">
        <w:rPr>
          <w:noProof/>
          <w:color w:val="000000"/>
        </w:rPr>
        <w:t xml:space="preserve"> D</w:t>
      </w:r>
      <w:r>
        <w:rPr>
          <w:noProof/>
          <w:color w:val="000000"/>
        </w:rPr>
        <w:t>.</w:t>
      </w:r>
      <w:r w:rsidRPr="00EA461B">
        <w:rPr>
          <w:noProof/>
          <w:color w:val="000000"/>
        </w:rPr>
        <w:t>, Murphy</w:t>
      </w:r>
      <w:r>
        <w:rPr>
          <w:noProof/>
          <w:color w:val="000000"/>
        </w:rPr>
        <w:t>,</w:t>
      </w:r>
      <w:r w:rsidRPr="00EA461B">
        <w:rPr>
          <w:noProof/>
          <w:color w:val="000000"/>
        </w:rPr>
        <w:t xml:space="preserve"> D</w:t>
      </w:r>
      <w:r>
        <w:rPr>
          <w:noProof/>
          <w:color w:val="000000"/>
        </w:rPr>
        <w:t>.</w:t>
      </w:r>
      <w:r w:rsidRPr="00EA461B">
        <w:rPr>
          <w:noProof/>
          <w:color w:val="000000"/>
        </w:rPr>
        <w:t>, Jones</w:t>
      </w:r>
      <w:r>
        <w:rPr>
          <w:noProof/>
          <w:color w:val="000000"/>
        </w:rPr>
        <w:t>,</w:t>
      </w:r>
      <w:r w:rsidRPr="00EA461B">
        <w:rPr>
          <w:noProof/>
          <w:color w:val="000000"/>
        </w:rPr>
        <w:t xml:space="preserve"> N</w:t>
      </w:r>
      <w:r>
        <w:rPr>
          <w:noProof/>
          <w:color w:val="000000"/>
        </w:rPr>
        <w:t>.</w:t>
      </w:r>
      <w:r w:rsidRPr="00EA461B">
        <w:rPr>
          <w:noProof/>
          <w:color w:val="000000"/>
        </w:rPr>
        <w:t>, Greenberg</w:t>
      </w:r>
      <w:r>
        <w:rPr>
          <w:noProof/>
          <w:color w:val="000000"/>
        </w:rPr>
        <w:t>,</w:t>
      </w:r>
      <w:r w:rsidRPr="00EA461B">
        <w:rPr>
          <w:noProof/>
          <w:color w:val="000000"/>
        </w:rPr>
        <w:t xml:space="preserve"> N</w:t>
      </w:r>
      <w:r>
        <w:rPr>
          <w:noProof/>
          <w:color w:val="000000"/>
        </w:rPr>
        <w:t>.</w:t>
      </w:r>
      <w:r w:rsidRPr="00EA461B">
        <w:rPr>
          <w:noProof/>
          <w:color w:val="000000"/>
        </w:rPr>
        <w:t>, Rona</w:t>
      </w:r>
      <w:r>
        <w:rPr>
          <w:noProof/>
          <w:color w:val="000000"/>
        </w:rPr>
        <w:t>,</w:t>
      </w:r>
      <w:r w:rsidRPr="00EA461B">
        <w:rPr>
          <w:noProof/>
          <w:color w:val="000000"/>
        </w:rPr>
        <w:t xml:space="preserve"> R</w:t>
      </w:r>
      <w:r>
        <w:rPr>
          <w:noProof/>
          <w:color w:val="000000"/>
        </w:rPr>
        <w:t>.</w:t>
      </w:r>
      <w:r w:rsidRPr="00EA461B">
        <w:rPr>
          <w:noProof/>
          <w:color w:val="000000"/>
        </w:rPr>
        <w:t>J</w:t>
      </w:r>
      <w:r>
        <w:rPr>
          <w:noProof/>
          <w:color w:val="000000"/>
        </w:rPr>
        <w:t>.</w:t>
      </w:r>
      <w:r w:rsidRPr="00EA461B">
        <w:rPr>
          <w:noProof/>
          <w:color w:val="000000"/>
        </w:rPr>
        <w:t>, Fear</w:t>
      </w:r>
      <w:r>
        <w:rPr>
          <w:noProof/>
          <w:color w:val="000000"/>
        </w:rPr>
        <w:t>,</w:t>
      </w:r>
      <w:r w:rsidRPr="00EA461B">
        <w:rPr>
          <w:noProof/>
          <w:color w:val="000000"/>
        </w:rPr>
        <w:t xml:space="preserve"> N</w:t>
      </w:r>
      <w:r>
        <w:rPr>
          <w:noProof/>
          <w:color w:val="000000"/>
        </w:rPr>
        <w:t>.</w:t>
      </w:r>
      <w:r w:rsidRPr="00EA461B">
        <w:rPr>
          <w:noProof/>
          <w:color w:val="000000"/>
        </w:rPr>
        <w:t>T</w:t>
      </w:r>
      <w:r>
        <w:rPr>
          <w:noProof/>
          <w:color w:val="000000"/>
        </w:rPr>
        <w:t>.</w:t>
      </w:r>
      <w:r w:rsidRPr="00EA461B">
        <w:rPr>
          <w:noProof/>
          <w:color w:val="000000"/>
        </w:rPr>
        <w:t xml:space="preserve">, </w:t>
      </w:r>
      <w:r>
        <w:rPr>
          <w:noProof/>
          <w:color w:val="000000"/>
        </w:rPr>
        <w:t xml:space="preserve">&amp; </w:t>
      </w:r>
      <w:r w:rsidRPr="00EA461B">
        <w:rPr>
          <w:noProof/>
          <w:color w:val="000000"/>
        </w:rPr>
        <w:t>Wessely</w:t>
      </w:r>
      <w:r>
        <w:rPr>
          <w:noProof/>
          <w:color w:val="000000"/>
        </w:rPr>
        <w:t>,</w:t>
      </w:r>
      <w:r w:rsidRPr="00EA461B">
        <w:rPr>
          <w:noProof/>
          <w:color w:val="000000"/>
        </w:rPr>
        <w:t xml:space="preserve"> S</w:t>
      </w:r>
      <w:r w:rsidRPr="001D7AFC">
        <w:rPr>
          <w:noProof/>
          <w:color w:val="000000"/>
        </w:rPr>
        <w:t xml:space="preserve">. </w:t>
      </w:r>
      <w:r>
        <w:rPr>
          <w:noProof/>
          <w:color w:val="000000"/>
        </w:rPr>
        <w:t xml:space="preserve">(2018). </w:t>
      </w:r>
      <w:r w:rsidRPr="001D7AFC">
        <w:rPr>
          <w:noProof/>
          <w:color w:val="000000"/>
        </w:rPr>
        <w:t>Mental health outcomes at the end of the British involvement in the Iraq and Afghanistan conflicts: A cohort study. </w:t>
      </w:r>
      <w:r w:rsidRPr="00892018">
        <w:rPr>
          <w:i/>
          <w:iCs/>
          <w:noProof/>
          <w:color w:val="000000"/>
        </w:rPr>
        <w:t>British Journal of Psychiatry, 213</w:t>
      </w:r>
      <w:r w:rsidRPr="001D7AFC">
        <w:rPr>
          <w:noProof/>
          <w:color w:val="000000"/>
        </w:rPr>
        <w:t>(6)</w:t>
      </w:r>
      <w:r>
        <w:rPr>
          <w:noProof/>
          <w:color w:val="000000"/>
        </w:rPr>
        <w:t xml:space="preserve">, </w:t>
      </w:r>
      <w:r w:rsidRPr="001D7AFC">
        <w:rPr>
          <w:noProof/>
          <w:color w:val="000000"/>
        </w:rPr>
        <w:t xml:space="preserve">690-697. </w:t>
      </w:r>
      <w:r w:rsidRPr="001D7AFC">
        <w:rPr>
          <w:noProof/>
        </w:rPr>
        <w:t>doi: 10.1192/bjp.2018.175</w:t>
      </w:r>
    </w:p>
    <w:p w14:paraId="0B8BFDC2" w14:textId="76B48271" w:rsidR="00CF18E2" w:rsidRDefault="00CF18E2" w:rsidP="00CF18E2">
      <w:pPr>
        <w:spacing w:line="276" w:lineRule="auto"/>
        <w:ind w:left="851" w:hanging="851"/>
        <w:rPr>
          <w:noProof/>
          <w:color w:val="000000"/>
        </w:rPr>
      </w:pPr>
      <w:r w:rsidRPr="001D7AFC">
        <w:rPr>
          <w:noProof/>
          <w:color w:val="000000"/>
        </w:rPr>
        <w:t>Stewart</w:t>
      </w:r>
      <w:r>
        <w:rPr>
          <w:noProof/>
          <w:color w:val="000000"/>
        </w:rPr>
        <w:t>,</w:t>
      </w:r>
      <w:r w:rsidRPr="001D7AFC">
        <w:rPr>
          <w:noProof/>
          <w:color w:val="000000"/>
        </w:rPr>
        <w:t xml:space="preserve"> M</w:t>
      </w:r>
      <w:r>
        <w:rPr>
          <w:noProof/>
          <w:color w:val="000000"/>
        </w:rPr>
        <w:t>.</w:t>
      </w:r>
      <w:r w:rsidRPr="001D7AFC">
        <w:rPr>
          <w:noProof/>
          <w:color w:val="000000"/>
        </w:rPr>
        <w:t>J</w:t>
      </w:r>
      <w:r>
        <w:rPr>
          <w:noProof/>
          <w:color w:val="000000"/>
        </w:rPr>
        <w:t>.</w:t>
      </w:r>
      <w:r w:rsidRPr="001D7AFC">
        <w:rPr>
          <w:noProof/>
          <w:color w:val="000000"/>
        </w:rPr>
        <w:t>, MacNevin</w:t>
      </w:r>
      <w:r>
        <w:rPr>
          <w:noProof/>
          <w:color w:val="000000"/>
        </w:rPr>
        <w:t>,</w:t>
      </w:r>
      <w:r w:rsidRPr="001D7AFC">
        <w:rPr>
          <w:noProof/>
          <w:color w:val="000000"/>
        </w:rPr>
        <w:t xml:space="preserve"> P</w:t>
      </w:r>
      <w:r>
        <w:rPr>
          <w:noProof/>
          <w:color w:val="000000"/>
        </w:rPr>
        <w:t>.</w:t>
      </w:r>
      <w:r w:rsidRPr="001D7AFC">
        <w:rPr>
          <w:noProof/>
          <w:color w:val="000000"/>
        </w:rPr>
        <w:t>L</w:t>
      </w:r>
      <w:r>
        <w:rPr>
          <w:noProof/>
          <w:color w:val="000000"/>
        </w:rPr>
        <w:t>.</w:t>
      </w:r>
      <w:r w:rsidRPr="001D7AFC">
        <w:rPr>
          <w:noProof/>
          <w:color w:val="000000"/>
        </w:rPr>
        <w:t>D</w:t>
      </w:r>
      <w:r>
        <w:rPr>
          <w:noProof/>
          <w:color w:val="000000"/>
        </w:rPr>
        <w:t>.</w:t>
      </w:r>
      <w:r w:rsidRPr="001D7AFC">
        <w:rPr>
          <w:noProof/>
          <w:color w:val="000000"/>
        </w:rPr>
        <w:t>, Hodgins</w:t>
      </w:r>
      <w:r>
        <w:rPr>
          <w:noProof/>
          <w:color w:val="000000"/>
        </w:rPr>
        <w:t>,</w:t>
      </w:r>
      <w:r w:rsidRPr="001D7AFC">
        <w:rPr>
          <w:noProof/>
          <w:color w:val="000000"/>
        </w:rPr>
        <w:t xml:space="preserve"> D</w:t>
      </w:r>
      <w:r>
        <w:rPr>
          <w:noProof/>
          <w:color w:val="000000"/>
        </w:rPr>
        <w:t>.</w:t>
      </w:r>
      <w:r w:rsidRPr="001D7AFC">
        <w:rPr>
          <w:noProof/>
          <w:color w:val="000000"/>
        </w:rPr>
        <w:t>C</w:t>
      </w:r>
      <w:r>
        <w:rPr>
          <w:noProof/>
          <w:color w:val="000000"/>
        </w:rPr>
        <w:t>.</w:t>
      </w:r>
      <w:r w:rsidRPr="001D7AFC">
        <w:rPr>
          <w:noProof/>
          <w:color w:val="000000"/>
        </w:rPr>
        <w:t>, Barrett</w:t>
      </w:r>
      <w:r>
        <w:rPr>
          <w:noProof/>
          <w:color w:val="000000"/>
        </w:rPr>
        <w:t>,</w:t>
      </w:r>
      <w:r w:rsidRPr="001D7AFC">
        <w:rPr>
          <w:noProof/>
          <w:color w:val="000000"/>
        </w:rPr>
        <w:t xml:space="preserve"> S</w:t>
      </w:r>
      <w:r>
        <w:rPr>
          <w:noProof/>
          <w:color w:val="000000"/>
        </w:rPr>
        <w:t>.</w:t>
      </w:r>
      <w:r w:rsidRPr="001D7AFC">
        <w:rPr>
          <w:noProof/>
          <w:color w:val="000000"/>
        </w:rPr>
        <w:t>P</w:t>
      </w:r>
      <w:r>
        <w:rPr>
          <w:noProof/>
          <w:color w:val="000000"/>
        </w:rPr>
        <w:t>.</w:t>
      </w:r>
      <w:r w:rsidRPr="001D7AFC">
        <w:rPr>
          <w:noProof/>
          <w:color w:val="000000"/>
        </w:rPr>
        <w:t>, Swansburg</w:t>
      </w:r>
      <w:r>
        <w:rPr>
          <w:noProof/>
          <w:color w:val="000000"/>
        </w:rPr>
        <w:t>,</w:t>
      </w:r>
      <w:r w:rsidRPr="001D7AFC">
        <w:rPr>
          <w:noProof/>
          <w:color w:val="000000"/>
        </w:rPr>
        <w:t xml:space="preserve"> J</w:t>
      </w:r>
      <w:r>
        <w:rPr>
          <w:noProof/>
          <w:color w:val="000000"/>
        </w:rPr>
        <w:t>.</w:t>
      </w:r>
      <w:r w:rsidRPr="001D7AFC">
        <w:rPr>
          <w:noProof/>
          <w:color w:val="000000"/>
        </w:rPr>
        <w:t>, &amp; Stewart</w:t>
      </w:r>
      <w:r>
        <w:rPr>
          <w:noProof/>
          <w:color w:val="000000"/>
        </w:rPr>
        <w:t>,</w:t>
      </w:r>
      <w:r w:rsidRPr="001D7AFC">
        <w:rPr>
          <w:noProof/>
          <w:color w:val="000000"/>
        </w:rPr>
        <w:t xml:space="preserve"> S</w:t>
      </w:r>
      <w:r>
        <w:rPr>
          <w:noProof/>
          <w:color w:val="000000"/>
        </w:rPr>
        <w:t>.</w:t>
      </w:r>
      <w:r w:rsidRPr="001D7AFC">
        <w:rPr>
          <w:noProof/>
          <w:color w:val="000000"/>
        </w:rPr>
        <w:t xml:space="preserve">H. </w:t>
      </w:r>
      <w:r>
        <w:rPr>
          <w:noProof/>
          <w:color w:val="000000"/>
        </w:rPr>
        <w:t xml:space="preserve">(2016). </w:t>
      </w:r>
      <w:r w:rsidRPr="001D7AFC">
        <w:rPr>
          <w:noProof/>
          <w:color w:val="000000"/>
        </w:rPr>
        <w:t xml:space="preserve">Motivation-matched approach to the treatment of problem gambling: A case series pilot study. </w:t>
      </w:r>
      <w:r w:rsidRPr="00265FA1">
        <w:rPr>
          <w:i/>
          <w:iCs/>
          <w:noProof/>
          <w:color w:val="000000"/>
        </w:rPr>
        <w:t>Journal of Gambling Issues, 33</w:t>
      </w:r>
      <w:r>
        <w:rPr>
          <w:noProof/>
          <w:color w:val="000000"/>
        </w:rPr>
        <w:t xml:space="preserve">, </w:t>
      </w:r>
      <w:r w:rsidRPr="001D7AFC">
        <w:rPr>
          <w:noProof/>
          <w:color w:val="000000"/>
        </w:rPr>
        <w:t xml:space="preserve">124-147. </w:t>
      </w:r>
      <w:r w:rsidRPr="001D7AFC">
        <w:rPr>
          <w:noProof/>
        </w:rPr>
        <w:t>doi: 10.4309/jgi.2016.33.8</w:t>
      </w:r>
    </w:p>
    <w:p w14:paraId="5A5A17CB" w14:textId="05FD1494" w:rsidR="00CF18E2" w:rsidRDefault="00CF18E2" w:rsidP="00CF18E2">
      <w:pPr>
        <w:spacing w:line="276" w:lineRule="auto"/>
        <w:ind w:left="851" w:hanging="851"/>
        <w:rPr>
          <w:noProof/>
          <w:color w:val="000000"/>
        </w:rPr>
      </w:pPr>
      <w:r w:rsidRPr="001D7AFC">
        <w:rPr>
          <w:noProof/>
          <w:color w:val="000000"/>
        </w:rPr>
        <w:t>Subramaniam</w:t>
      </w:r>
      <w:r>
        <w:rPr>
          <w:noProof/>
          <w:color w:val="000000"/>
        </w:rPr>
        <w:t>,</w:t>
      </w:r>
      <w:r w:rsidRPr="001D7AFC">
        <w:rPr>
          <w:noProof/>
          <w:color w:val="000000"/>
        </w:rPr>
        <w:t xml:space="preserve"> M</w:t>
      </w:r>
      <w:r>
        <w:rPr>
          <w:noProof/>
          <w:color w:val="000000"/>
        </w:rPr>
        <w:t>.</w:t>
      </w:r>
      <w:r w:rsidRPr="001D7AFC">
        <w:rPr>
          <w:noProof/>
          <w:color w:val="000000"/>
        </w:rPr>
        <w:t>, Chong</w:t>
      </w:r>
      <w:r>
        <w:rPr>
          <w:noProof/>
          <w:color w:val="000000"/>
        </w:rPr>
        <w:t>,</w:t>
      </w:r>
      <w:r w:rsidRPr="001D7AFC">
        <w:rPr>
          <w:noProof/>
          <w:color w:val="000000"/>
        </w:rPr>
        <w:t xml:space="preserve"> S</w:t>
      </w:r>
      <w:r>
        <w:rPr>
          <w:noProof/>
          <w:color w:val="000000"/>
        </w:rPr>
        <w:t>.</w:t>
      </w:r>
      <w:r w:rsidRPr="001D7AFC">
        <w:rPr>
          <w:noProof/>
          <w:color w:val="000000"/>
        </w:rPr>
        <w:t>A</w:t>
      </w:r>
      <w:r>
        <w:rPr>
          <w:noProof/>
          <w:color w:val="000000"/>
        </w:rPr>
        <w:t>.</w:t>
      </w:r>
      <w:r w:rsidRPr="001D7AFC">
        <w:rPr>
          <w:noProof/>
          <w:color w:val="000000"/>
        </w:rPr>
        <w:t>, Satghare</w:t>
      </w:r>
      <w:r>
        <w:rPr>
          <w:noProof/>
          <w:color w:val="000000"/>
        </w:rPr>
        <w:t>,</w:t>
      </w:r>
      <w:r w:rsidRPr="001D7AFC">
        <w:rPr>
          <w:noProof/>
          <w:color w:val="000000"/>
        </w:rPr>
        <w:t xml:space="preserve"> P</w:t>
      </w:r>
      <w:r>
        <w:rPr>
          <w:noProof/>
          <w:color w:val="000000"/>
        </w:rPr>
        <w:t>.</w:t>
      </w:r>
      <w:r w:rsidRPr="001D7AFC">
        <w:rPr>
          <w:noProof/>
          <w:color w:val="000000"/>
        </w:rPr>
        <w:t>, Browning</w:t>
      </w:r>
      <w:r>
        <w:rPr>
          <w:noProof/>
          <w:color w:val="000000"/>
        </w:rPr>
        <w:t>,</w:t>
      </w:r>
      <w:r w:rsidRPr="001D7AFC">
        <w:rPr>
          <w:noProof/>
          <w:color w:val="000000"/>
        </w:rPr>
        <w:t xml:space="preserve"> C</w:t>
      </w:r>
      <w:r>
        <w:rPr>
          <w:noProof/>
          <w:color w:val="000000"/>
        </w:rPr>
        <w:t>.</w:t>
      </w:r>
      <w:r w:rsidRPr="001D7AFC">
        <w:rPr>
          <w:noProof/>
          <w:color w:val="000000"/>
        </w:rPr>
        <w:t>J</w:t>
      </w:r>
      <w:r>
        <w:rPr>
          <w:noProof/>
          <w:color w:val="000000"/>
        </w:rPr>
        <w:t>.</w:t>
      </w:r>
      <w:r w:rsidRPr="001D7AFC">
        <w:rPr>
          <w:noProof/>
          <w:color w:val="000000"/>
        </w:rPr>
        <w:t>, &amp; Thomas</w:t>
      </w:r>
      <w:r>
        <w:rPr>
          <w:noProof/>
          <w:color w:val="000000"/>
        </w:rPr>
        <w:t>,</w:t>
      </w:r>
      <w:r w:rsidRPr="001D7AFC">
        <w:rPr>
          <w:noProof/>
          <w:color w:val="000000"/>
        </w:rPr>
        <w:t xml:space="preserve"> S. </w:t>
      </w:r>
      <w:r>
        <w:rPr>
          <w:noProof/>
          <w:color w:val="000000"/>
        </w:rPr>
        <w:t xml:space="preserve">(2017). </w:t>
      </w:r>
      <w:r w:rsidRPr="001D7AFC">
        <w:rPr>
          <w:noProof/>
          <w:color w:val="000000"/>
        </w:rPr>
        <w:t xml:space="preserve">Gambling and family: A two-way relationship. </w:t>
      </w:r>
      <w:r w:rsidRPr="007C1716">
        <w:rPr>
          <w:i/>
          <w:iCs/>
          <w:noProof/>
          <w:color w:val="000000"/>
        </w:rPr>
        <w:t>Journal of Behavioral Addiction, 6</w:t>
      </w:r>
      <w:r w:rsidRPr="001D7AFC">
        <w:rPr>
          <w:noProof/>
          <w:color w:val="000000"/>
        </w:rPr>
        <w:t>(4)</w:t>
      </w:r>
      <w:r>
        <w:rPr>
          <w:noProof/>
          <w:color w:val="000000"/>
        </w:rPr>
        <w:t xml:space="preserve">, </w:t>
      </w:r>
      <w:r w:rsidRPr="001D7AFC">
        <w:rPr>
          <w:noProof/>
          <w:color w:val="000000"/>
        </w:rPr>
        <w:t xml:space="preserve">689-698. </w:t>
      </w:r>
      <w:r w:rsidRPr="001D7AFC">
        <w:rPr>
          <w:noProof/>
        </w:rPr>
        <w:t>doi: 10.1556/2006.6.2017.082</w:t>
      </w:r>
    </w:p>
    <w:p w14:paraId="0606872E" w14:textId="5695975F" w:rsidR="00CF18E2" w:rsidRDefault="00CF18E2" w:rsidP="00CF18E2">
      <w:pPr>
        <w:spacing w:line="276" w:lineRule="auto"/>
        <w:ind w:left="851" w:hanging="851"/>
        <w:rPr>
          <w:noProof/>
          <w:color w:val="000000"/>
        </w:rPr>
      </w:pPr>
      <w:r w:rsidRPr="001D7AFC">
        <w:rPr>
          <w:noProof/>
          <w:color w:val="000000"/>
        </w:rPr>
        <w:t>van der Maas</w:t>
      </w:r>
      <w:r>
        <w:rPr>
          <w:noProof/>
          <w:color w:val="000000"/>
        </w:rPr>
        <w:t>,</w:t>
      </w:r>
      <w:r w:rsidRPr="001D7AFC">
        <w:rPr>
          <w:noProof/>
          <w:color w:val="000000"/>
        </w:rPr>
        <w:t xml:space="preserve"> M., &amp; Nower</w:t>
      </w:r>
      <w:r>
        <w:rPr>
          <w:noProof/>
          <w:color w:val="000000"/>
        </w:rPr>
        <w:t>,</w:t>
      </w:r>
      <w:r w:rsidRPr="001D7AFC">
        <w:rPr>
          <w:noProof/>
          <w:color w:val="000000"/>
        </w:rPr>
        <w:t xml:space="preserve"> L. </w:t>
      </w:r>
      <w:r>
        <w:rPr>
          <w:noProof/>
          <w:color w:val="000000"/>
        </w:rPr>
        <w:t xml:space="preserve">(2021). </w:t>
      </w:r>
      <w:r w:rsidRPr="001D7AFC">
        <w:rPr>
          <w:noProof/>
          <w:color w:val="000000"/>
        </w:rPr>
        <w:t xml:space="preserve">Gambling and military service: Characteristics, comorbidity, and problem severity in an epidemiological sample. </w:t>
      </w:r>
      <w:r w:rsidRPr="007C1716">
        <w:rPr>
          <w:i/>
          <w:iCs/>
          <w:noProof/>
          <w:color w:val="000000"/>
        </w:rPr>
        <w:t>Addictive Behaviour, 114</w:t>
      </w:r>
      <w:r w:rsidRPr="001D7AFC">
        <w:rPr>
          <w:noProof/>
          <w:color w:val="000000"/>
        </w:rPr>
        <w:t xml:space="preserve">, 106725. </w:t>
      </w:r>
      <w:r w:rsidRPr="001D7AFC">
        <w:rPr>
          <w:noProof/>
        </w:rPr>
        <w:t>doi: 10.1016/j.addbeh.2020.106725</w:t>
      </w:r>
    </w:p>
    <w:p w14:paraId="21142886" w14:textId="43DCF7DF" w:rsidR="00CF18E2" w:rsidRDefault="00CF18E2" w:rsidP="00CF18E2">
      <w:pPr>
        <w:spacing w:line="276" w:lineRule="auto"/>
        <w:ind w:left="851" w:hanging="851"/>
        <w:rPr>
          <w:noProof/>
          <w:color w:val="000000"/>
        </w:rPr>
      </w:pPr>
      <w:r w:rsidRPr="001D7AFC">
        <w:rPr>
          <w:noProof/>
          <w:color w:val="000000"/>
        </w:rPr>
        <w:t>Wardle</w:t>
      </w:r>
      <w:r>
        <w:rPr>
          <w:noProof/>
          <w:color w:val="000000"/>
        </w:rPr>
        <w:t>,</w:t>
      </w:r>
      <w:r w:rsidRPr="001D7AFC">
        <w:rPr>
          <w:noProof/>
          <w:color w:val="000000"/>
        </w:rPr>
        <w:t xml:space="preserve"> H</w:t>
      </w:r>
      <w:r>
        <w:rPr>
          <w:noProof/>
          <w:color w:val="000000"/>
        </w:rPr>
        <w:t>.</w:t>
      </w:r>
      <w:r w:rsidRPr="001D7AFC">
        <w:rPr>
          <w:noProof/>
          <w:color w:val="000000"/>
        </w:rPr>
        <w:t>, Reith</w:t>
      </w:r>
      <w:r>
        <w:rPr>
          <w:noProof/>
          <w:color w:val="000000"/>
        </w:rPr>
        <w:t>,</w:t>
      </w:r>
      <w:r w:rsidRPr="001D7AFC">
        <w:rPr>
          <w:noProof/>
          <w:color w:val="000000"/>
        </w:rPr>
        <w:t xml:space="preserve"> G</w:t>
      </w:r>
      <w:r>
        <w:rPr>
          <w:noProof/>
          <w:color w:val="000000"/>
        </w:rPr>
        <w:t>.</w:t>
      </w:r>
      <w:r w:rsidRPr="001D7AFC">
        <w:rPr>
          <w:noProof/>
          <w:color w:val="000000"/>
        </w:rPr>
        <w:t>, Langham</w:t>
      </w:r>
      <w:r>
        <w:rPr>
          <w:noProof/>
          <w:color w:val="000000"/>
        </w:rPr>
        <w:t>,</w:t>
      </w:r>
      <w:r w:rsidRPr="001D7AFC">
        <w:rPr>
          <w:noProof/>
          <w:color w:val="000000"/>
        </w:rPr>
        <w:t xml:space="preserve"> E</w:t>
      </w:r>
      <w:r>
        <w:rPr>
          <w:noProof/>
          <w:color w:val="000000"/>
        </w:rPr>
        <w:t>.</w:t>
      </w:r>
      <w:r w:rsidRPr="001D7AFC">
        <w:rPr>
          <w:noProof/>
          <w:color w:val="000000"/>
        </w:rPr>
        <w:t>, &amp; Rogers</w:t>
      </w:r>
      <w:r>
        <w:rPr>
          <w:noProof/>
          <w:color w:val="000000"/>
        </w:rPr>
        <w:t>,</w:t>
      </w:r>
      <w:r w:rsidRPr="001D7AFC">
        <w:rPr>
          <w:noProof/>
          <w:color w:val="000000"/>
        </w:rPr>
        <w:t xml:space="preserve"> R</w:t>
      </w:r>
      <w:r>
        <w:rPr>
          <w:noProof/>
          <w:color w:val="000000"/>
        </w:rPr>
        <w:t>.</w:t>
      </w:r>
      <w:r w:rsidRPr="001D7AFC">
        <w:rPr>
          <w:noProof/>
          <w:color w:val="000000"/>
        </w:rPr>
        <w:t xml:space="preserve">D. </w:t>
      </w:r>
      <w:r>
        <w:rPr>
          <w:noProof/>
          <w:color w:val="000000"/>
        </w:rPr>
        <w:t xml:space="preserve">(2019). </w:t>
      </w:r>
      <w:r w:rsidRPr="001D7AFC">
        <w:rPr>
          <w:noProof/>
          <w:color w:val="000000"/>
        </w:rPr>
        <w:t xml:space="preserve">Gambling and public health: We need policy action to prevent harm. </w:t>
      </w:r>
      <w:r w:rsidRPr="00570F10">
        <w:rPr>
          <w:i/>
          <w:iCs/>
          <w:noProof/>
          <w:color w:val="000000"/>
        </w:rPr>
        <w:t>British Medical Journal, 365</w:t>
      </w:r>
      <w:r w:rsidRPr="001D7AFC">
        <w:rPr>
          <w:noProof/>
          <w:color w:val="000000"/>
        </w:rPr>
        <w:t xml:space="preserve">. </w:t>
      </w:r>
      <w:r w:rsidRPr="001D7AFC">
        <w:rPr>
          <w:noProof/>
        </w:rPr>
        <w:t>doi: 10.1136/bmj.l1807</w:t>
      </w:r>
    </w:p>
    <w:p w14:paraId="0834871E" w14:textId="0F1DF01E" w:rsidR="00CF18E2" w:rsidRPr="00A2430F" w:rsidRDefault="00CF18E2" w:rsidP="00CF18E2">
      <w:pPr>
        <w:spacing w:line="276" w:lineRule="auto"/>
        <w:ind w:left="851" w:hanging="851"/>
        <w:rPr>
          <w:noProof/>
          <w:color w:val="000000"/>
        </w:rPr>
      </w:pPr>
      <w:r w:rsidRPr="001D7AFC">
        <w:rPr>
          <w:noProof/>
          <w:color w:val="000000"/>
        </w:rPr>
        <w:t>Wardle</w:t>
      </w:r>
      <w:r>
        <w:rPr>
          <w:noProof/>
          <w:color w:val="000000"/>
        </w:rPr>
        <w:t>,</w:t>
      </w:r>
      <w:r w:rsidRPr="001D7AFC">
        <w:rPr>
          <w:noProof/>
          <w:color w:val="000000"/>
        </w:rPr>
        <w:t xml:space="preserve"> H</w:t>
      </w:r>
      <w:r>
        <w:rPr>
          <w:noProof/>
          <w:color w:val="000000"/>
        </w:rPr>
        <w:t>.</w:t>
      </w:r>
      <w:r w:rsidRPr="001D7AFC">
        <w:rPr>
          <w:noProof/>
          <w:color w:val="000000"/>
        </w:rPr>
        <w:t>, Sproston</w:t>
      </w:r>
      <w:r>
        <w:rPr>
          <w:noProof/>
          <w:color w:val="000000"/>
        </w:rPr>
        <w:t>,</w:t>
      </w:r>
      <w:r w:rsidRPr="001D7AFC">
        <w:rPr>
          <w:noProof/>
          <w:color w:val="000000"/>
        </w:rPr>
        <w:t xml:space="preserve"> K</w:t>
      </w:r>
      <w:r>
        <w:rPr>
          <w:noProof/>
          <w:color w:val="000000"/>
        </w:rPr>
        <w:t>.</w:t>
      </w:r>
      <w:r w:rsidRPr="001D7AFC">
        <w:rPr>
          <w:noProof/>
          <w:color w:val="000000"/>
        </w:rPr>
        <w:t>, Orford</w:t>
      </w:r>
      <w:r>
        <w:rPr>
          <w:noProof/>
          <w:color w:val="000000"/>
        </w:rPr>
        <w:t>,</w:t>
      </w:r>
      <w:r w:rsidRPr="001D7AFC">
        <w:rPr>
          <w:noProof/>
          <w:color w:val="000000"/>
        </w:rPr>
        <w:t xml:space="preserve"> J</w:t>
      </w:r>
      <w:r>
        <w:rPr>
          <w:noProof/>
          <w:color w:val="000000"/>
        </w:rPr>
        <w:t>.</w:t>
      </w:r>
      <w:r w:rsidRPr="001D7AFC">
        <w:rPr>
          <w:noProof/>
          <w:color w:val="000000"/>
        </w:rPr>
        <w:t>, Erens</w:t>
      </w:r>
      <w:r>
        <w:rPr>
          <w:noProof/>
          <w:color w:val="000000"/>
        </w:rPr>
        <w:t>,</w:t>
      </w:r>
      <w:r w:rsidRPr="001D7AFC">
        <w:rPr>
          <w:noProof/>
          <w:color w:val="000000"/>
        </w:rPr>
        <w:t xml:space="preserve"> B</w:t>
      </w:r>
      <w:r>
        <w:rPr>
          <w:noProof/>
          <w:color w:val="000000"/>
        </w:rPr>
        <w:t>.</w:t>
      </w:r>
      <w:r w:rsidRPr="001D7AFC">
        <w:rPr>
          <w:noProof/>
          <w:color w:val="000000"/>
        </w:rPr>
        <w:t>,</w:t>
      </w:r>
      <w:r>
        <w:rPr>
          <w:noProof/>
          <w:color w:val="000000"/>
        </w:rPr>
        <w:t xml:space="preserve"> </w:t>
      </w:r>
      <w:r w:rsidRPr="001D7AFC">
        <w:rPr>
          <w:noProof/>
          <w:color w:val="000000"/>
        </w:rPr>
        <w:t>Griffiths</w:t>
      </w:r>
      <w:r>
        <w:rPr>
          <w:noProof/>
          <w:color w:val="000000"/>
        </w:rPr>
        <w:t>,</w:t>
      </w:r>
      <w:r w:rsidRPr="001D7AFC">
        <w:rPr>
          <w:noProof/>
          <w:color w:val="000000"/>
        </w:rPr>
        <w:t xml:space="preserve"> M</w:t>
      </w:r>
      <w:r>
        <w:rPr>
          <w:noProof/>
          <w:color w:val="000000"/>
        </w:rPr>
        <w:t>.</w:t>
      </w:r>
      <w:r w:rsidRPr="001D7AFC">
        <w:rPr>
          <w:noProof/>
          <w:color w:val="000000"/>
        </w:rPr>
        <w:t>D</w:t>
      </w:r>
      <w:r>
        <w:rPr>
          <w:noProof/>
          <w:color w:val="000000"/>
        </w:rPr>
        <w:t>.</w:t>
      </w:r>
      <w:r w:rsidRPr="001D7AFC">
        <w:rPr>
          <w:noProof/>
          <w:color w:val="000000"/>
        </w:rPr>
        <w:t>, Constantine</w:t>
      </w:r>
      <w:r>
        <w:rPr>
          <w:noProof/>
          <w:color w:val="000000"/>
        </w:rPr>
        <w:t>,</w:t>
      </w:r>
      <w:r w:rsidRPr="001D7AFC">
        <w:rPr>
          <w:noProof/>
          <w:color w:val="000000"/>
        </w:rPr>
        <w:t xml:space="preserve"> R</w:t>
      </w:r>
      <w:r>
        <w:rPr>
          <w:noProof/>
          <w:color w:val="000000"/>
        </w:rPr>
        <w:t>.</w:t>
      </w:r>
      <w:r w:rsidRPr="001D7AFC">
        <w:rPr>
          <w:noProof/>
          <w:color w:val="000000"/>
        </w:rPr>
        <w:t xml:space="preserve">, et al. </w:t>
      </w:r>
      <w:r>
        <w:rPr>
          <w:noProof/>
          <w:color w:val="000000"/>
        </w:rPr>
        <w:t xml:space="preserve">(2007). </w:t>
      </w:r>
      <w:r w:rsidRPr="00BD4E29">
        <w:rPr>
          <w:i/>
          <w:iCs/>
          <w:noProof/>
          <w:color w:val="000000"/>
        </w:rPr>
        <w:t>The British gambling prevalence survey 2007</w:t>
      </w:r>
      <w:r w:rsidRPr="001D7AFC">
        <w:rPr>
          <w:noProof/>
          <w:color w:val="000000"/>
        </w:rPr>
        <w:t>. London: The Stationery Office; 2007</w:t>
      </w:r>
    </w:p>
    <w:p w14:paraId="7089D3B7" w14:textId="0A917B07" w:rsidR="00CF18E2" w:rsidRDefault="00CF18E2" w:rsidP="00CF18E2">
      <w:pPr>
        <w:spacing w:line="276" w:lineRule="auto"/>
        <w:ind w:left="851" w:hanging="851"/>
        <w:rPr>
          <w:noProof/>
          <w:color w:val="000000"/>
        </w:rPr>
      </w:pPr>
      <w:r w:rsidRPr="001D7AFC">
        <w:rPr>
          <w:noProof/>
          <w:color w:val="000000"/>
        </w:rPr>
        <w:t>Weatherly</w:t>
      </w:r>
      <w:r>
        <w:rPr>
          <w:noProof/>
          <w:color w:val="000000"/>
        </w:rPr>
        <w:t>,</w:t>
      </w:r>
      <w:r w:rsidRPr="001D7AFC">
        <w:rPr>
          <w:noProof/>
          <w:color w:val="000000"/>
        </w:rPr>
        <w:t xml:space="preserve"> J</w:t>
      </w:r>
      <w:r>
        <w:rPr>
          <w:noProof/>
          <w:color w:val="000000"/>
        </w:rPr>
        <w:t>.</w:t>
      </w:r>
      <w:r w:rsidRPr="001D7AFC">
        <w:rPr>
          <w:noProof/>
          <w:color w:val="000000"/>
        </w:rPr>
        <w:t>N</w:t>
      </w:r>
      <w:r>
        <w:rPr>
          <w:noProof/>
          <w:color w:val="000000"/>
        </w:rPr>
        <w:t>.</w:t>
      </w:r>
      <w:r w:rsidRPr="001D7AFC">
        <w:rPr>
          <w:noProof/>
          <w:color w:val="000000"/>
        </w:rPr>
        <w:t>, Dymond</w:t>
      </w:r>
      <w:r>
        <w:rPr>
          <w:noProof/>
          <w:color w:val="000000"/>
        </w:rPr>
        <w:t>,</w:t>
      </w:r>
      <w:r w:rsidRPr="001D7AFC">
        <w:rPr>
          <w:noProof/>
          <w:color w:val="000000"/>
        </w:rPr>
        <w:t xml:space="preserve"> S</w:t>
      </w:r>
      <w:r>
        <w:rPr>
          <w:noProof/>
          <w:color w:val="000000"/>
        </w:rPr>
        <w:t>.</w:t>
      </w:r>
      <w:r w:rsidRPr="001D7AFC">
        <w:rPr>
          <w:noProof/>
          <w:color w:val="000000"/>
        </w:rPr>
        <w:t>, Samuels</w:t>
      </w:r>
      <w:r>
        <w:rPr>
          <w:noProof/>
          <w:color w:val="000000"/>
        </w:rPr>
        <w:t>,</w:t>
      </w:r>
      <w:r w:rsidRPr="001D7AFC">
        <w:rPr>
          <w:noProof/>
          <w:color w:val="000000"/>
        </w:rPr>
        <w:t xml:space="preserve"> L</w:t>
      </w:r>
      <w:r>
        <w:rPr>
          <w:noProof/>
          <w:color w:val="000000"/>
        </w:rPr>
        <w:t>.</w:t>
      </w:r>
      <w:r w:rsidRPr="001D7AFC">
        <w:rPr>
          <w:noProof/>
          <w:color w:val="000000"/>
        </w:rPr>
        <w:t>, Austin</w:t>
      </w:r>
      <w:r>
        <w:rPr>
          <w:noProof/>
          <w:color w:val="000000"/>
        </w:rPr>
        <w:t>,</w:t>
      </w:r>
      <w:r w:rsidRPr="001D7AFC">
        <w:rPr>
          <w:noProof/>
          <w:color w:val="000000"/>
        </w:rPr>
        <w:t xml:space="preserve"> J</w:t>
      </w:r>
      <w:r>
        <w:rPr>
          <w:noProof/>
          <w:color w:val="000000"/>
        </w:rPr>
        <w:t>.</w:t>
      </w:r>
      <w:r w:rsidRPr="001D7AFC">
        <w:rPr>
          <w:noProof/>
          <w:color w:val="000000"/>
        </w:rPr>
        <w:t>L</w:t>
      </w:r>
      <w:r>
        <w:rPr>
          <w:noProof/>
          <w:color w:val="000000"/>
        </w:rPr>
        <w:t>.</w:t>
      </w:r>
      <w:r w:rsidRPr="001D7AFC">
        <w:rPr>
          <w:noProof/>
          <w:color w:val="000000"/>
        </w:rPr>
        <w:t>, &amp; Terrell</w:t>
      </w:r>
      <w:r>
        <w:rPr>
          <w:noProof/>
          <w:color w:val="000000"/>
        </w:rPr>
        <w:t>,</w:t>
      </w:r>
      <w:r w:rsidRPr="001D7AFC">
        <w:rPr>
          <w:noProof/>
          <w:color w:val="000000"/>
        </w:rPr>
        <w:t xml:space="preserve"> H</w:t>
      </w:r>
      <w:r>
        <w:rPr>
          <w:noProof/>
          <w:color w:val="000000"/>
        </w:rPr>
        <w:t>.</w:t>
      </w:r>
      <w:r w:rsidRPr="001D7AFC">
        <w:rPr>
          <w:noProof/>
          <w:color w:val="000000"/>
        </w:rPr>
        <w:t xml:space="preserve">K. </w:t>
      </w:r>
      <w:r>
        <w:rPr>
          <w:noProof/>
          <w:color w:val="000000"/>
        </w:rPr>
        <w:t xml:space="preserve">(2014). </w:t>
      </w:r>
      <w:r w:rsidRPr="001D7AFC">
        <w:rPr>
          <w:noProof/>
          <w:color w:val="000000"/>
        </w:rPr>
        <w:t xml:space="preserve">Validating the Gambling Functional Assessment–Revised in a United Kingdom sample. </w:t>
      </w:r>
      <w:r w:rsidRPr="00273798">
        <w:rPr>
          <w:i/>
          <w:iCs/>
          <w:noProof/>
          <w:color w:val="000000"/>
        </w:rPr>
        <w:t>Journal of Gambling Studies, 30</w:t>
      </w:r>
      <w:r w:rsidRPr="001D7AFC">
        <w:rPr>
          <w:noProof/>
          <w:color w:val="000000"/>
        </w:rPr>
        <w:t>(2)</w:t>
      </w:r>
      <w:r>
        <w:rPr>
          <w:noProof/>
          <w:color w:val="000000"/>
        </w:rPr>
        <w:t xml:space="preserve">, </w:t>
      </w:r>
      <w:r w:rsidRPr="001D7AFC">
        <w:rPr>
          <w:noProof/>
          <w:color w:val="000000"/>
        </w:rPr>
        <w:t xml:space="preserve">335-347. </w:t>
      </w:r>
      <w:r w:rsidRPr="001D7AFC">
        <w:rPr>
          <w:noProof/>
        </w:rPr>
        <w:t>doi: 10.1007/s10899-012-9354-5</w:t>
      </w:r>
      <w:r w:rsidRPr="001D7AFC">
        <w:rPr>
          <w:noProof/>
          <w:color w:val="000000"/>
        </w:rPr>
        <w:t xml:space="preserve"> </w:t>
      </w:r>
    </w:p>
    <w:p w14:paraId="01D93DF7" w14:textId="0A298401" w:rsidR="00CF18E2" w:rsidRPr="001D7AFC" w:rsidRDefault="00CF18E2" w:rsidP="00CF18E2">
      <w:pPr>
        <w:spacing w:line="276" w:lineRule="auto"/>
        <w:ind w:left="851" w:hanging="851"/>
        <w:rPr>
          <w:noProof/>
          <w:color w:val="000000"/>
        </w:rPr>
      </w:pPr>
      <w:r w:rsidRPr="001D7AFC">
        <w:rPr>
          <w:noProof/>
          <w:color w:val="000000"/>
        </w:rPr>
        <w:t>Weatherly</w:t>
      </w:r>
      <w:r>
        <w:rPr>
          <w:noProof/>
          <w:color w:val="000000"/>
        </w:rPr>
        <w:t>,</w:t>
      </w:r>
      <w:r w:rsidRPr="001D7AFC">
        <w:rPr>
          <w:noProof/>
          <w:color w:val="000000"/>
        </w:rPr>
        <w:t xml:space="preserve"> J</w:t>
      </w:r>
      <w:r>
        <w:rPr>
          <w:noProof/>
          <w:color w:val="000000"/>
        </w:rPr>
        <w:t>.</w:t>
      </w:r>
      <w:r w:rsidRPr="001D7AFC">
        <w:rPr>
          <w:noProof/>
          <w:color w:val="000000"/>
        </w:rPr>
        <w:t>N</w:t>
      </w:r>
      <w:r>
        <w:rPr>
          <w:noProof/>
          <w:color w:val="000000"/>
        </w:rPr>
        <w:t>.</w:t>
      </w:r>
      <w:r w:rsidRPr="001D7AFC">
        <w:rPr>
          <w:noProof/>
          <w:color w:val="000000"/>
        </w:rPr>
        <w:t>, Miller</w:t>
      </w:r>
      <w:r>
        <w:rPr>
          <w:noProof/>
          <w:color w:val="000000"/>
        </w:rPr>
        <w:t>,</w:t>
      </w:r>
      <w:r w:rsidRPr="001D7AFC">
        <w:rPr>
          <w:noProof/>
          <w:color w:val="000000"/>
        </w:rPr>
        <w:t xml:space="preserve"> J</w:t>
      </w:r>
      <w:r>
        <w:rPr>
          <w:noProof/>
          <w:color w:val="000000"/>
        </w:rPr>
        <w:t>.</w:t>
      </w:r>
      <w:r w:rsidRPr="001D7AFC">
        <w:rPr>
          <w:noProof/>
          <w:color w:val="000000"/>
        </w:rPr>
        <w:t>C</w:t>
      </w:r>
      <w:r>
        <w:rPr>
          <w:noProof/>
          <w:color w:val="000000"/>
        </w:rPr>
        <w:t>.</w:t>
      </w:r>
      <w:r w:rsidRPr="001D7AFC">
        <w:rPr>
          <w:noProof/>
          <w:color w:val="000000"/>
        </w:rPr>
        <w:t>, &amp; Terrell</w:t>
      </w:r>
      <w:r>
        <w:rPr>
          <w:noProof/>
          <w:color w:val="000000"/>
        </w:rPr>
        <w:t>,</w:t>
      </w:r>
      <w:r w:rsidRPr="001D7AFC">
        <w:rPr>
          <w:noProof/>
          <w:color w:val="000000"/>
        </w:rPr>
        <w:t xml:space="preserve"> H</w:t>
      </w:r>
      <w:r>
        <w:rPr>
          <w:noProof/>
          <w:color w:val="000000"/>
        </w:rPr>
        <w:t>.</w:t>
      </w:r>
      <w:r w:rsidRPr="001D7AFC">
        <w:rPr>
          <w:noProof/>
          <w:color w:val="000000"/>
        </w:rPr>
        <w:t xml:space="preserve">K. </w:t>
      </w:r>
      <w:r>
        <w:rPr>
          <w:noProof/>
          <w:color w:val="000000"/>
        </w:rPr>
        <w:t xml:space="preserve">(2011). </w:t>
      </w:r>
      <w:r w:rsidRPr="001D7AFC">
        <w:rPr>
          <w:noProof/>
          <w:color w:val="000000"/>
        </w:rPr>
        <w:t>Testing the construct validity of the Gambling Functional Assessment–Revised. </w:t>
      </w:r>
      <w:r w:rsidRPr="00273798">
        <w:rPr>
          <w:i/>
          <w:iCs/>
          <w:noProof/>
          <w:color w:val="000000"/>
        </w:rPr>
        <w:t>Behavior Modification, 35</w:t>
      </w:r>
      <w:r w:rsidRPr="001D7AFC">
        <w:rPr>
          <w:noProof/>
          <w:color w:val="000000"/>
        </w:rPr>
        <w:t>(6)</w:t>
      </w:r>
      <w:r>
        <w:rPr>
          <w:noProof/>
          <w:color w:val="000000"/>
        </w:rPr>
        <w:t xml:space="preserve">, </w:t>
      </w:r>
      <w:r w:rsidRPr="001D7AFC">
        <w:rPr>
          <w:noProof/>
          <w:color w:val="000000"/>
        </w:rPr>
        <w:t xml:space="preserve">553-569. </w:t>
      </w:r>
      <w:r w:rsidRPr="001D7AFC">
        <w:rPr>
          <w:noProof/>
        </w:rPr>
        <w:t>doi: 10.1177/0145445511416635</w:t>
      </w:r>
    </w:p>
    <w:p w14:paraId="34FC6D89" w14:textId="75B9C046" w:rsidR="00CF18E2" w:rsidRPr="00A2430F" w:rsidRDefault="00CF18E2" w:rsidP="00CF18E2">
      <w:pPr>
        <w:spacing w:line="276" w:lineRule="auto"/>
        <w:ind w:left="851" w:hanging="851"/>
        <w:rPr>
          <w:noProof/>
          <w:color w:val="000000"/>
        </w:rPr>
      </w:pPr>
      <w:r w:rsidRPr="001D7AFC">
        <w:rPr>
          <w:noProof/>
          <w:color w:val="000000"/>
        </w:rPr>
        <w:t>Westermeyer</w:t>
      </w:r>
      <w:r>
        <w:rPr>
          <w:noProof/>
          <w:color w:val="000000"/>
        </w:rPr>
        <w:t>,</w:t>
      </w:r>
      <w:r w:rsidRPr="001D7AFC">
        <w:rPr>
          <w:noProof/>
          <w:color w:val="000000"/>
        </w:rPr>
        <w:t xml:space="preserve"> J</w:t>
      </w:r>
      <w:r>
        <w:rPr>
          <w:noProof/>
          <w:color w:val="000000"/>
        </w:rPr>
        <w:t>.</w:t>
      </w:r>
      <w:r w:rsidRPr="001D7AFC">
        <w:rPr>
          <w:noProof/>
          <w:color w:val="000000"/>
        </w:rPr>
        <w:t>, Canive</w:t>
      </w:r>
      <w:r>
        <w:rPr>
          <w:noProof/>
          <w:color w:val="000000"/>
        </w:rPr>
        <w:t>,</w:t>
      </w:r>
      <w:r w:rsidRPr="001D7AFC">
        <w:rPr>
          <w:noProof/>
          <w:color w:val="000000"/>
        </w:rPr>
        <w:t xml:space="preserve"> J</w:t>
      </w:r>
      <w:r>
        <w:rPr>
          <w:noProof/>
          <w:color w:val="000000"/>
        </w:rPr>
        <w:t>.</w:t>
      </w:r>
      <w:r w:rsidRPr="001D7AFC">
        <w:rPr>
          <w:noProof/>
          <w:color w:val="000000"/>
        </w:rPr>
        <w:t>, Thuras</w:t>
      </w:r>
      <w:r>
        <w:rPr>
          <w:noProof/>
          <w:color w:val="000000"/>
        </w:rPr>
        <w:t>,</w:t>
      </w:r>
      <w:r w:rsidRPr="001D7AFC">
        <w:rPr>
          <w:noProof/>
          <w:color w:val="000000"/>
        </w:rPr>
        <w:t xml:space="preserve"> P</w:t>
      </w:r>
      <w:r>
        <w:rPr>
          <w:noProof/>
          <w:color w:val="000000"/>
        </w:rPr>
        <w:t>.</w:t>
      </w:r>
      <w:r w:rsidRPr="001D7AFC">
        <w:rPr>
          <w:noProof/>
          <w:color w:val="000000"/>
        </w:rPr>
        <w:t>, Thompson</w:t>
      </w:r>
      <w:r>
        <w:rPr>
          <w:noProof/>
          <w:color w:val="000000"/>
        </w:rPr>
        <w:t>,</w:t>
      </w:r>
      <w:r w:rsidRPr="001D7AFC">
        <w:rPr>
          <w:noProof/>
          <w:color w:val="000000"/>
        </w:rPr>
        <w:t xml:space="preserve"> J</w:t>
      </w:r>
      <w:r>
        <w:rPr>
          <w:noProof/>
          <w:color w:val="000000"/>
        </w:rPr>
        <w:t>.</w:t>
      </w:r>
      <w:r w:rsidRPr="001D7AFC">
        <w:rPr>
          <w:noProof/>
          <w:color w:val="000000"/>
        </w:rPr>
        <w:t>, Kim</w:t>
      </w:r>
      <w:r>
        <w:rPr>
          <w:noProof/>
          <w:color w:val="000000"/>
        </w:rPr>
        <w:t>,</w:t>
      </w:r>
      <w:r w:rsidRPr="001D7AFC">
        <w:rPr>
          <w:noProof/>
          <w:color w:val="000000"/>
        </w:rPr>
        <w:t xml:space="preserve"> S</w:t>
      </w:r>
      <w:r>
        <w:rPr>
          <w:noProof/>
          <w:color w:val="000000"/>
        </w:rPr>
        <w:t>.</w:t>
      </w:r>
      <w:r w:rsidRPr="001D7AFC">
        <w:rPr>
          <w:noProof/>
          <w:color w:val="000000"/>
        </w:rPr>
        <w:t>W</w:t>
      </w:r>
      <w:r>
        <w:rPr>
          <w:noProof/>
          <w:color w:val="000000"/>
        </w:rPr>
        <w:t>.</w:t>
      </w:r>
      <w:r w:rsidRPr="001D7AFC">
        <w:rPr>
          <w:noProof/>
          <w:color w:val="000000"/>
        </w:rPr>
        <w:t>, Crosby</w:t>
      </w:r>
      <w:r>
        <w:rPr>
          <w:noProof/>
          <w:color w:val="000000"/>
        </w:rPr>
        <w:t>,</w:t>
      </w:r>
      <w:r w:rsidRPr="001D7AFC">
        <w:rPr>
          <w:noProof/>
          <w:color w:val="000000"/>
        </w:rPr>
        <w:t xml:space="preserve"> R</w:t>
      </w:r>
      <w:r>
        <w:rPr>
          <w:noProof/>
          <w:color w:val="000000"/>
        </w:rPr>
        <w:t>.</w:t>
      </w:r>
      <w:r w:rsidRPr="001D7AFC">
        <w:rPr>
          <w:noProof/>
          <w:color w:val="000000"/>
        </w:rPr>
        <w:t>D</w:t>
      </w:r>
      <w:r>
        <w:rPr>
          <w:noProof/>
          <w:color w:val="000000"/>
        </w:rPr>
        <w:t>.</w:t>
      </w:r>
      <w:r w:rsidRPr="001D7AFC">
        <w:rPr>
          <w:noProof/>
          <w:color w:val="000000"/>
        </w:rPr>
        <w:t xml:space="preserve">, </w:t>
      </w:r>
      <w:r>
        <w:rPr>
          <w:noProof/>
          <w:color w:val="000000"/>
        </w:rPr>
        <w:t xml:space="preserve">&amp; Garrad, J. (2018). </w:t>
      </w:r>
      <w:r w:rsidRPr="001D7AFC">
        <w:rPr>
          <w:noProof/>
          <w:color w:val="000000"/>
        </w:rPr>
        <w:t>Mental health of non-gamblers versus “normal” gamblers among American Indian veterans: A community survey. </w:t>
      </w:r>
      <w:r w:rsidRPr="00756347">
        <w:rPr>
          <w:i/>
          <w:iCs/>
          <w:noProof/>
          <w:color w:val="000000"/>
        </w:rPr>
        <w:t>Journal of Gambling Studies, 24</w:t>
      </w:r>
      <w:r w:rsidRPr="001D7AFC">
        <w:rPr>
          <w:noProof/>
          <w:color w:val="000000"/>
        </w:rPr>
        <w:t>(2)</w:t>
      </w:r>
      <w:r>
        <w:rPr>
          <w:noProof/>
          <w:color w:val="000000"/>
        </w:rPr>
        <w:t xml:space="preserve">, </w:t>
      </w:r>
      <w:r w:rsidRPr="001D7AFC">
        <w:rPr>
          <w:noProof/>
          <w:color w:val="000000"/>
        </w:rPr>
        <w:t xml:space="preserve">193-205. </w:t>
      </w:r>
      <w:r w:rsidRPr="001D7AFC">
        <w:rPr>
          <w:noProof/>
        </w:rPr>
        <w:t>doi: 10.1007/s10899-007-9084-2</w:t>
      </w:r>
    </w:p>
    <w:p w14:paraId="6C66ACBC" w14:textId="77777777" w:rsidR="000C0107" w:rsidRDefault="000C0107" w:rsidP="00CF18E2">
      <w:pPr>
        <w:spacing w:line="276" w:lineRule="auto"/>
        <w:ind w:left="851" w:hanging="851"/>
        <w:rPr>
          <w:noProof/>
          <w:color w:val="000000"/>
        </w:rPr>
      </w:pPr>
    </w:p>
    <w:p w14:paraId="113C532B" w14:textId="77777777" w:rsidR="000C0107" w:rsidRDefault="000C0107" w:rsidP="00CF18E2">
      <w:pPr>
        <w:spacing w:line="276" w:lineRule="auto"/>
        <w:ind w:left="851" w:hanging="851"/>
        <w:rPr>
          <w:noProof/>
          <w:color w:val="000000"/>
        </w:rPr>
      </w:pPr>
    </w:p>
    <w:p w14:paraId="32B7C515" w14:textId="2B8465A6" w:rsidR="00CF18E2" w:rsidRDefault="00CF18E2" w:rsidP="00CF18E2">
      <w:pPr>
        <w:spacing w:line="276" w:lineRule="auto"/>
        <w:ind w:left="851" w:hanging="851"/>
        <w:rPr>
          <w:noProof/>
        </w:rPr>
      </w:pPr>
      <w:r w:rsidRPr="001D7AFC">
        <w:rPr>
          <w:noProof/>
          <w:color w:val="000000"/>
        </w:rPr>
        <w:t>Williamson</w:t>
      </w:r>
      <w:r>
        <w:rPr>
          <w:noProof/>
          <w:color w:val="000000"/>
        </w:rPr>
        <w:t>,</w:t>
      </w:r>
      <w:r w:rsidRPr="001D7AFC">
        <w:rPr>
          <w:noProof/>
          <w:color w:val="000000"/>
        </w:rPr>
        <w:t xml:space="preserve"> V</w:t>
      </w:r>
      <w:r>
        <w:rPr>
          <w:noProof/>
          <w:color w:val="000000"/>
        </w:rPr>
        <w:t>.</w:t>
      </w:r>
      <w:r w:rsidRPr="001D7AFC">
        <w:rPr>
          <w:noProof/>
          <w:color w:val="000000"/>
        </w:rPr>
        <w:t>, Harwood</w:t>
      </w:r>
      <w:r>
        <w:rPr>
          <w:noProof/>
          <w:color w:val="000000"/>
        </w:rPr>
        <w:t>,</w:t>
      </w:r>
      <w:r w:rsidRPr="001D7AFC">
        <w:rPr>
          <w:noProof/>
          <w:color w:val="000000"/>
        </w:rPr>
        <w:t xml:space="preserve"> H</w:t>
      </w:r>
      <w:r>
        <w:rPr>
          <w:noProof/>
          <w:color w:val="000000"/>
        </w:rPr>
        <w:t>.</w:t>
      </w:r>
      <w:r w:rsidRPr="001D7AFC">
        <w:rPr>
          <w:noProof/>
          <w:color w:val="000000"/>
        </w:rPr>
        <w:t>, Greenberg</w:t>
      </w:r>
      <w:r>
        <w:rPr>
          <w:noProof/>
          <w:color w:val="000000"/>
        </w:rPr>
        <w:t>,</w:t>
      </w:r>
      <w:r w:rsidRPr="001D7AFC">
        <w:rPr>
          <w:noProof/>
          <w:color w:val="000000"/>
        </w:rPr>
        <w:t xml:space="preserve"> K</w:t>
      </w:r>
      <w:r>
        <w:rPr>
          <w:noProof/>
          <w:color w:val="000000"/>
        </w:rPr>
        <w:t>.</w:t>
      </w:r>
      <w:r w:rsidRPr="001D7AFC">
        <w:rPr>
          <w:noProof/>
          <w:color w:val="000000"/>
        </w:rPr>
        <w:t>, Stevelink</w:t>
      </w:r>
      <w:r>
        <w:rPr>
          <w:noProof/>
          <w:color w:val="000000"/>
        </w:rPr>
        <w:t>,</w:t>
      </w:r>
      <w:r w:rsidRPr="001D7AFC">
        <w:rPr>
          <w:noProof/>
          <w:color w:val="000000"/>
        </w:rPr>
        <w:t xml:space="preserve"> S</w:t>
      </w:r>
      <w:r>
        <w:rPr>
          <w:noProof/>
          <w:color w:val="000000"/>
        </w:rPr>
        <w:t>.</w:t>
      </w:r>
      <w:r w:rsidRPr="001D7AFC">
        <w:rPr>
          <w:noProof/>
          <w:color w:val="000000"/>
        </w:rPr>
        <w:t>A</w:t>
      </w:r>
      <w:r>
        <w:rPr>
          <w:noProof/>
          <w:color w:val="000000"/>
        </w:rPr>
        <w:t>.</w:t>
      </w:r>
      <w:r w:rsidRPr="001D7AFC">
        <w:rPr>
          <w:noProof/>
          <w:color w:val="000000"/>
        </w:rPr>
        <w:t xml:space="preserve">, &amp; Greenberg, N. </w:t>
      </w:r>
      <w:r>
        <w:rPr>
          <w:noProof/>
          <w:color w:val="000000"/>
        </w:rPr>
        <w:t xml:space="preserve">(2019). </w:t>
      </w:r>
      <w:r w:rsidRPr="001D7AFC">
        <w:rPr>
          <w:noProof/>
          <w:color w:val="000000"/>
        </w:rPr>
        <w:t xml:space="preserve">The impact of military service on the mental health of older UK veterans: A qualitative study. </w:t>
      </w:r>
      <w:r w:rsidRPr="0086154D">
        <w:rPr>
          <w:i/>
          <w:iCs/>
          <w:noProof/>
          <w:color w:val="000000"/>
        </w:rPr>
        <w:t>International Journal of Geriatric Psychiatry, 34</w:t>
      </w:r>
      <w:r w:rsidRPr="001D7AFC">
        <w:rPr>
          <w:noProof/>
          <w:color w:val="000000"/>
        </w:rPr>
        <w:t>(10)</w:t>
      </w:r>
      <w:r>
        <w:rPr>
          <w:noProof/>
          <w:color w:val="000000"/>
        </w:rPr>
        <w:t xml:space="preserve">, </w:t>
      </w:r>
      <w:r w:rsidRPr="001D7AFC">
        <w:rPr>
          <w:noProof/>
          <w:color w:val="000000"/>
        </w:rPr>
        <w:t xml:space="preserve">1412-1420. </w:t>
      </w:r>
      <w:r w:rsidRPr="001D7AFC">
        <w:rPr>
          <w:noProof/>
        </w:rPr>
        <w:t>doi: 10.1002/gps.5131</w:t>
      </w:r>
    </w:p>
    <w:p w14:paraId="38F1A6E3" w14:textId="480838E3" w:rsidR="00C55142" w:rsidRPr="00A2430F" w:rsidRDefault="00C55142" w:rsidP="00CF18E2">
      <w:pPr>
        <w:spacing w:line="276" w:lineRule="auto"/>
        <w:ind w:left="851" w:hanging="851"/>
        <w:rPr>
          <w:noProof/>
          <w:color w:val="000000"/>
        </w:rPr>
      </w:pPr>
      <w:r w:rsidRPr="00C55142">
        <w:rPr>
          <w:noProof/>
          <w:color w:val="000000"/>
        </w:rPr>
        <w:t xml:space="preserve">Wolf, E. J., Miller, M. W., Kilpatrick, D., Resnick, H. S., Badour, C. L., Marx, B. P., </w:t>
      </w:r>
      <w:r w:rsidR="00BF6E1E">
        <w:rPr>
          <w:noProof/>
          <w:color w:val="000000"/>
        </w:rPr>
        <w:t>Keane, T. M., Rosen, R. C.,</w:t>
      </w:r>
      <w:r w:rsidRPr="00C55142">
        <w:rPr>
          <w:noProof/>
          <w:color w:val="000000"/>
        </w:rPr>
        <w:t xml:space="preserve"> &amp; Friedman, M. J. (2015). ICD–11 complex PTSD in US national and veteran samples: Prevalence and structural associations with PTSD. </w:t>
      </w:r>
      <w:r w:rsidRPr="00124176">
        <w:rPr>
          <w:i/>
          <w:iCs/>
          <w:noProof/>
          <w:color w:val="000000"/>
        </w:rPr>
        <w:t>Clinical Psychological Science</w:t>
      </w:r>
      <w:r w:rsidRPr="00C55142">
        <w:rPr>
          <w:noProof/>
          <w:color w:val="000000"/>
        </w:rPr>
        <w:t xml:space="preserve">, </w:t>
      </w:r>
      <w:r w:rsidRPr="00124176">
        <w:rPr>
          <w:i/>
          <w:iCs/>
          <w:noProof/>
          <w:color w:val="000000"/>
        </w:rPr>
        <w:t>3</w:t>
      </w:r>
      <w:r w:rsidRPr="00C55142">
        <w:rPr>
          <w:noProof/>
          <w:color w:val="000000"/>
        </w:rPr>
        <w:t>(2), 215-229.</w:t>
      </w:r>
      <w:r w:rsidR="00326EE3">
        <w:rPr>
          <w:noProof/>
          <w:color w:val="000000"/>
        </w:rPr>
        <w:t xml:space="preserve"> doi: </w:t>
      </w:r>
      <w:r w:rsidR="00326EE3" w:rsidRPr="00326EE3">
        <w:rPr>
          <w:noProof/>
          <w:color w:val="000000"/>
        </w:rPr>
        <w:t>10.1177/2167702614545480</w:t>
      </w:r>
    </w:p>
    <w:p w14:paraId="4F109018" w14:textId="77777777" w:rsidR="00CF18E2" w:rsidRPr="00A2430F" w:rsidRDefault="00CF18E2" w:rsidP="00CF18E2">
      <w:pPr>
        <w:spacing w:line="276" w:lineRule="auto"/>
        <w:rPr>
          <w:noProof/>
          <w:color w:val="000000"/>
        </w:rPr>
      </w:pPr>
    </w:p>
    <w:p w14:paraId="4974BDE9" w14:textId="77777777" w:rsidR="00CF18E2" w:rsidRPr="00A2430F" w:rsidRDefault="00CF18E2" w:rsidP="00CF18E2">
      <w:pPr>
        <w:spacing w:line="276" w:lineRule="auto"/>
        <w:rPr>
          <w:noProof/>
          <w:color w:val="000000"/>
        </w:rPr>
      </w:pPr>
    </w:p>
    <w:p w14:paraId="20B0E2CD" w14:textId="005C8618" w:rsidR="00B45351" w:rsidRDefault="00B45351">
      <w:pPr>
        <w:spacing w:after="160" w:line="259" w:lineRule="auto"/>
      </w:pPr>
      <w:r>
        <w:br w:type="page"/>
      </w:r>
    </w:p>
    <w:p w14:paraId="1059BC2B" w14:textId="77777777" w:rsidR="00025D0E" w:rsidRDefault="00025D0E" w:rsidP="00025D0E">
      <w:pPr>
        <w:pStyle w:val="Heading1"/>
      </w:pPr>
      <w:r>
        <w:lastRenderedPageBreak/>
        <w:t>Tables</w:t>
      </w:r>
    </w:p>
    <w:p w14:paraId="2CC05D6E" w14:textId="26B88882" w:rsidR="00B45351" w:rsidRPr="00CC4A9E" w:rsidRDefault="00B45351" w:rsidP="00CC4A9E">
      <w:pPr>
        <w:rPr>
          <w:color w:val="000000"/>
        </w:rPr>
      </w:pPr>
      <w:r w:rsidRPr="00CC4A9E">
        <w:rPr>
          <w:color w:val="000000"/>
        </w:rPr>
        <w:t>Table 1</w:t>
      </w:r>
    </w:p>
    <w:p w14:paraId="6ACD1AC0" w14:textId="77777777" w:rsidR="00B45351" w:rsidRPr="00CC4A9E" w:rsidRDefault="00B45351" w:rsidP="00CC4A9E">
      <w:pPr>
        <w:rPr>
          <w:color w:val="000000"/>
        </w:rPr>
      </w:pPr>
      <w:r w:rsidRPr="00CC4A9E">
        <w:rPr>
          <w:i/>
          <w:iCs/>
          <w:color w:val="000000"/>
        </w:rPr>
        <w:t>Sociodemographic characteristics of the veterans’ and non-veterans’ sample</w:t>
      </w:r>
      <w:r>
        <w:rPr>
          <w:color w:val="000000"/>
        </w:rPr>
        <w:t>s</w:t>
      </w:r>
    </w:p>
    <w:tbl>
      <w:tblPr>
        <w:tblStyle w:val="TableGrid"/>
        <w:tblW w:w="9463"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1006"/>
        <w:gridCol w:w="1316"/>
        <w:gridCol w:w="696"/>
        <w:gridCol w:w="991"/>
        <w:gridCol w:w="852"/>
        <w:gridCol w:w="852"/>
      </w:tblGrid>
      <w:tr w:rsidR="00B45351" w:rsidRPr="00A2430F" w14:paraId="3DBFC723" w14:textId="77777777" w:rsidTr="00DF3B9D">
        <w:trPr>
          <w:trHeight w:val="500"/>
          <w:jc w:val="center"/>
        </w:trPr>
        <w:tc>
          <w:tcPr>
            <w:tcW w:w="3750" w:type="dxa"/>
            <w:vMerge w:val="restart"/>
            <w:noWrap/>
            <w:hideMark/>
          </w:tcPr>
          <w:p w14:paraId="59883720" w14:textId="77777777" w:rsidR="00B45351" w:rsidRPr="00A2430F" w:rsidRDefault="00B45351" w:rsidP="00DF3B9D">
            <w:pPr>
              <w:spacing w:line="276" w:lineRule="auto"/>
            </w:pPr>
          </w:p>
        </w:tc>
        <w:tc>
          <w:tcPr>
            <w:tcW w:w="2322" w:type="dxa"/>
            <w:gridSpan w:val="2"/>
            <w:noWrap/>
          </w:tcPr>
          <w:p w14:paraId="59B7BEBC" w14:textId="77777777" w:rsidR="00B45351" w:rsidRPr="00A2430F" w:rsidRDefault="00B45351" w:rsidP="00DF3B9D">
            <w:pPr>
              <w:spacing w:line="276" w:lineRule="auto"/>
              <w:jc w:val="center"/>
              <w:rPr>
                <w:b/>
                <w:bCs/>
              </w:rPr>
            </w:pPr>
            <w:r w:rsidRPr="00A2430F">
              <w:rPr>
                <w:b/>
                <w:bCs/>
              </w:rPr>
              <w:t xml:space="preserve">Veterans </w:t>
            </w:r>
          </w:p>
          <w:p w14:paraId="791D12A7" w14:textId="77777777" w:rsidR="00B45351" w:rsidRPr="00A2430F" w:rsidRDefault="00B45351" w:rsidP="00DF3B9D">
            <w:pPr>
              <w:spacing w:line="276" w:lineRule="auto"/>
              <w:jc w:val="center"/>
              <w:rPr>
                <w:b/>
                <w:bCs/>
              </w:rPr>
            </w:pPr>
            <w:r w:rsidRPr="00A2430F">
              <w:rPr>
                <w:b/>
                <w:bCs/>
              </w:rPr>
              <w:t>(</w:t>
            </w:r>
            <w:r w:rsidRPr="00A2430F">
              <w:rPr>
                <w:b/>
                <w:bCs/>
                <w:i/>
                <w:iCs/>
              </w:rPr>
              <w:t>n</w:t>
            </w:r>
            <w:r w:rsidRPr="00A2430F">
              <w:rPr>
                <w:b/>
                <w:bCs/>
              </w:rPr>
              <w:t xml:space="preserve"> = 1,037)</w:t>
            </w:r>
          </w:p>
        </w:tc>
        <w:tc>
          <w:tcPr>
            <w:tcW w:w="1779" w:type="dxa"/>
            <w:gridSpan w:val="2"/>
          </w:tcPr>
          <w:p w14:paraId="6B618122" w14:textId="77777777" w:rsidR="00B45351" w:rsidRPr="00A2430F" w:rsidRDefault="00B45351" w:rsidP="00DF3B9D">
            <w:pPr>
              <w:spacing w:line="276" w:lineRule="auto"/>
              <w:jc w:val="center"/>
              <w:rPr>
                <w:b/>
                <w:bCs/>
              </w:rPr>
            </w:pPr>
            <w:r w:rsidRPr="00A2430F">
              <w:rPr>
                <w:b/>
                <w:bCs/>
              </w:rPr>
              <w:t xml:space="preserve">Non-veterans </w:t>
            </w:r>
          </w:p>
          <w:p w14:paraId="16A3E7EB" w14:textId="77777777" w:rsidR="00B45351" w:rsidRPr="00A2430F" w:rsidRDefault="00B45351" w:rsidP="00DF3B9D">
            <w:pPr>
              <w:spacing w:line="276" w:lineRule="auto"/>
              <w:jc w:val="center"/>
              <w:rPr>
                <w:b/>
                <w:bCs/>
              </w:rPr>
            </w:pPr>
            <w:r w:rsidRPr="00A2430F">
              <w:rPr>
                <w:b/>
                <w:bCs/>
                <w:i/>
                <w:iCs/>
              </w:rPr>
              <w:t>(n</w:t>
            </w:r>
            <w:r w:rsidRPr="00A2430F">
              <w:rPr>
                <w:b/>
                <w:bCs/>
              </w:rPr>
              <w:t xml:space="preserve"> = 1,148)</w:t>
            </w:r>
          </w:p>
        </w:tc>
        <w:tc>
          <w:tcPr>
            <w:tcW w:w="1612" w:type="dxa"/>
            <w:gridSpan w:val="2"/>
            <w:vMerge w:val="restart"/>
            <w:tcBorders>
              <w:bottom w:val="single" w:sz="4" w:space="0" w:color="auto"/>
            </w:tcBorders>
            <w:vAlign w:val="center"/>
          </w:tcPr>
          <w:p w14:paraId="2904F1DF" w14:textId="77777777" w:rsidR="00B45351" w:rsidRPr="00A2430F" w:rsidRDefault="00B45351" w:rsidP="00DF3B9D">
            <w:pPr>
              <w:spacing w:line="276" w:lineRule="auto"/>
              <w:jc w:val="center"/>
              <w:rPr>
                <w:b/>
                <w:bCs/>
              </w:rPr>
            </w:pPr>
            <w:r w:rsidRPr="00A2430F">
              <w:rPr>
                <w:b/>
                <w:bCs/>
                <w:i/>
                <w:iCs/>
              </w:rPr>
              <w:t>p</w:t>
            </w:r>
          </w:p>
        </w:tc>
      </w:tr>
      <w:tr w:rsidR="00B45351" w:rsidRPr="00A2430F" w14:paraId="08CBF48B" w14:textId="77777777" w:rsidTr="00DF3B9D">
        <w:trPr>
          <w:trHeight w:hRule="exact" w:val="255"/>
          <w:jc w:val="center"/>
        </w:trPr>
        <w:tc>
          <w:tcPr>
            <w:tcW w:w="3750" w:type="dxa"/>
            <w:vMerge/>
            <w:tcBorders>
              <w:bottom w:val="single" w:sz="4" w:space="0" w:color="auto"/>
            </w:tcBorders>
            <w:noWrap/>
          </w:tcPr>
          <w:p w14:paraId="01475C5D" w14:textId="77777777" w:rsidR="00B45351" w:rsidRPr="00A2430F" w:rsidRDefault="00B45351" w:rsidP="00DF3B9D">
            <w:pPr>
              <w:spacing w:line="276" w:lineRule="auto"/>
            </w:pPr>
          </w:p>
        </w:tc>
        <w:tc>
          <w:tcPr>
            <w:tcW w:w="1006" w:type="dxa"/>
            <w:tcBorders>
              <w:top w:val="single" w:sz="4" w:space="0" w:color="auto"/>
              <w:bottom w:val="single" w:sz="4" w:space="0" w:color="auto"/>
            </w:tcBorders>
            <w:noWrap/>
          </w:tcPr>
          <w:p w14:paraId="29AF1CAD" w14:textId="77777777" w:rsidR="00B45351" w:rsidRPr="00A2430F" w:rsidRDefault="00B45351" w:rsidP="00DF3B9D">
            <w:pPr>
              <w:spacing w:line="276" w:lineRule="auto"/>
              <w:jc w:val="center"/>
              <w:rPr>
                <w:b/>
                <w:bCs/>
                <w:i/>
                <w:iCs/>
              </w:rPr>
            </w:pPr>
            <w:r w:rsidRPr="00A2430F">
              <w:rPr>
                <w:b/>
                <w:bCs/>
                <w:i/>
                <w:iCs/>
              </w:rPr>
              <w:t>n</w:t>
            </w:r>
          </w:p>
        </w:tc>
        <w:tc>
          <w:tcPr>
            <w:tcW w:w="1316" w:type="dxa"/>
            <w:tcBorders>
              <w:top w:val="single" w:sz="4" w:space="0" w:color="auto"/>
              <w:bottom w:val="single" w:sz="4" w:space="0" w:color="auto"/>
            </w:tcBorders>
            <w:noWrap/>
          </w:tcPr>
          <w:p w14:paraId="3DEBD7DD" w14:textId="77777777" w:rsidR="00B45351" w:rsidRPr="00A2430F" w:rsidRDefault="00B45351" w:rsidP="00DF3B9D">
            <w:pPr>
              <w:spacing w:line="276" w:lineRule="auto"/>
              <w:jc w:val="center"/>
              <w:rPr>
                <w:b/>
                <w:bCs/>
              </w:rPr>
            </w:pPr>
            <w:r w:rsidRPr="00A2430F">
              <w:rPr>
                <w:b/>
                <w:bCs/>
              </w:rPr>
              <w:t>%</w:t>
            </w:r>
          </w:p>
        </w:tc>
        <w:tc>
          <w:tcPr>
            <w:tcW w:w="656" w:type="dxa"/>
            <w:tcBorders>
              <w:top w:val="single" w:sz="4" w:space="0" w:color="auto"/>
              <w:bottom w:val="single" w:sz="4" w:space="0" w:color="auto"/>
            </w:tcBorders>
          </w:tcPr>
          <w:p w14:paraId="1BC51569" w14:textId="77777777" w:rsidR="00B45351" w:rsidRPr="00A2430F" w:rsidRDefault="00B45351" w:rsidP="00DF3B9D">
            <w:pPr>
              <w:spacing w:line="276" w:lineRule="auto"/>
              <w:jc w:val="center"/>
              <w:rPr>
                <w:b/>
                <w:bCs/>
                <w:i/>
                <w:iCs/>
              </w:rPr>
            </w:pPr>
            <w:r w:rsidRPr="00A2430F">
              <w:rPr>
                <w:b/>
                <w:bCs/>
                <w:i/>
                <w:iCs/>
              </w:rPr>
              <w:t>n</w:t>
            </w:r>
          </w:p>
        </w:tc>
        <w:tc>
          <w:tcPr>
            <w:tcW w:w="1123" w:type="dxa"/>
            <w:tcBorders>
              <w:top w:val="single" w:sz="4" w:space="0" w:color="auto"/>
              <w:bottom w:val="single" w:sz="4" w:space="0" w:color="auto"/>
            </w:tcBorders>
          </w:tcPr>
          <w:p w14:paraId="72D33050" w14:textId="77777777" w:rsidR="00B45351" w:rsidRPr="00A2430F" w:rsidRDefault="00B45351" w:rsidP="00DF3B9D">
            <w:pPr>
              <w:spacing w:line="276" w:lineRule="auto"/>
              <w:jc w:val="center"/>
              <w:rPr>
                <w:b/>
                <w:bCs/>
              </w:rPr>
            </w:pPr>
            <w:r w:rsidRPr="00A2430F">
              <w:rPr>
                <w:b/>
                <w:bCs/>
              </w:rPr>
              <w:t>%</w:t>
            </w:r>
          </w:p>
        </w:tc>
        <w:tc>
          <w:tcPr>
            <w:tcW w:w="1612" w:type="dxa"/>
            <w:gridSpan w:val="2"/>
            <w:vMerge/>
            <w:tcBorders>
              <w:top w:val="single" w:sz="4" w:space="0" w:color="auto"/>
              <w:bottom w:val="single" w:sz="4" w:space="0" w:color="auto"/>
            </w:tcBorders>
            <w:vAlign w:val="center"/>
          </w:tcPr>
          <w:p w14:paraId="2AF15EBB" w14:textId="77777777" w:rsidR="00B45351" w:rsidRPr="00A2430F" w:rsidRDefault="00B45351" w:rsidP="00DF3B9D">
            <w:pPr>
              <w:spacing w:line="276" w:lineRule="auto"/>
              <w:jc w:val="center"/>
              <w:rPr>
                <w:b/>
                <w:bCs/>
              </w:rPr>
            </w:pPr>
          </w:p>
        </w:tc>
      </w:tr>
      <w:tr w:rsidR="00B45351" w:rsidRPr="00A2430F" w14:paraId="442CBF21" w14:textId="77777777" w:rsidTr="00DF3B9D">
        <w:trPr>
          <w:trHeight w:hRule="exact" w:val="255"/>
          <w:jc w:val="center"/>
        </w:trPr>
        <w:tc>
          <w:tcPr>
            <w:tcW w:w="3750" w:type="dxa"/>
            <w:tcBorders>
              <w:top w:val="single" w:sz="4" w:space="0" w:color="auto"/>
              <w:bottom w:val="nil"/>
            </w:tcBorders>
            <w:noWrap/>
            <w:hideMark/>
          </w:tcPr>
          <w:p w14:paraId="13712C59" w14:textId="77777777" w:rsidR="00B45351" w:rsidRPr="00A2430F" w:rsidRDefault="00B45351" w:rsidP="00DF3B9D">
            <w:pPr>
              <w:spacing w:line="276" w:lineRule="auto"/>
              <w:rPr>
                <w:b/>
                <w:bCs/>
              </w:rPr>
            </w:pPr>
            <w:r w:rsidRPr="00A2430F">
              <w:rPr>
                <w:b/>
                <w:bCs/>
              </w:rPr>
              <w:t>Gender</w:t>
            </w:r>
          </w:p>
        </w:tc>
        <w:tc>
          <w:tcPr>
            <w:tcW w:w="1006" w:type="dxa"/>
            <w:tcBorders>
              <w:top w:val="single" w:sz="4" w:space="0" w:color="auto"/>
              <w:bottom w:val="nil"/>
            </w:tcBorders>
            <w:noWrap/>
            <w:hideMark/>
          </w:tcPr>
          <w:p w14:paraId="77BF207B" w14:textId="77777777" w:rsidR="00B45351" w:rsidRPr="00A2430F" w:rsidRDefault="00B45351" w:rsidP="00DF3B9D">
            <w:pPr>
              <w:spacing w:line="276" w:lineRule="auto"/>
              <w:jc w:val="center"/>
            </w:pPr>
          </w:p>
        </w:tc>
        <w:tc>
          <w:tcPr>
            <w:tcW w:w="1316" w:type="dxa"/>
            <w:tcBorders>
              <w:top w:val="single" w:sz="4" w:space="0" w:color="auto"/>
              <w:bottom w:val="nil"/>
            </w:tcBorders>
            <w:noWrap/>
            <w:hideMark/>
          </w:tcPr>
          <w:p w14:paraId="7A4DF9D4" w14:textId="77777777" w:rsidR="00B45351" w:rsidRPr="00A2430F" w:rsidRDefault="00B45351" w:rsidP="00DF3B9D">
            <w:pPr>
              <w:spacing w:line="276" w:lineRule="auto"/>
              <w:jc w:val="center"/>
            </w:pPr>
          </w:p>
        </w:tc>
        <w:tc>
          <w:tcPr>
            <w:tcW w:w="656" w:type="dxa"/>
            <w:tcBorders>
              <w:top w:val="single" w:sz="4" w:space="0" w:color="auto"/>
              <w:bottom w:val="nil"/>
            </w:tcBorders>
          </w:tcPr>
          <w:p w14:paraId="1C7630A1" w14:textId="77777777" w:rsidR="00B45351" w:rsidRPr="00A2430F" w:rsidRDefault="00B45351" w:rsidP="00DF3B9D">
            <w:pPr>
              <w:spacing w:line="276" w:lineRule="auto"/>
              <w:jc w:val="center"/>
            </w:pPr>
          </w:p>
        </w:tc>
        <w:tc>
          <w:tcPr>
            <w:tcW w:w="1123" w:type="dxa"/>
            <w:tcBorders>
              <w:top w:val="single" w:sz="4" w:space="0" w:color="auto"/>
              <w:bottom w:val="nil"/>
            </w:tcBorders>
          </w:tcPr>
          <w:p w14:paraId="7D3458A4" w14:textId="77777777" w:rsidR="00B45351" w:rsidRPr="00A2430F" w:rsidRDefault="00B45351" w:rsidP="00DF3B9D">
            <w:pPr>
              <w:spacing w:line="276" w:lineRule="auto"/>
              <w:jc w:val="center"/>
            </w:pPr>
          </w:p>
        </w:tc>
        <w:tc>
          <w:tcPr>
            <w:tcW w:w="806" w:type="dxa"/>
            <w:tcBorders>
              <w:top w:val="single" w:sz="4" w:space="0" w:color="auto"/>
              <w:bottom w:val="nil"/>
            </w:tcBorders>
            <w:vAlign w:val="center"/>
          </w:tcPr>
          <w:p w14:paraId="5C3988B5" w14:textId="77777777" w:rsidR="00B45351" w:rsidRPr="00A2430F" w:rsidRDefault="00B45351" w:rsidP="00DF3B9D">
            <w:pPr>
              <w:spacing w:line="276" w:lineRule="auto"/>
              <w:jc w:val="center"/>
            </w:pPr>
          </w:p>
        </w:tc>
        <w:tc>
          <w:tcPr>
            <w:tcW w:w="806" w:type="dxa"/>
            <w:tcBorders>
              <w:top w:val="single" w:sz="4" w:space="0" w:color="auto"/>
              <w:bottom w:val="nil"/>
            </w:tcBorders>
            <w:vAlign w:val="center"/>
          </w:tcPr>
          <w:p w14:paraId="263E6EC8" w14:textId="77777777" w:rsidR="00B45351" w:rsidRPr="00A2430F" w:rsidRDefault="00B45351" w:rsidP="00DF3B9D">
            <w:pPr>
              <w:spacing w:line="276" w:lineRule="auto"/>
              <w:jc w:val="center"/>
            </w:pPr>
          </w:p>
        </w:tc>
      </w:tr>
      <w:tr w:rsidR="00B45351" w:rsidRPr="00A2430F" w14:paraId="472ACFA4" w14:textId="77777777" w:rsidTr="00DF3B9D">
        <w:trPr>
          <w:trHeight w:hRule="exact" w:val="255"/>
          <w:jc w:val="center"/>
        </w:trPr>
        <w:tc>
          <w:tcPr>
            <w:tcW w:w="3750" w:type="dxa"/>
            <w:tcBorders>
              <w:top w:val="nil"/>
            </w:tcBorders>
            <w:noWrap/>
            <w:hideMark/>
          </w:tcPr>
          <w:p w14:paraId="03AD31FA" w14:textId="77777777" w:rsidR="00B45351" w:rsidRPr="00A2430F" w:rsidRDefault="00B45351" w:rsidP="00DF3B9D">
            <w:pPr>
              <w:spacing w:line="276" w:lineRule="auto"/>
            </w:pPr>
            <w:r w:rsidRPr="00A2430F">
              <w:t xml:space="preserve">   Male</w:t>
            </w:r>
          </w:p>
        </w:tc>
        <w:tc>
          <w:tcPr>
            <w:tcW w:w="1006" w:type="dxa"/>
            <w:tcBorders>
              <w:top w:val="nil"/>
            </w:tcBorders>
            <w:noWrap/>
            <w:vAlign w:val="bottom"/>
          </w:tcPr>
          <w:p w14:paraId="26630742" w14:textId="77777777" w:rsidR="00B45351" w:rsidRPr="00A2430F" w:rsidRDefault="00B45351" w:rsidP="00DF3B9D">
            <w:pPr>
              <w:spacing w:line="276" w:lineRule="auto"/>
              <w:jc w:val="center"/>
            </w:pPr>
            <w:r w:rsidRPr="00A2430F">
              <w:rPr>
                <w:color w:val="000000"/>
              </w:rPr>
              <w:t>970</w:t>
            </w:r>
          </w:p>
        </w:tc>
        <w:tc>
          <w:tcPr>
            <w:tcW w:w="1316" w:type="dxa"/>
            <w:tcBorders>
              <w:top w:val="nil"/>
            </w:tcBorders>
            <w:noWrap/>
            <w:vAlign w:val="bottom"/>
          </w:tcPr>
          <w:p w14:paraId="401A34BC" w14:textId="77777777" w:rsidR="00B45351" w:rsidRPr="00A2430F" w:rsidRDefault="00B45351" w:rsidP="00DF3B9D">
            <w:pPr>
              <w:spacing w:line="276" w:lineRule="auto"/>
              <w:jc w:val="center"/>
            </w:pPr>
            <w:r w:rsidRPr="00A2430F">
              <w:rPr>
                <w:color w:val="000000"/>
              </w:rPr>
              <w:t>93.5</w:t>
            </w:r>
          </w:p>
        </w:tc>
        <w:tc>
          <w:tcPr>
            <w:tcW w:w="656" w:type="dxa"/>
            <w:tcBorders>
              <w:top w:val="nil"/>
            </w:tcBorders>
          </w:tcPr>
          <w:p w14:paraId="4865EE42" w14:textId="77777777" w:rsidR="00B45351" w:rsidRPr="00A2430F" w:rsidRDefault="00B45351" w:rsidP="00DF3B9D">
            <w:pPr>
              <w:spacing w:line="276" w:lineRule="auto"/>
              <w:jc w:val="center"/>
            </w:pPr>
            <w:r w:rsidRPr="00A2430F">
              <w:t>1054</w:t>
            </w:r>
          </w:p>
        </w:tc>
        <w:tc>
          <w:tcPr>
            <w:tcW w:w="1123" w:type="dxa"/>
            <w:tcBorders>
              <w:top w:val="nil"/>
            </w:tcBorders>
          </w:tcPr>
          <w:p w14:paraId="09722B47" w14:textId="77777777" w:rsidR="00B45351" w:rsidRPr="00A2430F" w:rsidRDefault="00B45351" w:rsidP="00DF3B9D">
            <w:pPr>
              <w:spacing w:line="276" w:lineRule="auto"/>
              <w:jc w:val="center"/>
            </w:pPr>
            <w:r w:rsidRPr="00A2430F">
              <w:t>91.8</w:t>
            </w:r>
          </w:p>
        </w:tc>
        <w:tc>
          <w:tcPr>
            <w:tcW w:w="806" w:type="dxa"/>
            <w:tcBorders>
              <w:top w:val="nil"/>
            </w:tcBorders>
            <w:vAlign w:val="center"/>
          </w:tcPr>
          <w:p w14:paraId="7BF2F956" w14:textId="77777777" w:rsidR="00B45351" w:rsidRPr="00A2430F" w:rsidRDefault="00B45351" w:rsidP="00DF3B9D">
            <w:pPr>
              <w:spacing w:line="276" w:lineRule="auto"/>
              <w:jc w:val="center"/>
            </w:pPr>
            <w:r w:rsidRPr="00A2430F">
              <w:t>.123</w:t>
            </w:r>
          </w:p>
        </w:tc>
        <w:tc>
          <w:tcPr>
            <w:tcW w:w="806" w:type="dxa"/>
            <w:vMerge w:val="restart"/>
            <w:tcBorders>
              <w:top w:val="nil"/>
            </w:tcBorders>
            <w:vAlign w:val="center"/>
          </w:tcPr>
          <w:p w14:paraId="33546170" w14:textId="77777777" w:rsidR="00B45351" w:rsidRPr="00A2430F" w:rsidRDefault="00B45351" w:rsidP="00DF3B9D">
            <w:pPr>
              <w:spacing w:line="276" w:lineRule="auto"/>
              <w:jc w:val="center"/>
            </w:pPr>
            <w:r w:rsidRPr="00A2430F">
              <w:t>.278</w:t>
            </w:r>
          </w:p>
        </w:tc>
      </w:tr>
      <w:tr w:rsidR="00B45351" w:rsidRPr="00A2430F" w14:paraId="3E9ED30F" w14:textId="77777777" w:rsidTr="00DF3B9D">
        <w:trPr>
          <w:trHeight w:hRule="exact" w:val="255"/>
          <w:jc w:val="center"/>
        </w:trPr>
        <w:tc>
          <w:tcPr>
            <w:tcW w:w="3750" w:type="dxa"/>
            <w:noWrap/>
            <w:hideMark/>
          </w:tcPr>
          <w:p w14:paraId="506CAB22" w14:textId="77777777" w:rsidR="00B45351" w:rsidRPr="00A2430F" w:rsidRDefault="00B45351" w:rsidP="00DF3B9D">
            <w:pPr>
              <w:spacing w:line="276" w:lineRule="auto"/>
            </w:pPr>
            <w:r w:rsidRPr="00A2430F">
              <w:t xml:space="preserve">   Female</w:t>
            </w:r>
          </w:p>
        </w:tc>
        <w:tc>
          <w:tcPr>
            <w:tcW w:w="1006" w:type="dxa"/>
            <w:noWrap/>
            <w:vAlign w:val="bottom"/>
          </w:tcPr>
          <w:p w14:paraId="73EE080C" w14:textId="77777777" w:rsidR="00B45351" w:rsidRPr="00A2430F" w:rsidRDefault="00B45351" w:rsidP="00DF3B9D">
            <w:pPr>
              <w:spacing w:line="276" w:lineRule="auto"/>
              <w:jc w:val="center"/>
            </w:pPr>
            <w:r w:rsidRPr="00A2430F">
              <w:rPr>
                <w:color w:val="000000"/>
              </w:rPr>
              <w:t>64</w:t>
            </w:r>
          </w:p>
        </w:tc>
        <w:tc>
          <w:tcPr>
            <w:tcW w:w="1316" w:type="dxa"/>
            <w:noWrap/>
            <w:vAlign w:val="bottom"/>
          </w:tcPr>
          <w:p w14:paraId="0DB7A641" w14:textId="77777777" w:rsidR="00B45351" w:rsidRPr="00A2430F" w:rsidRDefault="00B45351" w:rsidP="00DF3B9D">
            <w:pPr>
              <w:spacing w:line="276" w:lineRule="auto"/>
              <w:jc w:val="center"/>
            </w:pPr>
            <w:r w:rsidRPr="00A2430F">
              <w:rPr>
                <w:color w:val="000000"/>
              </w:rPr>
              <w:t>6.2</w:t>
            </w:r>
          </w:p>
        </w:tc>
        <w:tc>
          <w:tcPr>
            <w:tcW w:w="656" w:type="dxa"/>
          </w:tcPr>
          <w:p w14:paraId="5971C2AF" w14:textId="77777777" w:rsidR="00B45351" w:rsidRPr="00A2430F" w:rsidRDefault="00B45351" w:rsidP="00DF3B9D">
            <w:pPr>
              <w:spacing w:line="276" w:lineRule="auto"/>
              <w:jc w:val="center"/>
            </w:pPr>
            <w:r w:rsidRPr="00A2430F">
              <w:t>91</w:t>
            </w:r>
          </w:p>
        </w:tc>
        <w:tc>
          <w:tcPr>
            <w:tcW w:w="1123" w:type="dxa"/>
          </w:tcPr>
          <w:p w14:paraId="7C46A0D1" w14:textId="77777777" w:rsidR="00B45351" w:rsidRPr="00A2430F" w:rsidRDefault="00B45351" w:rsidP="00DF3B9D">
            <w:pPr>
              <w:spacing w:line="276" w:lineRule="auto"/>
              <w:jc w:val="center"/>
            </w:pPr>
            <w:r w:rsidRPr="00A2430F">
              <w:t>7.9</w:t>
            </w:r>
          </w:p>
        </w:tc>
        <w:tc>
          <w:tcPr>
            <w:tcW w:w="806" w:type="dxa"/>
            <w:vAlign w:val="center"/>
          </w:tcPr>
          <w:p w14:paraId="3C946BAF" w14:textId="77777777" w:rsidR="00B45351" w:rsidRPr="00A2430F" w:rsidRDefault="00B45351" w:rsidP="00DF3B9D">
            <w:pPr>
              <w:spacing w:line="276" w:lineRule="auto"/>
              <w:jc w:val="center"/>
            </w:pPr>
            <w:r w:rsidRPr="00A2430F">
              <w:t>.111</w:t>
            </w:r>
          </w:p>
        </w:tc>
        <w:tc>
          <w:tcPr>
            <w:tcW w:w="806" w:type="dxa"/>
            <w:vMerge/>
            <w:vAlign w:val="center"/>
          </w:tcPr>
          <w:p w14:paraId="24F3F8DC" w14:textId="77777777" w:rsidR="00B45351" w:rsidRPr="00A2430F" w:rsidRDefault="00B45351" w:rsidP="00DF3B9D">
            <w:pPr>
              <w:spacing w:line="276" w:lineRule="auto"/>
              <w:jc w:val="center"/>
            </w:pPr>
          </w:p>
        </w:tc>
      </w:tr>
      <w:tr w:rsidR="00B45351" w:rsidRPr="00A2430F" w14:paraId="01DBD923" w14:textId="77777777" w:rsidTr="00DF3B9D">
        <w:trPr>
          <w:trHeight w:hRule="exact" w:val="255"/>
          <w:jc w:val="center"/>
        </w:trPr>
        <w:tc>
          <w:tcPr>
            <w:tcW w:w="3750" w:type="dxa"/>
            <w:noWrap/>
            <w:hideMark/>
          </w:tcPr>
          <w:p w14:paraId="6E13B6B2" w14:textId="77777777" w:rsidR="00B45351" w:rsidRPr="00A2430F" w:rsidRDefault="00B45351" w:rsidP="00DF3B9D">
            <w:pPr>
              <w:spacing w:line="276" w:lineRule="auto"/>
            </w:pPr>
            <w:r w:rsidRPr="00A2430F">
              <w:t xml:space="preserve">   Other</w:t>
            </w:r>
          </w:p>
        </w:tc>
        <w:tc>
          <w:tcPr>
            <w:tcW w:w="1006" w:type="dxa"/>
            <w:noWrap/>
            <w:vAlign w:val="bottom"/>
          </w:tcPr>
          <w:p w14:paraId="0554B91D" w14:textId="77777777" w:rsidR="00B45351" w:rsidRPr="00A2430F" w:rsidRDefault="00B45351" w:rsidP="00DF3B9D">
            <w:pPr>
              <w:spacing w:line="276" w:lineRule="auto"/>
              <w:jc w:val="center"/>
            </w:pPr>
            <w:r w:rsidRPr="00A2430F">
              <w:rPr>
                <w:color w:val="000000"/>
              </w:rPr>
              <w:t>3</w:t>
            </w:r>
          </w:p>
        </w:tc>
        <w:tc>
          <w:tcPr>
            <w:tcW w:w="1316" w:type="dxa"/>
            <w:noWrap/>
            <w:vAlign w:val="bottom"/>
          </w:tcPr>
          <w:p w14:paraId="1E4E371F" w14:textId="77777777" w:rsidR="00B45351" w:rsidRPr="00A2430F" w:rsidRDefault="00B45351" w:rsidP="00DF3B9D">
            <w:pPr>
              <w:spacing w:line="276" w:lineRule="auto"/>
              <w:jc w:val="center"/>
            </w:pPr>
            <w:r w:rsidRPr="00A2430F">
              <w:rPr>
                <w:color w:val="000000"/>
              </w:rPr>
              <w:t>0.3</w:t>
            </w:r>
          </w:p>
        </w:tc>
        <w:tc>
          <w:tcPr>
            <w:tcW w:w="656" w:type="dxa"/>
          </w:tcPr>
          <w:p w14:paraId="39A572D5" w14:textId="77777777" w:rsidR="00B45351" w:rsidRPr="00A2430F" w:rsidRDefault="00B45351" w:rsidP="00DF3B9D">
            <w:pPr>
              <w:spacing w:line="276" w:lineRule="auto"/>
              <w:jc w:val="center"/>
            </w:pPr>
            <w:r w:rsidRPr="00A2430F">
              <w:t>3</w:t>
            </w:r>
          </w:p>
        </w:tc>
        <w:tc>
          <w:tcPr>
            <w:tcW w:w="1123" w:type="dxa"/>
          </w:tcPr>
          <w:p w14:paraId="1B3335AA" w14:textId="77777777" w:rsidR="00B45351" w:rsidRPr="00A2430F" w:rsidRDefault="00B45351" w:rsidP="00DF3B9D">
            <w:pPr>
              <w:spacing w:line="276" w:lineRule="auto"/>
              <w:jc w:val="center"/>
            </w:pPr>
            <w:r w:rsidRPr="00A2430F">
              <w:t>0.3</w:t>
            </w:r>
          </w:p>
        </w:tc>
        <w:tc>
          <w:tcPr>
            <w:tcW w:w="806" w:type="dxa"/>
            <w:vAlign w:val="center"/>
          </w:tcPr>
          <w:p w14:paraId="169E7DE5" w14:textId="77777777" w:rsidR="00B45351" w:rsidRPr="00A2430F" w:rsidRDefault="00B45351" w:rsidP="00DF3B9D">
            <w:pPr>
              <w:spacing w:line="276" w:lineRule="auto"/>
              <w:jc w:val="center"/>
            </w:pPr>
            <w:r w:rsidRPr="00A2430F">
              <w:t>.901</w:t>
            </w:r>
          </w:p>
        </w:tc>
        <w:tc>
          <w:tcPr>
            <w:tcW w:w="806" w:type="dxa"/>
            <w:vMerge/>
            <w:vAlign w:val="center"/>
          </w:tcPr>
          <w:p w14:paraId="59508A70" w14:textId="77777777" w:rsidR="00B45351" w:rsidRPr="00A2430F" w:rsidRDefault="00B45351" w:rsidP="00DF3B9D">
            <w:pPr>
              <w:spacing w:line="276" w:lineRule="auto"/>
              <w:jc w:val="center"/>
            </w:pPr>
          </w:p>
        </w:tc>
      </w:tr>
      <w:tr w:rsidR="00B45351" w:rsidRPr="00A2430F" w14:paraId="34BBAC36" w14:textId="77777777" w:rsidTr="00DF3B9D">
        <w:trPr>
          <w:trHeight w:hRule="exact" w:val="255"/>
          <w:jc w:val="center"/>
        </w:trPr>
        <w:tc>
          <w:tcPr>
            <w:tcW w:w="3750" w:type="dxa"/>
            <w:noWrap/>
            <w:hideMark/>
          </w:tcPr>
          <w:p w14:paraId="6A25BD26" w14:textId="77777777" w:rsidR="00B45351" w:rsidRPr="00A2430F" w:rsidRDefault="00B45351" w:rsidP="00DF3B9D">
            <w:pPr>
              <w:spacing w:line="276" w:lineRule="auto"/>
              <w:rPr>
                <w:b/>
                <w:bCs/>
              </w:rPr>
            </w:pPr>
            <w:r w:rsidRPr="00A2430F">
              <w:rPr>
                <w:b/>
                <w:bCs/>
              </w:rPr>
              <w:t>Age</w:t>
            </w:r>
          </w:p>
        </w:tc>
        <w:tc>
          <w:tcPr>
            <w:tcW w:w="1006" w:type="dxa"/>
            <w:noWrap/>
          </w:tcPr>
          <w:p w14:paraId="44D645CE" w14:textId="77777777" w:rsidR="00B45351" w:rsidRPr="00A2430F" w:rsidRDefault="00B45351" w:rsidP="00DF3B9D">
            <w:pPr>
              <w:spacing w:line="276" w:lineRule="auto"/>
              <w:jc w:val="center"/>
            </w:pPr>
          </w:p>
        </w:tc>
        <w:tc>
          <w:tcPr>
            <w:tcW w:w="1316" w:type="dxa"/>
            <w:noWrap/>
          </w:tcPr>
          <w:p w14:paraId="6B40C900" w14:textId="77777777" w:rsidR="00B45351" w:rsidRPr="00A2430F" w:rsidRDefault="00B45351" w:rsidP="00DF3B9D">
            <w:pPr>
              <w:spacing w:line="276" w:lineRule="auto"/>
              <w:jc w:val="center"/>
            </w:pPr>
          </w:p>
        </w:tc>
        <w:tc>
          <w:tcPr>
            <w:tcW w:w="656" w:type="dxa"/>
          </w:tcPr>
          <w:p w14:paraId="2F6BE4AF" w14:textId="77777777" w:rsidR="00B45351" w:rsidRPr="00A2430F" w:rsidRDefault="00B45351" w:rsidP="00DF3B9D">
            <w:pPr>
              <w:spacing w:line="276" w:lineRule="auto"/>
              <w:jc w:val="center"/>
            </w:pPr>
          </w:p>
        </w:tc>
        <w:tc>
          <w:tcPr>
            <w:tcW w:w="1123" w:type="dxa"/>
          </w:tcPr>
          <w:p w14:paraId="5930E5C3" w14:textId="77777777" w:rsidR="00B45351" w:rsidRPr="00A2430F" w:rsidRDefault="00B45351" w:rsidP="00DF3B9D">
            <w:pPr>
              <w:spacing w:line="276" w:lineRule="auto"/>
              <w:jc w:val="center"/>
            </w:pPr>
          </w:p>
        </w:tc>
        <w:tc>
          <w:tcPr>
            <w:tcW w:w="806" w:type="dxa"/>
            <w:vAlign w:val="center"/>
          </w:tcPr>
          <w:p w14:paraId="43EB6206" w14:textId="77777777" w:rsidR="00B45351" w:rsidRPr="00A2430F" w:rsidRDefault="00B45351" w:rsidP="00DF3B9D">
            <w:pPr>
              <w:spacing w:line="276" w:lineRule="auto"/>
              <w:jc w:val="center"/>
            </w:pPr>
          </w:p>
        </w:tc>
        <w:tc>
          <w:tcPr>
            <w:tcW w:w="806" w:type="dxa"/>
            <w:vAlign w:val="center"/>
          </w:tcPr>
          <w:p w14:paraId="381C6782" w14:textId="77777777" w:rsidR="00B45351" w:rsidRPr="00A2430F" w:rsidRDefault="00B45351" w:rsidP="00DF3B9D">
            <w:pPr>
              <w:spacing w:line="276" w:lineRule="auto"/>
              <w:jc w:val="center"/>
            </w:pPr>
          </w:p>
        </w:tc>
      </w:tr>
      <w:tr w:rsidR="00B45351" w:rsidRPr="00A2430F" w14:paraId="0D355075" w14:textId="77777777" w:rsidTr="00DF3B9D">
        <w:trPr>
          <w:trHeight w:hRule="exact" w:val="255"/>
          <w:jc w:val="center"/>
        </w:trPr>
        <w:tc>
          <w:tcPr>
            <w:tcW w:w="3750" w:type="dxa"/>
            <w:noWrap/>
            <w:hideMark/>
          </w:tcPr>
          <w:p w14:paraId="1ECA601F" w14:textId="77777777" w:rsidR="00B45351" w:rsidRPr="00A2430F" w:rsidRDefault="00B45351" w:rsidP="00DF3B9D">
            <w:pPr>
              <w:spacing w:line="276" w:lineRule="auto"/>
            </w:pPr>
            <w:r w:rsidRPr="00A2430F">
              <w:t xml:space="preserve">   18-29</w:t>
            </w:r>
          </w:p>
        </w:tc>
        <w:tc>
          <w:tcPr>
            <w:tcW w:w="1006" w:type="dxa"/>
            <w:noWrap/>
            <w:vAlign w:val="bottom"/>
          </w:tcPr>
          <w:p w14:paraId="54D64A32" w14:textId="77777777" w:rsidR="00B45351" w:rsidRPr="00A2430F" w:rsidRDefault="00B45351" w:rsidP="00DF3B9D">
            <w:pPr>
              <w:spacing w:line="276" w:lineRule="auto"/>
              <w:jc w:val="center"/>
            </w:pPr>
            <w:r w:rsidRPr="00A2430F">
              <w:rPr>
                <w:color w:val="000000"/>
              </w:rPr>
              <w:t>63</w:t>
            </w:r>
          </w:p>
        </w:tc>
        <w:tc>
          <w:tcPr>
            <w:tcW w:w="1316" w:type="dxa"/>
            <w:noWrap/>
            <w:vAlign w:val="bottom"/>
          </w:tcPr>
          <w:p w14:paraId="3BE93E33" w14:textId="77777777" w:rsidR="00B45351" w:rsidRPr="00A2430F" w:rsidRDefault="00B45351" w:rsidP="00DF3B9D">
            <w:pPr>
              <w:spacing w:line="276" w:lineRule="auto"/>
              <w:jc w:val="center"/>
            </w:pPr>
            <w:r w:rsidRPr="00A2430F">
              <w:rPr>
                <w:color w:val="000000"/>
              </w:rPr>
              <w:t>6.1</w:t>
            </w:r>
          </w:p>
        </w:tc>
        <w:tc>
          <w:tcPr>
            <w:tcW w:w="656" w:type="dxa"/>
          </w:tcPr>
          <w:p w14:paraId="7E0402CA" w14:textId="77777777" w:rsidR="00B45351" w:rsidRPr="00A2430F" w:rsidRDefault="00B45351" w:rsidP="00DF3B9D">
            <w:pPr>
              <w:spacing w:line="276" w:lineRule="auto"/>
              <w:jc w:val="center"/>
            </w:pPr>
            <w:r w:rsidRPr="00A2430F">
              <w:t>73</w:t>
            </w:r>
          </w:p>
        </w:tc>
        <w:tc>
          <w:tcPr>
            <w:tcW w:w="1123" w:type="dxa"/>
          </w:tcPr>
          <w:p w14:paraId="7AEBFE88" w14:textId="77777777" w:rsidR="00B45351" w:rsidRPr="00A2430F" w:rsidRDefault="00B45351" w:rsidP="00DF3B9D">
            <w:pPr>
              <w:spacing w:line="276" w:lineRule="auto"/>
              <w:jc w:val="center"/>
            </w:pPr>
            <w:r w:rsidRPr="00A2430F">
              <w:t>6.4</w:t>
            </w:r>
          </w:p>
        </w:tc>
        <w:tc>
          <w:tcPr>
            <w:tcW w:w="806" w:type="dxa"/>
            <w:vAlign w:val="center"/>
          </w:tcPr>
          <w:p w14:paraId="4A90B10D" w14:textId="77777777" w:rsidR="00B45351" w:rsidRPr="00A2430F" w:rsidRDefault="00B45351" w:rsidP="00DF3B9D">
            <w:pPr>
              <w:spacing w:line="276" w:lineRule="auto"/>
              <w:jc w:val="center"/>
            </w:pPr>
            <w:r w:rsidRPr="00A2430F">
              <w:t>.788</w:t>
            </w:r>
          </w:p>
        </w:tc>
        <w:tc>
          <w:tcPr>
            <w:tcW w:w="806" w:type="dxa"/>
            <w:vMerge w:val="restart"/>
            <w:vAlign w:val="center"/>
          </w:tcPr>
          <w:p w14:paraId="2BE50D20" w14:textId="77777777" w:rsidR="00B45351" w:rsidRPr="00A2430F" w:rsidRDefault="00B45351" w:rsidP="00DF3B9D">
            <w:pPr>
              <w:spacing w:line="276" w:lineRule="auto"/>
              <w:jc w:val="center"/>
            </w:pPr>
            <w:r w:rsidRPr="00A2430F">
              <w:t>1.00</w:t>
            </w:r>
          </w:p>
        </w:tc>
      </w:tr>
      <w:tr w:rsidR="00B45351" w:rsidRPr="00A2430F" w14:paraId="38D2B912" w14:textId="77777777" w:rsidTr="00DF3B9D">
        <w:trPr>
          <w:trHeight w:hRule="exact" w:val="255"/>
          <w:jc w:val="center"/>
        </w:trPr>
        <w:tc>
          <w:tcPr>
            <w:tcW w:w="3750" w:type="dxa"/>
            <w:noWrap/>
            <w:hideMark/>
          </w:tcPr>
          <w:p w14:paraId="515C4516" w14:textId="77777777" w:rsidR="00B45351" w:rsidRPr="00A2430F" w:rsidRDefault="00B45351" w:rsidP="00DF3B9D">
            <w:pPr>
              <w:spacing w:line="276" w:lineRule="auto"/>
            </w:pPr>
            <w:r w:rsidRPr="00A2430F">
              <w:t xml:space="preserve">   30-39</w:t>
            </w:r>
          </w:p>
        </w:tc>
        <w:tc>
          <w:tcPr>
            <w:tcW w:w="1006" w:type="dxa"/>
            <w:noWrap/>
            <w:vAlign w:val="bottom"/>
          </w:tcPr>
          <w:p w14:paraId="5BD339C1" w14:textId="77777777" w:rsidR="00B45351" w:rsidRPr="00A2430F" w:rsidRDefault="00B45351" w:rsidP="00DF3B9D">
            <w:pPr>
              <w:spacing w:line="276" w:lineRule="auto"/>
              <w:jc w:val="center"/>
            </w:pPr>
            <w:r w:rsidRPr="00A2430F">
              <w:rPr>
                <w:color w:val="000000"/>
              </w:rPr>
              <w:t>346</w:t>
            </w:r>
          </w:p>
        </w:tc>
        <w:tc>
          <w:tcPr>
            <w:tcW w:w="1316" w:type="dxa"/>
            <w:noWrap/>
            <w:vAlign w:val="bottom"/>
          </w:tcPr>
          <w:p w14:paraId="515B7602" w14:textId="77777777" w:rsidR="00B45351" w:rsidRPr="00A2430F" w:rsidRDefault="00B45351" w:rsidP="00DF3B9D">
            <w:pPr>
              <w:spacing w:line="276" w:lineRule="auto"/>
              <w:jc w:val="center"/>
            </w:pPr>
            <w:r w:rsidRPr="00A2430F">
              <w:rPr>
                <w:color w:val="000000"/>
              </w:rPr>
              <w:t>33.4</w:t>
            </w:r>
          </w:p>
        </w:tc>
        <w:tc>
          <w:tcPr>
            <w:tcW w:w="656" w:type="dxa"/>
          </w:tcPr>
          <w:p w14:paraId="3CCAFCD9" w14:textId="77777777" w:rsidR="00B45351" w:rsidRPr="00A2430F" w:rsidRDefault="00B45351" w:rsidP="00DF3B9D">
            <w:pPr>
              <w:spacing w:line="276" w:lineRule="auto"/>
              <w:jc w:val="center"/>
            </w:pPr>
            <w:r w:rsidRPr="00A2430F">
              <w:t>383</w:t>
            </w:r>
          </w:p>
        </w:tc>
        <w:tc>
          <w:tcPr>
            <w:tcW w:w="1123" w:type="dxa"/>
          </w:tcPr>
          <w:p w14:paraId="5252EDAB" w14:textId="77777777" w:rsidR="00B45351" w:rsidRPr="00A2430F" w:rsidRDefault="00B45351" w:rsidP="00DF3B9D">
            <w:pPr>
              <w:spacing w:line="276" w:lineRule="auto"/>
              <w:jc w:val="center"/>
            </w:pPr>
            <w:r w:rsidRPr="00A2430F">
              <w:t>33.4</w:t>
            </w:r>
          </w:p>
        </w:tc>
        <w:tc>
          <w:tcPr>
            <w:tcW w:w="806" w:type="dxa"/>
            <w:vAlign w:val="center"/>
          </w:tcPr>
          <w:p w14:paraId="527494FB" w14:textId="77777777" w:rsidR="00B45351" w:rsidRPr="00A2430F" w:rsidRDefault="00B45351" w:rsidP="00DF3B9D">
            <w:pPr>
              <w:spacing w:line="276" w:lineRule="auto"/>
              <w:jc w:val="center"/>
            </w:pPr>
            <w:r w:rsidRPr="00A2430F">
              <w:t>.986</w:t>
            </w:r>
          </w:p>
        </w:tc>
        <w:tc>
          <w:tcPr>
            <w:tcW w:w="806" w:type="dxa"/>
            <w:vMerge/>
            <w:vAlign w:val="center"/>
          </w:tcPr>
          <w:p w14:paraId="5D84558C" w14:textId="77777777" w:rsidR="00B45351" w:rsidRPr="00A2430F" w:rsidRDefault="00B45351" w:rsidP="00DF3B9D">
            <w:pPr>
              <w:spacing w:line="276" w:lineRule="auto"/>
              <w:jc w:val="center"/>
            </w:pPr>
          </w:p>
        </w:tc>
      </w:tr>
      <w:tr w:rsidR="00B45351" w:rsidRPr="00A2430F" w14:paraId="1B0E4E46" w14:textId="77777777" w:rsidTr="00DF3B9D">
        <w:trPr>
          <w:trHeight w:hRule="exact" w:val="255"/>
          <w:jc w:val="center"/>
        </w:trPr>
        <w:tc>
          <w:tcPr>
            <w:tcW w:w="3750" w:type="dxa"/>
            <w:noWrap/>
            <w:hideMark/>
          </w:tcPr>
          <w:p w14:paraId="0712BFE2" w14:textId="77777777" w:rsidR="00B45351" w:rsidRPr="00A2430F" w:rsidRDefault="00B45351" w:rsidP="00DF3B9D">
            <w:pPr>
              <w:spacing w:line="276" w:lineRule="auto"/>
            </w:pPr>
            <w:r w:rsidRPr="00A2430F">
              <w:t xml:space="preserve">   40-49</w:t>
            </w:r>
          </w:p>
        </w:tc>
        <w:tc>
          <w:tcPr>
            <w:tcW w:w="1006" w:type="dxa"/>
            <w:noWrap/>
            <w:vAlign w:val="bottom"/>
          </w:tcPr>
          <w:p w14:paraId="7557FA7E" w14:textId="77777777" w:rsidR="00B45351" w:rsidRPr="00A2430F" w:rsidRDefault="00B45351" w:rsidP="00DF3B9D">
            <w:pPr>
              <w:spacing w:line="276" w:lineRule="auto"/>
              <w:jc w:val="center"/>
            </w:pPr>
            <w:r w:rsidRPr="00A2430F">
              <w:rPr>
                <w:color w:val="000000"/>
              </w:rPr>
              <w:t>201</w:t>
            </w:r>
          </w:p>
        </w:tc>
        <w:tc>
          <w:tcPr>
            <w:tcW w:w="1316" w:type="dxa"/>
            <w:noWrap/>
            <w:vAlign w:val="bottom"/>
          </w:tcPr>
          <w:p w14:paraId="4B31B938" w14:textId="77777777" w:rsidR="00B45351" w:rsidRPr="00A2430F" w:rsidRDefault="00B45351" w:rsidP="00DF3B9D">
            <w:pPr>
              <w:spacing w:line="276" w:lineRule="auto"/>
              <w:jc w:val="center"/>
            </w:pPr>
            <w:r w:rsidRPr="00A2430F">
              <w:rPr>
                <w:color w:val="000000"/>
              </w:rPr>
              <w:t>19.4</w:t>
            </w:r>
          </w:p>
        </w:tc>
        <w:tc>
          <w:tcPr>
            <w:tcW w:w="656" w:type="dxa"/>
          </w:tcPr>
          <w:p w14:paraId="4D9B8684" w14:textId="77777777" w:rsidR="00B45351" w:rsidRPr="00A2430F" w:rsidRDefault="00B45351" w:rsidP="00DF3B9D">
            <w:pPr>
              <w:spacing w:line="276" w:lineRule="auto"/>
              <w:jc w:val="center"/>
            </w:pPr>
            <w:r w:rsidRPr="00A2430F">
              <w:t>221</w:t>
            </w:r>
          </w:p>
        </w:tc>
        <w:tc>
          <w:tcPr>
            <w:tcW w:w="1123" w:type="dxa"/>
          </w:tcPr>
          <w:p w14:paraId="62844261" w14:textId="77777777" w:rsidR="00B45351" w:rsidRPr="00A2430F" w:rsidRDefault="00B45351" w:rsidP="00DF3B9D">
            <w:pPr>
              <w:spacing w:line="276" w:lineRule="auto"/>
              <w:jc w:val="center"/>
            </w:pPr>
            <w:r w:rsidRPr="00A2430F">
              <w:t>19.3</w:t>
            </w:r>
          </w:p>
        </w:tc>
        <w:tc>
          <w:tcPr>
            <w:tcW w:w="806" w:type="dxa"/>
            <w:vAlign w:val="center"/>
          </w:tcPr>
          <w:p w14:paraId="06F36792" w14:textId="77777777" w:rsidR="00B45351" w:rsidRPr="00A2430F" w:rsidRDefault="00B45351" w:rsidP="00DF3B9D">
            <w:pPr>
              <w:spacing w:line="276" w:lineRule="auto"/>
              <w:jc w:val="center"/>
            </w:pPr>
            <w:r w:rsidRPr="00A2430F">
              <w:t>.929</w:t>
            </w:r>
          </w:p>
        </w:tc>
        <w:tc>
          <w:tcPr>
            <w:tcW w:w="806" w:type="dxa"/>
            <w:vMerge/>
            <w:vAlign w:val="center"/>
          </w:tcPr>
          <w:p w14:paraId="42D907D5" w14:textId="77777777" w:rsidR="00B45351" w:rsidRPr="00A2430F" w:rsidRDefault="00B45351" w:rsidP="00DF3B9D">
            <w:pPr>
              <w:spacing w:line="276" w:lineRule="auto"/>
              <w:jc w:val="center"/>
            </w:pPr>
          </w:p>
        </w:tc>
      </w:tr>
      <w:tr w:rsidR="00B45351" w:rsidRPr="00A2430F" w14:paraId="3B0F711A" w14:textId="77777777" w:rsidTr="00DF3B9D">
        <w:trPr>
          <w:trHeight w:hRule="exact" w:val="255"/>
          <w:jc w:val="center"/>
        </w:trPr>
        <w:tc>
          <w:tcPr>
            <w:tcW w:w="3750" w:type="dxa"/>
            <w:noWrap/>
            <w:hideMark/>
          </w:tcPr>
          <w:p w14:paraId="0EDD8962" w14:textId="77777777" w:rsidR="00B45351" w:rsidRPr="00A2430F" w:rsidRDefault="00B45351" w:rsidP="00DF3B9D">
            <w:pPr>
              <w:spacing w:line="276" w:lineRule="auto"/>
            </w:pPr>
            <w:r w:rsidRPr="00A2430F">
              <w:t xml:space="preserve">   50-59</w:t>
            </w:r>
          </w:p>
        </w:tc>
        <w:tc>
          <w:tcPr>
            <w:tcW w:w="1006" w:type="dxa"/>
            <w:noWrap/>
            <w:vAlign w:val="bottom"/>
          </w:tcPr>
          <w:p w14:paraId="63EC1FAF" w14:textId="77777777" w:rsidR="00B45351" w:rsidRPr="00A2430F" w:rsidRDefault="00B45351" w:rsidP="00DF3B9D">
            <w:pPr>
              <w:spacing w:line="276" w:lineRule="auto"/>
              <w:jc w:val="center"/>
            </w:pPr>
            <w:r w:rsidRPr="00A2430F">
              <w:rPr>
                <w:color w:val="000000"/>
              </w:rPr>
              <w:t>222</w:t>
            </w:r>
          </w:p>
        </w:tc>
        <w:tc>
          <w:tcPr>
            <w:tcW w:w="1316" w:type="dxa"/>
            <w:noWrap/>
            <w:vAlign w:val="bottom"/>
          </w:tcPr>
          <w:p w14:paraId="7488676B" w14:textId="77777777" w:rsidR="00B45351" w:rsidRPr="00A2430F" w:rsidRDefault="00B45351" w:rsidP="00DF3B9D">
            <w:pPr>
              <w:spacing w:line="276" w:lineRule="auto"/>
              <w:jc w:val="center"/>
            </w:pPr>
            <w:r w:rsidRPr="00A2430F">
              <w:rPr>
                <w:color w:val="000000"/>
              </w:rPr>
              <w:t>21.4</w:t>
            </w:r>
          </w:p>
        </w:tc>
        <w:tc>
          <w:tcPr>
            <w:tcW w:w="656" w:type="dxa"/>
          </w:tcPr>
          <w:p w14:paraId="2FF474D3" w14:textId="77777777" w:rsidR="00B45351" w:rsidRPr="00A2430F" w:rsidRDefault="00B45351" w:rsidP="00DF3B9D">
            <w:pPr>
              <w:spacing w:line="276" w:lineRule="auto"/>
              <w:jc w:val="center"/>
            </w:pPr>
            <w:r w:rsidRPr="00A2430F">
              <w:t>246</w:t>
            </w:r>
          </w:p>
        </w:tc>
        <w:tc>
          <w:tcPr>
            <w:tcW w:w="1123" w:type="dxa"/>
          </w:tcPr>
          <w:p w14:paraId="50328D5B" w14:textId="77777777" w:rsidR="00B45351" w:rsidRPr="00A2430F" w:rsidRDefault="00B45351" w:rsidP="00DF3B9D">
            <w:pPr>
              <w:spacing w:line="276" w:lineRule="auto"/>
              <w:jc w:val="center"/>
            </w:pPr>
            <w:r w:rsidRPr="00A2430F">
              <w:t>21.4</w:t>
            </w:r>
          </w:p>
        </w:tc>
        <w:tc>
          <w:tcPr>
            <w:tcW w:w="806" w:type="dxa"/>
            <w:vAlign w:val="center"/>
          </w:tcPr>
          <w:p w14:paraId="3E65B992" w14:textId="77777777" w:rsidR="00B45351" w:rsidRPr="00A2430F" w:rsidRDefault="00B45351" w:rsidP="00DF3B9D">
            <w:pPr>
              <w:spacing w:line="276" w:lineRule="auto"/>
              <w:jc w:val="center"/>
            </w:pPr>
            <w:r w:rsidRPr="00A2430F">
              <w:t>1.00</w:t>
            </w:r>
          </w:p>
        </w:tc>
        <w:tc>
          <w:tcPr>
            <w:tcW w:w="806" w:type="dxa"/>
            <w:vMerge/>
            <w:vAlign w:val="center"/>
          </w:tcPr>
          <w:p w14:paraId="5F8CE3E3" w14:textId="77777777" w:rsidR="00B45351" w:rsidRPr="00A2430F" w:rsidRDefault="00B45351" w:rsidP="00DF3B9D">
            <w:pPr>
              <w:spacing w:line="276" w:lineRule="auto"/>
              <w:jc w:val="center"/>
            </w:pPr>
          </w:p>
        </w:tc>
      </w:tr>
      <w:tr w:rsidR="00B45351" w:rsidRPr="00A2430F" w14:paraId="5FEC86B9" w14:textId="77777777" w:rsidTr="00DF3B9D">
        <w:trPr>
          <w:trHeight w:hRule="exact" w:val="255"/>
          <w:jc w:val="center"/>
        </w:trPr>
        <w:tc>
          <w:tcPr>
            <w:tcW w:w="3750" w:type="dxa"/>
            <w:noWrap/>
            <w:hideMark/>
          </w:tcPr>
          <w:p w14:paraId="5A72D307" w14:textId="77777777" w:rsidR="00B45351" w:rsidRPr="00A2430F" w:rsidRDefault="00B45351" w:rsidP="00DF3B9D">
            <w:pPr>
              <w:spacing w:line="276" w:lineRule="auto"/>
            </w:pPr>
            <w:r w:rsidRPr="00A2430F">
              <w:t xml:space="preserve">   60-69</w:t>
            </w:r>
          </w:p>
        </w:tc>
        <w:tc>
          <w:tcPr>
            <w:tcW w:w="1006" w:type="dxa"/>
            <w:noWrap/>
            <w:vAlign w:val="bottom"/>
          </w:tcPr>
          <w:p w14:paraId="0216928E" w14:textId="77777777" w:rsidR="00B45351" w:rsidRPr="00A2430F" w:rsidRDefault="00B45351" w:rsidP="00DF3B9D">
            <w:pPr>
              <w:spacing w:line="276" w:lineRule="auto"/>
              <w:jc w:val="center"/>
            </w:pPr>
            <w:r w:rsidRPr="00A2430F">
              <w:rPr>
                <w:color w:val="000000"/>
              </w:rPr>
              <w:t>155</w:t>
            </w:r>
          </w:p>
        </w:tc>
        <w:tc>
          <w:tcPr>
            <w:tcW w:w="1316" w:type="dxa"/>
            <w:noWrap/>
            <w:vAlign w:val="bottom"/>
          </w:tcPr>
          <w:p w14:paraId="3701115A" w14:textId="77777777" w:rsidR="00B45351" w:rsidRPr="00A2430F" w:rsidRDefault="00B45351" w:rsidP="00DF3B9D">
            <w:pPr>
              <w:spacing w:line="276" w:lineRule="auto"/>
              <w:jc w:val="center"/>
            </w:pPr>
            <w:r w:rsidRPr="00A2430F">
              <w:rPr>
                <w:color w:val="000000"/>
              </w:rPr>
              <w:t>15.0</w:t>
            </w:r>
          </w:p>
        </w:tc>
        <w:tc>
          <w:tcPr>
            <w:tcW w:w="656" w:type="dxa"/>
          </w:tcPr>
          <w:p w14:paraId="3F037347" w14:textId="77777777" w:rsidR="00B45351" w:rsidRPr="00A2430F" w:rsidRDefault="00B45351" w:rsidP="00DF3B9D">
            <w:pPr>
              <w:spacing w:line="276" w:lineRule="auto"/>
              <w:jc w:val="center"/>
            </w:pPr>
            <w:r w:rsidRPr="00A2430F">
              <w:t>171</w:t>
            </w:r>
          </w:p>
        </w:tc>
        <w:tc>
          <w:tcPr>
            <w:tcW w:w="1123" w:type="dxa"/>
          </w:tcPr>
          <w:p w14:paraId="026A4383" w14:textId="77777777" w:rsidR="00B45351" w:rsidRPr="00A2430F" w:rsidRDefault="00B45351" w:rsidP="00DF3B9D">
            <w:pPr>
              <w:spacing w:line="276" w:lineRule="auto"/>
              <w:jc w:val="center"/>
            </w:pPr>
            <w:r w:rsidRPr="00A2430F">
              <w:t>14.9</w:t>
            </w:r>
          </w:p>
        </w:tc>
        <w:tc>
          <w:tcPr>
            <w:tcW w:w="806" w:type="dxa"/>
            <w:vAlign w:val="center"/>
          </w:tcPr>
          <w:p w14:paraId="41ACAE77" w14:textId="77777777" w:rsidR="00B45351" w:rsidRPr="00A2430F" w:rsidRDefault="00B45351" w:rsidP="00DF3B9D">
            <w:pPr>
              <w:spacing w:line="276" w:lineRule="auto"/>
              <w:jc w:val="center"/>
            </w:pPr>
            <w:r w:rsidRPr="00A2430F">
              <w:t>.966</w:t>
            </w:r>
          </w:p>
        </w:tc>
        <w:tc>
          <w:tcPr>
            <w:tcW w:w="806" w:type="dxa"/>
            <w:vMerge/>
            <w:vAlign w:val="center"/>
          </w:tcPr>
          <w:p w14:paraId="18ADD5B7" w14:textId="77777777" w:rsidR="00B45351" w:rsidRPr="00A2430F" w:rsidRDefault="00B45351" w:rsidP="00DF3B9D">
            <w:pPr>
              <w:spacing w:line="276" w:lineRule="auto"/>
              <w:jc w:val="center"/>
            </w:pPr>
          </w:p>
        </w:tc>
      </w:tr>
      <w:tr w:rsidR="00B45351" w:rsidRPr="00A2430F" w14:paraId="29586C2E" w14:textId="77777777" w:rsidTr="00DF3B9D">
        <w:trPr>
          <w:trHeight w:hRule="exact" w:val="255"/>
          <w:jc w:val="center"/>
        </w:trPr>
        <w:tc>
          <w:tcPr>
            <w:tcW w:w="3750" w:type="dxa"/>
            <w:noWrap/>
            <w:hideMark/>
          </w:tcPr>
          <w:p w14:paraId="0FF95EB9" w14:textId="77777777" w:rsidR="00B45351" w:rsidRPr="00A2430F" w:rsidRDefault="00B45351" w:rsidP="00DF3B9D">
            <w:pPr>
              <w:spacing w:line="276" w:lineRule="auto"/>
            </w:pPr>
            <w:r w:rsidRPr="00A2430F">
              <w:t xml:space="preserve">   70-79</w:t>
            </w:r>
          </w:p>
        </w:tc>
        <w:tc>
          <w:tcPr>
            <w:tcW w:w="1006" w:type="dxa"/>
            <w:noWrap/>
            <w:vAlign w:val="bottom"/>
          </w:tcPr>
          <w:p w14:paraId="6CB387D1" w14:textId="77777777" w:rsidR="00B45351" w:rsidRPr="00A2430F" w:rsidRDefault="00B45351" w:rsidP="00DF3B9D">
            <w:pPr>
              <w:spacing w:line="276" w:lineRule="auto"/>
              <w:jc w:val="center"/>
            </w:pPr>
            <w:r w:rsidRPr="00A2430F">
              <w:rPr>
                <w:color w:val="000000"/>
              </w:rPr>
              <w:t>40</w:t>
            </w:r>
          </w:p>
        </w:tc>
        <w:tc>
          <w:tcPr>
            <w:tcW w:w="1316" w:type="dxa"/>
            <w:noWrap/>
            <w:vAlign w:val="bottom"/>
          </w:tcPr>
          <w:p w14:paraId="3E6E4800" w14:textId="77777777" w:rsidR="00B45351" w:rsidRPr="00A2430F" w:rsidRDefault="00B45351" w:rsidP="00DF3B9D">
            <w:pPr>
              <w:spacing w:line="276" w:lineRule="auto"/>
              <w:jc w:val="center"/>
            </w:pPr>
            <w:r w:rsidRPr="00A2430F">
              <w:rPr>
                <w:color w:val="000000"/>
              </w:rPr>
              <w:t>3.9</w:t>
            </w:r>
          </w:p>
        </w:tc>
        <w:tc>
          <w:tcPr>
            <w:tcW w:w="656" w:type="dxa"/>
          </w:tcPr>
          <w:p w14:paraId="27CCF135" w14:textId="77777777" w:rsidR="00B45351" w:rsidRPr="00A2430F" w:rsidRDefault="00B45351" w:rsidP="00DF3B9D">
            <w:pPr>
              <w:spacing w:line="276" w:lineRule="auto"/>
              <w:jc w:val="center"/>
            </w:pPr>
            <w:r w:rsidRPr="00A2430F">
              <w:t>45</w:t>
            </w:r>
          </w:p>
        </w:tc>
        <w:tc>
          <w:tcPr>
            <w:tcW w:w="1123" w:type="dxa"/>
          </w:tcPr>
          <w:p w14:paraId="7C4E437C" w14:textId="77777777" w:rsidR="00B45351" w:rsidRPr="00A2430F" w:rsidRDefault="00B45351" w:rsidP="00DF3B9D">
            <w:pPr>
              <w:spacing w:line="276" w:lineRule="auto"/>
              <w:jc w:val="center"/>
            </w:pPr>
            <w:r w:rsidRPr="00A2430F">
              <w:t>3.9</w:t>
            </w:r>
          </w:p>
        </w:tc>
        <w:tc>
          <w:tcPr>
            <w:tcW w:w="806" w:type="dxa"/>
            <w:vAlign w:val="center"/>
          </w:tcPr>
          <w:p w14:paraId="617FE5F4" w14:textId="77777777" w:rsidR="00B45351" w:rsidRPr="00A2430F" w:rsidRDefault="00B45351" w:rsidP="00DF3B9D">
            <w:pPr>
              <w:spacing w:line="276" w:lineRule="auto"/>
              <w:jc w:val="center"/>
            </w:pPr>
            <w:r w:rsidRPr="00A2430F">
              <w:t>.943</w:t>
            </w:r>
          </w:p>
        </w:tc>
        <w:tc>
          <w:tcPr>
            <w:tcW w:w="806" w:type="dxa"/>
            <w:vMerge/>
            <w:vAlign w:val="center"/>
          </w:tcPr>
          <w:p w14:paraId="02A5AFDD" w14:textId="77777777" w:rsidR="00B45351" w:rsidRPr="00A2430F" w:rsidRDefault="00B45351" w:rsidP="00DF3B9D">
            <w:pPr>
              <w:spacing w:line="276" w:lineRule="auto"/>
              <w:jc w:val="center"/>
            </w:pPr>
          </w:p>
        </w:tc>
      </w:tr>
      <w:tr w:rsidR="00B45351" w:rsidRPr="00A2430F" w14:paraId="31B342C2" w14:textId="77777777" w:rsidTr="00DF3B9D">
        <w:trPr>
          <w:trHeight w:hRule="exact" w:val="255"/>
          <w:jc w:val="center"/>
        </w:trPr>
        <w:tc>
          <w:tcPr>
            <w:tcW w:w="3750" w:type="dxa"/>
            <w:noWrap/>
            <w:hideMark/>
          </w:tcPr>
          <w:p w14:paraId="403AF1B6" w14:textId="77777777" w:rsidR="00B45351" w:rsidRPr="00A2430F" w:rsidRDefault="00B45351" w:rsidP="00DF3B9D">
            <w:pPr>
              <w:spacing w:line="276" w:lineRule="auto"/>
            </w:pPr>
            <w:r w:rsidRPr="00A2430F">
              <w:t xml:space="preserve">   80+</w:t>
            </w:r>
          </w:p>
        </w:tc>
        <w:tc>
          <w:tcPr>
            <w:tcW w:w="1006" w:type="dxa"/>
            <w:noWrap/>
            <w:vAlign w:val="bottom"/>
          </w:tcPr>
          <w:p w14:paraId="3057AB29" w14:textId="77777777" w:rsidR="00B45351" w:rsidRPr="00A2430F" w:rsidRDefault="00B45351" w:rsidP="00DF3B9D">
            <w:pPr>
              <w:spacing w:line="276" w:lineRule="auto"/>
              <w:jc w:val="center"/>
            </w:pPr>
            <w:r w:rsidRPr="00A2430F">
              <w:rPr>
                <w:color w:val="000000"/>
              </w:rPr>
              <w:t>9</w:t>
            </w:r>
          </w:p>
        </w:tc>
        <w:tc>
          <w:tcPr>
            <w:tcW w:w="1316" w:type="dxa"/>
            <w:noWrap/>
            <w:vAlign w:val="bottom"/>
          </w:tcPr>
          <w:p w14:paraId="2E4E07C8" w14:textId="77777777" w:rsidR="00B45351" w:rsidRPr="00A2430F" w:rsidRDefault="00B45351" w:rsidP="00DF3B9D">
            <w:pPr>
              <w:spacing w:line="276" w:lineRule="auto"/>
              <w:jc w:val="center"/>
            </w:pPr>
            <w:r w:rsidRPr="00A2430F">
              <w:rPr>
                <w:color w:val="000000"/>
              </w:rPr>
              <w:t>0.9</w:t>
            </w:r>
          </w:p>
        </w:tc>
        <w:tc>
          <w:tcPr>
            <w:tcW w:w="656" w:type="dxa"/>
          </w:tcPr>
          <w:p w14:paraId="028D4CDE" w14:textId="77777777" w:rsidR="00B45351" w:rsidRPr="00A2430F" w:rsidRDefault="00B45351" w:rsidP="00DF3B9D">
            <w:pPr>
              <w:spacing w:line="276" w:lineRule="auto"/>
              <w:jc w:val="center"/>
            </w:pPr>
            <w:r w:rsidRPr="00A2430F">
              <w:t>9</w:t>
            </w:r>
          </w:p>
        </w:tc>
        <w:tc>
          <w:tcPr>
            <w:tcW w:w="1123" w:type="dxa"/>
          </w:tcPr>
          <w:p w14:paraId="01CA7F86" w14:textId="77777777" w:rsidR="00B45351" w:rsidRPr="00A2430F" w:rsidRDefault="00B45351" w:rsidP="00DF3B9D">
            <w:pPr>
              <w:spacing w:line="276" w:lineRule="auto"/>
              <w:jc w:val="center"/>
            </w:pPr>
            <w:r w:rsidRPr="00A2430F">
              <w:t>0.8</w:t>
            </w:r>
          </w:p>
        </w:tc>
        <w:tc>
          <w:tcPr>
            <w:tcW w:w="806" w:type="dxa"/>
            <w:vAlign w:val="center"/>
          </w:tcPr>
          <w:p w14:paraId="508AE4DD" w14:textId="77777777" w:rsidR="00B45351" w:rsidRPr="00A2430F" w:rsidRDefault="00B45351" w:rsidP="00DF3B9D">
            <w:pPr>
              <w:spacing w:line="276" w:lineRule="auto"/>
              <w:jc w:val="center"/>
            </w:pPr>
            <w:r w:rsidRPr="00A2430F">
              <w:t>.827</w:t>
            </w:r>
          </w:p>
        </w:tc>
        <w:tc>
          <w:tcPr>
            <w:tcW w:w="806" w:type="dxa"/>
            <w:vMerge/>
            <w:vAlign w:val="center"/>
          </w:tcPr>
          <w:p w14:paraId="7B7AD110" w14:textId="77777777" w:rsidR="00B45351" w:rsidRPr="00A2430F" w:rsidRDefault="00B45351" w:rsidP="00DF3B9D">
            <w:pPr>
              <w:spacing w:line="276" w:lineRule="auto"/>
              <w:jc w:val="center"/>
            </w:pPr>
          </w:p>
        </w:tc>
      </w:tr>
      <w:tr w:rsidR="00B45351" w:rsidRPr="00A2430F" w14:paraId="45A1E9A8" w14:textId="77777777" w:rsidTr="00DF3B9D">
        <w:trPr>
          <w:trHeight w:hRule="exact" w:val="255"/>
          <w:jc w:val="center"/>
        </w:trPr>
        <w:tc>
          <w:tcPr>
            <w:tcW w:w="3750" w:type="dxa"/>
            <w:noWrap/>
            <w:hideMark/>
          </w:tcPr>
          <w:p w14:paraId="4514CE57" w14:textId="77777777" w:rsidR="00B45351" w:rsidRPr="00A2430F" w:rsidRDefault="00B45351" w:rsidP="00DF3B9D">
            <w:pPr>
              <w:spacing w:line="276" w:lineRule="auto"/>
              <w:rPr>
                <w:b/>
                <w:bCs/>
                <w:color w:val="000000"/>
              </w:rPr>
            </w:pPr>
            <w:r w:rsidRPr="00A2430F">
              <w:rPr>
                <w:b/>
                <w:bCs/>
                <w:color w:val="000000"/>
              </w:rPr>
              <w:t>Country</w:t>
            </w:r>
          </w:p>
        </w:tc>
        <w:tc>
          <w:tcPr>
            <w:tcW w:w="1006" w:type="dxa"/>
            <w:noWrap/>
          </w:tcPr>
          <w:p w14:paraId="4A3CAC7B" w14:textId="77777777" w:rsidR="00B45351" w:rsidRPr="00A2430F" w:rsidRDefault="00B45351" w:rsidP="00DF3B9D">
            <w:pPr>
              <w:spacing w:line="276" w:lineRule="auto"/>
              <w:jc w:val="center"/>
              <w:rPr>
                <w:color w:val="000000"/>
              </w:rPr>
            </w:pPr>
          </w:p>
        </w:tc>
        <w:tc>
          <w:tcPr>
            <w:tcW w:w="1316" w:type="dxa"/>
            <w:noWrap/>
          </w:tcPr>
          <w:p w14:paraId="14B1D276" w14:textId="77777777" w:rsidR="00B45351" w:rsidRPr="00A2430F" w:rsidRDefault="00B45351" w:rsidP="00DF3B9D">
            <w:pPr>
              <w:spacing w:line="276" w:lineRule="auto"/>
              <w:jc w:val="center"/>
              <w:rPr>
                <w:color w:val="000000"/>
              </w:rPr>
            </w:pPr>
          </w:p>
        </w:tc>
        <w:tc>
          <w:tcPr>
            <w:tcW w:w="656" w:type="dxa"/>
          </w:tcPr>
          <w:p w14:paraId="04E3C24D" w14:textId="77777777" w:rsidR="00B45351" w:rsidRPr="00A2430F" w:rsidRDefault="00B45351" w:rsidP="00DF3B9D">
            <w:pPr>
              <w:spacing w:line="276" w:lineRule="auto"/>
              <w:jc w:val="center"/>
              <w:rPr>
                <w:color w:val="000000"/>
              </w:rPr>
            </w:pPr>
          </w:p>
        </w:tc>
        <w:tc>
          <w:tcPr>
            <w:tcW w:w="1123" w:type="dxa"/>
          </w:tcPr>
          <w:p w14:paraId="30A1B7C0" w14:textId="77777777" w:rsidR="00B45351" w:rsidRPr="00A2430F" w:rsidRDefault="00B45351" w:rsidP="00DF3B9D">
            <w:pPr>
              <w:spacing w:line="276" w:lineRule="auto"/>
              <w:jc w:val="center"/>
              <w:rPr>
                <w:color w:val="000000"/>
              </w:rPr>
            </w:pPr>
          </w:p>
        </w:tc>
        <w:tc>
          <w:tcPr>
            <w:tcW w:w="806" w:type="dxa"/>
            <w:vAlign w:val="center"/>
          </w:tcPr>
          <w:p w14:paraId="471307EF" w14:textId="77777777" w:rsidR="00B45351" w:rsidRPr="00A2430F" w:rsidRDefault="00B45351" w:rsidP="00DF3B9D">
            <w:pPr>
              <w:spacing w:line="276" w:lineRule="auto"/>
              <w:jc w:val="center"/>
              <w:rPr>
                <w:color w:val="000000"/>
              </w:rPr>
            </w:pPr>
          </w:p>
        </w:tc>
        <w:tc>
          <w:tcPr>
            <w:tcW w:w="806" w:type="dxa"/>
            <w:vAlign w:val="center"/>
          </w:tcPr>
          <w:p w14:paraId="402424BB" w14:textId="77777777" w:rsidR="00B45351" w:rsidRPr="00A2430F" w:rsidRDefault="00B45351" w:rsidP="00DF3B9D">
            <w:pPr>
              <w:spacing w:line="276" w:lineRule="auto"/>
              <w:jc w:val="center"/>
              <w:rPr>
                <w:color w:val="000000"/>
              </w:rPr>
            </w:pPr>
          </w:p>
        </w:tc>
      </w:tr>
      <w:tr w:rsidR="00B45351" w:rsidRPr="00A2430F" w14:paraId="50397B0E" w14:textId="77777777" w:rsidTr="00DF3B9D">
        <w:trPr>
          <w:trHeight w:hRule="exact" w:val="255"/>
          <w:jc w:val="center"/>
        </w:trPr>
        <w:tc>
          <w:tcPr>
            <w:tcW w:w="3750" w:type="dxa"/>
            <w:noWrap/>
            <w:hideMark/>
          </w:tcPr>
          <w:p w14:paraId="6F8DB60F" w14:textId="77777777" w:rsidR="00B45351" w:rsidRPr="00A2430F" w:rsidRDefault="00B45351" w:rsidP="00DF3B9D">
            <w:pPr>
              <w:spacing w:line="276" w:lineRule="auto"/>
              <w:rPr>
                <w:color w:val="000000"/>
              </w:rPr>
            </w:pPr>
            <w:r w:rsidRPr="00A2430F">
              <w:rPr>
                <w:color w:val="000000"/>
              </w:rPr>
              <w:t xml:space="preserve">   England</w:t>
            </w:r>
          </w:p>
        </w:tc>
        <w:tc>
          <w:tcPr>
            <w:tcW w:w="1006" w:type="dxa"/>
            <w:shd w:val="clear" w:color="auto" w:fill="auto"/>
            <w:noWrap/>
            <w:vAlign w:val="bottom"/>
          </w:tcPr>
          <w:p w14:paraId="2A8E4A19" w14:textId="77777777" w:rsidR="00B45351" w:rsidRPr="00A2430F" w:rsidRDefault="00B45351" w:rsidP="00DF3B9D">
            <w:pPr>
              <w:spacing w:line="276" w:lineRule="auto"/>
              <w:jc w:val="center"/>
              <w:rPr>
                <w:color w:val="000000"/>
              </w:rPr>
            </w:pPr>
            <w:r w:rsidRPr="00A2430F">
              <w:rPr>
                <w:color w:val="000000"/>
              </w:rPr>
              <w:t>805</w:t>
            </w:r>
          </w:p>
        </w:tc>
        <w:tc>
          <w:tcPr>
            <w:tcW w:w="1316" w:type="dxa"/>
            <w:shd w:val="clear" w:color="auto" w:fill="auto"/>
            <w:noWrap/>
            <w:vAlign w:val="bottom"/>
          </w:tcPr>
          <w:p w14:paraId="2FBD633F" w14:textId="77777777" w:rsidR="00B45351" w:rsidRPr="00A2430F" w:rsidRDefault="00B45351" w:rsidP="00DF3B9D">
            <w:pPr>
              <w:spacing w:line="276" w:lineRule="auto"/>
              <w:jc w:val="center"/>
              <w:rPr>
                <w:color w:val="000000"/>
              </w:rPr>
            </w:pPr>
            <w:r w:rsidRPr="00A2430F">
              <w:rPr>
                <w:color w:val="000000"/>
              </w:rPr>
              <w:t>77.6</w:t>
            </w:r>
          </w:p>
        </w:tc>
        <w:tc>
          <w:tcPr>
            <w:tcW w:w="656" w:type="dxa"/>
          </w:tcPr>
          <w:p w14:paraId="0F952A47" w14:textId="77777777" w:rsidR="00B45351" w:rsidRPr="00A2430F" w:rsidRDefault="00B45351" w:rsidP="00DF3B9D">
            <w:pPr>
              <w:spacing w:line="276" w:lineRule="auto"/>
              <w:jc w:val="center"/>
            </w:pPr>
            <w:r w:rsidRPr="00A2430F">
              <w:t>965</w:t>
            </w:r>
          </w:p>
        </w:tc>
        <w:tc>
          <w:tcPr>
            <w:tcW w:w="1123" w:type="dxa"/>
          </w:tcPr>
          <w:p w14:paraId="688396B8" w14:textId="77777777" w:rsidR="00B45351" w:rsidRPr="00A2430F" w:rsidRDefault="00B45351" w:rsidP="00DF3B9D">
            <w:pPr>
              <w:spacing w:line="276" w:lineRule="auto"/>
              <w:jc w:val="center"/>
            </w:pPr>
            <w:r w:rsidRPr="00A2430F">
              <w:t>84.1</w:t>
            </w:r>
          </w:p>
        </w:tc>
        <w:tc>
          <w:tcPr>
            <w:tcW w:w="806" w:type="dxa"/>
            <w:vAlign w:val="center"/>
          </w:tcPr>
          <w:p w14:paraId="1B3A0223" w14:textId="77777777" w:rsidR="00B45351" w:rsidRPr="00A2430F" w:rsidRDefault="00B45351" w:rsidP="00DF3B9D">
            <w:pPr>
              <w:spacing w:line="276" w:lineRule="auto"/>
              <w:jc w:val="center"/>
            </w:pPr>
            <w:r w:rsidRPr="00A2430F">
              <w:t>&lt;.001</w:t>
            </w:r>
            <w:r w:rsidRPr="00A2430F">
              <w:rPr>
                <w:color w:val="000000"/>
                <w:vertAlign w:val="superscript"/>
              </w:rPr>
              <w:t>‡</w:t>
            </w:r>
          </w:p>
        </w:tc>
        <w:tc>
          <w:tcPr>
            <w:tcW w:w="806" w:type="dxa"/>
            <w:vMerge w:val="restart"/>
            <w:vAlign w:val="center"/>
          </w:tcPr>
          <w:p w14:paraId="1B70C4C5" w14:textId="77777777" w:rsidR="00B45351" w:rsidRPr="00A2430F" w:rsidRDefault="00B45351" w:rsidP="00DF3B9D">
            <w:pPr>
              <w:spacing w:line="276" w:lineRule="auto"/>
              <w:jc w:val="center"/>
            </w:pPr>
            <w:r w:rsidRPr="00A2430F">
              <w:t>&lt;.001</w:t>
            </w:r>
            <w:r w:rsidRPr="00A2430F">
              <w:rPr>
                <w:color w:val="000000"/>
                <w:vertAlign w:val="superscript"/>
              </w:rPr>
              <w:t>‡</w:t>
            </w:r>
          </w:p>
        </w:tc>
      </w:tr>
      <w:tr w:rsidR="00B45351" w:rsidRPr="00A2430F" w14:paraId="5FD87C9C" w14:textId="77777777" w:rsidTr="00DF3B9D">
        <w:trPr>
          <w:trHeight w:hRule="exact" w:val="255"/>
          <w:jc w:val="center"/>
        </w:trPr>
        <w:tc>
          <w:tcPr>
            <w:tcW w:w="3750" w:type="dxa"/>
            <w:noWrap/>
            <w:hideMark/>
          </w:tcPr>
          <w:p w14:paraId="4832987C" w14:textId="77777777" w:rsidR="00B45351" w:rsidRPr="00A2430F" w:rsidRDefault="00B45351" w:rsidP="00DF3B9D">
            <w:pPr>
              <w:spacing w:line="276" w:lineRule="auto"/>
              <w:rPr>
                <w:color w:val="000000"/>
              </w:rPr>
            </w:pPr>
            <w:r w:rsidRPr="00A2430F">
              <w:rPr>
                <w:color w:val="000000"/>
              </w:rPr>
              <w:t xml:space="preserve">   Wales</w:t>
            </w:r>
          </w:p>
        </w:tc>
        <w:tc>
          <w:tcPr>
            <w:tcW w:w="1006" w:type="dxa"/>
            <w:shd w:val="clear" w:color="auto" w:fill="auto"/>
            <w:noWrap/>
            <w:vAlign w:val="bottom"/>
          </w:tcPr>
          <w:p w14:paraId="5810A310" w14:textId="77777777" w:rsidR="00B45351" w:rsidRPr="00A2430F" w:rsidRDefault="00B45351" w:rsidP="00DF3B9D">
            <w:pPr>
              <w:spacing w:line="276" w:lineRule="auto"/>
              <w:jc w:val="center"/>
              <w:rPr>
                <w:color w:val="000000"/>
              </w:rPr>
            </w:pPr>
            <w:r w:rsidRPr="00A2430F">
              <w:rPr>
                <w:color w:val="000000"/>
              </w:rPr>
              <w:t>127</w:t>
            </w:r>
          </w:p>
        </w:tc>
        <w:tc>
          <w:tcPr>
            <w:tcW w:w="1316" w:type="dxa"/>
            <w:shd w:val="clear" w:color="auto" w:fill="auto"/>
            <w:noWrap/>
            <w:vAlign w:val="bottom"/>
          </w:tcPr>
          <w:p w14:paraId="114C8ABC" w14:textId="77777777" w:rsidR="00B45351" w:rsidRPr="00A2430F" w:rsidRDefault="00B45351" w:rsidP="00DF3B9D">
            <w:pPr>
              <w:spacing w:line="276" w:lineRule="auto"/>
              <w:jc w:val="center"/>
              <w:rPr>
                <w:color w:val="000000"/>
              </w:rPr>
            </w:pPr>
            <w:r w:rsidRPr="00A2430F">
              <w:rPr>
                <w:color w:val="000000"/>
              </w:rPr>
              <w:t>12.2</w:t>
            </w:r>
          </w:p>
        </w:tc>
        <w:tc>
          <w:tcPr>
            <w:tcW w:w="656" w:type="dxa"/>
          </w:tcPr>
          <w:p w14:paraId="407313AE" w14:textId="77777777" w:rsidR="00B45351" w:rsidRPr="00A2430F" w:rsidRDefault="00B45351" w:rsidP="00DF3B9D">
            <w:pPr>
              <w:spacing w:line="276" w:lineRule="auto"/>
              <w:jc w:val="center"/>
            </w:pPr>
            <w:r w:rsidRPr="00A2430F">
              <w:t>76</w:t>
            </w:r>
          </w:p>
        </w:tc>
        <w:tc>
          <w:tcPr>
            <w:tcW w:w="1123" w:type="dxa"/>
          </w:tcPr>
          <w:p w14:paraId="19C6DBB2" w14:textId="77777777" w:rsidR="00B45351" w:rsidRPr="00A2430F" w:rsidRDefault="00B45351" w:rsidP="00DF3B9D">
            <w:pPr>
              <w:spacing w:line="276" w:lineRule="auto"/>
              <w:jc w:val="center"/>
            </w:pPr>
            <w:r w:rsidRPr="00A2430F">
              <w:t>6.6</w:t>
            </w:r>
          </w:p>
        </w:tc>
        <w:tc>
          <w:tcPr>
            <w:tcW w:w="806" w:type="dxa"/>
            <w:vAlign w:val="center"/>
          </w:tcPr>
          <w:p w14:paraId="7CE6FB33" w14:textId="77777777" w:rsidR="00B45351" w:rsidRPr="00A2430F" w:rsidRDefault="00B45351" w:rsidP="00DF3B9D">
            <w:pPr>
              <w:spacing w:line="276" w:lineRule="auto"/>
              <w:jc w:val="center"/>
            </w:pPr>
            <w:r w:rsidRPr="00A2430F">
              <w:t>&lt;.001</w:t>
            </w:r>
            <w:r w:rsidRPr="00A2430F">
              <w:rPr>
                <w:color w:val="000000"/>
                <w:vertAlign w:val="superscript"/>
              </w:rPr>
              <w:t>‡</w:t>
            </w:r>
          </w:p>
        </w:tc>
        <w:tc>
          <w:tcPr>
            <w:tcW w:w="806" w:type="dxa"/>
            <w:vMerge/>
            <w:vAlign w:val="center"/>
          </w:tcPr>
          <w:p w14:paraId="443FD4EE" w14:textId="77777777" w:rsidR="00B45351" w:rsidRPr="00A2430F" w:rsidRDefault="00B45351" w:rsidP="00DF3B9D">
            <w:pPr>
              <w:spacing w:line="276" w:lineRule="auto"/>
              <w:jc w:val="center"/>
            </w:pPr>
          </w:p>
        </w:tc>
      </w:tr>
      <w:tr w:rsidR="00B45351" w:rsidRPr="00A2430F" w14:paraId="45626C64" w14:textId="77777777" w:rsidTr="00DF3B9D">
        <w:trPr>
          <w:trHeight w:hRule="exact" w:val="255"/>
          <w:jc w:val="center"/>
        </w:trPr>
        <w:tc>
          <w:tcPr>
            <w:tcW w:w="3750" w:type="dxa"/>
            <w:noWrap/>
            <w:hideMark/>
          </w:tcPr>
          <w:p w14:paraId="0F3157D3" w14:textId="77777777" w:rsidR="00B45351" w:rsidRPr="00A2430F" w:rsidRDefault="00B45351" w:rsidP="00DF3B9D">
            <w:pPr>
              <w:spacing w:line="276" w:lineRule="auto"/>
              <w:rPr>
                <w:color w:val="000000"/>
              </w:rPr>
            </w:pPr>
            <w:r w:rsidRPr="00A2430F">
              <w:rPr>
                <w:color w:val="000000"/>
              </w:rPr>
              <w:t xml:space="preserve">   Scotland</w:t>
            </w:r>
          </w:p>
        </w:tc>
        <w:tc>
          <w:tcPr>
            <w:tcW w:w="1006" w:type="dxa"/>
            <w:shd w:val="clear" w:color="auto" w:fill="auto"/>
            <w:noWrap/>
            <w:vAlign w:val="bottom"/>
          </w:tcPr>
          <w:p w14:paraId="7302E362" w14:textId="77777777" w:rsidR="00B45351" w:rsidRPr="00A2430F" w:rsidRDefault="00B45351" w:rsidP="00DF3B9D">
            <w:pPr>
              <w:spacing w:line="276" w:lineRule="auto"/>
              <w:jc w:val="center"/>
              <w:rPr>
                <w:color w:val="000000"/>
              </w:rPr>
            </w:pPr>
            <w:r w:rsidRPr="00A2430F">
              <w:rPr>
                <w:color w:val="000000"/>
              </w:rPr>
              <w:t>67</w:t>
            </w:r>
          </w:p>
        </w:tc>
        <w:tc>
          <w:tcPr>
            <w:tcW w:w="1316" w:type="dxa"/>
            <w:shd w:val="clear" w:color="auto" w:fill="auto"/>
            <w:noWrap/>
            <w:vAlign w:val="bottom"/>
          </w:tcPr>
          <w:p w14:paraId="50DA2D79" w14:textId="77777777" w:rsidR="00B45351" w:rsidRPr="00A2430F" w:rsidRDefault="00B45351" w:rsidP="00DF3B9D">
            <w:pPr>
              <w:spacing w:line="276" w:lineRule="auto"/>
              <w:jc w:val="center"/>
              <w:rPr>
                <w:color w:val="000000"/>
              </w:rPr>
            </w:pPr>
            <w:r w:rsidRPr="00A2430F">
              <w:rPr>
                <w:color w:val="000000"/>
              </w:rPr>
              <w:t>6.5</w:t>
            </w:r>
          </w:p>
        </w:tc>
        <w:tc>
          <w:tcPr>
            <w:tcW w:w="656" w:type="dxa"/>
          </w:tcPr>
          <w:p w14:paraId="5D0F52FF" w14:textId="77777777" w:rsidR="00B45351" w:rsidRPr="00A2430F" w:rsidRDefault="00B45351" w:rsidP="00DF3B9D">
            <w:pPr>
              <w:spacing w:line="276" w:lineRule="auto"/>
              <w:jc w:val="center"/>
            </w:pPr>
            <w:r w:rsidRPr="00A2430F">
              <w:t>84</w:t>
            </w:r>
          </w:p>
        </w:tc>
        <w:tc>
          <w:tcPr>
            <w:tcW w:w="1123" w:type="dxa"/>
          </w:tcPr>
          <w:p w14:paraId="2FEFEAE3" w14:textId="77777777" w:rsidR="00B45351" w:rsidRPr="00A2430F" w:rsidRDefault="00B45351" w:rsidP="00DF3B9D">
            <w:pPr>
              <w:spacing w:line="276" w:lineRule="auto"/>
              <w:jc w:val="center"/>
            </w:pPr>
            <w:r w:rsidRPr="00A2430F">
              <w:t>7.3</w:t>
            </w:r>
          </w:p>
        </w:tc>
        <w:tc>
          <w:tcPr>
            <w:tcW w:w="806" w:type="dxa"/>
            <w:vAlign w:val="center"/>
          </w:tcPr>
          <w:p w14:paraId="2212CFAC" w14:textId="77777777" w:rsidR="00B45351" w:rsidRPr="00A2430F" w:rsidRDefault="00B45351" w:rsidP="00DF3B9D">
            <w:pPr>
              <w:spacing w:line="276" w:lineRule="auto"/>
              <w:jc w:val="center"/>
            </w:pPr>
            <w:r w:rsidRPr="00A2430F">
              <w:t>.431</w:t>
            </w:r>
          </w:p>
        </w:tc>
        <w:tc>
          <w:tcPr>
            <w:tcW w:w="806" w:type="dxa"/>
            <w:vMerge/>
            <w:vAlign w:val="center"/>
          </w:tcPr>
          <w:p w14:paraId="46B5BEB8" w14:textId="77777777" w:rsidR="00B45351" w:rsidRPr="00A2430F" w:rsidRDefault="00B45351" w:rsidP="00DF3B9D">
            <w:pPr>
              <w:spacing w:line="276" w:lineRule="auto"/>
              <w:jc w:val="center"/>
            </w:pPr>
          </w:p>
        </w:tc>
      </w:tr>
      <w:tr w:rsidR="00B45351" w:rsidRPr="00A2430F" w14:paraId="7B80281C" w14:textId="77777777" w:rsidTr="00DF3B9D">
        <w:trPr>
          <w:trHeight w:hRule="exact" w:val="255"/>
          <w:jc w:val="center"/>
        </w:trPr>
        <w:tc>
          <w:tcPr>
            <w:tcW w:w="3750" w:type="dxa"/>
            <w:noWrap/>
            <w:hideMark/>
          </w:tcPr>
          <w:p w14:paraId="6BE5001B" w14:textId="77777777" w:rsidR="00B45351" w:rsidRPr="00A2430F" w:rsidRDefault="00B45351" w:rsidP="00DF3B9D">
            <w:pPr>
              <w:spacing w:line="276" w:lineRule="auto"/>
              <w:rPr>
                <w:color w:val="000000"/>
              </w:rPr>
            </w:pPr>
            <w:r w:rsidRPr="00A2430F">
              <w:rPr>
                <w:color w:val="000000"/>
              </w:rPr>
              <w:t xml:space="preserve">   Northern Ireland</w:t>
            </w:r>
          </w:p>
        </w:tc>
        <w:tc>
          <w:tcPr>
            <w:tcW w:w="1006" w:type="dxa"/>
            <w:shd w:val="clear" w:color="auto" w:fill="auto"/>
            <w:noWrap/>
            <w:vAlign w:val="bottom"/>
          </w:tcPr>
          <w:p w14:paraId="4B420C76" w14:textId="77777777" w:rsidR="00B45351" w:rsidRPr="00A2430F" w:rsidRDefault="00B45351" w:rsidP="00DF3B9D">
            <w:pPr>
              <w:spacing w:line="276" w:lineRule="auto"/>
              <w:jc w:val="center"/>
              <w:rPr>
                <w:color w:val="000000"/>
              </w:rPr>
            </w:pPr>
            <w:r w:rsidRPr="00A2430F">
              <w:rPr>
                <w:color w:val="000000"/>
              </w:rPr>
              <w:t>28</w:t>
            </w:r>
          </w:p>
        </w:tc>
        <w:tc>
          <w:tcPr>
            <w:tcW w:w="1316" w:type="dxa"/>
            <w:shd w:val="clear" w:color="auto" w:fill="auto"/>
            <w:noWrap/>
            <w:vAlign w:val="bottom"/>
          </w:tcPr>
          <w:p w14:paraId="3FE4E010" w14:textId="77777777" w:rsidR="00B45351" w:rsidRPr="00A2430F" w:rsidRDefault="00B45351" w:rsidP="00DF3B9D">
            <w:pPr>
              <w:spacing w:line="276" w:lineRule="auto"/>
              <w:jc w:val="center"/>
              <w:rPr>
                <w:color w:val="000000"/>
              </w:rPr>
            </w:pPr>
            <w:r w:rsidRPr="00A2430F">
              <w:rPr>
                <w:color w:val="000000"/>
              </w:rPr>
              <w:t>2.7</w:t>
            </w:r>
          </w:p>
        </w:tc>
        <w:tc>
          <w:tcPr>
            <w:tcW w:w="656" w:type="dxa"/>
          </w:tcPr>
          <w:p w14:paraId="4A748D72" w14:textId="77777777" w:rsidR="00B45351" w:rsidRPr="00A2430F" w:rsidRDefault="00B45351" w:rsidP="00DF3B9D">
            <w:pPr>
              <w:spacing w:line="276" w:lineRule="auto"/>
              <w:jc w:val="center"/>
            </w:pPr>
            <w:r w:rsidRPr="00A2430F">
              <w:t>23</w:t>
            </w:r>
          </w:p>
        </w:tc>
        <w:tc>
          <w:tcPr>
            <w:tcW w:w="1123" w:type="dxa"/>
          </w:tcPr>
          <w:p w14:paraId="74631AC3" w14:textId="77777777" w:rsidR="00B45351" w:rsidRPr="00A2430F" w:rsidRDefault="00B45351" w:rsidP="00DF3B9D">
            <w:pPr>
              <w:spacing w:line="276" w:lineRule="auto"/>
              <w:jc w:val="center"/>
            </w:pPr>
            <w:r w:rsidRPr="00A2430F">
              <w:t>2.0</w:t>
            </w:r>
          </w:p>
        </w:tc>
        <w:tc>
          <w:tcPr>
            <w:tcW w:w="806" w:type="dxa"/>
            <w:vAlign w:val="center"/>
          </w:tcPr>
          <w:p w14:paraId="1906AE91" w14:textId="77777777" w:rsidR="00B45351" w:rsidRPr="00A2430F" w:rsidRDefault="00B45351" w:rsidP="00DF3B9D">
            <w:pPr>
              <w:spacing w:line="276" w:lineRule="auto"/>
              <w:jc w:val="center"/>
            </w:pPr>
            <w:r w:rsidRPr="00A2430F">
              <w:t>.282</w:t>
            </w:r>
          </w:p>
        </w:tc>
        <w:tc>
          <w:tcPr>
            <w:tcW w:w="806" w:type="dxa"/>
            <w:vMerge/>
            <w:vAlign w:val="center"/>
          </w:tcPr>
          <w:p w14:paraId="3063B0BE" w14:textId="77777777" w:rsidR="00B45351" w:rsidRPr="00A2430F" w:rsidRDefault="00B45351" w:rsidP="00DF3B9D">
            <w:pPr>
              <w:spacing w:line="276" w:lineRule="auto"/>
              <w:jc w:val="center"/>
            </w:pPr>
          </w:p>
        </w:tc>
      </w:tr>
      <w:tr w:rsidR="00B45351" w:rsidRPr="00A2430F" w14:paraId="1DE89664" w14:textId="77777777" w:rsidTr="00DF3B9D">
        <w:trPr>
          <w:trHeight w:hRule="exact" w:val="255"/>
          <w:jc w:val="center"/>
        </w:trPr>
        <w:tc>
          <w:tcPr>
            <w:tcW w:w="3750" w:type="dxa"/>
            <w:noWrap/>
            <w:hideMark/>
          </w:tcPr>
          <w:p w14:paraId="7E8FB81F" w14:textId="77777777" w:rsidR="00B45351" w:rsidRPr="00A2430F" w:rsidRDefault="00B45351" w:rsidP="00DF3B9D">
            <w:pPr>
              <w:spacing w:line="276" w:lineRule="auto"/>
              <w:rPr>
                <w:color w:val="000000"/>
              </w:rPr>
            </w:pPr>
            <w:r w:rsidRPr="00A2430F">
              <w:rPr>
                <w:color w:val="000000"/>
              </w:rPr>
              <w:t xml:space="preserve">   Other</w:t>
            </w:r>
          </w:p>
        </w:tc>
        <w:tc>
          <w:tcPr>
            <w:tcW w:w="1006" w:type="dxa"/>
            <w:shd w:val="clear" w:color="auto" w:fill="auto"/>
            <w:noWrap/>
            <w:vAlign w:val="bottom"/>
          </w:tcPr>
          <w:p w14:paraId="6A978A80" w14:textId="77777777" w:rsidR="00B45351" w:rsidRPr="00A2430F" w:rsidRDefault="00B45351" w:rsidP="00DF3B9D">
            <w:pPr>
              <w:spacing w:line="276" w:lineRule="auto"/>
              <w:jc w:val="center"/>
              <w:rPr>
                <w:color w:val="000000"/>
              </w:rPr>
            </w:pPr>
            <w:r w:rsidRPr="00A2430F">
              <w:rPr>
                <w:color w:val="000000"/>
              </w:rPr>
              <w:t>10</w:t>
            </w:r>
          </w:p>
        </w:tc>
        <w:tc>
          <w:tcPr>
            <w:tcW w:w="1316" w:type="dxa"/>
            <w:shd w:val="clear" w:color="auto" w:fill="auto"/>
            <w:noWrap/>
            <w:vAlign w:val="bottom"/>
          </w:tcPr>
          <w:p w14:paraId="52A93979" w14:textId="77777777" w:rsidR="00B45351" w:rsidRPr="00A2430F" w:rsidRDefault="00B45351" w:rsidP="00DF3B9D">
            <w:pPr>
              <w:spacing w:line="276" w:lineRule="auto"/>
              <w:jc w:val="center"/>
              <w:rPr>
                <w:color w:val="000000"/>
              </w:rPr>
            </w:pPr>
            <w:r w:rsidRPr="00A2430F">
              <w:rPr>
                <w:color w:val="000000"/>
              </w:rPr>
              <w:t>1.0</w:t>
            </w:r>
          </w:p>
        </w:tc>
        <w:tc>
          <w:tcPr>
            <w:tcW w:w="656" w:type="dxa"/>
          </w:tcPr>
          <w:p w14:paraId="410EC327" w14:textId="77777777" w:rsidR="00B45351" w:rsidRPr="00A2430F" w:rsidRDefault="00B45351" w:rsidP="00DF3B9D">
            <w:pPr>
              <w:spacing w:line="276" w:lineRule="auto"/>
              <w:jc w:val="center"/>
            </w:pPr>
            <w:r w:rsidRPr="00A2430F">
              <w:t>0</w:t>
            </w:r>
          </w:p>
        </w:tc>
        <w:tc>
          <w:tcPr>
            <w:tcW w:w="1123" w:type="dxa"/>
          </w:tcPr>
          <w:p w14:paraId="6E619418" w14:textId="77777777" w:rsidR="00B45351" w:rsidRPr="00A2430F" w:rsidRDefault="00B45351" w:rsidP="00DF3B9D">
            <w:pPr>
              <w:spacing w:line="276" w:lineRule="auto"/>
              <w:jc w:val="center"/>
            </w:pPr>
            <w:r w:rsidRPr="00A2430F">
              <w:t>0.0</w:t>
            </w:r>
          </w:p>
        </w:tc>
        <w:tc>
          <w:tcPr>
            <w:tcW w:w="806" w:type="dxa"/>
            <w:vAlign w:val="center"/>
          </w:tcPr>
          <w:p w14:paraId="307B5042" w14:textId="77777777" w:rsidR="00B45351" w:rsidRPr="00A2430F" w:rsidRDefault="00B45351" w:rsidP="00DF3B9D">
            <w:pPr>
              <w:spacing w:line="276" w:lineRule="auto"/>
              <w:jc w:val="center"/>
              <w:rPr>
                <w:highlight w:val="yellow"/>
              </w:rPr>
            </w:pPr>
            <w:r w:rsidRPr="00A2430F">
              <w:t>.001</w:t>
            </w:r>
            <w:r w:rsidRPr="00A2430F">
              <w:rPr>
                <w:color w:val="000000"/>
                <w:vertAlign w:val="superscript"/>
              </w:rPr>
              <w:t>‡</w:t>
            </w:r>
          </w:p>
        </w:tc>
        <w:tc>
          <w:tcPr>
            <w:tcW w:w="806" w:type="dxa"/>
            <w:vMerge/>
            <w:vAlign w:val="center"/>
          </w:tcPr>
          <w:p w14:paraId="05C2D16B" w14:textId="77777777" w:rsidR="00B45351" w:rsidRPr="00A2430F" w:rsidRDefault="00B45351" w:rsidP="00DF3B9D">
            <w:pPr>
              <w:spacing w:line="276" w:lineRule="auto"/>
              <w:jc w:val="center"/>
              <w:rPr>
                <w:highlight w:val="yellow"/>
              </w:rPr>
            </w:pPr>
          </w:p>
        </w:tc>
      </w:tr>
      <w:tr w:rsidR="00B45351" w:rsidRPr="00A2430F" w14:paraId="1F62428C" w14:textId="77777777" w:rsidTr="00DF3B9D">
        <w:trPr>
          <w:trHeight w:hRule="exact" w:val="255"/>
          <w:jc w:val="center"/>
        </w:trPr>
        <w:tc>
          <w:tcPr>
            <w:tcW w:w="3750" w:type="dxa"/>
            <w:noWrap/>
            <w:hideMark/>
          </w:tcPr>
          <w:p w14:paraId="7EDE4DB8" w14:textId="77777777" w:rsidR="00B45351" w:rsidRPr="00A2430F" w:rsidRDefault="00B45351" w:rsidP="00DF3B9D">
            <w:pPr>
              <w:spacing w:line="276" w:lineRule="auto"/>
              <w:rPr>
                <w:b/>
                <w:bCs/>
              </w:rPr>
            </w:pPr>
            <w:r w:rsidRPr="00A2430F">
              <w:rPr>
                <w:b/>
                <w:bCs/>
              </w:rPr>
              <w:t>Ethnicity</w:t>
            </w:r>
          </w:p>
        </w:tc>
        <w:tc>
          <w:tcPr>
            <w:tcW w:w="1006" w:type="dxa"/>
            <w:noWrap/>
          </w:tcPr>
          <w:p w14:paraId="3158926B" w14:textId="77777777" w:rsidR="00B45351" w:rsidRPr="00A2430F" w:rsidRDefault="00B45351" w:rsidP="00DF3B9D">
            <w:pPr>
              <w:spacing w:line="276" w:lineRule="auto"/>
              <w:jc w:val="center"/>
            </w:pPr>
          </w:p>
        </w:tc>
        <w:tc>
          <w:tcPr>
            <w:tcW w:w="1316" w:type="dxa"/>
            <w:noWrap/>
          </w:tcPr>
          <w:p w14:paraId="2DF5CF0A" w14:textId="77777777" w:rsidR="00B45351" w:rsidRPr="00A2430F" w:rsidRDefault="00B45351" w:rsidP="00DF3B9D">
            <w:pPr>
              <w:spacing w:line="276" w:lineRule="auto"/>
              <w:jc w:val="center"/>
            </w:pPr>
          </w:p>
        </w:tc>
        <w:tc>
          <w:tcPr>
            <w:tcW w:w="656" w:type="dxa"/>
          </w:tcPr>
          <w:p w14:paraId="4A148700" w14:textId="77777777" w:rsidR="00B45351" w:rsidRPr="00A2430F" w:rsidRDefault="00B45351" w:rsidP="00DF3B9D">
            <w:pPr>
              <w:spacing w:line="276" w:lineRule="auto"/>
              <w:jc w:val="center"/>
            </w:pPr>
          </w:p>
        </w:tc>
        <w:tc>
          <w:tcPr>
            <w:tcW w:w="1123" w:type="dxa"/>
          </w:tcPr>
          <w:p w14:paraId="108BF913" w14:textId="77777777" w:rsidR="00B45351" w:rsidRPr="00A2430F" w:rsidRDefault="00B45351" w:rsidP="00DF3B9D">
            <w:pPr>
              <w:spacing w:line="276" w:lineRule="auto"/>
              <w:jc w:val="center"/>
            </w:pPr>
          </w:p>
        </w:tc>
        <w:tc>
          <w:tcPr>
            <w:tcW w:w="806" w:type="dxa"/>
            <w:vAlign w:val="center"/>
          </w:tcPr>
          <w:p w14:paraId="64DEFADB" w14:textId="77777777" w:rsidR="00B45351" w:rsidRPr="00A2430F" w:rsidRDefault="00B45351" w:rsidP="00DF3B9D">
            <w:pPr>
              <w:spacing w:line="276" w:lineRule="auto"/>
              <w:jc w:val="center"/>
            </w:pPr>
          </w:p>
        </w:tc>
        <w:tc>
          <w:tcPr>
            <w:tcW w:w="806" w:type="dxa"/>
            <w:vAlign w:val="center"/>
          </w:tcPr>
          <w:p w14:paraId="594AA329" w14:textId="77777777" w:rsidR="00B45351" w:rsidRPr="00A2430F" w:rsidRDefault="00B45351" w:rsidP="00DF3B9D">
            <w:pPr>
              <w:spacing w:line="276" w:lineRule="auto"/>
              <w:jc w:val="center"/>
            </w:pPr>
          </w:p>
        </w:tc>
      </w:tr>
      <w:tr w:rsidR="00B45351" w:rsidRPr="00A2430F" w14:paraId="3598EF76" w14:textId="77777777" w:rsidTr="00DF3B9D">
        <w:trPr>
          <w:trHeight w:hRule="exact" w:val="255"/>
          <w:jc w:val="center"/>
        </w:trPr>
        <w:tc>
          <w:tcPr>
            <w:tcW w:w="3750" w:type="dxa"/>
            <w:noWrap/>
            <w:hideMark/>
          </w:tcPr>
          <w:p w14:paraId="179FC8DB" w14:textId="77777777" w:rsidR="00B45351" w:rsidRPr="00A2430F" w:rsidRDefault="00B45351" w:rsidP="00DF3B9D">
            <w:pPr>
              <w:spacing w:line="276" w:lineRule="auto"/>
            </w:pPr>
            <w:r w:rsidRPr="00A2430F">
              <w:t xml:space="preserve">   White British</w:t>
            </w:r>
          </w:p>
        </w:tc>
        <w:tc>
          <w:tcPr>
            <w:tcW w:w="1006" w:type="dxa"/>
            <w:noWrap/>
            <w:vAlign w:val="bottom"/>
          </w:tcPr>
          <w:p w14:paraId="67E944C9" w14:textId="77777777" w:rsidR="00B45351" w:rsidRPr="00A2430F" w:rsidRDefault="00B45351" w:rsidP="00DF3B9D">
            <w:pPr>
              <w:spacing w:line="276" w:lineRule="auto"/>
              <w:jc w:val="center"/>
            </w:pPr>
            <w:r w:rsidRPr="00A2430F">
              <w:rPr>
                <w:color w:val="000000"/>
              </w:rPr>
              <w:t>960</w:t>
            </w:r>
          </w:p>
        </w:tc>
        <w:tc>
          <w:tcPr>
            <w:tcW w:w="1316" w:type="dxa"/>
            <w:noWrap/>
            <w:vAlign w:val="bottom"/>
          </w:tcPr>
          <w:p w14:paraId="7B00BAF1" w14:textId="77777777" w:rsidR="00B45351" w:rsidRPr="00A2430F" w:rsidRDefault="00B45351" w:rsidP="00DF3B9D">
            <w:pPr>
              <w:spacing w:line="276" w:lineRule="auto"/>
              <w:jc w:val="center"/>
            </w:pPr>
            <w:r w:rsidRPr="00A2430F">
              <w:rPr>
                <w:color w:val="000000"/>
              </w:rPr>
              <w:t>92.6</w:t>
            </w:r>
          </w:p>
        </w:tc>
        <w:tc>
          <w:tcPr>
            <w:tcW w:w="656" w:type="dxa"/>
          </w:tcPr>
          <w:p w14:paraId="6610AD47" w14:textId="77777777" w:rsidR="00B45351" w:rsidRPr="00A2430F" w:rsidRDefault="00B45351" w:rsidP="00DF3B9D">
            <w:pPr>
              <w:spacing w:line="276" w:lineRule="auto"/>
              <w:jc w:val="center"/>
            </w:pPr>
            <w:r w:rsidRPr="00A2430F">
              <w:t>1020</w:t>
            </w:r>
          </w:p>
        </w:tc>
        <w:tc>
          <w:tcPr>
            <w:tcW w:w="1123" w:type="dxa"/>
          </w:tcPr>
          <w:p w14:paraId="28D47534" w14:textId="77777777" w:rsidR="00B45351" w:rsidRPr="00A2430F" w:rsidRDefault="00B45351" w:rsidP="00DF3B9D">
            <w:pPr>
              <w:spacing w:line="276" w:lineRule="auto"/>
              <w:jc w:val="center"/>
            </w:pPr>
            <w:r w:rsidRPr="00A2430F">
              <w:t>88.9</w:t>
            </w:r>
          </w:p>
        </w:tc>
        <w:tc>
          <w:tcPr>
            <w:tcW w:w="1612" w:type="dxa"/>
            <w:gridSpan w:val="2"/>
            <w:vMerge w:val="restart"/>
            <w:vAlign w:val="center"/>
          </w:tcPr>
          <w:p w14:paraId="79A121C1" w14:textId="77777777" w:rsidR="00B45351" w:rsidRPr="00A2430F" w:rsidRDefault="00B45351" w:rsidP="00DF3B9D">
            <w:pPr>
              <w:spacing w:line="276" w:lineRule="auto"/>
              <w:jc w:val="center"/>
            </w:pPr>
            <w:r w:rsidRPr="00A2430F">
              <w:t>.003</w:t>
            </w:r>
            <w:r w:rsidRPr="00A2430F">
              <w:rPr>
                <w:color w:val="000000"/>
                <w:vertAlign w:val="superscript"/>
              </w:rPr>
              <w:t>‡</w:t>
            </w:r>
          </w:p>
        </w:tc>
      </w:tr>
      <w:tr w:rsidR="00B45351" w:rsidRPr="00A2430F" w14:paraId="73A5278C" w14:textId="77777777" w:rsidTr="00DF3B9D">
        <w:trPr>
          <w:trHeight w:hRule="exact" w:val="255"/>
          <w:jc w:val="center"/>
        </w:trPr>
        <w:tc>
          <w:tcPr>
            <w:tcW w:w="3750" w:type="dxa"/>
            <w:noWrap/>
            <w:hideMark/>
          </w:tcPr>
          <w:p w14:paraId="47274F91" w14:textId="77777777" w:rsidR="00B45351" w:rsidRPr="00A2430F" w:rsidRDefault="00B45351" w:rsidP="00DF3B9D">
            <w:pPr>
              <w:spacing w:line="276" w:lineRule="auto"/>
            </w:pPr>
            <w:r w:rsidRPr="00A2430F">
              <w:t xml:space="preserve">   Other</w:t>
            </w:r>
          </w:p>
        </w:tc>
        <w:tc>
          <w:tcPr>
            <w:tcW w:w="1006" w:type="dxa"/>
            <w:noWrap/>
            <w:vAlign w:val="bottom"/>
          </w:tcPr>
          <w:p w14:paraId="4A245560" w14:textId="77777777" w:rsidR="00B45351" w:rsidRPr="00A2430F" w:rsidRDefault="00B45351" w:rsidP="00DF3B9D">
            <w:pPr>
              <w:spacing w:line="276" w:lineRule="auto"/>
              <w:jc w:val="center"/>
            </w:pPr>
            <w:r w:rsidRPr="00A2430F">
              <w:rPr>
                <w:color w:val="000000"/>
              </w:rPr>
              <w:t>77</w:t>
            </w:r>
          </w:p>
        </w:tc>
        <w:tc>
          <w:tcPr>
            <w:tcW w:w="1316" w:type="dxa"/>
            <w:noWrap/>
            <w:vAlign w:val="bottom"/>
          </w:tcPr>
          <w:p w14:paraId="6EEC2CB2" w14:textId="77777777" w:rsidR="00B45351" w:rsidRPr="00A2430F" w:rsidRDefault="00B45351" w:rsidP="00DF3B9D">
            <w:pPr>
              <w:spacing w:line="276" w:lineRule="auto"/>
              <w:jc w:val="center"/>
            </w:pPr>
            <w:r w:rsidRPr="00A2430F">
              <w:rPr>
                <w:color w:val="000000"/>
              </w:rPr>
              <w:t>7.4</w:t>
            </w:r>
          </w:p>
        </w:tc>
        <w:tc>
          <w:tcPr>
            <w:tcW w:w="656" w:type="dxa"/>
          </w:tcPr>
          <w:p w14:paraId="757BAD49" w14:textId="77777777" w:rsidR="00B45351" w:rsidRPr="00A2430F" w:rsidRDefault="00B45351" w:rsidP="00DF3B9D">
            <w:pPr>
              <w:spacing w:line="276" w:lineRule="auto"/>
              <w:jc w:val="center"/>
            </w:pPr>
            <w:r w:rsidRPr="00A2430F">
              <w:t>128</w:t>
            </w:r>
          </w:p>
        </w:tc>
        <w:tc>
          <w:tcPr>
            <w:tcW w:w="1123" w:type="dxa"/>
          </w:tcPr>
          <w:p w14:paraId="24B3B6D8" w14:textId="77777777" w:rsidR="00B45351" w:rsidRPr="00A2430F" w:rsidRDefault="00B45351" w:rsidP="00DF3B9D">
            <w:pPr>
              <w:spacing w:line="276" w:lineRule="auto"/>
              <w:jc w:val="center"/>
            </w:pPr>
            <w:r w:rsidRPr="00A2430F">
              <w:t>11.1</w:t>
            </w:r>
          </w:p>
        </w:tc>
        <w:tc>
          <w:tcPr>
            <w:tcW w:w="1612" w:type="dxa"/>
            <w:gridSpan w:val="2"/>
            <w:vMerge/>
            <w:vAlign w:val="center"/>
          </w:tcPr>
          <w:p w14:paraId="1D7A308C" w14:textId="77777777" w:rsidR="00B45351" w:rsidRPr="00A2430F" w:rsidRDefault="00B45351" w:rsidP="00DF3B9D">
            <w:pPr>
              <w:spacing w:line="276" w:lineRule="auto"/>
              <w:jc w:val="center"/>
            </w:pPr>
          </w:p>
        </w:tc>
      </w:tr>
      <w:tr w:rsidR="00B45351" w:rsidRPr="00A2430F" w14:paraId="201B71AC" w14:textId="77777777" w:rsidTr="00DF3B9D">
        <w:trPr>
          <w:trHeight w:hRule="exact" w:val="255"/>
          <w:jc w:val="center"/>
        </w:trPr>
        <w:tc>
          <w:tcPr>
            <w:tcW w:w="3750" w:type="dxa"/>
            <w:noWrap/>
            <w:hideMark/>
          </w:tcPr>
          <w:p w14:paraId="21EB2B02" w14:textId="77777777" w:rsidR="00B45351" w:rsidRPr="00A2430F" w:rsidRDefault="00B45351" w:rsidP="00DF3B9D">
            <w:pPr>
              <w:spacing w:line="276" w:lineRule="auto"/>
              <w:rPr>
                <w:b/>
                <w:bCs/>
              </w:rPr>
            </w:pPr>
            <w:r w:rsidRPr="00A2430F">
              <w:rPr>
                <w:b/>
                <w:bCs/>
              </w:rPr>
              <w:t>Marital Status</w:t>
            </w:r>
          </w:p>
        </w:tc>
        <w:tc>
          <w:tcPr>
            <w:tcW w:w="1006" w:type="dxa"/>
            <w:noWrap/>
          </w:tcPr>
          <w:p w14:paraId="55DDBD06" w14:textId="77777777" w:rsidR="00B45351" w:rsidRPr="00A2430F" w:rsidRDefault="00B45351" w:rsidP="00DF3B9D">
            <w:pPr>
              <w:spacing w:line="276" w:lineRule="auto"/>
              <w:jc w:val="center"/>
            </w:pPr>
          </w:p>
        </w:tc>
        <w:tc>
          <w:tcPr>
            <w:tcW w:w="1316" w:type="dxa"/>
            <w:noWrap/>
          </w:tcPr>
          <w:p w14:paraId="36A96C17" w14:textId="77777777" w:rsidR="00B45351" w:rsidRPr="00A2430F" w:rsidRDefault="00B45351" w:rsidP="00DF3B9D">
            <w:pPr>
              <w:spacing w:line="276" w:lineRule="auto"/>
              <w:jc w:val="center"/>
            </w:pPr>
          </w:p>
        </w:tc>
        <w:tc>
          <w:tcPr>
            <w:tcW w:w="656" w:type="dxa"/>
          </w:tcPr>
          <w:p w14:paraId="1CA49130" w14:textId="77777777" w:rsidR="00B45351" w:rsidRPr="00A2430F" w:rsidRDefault="00B45351" w:rsidP="00DF3B9D">
            <w:pPr>
              <w:spacing w:line="276" w:lineRule="auto"/>
              <w:jc w:val="center"/>
            </w:pPr>
          </w:p>
        </w:tc>
        <w:tc>
          <w:tcPr>
            <w:tcW w:w="1123" w:type="dxa"/>
          </w:tcPr>
          <w:p w14:paraId="7062A850" w14:textId="77777777" w:rsidR="00B45351" w:rsidRPr="00A2430F" w:rsidRDefault="00B45351" w:rsidP="00DF3B9D">
            <w:pPr>
              <w:spacing w:line="276" w:lineRule="auto"/>
              <w:jc w:val="center"/>
            </w:pPr>
          </w:p>
        </w:tc>
        <w:tc>
          <w:tcPr>
            <w:tcW w:w="806" w:type="dxa"/>
            <w:vAlign w:val="center"/>
          </w:tcPr>
          <w:p w14:paraId="13E00904" w14:textId="77777777" w:rsidR="00B45351" w:rsidRPr="00A2430F" w:rsidRDefault="00B45351" w:rsidP="00DF3B9D">
            <w:pPr>
              <w:spacing w:line="276" w:lineRule="auto"/>
              <w:jc w:val="center"/>
            </w:pPr>
          </w:p>
        </w:tc>
        <w:tc>
          <w:tcPr>
            <w:tcW w:w="806" w:type="dxa"/>
            <w:vAlign w:val="center"/>
          </w:tcPr>
          <w:p w14:paraId="14C68CFD" w14:textId="77777777" w:rsidR="00B45351" w:rsidRPr="00A2430F" w:rsidRDefault="00B45351" w:rsidP="00DF3B9D">
            <w:pPr>
              <w:spacing w:line="276" w:lineRule="auto"/>
              <w:jc w:val="center"/>
            </w:pPr>
          </w:p>
        </w:tc>
      </w:tr>
      <w:tr w:rsidR="00B45351" w:rsidRPr="00A2430F" w14:paraId="37690608" w14:textId="77777777" w:rsidTr="00DF3B9D">
        <w:trPr>
          <w:trHeight w:hRule="exact" w:val="255"/>
          <w:jc w:val="center"/>
        </w:trPr>
        <w:tc>
          <w:tcPr>
            <w:tcW w:w="3750" w:type="dxa"/>
            <w:noWrap/>
            <w:hideMark/>
          </w:tcPr>
          <w:p w14:paraId="57E489F5" w14:textId="77777777" w:rsidR="00B45351" w:rsidRPr="00A2430F" w:rsidRDefault="00B45351" w:rsidP="00DF3B9D">
            <w:pPr>
              <w:spacing w:line="276" w:lineRule="auto"/>
            </w:pPr>
            <w:r w:rsidRPr="00A2430F">
              <w:t xml:space="preserve">   Single</w:t>
            </w:r>
          </w:p>
        </w:tc>
        <w:tc>
          <w:tcPr>
            <w:tcW w:w="1006" w:type="dxa"/>
            <w:noWrap/>
            <w:vAlign w:val="bottom"/>
          </w:tcPr>
          <w:p w14:paraId="758D57DD" w14:textId="77777777" w:rsidR="00B45351" w:rsidRPr="00A2430F" w:rsidRDefault="00B45351" w:rsidP="00DF3B9D">
            <w:pPr>
              <w:spacing w:line="276" w:lineRule="auto"/>
              <w:jc w:val="center"/>
            </w:pPr>
            <w:r w:rsidRPr="00A2430F">
              <w:rPr>
                <w:color w:val="000000"/>
              </w:rPr>
              <w:t>103</w:t>
            </w:r>
          </w:p>
        </w:tc>
        <w:tc>
          <w:tcPr>
            <w:tcW w:w="1316" w:type="dxa"/>
            <w:noWrap/>
            <w:vAlign w:val="bottom"/>
          </w:tcPr>
          <w:p w14:paraId="4A70ADA6" w14:textId="77777777" w:rsidR="00B45351" w:rsidRPr="00A2430F" w:rsidRDefault="00B45351" w:rsidP="00DF3B9D">
            <w:pPr>
              <w:spacing w:line="276" w:lineRule="auto"/>
              <w:jc w:val="center"/>
            </w:pPr>
            <w:r w:rsidRPr="00A2430F">
              <w:t>9.9</w:t>
            </w:r>
          </w:p>
        </w:tc>
        <w:tc>
          <w:tcPr>
            <w:tcW w:w="656" w:type="dxa"/>
          </w:tcPr>
          <w:p w14:paraId="5FC29697" w14:textId="77777777" w:rsidR="00B45351" w:rsidRPr="00A2430F" w:rsidRDefault="00B45351" w:rsidP="00DF3B9D">
            <w:pPr>
              <w:spacing w:line="276" w:lineRule="auto"/>
              <w:jc w:val="center"/>
              <w:rPr>
                <w:color w:val="000000"/>
              </w:rPr>
            </w:pPr>
            <w:r w:rsidRPr="00A2430F">
              <w:rPr>
                <w:color w:val="000000" w:themeColor="text1"/>
              </w:rPr>
              <w:t>243</w:t>
            </w:r>
          </w:p>
        </w:tc>
        <w:tc>
          <w:tcPr>
            <w:tcW w:w="1123" w:type="dxa"/>
          </w:tcPr>
          <w:p w14:paraId="4717FE2A" w14:textId="77777777" w:rsidR="00B45351" w:rsidRPr="00A2430F" w:rsidRDefault="00B45351" w:rsidP="00DF3B9D">
            <w:pPr>
              <w:spacing w:line="276" w:lineRule="auto"/>
              <w:jc w:val="center"/>
              <w:rPr>
                <w:color w:val="000000"/>
              </w:rPr>
            </w:pPr>
            <w:r w:rsidRPr="00A2430F">
              <w:rPr>
                <w:color w:val="000000" w:themeColor="text1"/>
              </w:rPr>
              <w:t>21.2</w:t>
            </w:r>
          </w:p>
        </w:tc>
        <w:tc>
          <w:tcPr>
            <w:tcW w:w="806" w:type="dxa"/>
            <w:vAlign w:val="center"/>
          </w:tcPr>
          <w:p w14:paraId="7E7E6CE4" w14:textId="77777777" w:rsidR="00B45351" w:rsidRPr="00A2430F" w:rsidRDefault="00B45351" w:rsidP="00DF3B9D">
            <w:pPr>
              <w:spacing w:line="276" w:lineRule="auto"/>
              <w:jc w:val="center"/>
              <w:rPr>
                <w:color w:val="000000" w:themeColor="text1"/>
              </w:rPr>
            </w:pPr>
            <w:r w:rsidRPr="00A2430F">
              <w:rPr>
                <w:color w:val="000000" w:themeColor="text1"/>
              </w:rPr>
              <w:t>&lt;.001</w:t>
            </w:r>
            <w:r w:rsidRPr="00A2430F">
              <w:rPr>
                <w:color w:val="000000"/>
                <w:vertAlign w:val="superscript"/>
              </w:rPr>
              <w:t>‡</w:t>
            </w:r>
          </w:p>
        </w:tc>
        <w:tc>
          <w:tcPr>
            <w:tcW w:w="806" w:type="dxa"/>
            <w:vMerge w:val="restart"/>
            <w:vAlign w:val="center"/>
          </w:tcPr>
          <w:p w14:paraId="53246CA6" w14:textId="77777777" w:rsidR="00B45351" w:rsidRPr="00A2430F" w:rsidRDefault="00B45351" w:rsidP="00DF3B9D">
            <w:pPr>
              <w:spacing w:line="276" w:lineRule="auto"/>
              <w:jc w:val="center"/>
              <w:rPr>
                <w:color w:val="000000" w:themeColor="text1"/>
              </w:rPr>
            </w:pPr>
            <w:r w:rsidRPr="00A2430F">
              <w:rPr>
                <w:color w:val="000000" w:themeColor="text1"/>
              </w:rPr>
              <w:t>&lt;.001</w:t>
            </w:r>
            <w:r w:rsidRPr="00A2430F">
              <w:rPr>
                <w:color w:val="000000"/>
                <w:vertAlign w:val="superscript"/>
              </w:rPr>
              <w:t>‡</w:t>
            </w:r>
          </w:p>
        </w:tc>
      </w:tr>
      <w:tr w:rsidR="00B45351" w:rsidRPr="00A2430F" w14:paraId="118816D6" w14:textId="77777777" w:rsidTr="00DF3B9D">
        <w:trPr>
          <w:trHeight w:hRule="exact" w:val="255"/>
          <w:jc w:val="center"/>
        </w:trPr>
        <w:tc>
          <w:tcPr>
            <w:tcW w:w="3750" w:type="dxa"/>
            <w:noWrap/>
            <w:hideMark/>
          </w:tcPr>
          <w:p w14:paraId="53191FB2" w14:textId="77777777" w:rsidR="00B45351" w:rsidRPr="00A2430F" w:rsidRDefault="00B45351" w:rsidP="00DF3B9D">
            <w:pPr>
              <w:spacing w:line="276" w:lineRule="auto"/>
            </w:pPr>
            <w:r w:rsidRPr="00A2430F">
              <w:t xml:space="preserve">   In a relationship</w:t>
            </w:r>
          </w:p>
        </w:tc>
        <w:tc>
          <w:tcPr>
            <w:tcW w:w="1006" w:type="dxa"/>
            <w:noWrap/>
            <w:vAlign w:val="bottom"/>
          </w:tcPr>
          <w:p w14:paraId="05E1D1C0" w14:textId="77777777" w:rsidR="00B45351" w:rsidRPr="00A2430F" w:rsidRDefault="00B45351" w:rsidP="00DF3B9D">
            <w:pPr>
              <w:spacing w:line="276" w:lineRule="auto"/>
              <w:jc w:val="center"/>
            </w:pPr>
            <w:r w:rsidRPr="00A2430F">
              <w:rPr>
                <w:color w:val="000000"/>
              </w:rPr>
              <w:t>95</w:t>
            </w:r>
          </w:p>
        </w:tc>
        <w:tc>
          <w:tcPr>
            <w:tcW w:w="1316" w:type="dxa"/>
            <w:noWrap/>
            <w:vAlign w:val="bottom"/>
          </w:tcPr>
          <w:p w14:paraId="43385D4F" w14:textId="77777777" w:rsidR="00B45351" w:rsidRPr="00A2430F" w:rsidRDefault="00B45351" w:rsidP="00DF3B9D">
            <w:pPr>
              <w:spacing w:line="276" w:lineRule="auto"/>
              <w:jc w:val="center"/>
            </w:pPr>
            <w:r w:rsidRPr="00A2430F">
              <w:t>9.2</w:t>
            </w:r>
          </w:p>
        </w:tc>
        <w:tc>
          <w:tcPr>
            <w:tcW w:w="656" w:type="dxa"/>
          </w:tcPr>
          <w:p w14:paraId="64608021" w14:textId="77777777" w:rsidR="00B45351" w:rsidRPr="00A2430F" w:rsidRDefault="00B45351" w:rsidP="00DF3B9D">
            <w:pPr>
              <w:spacing w:line="276" w:lineRule="auto"/>
              <w:jc w:val="center"/>
              <w:rPr>
                <w:color w:val="000000"/>
              </w:rPr>
            </w:pPr>
            <w:r w:rsidRPr="00A2430F">
              <w:rPr>
                <w:color w:val="000000" w:themeColor="text1"/>
              </w:rPr>
              <w:t>160</w:t>
            </w:r>
          </w:p>
        </w:tc>
        <w:tc>
          <w:tcPr>
            <w:tcW w:w="1123" w:type="dxa"/>
          </w:tcPr>
          <w:p w14:paraId="6520696C" w14:textId="77777777" w:rsidR="00B45351" w:rsidRPr="00A2430F" w:rsidRDefault="00B45351" w:rsidP="00DF3B9D">
            <w:pPr>
              <w:spacing w:line="276" w:lineRule="auto"/>
              <w:jc w:val="center"/>
              <w:rPr>
                <w:color w:val="000000"/>
              </w:rPr>
            </w:pPr>
            <w:r w:rsidRPr="00A2430F">
              <w:rPr>
                <w:color w:val="000000" w:themeColor="text1"/>
              </w:rPr>
              <w:t>13.9</w:t>
            </w:r>
          </w:p>
        </w:tc>
        <w:tc>
          <w:tcPr>
            <w:tcW w:w="806" w:type="dxa"/>
            <w:vAlign w:val="center"/>
          </w:tcPr>
          <w:p w14:paraId="2779429B" w14:textId="77777777" w:rsidR="00B45351" w:rsidRPr="00A2430F" w:rsidRDefault="00B45351" w:rsidP="00DF3B9D">
            <w:pPr>
              <w:spacing w:line="276" w:lineRule="auto"/>
              <w:jc w:val="center"/>
              <w:rPr>
                <w:color w:val="000000" w:themeColor="text1"/>
              </w:rPr>
            </w:pPr>
            <w:r w:rsidRPr="00A2430F">
              <w:rPr>
                <w:color w:val="000000" w:themeColor="text1"/>
              </w:rPr>
              <w:t>.001</w:t>
            </w:r>
            <w:r w:rsidRPr="00A2430F">
              <w:rPr>
                <w:color w:val="000000"/>
                <w:vertAlign w:val="superscript"/>
              </w:rPr>
              <w:t>‡</w:t>
            </w:r>
          </w:p>
        </w:tc>
        <w:tc>
          <w:tcPr>
            <w:tcW w:w="806" w:type="dxa"/>
            <w:vMerge/>
            <w:vAlign w:val="center"/>
          </w:tcPr>
          <w:p w14:paraId="71FCFD23" w14:textId="77777777" w:rsidR="00B45351" w:rsidRPr="00A2430F" w:rsidRDefault="00B45351" w:rsidP="00DF3B9D">
            <w:pPr>
              <w:spacing w:line="276" w:lineRule="auto"/>
              <w:jc w:val="center"/>
              <w:rPr>
                <w:color w:val="000000" w:themeColor="text1"/>
              </w:rPr>
            </w:pPr>
          </w:p>
        </w:tc>
      </w:tr>
      <w:tr w:rsidR="00B45351" w:rsidRPr="00A2430F" w14:paraId="4465E9FA" w14:textId="77777777" w:rsidTr="00DF3B9D">
        <w:trPr>
          <w:trHeight w:hRule="exact" w:val="255"/>
          <w:jc w:val="center"/>
        </w:trPr>
        <w:tc>
          <w:tcPr>
            <w:tcW w:w="3750" w:type="dxa"/>
            <w:noWrap/>
            <w:hideMark/>
          </w:tcPr>
          <w:p w14:paraId="2CE0D19B" w14:textId="77777777" w:rsidR="00B45351" w:rsidRPr="00A2430F" w:rsidRDefault="00B45351" w:rsidP="00DF3B9D">
            <w:pPr>
              <w:spacing w:line="276" w:lineRule="auto"/>
            </w:pPr>
            <w:r w:rsidRPr="00A2430F">
              <w:t xml:space="preserve">   Co-habiting</w:t>
            </w:r>
          </w:p>
        </w:tc>
        <w:tc>
          <w:tcPr>
            <w:tcW w:w="1006" w:type="dxa"/>
            <w:noWrap/>
            <w:vAlign w:val="bottom"/>
          </w:tcPr>
          <w:p w14:paraId="47D5F42F" w14:textId="77777777" w:rsidR="00B45351" w:rsidRPr="00A2430F" w:rsidRDefault="00B45351" w:rsidP="00DF3B9D">
            <w:pPr>
              <w:spacing w:line="276" w:lineRule="auto"/>
              <w:jc w:val="center"/>
            </w:pPr>
            <w:r w:rsidRPr="00A2430F">
              <w:rPr>
                <w:color w:val="000000"/>
              </w:rPr>
              <w:t>47</w:t>
            </w:r>
          </w:p>
        </w:tc>
        <w:tc>
          <w:tcPr>
            <w:tcW w:w="1316" w:type="dxa"/>
            <w:noWrap/>
            <w:vAlign w:val="bottom"/>
          </w:tcPr>
          <w:p w14:paraId="760596D9" w14:textId="77777777" w:rsidR="00B45351" w:rsidRPr="00A2430F" w:rsidRDefault="00B45351" w:rsidP="00DF3B9D">
            <w:pPr>
              <w:spacing w:line="276" w:lineRule="auto"/>
              <w:jc w:val="center"/>
            </w:pPr>
            <w:r w:rsidRPr="00A2430F">
              <w:rPr>
                <w:color w:val="000000"/>
              </w:rPr>
              <w:t>4.5</w:t>
            </w:r>
          </w:p>
        </w:tc>
        <w:tc>
          <w:tcPr>
            <w:tcW w:w="656" w:type="dxa"/>
          </w:tcPr>
          <w:p w14:paraId="4F78F2A0" w14:textId="77777777" w:rsidR="00B45351" w:rsidRPr="00A2430F" w:rsidRDefault="00B45351" w:rsidP="00DF3B9D">
            <w:pPr>
              <w:spacing w:line="276" w:lineRule="auto"/>
              <w:jc w:val="center"/>
              <w:rPr>
                <w:color w:val="000000"/>
              </w:rPr>
            </w:pPr>
            <w:r w:rsidRPr="00A2430F">
              <w:rPr>
                <w:color w:val="000000" w:themeColor="text1"/>
              </w:rPr>
              <w:t>138</w:t>
            </w:r>
          </w:p>
        </w:tc>
        <w:tc>
          <w:tcPr>
            <w:tcW w:w="1123" w:type="dxa"/>
          </w:tcPr>
          <w:p w14:paraId="6E00BE43" w14:textId="77777777" w:rsidR="00B45351" w:rsidRPr="00A2430F" w:rsidRDefault="00B45351" w:rsidP="00DF3B9D">
            <w:pPr>
              <w:spacing w:line="276" w:lineRule="auto"/>
              <w:jc w:val="center"/>
              <w:rPr>
                <w:color w:val="000000"/>
              </w:rPr>
            </w:pPr>
            <w:r w:rsidRPr="00A2430F">
              <w:rPr>
                <w:color w:val="000000" w:themeColor="text1"/>
              </w:rPr>
              <w:t>12.0</w:t>
            </w:r>
          </w:p>
        </w:tc>
        <w:tc>
          <w:tcPr>
            <w:tcW w:w="806" w:type="dxa"/>
            <w:vAlign w:val="center"/>
          </w:tcPr>
          <w:p w14:paraId="2D8FFDE3" w14:textId="77777777" w:rsidR="00B45351" w:rsidRPr="00A2430F" w:rsidRDefault="00B45351" w:rsidP="00DF3B9D">
            <w:pPr>
              <w:spacing w:line="276" w:lineRule="auto"/>
              <w:jc w:val="center"/>
              <w:rPr>
                <w:color w:val="000000" w:themeColor="text1"/>
              </w:rPr>
            </w:pPr>
            <w:r w:rsidRPr="00A2430F">
              <w:rPr>
                <w:color w:val="000000" w:themeColor="text1"/>
              </w:rPr>
              <w:t>&lt;.001</w:t>
            </w:r>
            <w:r w:rsidRPr="00A2430F">
              <w:rPr>
                <w:color w:val="000000"/>
                <w:vertAlign w:val="superscript"/>
              </w:rPr>
              <w:t>‡</w:t>
            </w:r>
          </w:p>
        </w:tc>
        <w:tc>
          <w:tcPr>
            <w:tcW w:w="806" w:type="dxa"/>
            <w:vMerge/>
            <w:vAlign w:val="center"/>
          </w:tcPr>
          <w:p w14:paraId="080BB686" w14:textId="77777777" w:rsidR="00B45351" w:rsidRPr="00A2430F" w:rsidRDefault="00B45351" w:rsidP="00DF3B9D">
            <w:pPr>
              <w:spacing w:line="276" w:lineRule="auto"/>
              <w:jc w:val="center"/>
              <w:rPr>
                <w:color w:val="000000" w:themeColor="text1"/>
              </w:rPr>
            </w:pPr>
          </w:p>
        </w:tc>
      </w:tr>
      <w:tr w:rsidR="00B45351" w:rsidRPr="00A2430F" w14:paraId="612D07B4" w14:textId="77777777" w:rsidTr="00DF3B9D">
        <w:trPr>
          <w:trHeight w:hRule="exact" w:val="255"/>
          <w:jc w:val="center"/>
        </w:trPr>
        <w:tc>
          <w:tcPr>
            <w:tcW w:w="3750" w:type="dxa"/>
            <w:noWrap/>
            <w:hideMark/>
          </w:tcPr>
          <w:p w14:paraId="14CDF79C" w14:textId="77777777" w:rsidR="00B45351" w:rsidRPr="00A2430F" w:rsidRDefault="00B45351" w:rsidP="00DF3B9D">
            <w:pPr>
              <w:spacing w:line="276" w:lineRule="auto"/>
            </w:pPr>
            <w:r w:rsidRPr="00A2430F">
              <w:t xml:space="preserve">   Married</w:t>
            </w:r>
          </w:p>
        </w:tc>
        <w:tc>
          <w:tcPr>
            <w:tcW w:w="1006" w:type="dxa"/>
            <w:noWrap/>
            <w:vAlign w:val="bottom"/>
          </w:tcPr>
          <w:p w14:paraId="3CA0E2B4" w14:textId="77777777" w:rsidR="00B45351" w:rsidRPr="00A2430F" w:rsidRDefault="00B45351" w:rsidP="00DF3B9D">
            <w:pPr>
              <w:spacing w:line="276" w:lineRule="auto"/>
              <w:jc w:val="center"/>
            </w:pPr>
            <w:r w:rsidRPr="00A2430F">
              <w:rPr>
                <w:color w:val="000000"/>
              </w:rPr>
              <w:t>510</w:t>
            </w:r>
          </w:p>
        </w:tc>
        <w:tc>
          <w:tcPr>
            <w:tcW w:w="1316" w:type="dxa"/>
            <w:noWrap/>
            <w:vAlign w:val="bottom"/>
          </w:tcPr>
          <w:p w14:paraId="0325F4BA" w14:textId="77777777" w:rsidR="00B45351" w:rsidRPr="00A2430F" w:rsidRDefault="00B45351" w:rsidP="00DF3B9D">
            <w:pPr>
              <w:spacing w:line="276" w:lineRule="auto"/>
              <w:jc w:val="center"/>
            </w:pPr>
            <w:r w:rsidRPr="00A2430F">
              <w:rPr>
                <w:color w:val="000000"/>
              </w:rPr>
              <w:t>49.2</w:t>
            </w:r>
          </w:p>
        </w:tc>
        <w:tc>
          <w:tcPr>
            <w:tcW w:w="656" w:type="dxa"/>
          </w:tcPr>
          <w:p w14:paraId="622A352C" w14:textId="77777777" w:rsidR="00B45351" w:rsidRPr="00A2430F" w:rsidRDefault="00B45351" w:rsidP="00DF3B9D">
            <w:pPr>
              <w:spacing w:line="276" w:lineRule="auto"/>
              <w:jc w:val="center"/>
              <w:rPr>
                <w:color w:val="000000"/>
              </w:rPr>
            </w:pPr>
            <w:r w:rsidRPr="00A2430F">
              <w:rPr>
                <w:color w:val="000000" w:themeColor="text1"/>
              </w:rPr>
              <w:t>440</w:t>
            </w:r>
          </w:p>
        </w:tc>
        <w:tc>
          <w:tcPr>
            <w:tcW w:w="1123" w:type="dxa"/>
          </w:tcPr>
          <w:p w14:paraId="0846BC45" w14:textId="77777777" w:rsidR="00B45351" w:rsidRPr="00A2430F" w:rsidRDefault="00B45351" w:rsidP="00DF3B9D">
            <w:pPr>
              <w:spacing w:line="276" w:lineRule="auto"/>
              <w:jc w:val="center"/>
              <w:rPr>
                <w:color w:val="000000"/>
              </w:rPr>
            </w:pPr>
            <w:r w:rsidRPr="00A2430F">
              <w:rPr>
                <w:color w:val="000000" w:themeColor="text1"/>
              </w:rPr>
              <w:t>38.3</w:t>
            </w:r>
          </w:p>
        </w:tc>
        <w:tc>
          <w:tcPr>
            <w:tcW w:w="806" w:type="dxa"/>
            <w:vAlign w:val="center"/>
          </w:tcPr>
          <w:p w14:paraId="1CB16109" w14:textId="77777777" w:rsidR="00B45351" w:rsidRPr="00A2430F" w:rsidRDefault="00B45351" w:rsidP="00DF3B9D">
            <w:pPr>
              <w:spacing w:line="276" w:lineRule="auto"/>
              <w:jc w:val="center"/>
              <w:rPr>
                <w:color w:val="000000" w:themeColor="text1"/>
              </w:rPr>
            </w:pPr>
            <w:r w:rsidRPr="00A2430F">
              <w:rPr>
                <w:color w:val="000000" w:themeColor="text1"/>
              </w:rPr>
              <w:t>&lt;.001</w:t>
            </w:r>
            <w:r w:rsidRPr="00A2430F">
              <w:rPr>
                <w:color w:val="000000"/>
                <w:vertAlign w:val="superscript"/>
              </w:rPr>
              <w:t>‡</w:t>
            </w:r>
          </w:p>
        </w:tc>
        <w:tc>
          <w:tcPr>
            <w:tcW w:w="806" w:type="dxa"/>
            <w:vMerge/>
            <w:vAlign w:val="center"/>
          </w:tcPr>
          <w:p w14:paraId="5BE45210" w14:textId="77777777" w:rsidR="00B45351" w:rsidRPr="00A2430F" w:rsidRDefault="00B45351" w:rsidP="00DF3B9D">
            <w:pPr>
              <w:spacing w:line="276" w:lineRule="auto"/>
              <w:jc w:val="center"/>
              <w:rPr>
                <w:color w:val="000000" w:themeColor="text1"/>
              </w:rPr>
            </w:pPr>
          </w:p>
        </w:tc>
      </w:tr>
      <w:tr w:rsidR="00B45351" w:rsidRPr="00A2430F" w14:paraId="26227EB7" w14:textId="77777777" w:rsidTr="00DF3B9D">
        <w:trPr>
          <w:trHeight w:hRule="exact" w:val="255"/>
          <w:jc w:val="center"/>
        </w:trPr>
        <w:tc>
          <w:tcPr>
            <w:tcW w:w="3750" w:type="dxa"/>
            <w:noWrap/>
            <w:hideMark/>
          </w:tcPr>
          <w:p w14:paraId="178D60B4" w14:textId="77777777" w:rsidR="00B45351" w:rsidRPr="00A2430F" w:rsidRDefault="00B45351" w:rsidP="00DF3B9D">
            <w:pPr>
              <w:spacing w:line="276" w:lineRule="auto"/>
            </w:pPr>
            <w:r w:rsidRPr="00A2430F">
              <w:t xml:space="preserve">   Married 2nd+</w:t>
            </w:r>
          </w:p>
        </w:tc>
        <w:tc>
          <w:tcPr>
            <w:tcW w:w="1006" w:type="dxa"/>
            <w:noWrap/>
            <w:vAlign w:val="bottom"/>
          </w:tcPr>
          <w:p w14:paraId="25C3AAD7" w14:textId="77777777" w:rsidR="00B45351" w:rsidRPr="00A2430F" w:rsidRDefault="00B45351" w:rsidP="00DF3B9D">
            <w:pPr>
              <w:spacing w:line="276" w:lineRule="auto"/>
              <w:jc w:val="center"/>
            </w:pPr>
            <w:r w:rsidRPr="00A2430F">
              <w:rPr>
                <w:color w:val="000000"/>
              </w:rPr>
              <w:t>166</w:t>
            </w:r>
          </w:p>
        </w:tc>
        <w:tc>
          <w:tcPr>
            <w:tcW w:w="1316" w:type="dxa"/>
            <w:noWrap/>
            <w:vAlign w:val="bottom"/>
          </w:tcPr>
          <w:p w14:paraId="5E7DBE97" w14:textId="77777777" w:rsidR="00B45351" w:rsidRPr="00A2430F" w:rsidRDefault="00B45351" w:rsidP="00DF3B9D">
            <w:pPr>
              <w:spacing w:line="276" w:lineRule="auto"/>
              <w:jc w:val="center"/>
            </w:pPr>
            <w:r w:rsidRPr="00A2430F">
              <w:rPr>
                <w:color w:val="000000"/>
              </w:rPr>
              <w:t>16.0</w:t>
            </w:r>
          </w:p>
        </w:tc>
        <w:tc>
          <w:tcPr>
            <w:tcW w:w="656" w:type="dxa"/>
          </w:tcPr>
          <w:p w14:paraId="19058172" w14:textId="77777777" w:rsidR="00B45351" w:rsidRPr="00A2430F" w:rsidRDefault="00B45351" w:rsidP="00DF3B9D">
            <w:pPr>
              <w:spacing w:line="276" w:lineRule="auto"/>
              <w:jc w:val="center"/>
              <w:rPr>
                <w:color w:val="000000"/>
              </w:rPr>
            </w:pPr>
            <w:r w:rsidRPr="00A2430F">
              <w:rPr>
                <w:color w:val="000000" w:themeColor="text1"/>
              </w:rPr>
              <w:t>87</w:t>
            </w:r>
          </w:p>
        </w:tc>
        <w:tc>
          <w:tcPr>
            <w:tcW w:w="1123" w:type="dxa"/>
          </w:tcPr>
          <w:p w14:paraId="0343BD0C" w14:textId="77777777" w:rsidR="00B45351" w:rsidRPr="00A2430F" w:rsidRDefault="00B45351" w:rsidP="00DF3B9D">
            <w:pPr>
              <w:spacing w:line="276" w:lineRule="auto"/>
              <w:jc w:val="center"/>
              <w:rPr>
                <w:color w:val="000000"/>
              </w:rPr>
            </w:pPr>
            <w:r w:rsidRPr="00A2430F">
              <w:rPr>
                <w:color w:val="000000" w:themeColor="text1"/>
              </w:rPr>
              <w:t>7.6</w:t>
            </w:r>
          </w:p>
        </w:tc>
        <w:tc>
          <w:tcPr>
            <w:tcW w:w="806" w:type="dxa"/>
            <w:vAlign w:val="center"/>
          </w:tcPr>
          <w:p w14:paraId="58B82589" w14:textId="77777777" w:rsidR="00B45351" w:rsidRPr="00A2430F" w:rsidRDefault="00B45351" w:rsidP="00DF3B9D">
            <w:pPr>
              <w:spacing w:line="276" w:lineRule="auto"/>
              <w:jc w:val="center"/>
              <w:rPr>
                <w:color w:val="000000" w:themeColor="text1"/>
              </w:rPr>
            </w:pPr>
            <w:r w:rsidRPr="00A2430F">
              <w:rPr>
                <w:color w:val="000000" w:themeColor="text1"/>
              </w:rPr>
              <w:t>&lt;.001</w:t>
            </w:r>
            <w:r w:rsidRPr="00A2430F">
              <w:rPr>
                <w:color w:val="000000"/>
                <w:vertAlign w:val="superscript"/>
              </w:rPr>
              <w:t>‡</w:t>
            </w:r>
          </w:p>
        </w:tc>
        <w:tc>
          <w:tcPr>
            <w:tcW w:w="806" w:type="dxa"/>
            <w:vMerge/>
            <w:vAlign w:val="center"/>
          </w:tcPr>
          <w:p w14:paraId="2B84F11C" w14:textId="77777777" w:rsidR="00B45351" w:rsidRPr="00A2430F" w:rsidRDefault="00B45351" w:rsidP="00DF3B9D">
            <w:pPr>
              <w:spacing w:line="276" w:lineRule="auto"/>
              <w:jc w:val="center"/>
              <w:rPr>
                <w:color w:val="000000" w:themeColor="text1"/>
              </w:rPr>
            </w:pPr>
          </w:p>
        </w:tc>
      </w:tr>
      <w:tr w:rsidR="00B45351" w:rsidRPr="00A2430F" w14:paraId="444CB06C" w14:textId="77777777" w:rsidTr="00DF3B9D">
        <w:trPr>
          <w:trHeight w:hRule="exact" w:val="255"/>
          <w:jc w:val="center"/>
        </w:trPr>
        <w:tc>
          <w:tcPr>
            <w:tcW w:w="3750" w:type="dxa"/>
            <w:noWrap/>
            <w:hideMark/>
          </w:tcPr>
          <w:p w14:paraId="1463E728" w14:textId="77777777" w:rsidR="00B45351" w:rsidRPr="00A2430F" w:rsidRDefault="00B45351" w:rsidP="00DF3B9D">
            <w:pPr>
              <w:spacing w:line="276" w:lineRule="auto"/>
            </w:pPr>
            <w:r w:rsidRPr="00A2430F">
              <w:t xml:space="preserve">   Separated</w:t>
            </w:r>
          </w:p>
        </w:tc>
        <w:tc>
          <w:tcPr>
            <w:tcW w:w="1006" w:type="dxa"/>
            <w:noWrap/>
            <w:vAlign w:val="bottom"/>
          </w:tcPr>
          <w:p w14:paraId="57A7B79B" w14:textId="77777777" w:rsidR="00B45351" w:rsidRPr="00A2430F" w:rsidRDefault="00B45351" w:rsidP="00DF3B9D">
            <w:pPr>
              <w:spacing w:line="276" w:lineRule="auto"/>
              <w:jc w:val="center"/>
            </w:pPr>
            <w:r w:rsidRPr="00A2430F">
              <w:rPr>
                <w:color w:val="000000"/>
              </w:rPr>
              <w:t>25</w:t>
            </w:r>
          </w:p>
        </w:tc>
        <w:tc>
          <w:tcPr>
            <w:tcW w:w="1316" w:type="dxa"/>
            <w:noWrap/>
            <w:vAlign w:val="bottom"/>
          </w:tcPr>
          <w:p w14:paraId="583B997D" w14:textId="77777777" w:rsidR="00B45351" w:rsidRPr="00A2430F" w:rsidRDefault="00B45351" w:rsidP="00DF3B9D">
            <w:pPr>
              <w:spacing w:line="276" w:lineRule="auto"/>
              <w:jc w:val="center"/>
            </w:pPr>
            <w:r w:rsidRPr="00A2430F">
              <w:rPr>
                <w:color w:val="000000"/>
              </w:rPr>
              <w:t>2.4</w:t>
            </w:r>
          </w:p>
        </w:tc>
        <w:tc>
          <w:tcPr>
            <w:tcW w:w="656" w:type="dxa"/>
          </w:tcPr>
          <w:p w14:paraId="017C24A2" w14:textId="77777777" w:rsidR="00B45351" w:rsidRPr="00A2430F" w:rsidRDefault="00B45351" w:rsidP="00DF3B9D">
            <w:pPr>
              <w:spacing w:line="276" w:lineRule="auto"/>
              <w:jc w:val="center"/>
              <w:rPr>
                <w:color w:val="000000"/>
              </w:rPr>
            </w:pPr>
            <w:r w:rsidRPr="00A2430F">
              <w:rPr>
                <w:color w:val="000000" w:themeColor="text1"/>
              </w:rPr>
              <w:t>22</w:t>
            </w:r>
          </w:p>
        </w:tc>
        <w:tc>
          <w:tcPr>
            <w:tcW w:w="1123" w:type="dxa"/>
          </w:tcPr>
          <w:p w14:paraId="129614A0" w14:textId="77777777" w:rsidR="00B45351" w:rsidRPr="00A2430F" w:rsidRDefault="00B45351" w:rsidP="00DF3B9D">
            <w:pPr>
              <w:spacing w:line="276" w:lineRule="auto"/>
              <w:jc w:val="center"/>
              <w:rPr>
                <w:color w:val="000000"/>
              </w:rPr>
            </w:pPr>
            <w:r w:rsidRPr="00A2430F">
              <w:rPr>
                <w:color w:val="000000" w:themeColor="text1"/>
              </w:rPr>
              <w:t>1.9</w:t>
            </w:r>
          </w:p>
        </w:tc>
        <w:tc>
          <w:tcPr>
            <w:tcW w:w="806" w:type="dxa"/>
            <w:vAlign w:val="center"/>
          </w:tcPr>
          <w:p w14:paraId="22A1F354" w14:textId="77777777" w:rsidR="00B45351" w:rsidRPr="00A2430F" w:rsidRDefault="00B45351" w:rsidP="00DF3B9D">
            <w:pPr>
              <w:spacing w:line="276" w:lineRule="auto"/>
              <w:jc w:val="center"/>
              <w:rPr>
                <w:color w:val="000000" w:themeColor="text1"/>
              </w:rPr>
            </w:pPr>
            <w:r w:rsidRPr="00A2430F">
              <w:rPr>
                <w:color w:val="000000" w:themeColor="text1"/>
              </w:rPr>
              <w:t>.426</w:t>
            </w:r>
          </w:p>
        </w:tc>
        <w:tc>
          <w:tcPr>
            <w:tcW w:w="806" w:type="dxa"/>
            <w:vMerge/>
            <w:vAlign w:val="center"/>
          </w:tcPr>
          <w:p w14:paraId="3A009B25" w14:textId="77777777" w:rsidR="00B45351" w:rsidRPr="00A2430F" w:rsidRDefault="00B45351" w:rsidP="00DF3B9D">
            <w:pPr>
              <w:spacing w:line="276" w:lineRule="auto"/>
              <w:jc w:val="center"/>
              <w:rPr>
                <w:color w:val="000000" w:themeColor="text1"/>
              </w:rPr>
            </w:pPr>
          </w:p>
        </w:tc>
      </w:tr>
      <w:tr w:rsidR="00B45351" w:rsidRPr="00A2430F" w14:paraId="368124DC" w14:textId="77777777" w:rsidTr="00DF3B9D">
        <w:trPr>
          <w:trHeight w:hRule="exact" w:val="255"/>
          <w:jc w:val="center"/>
        </w:trPr>
        <w:tc>
          <w:tcPr>
            <w:tcW w:w="3750" w:type="dxa"/>
            <w:noWrap/>
            <w:hideMark/>
          </w:tcPr>
          <w:p w14:paraId="4D18F673" w14:textId="77777777" w:rsidR="00B45351" w:rsidRPr="00A2430F" w:rsidRDefault="00B45351" w:rsidP="00DF3B9D">
            <w:pPr>
              <w:spacing w:line="276" w:lineRule="auto"/>
            </w:pPr>
            <w:r w:rsidRPr="00A2430F">
              <w:t xml:space="preserve">   Divorced</w:t>
            </w:r>
          </w:p>
        </w:tc>
        <w:tc>
          <w:tcPr>
            <w:tcW w:w="1006" w:type="dxa"/>
            <w:noWrap/>
            <w:vAlign w:val="bottom"/>
          </w:tcPr>
          <w:p w14:paraId="51B3841A" w14:textId="77777777" w:rsidR="00B45351" w:rsidRPr="00A2430F" w:rsidRDefault="00B45351" w:rsidP="00DF3B9D">
            <w:pPr>
              <w:spacing w:line="276" w:lineRule="auto"/>
              <w:jc w:val="center"/>
            </w:pPr>
            <w:r w:rsidRPr="00A2430F">
              <w:t>70</w:t>
            </w:r>
          </w:p>
        </w:tc>
        <w:tc>
          <w:tcPr>
            <w:tcW w:w="1316" w:type="dxa"/>
            <w:noWrap/>
            <w:vAlign w:val="bottom"/>
          </w:tcPr>
          <w:p w14:paraId="6EDFA99E" w14:textId="77777777" w:rsidR="00B45351" w:rsidRPr="00A2430F" w:rsidRDefault="00B45351" w:rsidP="00DF3B9D">
            <w:pPr>
              <w:spacing w:line="276" w:lineRule="auto"/>
              <w:jc w:val="center"/>
            </w:pPr>
            <w:r w:rsidRPr="00A2430F">
              <w:rPr>
                <w:color w:val="000000"/>
              </w:rPr>
              <w:t>6.8</w:t>
            </w:r>
          </w:p>
        </w:tc>
        <w:tc>
          <w:tcPr>
            <w:tcW w:w="656" w:type="dxa"/>
          </w:tcPr>
          <w:p w14:paraId="157AF9E1" w14:textId="77777777" w:rsidR="00B45351" w:rsidRPr="00A2430F" w:rsidRDefault="00B45351" w:rsidP="00DF3B9D">
            <w:pPr>
              <w:spacing w:line="276" w:lineRule="auto"/>
              <w:jc w:val="center"/>
              <w:rPr>
                <w:color w:val="000000"/>
              </w:rPr>
            </w:pPr>
            <w:r w:rsidRPr="00A2430F">
              <w:rPr>
                <w:color w:val="000000" w:themeColor="text1"/>
              </w:rPr>
              <w:t>45</w:t>
            </w:r>
          </w:p>
        </w:tc>
        <w:tc>
          <w:tcPr>
            <w:tcW w:w="1123" w:type="dxa"/>
          </w:tcPr>
          <w:p w14:paraId="29D0DA5F" w14:textId="77777777" w:rsidR="00B45351" w:rsidRPr="00A2430F" w:rsidRDefault="00B45351" w:rsidP="00DF3B9D">
            <w:pPr>
              <w:spacing w:line="276" w:lineRule="auto"/>
              <w:jc w:val="center"/>
              <w:rPr>
                <w:color w:val="000000"/>
              </w:rPr>
            </w:pPr>
            <w:r w:rsidRPr="00A2430F">
              <w:rPr>
                <w:color w:val="000000" w:themeColor="text1"/>
              </w:rPr>
              <w:t>3.9</w:t>
            </w:r>
          </w:p>
        </w:tc>
        <w:tc>
          <w:tcPr>
            <w:tcW w:w="806" w:type="dxa"/>
            <w:vAlign w:val="center"/>
          </w:tcPr>
          <w:p w14:paraId="4C5639BD" w14:textId="77777777" w:rsidR="00B45351" w:rsidRPr="00A2430F" w:rsidRDefault="00B45351" w:rsidP="00DF3B9D">
            <w:pPr>
              <w:spacing w:line="276" w:lineRule="auto"/>
              <w:jc w:val="center"/>
              <w:rPr>
                <w:color w:val="000000" w:themeColor="text1"/>
              </w:rPr>
            </w:pPr>
            <w:r w:rsidRPr="00A2430F">
              <w:rPr>
                <w:color w:val="000000" w:themeColor="text1"/>
              </w:rPr>
              <w:t>.003</w:t>
            </w:r>
            <w:r w:rsidRPr="00A2430F">
              <w:rPr>
                <w:color w:val="000000"/>
                <w:vertAlign w:val="superscript"/>
              </w:rPr>
              <w:t>‡</w:t>
            </w:r>
          </w:p>
        </w:tc>
        <w:tc>
          <w:tcPr>
            <w:tcW w:w="806" w:type="dxa"/>
            <w:vMerge/>
            <w:vAlign w:val="center"/>
          </w:tcPr>
          <w:p w14:paraId="22F1EF96" w14:textId="77777777" w:rsidR="00B45351" w:rsidRPr="00A2430F" w:rsidRDefault="00B45351" w:rsidP="00DF3B9D">
            <w:pPr>
              <w:spacing w:line="276" w:lineRule="auto"/>
              <w:jc w:val="center"/>
              <w:rPr>
                <w:color w:val="000000" w:themeColor="text1"/>
              </w:rPr>
            </w:pPr>
          </w:p>
        </w:tc>
      </w:tr>
      <w:tr w:rsidR="00B45351" w:rsidRPr="00A2430F" w14:paraId="0207998F" w14:textId="77777777" w:rsidTr="00DF3B9D">
        <w:trPr>
          <w:trHeight w:hRule="exact" w:val="255"/>
          <w:jc w:val="center"/>
        </w:trPr>
        <w:tc>
          <w:tcPr>
            <w:tcW w:w="3750" w:type="dxa"/>
            <w:noWrap/>
            <w:hideMark/>
          </w:tcPr>
          <w:p w14:paraId="136FDDD2" w14:textId="77777777" w:rsidR="00B45351" w:rsidRPr="00A2430F" w:rsidRDefault="00B45351" w:rsidP="00DF3B9D">
            <w:pPr>
              <w:spacing w:line="276" w:lineRule="auto"/>
            </w:pPr>
            <w:r w:rsidRPr="00A2430F">
              <w:t xml:space="preserve">   Widowed</w:t>
            </w:r>
          </w:p>
        </w:tc>
        <w:tc>
          <w:tcPr>
            <w:tcW w:w="1006" w:type="dxa"/>
            <w:noWrap/>
            <w:vAlign w:val="bottom"/>
          </w:tcPr>
          <w:p w14:paraId="459D8938" w14:textId="77777777" w:rsidR="00B45351" w:rsidRPr="00A2430F" w:rsidRDefault="00B45351" w:rsidP="00DF3B9D">
            <w:pPr>
              <w:spacing w:line="276" w:lineRule="auto"/>
              <w:jc w:val="center"/>
            </w:pPr>
            <w:r w:rsidRPr="00A2430F">
              <w:rPr>
                <w:color w:val="000000"/>
              </w:rPr>
              <w:t>21</w:t>
            </w:r>
          </w:p>
        </w:tc>
        <w:tc>
          <w:tcPr>
            <w:tcW w:w="1316" w:type="dxa"/>
            <w:noWrap/>
            <w:vAlign w:val="bottom"/>
          </w:tcPr>
          <w:p w14:paraId="47A61192" w14:textId="77777777" w:rsidR="00B45351" w:rsidRPr="00A2430F" w:rsidRDefault="00B45351" w:rsidP="00DF3B9D">
            <w:pPr>
              <w:spacing w:line="276" w:lineRule="auto"/>
              <w:jc w:val="center"/>
            </w:pPr>
            <w:r w:rsidRPr="00A2430F">
              <w:rPr>
                <w:color w:val="000000"/>
              </w:rPr>
              <w:t>2.0</w:t>
            </w:r>
          </w:p>
        </w:tc>
        <w:tc>
          <w:tcPr>
            <w:tcW w:w="656" w:type="dxa"/>
          </w:tcPr>
          <w:p w14:paraId="48FCDAEA" w14:textId="77777777" w:rsidR="00B45351" w:rsidRPr="00A2430F" w:rsidRDefault="00B45351" w:rsidP="00DF3B9D">
            <w:pPr>
              <w:spacing w:line="276" w:lineRule="auto"/>
              <w:jc w:val="center"/>
              <w:rPr>
                <w:color w:val="000000"/>
              </w:rPr>
            </w:pPr>
            <w:r w:rsidRPr="00A2430F">
              <w:rPr>
                <w:color w:val="000000" w:themeColor="text1"/>
              </w:rPr>
              <w:t>13</w:t>
            </w:r>
          </w:p>
        </w:tc>
        <w:tc>
          <w:tcPr>
            <w:tcW w:w="1123" w:type="dxa"/>
          </w:tcPr>
          <w:p w14:paraId="27672AC9" w14:textId="77777777" w:rsidR="00B45351" w:rsidRPr="00A2430F" w:rsidRDefault="00B45351" w:rsidP="00DF3B9D">
            <w:pPr>
              <w:spacing w:line="276" w:lineRule="auto"/>
              <w:jc w:val="center"/>
              <w:rPr>
                <w:color w:val="000000"/>
              </w:rPr>
            </w:pPr>
            <w:r w:rsidRPr="00A2430F">
              <w:rPr>
                <w:color w:val="000000" w:themeColor="text1"/>
              </w:rPr>
              <w:t>1.1</w:t>
            </w:r>
          </w:p>
        </w:tc>
        <w:tc>
          <w:tcPr>
            <w:tcW w:w="806" w:type="dxa"/>
            <w:vAlign w:val="center"/>
          </w:tcPr>
          <w:p w14:paraId="3BE12A73" w14:textId="77777777" w:rsidR="00B45351" w:rsidRPr="00A2430F" w:rsidRDefault="00B45351" w:rsidP="00DF3B9D">
            <w:pPr>
              <w:spacing w:line="276" w:lineRule="auto"/>
              <w:jc w:val="center"/>
              <w:rPr>
                <w:color w:val="000000" w:themeColor="text1"/>
              </w:rPr>
            </w:pPr>
            <w:r w:rsidRPr="00A2430F">
              <w:rPr>
                <w:color w:val="000000" w:themeColor="text1"/>
              </w:rPr>
              <w:t>.092</w:t>
            </w:r>
          </w:p>
        </w:tc>
        <w:tc>
          <w:tcPr>
            <w:tcW w:w="806" w:type="dxa"/>
            <w:vMerge/>
            <w:vAlign w:val="center"/>
          </w:tcPr>
          <w:p w14:paraId="482657EA" w14:textId="77777777" w:rsidR="00B45351" w:rsidRPr="00A2430F" w:rsidRDefault="00B45351" w:rsidP="00DF3B9D">
            <w:pPr>
              <w:spacing w:line="276" w:lineRule="auto"/>
              <w:jc w:val="center"/>
              <w:rPr>
                <w:color w:val="000000" w:themeColor="text1"/>
              </w:rPr>
            </w:pPr>
          </w:p>
        </w:tc>
      </w:tr>
      <w:tr w:rsidR="00B45351" w:rsidRPr="00A2430F" w14:paraId="7F9E9DE8" w14:textId="77777777" w:rsidTr="00DF3B9D">
        <w:trPr>
          <w:trHeight w:hRule="exact" w:val="255"/>
          <w:jc w:val="center"/>
        </w:trPr>
        <w:tc>
          <w:tcPr>
            <w:tcW w:w="3750" w:type="dxa"/>
            <w:noWrap/>
          </w:tcPr>
          <w:p w14:paraId="789AA57D" w14:textId="77777777" w:rsidR="00B45351" w:rsidRPr="00A2430F" w:rsidRDefault="00B45351" w:rsidP="00DF3B9D">
            <w:pPr>
              <w:spacing w:line="276" w:lineRule="auto"/>
            </w:pPr>
            <w:r w:rsidRPr="00A2430F">
              <w:rPr>
                <w:b/>
                <w:bCs/>
              </w:rPr>
              <w:t>Employment</w:t>
            </w:r>
          </w:p>
        </w:tc>
        <w:tc>
          <w:tcPr>
            <w:tcW w:w="1006" w:type="dxa"/>
            <w:noWrap/>
          </w:tcPr>
          <w:p w14:paraId="5FCBA27F" w14:textId="77777777" w:rsidR="00B45351" w:rsidRPr="00A2430F" w:rsidRDefault="00B45351" w:rsidP="00DF3B9D">
            <w:pPr>
              <w:spacing w:line="276" w:lineRule="auto"/>
              <w:jc w:val="center"/>
              <w:rPr>
                <w:color w:val="000000"/>
              </w:rPr>
            </w:pPr>
          </w:p>
        </w:tc>
        <w:tc>
          <w:tcPr>
            <w:tcW w:w="1316" w:type="dxa"/>
            <w:noWrap/>
          </w:tcPr>
          <w:p w14:paraId="2225DD3F" w14:textId="77777777" w:rsidR="00B45351" w:rsidRPr="00A2430F" w:rsidRDefault="00B45351" w:rsidP="00DF3B9D">
            <w:pPr>
              <w:spacing w:line="276" w:lineRule="auto"/>
              <w:jc w:val="center"/>
              <w:rPr>
                <w:color w:val="000000"/>
              </w:rPr>
            </w:pPr>
          </w:p>
        </w:tc>
        <w:tc>
          <w:tcPr>
            <w:tcW w:w="656" w:type="dxa"/>
          </w:tcPr>
          <w:p w14:paraId="21A57E13" w14:textId="77777777" w:rsidR="00B45351" w:rsidRPr="00A2430F" w:rsidRDefault="00B45351" w:rsidP="00DF3B9D">
            <w:pPr>
              <w:spacing w:line="276" w:lineRule="auto"/>
              <w:jc w:val="center"/>
              <w:rPr>
                <w:color w:val="000000" w:themeColor="text1"/>
              </w:rPr>
            </w:pPr>
          </w:p>
        </w:tc>
        <w:tc>
          <w:tcPr>
            <w:tcW w:w="1123" w:type="dxa"/>
          </w:tcPr>
          <w:p w14:paraId="64E25D9E" w14:textId="77777777" w:rsidR="00B45351" w:rsidRPr="00A2430F" w:rsidRDefault="00B45351" w:rsidP="00DF3B9D">
            <w:pPr>
              <w:spacing w:line="276" w:lineRule="auto"/>
              <w:jc w:val="center"/>
              <w:rPr>
                <w:color w:val="000000" w:themeColor="text1"/>
              </w:rPr>
            </w:pPr>
          </w:p>
        </w:tc>
        <w:tc>
          <w:tcPr>
            <w:tcW w:w="806" w:type="dxa"/>
            <w:vAlign w:val="center"/>
          </w:tcPr>
          <w:p w14:paraId="5B2E5183" w14:textId="77777777" w:rsidR="00B45351" w:rsidRPr="00A2430F" w:rsidRDefault="00B45351" w:rsidP="00DF3B9D">
            <w:pPr>
              <w:spacing w:line="276" w:lineRule="auto"/>
              <w:jc w:val="center"/>
              <w:rPr>
                <w:color w:val="000000" w:themeColor="text1"/>
              </w:rPr>
            </w:pPr>
          </w:p>
        </w:tc>
        <w:tc>
          <w:tcPr>
            <w:tcW w:w="806" w:type="dxa"/>
            <w:vAlign w:val="center"/>
          </w:tcPr>
          <w:p w14:paraId="1AF9E3A3" w14:textId="77777777" w:rsidR="00B45351" w:rsidRPr="00A2430F" w:rsidRDefault="00B45351" w:rsidP="00DF3B9D">
            <w:pPr>
              <w:spacing w:line="276" w:lineRule="auto"/>
              <w:jc w:val="center"/>
              <w:rPr>
                <w:color w:val="000000" w:themeColor="text1"/>
              </w:rPr>
            </w:pPr>
          </w:p>
        </w:tc>
      </w:tr>
      <w:tr w:rsidR="00B45351" w:rsidRPr="00A2430F" w14:paraId="175BADFA" w14:textId="77777777" w:rsidTr="00DF3B9D">
        <w:trPr>
          <w:trHeight w:hRule="exact" w:val="255"/>
          <w:jc w:val="center"/>
        </w:trPr>
        <w:tc>
          <w:tcPr>
            <w:tcW w:w="3750" w:type="dxa"/>
            <w:noWrap/>
          </w:tcPr>
          <w:p w14:paraId="031CC83E" w14:textId="77777777" w:rsidR="00B45351" w:rsidRPr="00A2430F" w:rsidRDefault="00B45351" w:rsidP="00DF3B9D">
            <w:pPr>
              <w:spacing w:line="276" w:lineRule="auto"/>
            </w:pPr>
            <w:r w:rsidRPr="00A2430F">
              <w:t xml:space="preserve">   Unemployed, not actively seeking</w:t>
            </w:r>
          </w:p>
        </w:tc>
        <w:tc>
          <w:tcPr>
            <w:tcW w:w="1006" w:type="dxa"/>
            <w:shd w:val="clear" w:color="auto" w:fill="auto"/>
            <w:noWrap/>
            <w:vAlign w:val="bottom"/>
          </w:tcPr>
          <w:p w14:paraId="023AA8DA" w14:textId="77777777" w:rsidR="00B45351" w:rsidRPr="00A2430F" w:rsidRDefault="00B45351" w:rsidP="00DF3B9D">
            <w:pPr>
              <w:spacing w:line="276" w:lineRule="auto"/>
              <w:jc w:val="center"/>
              <w:rPr>
                <w:color w:val="000000"/>
              </w:rPr>
            </w:pPr>
            <w:r w:rsidRPr="00A2430F">
              <w:rPr>
                <w:color w:val="000000"/>
              </w:rPr>
              <w:t>14</w:t>
            </w:r>
          </w:p>
        </w:tc>
        <w:tc>
          <w:tcPr>
            <w:tcW w:w="1316" w:type="dxa"/>
            <w:shd w:val="clear" w:color="auto" w:fill="auto"/>
            <w:noWrap/>
            <w:vAlign w:val="bottom"/>
          </w:tcPr>
          <w:p w14:paraId="1F6C5AC3" w14:textId="77777777" w:rsidR="00B45351" w:rsidRPr="00A2430F" w:rsidRDefault="00B45351" w:rsidP="00DF3B9D">
            <w:pPr>
              <w:spacing w:line="276" w:lineRule="auto"/>
              <w:jc w:val="center"/>
              <w:rPr>
                <w:color w:val="000000"/>
              </w:rPr>
            </w:pPr>
            <w:r w:rsidRPr="00A2430F">
              <w:rPr>
                <w:color w:val="000000"/>
              </w:rPr>
              <w:t>1.4</w:t>
            </w:r>
          </w:p>
        </w:tc>
        <w:tc>
          <w:tcPr>
            <w:tcW w:w="656" w:type="dxa"/>
          </w:tcPr>
          <w:p w14:paraId="1AE2B1B8" w14:textId="77777777" w:rsidR="00B45351" w:rsidRPr="00A2430F" w:rsidRDefault="00B45351" w:rsidP="00DF3B9D">
            <w:pPr>
              <w:spacing w:line="276" w:lineRule="auto"/>
              <w:jc w:val="center"/>
              <w:rPr>
                <w:color w:val="000000" w:themeColor="text1"/>
              </w:rPr>
            </w:pPr>
            <w:r w:rsidRPr="00A2430F">
              <w:t>24</w:t>
            </w:r>
          </w:p>
        </w:tc>
        <w:tc>
          <w:tcPr>
            <w:tcW w:w="1123" w:type="dxa"/>
          </w:tcPr>
          <w:p w14:paraId="05C8AB9A" w14:textId="77777777" w:rsidR="00B45351" w:rsidRPr="00A2430F" w:rsidRDefault="00B45351" w:rsidP="00DF3B9D">
            <w:pPr>
              <w:spacing w:line="276" w:lineRule="auto"/>
              <w:jc w:val="center"/>
              <w:rPr>
                <w:color w:val="000000" w:themeColor="text1"/>
              </w:rPr>
            </w:pPr>
            <w:r w:rsidRPr="00A2430F">
              <w:t>2.1</w:t>
            </w:r>
          </w:p>
        </w:tc>
        <w:tc>
          <w:tcPr>
            <w:tcW w:w="806" w:type="dxa"/>
            <w:vAlign w:val="center"/>
          </w:tcPr>
          <w:p w14:paraId="7E6BD88E" w14:textId="77777777" w:rsidR="00B45351" w:rsidRPr="00A2430F" w:rsidRDefault="00B45351" w:rsidP="00DF3B9D">
            <w:pPr>
              <w:spacing w:line="276" w:lineRule="auto"/>
              <w:jc w:val="center"/>
            </w:pPr>
            <w:r w:rsidRPr="00A2430F">
              <w:t>.186</w:t>
            </w:r>
          </w:p>
        </w:tc>
        <w:tc>
          <w:tcPr>
            <w:tcW w:w="806" w:type="dxa"/>
            <w:vMerge w:val="restart"/>
            <w:vAlign w:val="center"/>
          </w:tcPr>
          <w:p w14:paraId="0A5FC6D6" w14:textId="77777777" w:rsidR="00B45351" w:rsidRPr="00A2430F" w:rsidRDefault="00B45351" w:rsidP="00DF3B9D">
            <w:pPr>
              <w:spacing w:line="276" w:lineRule="auto"/>
              <w:jc w:val="center"/>
            </w:pPr>
            <w:r w:rsidRPr="00A2430F">
              <w:t>.010</w:t>
            </w:r>
            <w:r w:rsidRPr="00A2430F">
              <w:rPr>
                <w:b/>
                <w:bCs/>
                <w:color w:val="000000"/>
                <w:vertAlign w:val="superscript"/>
              </w:rPr>
              <w:t>†</w:t>
            </w:r>
          </w:p>
        </w:tc>
      </w:tr>
      <w:tr w:rsidR="00B45351" w:rsidRPr="00A2430F" w14:paraId="6AFEE4CB" w14:textId="77777777" w:rsidTr="00DF3B9D">
        <w:trPr>
          <w:trHeight w:hRule="exact" w:val="255"/>
          <w:jc w:val="center"/>
        </w:trPr>
        <w:tc>
          <w:tcPr>
            <w:tcW w:w="3750" w:type="dxa"/>
            <w:noWrap/>
          </w:tcPr>
          <w:p w14:paraId="332E0612" w14:textId="77777777" w:rsidR="00B45351" w:rsidRPr="00A2430F" w:rsidRDefault="00B45351" w:rsidP="00DF3B9D">
            <w:pPr>
              <w:spacing w:line="276" w:lineRule="auto"/>
            </w:pPr>
            <w:r w:rsidRPr="00A2430F">
              <w:t xml:space="preserve">   Unemployed, actively seeking</w:t>
            </w:r>
          </w:p>
        </w:tc>
        <w:tc>
          <w:tcPr>
            <w:tcW w:w="1006" w:type="dxa"/>
            <w:shd w:val="clear" w:color="auto" w:fill="auto"/>
            <w:noWrap/>
            <w:vAlign w:val="bottom"/>
          </w:tcPr>
          <w:p w14:paraId="07ABA780" w14:textId="77777777" w:rsidR="00B45351" w:rsidRPr="00A2430F" w:rsidRDefault="00B45351" w:rsidP="00DF3B9D">
            <w:pPr>
              <w:spacing w:line="276" w:lineRule="auto"/>
              <w:jc w:val="center"/>
              <w:rPr>
                <w:color w:val="000000"/>
              </w:rPr>
            </w:pPr>
            <w:r w:rsidRPr="00A2430F">
              <w:rPr>
                <w:color w:val="000000"/>
              </w:rPr>
              <w:t>55</w:t>
            </w:r>
          </w:p>
        </w:tc>
        <w:tc>
          <w:tcPr>
            <w:tcW w:w="1316" w:type="dxa"/>
            <w:shd w:val="clear" w:color="auto" w:fill="auto"/>
            <w:noWrap/>
            <w:vAlign w:val="bottom"/>
          </w:tcPr>
          <w:p w14:paraId="5F458D80" w14:textId="77777777" w:rsidR="00B45351" w:rsidRPr="00A2430F" w:rsidRDefault="00B45351" w:rsidP="00DF3B9D">
            <w:pPr>
              <w:spacing w:line="276" w:lineRule="auto"/>
              <w:jc w:val="center"/>
              <w:rPr>
                <w:color w:val="000000"/>
              </w:rPr>
            </w:pPr>
            <w:r w:rsidRPr="00A2430F">
              <w:rPr>
                <w:color w:val="000000"/>
              </w:rPr>
              <w:t>5.5</w:t>
            </w:r>
          </w:p>
        </w:tc>
        <w:tc>
          <w:tcPr>
            <w:tcW w:w="656" w:type="dxa"/>
          </w:tcPr>
          <w:p w14:paraId="0A524397" w14:textId="77777777" w:rsidR="00B45351" w:rsidRPr="00A2430F" w:rsidRDefault="00B45351" w:rsidP="00DF3B9D">
            <w:pPr>
              <w:spacing w:line="276" w:lineRule="auto"/>
              <w:jc w:val="center"/>
            </w:pPr>
            <w:r w:rsidRPr="00A2430F">
              <w:t>63</w:t>
            </w:r>
          </w:p>
        </w:tc>
        <w:tc>
          <w:tcPr>
            <w:tcW w:w="1123" w:type="dxa"/>
          </w:tcPr>
          <w:p w14:paraId="10F7B467" w14:textId="77777777" w:rsidR="00B45351" w:rsidRPr="00A2430F" w:rsidRDefault="00B45351" w:rsidP="00DF3B9D">
            <w:pPr>
              <w:spacing w:line="276" w:lineRule="auto"/>
              <w:jc w:val="center"/>
            </w:pPr>
            <w:r w:rsidRPr="00A2430F">
              <w:t>5.3</w:t>
            </w:r>
          </w:p>
        </w:tc>
        <w:tc>
          <w:tcPr>
            <w:tcW w:w="806" w:type="dxa"/>
            <w:vAlign w:val="center"/>
          </w:tcPr>
          <w:p w14:paraId="09D07DE8" w14:textId="77777777" w:rsidR="00B45351" w:rsidRPr="00A2430F" w:rsidRDefault="00B45351" w:rsidP="00DF3B9D">
            <w:pPr>
              <w:spacing w:line="276" w:lineRule="auto"/>
              <w:jc w:val="center"/>
            </w:pPr>
            <w:r w:rsidRPr="00A2430F">
              <w:t>.849</w:t>
            </w:r>
          </w:p>
        </w:tc>
        <w:tc>
          <w:tcPr>
            <w:tcW w:w="806" w:type="dxa"/>
            <w:vMerge/>
            <w:vAlign w:val="center"/>
          </w:tcPr>
          <w:p w14:paraId="1E7AE062" w14:textId="77777777" w:rsidR="00B45351" w:rsidRPr="00A2430F" w:rsidRDefault="00B45351" w:rsidP="00DF3B9D">
            <w:pPr>
              <w:spacing w:line="276" w:lineRule="auto"/>
              <w:jc w:val="center"/>
            </w:pPr>
          </w:p>
        </w:tc>
      </w:tr>
      <w:tr w:rsidR="00B45351" w:rsidRPr="00A2430F" w14:paraId="2FB1DEFE" w14:textId="77777777" w:rsidTr="00DF3B9D">
        <w:trPr>
          <w:trHeight w:hRule="exact" w:val="255"/>
          <w:jc w:val="center"/>
        </w:trPr>
        <w:tc>
          <w:tcPr>
            <w:tcW w:w="3750" w:type="dxa"/>
            <w:noWrap/>
          </w:tcPr>
          <w:p w14:paraId="4F9C2DBD" w14:textId="77777777" w:rsidR="00B45351" w:rsidRPr="00A2430F" w:rsidRDefault="00B45351" w:rsidP="00DF3B9D">
            <w:pPr>
              <w:spacing w:line="276" w:lineRule="auto"/>
            </w:pPr>
            <w:r w:rsidRPr="00A2430F">
              <w:t xml:space="preserve">   In training/education</w:t>
            </w:r>
          </w:p>
        </w:tc>
        <w:tc>
          <w:tcPr>
            <w:tcW w:w="1006" w:type="dxa"/>
            <w:shd w:val="clear" w:color="auto" w:fill="auto"/>
            <w:noWrap/>
            <w:vAlign w:val="bottom"/>
          </w:tcPr>
          <w:p w14:paraId="35939E60" w14:textId="77777777" w:rsidR="00B45351" w:rsidRPr="00A2430F" w:rsidRDefault="00B45351" w:rsidP="00DF3B9D">
            <w:pPr>
              <w:spacing w:line="276" w:lineRule="auto"/>
              <w:jc w:val="center"/>
              <w:rPr>
                <w:color w:val="000000"/>
              </w:rPr>
            </w:pPr>
            <w:r w:rsidRPr="00A2430F">
              <w:rPr>
                <w:color w:val="000000"/>
              </w:rPr>
              <w:t>24</w:t>
            </w:r>
          </w:p>
        </w:tc>
        <w:tc>
          <w:tcPr>
            <w:tcW w:w="1316" w:type="dxa"/>
            <w:shd w:val="clear" w:color="auto" w:fill="auto"/>
            <w:noWrap/>
            <w:vAlign w:val="bottom"/>
          </w:tcPr>
          <w:p w14:paraId="7B2FA63B" w14:textId="77777777" w:rsidR="00B45351" w:rsidRPr="00A2430F" w:rsidRDefault="00B45351" w:rsidP="00DF3B9D">
            <w:pPr>
              <w:spacing w:line="276" w:lineRule="auto"/>
              <w:jc w:val="center"/>
              <w:rPr>
                <w:color w:val="000000"/>
              </w:rPr>
            </w:pPr>
            <w:r w:rsidRPr="00A2430F">
              <w:rPr>
                <w:color w:val="000000"/>
              </w:rPr>
              <w:t>2.3</w:t>
            </w:r>
          </w:p>
        </w:tc>
        <w:tc>
          <w:tcPr>
            <w:tcW w:w="656" w:type="dxa"/>
          </w:tcPr>
          <w:p w14:paraId="6E093212" w14:textId="77777777" w:rsidR="00B45351" w:rsidRPr="00A2430F" w:rsidRDefault="00B45351" w:rsidP="00DF3B9D">
            <w:pPr>
              <w:spacing w:line="276" w:lineRule="auto"/>
              <w:jc w:val="center"/>
            </w:pPr>
            <w:r w:rsidRPr="00A2430F">
              <w:t>15</w:t>
            </w:r>
          </w:p>
        </w:tc>
        <w:tc>
          <w:tcPr>
            <w:tcW w:w="1123" w:type="dxa"/>
          </w:tcPr>
          <w:p w14:paraId="71D2DA7E" w14:textId="77777777" w:rsidR="00B45351" w:rsidRPr="00A2430F" w:rsidRDefault="00B45351" w:rsidP="00DF3B9D">
            <w:pPr>
              <w:spacing w:line="276" w:lineRule="auto"/>
              <w:jc w:val="center"/>
            </w:pPr>
            <w:r w:rsidRPr="00A2430F">
              <w:t>1.3</w:t>
            </w:r>
          </w:p>
        </w:tc>
        <w:tc>
          <w:tcPr>
            <w:tcW w:w="806" w:type="dxa"/>
            <w:vAlign w:val="center"/>
          </w:tcPr>
          <w:p w14:paraId="4114FAA6" w14:textId="77777777" w:rsidR="00B45351" w:rsidRPr="00A2430F" w:rsidRDefault="00B45351" w:rsidP="00DF3B9D">
            <w:pPr>
              <w:spacing w:line="276" w:lineRule="auto"/>
              <w:jc w:val="center"/>
            </w:pPr>
            <w:r w:rsidRPr="00A2430F">
              <w:t>.076</w:t>
            </w:r>
          </w:p>
        </w:tc>
        <w:tc>
          <w:tcPr>
            <w:tcW w:w="806" w:type="dxa"/>
            <w:vMerge/>
            <w:vAlign w:val="center"/>
          </w:tcPr>
          <w:p w14:paraId="5CE09B47" w14:textId="77777777" w:rsidR="00B45351" w:rsidRPr="00A2430F" w:rsidRDefault="00B45351" w:rsidP="00DF3B9D">
            <w:pPr>
              <w:spacing w:line="276" w:lineRule="auto"/>
              <w:jc w:val="center"/>
            </w:pPr>
          </w:p>
        </w:tc>
      </w:tr>
      <w:tr w:rsidR="00B45351" w:rsidRPr="00A2430F" w14:paraId="0B5FEA4C" w14:textId="77777777" w:rsidTr="00DF3B9D">
        <w:trPr>
          <w:trHeight w:hRule="exact" w:val="255"/>
          <w:jc w:val="center"/>
        </w:trPr>
        <w:tc>
          <w:tcPr>
            <w:tcW w:w="3750" w:type="dxa"/>
            <w:noWrap/>
          </w:tcPr>
          <w:p w14:paraId="55C474D6" w14:textId="77777777" w:rsidR="00B45351" w:rsidRPr="00A2430F" w:rsidRDefault="00B45351" w:rsidP="00DF3B9D">
            <w:pPr>
              <w:spacing w:line="276" w:lineRule="auto"/>
            </w:pPr>
            <w:r w:rsidRPr="00A2430F">
              <w:t xml:space="preserve">   In sheltered work</w:t>
            </w:r>
          </w:p>
        </w:tc>
        <w:tc>
          <w:tcPr>
            <w:tcW w:w="1006" w:type="dxa"/>
            <w:shd w:val="clear" w:color="auto" w:fill="auto"/>
            <w:noWrap/>
            <w:vAlign w:val="bottom"/>
          </w:tcPr>
          <w:p w14:paraId="6CC32947" w14:textId="77777777" w:rsidR="00B45351" w:rsidRPr="00A2430F" w:rsidRDefault="00B45351" w:rsidP="00DF3B9D">
            <w:pPr>
              <w:spacing w:line="276" w:lineRule="auto"/>
              <w:jc w:val="center"/>
              <w:rPr>
                <w:color w:val="000000"/>
              </w:rPr>
            </w:pPr>
            <w:r w:rsidRPr="00A2430F">
              <w:rPr>
                <w:color w:val="000000"/>
              </w:rPr>
              <w:t>9</w:t>
            </w:r>
          </w:p>
        </w:tc>
        <w:tc>
          <w:tcPr>
            <w:tcW w:w="1316" w:type="dxa"/>
            <w:shd w:val="clear" w:color="auto" w:fill="auto"/>
            <w:noWrap/>
            <w:vAlign w:val="bottom"/>
          </w:tcPr>
          <w:p w14:paraId="16138C72" w14:textId="77777777" w:rsidR="00B45351" w:rsidRPr="00A2430F" w:rsidRDefault="00B45351" w:rsidP="00DF3B9D">
            <w:pPr>
              <w:spacing w:line="276" w:lineRule="auto"/>
              <w:jc w:val="center"/>
              <w:rPr>
                <w:color w:val="000000"/>
              </w:rPr>
            </w:pPr>
            <w:r w:rsidRPr="00A2430F">
              <w:rPr>
                <w:color w:val="000000"/>
              </w:rPr>
              <w:t>0.9</w:t>
            </w:r>
          </w:p>
        </w:tc>
        <w:tc>
          <w:tcPr>
            <w:tcW w:w="656" w:type="dxa"/>
          </w:tcPr>
          <w:p w14:paraId="06FFAA70" w14:textId="77777777" w:rsidR="00B45351" w:rsidRPr="00A2430F" w:rsidRDefault="00B45351" w:rsidP="00DF3B9D">
            <w:pPr>
              <w:spacing w:line="276" w:lineRule="auto"/>
              <w:jc w:val="center"/>
            </w:pPr>
            <w:r w:rsidRPr="00A2430F">
              <w:t>0</w:t>
            </w:r>
          </w:p>
        </w:tc>
        <w:tc>
          <w:tcPr>
            <w:tcW w:w="1123" w:type="dxa"/>
          </w:tcPr>
          <w:p w14:paraId="193A46EF" w14:textId="77777777" w:rsidR="00B45351" w:rsidRPr="00A2430F" w:rsidRDefault="00B45351" w:rsidP="00DF3B9D">
            <w:pPr>
              <w:spacing w:line="276" w:lineRule="auto"/>
              <w:jc w:val="center"/>
            </w:pPr>
            <w:r w:rsidRPr="00A2430F">
              <w:t>0.0</w:t>
            </w:r>
          </w:p>
        </w:tc>
        <w:tc>
          <w:tcPr>
            <w:tcW w:w="806" w:type="dxa"/>
            <w:vAlign w:val="center"/>
          </w:tcPr>
          <w:p w14:paraId="6BBFF3CC" w14:textId="77777777" w:rsidR="00B45351" w:rsidRPr="00A2430F" w:rsidRDefault="00B45351" w:rsidP="00DF3B9D">
            <w:pPr>
              <w:spacing w:line="276" w:lineRule="auto"/>
              <w:jc w:val="center"/>
            </w:pPr>
            <w:r w:rsidRPr="00A2430F">
              <w:t>.002</w:t>
            </w:r>
            <w:r w:rsidRPr="00A2430F">
              <w:rPr>
                <w:color w:val="000000"/>
                <w:vertAlign w:val="superscript"/>
              </w:rPr>
              <w:t>‡</w:t>
            </w:r>
          </w:p>
        </w:tc>
        <w:tc>
          <w:tcPr>
            <w:tcW w:w="806" w:type="dxa"/>
            <w:vMerge/>
            <w:vAlign w:val="center"/>
          </w:tcPr>
          <w:p w14:paraId="3DF8C30F" w14:textId="77777777" w:rsidR="00B45351" w:rsidRPr="00A2430F" w:rsidRDefault="00B45351" w:rsidP="00DF3B9D">
            <w:pPr>
              <w:spacing w:line="276" w:lineRule="auto"/>
              <w:jc w:val="center"/>
            </w:pPr>
          </w:p>
        </w:tc>
      </w:tr>
      <w:tr w:rsidR="00B45351" w:rsidRPr="00A2430F" w14:paraId="3337C60B" w14:textId="77777777" w:rsidTr="00DF3B9D">
        <w:trPr>
          <w:trHeight w:hRule="exact" w:val="255"/>
          <w:jc w:val="center"/>
        </w:trPr>
        <w:tc>
          <w:tcPr>
            <w:tcW w:w="3750" w:type="dxa"/>
            <w:noWrap/>
          </w:tcPr>
          <w:p w14:paraId="79AC22E6" w14:textId="77777777" w:rsidR="00B45351" w:rsidRPr="00A2430F" w:rsidRDefault="00B45351" w:rsidP="00DF3B9D">
            <w:pPr>
              <w:spacing w:line="276" w:lineRule="auto"/>
            </w:pPr>
            <w:r w:rsidRPr="00A2430F">
              <w:t xml:space="preserve">   In paid employment</w:t>
            </w:r>
          </w:p>
        </w:tc>
        <w:tc>
          <w:tcPr>
            <w:tcW w:w="1006" w:type="dxa"/>
            <w:shd w:val="clear" w:color="auto" w:fill="auto"/>
            <w:noWrap/>
            <w:vAlign w:val="bottom"/>
          </w:tcPr>
          <w:p w14:paraId="5BC3C1B9" w14:textId="77777777" w:rsidR="00B45351" w:rsidRPr="00A2430F" w:rsidRDefault="00B45351" w:rsidP="00DF3B9D">
            <w:pPr>
              <w:spacing w:line="276" w:lineRule="auto"/>
              <w:jc w:val="center"/>
              <w:rPr>
                <w:color w:val="000000"/>
              </w:rPr>
            </w:pPr>
            <w:r w:rsidRPr="00A2430F">
              <w:rPr>
                <w:color w:val="000000"/>
              </w:rPr>
              <w:t>704</w:t>
            </w:r>
          </w:p>
        </w:tc>
        <w:tc>
          <w:tcPr>
            <w:tcW w:w="1316" w:type="dxa"/>
            <w:shd w:val="clear" w:color="auto" w:fill="auto"/>
            <w:noWrap/>
            <w:vAlign w:val="bottom"/>
          </w:tcPr>
          <w:p w14:paraId="7FEBACE5" w14:textId="77777777" w:rsidR="00B45351" w:rsidRPr="00A2430F" w:rsidRDefault="00B45351" w:rsidP="00DF3B9D">
            <w:pPr>
              <w:spacing w:line="276" w:lineRule="auto"/>
              <w:jc w:val="center"/>
              <w:rPr>
                <w:color w:val="000000"/>
              </w:rPr>
            </w:pPr>
            <w:r w:rsidRPr="00A2430F">
              <w:rPr>
                <w:color w:val="000000"/>
              </w:rPr>
              <w:t>67.9</w:t>
            </w:r>
          </w:p>
        </w:tc>
        <w:tc>
          <w:tcPr>
            <w:tcW w:w="656" w:type="dxa"/>
          </w:tcPr>
          <w:p w14:paraId="0F54D377" w14:textId="77777777" w:rsidR="00B45351" w:rsidRPr="00A2430F" w:rsidRDefault="00B45351" w:rsidP="00DF3B9D">
            <w:pPr>
              <w:spacing w:line="276" w:lineRule="auto"/>
              <w:jc w:val="center"/>
            </w:pPr>
            <w:r w:rsidRPr="00A2430F">
              <w:t>810</w:t>
            </w:r>
          </w:p>
        </w:tc>
        <w:tc>
          <w:tcPr>
            <w:tcW w:w="1123" w:type="dxa"/>
          </w:tcPr>
          <w:p w14:paraId="444142E3" w14:textId="77777777" w:rsidR="00B45351" w:rsidRPr="00A2430F" w:rsidRDefault="00B45351" w:rsidP="00DF3B9D">
            <w:pPr>
              <w:spacing w:line="276" w:lineRule="auto"/>
              <w:jc w:val="center"/>
            </w:pPr>
            <w:r w:rsidRPr="00A2430F">
              <w:t>70.6</w:t>
            </w:r>
          </w:p>
        </w:tc>
        <w:tc>
          <w:tcPr>
            <w:tcW w:w="806" w:type="dxa"/>
            <w:vAlign w:val="center"/>
          </w:tcPr>
          <w:p w14:paraId="16AFE352" w14:textId="77777777" w:rsidR="00B45351" w:rsidRPr="00A2430F" w:rsidRDefault="00B45351" w:rsidP="00DF3B9D">
            <w:pPr>
              <w:spacing w:line="276" w:lineRule="auto"/>
              <w:jc w:val="center"/>
            </w:pPr>
            <w:r w:rsidRPr="00A2430F">
              <w:t>.177</w:t>
            </w:r>
          </w:p>
        </w:tc>
        <w:tc>
          <w:tcPr>
            <w:tcW w:w="806" w:type="dxa"/>
            <w:vMerge/>
            <w:vAlign w:val="center"/>
          </w:tcPr>
          <w:p w14:paraId="74B086FE" w14:textId="77777777" w:rsidR="00B45351" w:rsidRPr="00A2430F" w:rsidRDefault="00B45351" w:rsidP="00DF3B9D">
            <w:pPr>
              <w:spacing w:line="276" w:lineRule="auto"/>
              <w:jc w:val="center"/>
            </w:pPr>
          </w:p>
        </w:tc>
      </w:tr>
      <w:tr w:rsidR="00B45351" w:rsidRPr="00A2430F" w14:paraId="46F4186F" w14:textId="77777777" w:rsidTr="00DF3B9D">
        <w:trPr>
          <w:trHeight w:hRule="exact" w:val="255"/>
          <w:jc w:val="center"/>
        </w:trPr>
        <w:tc>
          <w:tcPr>
            <w:tcW w:w="3750" w:type="dxa"/>
            <w:noWrap/>
          </w:tcPr>
          <w:p w14:paraId="7DB572ED" w14:textId="77777777" w:rsidR="00B45351" w:rsidRPr="00A2430F" w:rsidRDefault="00B45351" w:rsidP="00DF3B9D">
            <w:pPr>
              <w:spacing w:line="276" w:lineRule="auto"/>
            </w:pPr>
            <w:r w:rsidRPr="00A2430F">
              <w:t xml:space="preserve">   Not working due to long term illness</w:t>
            </w:r>
          </w:p>
        </w:tc>
        <w:tc>
          <w:tcPr>
            <w:tcW w:w="1006" w:type="dxa"/>
            <w:shd w:val="clear" w:color="auto" w:fill="auto"/>
            <w:noWrap/>
            <w:vAlign w:val="center"/>
          </w:tcPr>
          <w:p w14:paraId="3506F39F" w14:textId="77777777" w:rsidR="00B45351" w:rsidRPr="00A2430F" w:rsidRDefault="00B45351" w:rsidP="00DF3B9D">
            <w:pPr>
              <w:spacing w:line="276" w:lineRule="auto"/>
              <w:jc w:val="center"/>
              <w:rPr>
                <w:color w:val="000000"/>
              </w:rPr>
            </w:pPr>
            <w:r w:rsidRPr="00A2430F">
              <w:rPr>
                <w:color w:val="000000"/>
              </w:rPr>
              <w:t>64</w:t>
            </w:r>
          </w:p>
        </w:tc>
        <w:tc>
          <w:tcPr>
            <w:tcW w:w="1316" w:type="dxa"/>
            <w:shd w:val="clear" w:color="auto" w:fill="auto"/>
            <w:noWrap/>
            <w:vAlign w:val="center"/>
          </w:tcPr>
          <w:p w14:paraId="66BCE89C" w14:textId="77777777" w:rsidR="00B45351" w:rsidRPr="00A2430F" w:rsidRDefault="00B45351" w:rsidP="00DF3B9D">
            <w:pPr>
              <w:spacing w:line="276" w:lineRule="auto"/>
              <w:jc w:val="center"/>
              <w:rPr>
                <w:color w:val="000000"/>
              </w:rPr>
            </w:pPr>
            <w:r w:rsidRPr="00A2430F">
              <w:rPr>
                <w:color w:val="000000"/>
              </w:rPr>
              <w:t>6.2</w:t>
            </w:r>
          </w:p>
        </w:tc>
        <w:tc>
          <w:tcPr>
            <w:tcW w:w="656" w:type="dxa"/>
            <w:vAlign w:val="center"/>
          </w:tcPr>
          <w:p w14:paraId="78349E4E" w14:textId="77777777" w:rsidR="00B45351" w:rsidRPr="00A2430F" w:rsidRDefault="00B45351" w:rsidP="00DF3B9D">
            <w:pPr>
              <w:spacing w:line="276" w:lineRule="auto"/>
              <w:jc w:val="center"/>
            </w:pPr>
            <w:r w:rsidRPr="00A2430F">
              <w:t>51</w:t>
            </w:r>
          </w:p>
        </w:tc>
        <w:tc>
          <w:tcPr>
            <w:tcW w:w="1123" w:type="dxa"/>
            <w:vAlign w:val="center"/>
          </w:tcPr>
          <w:p w14:paraId="15AA1D49" w14:textId="77777777" w:rsidR="00B45351" w:rsidRPr="00A2430F" w:rsidRDefault="00B45351" w:rsidP="00DF3B9D">
            <w:pPr>
              <w:spacing w:line="276" w:lineRule="auto"/>
              <w:jc w:val="center"/>
            </w:pPr>
            <w:r w:rsidRPr="00A2430F">
              <w:t>4.4</w:t>
            </w:r>
          </w:p>
        </w:tc>
        <w:tc>
          <w:tcPr>
            <w:tcW w:w="806" w:type="dxa"/>
            <w:vAlign w:val="center"/>
          </w:tcPr>
          <w:p w14:paraId="3A32323E" w14:textId="77777777" w:rsidR="00B45351" w:rsidRPr="00A2430F" w:rsidRDefault="00B45351" w:rsidP="00DF3B9D">
            <w:pPr>
              <w:spacing w:line="276" w:lineRule="auto"/>
              <w:jc w:val="center"/>
            </w:pPr>
            <w:r w:rsidRPr="00A2430F">
              <w:t>.071</w:t>
            </w:r>
          </w:p>
        </w:tc>
        <w:tc>
          <w:tcPr>
            <w:tcW w:w="806" w:type="dxa"/>
            <w:vMerge/>
            <w:vAlign w:val="center"/>
          </w:tcPr>
          <w:p w14:paraId="32BE3B42" w14:textId="77777777" w:rsidR="00B45351" w:rsidRPr="00A2430F" w:rsidRDefault="00B45351" w:rsidP="00DF3B9D">
            <w:pPr>
              <w:spacing w:line="276" w:lineRule="auto"/>
              <w:jc w:val="center"/>
            </w:pPr>
          </w:p>
        </w:tc>
      </w:tr>
      <w:tr w:rsidR="00B45351" w:rsidRPr="00A2430F" w14:paraId="146302BB" w14:textId="77777777" w:rsidTr="00DF3B9D">
        <w:trPr>
          <w:trHeight w:hRule="exact" w:val="255"/>
          <w:jc w:val="center"/>
        </w:trPr>
        <w:tc>
          <w:tcPr>
            <w:tcW w:w="3750" w:type="dxa"/>
            <w:noWrap/>
          </w:tcPr>
          <w:p w14:paraId="1D5A42C7" w14:textId="77777777" w:rsidR="00B45351" w:rsidRPr="00A2430F" w:rsidRDefault="00B45351" w:rsidP="00DF3B9D">
            <w:pPr>
              <w:spacing w:line="276" w:lineRule="auto"/>
            </w:pPr>
            <w:r w:rsidRPr="00A2430F">
              <w:t xml:space="preserve">   Looking after home/family</w:t>
            </w:r>
          </w:p>
        </w:tc>
        <w:tc>
          <w:tcPr>
            <w:tcW w:w="1006" w:type="dxa"/>
            <w:shd w:val="clear" w:color="auto" w:fill="auto"/>
            <w:noWrap/>
            <w:vAlign w:val="bottom"/>
          </w:tcPr>
          <w:p w14:paraId="2AC087B6" w14:textId="77777777" w:rsidR="00B45351" w:rsidRPr="00A2430F" w:rsidRDefault="00B45351" w:rsidP="00DF3B9D">
            <w:pPr>
              <w:spacing w:line="276" w:lineRule="auto"/>
              <w:jc w:val="center"/>
              <w:rPr>
                <w:color w:val="000000"/>
              </w:rPr>
            </w:pPr>
            <w:r w:rsidRPr="00A2430F">
              <w:rPr>
                <w:color w:val="000000"/>
              </w:rPr>
              <w:t>20</w:t>
            </w:r>
          </w:p>
        </w:tc>
        <w:tc>
          <w:tcPr>
            <w:tcW w:w="1316" w:type="dxa"/>
            <w:shd w:val="clear" w:color="auto" w:fill="auto"/>
            <w:noWrap/>
            <w:vAlign w:val="bottom"/>
          </w:tcPr>
          <w:p w14:paraId="37232C88" w14:textId="77777777" w:rsidR="00B45351" w:rsidRPr="00A2430F" w:rsidRDefault="00B45351" w:rsidP="00DF3B9D">
            <w:pPr>
              <w:spacing w:line="276" w:lineRule="auto"/>
              <w:jc w:val="center"/>
              <w:rPr>
                <w:color w:val="000000"/>
              </w:rPr>
            </w:pPr>
            <w:r w:rsidRPr="00A2430F">
              <w:rPr>
                <w:color w:val="000000"/>
              </w:rPr>
              <w:t>1.9</w:t>
            </w:r>
          </w:p>
        </w:tc>
        <w:tc>
          <w:tcPr>
            <w:tcW w:w="656" w:type="dxa"/>
          </w:tcPr>
          <w:p w14:paraId="5B7027F5" w14:textId="77777777" w:rsidR="00B45351" w:rsidRPr="00A2430F" w:rsidRDefault="00B45351" w:rsidP="00DF3B9D">
            <w:pPr>
              <w:spacing w:line="276" w:lineRule="auto"/>
              <w:jc w:val="center"/>
            </w:pPr>
            <w:r w:rsidRPr="00A2430F">
              <w:t>21</w:t>
            </w:r>
          </w:p>
        </w:tc>
        <w:tc>
          <w:tcPr>
            <w:tcW w:w="1123" w:type="dxa"/>
          </w:tcPr>
          <w:p w14:paraId="78B9D7F0" w14:textId="77777777" w:rsidR="00B45351" w:rsidRPr="00A2430F" w:rsidRDefault="00B45351" w:rsidP="00DF3B9D">
            <w:pPr>
              <w:spacing w:line="276" w:lineRule="auto"/>
              <w:jc w:val="center"/>
            </w:pPr>
            <w:r w:rsidRPr="00A2430F">
              <w:t>1.8</w:t>
            </w:r>
          </w:p>
        </w:tc>
        <w:tc>
          <w:tcPr>
            <w:tcW w:w="806" w:type="dxa"/>
            <w:vAlign w:val="center"/>
          </w:tcPr>
          <w:p w14:paraId="0C9E0EA6" w14:textId="77777777" w:rsidR="00B45351" w:rsidRPr="00A2430F" w:rsidRDefault="00B45351" w:rsidP="00DF3B9D">
            <w:pPr>
              <w:spacing w:line="276" w:lineRule="auto"/>
              <w:jc w:val="center"/>
            </w:pPr>
            <w:r w:rsidRPr="00A2430F">
              <w:t>.864</w:t>
            </w:r>
          </w:p>
        </w:tc>
        <w:tc>
          <w:tcPr>
            <w:tcW w:w="806" w:type="dxa"/>
            <w:vMerge/>
            <w:vAlign w:val="center"/>
          </w:tcPr>
          <w:p w14:paraId="26A49E8B" w14:textId="77777777" w:rsidR="00B45351" w:rsidRPr="00A2430F" w:rsidRDefault="00B45351" w:rsidP="00DF3B9D">
            <w:pPr>
              <w:spacing w:line="276" w:lineRule="auto"/>
              <w:jc w:val="center"/>
            </w:pPr>
          </w:p>
        </w:tc>
      </w:tr>
      <w:tr w:rsidR="00B45351" w:rsidRPr="00A2430F" w14:paraId="78222C04" w14:textId="77777777" w:rsidTr="00DF3B9D">
        <w:trPr>
          <w:trHeight w:hRule="exact" w:val="255"/>
          <w:jc w:val="center"/>
        </w:trPr>
        <w:tc>
          <w:tcPr>
            <w:tcW w:w="3750" w:type="dxa"/>
            <w:noWrap/>
          </w:tcPr>
          <w:p w14:paraId="356C774E" w14:textId="77777777" w:rsidR="00B45351" w:rsidRPr="00A2430F" w:rsidRDefault="00B45351" w:rsidP="00DF3B9D">
            <w:pPr>
              <w:spacing w:line="276" w:lineRule="auto"/>
            </w:pPr>
            <w:r w:rsidRPr="00A2430F">
              <w:t xml:space="preserve">   Retired</w:t>
            </w:r>
          </w:p>
        </w:tc>
        <w:tc>
          <w:tcPr>
            <w:tcW w:w="1006" w:type="dxa"/>
            <w:shd w:val="clear" w:color="auto" w:fill="auto"/>
            <w:noWrap/>
            <w:vAlign w:val="bottom"/>
          </w:tcPr>
          <w:p w14:paraId="1D29CE18" w14:textId="77777777" w:rsidR="00B45351" w:rsidRPr="00A2430F" w:rsidRDefault="00B45351" w:rsidP="00DF3B9D">
            <w:pPr>
              <w:spacing w:line="276" w:lineRule="auto"/>
              <w:jc w:val="center"/>
              <w:rPr>
                <w:color w:val="000000"/>
              </w:rPr>
            </w:pPr>
            <w:r w:rsidRPr="00A2430F">
              <w:rPr>
                <w:color w:val="000000"/>
              </w:rPr>
              <w:t>147</w:t>
            </w:r>
          </w:p>
        </w:tc>
        <w:tc>
          <w:tcPr>
            <w:tcW w:w="1316" w:type="dxa"/>
            <w:shd w:val="clear" w:color="auto" w:fill="auto"/>
            <w:noWrap/>
            <w:vAlign w:val="bottom"/>
          </w:tcPr>
          <w:p w14:paraId="67D431A1" w14:textId="77777777" w:rsidR="00B45351" w:rsidRPr="00A2430F" w:rsidRDefault="00B45351" w:rsidP="00DF3B9D">
            <w:pPr>
              <w:spacing w:line="276" w:lineRule="auto"/>
              <w:jc w:val="center"/>
              <w:rPr>
                <w:color w:val="000000"/>
              </w:rPr>
            </w:pPr>
            <w:r w:rsidRPr="00A2430F">
              <w:rPr>
                <w:color w:val="000000"/>
              </w:rPr>
              <w:t>14.2</w:t>
            </w:r>
          </w:p>
        </w:tc>
        <w:tc>
          <w:tcPr>
            <w:tcW w:w="656" w:type="dxa"/>
          </w:tcPr>
          <w:p w14:paraId="5280CF32" w14:textId="77777777" w:rsidR="00B45351" w:rsidRPr="00A2430F" w:rsidRDefault="00B45351" w:rsidP="00DF3B9D">
            <w:pPr>
              <w:spacing w:line="276" w:lineRule="auto"/>
              <w:jc w:val="center"/>
            </w:pPr>
            <w:r w:rsidRPr="00A2430F">
              <w:t>164</w:t>
            </w:r>
          </w:p>
        </w:tc>
        <w:tc>
          <w:tcPr>
            <w:tcW w:w="1123" w:type="dxa"/>
          </w:tcPr>
          <w:p w14:paraId="3299859C" w14:textId="77777777" w:rsidR="00B45351" w:rsidRPr="00A2430F" w:rsidRDefault="00B45351" w:rsidP="00DF3B9D">
            <w:pPr>
              <w:spacing w:line="276" w:lineRule="auto"/>
              <w:jc w:val="center"/>
            </w:pPr>
            <w:r w:rsidRPr="00A2430F">
              <w:t>14.3</w:t>
            </w:r>
          </w:p>
        </w:tc>
        <w:tc>
          <w:tcPr>
            <w:tcW w:w="806" w:type="dxa"/>
            <w:vAlign w:val="center"/>
          </w:tcPr>
          <w:p w14:paraId="46A78059" w14:textId="77777777" w:rsidR="00B45351" w:rsidRPr="00A2430F" w:rsidRDefault="00B45351" w:rsidP="00DF3B9D">
            <w:pPr>
              <w:spacing w:line="276" w:lineRule="auto"/>
              <w:jc w:val="center"/>
            </w:pPr>
            <w:r w:rsidRPr="00A2430F">
              <w:t>.941</w:t>
            </w:r>
          </w:p>
        </w:tc>
        <w:tc>
          <w:tcPr>
            <w:tcW w:w="806" w:type="dxa"/>
            <w:vMerge/>
            <w:vAlign w:val="center"/>
          </w:tcPr>
          <w:p w14:paraId="22F3A589" w14:textId="77777777" w:rsidR="00B45351" w:rsidRPr="00A2430F" w:rsidRDefault="00B45351" w:rsidP="00DF3B9D">
            <w:pPr>
              <w:spacing w:line="276" w:lineRule="auto"/>
              <w:jc w:val="center"/>
            </w:pPr>
          </w:p>
        </w:tc>
      </w:tr>
      <w:tr w:rsidR="00B45351" w:rsidRPr="00A2430F" w14:paraId="05C2CEF6" w14:textId="77777777" w:rsidTr="00DF3B9D">
        <w:trPr>
          <w:trHeight w:hRule="exact" w:val="255"/>
          <w:jc w:val="center"/>
        </w:trPr>
        <w:tc>
          <w:tcPr>
            <w:tcW w:w="3750" w:type="dxa"/>
            <w:noWrap/>
          </w:tcPr>
          <w:p w14:paraId="51FF9EF2" w14:textId="77777777" w:rsidR="00B45351" w:rsidRPr="00A2430F" w:rsidRDefault="00B45351" w:rsidP="00DF3B9D">
            <w:pPr>
              <w:spacing w:line="276" w:lineRule="auto"/>
              <w:rPr>
                <w:b/>
                <w:bCs/>
                <w:color w:val="000000"/>
              </w:rPr>
            </w:pPr>
            <w:r w:rsidRPr="00A2430F">
              <w:rPr>
                <w:b/>
                <w:bCs/>
                <w:color w:val="000000"/>
              </w:rPr>
              <w:t xml:space="preserve">Highest Qualification </w:t>
            </w:r>
            <w:r w:rsidRPr="00A2430F">
              <w:rPr>
                <w:b/>
                <w:bCs/>
                <w:color w:val="000000"/>
                <w:vertAlign w:val="superscript"/>
              </w:rPr>
              <w:t>a</w:t>
            </w:r>
          </w:p>
        </w:tc>
        <w:tc>
          <w:tcPr>
            <w:tcW w:w="1006" w:type="dxa"/>
            <w:noWrap/>
          </w:tcPr>
          <w:p w14:paraId="56818FBE" w14:textId="77777777" w:rsidR="00B45351" w:rsidRPr="00A2430F" w:rsidRDefault="00B45351" w:rsidP="00DF3B9D">
            <w:pPr>
              <w:spacing w:line="276" w:lineRule="auto"/>
              <w:jc w:val="center"/>
            </w:pPr>
          </w:p>
        </w:tc>
        <w:tc>
          <w:tcPr>
            <w:tcW w:w="1316" w:type="dxa"/>
            <w:noWrap/>
          </w:tcPr>
          <w:p w14:paraId="43744018" w14:textId="77777777" w:rsidR="00B45351" w:rsidRPr="00A2430F" w:rsidRDefault="00B45351" w:rsidP="00DF3B9D">
            <w:pPr>
              <w:spacing w:line="276" w:lineRule="auto"/>
              <w:jc w:val="center"/>
            </w:pPr>
          </w:p>
        </w:tc>
        <w:tc>
          <w:tcPr>
            <w:tcW w:w="656" w:type="dxa"/>
          </w:tcPr>
          <w:p w14:paraId="5DCBAAEA" w14:textId="77777777" w:rsidR="00B45351" w:rsidRPr="00A2430F" w:rsidRDefault="00B45351" w:rsidP="00DF3B9D">
            <w:pPr>
              <w:spacing w:line="276" w:lineRule="auto"/>
              <w:jc w:val="center"/>
            </w:pPr>
          </w:p>
        </w:tc>
        <w:tc>
          <w:tcPr>
            <w:tcW w:w="1123" w:type="dxa"/>
          </w:tcPr>
          <w:p w14:paraId="6968B6CF" w14:textId="77777777" w:rsidR="00B45351" w:rsidRPr="00A2430F" w:rsidRDefault="00B45351" w:rsidP="00DF3B9D">
            <w:pPr>
              <w:spacing w:line="276" w:lineRule="auto"/>
              <w:jc w:val="center"/>
            </w:pPr>
          </w:p>
        </w:tc>
        <w:tc>
          <w:tcPr>
            <w:tcW w:w="806" w:type="dxa"/>
            <w:vAlign w:val="center"/>
          </w:tcPr>
          <w:p w14:paraId="713A214D" w14:textId="77777777" w:rsidR="00B45351" w:rsidRPr="00A2430F" w:rsidRDefault="00B45351" w:rsidP="00DF3B9D">
            <w:pPr>
              <w:spacing w:line="276" w:lineRule="auto"/>
              <w:jc w:val="center"/>
            </w:pPr>
          </w:p>
        </w:tc>
        <w:tc>
          <w:tcPr>
            <w:tcW w:w="806" w:type="dxa"/>
            <w:vAlign w:val="center"/>
          </w:tcPr>
          <w:p w14:paraId="5E1C7BB6" w14:textId="77777777" w:rsidR="00B45351" w:rsidRPr="00A2430F" w:rsidRDefault="00B45351" w:rsidP="00DF3B9D">
            <w:pPr>
              <w:spacing w:line="276" w:lineRule="auto"/>
              <w:jc w:val="center"/>
            </w:pPr>
          </w:p>
        </w:tc>
      </w:tr>
      <w:tr w:rsidR="00B45351" w:rsidRPr="00A2430F" w14:paraId="0A5AA483" w14:textId="77777777" w:rsidTr="00DF3B9D">
        <w:trPr>
          <w:trHeight w:hRule="exact" w:val="255"/>
          <w:jc w:val="center"/>
        </w:trPr>
        <w:tc>
          <w:tcPr>
            <w:tcW w:w="3750" w:type="dxa"/>
            <w:noWrap/>
            <w:vAlign w:val="bottom"/>
          </w:tcPr>
          <w:p w14:paraId="1D8A5EAE" w14:textId="77777777" w:rsidR="00B45351" w:rsidRPr="00A2430F" w:rsidRDefault="00B45351" w:rsidP="00DF3B9D">
            <w:pPr>
              <w:spacing w:line="276" w:lineRule="auto"/>
              <w:rPr>
                <w:color w:val="000000"/>
              </w:rPr>
            </w:pPr>
            <w:r w:rsidRPr="00A2430F">
              <w:rPr>
                <w:color w:val="000000"/>
              </w:rPr>
              <w:t xml:space="preserve">   No formal qualification</w:t>
            </w:r>
          </w:p>
        </w:tc>
        <w:tc>
          <w:tcPr>
            <w:tcW w:w="1006" w:type="dxa"/>
            <w:shd w:val="clear" w:color="auto" w:fill="auto"/>
            <w:noWrap/>
            <w:vAlign w:val="bottom"/>
          </w:tcPr>
          <w:p w14:paraId="605EEC3C" w14:textId="77777777" w:rsidR="00B45351" w:rsidRPr="00A2430F" w:rsidRDefault="00B45351" w:rsidP="00DF3B9D">
            <w:pPr>
              <w:spacing w:line="276" w:lineRule="auto"/>
              <w:jc w:val="center"/>
              <w:rPr>
                <w:color w:val="000000"/>
              </w:rPr>
            </w:pPr>
            <w:r w:rsidRPr="00A2430F">
              <w:rPr>
                <w:color w:val="000000"/>
              </w:rPr>
              <w:t>63</w:t>
            </w:r>
          </w:p>
        </w:tc>
        <w:tc>
          <w:tcPr>
            <w:tcW w:w="1316" w:type="dxa"/>
            <w:shd w:val="clear" w:color="auto" w:fill="auto"/>
            <w:noWrap/>
            <w:vAlign w:val="bottom"/>
          </w:tcPr>
          <w:p w14:paraId="3499AE63" w14:textId="77777777" w:rsidR="00B45351" w:rsidRPr="00A2430F" w:rsidRDefault="00B45351" w:rsidP="00DF3B9D">
            <w:pPr>
              <w:spacing w:line="276" w:lineRule="auto"/>
              <w:jc w:val="center"/>
              <w:rPr>
                <w:color w:val="000000"/>
              </w:rPr>
            </w:pPr>
            <w:r w:rsidRPr="00A2430F">
              <w:rPr>
                <w:color w:val="000000"/>
              </w:rPr>
              <w:t>6.1</w:t>
            </w:r>
          </w:p>
        </w:tc>
        <w:tc>
          <w:tcPr>
            <w:tcW w:w="656" w:type="dxa"/>
          </w:tcPr>
          <w:p w14:paraId="06C3D7B9" w14:textId="77777777" w:rsidR="00B45351" w:rsidRPr="00A2430F" w:rsidRDefault="00B45351" w:rsidP="00DF3B9D">
            <w:pPr>
              <w:spacing w:line="276" w:lineRule="auto"/>
              <w:jc w:val="center"/>
            </w:pPr>
            <w:r w:rsidRPr="00A2430F">
              <w:t>24</w:t>
            </w:r>
          </w:p>
        </w:tc>
        <w:tc>
          <w:tcPr>
            <w:tcW w:w="1123" w:type="dxa"/>
          </w:tcPr>
          <w:p w14:paraId="223779D3" w14:textId="77777777" w:rsidR="00B45351" w:rsidRPr="00A2430F" w:rsidRDefault="00B45351" w:rsidP="00DF3B9D">
            <w:pPr>
              <w:spacing w:line="276" w:lineRule="auto"/>
              <w:jc w:val="center"/>
            </w:pPr>
            <w:r w:rsidRPr="00A2430F">
              <w:t>2.1</w:t>
            </w:r>
          </w:p>
        </w:tc>
        <w:tc>
          <w:tcPr>
            <w:tcW w:w="806" w:type="dxa"/>
            <w:vAlign w:val="center"/>
          </w:tcPr>
          <w:p w14:paraId="45494E2C" w14:textId="77777777" w:rsidR="00B45351" w:rsidRPr="00A2430F" w:rsidRDefault="00B45351" w:rsidP="00DF3B9D">
            <w:pPr>
              <w:spacing w:line="276" w:lineRule="auto"/>
              <w:jc w:val="center"/>
            </w:pPr>
            <w:r w:rsidRPr="00A2430F">
              <w:t>&lt;.001</w:t>
            </w:r>
            <w:r w:rsidRPr="00A2430F">
              <w:rPr>
                <w:color w:val="000000"/>
                <w:vertAlign w:val="superscript"/>
              </w:rPr>
              <w:t>‡</w:t>
            </w:r>
          </w:p>
        </w:tc>
        <w:tc>
          <w:tcPr>
            <w:tcW w:w="806" w:type="dxa"/>
            <w:vMerge w:val="restart"/>
            <w:vAlign w:val="center"/>
          </w:tcPr>
          <w:p w14:paraId="2848C281" w14:textId="77777777" w:rsidR="00B45351" w:rsidRPr="00A2430F" w:rsidRDefault="00B45351" w:rsidP="00DF3B9D">
            <w:pPr>
              <w:spacing w:line="276" w:lineRule="auto"/>
              <w:jc w:val="center"/>
            </w:pPr>
            <w:r w:rsidRPr="00A2430F">
              <w:t>&lt;.001</w:t>
            </w:r>
            <w:r w:rsidRPr="00A2430F">
              <w:rPr>
                <w:color w:val="000000"/>
                <w:vertAlign w:val="superscript"/>
              </w:rPr>
              <w:t>‡</w:t>
            </w:r>
          </w:p>
        </w:tc>
      </w:tr>
      <w:tr w:rsidR="00B45351" w:rsidRPr="00A2430F" w14:paraId="6A354CBB" w14:textId="77777777" w:rsidTr="00DF3B9D">
        <w:trPr>
          <w:trHeight w:hRule="exact" w:val="255"/>
          <w:jc w:val="center"/>
        </w:trPr>
        <w:tc>
          <w:tcPr>
            <w:tcW w:w="3750" w:type="dxa"/>
            <w:noWrap/>
            <w:vAlign w:val="bottom"/>
          </w:tcPr>
          <w:p w14:paraId="5265DA4E" w14:textId="77777777" w:rsidR="00B45351" w:rsidRPr="00A2430F" w:rsidRDefault="00B45351" w:rsidP="00DF3B9D">
            <w:pPr>
              <w:spacing w:line="276" w:lineRule="auto"/>
              <w:rPr>
                <w:color w:val="000000"/>
              </w:rPr>
            </w:pPr>
            <w:r w:rsidRPr="00A2430F">
              <w:rPr>
                <w:color w:val="000000"/>
              </w:rPr>
              <w:t xml:space="preserve">   Entry certificate</w:t>
            </w:r>
          </w:p>
        </w:tc>
        <w:tc>
          <w:tcPr>
            <w:tcW w:w="1006" w:type="dxa"/>
            <w:shd w:val="clear" w:color="auto" w:fill="auto"/>
            <w:noWrap/>
            <w:vAlign w:val="bottom"/>
          </w:tcPr>
          <w:p w14:paraId="2874BC54" w14:textId="77777777" w:rsidR="00B45351" w:rsidRPr="00A2430F" w:rsidRDefault="00B45351" w:rsidP="00DF3B9D">
            <w:pPr>
              <w:spacing w:line="276" w:lineRule="auto"/>
              <w:jc w:val="center"/>
              <w:rPr>
                <w:color w:val="000000"/>
              </w:rPr>
            </w:pPr>
            <w:r w:rsidRPr="00A2430F">
              <w:rPr>
                <w:color w:val="000000"/>
              </w:rPr>
              <w:t>34</w:t>
            </w:r>
          </w:p>
        </w:tc>
        <w:tc>
          <w:tcPr>
            <w:tcW w:w="1316" w:type="dxa"/>
            <w:shd w:val="clear" w:color="auto" w:fill="auto"/>
            <w:noWrap/>
            <w:vAlign w:val="bottom"/>
          </w:tcPr>
          <w:p w14:paraId="21699BC3" w14:textId="77777777" w:rsidR="00B45351" w:rsidRPr="00A2430F" w:rsidRDefault="00B45351" w:rsidP="00DF3B9D">
            <w:pPr>
              <w:spacing w:line="276" w:lineRule="auto"/>
              <w:jc w:val="center"/>
              <w:rPr>
                <w:color w:val="000000"/>
              </w:rPr>
            </w:pPr>
            <w:r w:rsidRPr="00A2430F">
              <w:rPr>
                <w:color w:val="000000"/>
              </w:rPr>
              <w:t>3.3</w:t>
            </w:r>
          </w:p>
        </w:tc>
        <w:tc>
          <w:tcPr>
            <w:tcW w:w="656" w:type="dxa"/>
          </w:tcPr>
          <w:p w14:paraId="6B8958FC" w14:textId="77777777" w:rsidR="00B45351" w:rsidRPr="00A2430F" w:rsidRDefault="00B45351" w:rsidP="00DF3B9D">
            <w:pPr>
              <w:spacing w:line="276" w:lineRule="auto"/>
              <w:jc w:val="center"/>
            </w:pPr>
            <w:r w:rsidRPr="00A2430F">
              <w:t>16</w:t>
            </w:r>
          </w:p>
        </w:tc>
        <w:tc>
          <w:tcPr>
            <w:tcW w:w="1123" w:type="dxa"/>
          </w:tcPr>
          <w:p w14:paraId="0F27B0E3" w14:textId="77777777" w:rsidR="00B45351" w:rsidRPr="00A2430F" w:rsidRDefault="00B45351" w:rsidP="00DF3B9D">
            <w:pPr>
              <w:spacing w:line="276" w:lineRule="auto"/>
              <w:jc w:val="center"/>
            </w:pPr>
            <w:r w:rsidRPr="00A2430F">
              <w:t>1.4</w:t>
            </w:r>
          </w:p>
        </w:tc>
        <w:tc>
          <w:tcPr>
            <w:tcW w:w="806" w:type="dxa"/>
            <w:vAlign w:val="center"/>
          </w:tcPr>
          <w:p w14:paraId="00B9B954" w14:textId="77777777" w:rsidR="00B45351" w:rsidRPr="00A2430F" w:rsidRDefault="00B45351" w:rsidP="00DF3B9D">
            <w:pPr>
              <w:spacing w:line="276" w:lineRule="auto"/>
              <w:jc w:val="center"/>
            </w:pPr>
            <w:r w:rsidRPr="00A2430F">
              <w:t>.003</w:t>
            </w:r>
            <w:r w:rsidRPr="00A2430F">
              <w:rPr>
                <w:color w:val="000000"/>
                <w:vertAlign w:val="superscript"/>
              </w:rPr>
              <w:t>‡</w:t>
            </w:r>
          </w:p>
        </w:tc>
        <w:tc>
          <w:tcPr>
            <w:tcW w:w="806" w:type="dxa"/>
            <w:vMerge/>
            <w:vAlign w:val="center"/>
          </w:tcPr>
          <w:p w14:paraId="70077C37" w14:textId="77777777" w:rsidR="00B45351" w:rsidRPr="00A2430F" w:rsidRDefault="00B45351" w:rsidP="00DF3B9D">
            <w:pPr>
              <w:spacing w:line="276" w:lineRule="auto"/>
              <w:jc w:val="center"/>
            </w:pPr>
          </w:p>
        </w:tc>
      </w:tr>
      <w:tr w:rsidR="00B45351" w:rsidRPr="00A2430F" w14:paraId="60F223B5" w14:textId="77777777" w:rsidTr="00DF3B9D">
        <w:trPr>
          <w:trHeight w:hRule="exact" w:val="255"/>
          <w:jc w:val="center"/>
        </w:trPr>
        <w:tc>
          <w:tcPr>
            <w:tcW w:w="3750" w:type="dxa"/>
            <w:noWrap/>
            <w:vAlign w:val="bottom"/>
          </w:tcPr>
          <w:p w14:paraId="19CD85F7" w14:textId="77777777" w:rsidR="00B45351" w:rsidRPr="00A2430F" w:rsidRDefault="00B45351" w:rsidP="00DF3B9D">
            <w:pPr>
              <w:spacing w:line="276" w:lineRule="auto"/>
              <w:rPr>
                <w:color w:val="000000"/>
              </w:rPr>
            </w:pPr>
            <w:r w:rsidRPr="00A2430F">
              <w:rPr>
                <w:color w:val="000000"/>
              </w:rPr>
              <w:t xml:space="preserve">   GCSE D-G</w:t>
            </w:r>
          </w:p>
        </w:tc>
        <w:tc>
          <w:tcPr>
            <w:tcW w:w="1006" w:type="dxa"/>
            <w:shd w:val="clear" w:color="auto" w:fill="auto"/>
            <w:noWrap/>
            <w:vAlign w:val="bottom"/>
          </w:tcPr>
          <w:p w14:paraId="7C991B03" w14:textId="77777777" w:rsidR="00B45351" w:rsidRPr="00A2430F" w:rsidRDefault="00B45351" w:rsidP="00DF3B9D">
            <w:pPr>
              <w:spacing w:line="276" w:lineRule="auto"/>
              <w:jc w:val="center"/>
              <w:rPr>
                <w:color w:val="000000"/>
              </w:rPr>
            </w:pPr>
            <w:r w:rsidRPr="00A2430F">
              <w:rPr>
                <w:color w:val="000000"/>
              </w:rPr>
              <w:t>153</w:t>
            </w:r>
          </w:p>
        </w:tc>
        <w:tc>
          <w:tcPr>
            <w:tcW w:w="1316" w:type="dxa"/>
            <w:shd w:val="clear" w:color="auto" w:fill="auto"/>
            <w:noWrap/>
            <w:vAlign w:val="bottom"/>
          </w:tcPr>
          <w:p w14:paraId="18AE2A78" w14:textId="77777777" w:rsidR="00B45351" w:rsidRPr="00A2430F" w:rsidRDefault="00B45351" w:rsidP="00DF3B9D">
            <w:pPr>
              <w:spacing w:line="276" w:lineRule="auto"/>
              <w:jc w:val="center"/>
              <w:rPr>
                <w:color w:val="000000"/>
              </w:rPr>
            </w:pPr>
            <w:r w:rsidRPr="00A2430F">
              <w:rPr>
                <w:color w:val="000000"/>
              </w:rPr>
              <w:t>14.8</w:t>
            </w:r>
          </w:p>
        </w:tc>
        <w:tc>
          <w:tcPr>
            <w:tcW w:w="656" w:type="dxa"/>
          </w:tcPr>
          <w:p w14:paraId="6C9FF21E" w14:textId="77777777" w:rsidR="00B45351" w:rsidRPr="00A2430F" w:rsidRDefault="00B45351" w:rsidP="00DF3B9D">
            <w:pPr>
              <w:spacing w:line="276" w:lineRule="auto"/>
              <w:jc w:val="center"/>
            </w:pPr>
            <w:r w:rsidRPr="00A2430F">
              <w:t>83</w:t>
            </w:r>
          </w:p>
        </w:tc>
        <w:tc>
          <w:tcPr>
            <w:tcW w:w="1123" w:type="dxa"/>
          </w:tcPr>
          <w:p w14:paraId="4F184F66" w14:textId="77777777" w:rsidR="00B45351" w:rsidRPr="00A2430F" w:rsidRDefault="00B45351" w:rsidP="00DF3B9D">
            <w:pPr>
              <w:spacing w:line="276" w:lineRule="auto"/>
              <w:jc w:val="center"/>
            </w:pPr>
            <w:r w:rsidRPr="00A2430F">
              <w:t>7.2</w:t>
            </w:r>
          </w:p>
        </w:tc>
        <w:tc>
          <w:tcPr>
            <w:tcW w:w="806" w:type="dxa"/>
            <w:vAlign w:val="center"/>
          </w:tcPr>
          <w:p w14:paraId="72AAE879" w14:textId="77777777" w:rsidR="00B45351" w:rsidRPr="00A2430F" w:rsidRDefault="00B45351" w:rsidP="00DF3B9D">
            <w:pPr>
              <w:spacing w:line="276" w:lineRule="auto"/>
              <w:jc w:val="center"/>
            </w:pPr>
            <w:r w:rsidRPr="00A2430F">
              <w:t>&lt;.001</w:t>
            </w:r>
            <w:r w:rsidRPr="00A2430F">
              <w:rPr>
                <w:color w:val="000000"/>
                <w:vertAlign w:val="superscript"/>
              </w:rPr>
              <w:t>‡</w:t>
            </w:r>
          </w:p>
        </w:tc>
        <w:tc>
          <w:tcPr>
            <w:tcW w:w="806" w:type="dxa"/>
            <w:vMerge/>
            <w:vAlign w:val="center"/>
          </w:tcPr>
          <w:p w14:paraId="21A563CB" w14:textId="77777777" w:rsidR="00B45351" w:rsidRPr="00A2430F" w:rsidRDefault="00B45351" w:rsidP="00DF3B9D">
            <w:pPr>
              <w:spacing w:line="276" w:lineRule="auto"/>
              <w:jc w:val="center"/>
            </w:pPr>
          </w:p>
        </w:tc>
      </w:tr>
      <w:tr w:rsidR="00B45351" w:rsidRPr="00A2430F" w14:paraId="6B2D69E1" w14:textId="77777777" w:rsidTr="00DF3B9D">
        <w:trPr>
          <w:trHeight w:hRule="exact" w:val="255"/>
          <w:jc w:val="center"/>
        </w:trPr>
        <w:tc>
          <w:tcPr>
            <w:tcW w:w="3750" w:type="dxa"/>
            <w:noWrap/>
            <w:vAlign w:val="bottom"/>
          </w:tcPr>
          <w:p w14:paraId="4450C31A" w14:textId="77777777" w:rsidR="00B45351" w:rsidRPr="00A2430F" w:rsidRDefault="00B45351" w:rsidP="00DF3B9D">
            <w:pPr>
              <w:spacing w:line="276" w:lineRule="auto"/>
              <w:rPr>
                <w:color w:val="000000"/>
              </w:rPr>
            </w:pPr>
            <w:r w:rsidRPr="00A2430F">
              <w:rPr>
                <w:color w:val="000000"/>
              </w:rPr>
              <w:t xml:space="preserve">   GCSE A*-C</w:t>
            </w:r>
          </w:p>
        </w:tc>
        <w:tc>
          <w:tcPr>
            <w:tcW w:w="1006" w:type="dxa"/>
            <w:shd w:val="clear" w:color="auto" w:fill="auto"/>
            <w:noWrap/>
            <w:vAlign w:val="bottom"/>
          </w:tcPr>
          <w:p w14:paraId="695988F2" w14:textId="77777777" w:rsidR="00B45351" w:rsidRPr="00A2430F" w:rsidRDefault="00B45351" w:rsidP="00DF3B9D">
            <w:pPr>
              <w:spacing w:line="276" w:lineRule="auto"/>
              <w:jc w:val="center"/>
              <w:rPr>
                <w:color w:val="000000"/>
              </w:rPr>
            </w:pPr>
            <w:r w:rsidRPr="00A2430F">
              <w:rPr>
                <w:color w:val="000000"/>
              </w:rPr>
              <w:t>311</w:t>
            </w:r>
          </w:p>
        </w:tc>
        <w:tc>
          <w:tcPr>
            <w:tcW w:w="1316" w:type="dxa"/>
            <w:shd w:val="clear" w:color="auto" w:fill="auto"/>
            <w:noWrap/>
            <w:vAlign w:val="bottom"/>
          </w:tcPr>
          <w:p w14:paraId="2AE79737" w14:textId="77777777" w:rsidR="00B45351" w:rsidRPr="00A2430F" w:rsidRDefault="00B45351" w:rsidP="00DF3B9D">
            <w:pPr>
              <w:spacing w:line="276" w:lineRule="auto"/>
              <w:jc w:val="center"/>
              <w:rPr>
                <w:color w:val="000000"/>
              </w:rPr>
            </w:pPr>
            <w:r w:rsidRPr="00A2430F">
              <w:rPr>
                <w:color w:val="000000"/>
              </w:rPr>
              <w:t>30.0</w:t>
            </w:r>
          </w:p>
        </w:tc>
        <w:tc>
          <w:tcPr>
            <w:tcW w:w="656" w:type="dxa"/>
          </w:tcPr>
          <w:p w14:paraId="11A0D0A8" w14:textId="77777777" w:rsidR="00B45351" w:rsidRPr="00A2430F" w:rsidRDefault="00B45351" w:rsidP="00DF3B9D">
            <w:pPr>
              <w:spacing w:line="276" w:lineRule="auto"/>
              <w:jc w:val="center"/>
            </w:pPr>
            <w:r w:rsidRPr="00A2430F">
              <w:t>156</w:t>
            </w:r>
          </w:p>
        </w:tc>
        <w:tc>
          <w:tcPr>
            <w:tcW w:w="1123" w:type="dxa"/>
          </w:tcPr>
          <w:p w14:paraId="61716EEF" w14:textId="77777777" w:rsidR="00B45351" w:rsidRPr="00A2430F" w:rsidRDefault="00B45351" w:rsidP="00DF3B9D">
            <w:pPr>
              <w:spacing w:line="276" w:lineRule="auto"/>
              <w:jc w:val="center"/>
            </w:pPr>
            <w:r w:rsidRPr="00A2430F">
              <w:t>13.6</w:t>
            </w:r>
          </w:p>
        </w:tc>
        <w:tc>
          <w:tcPr>
            <w:tcW w:w="806" w:type="dxa"/>
            <w:vAlign w:val="center"/>
          </w:tcPr>
          <w:p w14:paraId="57B99F9D" w14:textId="77777777" w:rsidR="00B45351" w:rsidRPr="00A2430F" w:rsidRDefault="00B45351" w:rsidP="00DF3B9D">
            <w:pPr>
              <w:spacing w:line="276" w:lineRule="auto"/>
              <w:jc w:val="center"/>
            </w:pPr>
            <w:r w:rsidRPr="00A2430F">
              <w:t>&lt;.001</w:t>
            </w:r>
            <w:r w:rsidRPr="00A2430F">
              <w:rPr>
                <w:color w:val="000000"/>
                <w:vertAlign w:val="superscript"/>
              </w:rPr>
              <w:t>‡</w:t>
            </w:r>
          </w:p>
        </w:tc>
        <w:tc>
          <w:tcPr>
            <w:tcW w:w="806" w:type="dxa"/>
            <w:vMerge/>
            <w:vAlign w:val="center"/>
          </w:tcPr>
          <w:p w14:paraId="072D2D3E" w14:textId="77777777" w:rsidR="00B45351" w:rsidRPr="00A2430F" w:rsidRDefault="00B45351" w:rsidP="00DF3B9D">
            <w:pPr>
              <w:spacing w:line="276" w:lineRule="auto"/>
              <w:jc w:val="center"/>
            </w:pPr>
          </w:p>
        </w:tc>
      </w:tr>
      <w:tr w:rsidR="00B45351" w:rsidRPr="00A2430F" w14:paraId="54D3DF86" w14:textId="77777777" w:rsidTr="00DF3B9D">
        <w:trPr>
          <w:trHeight w:hRule="exact" w:val="255"/>
          <w:jc w:val="center"/>
        </w:trPr>
        <w:tc>
          <w:tcPr>
            <w:tcW w:w="3750" w:type="dxa"/>
            <w:noWrap/>
            <w:vAlign w:val="bottom"/>
          </w:tcPr>
          <w:p w14:paraId="4843CC15" w14:textId="77777777" w:rsidR="00B45351" w:rsidRPr="00A2430F" w:rsidRDefault="00B45351" w:rsidP="00DF3B9D">
            <w:pPr>
              <w:spacing w:line="276" w:lineRule="auto"/>
              <w:rPr>
                <w:color w:val="000000"/>
              </w:rPr>
            </w:pPr>
            <w:r w:rsidRPr="00A2430F">
              <w:rPr>
                <w:color w:val="000000"/>
              </w:rPr>
              <w:t xml:space="preserve">   AS/A level</w:t>
            </w:r>
          </w:p>
        </w:tc>
        <w:tc>
          <w:tcPr>
            <w:tcW w:w="1006" w:type="dxa"/>
            <w:shd w:val="clear" w:color="auto" w:fill="auto"/>
            <w:noWrap/>
            <w:vAlign w:val="bottom"/>
          </w:tcPr>
          <w:p w14:paraId="6BF91878" w14:textId="77777777" w:rsidR="00B45351" w:rsidRPr="00A2430F" w:rsidRDefault="00B45351" w:rsidP="00DF3B9D">
            <w:pPr>
              <w:spacing w:line="276" w:lineRule="auto"/>
              <w:jc w:val="center"/>
              <w:rPr>
                <w:color w:val="000000"/>
              </w:rPr>
            </w:pPr>
            <w:r w:rsidRPr="00A2430F">
              <w:rPr>
                <w:color w:val="000000"/>
              </w:rPr>
              <w:t>153</w:t>
            </w:r>
          </w:p>
        </w:tc>
        <w:tc>
          <w:tcPr>
            <w:tcW w:w="1316" w:type="dxa"/>
            <w:shd w:val="clear" w:color="auto" w:fill="auto"/>
            <w:noWrap/>
            <w:vAlign w:val="bottom"/>
          </w:tcPr>
          <w:p w14:paraId="4E2CA170" w14:textId="77777777" w:rsidR="00B45351" w:rsidRPr="00A2430F" w:rsidRDefault="00B45351" w:rsidP="00DF3B9D">
            <w:pPr>
              <w:spacing w:line="276" w:lineRule="auto"/>
              <w:jc w:val="center"/>
              <w:rPr>
                <w:color w:val="000000"/>
              </w:rPr>
            </w:pPr>
            <w:r w:rsidRPr="00A2430F">
              <w:rPr>
                <w:color w:val="000000"/>
              </w:rPr>
              <w:t>14.8</w:t>
            </w:r>
          </w:p>
        </w:tc>
        <w:tc>
          <w:tcPr>
            <w:tcW w:w="656" w:type="dxa"/>
          </w:tcPr>
          <w:p w14:paraId="213A2A9E" w14:textId="77777777" w:rsidR="00B45351" w:rsidRPr="00A2430F" w:rsidRDefault="00B45351" w:rsidP="00DF3B9D">
            <w:pPr>
              <w:spacing w:line="276" w:lineRule="auto"/>
              <w:jc w:val="center"/>
            </w:pPr>
            <w:r w:rsidRPr="00A2430F">
              <w:t>199</w:t>
            </w:r>
          </w:p>
        </w:tc>
        <w:tc>
          <w:tcPr>
            <w:tcW w:w="1123" w:type="dxa"/>
          </w:tcPr>
          <w:p w14:paraId="4F81BC93" w14:textId="77777777" w:rsidR="00B45351" w:rsidRPr="00A2430F" w:rsidRDefault="00B45351" w:rsidP="00DF3B9D">
            <w:pPr>
              <w:spacing w:line="276" w:lineRule="auto"/>
              <w:jc w:val="center"/>
            </w:pPr>
            <w:r w:rsidRPr="00A2430F">
              <w:t>17.3</w:t>
            </w:r>
          </w:p>
        </w:tc>
        <w:tc>
          <w:tcPr>
            <w:tcW w:w="806" w:type="dxa"/>
            <w:vAlign w:val="center"/>
          </w:tcPr>
          <w:p w14:paraId="3F2C30B0" w14:textId="77777777" w:rsidR="00B45351" w:rsidRPr="00A2430F" w:rsidRDefault="00B45351" w:rsidP="00DF3B9D">
            <w:pPr>
              <w:spacing w:line="276" w:lineRule="auto"/>
              <w:jc w:val="center"/>
            </w:pPr>
            <w:r w:rsidRPr="00A2430F">
              <w:t>.101</w:t>
            </w:r>
          </w:p>
        </w:tc>
        <w:tc>
          <w:tcPr>
            <w:tcW w:w="806" w:type="dxa"/>
            <w:vMerge/>
            <w:vAlign w:val="center"/>
          </w:tcPr>
          <w:p w14:paraId="1D54AF40" w14:textId="77777777" w:rsidR="00B45351" w:rsidRPr="00A2430F" w:rsidRDefault="00B45351" w:rsidP="00DF3B9D">
            <w:pPr>
              <w:spacing w:line="276" w:lineRule="auto"/>
              <w:jc w:val="center"/>
            </w:pPr>
          </w:p>
        </w:tc>
      </w:tr>
      <w:tr w:rsidR="00B45351" w:rsidRPr="00A2430F" w14:paraId="6EBDB18C" w14:textId="77777777" w:rsidTr="00DF3B9D">
        <w:trPr>
          <w:trHeight w:hRule="exact" w:val="255"/>
          <w:jc w:val="center"/>
        </w:trPr>
        <w:tc>
          <w:tcPr>
            <w:tcW w:w="3750" w:type="dxa"/>
            <w:noWrap/>
            <w:vAlign w:val="bottom"/>
          </w:tcPr>
          <w:p w14:paraId="5F32F723" w14:textId="77777777" w:rsidR="00B45351" w:rsidRPr="00A2430F" w:rsidRDefault="00B45351" w:rsidP="00DF3B9D">
            <w:pPr>
              <w:spacing w:line="276" w:lineRule="auto"/>
              <w:rPr>
                <w:color w:val="000000"/>
              </w:rPr>
            </w:pPr>
            <w:r w:rsidRPr="00A2430F">
              <w:rPr>
                <w:color w:val="000000"/>
              </w:rPr>
              <w:t xml:space="preserve">   Certificate of HE</w:t>
            </w:r>
          </w:p>
        </w:tc>
        <w:tc>
          <w:tcPr>
            <w:tcW w:w="1006" w:type="dxa"/>
            <w:shd w:val="clear" w:color="auto" w:fill="auto"/>
            <w:noWrap/>
            <w:vAlign w:val="bottom"/>
          </w:tcPr>
          <w:p w14:paraId="413FE34A" w14:textId="77777777" w:rsidR="00B45351" w:rsidRPr="00A2430F" w:rsidRDefault="00B45351" w:rsidP="00DF3B9D">
            <w:pPr>
              <w:spacing w:line="276" w:lineRule="auto"/>
              <w:jc w:val="center"/>
              <w:rPr>
                <w:color w:val="000000"/>
              </w:rPr>
            </w:pPr>
            <w:r w:rsidRPr="00A2430F">
              <w:rPr>
                <w:color w:val="000000"/>
              </w:rPr>
              <w:t>125</w:t>
            </w:r>
          </w:p>
        </w:tc>
        <w:tc>
          <w:tcPr>
            <w:tcW w:w="1316" w:type="dxa"/>
            <w:shd w:val="clear" w:color="auto" w:fill="auto"/>
            <w:noWrap/>
            <w:vAlign w:val="bottom"/>
          </w:tcPr>
          <w:p w14:paraId="4AFF6519" w14:textId="77777777" w:rsidR="00B45351" w:rsidRPr="00A2430F" w:rsidRDefault="00B45351" w:rsidP="00DF3B9D">
            <w:pPr>
              <w:spacing w:line="276" w:lineRule="auto"/>
              <w:jc w:val="center"/>
              <w:rPr>
                <w:color w:val="000000"/>
              </w:rPr>
            </w:pPr>
            <w:r w:rsidRPr="00A2430F">
              <w:rPr>
                <w:color w:val="000000"/>
              </w:rPr>
              <w:t>12.1</w:t>
            </w:r>
          </w:p>
        </w:tc>
        <w:tc>
          <w:tcPr>
            <w:tcW w:w="656" w:type="dxa"/>
          </w:tcPr>
          <w:p w14:paraId="42D65A68" w14:textId="77777777" w:rsidR="00B45351" w:rsidRPr="00A2430F" w:rsidRDefault="00B45351" w:rsidP="00DF3B9D">
            <w:pPr>
              <w:spacing w:line="276" w:lineRule="auto"/>
              <w:jc w:val="center"/>
            </w:pPr>
            <w:r w:rsidRPr="00A2430F">
              <w:t>87</w:t>
            </w:r>
          </w:p>
        </w:tc>
        <w:tc>
          <w:tcPr>
            <w:tcW w:w="1123" w:type="dxa"/>
          </w:tcPr>
          <w:p w14:paraId="345717F5" w14:textId="77777777" w:rsidR="00B45351" w:rsidRPr="00A2430F" w:rsidRDefault="00B45351" w:rsidP="00DF3B9D">
            <w:pPr>
              <w:spacing w:line="276" w:lineRule="auto"/>
              <w:jc w:val="center"/>
            </w:pPr>
            <w:r w:rsidRPr="00A2430F">
              <w:t>7.6</w:t>
            </w:r>
          </w:p>
        </w:tc>
        <w:tc>
          <w:tcPr>
            <w:tcW w:w="806" w:type="dxa"/>
            <w:vAlign w:val="center"/>
          </w:tcPr>
          <w:p w14:paraId="0C3ED31F" w14:textId="77777777" w:rsidR="00B45351" w:rsidRPr="00A2430F" w:rsidRDefault="00B45351" w:rsidP="00DF3B9D">
            <w:pPr>
              <w:spacing w:line="276" w:lineRule="auto"/>
              <w:jc w:val="center"/>
            </w:pPr>
            <w:r w:rsidRPr="00A2430F">
              <w:t>&lt;.001</w:t>
            </w:r>
            <w:r w:rsidRPr="00A2430F">
              <w:rPr>
                <w:color w:val="000000"/>
                <w:vertAlign w:val="superscript"/>
              </w:rPr>
              <w:t>‡</w:t>
            </w:r>
          </w:p>
        </w:tc>
        <w:tc>
          <w:tcPr>
            <w:tcW w:w="806" w:type="dxa"/>
            <w:vMerge/>
            <w:vAlign w:val="center"/>
          </w:tcPr>
          <w:p w14:paraId="6135F9D1" w14:textId="77777777" w:rsidR="00B45351" w:rsidRPr="00A2430F" w:rsidRDefault="00B45351" w:rsidP="00DF3B9D">
            <w:pPr>
              <w:spacing w:line="276" w:lineRule="auto"/>
              <w:jc w:val="center"/>
            </w:pPr>
          </w:p>
        </w:tc>
      </w:tr>
      <w:tr w:rsidR="00B45351" w:rsidRPr="00A2430F" w14:paraId="42EF159E" w14:textId="77777777" w:rsidTr="00DF3B9D">
        <w:trPr>
          <w:trHeight w:hRule="exact" w:val="255"/>
          <w:jc w:val="center"/>
        </w:trPr>
        <w:tc>
          <w:tcPr>
            <w:tcW w:w="3750" w:type="dxa"/>
            <w:noWrap/>
            <w:vAlign w:val="bottom"/>
          </w:tcPr>
          <w:p w14:paraId="7E5133E7" w14:textId="77777777" w:rsidR="00B45351" w:rsidRPr="00A2430F" w:rsidRDefault="00B45351" w:rsidP="00DF3B9D">
            <w:pPr>
              <w:spacing w:line="276" w:lineRule="auto"/>
              <w:rPr>
                <w:color w:val="000000"/>
              </w:rPr>
            </w:pPr>
            <w:r w:rsidRPr="00A2430F">
              <w:rPr>
                <w:color w:val="000000"/>
              </w:rPr>
              <w:lastRenderedPageBreak/>
              <w:t xml:space="preserve">   Bachelor's degree</w:t>
            </w:r>
          </w:p>
        </w:tc>
        <w:tc>
          <w:tcPr>
            <w:tcW w:w="1006" w:type="dxa"/>
            <w:shd w:val="clear" w:color="auto" w:fill="auto"/>
            <w:noWrap/>
            <w:vAlign w:val="bottom"/>
          </w:tcPr>
          <w:p w14:paraId="0C41226D" w14:textId="77777777" w:rsidR="00B45351" w:rsidRPr="00A2430F" w:rsidRDefault="00B45351" w:rsidP="00DF3B9D">
            <w:pPr>
              <w:spacing w:line="276" w:lineRule="auto"/>
              <w:jc w:val="center"/>
              <w:rPr>
                <w:color w:val="000000"/>
              </w:rPr>
            </w:pPr>
            <w:r w:rsidRPr="00A2430F">
              <w:rPr>
                <w:color w:val="000000"/>
              </w:rPr>
              <w:t>116</w:t>
            </w:r>
          </w:p>
        </w:tc>
        <w:tc>
          <w:tcPr>
            <w:tcW w:w="1316" w:type="dxa"/>
            <w:shd w:val="clear" w:color="auto" w:fill="auto"/>
            <w:noWrap/>
            <w:vAlign w:val="bottom"/>
          </w:tcPr>
          <w:p w14:paraId="39D26CAA" w14:textId="77777777" w:rsidR="00B45351" w:rsidRPr="00A2430F" w:rsidRDefault="00B45351" w:rsidP="00DF3B9D">
            <w:pPr>
              <w:spacing w:line="276" w:lineRule="auto"/>
              <w:jc w:val="center"/>
              <w:rPr>
                <w:color w:val="000000"/>
              </w:rPr>
            </w:pPr>
            <w:r w:rsidRPr="00A2430F">
              <w:rPr>
                <w:color w:val="000000"/>
              </w:rPr>
              <w:t>11.2</w:t>
            </w:r>
          </w:p>
        </w:tc>
        <w:tc>
          <w:tcPr>
            <w:tcW w:w="656" w:type="dxa"/>
          </w:tcPr>
          <w:p w14:paraId="589F9105" w14:textId="77777777" w:rsidR="00B45351" w:rsidRPr="00A2430F" w:rsidRDefault="00B45351" w:rsidP="00DF3B9D">
            <w:pPr>
              <w:spacing w:line="276" w:lineRule="auto"/>
              <w:jc w:val="center"/>
            </w:pPr>
            <w:r w:rsidRPr="00A2430F">
              <w:t>355</w:t>
            </w:r>
          </w:p>
        </w:tc>
        <w:tc>
          <w:tcPr>
            <w:tcW w:w="1123" w:type="dxa"/>
          </w:tcPr>
          <w:p w14:paraId="7C8B4FCB" w14:textId="77777777" w:rsidR="00B45351" w:rsidRPr="00A2430F" w:rsidRDefault="00B45351" w:rsidP="00DF3B9D">
            <w:pPr>
              <w:spacing w:line="276" w:lineRule="auto"/>
              <w:jc w:val="center"/>
            </w:pPr>
            <w:r w:rsidRPr="00A2430F">
              <w:t>30.9</w:t>
            </w:r>
          </w:p>
        </w:tc>
        <w:tc>
          <w:tcPr>
            <w:tcW w:w="806" w:type="dxa"/>
            <w:vAlign w:val="center"/>
          </w:tcPr>
          <w:p w14:paraId="07811CEE" w14:textId="77777777" w:rsidR="00B45351" w:rsidRPr="00A2430F" w:rsidRDefault="00B45351" w:rsidP="00DF3B9D">
            <w:pPr>
              <w:spacing w:line="276" w:lineRule="auto"/>
              <w:jc w:val="center"/>
            </w:pPr>
            <w:r w:rsidRPr="00A2430F">
              <w:t>&lt;.001</w:t>
            </w:r>
            <w:r w:rsidRPr="00A2430F">
              <w:rPr>
                <w:color w:val="000000"/>
                <w:vertAlign w:val="superscript"/>
              </w:rPr>
              <w:t>‡</w:t>
            </w:r>
          </w:p>
        </w:tc>
        <w:tc>
          <w:tcPr>
            <w:tcW w:w="806" w:type="dxa"/>
            <w:vMerge/>
            <w:vAlign w:val="center"/>
          </w:tcPr>
          <w:p w14:paraId="7F3F8570" w14:textId="77777777" w:rsidR="00B45351" w:rsidRPr="00A2430F" w:rsidRDefault="00B45351" w:rsidP="00DF3B9D">
            <w:pPr>
              <w:spacing w:line="276" w:lineRule="auto"/>
              <w:jc w:val="center"/>
            </w:pPr>
          </w:p>
        </w:tc>
      </w:tr>
      <w:tr w:rsidR="00B45351" w:rsidRPr="00A2430F" w14:paraId="09F69C30" w14:textId="77777777" w:rsidTr="00DF3B9D">
        <w:trPr>
          <w:trHeight w:hRule="exact" w:val="255"/>
          <w:jc w:val="center"/>
        </w:trPr>
        <w:tc>
          <w:tcPr>
            <w:tcW w:w="3750" w:type="dxa"/>
            <w:noWrap/>
            <w:vAlign w:val="bottom"/>
          </w:tcPr>
          <w:p w14:paraId="691D3905" w14:textId="77777777" w:rsidR="00B45351" w:rsidRPr="00A2430F" w:rsidRDefault="00B45351" w:rsidP="00DF3B9D">
            <w:pPr>
              <w:spacing w:line="276" w:lineRule="auto"/>
              <w:rPr>
                <w:color w:val="000000"/>
              </w:rPr>
            </w:pPr>
            <w:r w:rsidRPr="00A2430F">
              <w:rPr>
                <w:color w:val="000000"/>
              </w:rPr>
              <w:t xml:space="preserve">   Master's degree</w:t>
            </w:r>
          </w:p>
        </w:tc>
        <w:tc>
          <w:tcPr>
            <w:tcW w:w="1006" w:type="dxa"/>
            <w:shd w:val="clear" w:color="auto" w:fill="auto"/>
            <w:noWrap/>
            <w:vAlign w:val="bottom"/>
          </w:tcPr>
          <w:p w14:paraId="212160DD" w14:textId="77777777" w:rsidR="00B45351" w:rsidRPr="00A2430F" w:rsidRDefault="00B45351" w:rsidP="00DF3B9D">
            <w:pPr>
              <w:spacing w:line="276" w:lineRule="auto"/>
              <w:jc w:val="center"/>
              <w:rPr>
                <w:color w:val="000000"/>
              </w:rPr>
            </w:pPr>
            <w:r w:rsidRPr="00A2430F">
              <w:rPr>
                <w:color w:val="000000"/>
              </w:rPr>
              <w:t>78</w:t>
            </w:r>
          </w:p>
        </w:tc>
        <w:tc>
          <w:tcPr>
            <w:tcW w:w="1316" w:type="dxa"/>
            <w:shd w:val="clear" w:color="auto" w:fill="auto"/>
            <w:noWrap/>
            <w:vAlign w:val="bottom"/>
          </w:tcPr>
          <w:p w14:paraId="188DD548" w14:textId="77777777" w:rsidR="00B45351" w:rsidRPr="00A2430F" w:rsidRDefault="00B45351" w:rsidP="00DF3B9D">
            <w:pPr>
              <w:spacing w:line="276" w:lineRule="auto"/>
              <w:jc w:val="center"/>
              <w:rPr>
                <w:color w:val="000000"/>
              </w:rPr>
            </w:pPr>
            <w:r w:rsidRPr="00A2430F">
              <w:rPr>
                <w:color w:val="000000"/>
              </w:rPr>
              <w:t>7.5</w:t>
            </w:r>
          </w:p>
        </w:tc>
        <w:tc>
          <w:tcPr>
            <w:tcW w:w="656" w:type="dxa"/>
          </w:tcPr>
          <w:p w14:paraId="143BDA37" w14:textId="77777777" w:rsidR="00B45351" w:rsidRPr="00A2430F" w:rsidRDefault="00B45351" w:rsidP="00DF3B9D">
            <w:pPr>
              <w:spacing w:line="276" w:lineRule="auto"/>
              <w:jc w:val="center"/>
            </w:pPr>
            <w:r w:rsidRPr="00A2430F">
              <w:t>189</w:t>
            </w:r>
          </w:p>
        </w:tc>
        <w:tc>
          <w:tcPr>
            <w:tcW w:w="1123" w:type="dxa"/>
          </w:tcPr>
          <w:p w14:paraId="572F2627" w14:textId="77777777" w:rsidR="00B45351" w:rsidRPr="00A2430F" w:rsidRDefault="00B45351" w:rsidP="00DF3B9D">
            <w:pPr>
              <w:spacing w:line="276" w:lineRule="auto"/>
              <w:jc w:val="center"/>
            </w:pPr>
            <w:r w:rsidRPr="00A2430F">
              <w:t>16.5</w:t>
            </w:r>
          </w:p>
        </w:tc>
        <w:tc>
          <w:tcPr>
            <w:tcW w:w="806" w:type="dxa"/>
            <w:vAlign w:val="center"/>
          </w:tcPr>
          <w:p w14:paraId="46D78C85" w14:textId="77777777" w:rsidR="00B45351" w:rsidRPr="00A2430F" w:rsidRDefault="00B45351" w:rsidP="00DF3B9D">
            <w:pPr>
              <w:spacing w:line="276" w:lineRule="auto"/>
              <w:jc w:val="center"/>
            </w:pPr>
            <w:r w:rsidRPr="00A2430F">
              <w:t>&lt;.001</w:t>
            </w:r>
            <w:r w:rsidRPr="00A2430F">
              <w:rPr>
                <w:color w:val="000000"/>
                <w:vertAlign w:val="superscript"/>
              </w:rPr>
              <w:t>‡</w:t>
            </w:r>
          </w:p>
        </w:tc>
        <w:tc>
          <w:tcPr>
            <w:tcW w:w="806" w:type="dxa"/>
            <w:vMerge/>
            <w:vAlign w:val="center"/>
          </w:tcPr>
          <w:p w14:paraId="5636A8CD" w14:textId="77777777" w:rsidR="00B45351" w:rsidRPr="00A2430F" w:rsidRDefault="00B45351" w:rsidP="00DF3B9D">
            <w:pPr>
              <w:spacing w:line="276" w:lineRule="auto"/>
              <w:jc w:val="center"/>
            </w:pPr>
          </w:p>
        </w:tc>
      </w:tr>
      <w:tr w:rsidR="00B45351" w:rsidRPr="00A2430F" w14:paraId="7B3D817F" w14:textId="77777777" w:rsidTr="00DF3B9D">
        <w:trPr>
          <w:trHeight w:hRule="exact" w:val="255"/>
          <w:jc w:val="center"/>
        </w:trPr>
        <w:tc>
          <w:tcPr>
            <w:tcW w:w="3750" w:type="dxa"/>
            <w:noWrap/>
            <w:vAlign w:val="bottom"/>
          </w:tcPr>
          <w:p w14:paraId="54D29D80" w14:textId="77777777" w:rsidR="00B45351" w:rsidRPr="00A2430F" w:rsidRDefault="00B45351" w:rsidP="00DF3B9D">
            <w:pPr>
              <w:spacing w:line="276" w:lineRule="auto"/>
              <w:rPr>
                <w:color w:val="000000"/>
              </w:rPr>
            </w:pPr>
            <w:r w:rsidRPr="00A2430F">
              <w:rPr>
                <w:color w:val="000000"/>
              </w:rPr>
              <w:t xml:space="preserve">   Doctorate</w:t>
            </w:r>
          </w:p>
        </w:tc>
        <w:tc>
          <w:tcPr>
            <w:tcW w:w="1006" w:type="dxa"/>
            <w:shd w:val="clear" w:color="auto" w:fill="auto"/>
            <w:noWrap/>
            <w:vAlign w:val="bottom"/>
          </w:tcPr>
          <w:p w14:paraId="2EF11CF4" w14:textId="77777777" w:rsidR="00B45351" w:rsidRPr="00A2430F" w:rsidRDefault="00B45351" w:rsidP="00DF3B9D">
            <w:pPr>
              <w:spacing w:line="276" w:lineRule="auto"/>
              <w:jc w:val="center"/>
              <w:rPr>
                <w:color w:val="000000"/>
              </w:rPr>
            </w:pPr>
            <w:r w:rsidRPr="00A2430F">
              <w:rPr>
                <w:color w:val="000000"/>
              </w:rPr>
              <w:t>4</w:t>
            </w:r>
          </w:p>
        </w:tc>
        <w:tc>
          <w:tcPr>
            <w:tcW w:w="1316" w:type="dxa"/>
            <w:shd w:val="clear" w:color="auto" w:fill="auto"/>
            <w:noWrap/>
            <w:vAlign w:val="bottom"/>
          </w:tcPr>
          <w:p w14:paraId="72F0943B" w14:textId="77777777" w:rsidR="00B45351" w:rsidRPr="00A2430F" w:rsidRDefault="00B45351" w:rsidP="00DF3B9D">
            <w:pPr>
              <w:spacing w:line="276" w:lineRule="auto"/>
              <w:jc w:val="center"/>
              <w:rPr>
                <w:color w:val="000000"/>
              </w:rPr>
            </w:pPr>
            <w:r w:rsidRPr="00A2430F">
              <w:rPr>
                <w:color w:val="000000"/>
              </w:rPr>
              <w:t>0.4</w:t>
            </w:r>
          </w:p>
        </w:tc>
        <w:tc>
          <w:tcPr>
            <w:tcW w:w="656" w:type="dxa"/>
          </w:tcPr>
          <w:p w14:paraId="1273823D" w14:textId="77777777" w:rsidR="00B45351" w:rsidRPr="00A2430F" w:rsidRDefault="00B45351" w:rsidP="00DF3B9D">
            <w:pPr>
              <w:spacing w:line="276" w:lineRule="auto"/>
              <w:jc w:val="center"/>
            </w:pPr>
            <w:r w:rsidRPr="00A2430F">
              <w:t>39</w:t>
            </w:r>
          </w:p>
        </w:tc>
        <w:tc>
          <w:tcPr>
            <w:tcW w:w="1123" w:type="dxa"/>
          </w:tcPr>
          <w:p w14:paraId="745819BA" w14:textId="77777777" w:rsidR="00B45351" w:rsidRPr="00A2430F" w:rsidRDefault="00B45351" w:rsidP="00DF3B9D">
            <w:pPr>
              <w:spacing w:line="276" w:lineRule="auto"/>
              <w:jc w:val="center"/>
            </w:pPr>
            <w:r w:rsidRPr="00A2430F">
              <w:t>3.4</w:t>
            </w:r>
          </w:p>
        </w:tc>
        <w:tc>
          <w:tcPr>
            <w:tcW w:w="806" w:type="dxa"/>
            <w:vAlign w:val="center"/>
          </w:tcPr>
          <w:p w14:paraId="72DFDDEB" w14:textId="77777777" w:rsidR="00B45351" w:rsidRPr="00A2430F" w:rsidRDefault="00B45351" w:rsidP="00DF3B9D">
            <w:pPr>
              <w:spacing w:line="276" w:lineRule="auto"/>
              <w:jc w:val="center"/>
            </w:pPr>
            <w:r w:rsidRPr="00A2430F">
              <w:t>&lt;.001</w:t>
            </w:r>
            <w:r w:rsidRPr="00A2430F">
              <w:rPr>
                <w:color w:val="000000"/>
                <w:vertAlign w:val="superscript"/>
              </w:rPr>
              <w:t>‡</w:t>
            </w:r>
          </w:p>
        </w:tc>
        <w:tc>
          <w:tcPr>
            <w:tcW w:w="806" w:type="dxa"/>
            <w:vMerge/>
            <w:vAlign w:val="center"/>
          </w:tcPr>
          <w:p w14:paraId="11516933" w14:textId="77777777" w:rsidR="00B45351" w:rsidRPr="00A2430F" w:rsidRDefault="00B45351" w:rsidP="00DF3B9D">
            <w:pPr>
              <w:spacing w:line="276" w:lineRule="auto"/>
              <w:jc w:val="center"/>
            </w:pPr>
          </w:p>
        </w:tc>
      </w:tr>
      <w:tr w:rsidR="00B45351" w:rsidRPr="00A2430F" w14:paraId="0AEA2976" w14:textId="77777777" w:rsidTr="00DF3B9D">
        <w:trPr>
          <w:trHeight w:hRule="exact" w:val="255"/>
          <w:jc w:val="center"/>
        </w:trPr>
        <w:tc>
          <w:tcPr>
            <w:tcW w:w="3750" w:type="dxa"/>
            <w:noWrap/>
            <w:vAlign w:val="bottom"/>
          </w:tcPr>
          <w:p w14:paraId="019DD948" w14:textId="77777777" w:rsidR="00B45351" w:rsidRPr="00A2430F" w:rsidRDefault="00B45351" w:rsidP="00DF3B9D">
            <w:pPr>
              <w:spacing w:line="276" w:lineRule="auto"/>
              <w:rPr>
                <w:b/>
                <w:bCs/>
                <w:color w:val="000000"/>
              </w:rPr>
            </w:pPr>
            <w:r w:rsidRPr="00A2430F">
              <w:rPr>
                <w:b/>
                <w:bCs/>
                <w:color w:val="000000"/>
              </w:rPr>
              <w:t>Household Arrangement</w:t>
            </w:r>
          </w:p>
        </w:tc>
        <w:tc>
          <w:tcPr>
            <w:tcW w:w="1006" w:type="dxa"/>
            <w:noWrap/>
            <w:vAlign w:val="bottom"/>
          </w:tcPr>
          <w:p w14:paraId="1FA54140" w14:textId="77777777" w:rsidR="00B45351" w:rsidRPr="00A2430F" w:rsidRDefault="00B45351" w:rsidP="00DF3B9D">
            <w:pPr>
              <w:spacing w:line="276" w:lineRule="auto"/>
              <w:jc w:val="center"/>
            </w:pPr>
          </w:p>
        </w:tc>
        <w:tc>
          <w:tcPr>
            <w:tcW w:w="1316" w:type="dxa"/>
            <w:noWrap/>
            <w:vAlign w:val="bottom"/>
          </w:tcPr>
          <w:p w14:paraId="21C50088" w14:textId="77777777" w:rsidR="00B45351" w:rsidRPr="00A2430F" w:rsidRDefault="00B45351" w:rsidP="00DF3B9D">
            <w:pPr>
              <w:spacing w:line="276" w:lineRule="auto"/>
              <w:jc w:val="center"/>
            </w:pPr>
          </w:p>
        </w:tc>
        <w:tc>
          <w:tcPr>
            <w:tcW w:w="656" w:type="dxa"/>
          </w:tcPr>
          <w:p w14:paraId="1DB21CF0" w14:textId="77777777" w:rsidR="00B45351" w:rsidRPr="00A2430F" w:rsidRDefault="00B45351" w:rsidP="00DF3B9D">
            <w:pPr>
              <w:spacing w:line="276" w:lineRule="auto"/>
              <w:jc w:val="center"/>
            </w:pPr>
          </w:p>
        </w:tc>
        <w:tc>
          <w:tcPr>
            <w:tcW w:w="1123" w:type="dxa"/>
          </w:tcPr>
          <w:p w14:paraId="550CF5DF" w14:textId="77777777" w:rsidR="00B45351" w:rsidRPr="00A2430F" w:rsidRDefault="00B45351" w:rsidP="00DF3B9D">
            <w:pPr>
              <w:spacing w:line="276" w:lineRule="auto"/>
              <w:jc w:val="center"/>
            </w:pPr>
          </w:p>
        </w:tc>
        <w:tc>
          <w:tcPr>
            <w:tcW w:w="806" w:type="dxa"/>
            <w:vAlign w:val="center"/>
          </w:tcPr>
          <w:p w14:paraId="6D414390" w14:textId="77777777" w:rsidR="00B45351" w:rsidRPr="00A2430F" w:rsidRDefault="00B45351" w:rsidP="00DF3B9D">
            <w:pPr>
              <w:spacing w:line="276" w:lineRule="auto"/>
              <w:jc w:val="center"/>
            </w:pPr>
          </w:p>
        </w:tc>
        <w:tc>
          <w:tcPr>
            <w:tcW w:w="806" w:type="dxa"/>
            <w:vAlign w:val="center"/>
          </w:tcPr>
          <w:p w14:paraId="7BC9E1D9" w14:textId="77777777" w:rsidR="00B45351" w:rsidRPr="00A2430F" w:rsidRDefault="00B45351" w:rsidP="00DF3B9D">
            <w:pPr>
              <w:spacing w:line="276" w:lineRule="auto"/>
              <w:jc w:val="center"/>
            </w:pPr>
          </w:p>
        </w:tc>
      </w:tr>
      <w:tr w:rsidR="00B45351" w:rsidRPr="00A2430F" w14:paraId="64540538" w14:textId="77777777" w:rsidTr="00DF3B9D">
        <w:trPr>
          <w:trHeight w:hRule="exact" w:val="255"/>
          <w:jc w:val="center"/>
        </w:trPr>
        <w:tc>
          <w:tcPr>
            <w:tcW w:w="3750" w:type="dxa"/>
            <w:noWrap/>
            <w:vAlign w:val="bottom"/>
          </w:tcPr>
          <w:p w14:paraId="54454F6F" w14:textId="77777777" w:rsidR="00B45351" w:rsidRPr="00A2430F" w:rsidRDefault="00B45351" w:rsidP="00DF3B9D">
            <w:pPr>
              <w:spacing w:line="276" w:lineRule="auto"/>
              <w:rPr>
                <w:color w:val="000000"/>
              </w:rPr>
            </w:pPr>
            <w:r w:rsidRPr="00A2430F">
              <w:rPr>
                <w:color w:val="000000"/>
              </w:rPr>
              <w:t xml:space="preserve">   Live alone</w:t>
            </w:r>
          </w:p>
        </w:tc>
        <w:tc>
          <w:tcPr>
            <w:tcW w:w="1006" w:type="dxa"/>
            <w:shd w:val="clear" w:color="auto" w:fill="auto"/>
            <w:noWrap/>
            <w:vAlign w:val="bottom"/>
          </w:tcPr>
          <w:p w14:paraId="02053EAD" w14:textId="77777777" w:rsidR="00B45351" w:rsidRPr="00A2430F" w:rsidRDefault="00B45351" w:rsidP="00DF3B9D">
            <w:pPr>
              <w:spacing w:line="276" w:lineRule="auto"/>
              <w:jc w:val="center"/>
              <w:rPr>
                <w:color w:val="000000"/>
              </w:rPr>
            </w:pPr>
            <w:r w:rsidRPr="00A2430F">
              <w:rPr>
                <w:color w:val="000000"/>
              </w:rPr>
              <w:t>180</w:t>
            </w:r>
          </w:p>
        </w:tc>
        <w:tc>
          <w:tcPr>
            <w:tcW w:w="1316" w:type="dxa"/>
            <w:shd w:val="clear" w:color="auto" w:fill="auto"/>
            <w:noWrap/>
            <w:vAlign w:val="bottom"/>
          </w:tcPr>
          <w:p w14:paraId="1E423529" w14:textId="77777777" w:rsidR="00B45351" w:rsidRPr="00A2430F" w:rsidRDefault="00B45351" w:rsidP="00DF3B9D">
            <w:pPr>
              <w:spacing w:line="276" w:lineRule="auto"/>
              <w:jc w:val="center"/>
              <w:rPr>
                <w:color w:val="000000"/>
              </w:rPr>
            </w:pPr>
            <w:r w:rsidRPr="00A2430F">
              <w:rPr>
                <w:color w:val="000000"/>
              </w:rPr>
              <w:t>17.4</w:t>
            </w:r>
          </w:p>
        </w:tc>
        <w:tc>
          <w:tcPr>
            <w:tcW w:w="656" w:type="dxa"/>
          </w:tcPr>
          <w:p w14:paraId="6CFE3638" w14:textId="77777777" w:rsidR="00B45351" w:rsidRPr="00A2430F" w:rsidRDefault="00B45351" w:rsidP="00DF3B9D">
            <w:pPr>
              <w:spacing w:line="276" w:lineRule="auto"/>
              <w:jc w:val="center"/>
            </w:pPr>
            <w:r w:rsidRPr="00A2430F">
              <w:t>201</w:t>
            </w:r>
          </w:p>
        </w:tc>
        <w:tc>
          <w:tcPr>
            <w:tcW w:w="1123" w:type="dxa"/>
          </w:tcPr>
          <w:p w14:paraId="6F72E865" w14:textId="77777777" w:rsidR="00B45351" w:rsidRPr="00A2430F" w:rsidRDefault="00B45351" w:rsidP="00DF3B9D">
            <w:pPr>
              <w:spacing w:line="276" w:lineRule="auto"/>
              <w:jc w:val="center"/>
            </w:pPr>
            <w:r w:rsidRPr="00A2430F">
              <w:t>17.5</w:t>
            </w:r>
          </w:p>
        </w:tc>
        <w:tc>
          <w:tcPr>
            <w:tcW w:w="806" w:type="dxa"/>
            <w:vAlign w:val="center"/>
          </w:tcPr>
          <w:p w14:paraId="264A53D1" w14:textId="77777777" w:rsidR="00B45351" w:rsidRPr="00A2430F" w:rsidRDefault="00B45351" w:rsidP="00DF3B9D">
            <w:pPr>
              <w:spacing w:line="276" w:lineRule="auto"/>
              <w:jc w:val="center"/>
            </w:pPr>
            <w:r w:rsidRPr="00A2430F">
              <w:t>.926</w:t>
            </w:r>
          </w:p>
        </w:tc>
        <w:tc>
          <w:tcPr>
            <w:tcW w:w="806" w:type="dxa"/>
            <w:vMerge w:val="restart"/>
            <w:vAlign w:val="center"/>
          </w:tcPr>
          <w:p w14:paraId="0C7E4CC6" w14:textId="77777777" w:rsidR="00B45351" w:rsidRPr="00A2430F" w:rsidRDefault="00B45351" w:rsidP="00DF3B9D">
            <w:pPr>
              <w:spacing w:line="276" w:lineRule="auto"/>
              <w:jc w:val="center"/>
            </w:pPr>
            <w:r w:rsidRPr="00A2430F">
              <w:t>.008</w:t>
            </w:r>
            <w:r w:rsidRPr="00A2430F">
              <w:rPr>
                <w:color w:val="000000"/>
                <w:vertAlign w:val="superscript"/>
              </w:rPr>
              <w:t>‡</w:t>
            </w:r>
          </w:p>
        </w:tc>
      </w:tr>
      <w:tr w:rsidR="00B45351" w:rsidRPr="00A2430F" w14:paraId="59AD3858" w14:textId="77777777" w:rsidTr="00DF3B9D">
        <w:trPr>
          <w:trHeight w:hRule="exact" w:val="255"/>
          <w:jc w:val="center"/>
        </w:trPr>
        <w:tc>
          <w:tcPr>
            <w:tcW w:w="3750" w:type="dxa"/>
            <w:noWrap/>
            <w:vAlign w:val="bottom"/>
          </w:tcPr>
          <w:p w14:paraId="06592584" w14:textId="77777777" w:rsidR="00B45351" w:rsidRPr="00A2430F" w:rsidRDefault="00B45351" w:rsidP="00DF3B9D">
            <w:pPr>
              <w:spacing w:line="276" w:lineRule="auto"/>
              <w:rPr>
                <w:color w:val="000000"/>
              </w:rPr>
            </w:pPr>
            <w:r w:rsidRPr="00A2430F">
              <w:rPr>
                <w:color w:val="000000"/>
              </w:rPr>
              <w:t xml:space="preserve">   Live with family</w:t>
            </w:r>
          </w:p>
        </w:tc>
        <w:tc>
          <w:tcPr>
            <w:tcW w:w="1006" w:type="dxa"/>
            <w:shd w:val="clear" w:color="auto" w:fill="auto"/>
            <w:noWrap/>
            <w:vAlign w:val="bottom"/>
          </w:tcPr>
          <w:p w14:paraId="2500E935" w14:textId="77777777" w:rsidR="00B45351" w:rsidRPr="00A2430F" w:rsidRDefault="00B45351" w:rsidP="00DF3B9D">
            <w:pPr>
              <w:spacing w:line="276" w:lineRule="auto"/>
              <w:jc w:val="center"/>
              <w:rPr>
                <w:color w:val="000000"/>
              </w:rPr>
            </w:pPr>
            <w:r w:rsidRPr="00A2430F">
              <w:rPr>
                <w:color w:val="000000"/>
              </w:rPr>
              <w:t>844</w:t>
            </w:r>
          </w:p>
        </w:tc>
        <w:tc>
          <w:tcPr>
            <w:tcW w:w="1316" w:type="dxa"/>
            <w:shd w:val="clear" w:color="auto" w:fill="auto"/>
            <w:noWrap/>
            <w:vAlign w:val="bottom"/>
          </w:tcPr>
          <w:p w14:paraId="2EFF6F32" w14:textId="77777777" w:rsidR="00B45351" w:rsidRPr="00A2430F" w:rsidRDefault="00B45351" w:rsidP="00DF3B9D">
            <w:pPr>
              <w:spacing w:line="276" w:lineRule="auto"/>
              <w:jc w:val="center"/>
              <w:rPr>
                <w:color w:val="000000"/>
              </w:rPr>
            </w:pPr>
            <w:r w:rsidRPr="00A2430F">
              <w:rPr>
                <w:color w:val="000000"/>
              </w:rPr>
              <w:t>81.4</w:t>
            </w:r>
          </w:p>
        </w:tc>
        <w:tc>
          <w:tcPr>
            <w:tcW w:w="656" w:type="dxa"/>
          </w:tcPr>
          <w:p w14:paraId="18599BF2" w14:textId="77777777" w:rsidR="00B45351" w:rsidRPr="00A2430F" w:rsidRDefault="00B45351" w:rsidP="00DF3B9D">
            <w:pPr>
              <w:spacing w:line="276" w:lineRule="auto"/>
              <w:jc w:val="center"/>
              <w:rPr>
                <w:color w:val="000000" w:themeColor="text1"/>
              </w:rPr>
            </w:pPr>
            <w:r w:rsidRPr="00A2430F">
              <w:rPr>
                <w:color w:val="000000" w:themeColor="text1"/>
              </w:rPr>
              <w:t>910</w:t>
            </w:r>
          </w:p>
        </w:tc>
        <w:tc>
          <w:tcPr>
            <w:tcW w:w="1123" w:type="dxa"/>
          </w:tcPr>
          <w:p w14:paraId="40C05108" w14:textId="77777777" w:rsidR="00B45351" w:rsidRPr="00A2430F" w:rsidRDefault="00B45351" w:rsidP="00DF3B9D">
            <w:pPr>
              <w:spacing w:line="276" w:lineRule="auto"/>
              <w:jc w:val="center"/>
              <w:rPr>
                <w:color w:val="000000" w:themeColor="text1"/>
              </w:rPr>
            </w:pPr>
            <w:r w:rsidRPr="00A2430F">
              <w:rPr>
                <w:color w:val="000000" w:themeColor="text1"/>
              </w:rPr>
              <w:t>79.3</w:t>
            </w:r>
          </w:p>
        </w:tc>
        <w:tc>
          <w:tcPr>
            <w:tcW w:w="806" w:type="dxa"/>
            <w:vAlign w:val="center"/>
          </w:tcPr>
          <w:p w14:paraId="2CF169A3" w14:textId="77777777" w:rsidR="00B45351" w:rsidRPr="00A2430F" w:rsidRDefault="00B45351" w:rsidP="00DF3B9D">
            <w:pPr>
              <w:spacing w:line="276" w:lineRule="auto"/>
              <w:jc w:val="center"/>
              <w:rPr>
                <w:color w:val="000000" w:themeColor="text1"/>
              </w:rPr>
            </w:pPr>
            <w:r w:rsidRPr="00A2430F">
              <w:rPr>
                <w:color w:val="000000" w:themeColor="text1"/>
              </w:rPr>
              <w:t>.214</w:t>
            </w:r>
          </w:p>
        </w:tc>
        <w:tc>
          <w:tcPr>
            <w:tcW w:w="806" w:type="dxa"/>
            <w:vMerge/>
            <w:vAlign w:val="center"/>
          </w:tcPr>
          <w:p w14:paraId="446E61DD" w14:textId="77777777" w:rsidR="00B45351" w:rsidRPr="00A2430F" w:rsidRDefault="00B45351" w:rsidP="00DF3B9D">
            <w:pPr>
              <w:spacing w:line="276" w:lineRule="auto"/>
              <w:jc w:val="center"/>
              <w:rPr>
                <w:color w:val="000000" w:themeColor="text1"/>
              </w:rPr>
            </w:pPr>
          </w:p>
        </w:tc>
      </w:tr>
      <w:tr w:rsidR="00B45351" w:rsidRPr="00A2430F" w14:paraId="6886C6EE" w14:textId="77777777" w:rsidTr="00DF3B9D">
        <w:trPr>
          <w:trHeight w:hRule="exact" w:val="255"/>
          <w:jc w:val="center"/>
        </w:trPr>
        <w:tc>
          <w:tcPr>
            <w:tcW w:w="3750" w:type="dxa"/>
            <w:noWrap/>
            <w:vAlign w:val="bottom"/>
          </w:tcPr>
          <w:p w14:paraId="655778BC" w14:textId="77777777" w:rsidR="00B45351" w:rsidRPr="00A2430F" w:rsidRDefault="00B45351" w:rsidP="00DF3B9D">
            <w:pPr>
              <w:spacing w:line="276" w:lineRule="auto"/>
              <w:rPr>
                <w:color w:val="000000"/>
              </w:rPr>
            </w:pPr>
            <w:r w:rsidRPr="00A2430F">
              <w:rPr>
                <w:color w:val="000000"/>
              </w:rPr>
              <w:t xml:space="preserve">   Live with non-family</w:t>
            </w:r>
          </w:p>
        </w:tc>
        <w:tc>
          <w:tcPr>
            <w:tcW w:w="1006" w:type="dxa"/>
            <w:shd w:val="clear" w:color="auto" w:fill="auto"/>
            <w:noWrap/>
            <w:vAlign w:val="bottom"/>
          </w:tcPr>
          <w:p w14:paraId="67BFAC4C" w14:textId="77777777" w:rsidR="00B45351" w:rsidRPr="00A2430F" w:rsidRDefault="00B45351" w:rsidP="00DF3B9D">
            <w:pPr>
              <w:spacing w:line="276" w:lineRule="auto"/>
              <w:jc w:val="center"/>
              <w:rPr>
                <w:color w:val="000000"/>
              </w:rPr>
            </w:pPr>
            <w:r w:rsidRPr="00A2430F">
              <w:rPr>
                <w:color w:val="000000"/>
              </w:rPr>
              <w:t>13</w:t>
            </w:r>
          </w:p>
        </w:tc>
        <w:tc>
          <w:tcPr>
            <w:tcW w:w="1316" w:type="dxa"/>
            <w:shd w:val="clear" w:color="auto" w:fill="auto"/>
            <w:noWrap/>
            <w:vAlign w:val="bottom"/>
          </w:tcPr>
          <w:p w14:paraId="3F41BDF2" w14:textId="77777777" w:rsidR="00B45351" w:rsidRPr="00A2430F" w:rsidRDefault="00B45351" w:rsidP="00DF3B9D">
            <w:pPr>
              <w:spacing w:line="276" w:lineRule="auto"/>
              <w:jc w:val="center"/>
              <w:rPr>
                <w:color w:val="000000"/>
              </w:rPr>
            </w:pPr>
            <w:r w:rsidRPr="00A2430F">
              <w:rPr>
                <w:color w:val="000000"/>
              </w:rPr>
              <w:t>1.3</w:t>
            </w:r>
          </w:p>
        </w:tc>
        <w:tc>
          <w:tcPr>
            <w:tcW w:w="656" w:type="dxa"/>
          </w:tcPr>
          <w:p w14:paraId="5820BAB0" w14:textId="77777777" w:rsidR="00B45351" w:rsidRPr="00A2430F" w:rsidRDefault="00B45351" w:rsidP="00DF3B9D">
            <w:pPr>
              <w:spacing w:line="276" w:lineRule="auto"/>
              <w:jc w:val="center"/>
              <w:rPr>
                <w:color w:val="000000" w:themeColor="text1"/>
              </w:rPr>
            </w:pPr>
            <w:r w:rsidRPr="00A2430F">
              <w:rPr>
                <w:color w:val="000000" w:themeColor="text1"/>
              </w:rPr>
              <w:t>37</w:t>
            </w:r>
          </w:p>
        </w:tc>
        <w:tc>
          <w:tcPr>
            <w:tcW w:w="1123" w:type="dxa"/>
          </w:tcPr>
          <w:p w14:paraId="7AA6E09A" w14:textId="77777777" w:rsidR="00B45351" w:rsidRPr="00A2430F" w:rsidRDefault="00B45351" w:rsidP="00DF3B9D">
            <w:pPr>
              <w:spacing w:line="276" w:lineRule="auto"/>
              <w:jc w:val="center"/>
              <w:rPr>
                <w:color w:val="000000" w:themeColor="text1"/>
              </w:rPr>
            </w:pPr>
            <w:r w:rsidRPr="00A2430F">
              <w:rPr>
                <w:color w:val="000000" w:themeColor="text1"/>
              </w:rPr>
              <w:t>3.2</w:t>
            </w:r>
          </w:p>
        </w:tc>
        <w:tc>
          <w:tcPr>
            <w:tcW w:w="806" w:type="dxa"/>
            <w:vAlign w:val="center"/>
          </w:tcPr>
          <w:p w14:paraId="6F037F02" w14:textId="77777777" w:rsidR="00B45351" w:rsidRPr="00A2430F" w:rsidRDefault="00B45351" w:rsidP="00DF3B9D">
            <w:pPr>
              <w:spacing w:line="276" w:lineRule="auto"/>
              <w:jc w:val="center"/>
              <w:rPr>
                <w:color w:val="000000" w:themeColor="text1"/>
              </w:rPr>
            </w:pPr>
            <w:r w:rsidRPr="00A2430F">
              <w:rPr>
                <w:color w:val="000000" w:themeColor="text1"/>
              </w:rPr>
              <w:t>.002</w:t>
            </w:r>
            <w:r w:rsidRPr="00A2430F">
              <w:rPr>
                <w:color w:val="000000"/>
                <w:vertAlign w:val="superscript"/>
              </w:rPr>
              <w:t>‡</w:t>
            </w:r>
          </w:p>
        </w:tc>
        <w:tc>
          <w:tcPr>
            <w:tcW w:w="806" w:type="dxa"/>
            <w:vMerge/>
            <w:vAlign w:val="center"/>
          </w:tcPr>
          <w:p w14:paraId="742C74B9" w14:textId="77777777" w:rsidR="00B45351" w:rsidRPr="00A2430F" w:rsidRDefault="00B45351" w:rsidP="00DF3B9D">
            <w:pPr>
              <w:spacing w:line="276" w:lineRule="auto"/>
              <w:jc w:val="center"/>
              <w:rPr>
                <w:color w:val="000000" w:themeColor="text1"/>
              </w:rPr>
            </w:pPr>
          </w:p>
        </w:tc>
      </w:tr>
      <w:tr w:rsidR="00B45351" w:rsidRPr="00A2430F" w14:paraId="6B00EB67" w14:textId="77777777" w:rsidTr="00DF3B9D">
        <w:trPr>
          <w:trHeight w:hRule="exact" w:val="255"/>
          <w:jc w:val="center"/>
        </w:trPr>
        <w:tc>
          <w:tcPr>
            <w:tcW w:w="3750" w:type="dxa"/>
            <w:noWrap/>
          </w:tcPr>
          <w:p w14:paraId="158A7DB1" w14:textId="77777777" w:rsidR="00B45351" w:rsidRPr="00A2430F" w:rsidRDefault="00B45351" w:rsidP="00DF3B9D">
            <w:pPr>
              <w:spacing w:line="276" w:lineRule="auto"/>
              <w:rPr>
                <w:b/>
                <w:bCs/>
              </w:rPr>
            </w:pPr>
            <w:r w:rsidRPr="00A2430F">
              <w:rPr>
                <w:b/>
                <w:bCs/>
              </w:rPr>
              <w:t xml:space="preserve">Accommodation </w:t>
            </w:r>
          </w:p>
        </w:tc>
        <w:tc>
          <w:tcPr>
            <w:tcW w:w="1006" w:type="dxa"/>
            <w:shd w:val="clear" w:color="auto" w:fill="auto"/>
            <w:noWrap/>
          </w:tcPr>
          <w:p w14:paraId="7D04B1FC" w14:textId="77777777" w:rsidR="00B45351" w:rsidRPr="00A2430F" w:rsidRDefault="00B45351" w:rsidP="00DF3B9D">
            <w:pPr>
              <w:spacing w:line="276" w:lineRule="auto"/>
              <w:jc w:val="center"/>
              <w:rPr>
                <w:color w:val="000000"/>
              </w:rPr>
            </w:pPr>
          </w:p>
        </w:tc>
        <w:tc>
          <w:tcPr>
            <w:tcW w:w="1316" w:type="dxa"/>
            <w:shd w:val="clear" w:color="auto" w:fill="auto"/>
            <w:noWrap/>
          </w:tcPr>
          <w:p w14:paraId="382D03B6" w14:textId="77777777" w:rsidR="00B45351" w:rsidRPr="00A2430F" w:rsidRDefault="00B45351" w:rsidP="00DF3B9D">
            <w:pPr>
              <w:spacing w:line="276" w:lineRule="auto"/>
              <w:jc w:val="center"/>
              <w:rPr>
                <w:color w:val="000000"/>
              </w:rPr>
            </w:pPr>
          </w:p>
        </w:tc>
        <w:tc>
          <w:tcPr>
            <w:tcW w:w="656" w:type="dxa"/>
          </w:tcPr>
          <w:p w14:paraId="31F43E00" w14:textId="77777777" w:rsidR="00B45351" w:rsidRPr="00A2430F" w:rsidRDefault="00B45351" w:rsidP="00DF3B9D">
            <w:pPr>
              <w:spacing w:line="276" w:lineRule="auto"/>
              <w:jc w:val="center"/>
              <w:rPr>
                <w:color w:val="000000" w:themeColor="text1"/>
              </w:rPr>
            </w:pPr>
          </w:p>
        </w:tc>
        <w:tc>
          <w:tcPr>
            <w:tcW w:w="1123" w:type="dxa"/>
          </w:tcPr>
          <w:p w14:paraId="01FB5A86" w14:textId="77777777" w:rsidR="00B45351" w:rsidRPr="00A2430F" w:rsidRDefault="00B45351" w:rsidP="00DF3B9D">
            <w:pPr>
              <w:spacing w:line="276" w:lineRule="auto"/>
              <w:jc w:val="center"/>
              <w:rPr>
                <w:color w:val="000000" w:themeColor="text1"/>
              </w:rPr>
            </w:pPr>
          </w:p>
        </w:tc>
        <w:tc>
          <w:tcPr>
            <w:tcW w:w="806" w:type="dxa"/>
            <w:vAlign w:val="center"/>
          </w:tcPr>
          <w:p w14:paraId="22CC75F6" w14:textId="77777777" w:rsidR="00B45351" w:rsidRPr="00A2430F" w:rsidRDefault="00B45351" w:rsidP="00DF3B9D">
            <w:pPr>
              <w:spacing w:line="276" w:lineRule="auto"/>
              <w:jc w:val="center"/>
              <w:rPr>
                <w:color w:val="000000" w:themeColor="text1"/>
              </w:rPr>
            </w:pPr>
          </w:p>
        </w:tc>
        <w:tc>
          <w:tcPr>
            <w:tcW w:w="806" w:type="dxa"/>
            <w:vAlign w:val="center"/>
          </w:tcPr>
          <w:p w14:paraId="18D62973" w14:textId="77777777" w:rsidR="00B45351" w:rsidRPr="00A2430F" w:rsidRDefault="00B45351" w:rsidP="00DF3B9D">
            <w:pPr>
              <w:spacing w:line="276" w:lineRule="auto"/>
              <w:jc w:val="center"/>
              <w:rPr>
                <w:color w:val="000000" w:themeColor="text1"/>
              </w:rPr>
            </w:pPr>
          </w:p>
        </w:tc>
      </w:tr>
      <w:tr w:rsidR="00B45351" w:rsidRPr="00A2430F" w14:paraId="7B2F752B" w14:textId="77777777" w:rsidTr="00DF3B9D">
        <w:trPr>
          <w:trHeight w:hRule="exact" w:val="255"/>
          <w:jc w:val="center"/>
        </w:trPr>
        <w:tc>
          <w:tcPr>
            <w:tcW w:w="3750" w:type="dxa"/>
            <w:noWrap/>
          </w:tcPr>
          <w:p w14:paraId="1D53CB53" w14:textId="77777777" w:rsidR="00B45351" w:rsidRPr="00A2430F" w:rsidRDefault="00B45351" w:rsidP="00DF3B9D">
            <w:pPr>
              <w:spacing w:line="276" w:lineRule="auto"/>
            </w:pPr>
            <w:r w:rsidRPr="00A2430F">
              <w:t xml:space="preserve">   Domestic/family</w:t>
            </w:r>
          </w:p>
        </w:tc>
        <w:tc>
          <w:tcPr>
            <w:tcW w:w="1006" w:type="dxa"/>
            <w:shd w:val="clear" w:color="auto" w:fill="auto"/>
            <w:noWrap/>
          </w:tcPr>
          <w:p w14:paraId="32AC0133" w14:textId="77777777" w:rsidR="00B45351" w:rsidRPr="00A2430F" w:rsidRDefault="00B45351" w:rsidP="00DF3B9D">
            <w:pPr>
              <w:spacing w:line="276" w:lineRule="auto"/>
              <w:jc w:val="center"/>
            </w:pPr>
            <w:r w:rsidRPr="00A2430F">
              <w:t>130</w:t>
            </w:r>
          </w:p>
        </w:tc>
        <w:tc>
          <w:tcPr>
            <w:tcW w:w="1316" w:type="dxa"/>
            <w:shd w:val="clear" w:color="auto" w:fill="auto"/>
            <w:noWrap/>
          </w:tcPr>
          <w:p w14:paraId="0BB6D766" w14:textId="77777777" w:rsidR="00B45351" w:rsidRPr="00A2430F" w:rsidRDefault="00B45351" w:rsidP="00DF3B9D">
            <w:pPr>
              <w:spacing w:line="276" w:lineRule="auto"/>
              <w:jc w:val="center"/>
            </w:pPr>
            <w:r w:rsidRPr="00A2430F">
              <w:t>12.5</w:t>
            </w:r>
          </w:p>
        </w:tc>
        <w:tc>
          <w:tcPr>
            <w:tcW w:w="656" w:type="dxa"/>
          </w:tcPr>
          <w:p w14:paraId="00721DAE" w14:textId="77777777" w:rsidR="00B45351" w:rsidRPr="00A2430F" w:rsidRDefault="00B45351" w:rsidP="00DF3B9D">
            <w:pPr>
              <w:spacing w:line="276" w:lineRule="auto"/>
              <w:jc w:val="center"/>
              <w:rPr>
                <w:color w:val="000000" w:themeColor="text1"/>
              </w:rPr>
            </w:pPr>
            <w:r w:rsidRPr="00A2430F">
              <w:rPr>
                <w:color w:val="000000" w:themeColor="text1"/>
              </w:rPr>
              <w:t>146</w:t>
            </w:r>
          </w:p>
        </w:tc>
        <w:tc>
          <w:tcPr>
            <w:tcW w:w="1123" w:type="dxa"/>
          </w:tcPr>
          <w:p w14:paraId="34E94379" w14:textId="77777777" w:rsidR="00B45351" w:rsidRPr="00A2430F" w:rsidRDefault="00B45351" w:rsidP="00DF3B9D">
            <w:pPr>
              <w:spacing w:line="276" w:lineRule="auto"/>
              <w:jc w:val="center"/>
              <w:rPr>
                <w:color w:val="000000" w:themeColor="text1"/>
              </w:rPr>
            </w:pPr>
            <w:r w:rsidRPr="00A2430F">
              <w:rPr>
                <w:color w:val="000000" w:themeColor="text1"/>
              </w:rPr>
              <w:t>12.7</w:t>
            </w:r>
          </w:p>
        </w:tc>
        <w:tc>
          <w:tcPr>
            <w:tcW w:w="806" w:type="dxa"/>
            <w:vAlign w:val="center"/>
          </w:tcPr>
          <w:p w14:paraId="73CE59B0" w14:textId="77777777" w:rsidR="00B45351" w:rsidRPr="00A2430F" w:rsidRDefault="00B45351" w:rsidP="00DF3B9D">
            <w:pPr>
              <w:spacing w:line="276" w:lineRule="auto"/>
              <w:jc w:val="center"/>
              <w:rPr>
                <w:color w:val="000000" w:themeColor="text1"/>
              </w:rPr>
            </w:pPr>
            <w:r w:rsidRPr="00A2430F">
              <w:rPr>
                <w:color w:val="000000" w:themeColor="text1"/>
              </w:rPr>
              <w:t>.898</w:t>
            </w:r>
          </w:p>
        </w:tc>
        <w:tc>
          <w:tcPr>
            <w:tcW w:w="806" w:type="dxa"/>
            <w:vMerge w:val="restart"/>
            <w:vAlign w:val="center"/>
          </w:tcPr>
          <w:p w14:paraId="4E53AD62" w14:textId="77777777" w:rsidR="00B45351" w:rsidRPr="00A2430F" w:rsidRDefault="00B45351" w:rsidP="00DF3B9D">
            <w:pPr>
              <w:spacing w:line="276" w:lineRule="auto"/>
              <w:jc w:val="center"/>
              <w:rPr>
                <w:color w:val="000000" w:themeColor="text1"/>
              </w:rPr>
            </w:pPr>
            <w:r w:rsidRPr="00A2430F">
              <w:rPr>
                <w:color w:val="000000" w:themeColor="text1"/>
              </w:rPr>
              <w:t>&lt;.001</w:t>
            </w:r>
            <w:r w:rsidRPr="00A2430F">
              <w:rPr>
                <w:color w:val="000000"/>
                <w:vertAlign w:val="superscript"/>
              </w:rPr>
              <w:t>‡</w:t>
            </w:r>
          </w:p>
        </w:tc>
      </w:tr>
      <w:tr w:rsidR="00B45351" w:rsidRPr="00A2430F" w14:paraId="14E885F4" w14:textId="77777777" w:rsidTr="00DF3B9D">
        <w:trPr>
          <w:trHeight w:hRule="exact" w:val="255"/>
          <w:jc w:val="center"/>
        </w:trPr>
        <w:tc>
          <w:tcPr>
            <w:tcW w:w="3750" w:type="dxa"/>
            <w:noWrap/>
          </w:tcPr>
          <w:p w14:paraId="66AEFA64" w14:textId="77777777" w:rsidR="00B45351" w:rsidRPr="00A2430F" w:rsidRDefault="00B45351" w:rsidP="00DF3B9D">
            <w:pPr>
              <w:spacing w:line="276" w:lineRule="auto"/>
            </w:pPr>
            <w:r w:rsidRPr="00A2430F">
              <w:t xml:space="preserve">   Owner</w:t>
            </w:r>
          </w:p>
        </w:tc>
        <w:tc>
          <w:tcPr>
            <w:tcW w:w="1006" w:type="dxa"/>
            <w:shd w:val="clear" w:color="auto" w:fill="auto"/>
            <w:noWrap/>
          </w:tcPr>
          <w:p w14:paraId="61C8AD43" w14:textId="77777777" w:rsidR="00B45351" w:rsidRPr="00A2430F" w:rsidRDefault="00B45351" w:rsidP="00DF3B9D">
            <w:pPr>
              <w:spacing w:line="276" w:lineRule="auto"/>
              <w:jc w:val="center"/>
            </w:pPr>
            <w:r w:rsidRPr="00A2430F">
              <w:t>493</w:t>
            </w:r>
          </w:p>
        </w:tc>
        <w:tc>
          <w:tcPr>
            <w:tcW w:w="1316" w:type="dxa"/>
            <w:shd w:val="clear" w:color="auto" w:fill="auto"/>
            <w:noWrap/>
          </w:tcPr>
          <w:p w14:paraId="6AABC27F" w14:textId="77777777" w:rsidR="00B45351" w:rsidRPr="00A2430F" w:rsidRDefault="00B45351" w:rsidP="00DF3B9D">
            <w:pPr>
              <w:spacing w:line="276" w:lineRule="auto"/>
              <w:jc w:val="center"/>
            </w:pPr>
            <w:r w:rsidRPr="00A2430F">
              <w:t>47.5</w:t>
            </w:r>
          </w:p>
        </w:tc>
        <w:tc>
          <w:tcPr>
            <w:tcW w:w="656" w:type="dxa"/>
          </w:tcPr>
          <w:p w14:paraId="5A517633" w14:textId="77777777" w:rsidR="00B45351" w:rsidRPr="00A2430F" w:rsidRDefault="00B45351" w:rsidP="00DF3B9D">
            <w:pPr>
              <w:spacing w:line="276" w:lineRule="auto"/>
              <w:jc w:val="center"/>
              <w:rPr>
                <w:color w:val="000000" w:themeColor="text1"/>
              </w:rPr>
            </w:pPr>
            <w:r w:rsidRPr="00A2430F">
              <w:rPr>
                <w:color w:val="000000" w:themeColor="text1"/>
              </w:rPr>
              <w:t>637</w:t>
            </w:r>
          </w:p>
        </w:tc>
        <w:tc>
          <w:tcPr>
            <w:tcW w:w="1123" w:type="dxa"/>
          </w:tcPr>
          <w:p w14:paraId="02306A3B" w14:textId="77777777" w:rsidR="00B45351" w:rsidRPr="00A2430F" w:rsidRDefault="00B45351" w:rsidP="00DF3B9D">
            <w:pPr>
              <w:spacing w:line="276" w:lineRule="auto"/>
              <w:jc w:val="center"/>
              <w:rPr>
                <w:color w:val="000000" w:themeColor="text1"/>
              </w:rPr>
            </w:pPr>
            <w:r w:rsidRPr="00A2430F">
              <w:rPr>
                <w:color w:val="000000" w:themeColor="text1"/>
              </w:rPr>
              <w:t>55.1</w:t>
            </w:r>
          </w:p>
        </w:tc>
        <w:tc>
          <w:tcPr>
            <w:tcW w:w="806" w:type="dxa"/>
            <w:vAlign w:val="center"/>
          </w:tcPr>
          <w:p w14:paraId="16681BE6" w14:textId="77777777" w:rsidR="00B45351" w:rsidRPr="00A2430F" w:rsidRDefault="00B45351" w:rsidP="00DF3B9D">
            <w:pPr>
              <w:spacing w:line="276" w:lineRule="auto"/>
              <w:jc w:val="center"/>
              <w:rPr>
                <w:color w:val="000000" w:themeColor="text1"/>
              </w:rPr>
            </w:pPr>
            <w:r w:rsidRPr="00A2430F">
              <w:rPr>
                <w:color w:val="000000" w:themeColor="text1"/>
              </w:rPr>
              <w:t>&lt;.001</w:t>
            </w:r>
            <w:r w:rsidRPr="00A2430F">
              <w:rPr>
                <w:color w:val="000000"/>
                <w:vertAlign w:val="superscript"/>
              </w:rPr>
              <w:t>‡</w:t>
            </w:r>
          </w:p>
        </w:tc>
        <w:tc>
          <w:tcPr>
            <w:tcW w:w="806" w:type="dxa"/>
            <w:vMerge/>
            <w:vAlign w:val="center"/>
          </w:tcPr>
          <w:p w14:paraId="3302FE74" w14:textId="77777777" w:rsidR="00B45351" w:rsidRPr="00A2430F" w:rsidRDefault="00B45351" w:rsidP="00DF3B9D">
            <w:pPr>
              <w:spacing w:line="276" w:lineRule="auto"/>
              <w:jc w:val="center"/>
              <w:rPr>
                <w:color w:val="000000" w:themeColor="text1"/>
              </w:rPr>
            </w:pPr>
          </w:p>
        </w:tc>
      </w:tr>
      <w:tr w:rsidR="00B45351" w:rsidRPr="00A2430F" w14:paraId="626EDE90" w14:textId="77777777" w:rsidTr="00DF3B9D">
        <w:trPr>
          <w:trHeight w:hRule="exact" w:val="255"/>
          <w:jc w:val="center"/>
        </w:trPr>
        <w:tc>
          <w:tcPr>
            <w:tcW w:w="3750" w:type="dxa"/>
            <w:noWrap/>
          </w:tcPr>
          <w:p w14:paraId="3767A501" w14:textId="77777777" w:rsidR="00B45351" w:rsidRPr="00A2430F" w:rsidRDefault="00B45351" w:rsidP="00DF3B9D">
            <w:pPr>
              <w:spacing w:line="276" w:lineRule="auto"/>
            </w:pPr>
            <w:r w:rsidRPr="00A2430F">
              <w:t xml:space="preserve">   Privately rented</w:t>
            </w:r>
          </w:p>
        </w:tc>
        <w:tc>
          <w:tcPr>
            <w:tcW w:w="1006" w:type="dxa"/>
            <w:shd w:val="clear" w:color="auto" w:fill="auto"/>
            <w:noWrap/>
          </w:tcPr>
          <w:p w14:paraId="1E31D628" w14:textId="77777777" w:rsidR="00B45351" w:rsidRPr="00A2430F" w:rsidRDefault="00B45351" w:rsidP="00DF3B9D">
            <w:pPr>
              <w:spacing w:line="276" w:lineRule="auto"/>
              <w:jc w:val="center"/>
            </w:pPr>
            <w:r w:rsidRPr="00A2430F">
              <w:t>211</w:t>
            </w:r>
          </w:p>
        </w:tc>
        <w:tc>
          <w:tcPr>
            <w:tcW w:w="1316" w:type="dxa"/>
            <w:shd w:val="clear" w:color="auto" w:fill="auto"/>
            <w:noWrap/>
          </w:tcPr>
          <w:p w14:paraId="78F1783F" w14:textId="77777777" w:rsidR="00B45351" w:rsidRPr="00A2430F" w:rsidRDefault="00B45351" w:rsidP="00DF3B9D">
            <w:pPr>
              <w:spacing w:line="276" w:lineRule="auto"/>
              <w:jc w:val="center"/>
            </w:pPr>
            <w:r w:rsidRPr="00A2430F">
              <w:t>20.3</w:t>
            </w:r>
          </w:p>
        </w:tc>
        <w:tc>
          <w:tcPr>
            <w:tcW w:w="656" w:type="dxa"/>
          </w:tcPr>
          <w:p w14:paraId="629F002C" w14:textId="77777777" w:rsidR="00B45351" w:rsidRPr="00A2430F" w:rsidRDefault="00B45351" w:rsidP="00DF3B9D">
            <w:pPr>
              <w:spacing w:line="276" w:lineRule="auto"/>
              <w:jc w:val="center"/>
              <w:rPr>
                <w:color w:val="000000" w:themeColor="text1"/>
              </w:rPr>
            </w:pPr>
            <w:r w:rsidRPr="00A2430F">
              <w:rPr>
                <w:color w:val="000000" w:themeColor="text1"/>
              </w:rPr>
              <w:t>250</w:t>
            </w:r>
          </w:p>
        </w:tc>
        <w:tc>
          <w:tcPr>
            <w:tcW w:w="1123" w:type="dxa"/>
          </w:tcPr>
          <w:p w14:paraId="08D6786C" w14:textId="77777777" w:rsidR="00B45351" w:rsidRPr="00A2430F" w:rsidRDefault="00B45351" w:rsidP="00DF3B9D">
            <w:pPr>
              <w:spacing w:line="276" w:lineRule="auto"/>
              <w:jc w:val="center"/>
              <w:rPr>
                <w:color w:val="000000" w:themeColor="text1"/>
              </w:rPr>
            </w:pPr>
            <w:r w:rsidRPr="00A2430F">
              <w:rPr>
                <w:color w:val="000000" w:themeColor="text1"/>
              </w:rPr>
              <w:t>21.8</w:t>
            </w:r>
          </w:p>
        </w:tc>
        <w:tc>
          <w:tcPr>
            <w:tcW w:w="806" w:type="dxa"/>
            <w:vAlign w:val="center"/>
          </w:tcPr>
          <w:p w14:paraId="26D671F2" w14:textId="77777777" w:rsidR="00B45351" w:rsidRPr="00A2430F" w:rsidRDefault="00B45351" w:rsidP="00DF3B9D">
            <w:pPr>
              <w:spacing w:line="276" w:lineRule="auto"/>
              <w:jc w:val="center"/>
              <w:rPr>
                <w:color w:val="000000" w:themeColor="text1"/>
              </w:rPr>
            </w:pPr>
            <w:r w:rsidRPr="00A2430F">
              <w:rPr>
                <w:color w:val="000000" w:themeColor="text1"/>
              </w:rPr>
              <w:t>.413</w:t>
            </w:r>
          </w:p>
        </w:tc>
        <w:tc>
          <w:tcPr>
            <w:tcW w:w="806" w:type="dxa"/>
            <w:vMerge/>
            <w:vAlign w:val="center"/>
          </w:tcPr>
          <w:p w14:paraId="0BDE18EC" w14:textId="77777777" w:rsidR="00B45351" w:rsidRPr="00A2430F" w:rsidRDefault="00B45351" w:rsidP="00DF3B9D">
            <w:pPr>
              <w:spacing w:line="276" w:lineRule="auto"/>
              <w:jc w:val="center"/>
              <w:rPr>
                <w:color w:val="000000" w:themeColor="text1"/>
              </w:rPr>
            </w:pPr>
          </w:p>
        </w:tc>
      </w:tr>
      <w:tr w:rsidR="00B45351" w:rsidRPr="00A2430F" w14:paraId="6CB47381" w14:textId="77777777" w:rsidTr="00DF3B9D">
        <w:trPr>
          <w:trHeight w:hRule="exact" w:val="255"/>
          <w:jc w:val="center"/>
        </w:trPr>
        <w:tc>
          <w:tcPr>
            <w:tcW w:w="3750" w:type="dxa"/>
            <w:noWrap/>
          </w:tcPr>
          <w:p w14:paraId="525D296E" w14:textId="77777777" w:rsidR="00B45351" w:rsidRPr="00A2430F" w:rsidRDefault="00B45351" w:rsidP="00DF3B9D">
            <w:pPr>
              <w:spacing w:line="276" w:lineRule="auto"/>
            </w:pPr>
            <w:r w:rsidRPr="00A2430F">
              <w:t xml:space="preserve">   Rented from local authority</w:t>
            </w:r>
          </w:p>
        </w:tc>
        <w:tc>
          <w:tcPr>
            <w:tcW w:w="1006" w:type="dxa"/>
            <w:shd w:val="clear" w:color="auto" w:fill="auto"/>
            <w:noWrap/>
          </w:tcPr>
          <w:p w14:paraId="5B0B491C" w14:textId="77777777" w:rsidR="00B45351" w:rsidRPr="00A2430F" w:rsidRDefault="00B45351" w:rsidP="00DF3B9D">
            <w:pPr>
              <w:spacing w:line="276" w:lineRule="auto"/>
              <w:jc w:val="center"/>
            </w:pPr>
            <w:r w:rsidRPr="00A2430F">
              <w:t>163</w:t>
            </w:r>
          </w:p>
        </w:tc>
        <w:tc>
          <w:tcPr>
            <w:tcW w:w="1316" w:type="dxa"/>
            <w:shd w:val="clear" w:color="auto" w:fill="auto"/>
            <w:noWrap/>
          </w:tcPr>
          <w:p w14:paraId="5B00A371" w14:textId="77777777" w:rsidR="00B45351" w:rsidRPr="00A2430F" w:rsidRDefault="00B45351" w:rsidP="00DF3B9D">
            <w:pPr>
              <w:spacing w:line="276" w:lineRule="auto"/>
              <w:jc w:val="center"/>
            </w:pPr>
            <w:r w:rsidRPr="00A2430F">
              <w:t>15.7</w:t>
            </w:r>
          </w:p>
        </w:tc>
        <w:tc>
          <w:tcPr>
            <w:tcW w:w="656" w:type="dxa"/>
          </w:tcPr>
          <w:p w14:paraId="428B11F3" w14:textId="77777777" w:rsidR="00B45351" w:rsidRPr="00A2430F" w:rsidRDefault="00B45351" w:rsidP="00DF3B9D">
            <w:pPr>
              <w:spacing w:line="276" w:lineRule="auto"/>
              <w:jc w:val="center"/>
              <w:rPr>
                <w:color w:val="000000" w:themeColor="text1"/>
              </w:rPr>
            </w:pPr>
            <w:r w:rsidRPr="00A2430F">
              <w:rPr>
                <w:color w:val="000000" w:themeColor="text1"/>
              </w:rPr>
              <w:t>106</w:t>
            </w:r>
          </w:p>
        </w:tc>
        <w:tc>
          <w:tcPr>
            <w:tcW w:w="1123" w:type="dxa"/>
          </w:tcPr>
          <w:p w14:paraId="6C3C6054" w14:textId="77777777" w:rsidR="00B45351" w:rsidRPr="00A2430F" w:rsidRDefault="00B45351" w:rsidP="00DF3B9D">
            <w:pPr>
              <w:spacing w:line="276" w:lineRule="auto"/>
              <w:jc w:val="center"/>
              <w:rPr>
                <w:color w:val="000000" w:themeColor="text1"/>
              </w:rPr>
            </w:pPr>
            <w:r w:rsidRPr="00A2430F">
              <w:rPr>
                <w:color w:val="000000" w:themeColor="text1"/>
              </w:rPr>
              <w:t>9.2</w:t>
            </w:r>
          </w:p>
        </w:tc>
        <w:tc>
          <w:tcPr>
            <w:tcW w:w="806" w:type="dxa"/>
            <w:vAlign w:val="center"/>
          </w:tcPr>
          <w:p w14:paraId="63487A8A" w14:textId="77777777" w:rsidR="00B45351" w:rsidRPr="00A2430F" w:rsidRDefault="00B45351" w:rsidP="00DF3B9D">
            <w:pPr>
              <w:spacing w:line="276" w:lineRule="auto"/>
              <w:jc w:val="center"/>
              <w:rPr>
                <w:color w:val="000000" w:themeColor="text1"/>
              </w:rPr>
            </w:pPr>
            <w:r w:rsidRPr="00A2430F">
              <w:rPr>
                <w:color w:val="000000" w:themeColor="text1"/>
              </w:rPr>
              <w:t>&lt;.001</w:t>
            </w:r>
            <w:r w:rsidRPr="00A2430F">
              <w:rPr>
                <w:color w:val="000000"/>
                <w:vertAlign w:val="superscript"/>
              </w:rPr>
              <w:t>‡</w:t>
            </w:r>
          </w:p>
        </w:tc>
        <w:tc>
          <w:tcPr>
            <w:tcW w:w="806" w:type="dxa"/>
            <w:vMerge/>
            <w:vAlign w:val="center"/>
          </w:tcPr>
          <w:p w14:paraId="6E91DC11" w14:textId="77777777" w:rsidR="00B45351" w:rsidRPr="00A2430F" w:rsidRDefault="00B45351" w:rsidP="00DF3B9D">
            <w:pPr>
              <w:spacing w:line="276" w:lineRule="auto"/>
              <w:jc w:val="center"/>
              <w:rPr>
                <w:color w:val="000000" w:themeColor="text1"/>
              </w:rPr>
            </w:pPr>
          </w:p>
        </w:tc>
      </w:tr>
      <w:tr w:rsidR="00B45351" w:rsidRPr="00A2430F" w14:paraId="0B731293" w14:textId="77777777" w:rsidTr="00DF3B9D">
        <w:trPr>
          <w:trHeight w:hRule="exact" w:val="255"/>
          <w:jc w:val="center"/>
        </w:trPr>
        <w:tc>
          <w:tcPr>
            <w:tcW w:w="3750" w:type="dxa"/>
            <w:noWrap/>
          </w:tcPr>
          <w:p w14:paraId="61C01B77" w14:textId="77777777" w:rsidR="00B45351" w:rsidRPr="00A2430F" w:rsidRDefault="00B45351" w:rsidP="00DF3B9D">
            <w:pPr>
              <w:spacing w:line="276" w:lineRule="auto"/>
            </w:pPr>
            <w:r w:rsidRPr="00A2430F">
              <w:t xml:space="preserve">   Community/supported living</w:t>
            </w:r>
          </w:p>
        </w:tc>
        <w:tc>
          <w:tcPr>
            <w:tcW w:w="1006" w:type="dxa"/>
            <w:shd w:val="clear" w:color="auto" w:fill="auto"/>
            <w:noWrap/>
          </w:tcPr>
          <w:p w14:paraId="21EA8AF6" w14:textId="77777777" w:rsidR="00B45351" w:rsidRPr="00A2430F" w:rsidRDefault="00B45351" w:rsidP="00DF3B9D">
            <w:pPr>
              <w:spacing w:line="276" w:lineRule="auto"/>
              <w:jc w:val="center"/>
            </w:pPr>
            <w:r w:rsidRPr="00A2430F">
              <w:t>37</w:t>
            </w:r>
          </w:p>
        </w:tc>
        <w:tc>
          <w:tcPr>
            <w:tcW w:w="1316" w:type="dxa"/>
            <w:shd w:val="clear" w:color="auto" w:fill="auto"/>
            <w:noWrap/>
          </w:tcPr>
          <w:p w14:paraId="3DE1B3F8" w14:textId="77777777" w:rsidR="00B45351" w:rsidRPr="00A2430F" w:rsidRDefault="00B45351" w:rsidP="00DF3B9D">
            <w:pPr>
              <w:spacing w:line="276" w:lineRule="auto"/>
              <w:jc w:val="center"/>
            </w:pPr>
            <w:r w:rsidRPr="00A2430F">
              <w:t>3.6</w:t>
            </w:r>
          </w:p>
        </w:tc>
        <w:tc>
          <w:tcPr>
            <w:tcW w:w="656" w:type="dxa"/>
          </w:tcPr>
          <w:p w14:paraId="16C1F834" w14:textId="77777777" w:rsidR="00B45351" w:rsidRPr="00A2430F" w:rsidRDefault="00B45351" w:rsidP="00DF3B9D">
            <w:pPr>
              <w:spacing w:line="276" w:lineRule="auto"/>
              <w:jc w:val="center"/>
              <w:rPr>
                <w:color w:val="000000" w:themeColor="text1"/>
              </w:rPr>
            </w:pPr>
            <w:r w:rsidRPr="00A2430F">
              <w:rPr>
                <w:color w:val="000000" w:themeColor="text1"/>
              </w:rPr>
              <w:t>6</w:t>
            </w:r>
          </w:p>
        </w:tc>
        <w:tc>
          <w:tcPr>
            <w:tcW w:w="1123" w:type="dxa"/>
          </w:tcPr>
          <w:p w14:paraId="2A5BA4D4" w14:textId="77777777" w:rsidR="00B45351" w:rsidRPr="00A2430F" w:rsidRDefault="00B45351" w:rsidP="00DF3B9D">
            <w:pPr>
              <w:spacing w:line="276" w:lineRule="auto"/>
              <w:jc w:val="center"/>
              <w:rPr>
                <w:color w:val="000000" w:themeColor="text1"/>
              </w:rPr>
            </w:pPr>
            <w:r w:rsidRPr="00A2430F">
              <w:rPr>
                <w:color w:val="000000" w:themeColor="text1"/>
              </w:rPr>
              <w:t>0.5</w:t>
            </w:r>
          </w:p>
        </w:tc>
        <w:tc>
          <w:tcPr>
            <w:tcW w:w="806" w:type="dxa"/>
            <w:vAlign w:val="center"/>
          </w:tcPr>
          <w:p w14:paraId="18CF2CDD" w14:textId="77777777" w:rsidR="00B45351" w:rsidRPr="00A2430F" w:rsidRDefault="00B45351" w:rsidP="00DF3B9D">
            <w:pPr>
              <w:spacing w:line="276" w:lineRule="auto"/>
              <w:jc w:val="center"/>
              <w:rPr>
                <w:color w:val="000000" w:themeColor="text1"/>
              </w:rPr>
            </w:pPr>
            <w:r w:rsidRPr="00A2430F">
              <w:rPr>
                <w:color w:val="000000" w:themeColor="text1"/>
              </w:rPr>
              <w:t>&lt;.001</w:t>
            </w:r>
            <w:r w:rsidRPr="00A2430F">
              <w:rPr>
                <w:color w:val="000000"/>
                <w:vertAlign w:val="superscript"/>
              </w:rPr>
              <w:t>‡</w:t>
            </w:r>
          </w:p>
        </w:tc>
        <w:tc>
          <w:tcPr>
            <w:tcW w:w="806" w:type="dxa"/>
            <w:vMerge/>
            <w:vAlign w:val="center"/>
          </w:tcPr>
          <w:p w14:paraId="5EF8D793" w14:textId="77777777" w:rsidR="00B45351" w:rsidRPr="00A2430F" w:rsidRDefault="00B45351" w:rsidP="00DF3B9D">
            <w:pPr>
              <w:spacing w:line="276" w:lineRule="auto"/>
              <w:jc w:val="center"/>
              <w:rPr>
                <w:color w:val="000000" w:themeColor="text1"/>
              </w:rPr>
            </w:pPr>
          </w:p>
        </w:tc>
      </w:tr>
      <w:tr w:rsidR="00B45351" w:rsidRPr="00A2430F" w14:paraId="4322E5E8" w14:textId="77777777" w:rsidTr="00DF3B9D">
        <w:trPr>
          <w:trHeight w:hRule="exact" w:val="255"/>
          <w:jc w:val="center"/>
        </w:trPr>
        <w:tc>
          <w:tcPr>
            <w:tcW w:w="3750" w:type="dxa"/>
            <w:noWrap/>
          </w:tcPr>
          <w:p w14:paraId="589C41A8" w14:textId="77777777" w:rsidR="00B45351" w:rsidRPr="00A2430F" w:rsidRDefault="00B45351" w:rsidP="00DF3B9D">
            <w:pPr>
              <w:spacing w:line="276" w:lineRule="auto"/>
            </w:pPr>
            <w:r w:rsidRPr="00A2430F">
              <w:t xml:space="preserve">   Homeless</w:t>
            </w:r>
          </w:p>
        </w:tc>
        <w:tc>
          <w:tcPr>
            <w:tcW w:w="1006" w:type="dxa"/>
            <w:shd w:val="clear" w:color="auto" w:fill="auto"/>
            <w:noWrap/>
          </w:tcPr>
          <w:p w14:paraId="7D8FA2F8" w14:textId="77777777" w:rsidR="00B45351" w:rsidRPr="00A2430F" w:rsidRDefault="00B45351" w:rsidP="00DF3B9D">
            <w:pPr>
              <w:spacing w:line="276" w:lineRule="auto"/>
              <w:jc w:val="center"/>
            </w:pPr>
            <w:r w:rsidRPr="00A2430F">
              <w:t>3</w:t>
            </w:r>
          </w:p>
        </w:tc>
        <w:tc>
          <w:tcPr>
            <w:tcW w:w="1316" w:type="dxa"/>
            <w:shd w:val="clear" w:color="auto" w:fill="auto"/>
            <w:noWrap/>
          </w:tcPr>
          <w:p w14:paraId="0A6BF53D" w14:textId="77777777" w:rsidR="00B45351" w:rsidRPr="00A2430F" w:rsidRDefault="00B45351" w:rsidP="00DF3B9D">
            <w:pPr>
              <w:spacing w:line="276" w:lineRule="auto"/>
              <w:jc w:val="center"/>
            </w:pPr>
            <w:r w:rsidRPr="00A2430F">
              <w:t>0.3</w:t>
            </w:r>
          </w:p>
        </w:tc>
        <w:tc>
          <w:tcPr>
            <w:tcW w:w="656" w:type="dxa"/>
          </w:tcPr>
          <w:p w14:paraId="6AABE36C" w14:textId="77777777" w:rsidR="00B45351" w:rsidRPr="00A2430F" w:rsidRDefault="00B45351" w:rsidP="00DF3B9D">
            <w:pPr>
              <w:spacing w:line="276" w:lineRule="auto"/>
              <w:jc w:val="center"/>
              <w:rPr>
                <w:color w:val="000000" w:themeColor="text1"/>
              </w:rPr>
            </w:pPr>
            <w:r w:rsidRPr="00A2430F">
              <w:rPr>
                <w:color w:val="000000" w:themeColor="text1"/>
              </w:rPr>
              <w:t>0</w:t>
            </w:r>
          </w:p>
        </w:tc>
        <w:tc>
          <w:tcPr>
            <w:tcW w:w="1123" w:type="dxa"/>
          </w:tcPr>
          <w:p w14:paraId="5F40A443" w14:textId="77777777" w:rsidR="00B45351" w:rsidRPr="00A2430F" w:rsidRDefault="00B45351" w:rsidP="00DF3B9D">
            <w:pPr>
              <w:spacing w:line="276" w:lineRule="auto"/>
              <w:jc w:val="center"/>
              <w:rPr>
                <w:color w:val="000000" w:themeColor="text1"/>
              </w:rPr>
            </w:pPr>
            <w:r w:rsidRPr="00A2430F">
              <w:rPr>
                <w:color w:val="000000" w:themeColor="text1"/>
              </w:rPr>
              <w:t>0.0</w:t>
            </w:r>
          </w:p>
        </w:tc>
        <w:tc>
          <w:tcPr>
            <w:tcW w:w="806" w:type="dxa"/>
            <w:vAlign w:val="center"/>
          </w:tcPr>
          <w:p w14:paraId="4DEA8C1C" w14:textId="77777777" w:rsidR="00B45351" w:rsidRPr="00A2430F" w:rsidRDefault="00B45351" w:rsidP="00DF3B9D">
            <w:pPr>
              <w:spacing w:line="276" w:lineRule="auto"/>
              <w:jc w:val="center"/>
              <w:rPr>
                <w:color w:val="000000" w:themeColor="text1"/>
              </w:rPr>
            </w:pPr>
            <w:r w:rsidRPr="00A2430F">
              <w:rPr>
                <w:color w:val="000000" w:themeColor="text1"/>
              </w:rPr>
              <w:t>.068</w:t>
            </w:r>
          </w:p>
        </w:tc>
        <w:tc>
          <w:tcPr>
            <w:tcW w:w="806" w:type="dxa"/>
            <w:vMerge/>
            <w:vAlign w:val="center"/>
          </w:tcPr>
          <w:p w14:paraId="3A0DEBFC" w14:textId="77777777" w:rsidR="00B45351" w:rsidRPr="00A2430F" w:rsidRDefault="00B45351" w:rsidP="00DF3B9D">
            <w:pPr>
              <w:spacing w:line="276" w:lineRule="auto"/>
              <w:jc w:val="center"/>
              <w:rPr>
                <w:color w:val="000000" w:themeColor="text1"/>
              </w:rPr>
            </w:pPr>
          </w:p>
        </w:tc>
      </w:tr>
      <w:tr w:rsidR="00B45351" w:rsidRPr="00A2430F" w14:paraId="5A8CBB56" w14:textId="77777777" w:rsidTr="00DF3B9D">
        <w:trPr>
          <w:trHeight w:hRule="exact" w:val="255"/>
          <w:jc w:val="center"/>
        </w:trPr>
        <w:tc>
          <w:tcPr>
            <w:tcW w:w="3750" w:type="dxa"/>
            <w:noWrap/>
          </w:tcPr>
          <w:p w14:paraId="2CDADA70" w14:textId="77777777" w:rsidR="00B45351" w:rsidRPr="00A2430F" w:rsidRDefault="00B45351" w:rsidP="00DF3B9D">
            <w:pPr>
              <w:spacing w:line="276" w:lineRule="auto"/>
            </w:pPr>
            <w:r w:rsidRPr="00A2430F">
              <w:t xml:space="preserve">   Other</w:t>
            </w:r>
          </w:p>
        </w:tc>
        <w:tc>
          <w:tcPr>
            <w:tcW w:w="1006" w:type="dxa"/>
            <w:shd w:val="clear" w:color="auto" w:fill="auto"/>
            <w:noWrap/>
          </w:tcPr>
          <w:p w14:paraId="62FAB667" w14:textId="77777777" w:rsidR="00B45351" w:rsidRPr="00A2430F" w:rsidRDefault="00B45351" w:rsidP="00DF3B9D">
            <w:pPr>
              <w:spacing w:line="276" w:lineRule="auto"/>
              <w:jc w:val="center"/>
            </w:pPr>
            <w:r w:rsidRPr="00A2430F">
              <w:t>0</w:t>
            </w:r>
          </w:p>
        </w:tc>
        <w:tc>
          <w:tcPr>
            <w:tcW w:w="1316" w:type="dxa"/>
            <w:shd w:val="clear" w:color="auto" w:fill="auto"/>
            <w:noWrap/>
          </w:tcPr>
          <w:p w14:paraId="473484B4" w14:textId="77777777" w:rsidR="00B45351" w:rsidRPr="00A2430F" w:rsidRDefault="00B45351" w:rsidP="00DF3B9D">
            <w:pPr>
              <w:spacing w:line="276" w:lineRule="auto"/>
              <w:jc w:val="center"/>
            </w:pPr>
            <w:r w:rsidRPr="00A2430F">
              <w:t>0.0</w:t>
            </w:r>
          </w:p>
        </w:tc>
        <w:tc>
          <w:tcPr>
            <w:tcW w:w="656" w:type="dxa"/>
          </w:tcPr>
          <w:p w14:paraId="44D3CDD3" w14:textId="77777777" w:rsidR="00B45351" w:rsidRPr="00A2430F" w:rsidRDefault="00B45351" w:rsidP="00DF3B9D">
            <w:pPr>
              <w:spacing w:line="276" w:lineRule="auto"/>
              <w:jc w:val="center"/>
              <w:rPr>
                <w:color w:val="000000" w:themeColor="text1"/>
              </w:rPr>
            </w:pPr>
            <w:r w:rsidRPr="00A2430F">
              <w:rPr>
                <w:color w:val="000000" w:themeColor="text1"/>
              </w:rPr>
              <w:t>3</w:t>
            </w:r>
          </w:p>
        </w:tc>
        <w:tc>
          <w:tcPr>
            <w:tcW w:w="1123" w:type="dxa"/>
          </w:tcPr>
          <w:p w14:paraId="0C8BE8BA" w14:textId="77777777" w:rsidR="00B45351" w:rsidRPr="00A2430F" w:rsidRDefault="00B45351" w:rsidP="00DF3B9D">
            <w:pPr>
              <w:spacing w:line="276" w:lineRule="auto"/>
              <w:jc w:val="center"/>
              <w:rPr>
                <w:color w:val="000000" w:themeColor="text1"/>
              </w:rPr>
            </w:pPr>
            <w:r w:rsidRPr="00A2430F">
              <w:rPr>
                <w:color w:val="000000" w:themeColor="text1"/>
              </w:rPr>
              <w:t>0.3</w:t>
            </w:r>
          </w:p>
        </w:tc>
        <w:tc>
          <w:tcPr>
            <w:tcW w:w="806" w:type="dxa"/>
            <w:vAlign w:val="center"/>
          </w:tcPr>
          <w:p w14:paraId="6E6BEF93" w14:textId="77777777" w:rsidR="00B45351" w:rsidRPr="00A2430F" w:rsidRDefault="00B45351" w:rsidP="00DF3B9D">
            <w:pPr>
              <w:spacing w:line="276" w:lineRule="auto"/>
              <w:jc w:val="center"/>
              <w:rPr>
                <w:color w:val="000000" w:themeColor="text1"/>
              </w:rPr>
            </w:pPr>
            <w:r w:rsidRPr="00A2430F">
              <w:rPr>
                <w:color w:val="000000" w:themeColor="text1"/>
              </w:rPr>
              <w:t>.099</w:t>
            </w:r>
          </w:p>
        </w:tc>
        <w:tc>
          <w:tcPr>
            <w:tcW w:w="806" w:type="dxa"/>
            <w:vMerge/>
            <w:vAlign w:val="center"/>
          </w:tcPr>
          <w:p w14:paraId="3DD2C999" w14:textId="77777777" w:rsidR="00B45351" w:rsidRPr="00A2430F" w:rsidRDefault="00B45351" w:rsidP="00DF3B9D">
            <w:pPr>
              <w:spacing w:line="276" w:lineRule="auto"/>
              <w:jc w:val="center"/>
              <w:rPr>
                <w:color w:val="000000" w:themeColor="text1"/>
              </w:rPr>
            </w:pPr>
          </w:p>
        </w:tc>
      </w:tr>
      <w:tr w:rsidR="00B45351" w:rsidRPr="00A2430F" w14:paraId="1FE4AA50" w14:textId="77777777" w:rsidTr="00DF3B9D">
        <w:trPr>
          <w:trHeight w:hRule="exact" w:val="255"/>
          <w:jc w:val="center"/>
        </w:trPr>
        <w:tc>
          <w:tcPr>
            <w:tcW w:w="3750" w:type="dxa"/>
            <w:noWrap/>
          </w:tcPr>
          <w:p w14:paraId="63FBBA64" w14:textId="77777777" w:rsidR="00B45351" w:rsidRPr="00A2430F" w:rsidRDefault="00B45351" w:rsidP="00DF3B9D">
            <w:pPr>
              <w:spacing w:line="276" w:lineRule="auto"/>
              <w:rPr>
                <w:b/>
                <w:bCs/>
              </w:rPr>
            </w:pPr>
            <w:r w:rsidRPr="00A2430F">
              <w:rPr>
                <w:b/>
                <w:bCs/>
              </w:rPr>
              <w:t>Benefits</w:t>
            </w:r>
          </w:p>
        </w:tc>
        <w:tc>
          <w:tcPr>
            <w:tcW w:w="1006" w:type="dxa"/>
            <w:shd w:val="clear" w:color="auto" w:fill="auto"/>
            <w:noWrap/>
          </w:tcPr>
          <w:p w14:paraId="4B2A7A99" w14:textId="77777777" w:rsidR="00B45351" w:rsidRPr="00A2430F" w:rsidRDefault="00B45351" w:rsidP="00DF3B9D">
            <w:pPr>
              <w:spacing w:line="276" w:lineRule="auto"/>
              <w:jc w:val="center"/>
            </w:pPr>
          </w:p>
        </w:tc>
        <w:tc>
          <w:tcPr>
            <w:tcW w:w="1316" w:type="dxa"/>
            <w:shd w:val="clear" w:color="auto" w:fill="auto"/>
            <w:noWrap/>
          </w:tcPr>
          <w:p w14:paraId="37AE2B7B" w14:textId="77777777" w:rsidR="00B45351" w:rsidRPr="00A2430F" w:rsidRDefault="00B45351" w:rsidP="00DF3B9D">
            <w:pPr>
              <w:spacing w:line="276" w:lineRule="auto"/>
              <w:jc w:val="center"/>
            </w:pPr>
          </w:p>
        </w:tc>
        <w:tc>
          <w:tcPr>
            <w:tcW w:w="656" w:type="dxa"/>
          </w:tcPr>
          <w:p w14:paraId="2FC6D6BD" w14:textId="77777777" w:rsidR="00B45351" w:rsidRPr="00A2430F" w:rsidRDefault="00B45351" w:rsidP="00DF3B9D">
            <w:pPr>
              <w:spacing w:line="276" w:lineRule="auto"/>
              <w:jc w:val="center"/>
              <w:rPr>
                <w:color w:val="000000" w:themeColor="text1"/>
              </w:rPr>
            </w:pPr>
          </w:p>
        </w:tc>
        <w:tc>
          <w:tcPr>
            <w:tcW w:w="1123" w:type="dxa"/>
          </w:tcPr>
          <w:p w14:paraId="7A28EE51" w14:textId="77777777" w:rsidR="00B45351" w:rsidRPr="00A2430F" w:rsidRDefault="00B45351" w:rsidP="00DF3B9D">
            <w:pPr>
              <w:spacing w:line="276" w:lineRule="auto"/>
              <w:jc w:val="center"/>
              <w:rPr>
                <w:color w:val="000000" w:themeColor="text1"/>
              </w:rPr>
            </w:pPr>
          </w:p>
        </w:tc>
        <w:tc>
          <w:tcPr>
            <w:tcW w:w="806" w:type="dxa"/>
            <w:vAlign w:val="center"/>
          </w:tcPr>
          <w:p w14:paraId="0F4B9B94" w14:textId="77777777" w:rsidR="00B45351" w:rsidRPr="00A2430F" w:rsidRDefault="00B45351" w:rsidP="00DF3B9D">
            <w:pPr>
              <w:spacing w:line="276" w:lineRule="auto"/>
              <w:jc w:val="center"/>
              <w:rPr>
                <w:color w:val="000000" w:themeColor="text1"/>
              </w:rPr>
            </w:pPr>
          </w:p>
        </w:tc>
        <w:tc>
          <w:tcPr>
            <w:tcW w:w="806" w:type="dxa"/>
            <w:vAlign w:val="center"/>
          </w:tcPr>
          <w:p w14:paraId="629C43DF" w14:textId="77777777" w:rsidR="00B45351" w:rsidRPr="00A2430F" w:rsidRDefault="00B45351" w:rsidP="00DF3B9D">
            <w:pPr>
              <w:spacing w:line="276" w:lineRule="auto"/>
              <w:jc w:val="center"/>
              <w:rPr>
                <w:color w:val="000000" w:themeColor="text1"/>
              </w:rPr>
            </w:pPr>
          </w:p>
        </w:tc>
      </w:tr>
      <w:tr w:rsidR="00B45351" w:rsidRPr="00A2430F" w14:paraId="719D7A51" w14:textId="77777777" w:rsidTr="00DF3B9D">
        <w:trPr>
          <w:trHeight w:hRule="exact" w:val="255"/>
          <w:jc w:val="center"/>
        </w:trPr>
        <w:tc>
          <w:tcPr>
            <w:tcW w:w="3750" w:type="dxa"/>
            <w:noWrap/>
          </w:tcPr>
          <w:p w14:paraId="226692E9" w14:textId="77777777" w:rsidR="00B45351" w:rsidRPr="00A2430F" w:rsidRDefault="00B45351" w:rsidP="00DF3B9D">
            <w:pPr>
              <w:spacing w:line="276" w:lineRule="auto"/>
            </w:pPr>
            <w:r w:rsidRPr="00A2430F">
              <w:t xml:space="preserve">   Yes</w:t>
            </w:r>
          </w:p>
        </w:tc>
        <w:tc>
          <w:tcPr>
            <w:tcW w:w="1006" w:type="dxa"/>
            <w:shd w:val="clear" w:color="auto" w:fill="auto"/>
            <w:noWrap/>
          </w:tcPr>
          <w:p w14:paraId="541EB1EF" w14:textId="77777777" w:rsidR="00B45351" w:rsidRPr="00A2430F" w:rsidRDefault="00B45351" w:rsidP="00DF3B9D">
            <w:pPr>
              <w:spacing w:line="276" w:lineRule="auto"/>
              <w:jc w:val="center"/>
            </w:pPr>
            <w:r w:rsidRPr="00A2430F">
              <w:t>475</w:t>
            </w:r>
          </w:p>
        </w:tc>
        <w:tc>
          <w:tcPr>
            <w:tcW w:w="1316" w:type="dxa"/>
            <w:shd w:val="clear" w:color="auto" w:fill="auto"/>
            <w:noWrap/>
          </w:tcPr>
          <w:p w14:paraId="389D0DFE" w14:textId="77777777" w:rsidR="00B45351" w:rsidRPr="00A2430F" w:rsidRDefault="00B45351" w:rsidP="00DF3B9D">
            <w:pPr>
              <w:spacing w:line="276" w:lineRule="auto"/>
              <w:jc w:val="center"/>
            </w:pPr>
            <w:r w:rsidRPr="00A2430F">
              <w:t>45.8</w:t>
            </w:r>
          </w:p>
        </w:tc>
        <w:tc>
          <w:tcPr>
            <w:tcW w:w="656" w:type="dxa"/>
          </w:tcPr>
          <w:p w14:paraId="7C2E9FE3" w14:textId="77777777" w:rsidR="00B45351" w:rsidRPr="00A2430F" w:rsidRDefault="00B45351" w:rsidP="00DF3B9D">
            <w:pPr>
              <w:spacing w:line="276" w:lineRule="auto"/>
              <w:jc w:val="center"/>
              <w:rPr>
                <w:color w:val="000000" w:themeColor="text1"/>
              </w:rPr>
            </w:pPr>
            <w:r w:rsidRPr="00A2430F">
              <w:rPr>
                <w:color w:val="000000" w:themeColor="text1"/>
              </w:rPr>
              <w:t>269</w:t>
            </w:r>
          </w:p>
        </w:tc>
        <w:tc>
          <w:tcPr>
            <w:tcW w:w="1123" w:type="dxa"/>
          </w:tcPr>
          <w:p w14:paraId="23B8C6C5" w14:textId="77777777" w:rsidR="00B45351" w:rsidRPr="00A2430F" w:rsidRDefault="00B45351" w:rsidP="00DF3B9D">
            <w:pPr>
              <w:spacing w:line="276" w:lineRule="auto"/>
              <w:jc w:val="center"/>
              <w:rPr>
                <w:color w:val="000000" w:themeColor="text1"/>
              </w:rPr>
            </w:pPr>
            <w:r w:rsidRPr="00A2430F">
              <w:rPr>
                <w:color w:val="000000" w:themeColor="text1"/>
              </w:rPr>
              <w:t>23.5</w:t>
            </w:r>
          </w:p>
        </w:tc>
        <w:tc>
          <w:tcPr>
            <w:tcW w:w="1612" w:type="dxa"/>
            <w:gridSpan w:val="2"/>
            <w:vMerge w:val="restart"/>
            <w:vAlign w:val="center"/>
          </w:tcPr>
          <w:p w14:paraId="02AE3E6D" w14:textId="77777777" w:rsidR="00B45351" w:rsidRPr="00A2430F" w:rsidRDefault="00B45351" w:rsidP="00DF3B9D">
            <w:pPr>
              <w:spacing w:line="276" w:lineRule="auto"/>
              <w:jc w:val="center"/>
              <w:rPr>
                <w:color w:val="000000" w:themeColor="text1"/>
                <w:vertAlign w:val="superscript"/>
              </w:rPr>
            </w:pPr>
            <w:r w:rsidRPr="00A2430F">
              <w:rPr>
                <w:color w:val="000000" w:themeColor="text1"/>
              </w:rPr>
              <w:t>&lt;.001</w:t>
            </w:r>
            <w:r w:rsidRPr="00A2430F">
              <w:rPr>
                <w:color w:val="000000"/>
                <w:vertAlign w:val="superscript"/>
              </w:rPr>
              <w:t>‡</w:t>
            </w:r>
          </w:p>
        </w:tc>
      </w:tr>
      <w:tr w:rsidR="00B45351" w:rsidRPr="00A2430F" w14:paraId="7A2FE79D" w14:textId="77777777" w:rsidTr="00DF3B9D">
        <w:trPr>
          <w:trHeight w:hRule="exact" w:val="255"/>
          <w:jc w:val="center"/>
        </w:trPr>
        <w:tc>
          <w:tcPr>
            <w:tcW w:w="3750" w:type="dxa"/>
            <w:noWrap/>
          </w:tcPr>
          <w:p w14:paraId="416A6166" w14:textId="77777777" w:rsidR="00B45351" w:rsidRPr="00A2430F" w:rsidRDefault="00B45351" w:rsidP="00DF3B9D">
            <w:pPr>
              <w:spacing w:line="276" w:lineRule="auto"/>
            </w:pPr>
            <w:r w:rsidRPr="00A2430F">
              <w:t xml:space="preserve">   No</w:t>
            </w:r>
          </w:p>
        </w:tc>
        <w:tc>
          <w:tcPr>
            <w:tcW w:w="1006" w:type="dxa"/>
            <w:shd w:val="clear" w:color="auto" w:fill="auto"/>
            <w:noWrap/>
          </w:tcPr>
          <w:p w14:paraId="29276D15" w14:textId="77777777" w:rsidR="00B45351" w:rsidRPr="00A2430F" w:rsidRDefault="00B45351" w:rsidP="00DF3B9D">
            <w:pPr>
              <w:spacing w:line="276" w:lineRule="auto"/>
              <w:jc w:val="center"/>
            </w:pPr>
            <w:r w:rsidRPr="00A2430F">
              <w:t>562</w:t>
            </w:r>
          </w:p>
        </w:tc>
        <w:tc>
          <w:tcPr>
            <w:tcW w:w="1316" w:type="dxa"/>
            <w:shd w:val="clear" w:color="auto" w:fill="auto"/>
            <w:noWrap/>
          </w:tcPr>
          <w:p w14:paraId="68908F1A" w14:textId="77777777" w:rsidR="00B45351" w:rsidRPr="00A2430F" w:rsidRDefault="00B45351" w:rsidP="00DF3B9D">
            <w:pPr>
              <w:spacing w:line="276" w:lineRule="auto"/>
              <w:jc w:val="center"/>
            </w:pPr>
            <w:r w:rsidRPr="00A2430F">
              <w:t>54.2</w:t>
            </w:r>
          </w:p>
        </w:tc>
        <w:tc>
          <w:tcPr>
            <w:tcW w:w="656" w:type="dxa"/>
          </w:tcPr>
          <w:p w14:paraId="0CCEB56F" w14:textId="77777777" w:rsidR="00B45351" w:rsidRPr="00A2430F" w:rsidRDefault="00B45351" w:rsidP="00DF3B9D">
            <w:pPr>
              <w:spacing w:line="276" w:lineRule="auto"/>
              <w:jc w:val="center"/>
              <w:rPr>
                <w:color w:val="000000" w:themeColor="text1"/>
              </w:rPr>
            </w:pPr>
            <w:r w:rsidRPr="00A2430F">
              <w:rPr>
                <w:color w:val="000000" w:themeColor="text1"/>
              </w:rPr>
              <w:t>877</w:t>
            </w:r>
          </w:p>
        </w:tc>
        <w:tc>
          <w:tcPr>
            <w:tcW w:w="1123" w:type="dxa"/>
          </w:tcPr>
          <w:p w14:paraId="711326C2" w14:textId="77777777" w:rsidR="00B45351" w:rsidRPr="00A2430F" w:rsidRDefault="00B45351" w:rsidP="00DF3B9D">
            <w:pPr>
              <w:spacing w:line="276" w:lineRule="auto"/>
              <w:jc w:val="center"/>
              <w:rPr>
                <w:color w:val="000000" w:themeColor="text1"/>
              </w:rPr>
            </w:pPr>
            <w:r w:rsidRPr="00A2430F">
              <w:rPr>
                <w:color w:val="000000" w:themeColor="text1"/>
              </w:rPr>
              <w:t>76.5</w:t>
            </w:r>
          </w:p>
        </w:tc>
        <w:tc>
          <w:tcPr>
            <w:tcW w:w="1612" w:type="dxa"/>
            <w:gridSpan w:val="2"/>
            <w:vMerge/>
            <w:vAlign w:val="center"/>
          </w:tcPr>
          <w:p w14:paraId="06C2CC9A" w14:textId="77777777" w:rsidR="00B45351" w:rsidRPr="00A2430F" w:rsidRDefault="00B45351" w:rsidP="00DF3B9D">
            <w:pPr>
              <w:spacing w:line="276" w:lineRule="auto"/>
              <w:jc w:val="center"/>
              <w:rPr>
                <w:color w:val="000000" w:themeColor="text1"/>
              </w:rPr>
            </w:pPr>
          </w:p>
        </w:tc>
      </w:tr>
    </w:tbl>
    <w:p w14:paraId="1AD570AB" w14:textId="77777777" w:rsidR="00B45351" w:rsidRPr="00A2430F" w:rsidRDefault="00B45351" w:rsidP="00CC4A9E">
      <w:pPr>
        <w:rPr>
          <w:color w:val="000000"/>
        </w:rPr>
      </w:pPr>
      <w:proofErr w:type="gramStart"/>
      <w:r w:rsidRPr="00A2430F">
        <w:rPr>
          <w:color w:val="000000"/>
          <w:vertAlign w:val="superscript"/>
        </w:rPr>
        <w:t xml:space="preserve">a </w:t>
      </w:r>
      <w:r w:rsidRPr="00A2430F">
        <w:rPr>
          <w:color w:val="000000"/>
        </w:rPr>
        <w:t>Qualification categories</w:t>
      </w:r>
      <w:proofErr w:type="gramEnd"/>
      <w:r w:rsidRPr="00A2430F">
        <w:rPr>
          <w:color w:val="000000"/>
        </w:rPr>
        <w:t xml:space="preserve"> describe qualifications based on the English educational qualification system of equivalent level of attainment and may not be the qualification the respondent holds. </w:t>
      </w:r>
      <w:r w:rsidRPr="00A2430F">
        <w:rPr>
          <w:i/>
          <w:iCs/>
          <w:color w:val="000000"/>
        </w:rPr>
        <w:t>p</w:t>
      </w:r>
      <w:r w:rsidRPr="00A2430F">
        <w:rPr>
          <w:color w:val="000000"/>
        </w:rPr>
        <w:t xml:space="preserve"> = Significance of Pearson’s χ</w:t>
      </w:r>
      <w:r w:rsidRPr="00A2430F">
        <w:rPr>
          <w:color w:val="000000"/>
          <w:vertAlign w:val="superscript"/>
        </w:rPr>
        <w:t>2</w:t>
      </w:r>
      <w:r w:rsidRPr="00A2430F">
        <w:rPr>
          <w:color w:val="000000"/>
        </w:rPr>
        <w:t xml:space="preserve"> test. </w:t>
      </w:r>
      <w:r w:rsidRPr="00A2430F">
        <w:rPr>
          <w:b/>
          <w:bCs/>
          <w:color w:val="000000"/>
          <w:vertAlign w:val="superscript"/>
        </w:rPr>
        <w:t xml:space="preserve">† </w:t>
      </w:r>
      <w:r w:rsidRPr="00A2430F">
        <w:rPr>
          <w:color w:val="000000"/>
        </w:rPr>
        <w:t xml:space="preserve">Indicates significance where </w:t>
      </w:r>
      <w:r w:rsidRPr="00A2430F">
        <w:rPr>
          <w:i/>
          <w:iCs/>
          <w:color w:val="000000"/>
        </w:rPr>
        <w:t xml:space="preserve">p </w:t>
      </w:r>
      <w:r w:rsidRPr="00A2430F">
        <w:rPr>
          <w:color w:val="000000"/>
        </w:rPr>
        <w:t xml:space="preserve">&lt; 0.05. ‡ Indicates significance where </w:t>
      </w:r>
      <w:r w:rsidRPr="00A2430F">
        <w:rPr>
          <w:i/>
          <w:iCs/>
          <w:color w:val="000000"/>
        </w:rPr>
        <w:t xml:space="preserve">p </w:t>
      </w:r>
      <w:r w:rsidRPr="00A2430F">
        <w:rPr>
          <w:color w:val="000000"/>
        </w:rPr>
        <w:t>&lt; 0.01</w:t>
      </w:r>
    </w:p>
    <w:p w14:paraId="095002B4" w14:textId="77777777" w:rsidR="00B45351" w:rsidRPr="00A2430F" w:rsidRDefault="00B45351" w:rsidP="00CC4A9E">
      <w:pPr>
        <w:spacing w:line="480" w:lineRule="auto"/>
        <w:ind w:firstLine="720"/>
        <w:rPr>
          <w:color w:val="000000"/>
        </w:rPr>
      </w:pPr>
    </w:p>
    <w:p w14:paraId="5D8457CE" w14:textId="77777777" w:rsidR="00B45351" w:rsidRDefault="00B45351">
      <w:r>
        <w:br w:type="page"/>
      </w:r>
    </w:p>
    <w:p w14:paraId="39295E51" w14:textId="77777777" w:rsidR="00B45351" w:rsidRPr="00F02045" w:rsidRDefault="00B45351" w:rsidP="00F02045">
      <w:pPr>
        <w:rPr>
          <w:color w:val="000000"/>
        </w:rPr>
      </w:pPr>
      <w:r w:rsidRPr="00F02045">
        <w:rPr>
          <w:color w:val="000000"/>
        </w:rPr>
        <w:lastRenderedPageBreak/>
        <w:t>Table 2</w:t>
      </w:r>
    </w:p>
    <w:p w14:paraId="03141329" w14:textId="77777777" w:rsidR="00B45351" w:rsidRDefault="00B45351" w:rsidP="00F02045">
      <w:pPr>
        <w:rPr>
          <w:i/>
          <w:iCs/>
          <w:color w:val="000000"/>
        </w:rPr>
      </w:pPr>
      <w:r w:rsidRPr="00F02045">
        <w:rPr>
          <w:i/>
          <w:iCs/>
          <w:color w:val="000000"/>
        </w:rPr>
        <w:t>Military demographic characteristics of the veterans’ sample</w:t>
      </w:r>
    </w:p>
    <w:bookmarkStart w:id="6" w:name="_MON_1707201201"/>
    <w:bookmarkEnd w:id="6"/>
    <w:p w14:paraId="342FB52E" w14:textId="77777777" w:rsidR="00B45351" w:rsidRDefault="006F481C" w:rsidP="00F02045">
      <w:pPr>
        <w:rPr>
          <w:i/>
          <w:iCs/>
          <w:color w:val="000000"/>
        </w:rPr>
      </w:pPr>
      <w:r w:rsidRPr="008771C5">
        <w:rPr>
          <w:i/>
          <w:iCs/>
          <w:noProof/>
          <w:color w:val="000000"/>
        </w:rPr>
        <w:object w:dxaOrig="9020" w:dyaOrig="12340" w14:anchorId="6F4019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1.35pt;height:618.45pt;mso-width-percent:0;mso-height-percent:0;mso-width-percent:0;mso-height-percent:0" o:ole="">
            <v:imagedata r:id="rId12" o:title=""/>
          </v:shape>
          <o:OLEObject Type="Embed" ProgID="Word.Document.12" ShapeID="_x0000_i1025" DrawAspect="Content" ObjectID="_1707202143" r:id="rId13">
            <o:FieldCodes>\s</o:FieldCodes>
          </o:OLEObject>
        </w:object>
      </w:r>
    </w:p>
    <w:p w14:paraId="254682C7" w14:textId="77777777" w:rsidR="00B45351" w:rsidRDefault="00B45351" w:rsidP="00F02045">
      <w:pPr>
        <w:rPr>
          <w:i/>
          <w:iCs/>
          <w:color w:val="000000"/>
        </w:rPr>
      </w:pPr>
    </w:p>
    <w:p w14:paraId="1D13C757" w14:textId="77777777" w:rsidR="00B45351" w:rsidRPr="00F02045" w:rsidRDefault="00B45351" w:rsidP="00F02045">
      <w:pPr>
        <w:rPr>
          <w:i/>
          <w:iCs/>
          <w:color w:val="000000"/>
        </w:rPr>
      </w:pPr>
    </w:p>
    <w:p w14:paraId="1AD30D2E" w14:textId="77777777" w:rsidR="00B45351" w:rsidRPr="00C1314E" w:rsidRDefault="00B45351" w:rsidP="00C1314E">
      <w:pPr>
        <w:rPr>
          <w:color w:val="000000"/>
        </w:rPr>
      </w:pPr>
      <w:r w:rsidRPr="00A2430F">
        <w:rPr>
          <w:i/>
          <w:iCs/>
          <w:color w:val="000000"/>
        </w:rPr>
        <w:t xml:space="preserve">       </w:t>
      </w:r>
    </w:p>
    <w:p w14:paraId="2DAD5682" w14:textId="77777777" w:rsidR="00B45351" w:rsidRPr="00F6541B" w:rsidRDefault="00B45351" w:rsidP="007C1433">
      <w:pPr>
        <w:rPr>
          <w:noProof/>
          <w:color w:val="000000"/>
        </w:rPr>
      </w:pPr>
      <w:r w:rsidRPr="00F6541B">
        <w:rPr>
          <w:noProof/>
          <w:color w:val="000000"/>
        </w:rPr>
        <w:lastRenderedPageBreak/>
        <w:t>Table 3</w:t>
      </w:r>
    </w:p>
    <w:p w14:paraId="6DDC86ED" w14:textId="77777777" w:rsidR="00B45351" w:rsidRPr="00F6541B" w:rsidRDefault="00B45351" w:rsidP="00F6541B">
      <w:pPr>
        <w:rPr>
          <w:i/>
          <w:iCs/>
          <w:noProof/>
          <w:color w:val="000000"/>
          <w:sz w:val="11"/>
          <w:szCs w:val="11"/>
        </w:rPr>
      </w:pPr>
      <w:r w:rsidRPr="007C1433">
        <w:rPr>
          <w:i/>
          <w:iCs/>
          <w:noProof/>
          <w:color w:val="000000"/>
        </w:rPr>
        <w:t>Gambling activities, severity, and motivation for veterans and non-veterans who had participated in gambling activities within the past year.</w:t>
      </w:r>
      <w:r w:rsidR="006F481C">
        <w:rPr>
          <w:i/>
          <w:iCs/>
          <w:noProof/>
          <w:color w:val="000000"/>
        </w:rPr>
        <w:object w:dxaOrig="9560" w:dyaOrig="12800" w14:anchorId="1F16E2CD">
          <v:shape id="_x0000_i1026" type="#_x0000_t75" alt="" style="width:478.75pt;height:639.95pt;mso-width-percent:0;mso-height-percent:0;mso-width-percent:0;mso-height-percent:0" o:ole="">
            <v:imagedata r:id="rId14" o:title=""/>
          </v:shape>
          <o:OLEObject Type="Embed" ProgID="Word.Document.12" ShapeID="_x0000_i1026" DrawAspect="Content" ObjectID="_1707202144" r:id="rId15">
            <o:FieldCodes>\s</o:FieldCodes>
          </o:OLEObject>
        </w:object>
      </w:r>
      <w:r w:rsidRPr="00F6541B">
        <w:rPr>
          <w:i/>
          <w:iCs/>
          <w:color w:val="000000"/>
          <w:sz w:val="11"/>
          <w:szCs w:val="11"/>
        </w:rPr>
        <w:t>Notes: p</w:t>
      </w:r>
      <w:r w:rsidRPr="00F6541B">
        <w:rPr>
          <w:color w:val="000000"/>
          <w:sz w:val="11"/>
          <w:szCs w:val="11"/>
        </w:rPr>
        <w:t xml:space="preserve"> = Significance of Pearson’s χ</w:t>
      </w:r>
      <w:r w:rsidRPr="00F6541B">
        <w:rPr>
          <w:color w:val="000000"/>
          <w:sz w:val="11"/>
          <w:szCs w:val="11"/>
          <w:vertAlign w:val="superscript"/>
        </w:rPr>
        <w:t>2</w:t>
      </w:r>
      <w:r w:rsidRPr="00F6541B">
        <w:rPr>
          <w:color w:val="000000"/>
          <w:sz w:val="11"/>
          <w:szCs w:val="11"/>
        </w:rPr>
        <w:t xml:space="preserve"> test, except for total activities where the significance of a t-test is presented. </w:t>
      </w:r>
      <w:r w:rsidRPr="00F6541B">
        <w:rPr>
          <w:b/>
          <w:bCs/>
          <w:color w:val="000000"/>
          <w:sz w:val="11"/>
          <w:szCs w:val="11"/>
          <w:vertAlign w:val="superscript"/>
        </w:rPr>
        <w:t xml:space="preserve">† </w:t>
      </w:r>
      <w:r w:rsidRPr="00F6541B">
        <w:rPr>
          <w:color w:val="000000"/>
          <w:sz w:val="11"/>
          <w:szCs w:val="11"/>
        </w:rPr>
        <w:t xml:space="preserve">Indicates significance where </w:t>
      </w:r>
      <w:r w:rsidRPr="00F6541B">
        <w:rPr>
          <w:i/>
          <w:iCs/>
          <w:color w:val="000000"/>
          <w:sz w:val="11"/>
          <w:szCs w:val="11"/>
        </w:rPr>
        <w:t xml:space="preserve">p </w:t>
      </w:r>
      <w:r w:rsidRPr="00F6541B">
        <w:rPr>
          <w:color w:val="000000"/>
          <w:sz w:val="11"/>
          <w:szCs w:val="11"/>
        </w:rPr>
        <w:t xml:space="preserve">&lt; 0.05. </w:t>
      </w:r>
      <w:r w:rsidRPr="00F6541B">
        <w:rPr>
          <w:color w:val="000000"/>
          <w:sz w:val="11"/>
          <w:szCs w:val="11"/>
          <w:vertAlign w:val="superscript"/>
        </w:rPr>
        <w:t>‡</w:t>
      </w:r>
      <w:r w:rsidRPr="00F6541B">
        <w:rPr>
          <w:color w:val="000000"/>
          <w:sz w:val="11"/>
          <w:szCs w:val="11"/>
        </w:rPr>
        <w:t xml:space="preserve"> Indicates significance where </w:t>
      </w:r>
      <w:r w:rsidRPr="00F6541B">
        <w:rPr>
          <w:i/>
          <w:iCs/>
          <w:color w:val="000000"/>
          <w:sz w:val="11"/>
          <w:szCs w:val="11"/>
        </w:rPr>
        <w:t xml:space="preserve">p </w:t>
      </w:r>
      <w:r w:rsidRPr="00F6541B">
        <w:rPr>
          <w:color w:val="000000"/>
          <w:sz w:val="11"/>
          <w:szCs w:val="11"/>
        </w:rPr>
        <w:t>&lt; 0.01</w:t>
      </w:r>
    </w:p>
    <w:p w14:paraId="403119CC" w14:textId="77777777" w:rsidR="00B45351" w:rsidRPr="00F6541B" w:rsidRDefault="00B45351" w:rsidP="00882D96">
      <w:pPr>
        <w:rPr>
          <w:color w:val="000000"/>
        </w:rPr>
      </w:pPr>
      <w:r w:rsidRPr="005D2B08">
        <w:rPr>
          <w:color w:val="000000"/>
        </w:rPr>
        <w:br w:type="page"/>
      </w:r>
      <w:r w:rsidRPr="00882D96">
        <w:rPr>
          <w:rFonts w:eastAsiaTheme="minorHAnsi"/>
          <w:i/>
          <w:iCs/>
          <w:color w:val="000000"/>
        </w:rPr>
        <w:lastRenderedPageBreak/>
        <w:t>Table 4.</w:t>
      </w:r>
      <w:r w:rsidRPr="00882D96">
        <w:rPr>
          <w:rFonts w:eastAsiaTheme="minorHAnsi"/>
          <w:color w:val="000000"/>
        </w:rPr>
        <w:t xml:space="preserve"> Comparison of mental health outcome variables between veterans and non-veterans.</w:t>
      </w:r>
    </w:p>
    <w:tbl>
      <w:tblPr>
        <w:tblStyle w:val="TableGrid"/>
        <w:tblW w:w="9351"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704"/>
        <w:gridCol w:w="636"/>
        <w:gridCol w:w="696"/>
        <w:gridCol w:w="697"/>
        <w:gridCol w:w="852"/>
        <w:gridCol w:w="852"/>
        <w:gridCol w:w="1795"/>
      </w:tblGrid>
      <w:tr w:rsidR="00B45351" w:rsidRPr="00882D96" w14:paraId="2FFF0F42" w14:textId="77777777" w:rsidTr="003C17AE">
        <w:trPr>
          <w:trHeight w:val="1"/>
          <w:jc w:val="center"/>
        </w:trPr>
        <w:tc>
          <w:tcPr>
            <w:tcW w:w="3119" w:type="dxa"/>
            <w:vMerge w:val="restart"/>
            <w:tcBorders>
              <w:bottom w:val="single" w:sz="4" w:space="0" w:color="auto"/>
            </w:tcBorders>
            <w:noWrap/>
            <w:vAlign w:val="center"/>
            <w:hideMark/>
          </w:tcPr>
          <w:p w14:paraId="36B78FEF" w14:textId="77777777" w:rsidR="00B45351" w:rsidRPr="00882D96" w:rsidRDefault="00B45351" w:rsidP="00882D96">
            <w:pPr>
              <w:spacing w:line="276" w:lineRule="auto"/>
              <w:rPr>
                <w:rFonts w:eastAsiaTheme="minorHAnsi"/>
              </w:rPr>
            </w:pPr>
          </w:p>
        </w:tc>
        <w:tc>
          <w:tcPr>
            <w:tcW w:w="1305" w:type="dxa"/>
            <w:gridSpan w:val="2"/>
            <w:tcBorders>
              <w:bottom w:val="single" w:sz="4" w:space="0" w:color="auto"/>
            </w:tcBorders>
            <w:noWrap/>
            <w:vAlign w:val="center"/>
          </w:tcPr>
          <w:p w14:paraId="3B19A216" w14:textId="77777777" w:rsidR="00B45351" w:rsidRPr="00882D96" w:rsidRDefault="00B45351" w:rsidP="00882D96">
            <w:pPr>
              <w:spacing w:line="276" w:lineRule="auto"/>
              <w:jc w:val="center"/>
              <w:rPr>
                <w:rFonts w:eastAsiaTheme="minorHAnsi"/>
                <w:b/>
                <w:bCs/>
              </w:rPr>
            </w:pPr>
            <w:r w:rsidRPr="00882D96">
              <w:rPr>
                <w:rFonts w:eastAsiaTheme="minorHAnsi"/>
                <w:b/>
                <w:bCs/>
              </w:rPr>
              <w:t xml:space="preserve">Veterans </w:t>
            </w:r>
          </w:p>
        </w:tc>
        <w:tc>
          <w:tcPr>
            <w:tcW w:w="1376" w:type="dxa"/>
            <w:gridSpan w:val="2"/>
            <w:tcBorders>
              <w:bottom w:val="single" w:sz="4" w:space="0" w:color="auto"/>
            </w:tcBorders>
            <w:vAlign w:val="center"/>
          </w:tcPr>
          <w:p w14:paraId="616BECCC" w14:textId="77777777" w:rsidR="00B45351" w:rsidRPr="00882D96" w:rsidRDefault="00B45351" w:rsidP="00882D96">
            <w:pPr>
              <w:spacing w:line="276" w:lineRule="auto"/>
              <w:jc w:val="center"/>
              <w:rPr>
                <w:rFonts w:eastAsiaTheme="minorHAnsi"/>
                <w:b/>
                <w:bCs/>
              </w:rPr>
            </w:pPr>
            <w:r w:rsidRPr="00882D96">
              <w:rPr>
                <w:rFonts w:eastAsiaTheme="minorHAnsi"/>
                <w:b/>
                <w:bCs/>
              </w:rPr>
              <w:t xml:space="preserve">Non-veterans </w:t>
            </w:r>
          </w:p>
        </w:tc>
        <w:tc>
          <w:tcPr>
            <w:tcW w:w="1654" w:type="dxa"/>
            <w:gridSpan w:val="2"/>
            <w:vMerge w:val="restart"/>
            <w:tcBorders>
              <w:bottom w:val="single" w:sz="4" w:space="0" w:color="auto"/>
            </w:tcBorders>
            <w:vAlign w:val="center"/>
          </w:tcPr>
          <w:p w14:paraId="046840E7" w14:textId="77777777" w:rsidR="00B45351" w:rsidRPr="00882D96" w:rsidRDefault="00B45351" w:rsidP="00882D96">
            <w:pPr>
              <w:spacing w:line="276" w:lineRule="auto"/>
              <w:jc w:val="center"/>
              <w:rPr>
                <w:rFonts w:eastAsiaTheme="minorHAnsi"/>
                <w:b/>
                <w:bCs/>
              </w:rPr>
            </w:pPr>
            <w:r w:rsidRPr="00882D96">
              <w:rPr>
                <w:rFonts w:eastAsiaTheme="minorHAnsi"/>
                <w:b/>
                <w:bCs/>
                <w:i/>
                <w:iCs/>
              </w:rPr>
              <w:t>p</w:t>
            </w:r>
          </w:p>
        </w:tc>
        <w:tc>
          <w:tcPr>
            <w:tcW w:w="1897" w:type="dxa"/>
            <w:vMerge w:val="restart"/>
            <w:tcBorders>
              <w:bottom w:val="single" w:sz="4" w:space="0" w:color="auto"/>
            </w:tcBorders>
            <w:vAlign w:val="center"/>
          </w:tcPr>
          <w:p w14:paraId="2E8E9BE3" w14:textId="77777777" w:rsidR="00B45351" w:rsidRPr="00882D96" w:rsidRDefault="00B45351" w:rsidP="00882D96">
            <w:pPr>
              <w:spacing w:line="276" w:lineRule="auto"/>
              <w:jc w:val="center"/>
              <w:rPr>
                <w:rFonts w:eastAsiaTheme="minorHAnsi"/>
                <w:b/>
                <w:bCs/>
              </w:rPr>
            </w:pPr>
            <w:r w:rsidRPr="00882D96">
              <w:rPr>
                <w:rFonts w:eastAsiaTheme="minorHAnsi"/>
                <w:b/>
                <w:bCs/>
              </w:rPr>
              <w:t>OR (95% CI)</w:t>
            </w:r>
          </w:p>
        </w:tc>
      </w:tr>
      <w:tr w:rsidR="00B45351" w:rsidRPr="00882D96" w14:paraId="70425CC6" w14:textId="77777777" w:rsidTr="003C17AE">
        <w:trPr>
          <w:trHeight w:val="1"/>
          <w:jc w:val="center"/>
        </w:trPr>
        <w:tc>
          <w:tcPr>
            <w:tcW w:w="3119" w:type="dxa"/>
            <w:vMerge/>
            <w:tcBorders>
              <w:top w:val="single" w:sz="4" w:space="0" w:color="auto"/>
              <w:bottom w:val="single" w:sz="4" w:space="0" w:color="auto"/>
            </w:tcBorders>
            <w:noWrap/>
            <w:vAlign w:val="center"/>
          </w:tcPr>
          <w:p w14:paraId="66F92EDE" w14:textId="77777777" w:rsidR="00B45351" w:rsidRPr="00882D96" w:rsidRDefault="00B45351" w:rsidP="00882D96">
            <w:pPr>
              <w:spacing w:line="276" w:lineRule="auto"/>
              <w:rPr>
                <w:rFonts w:eastAsiaTheme="minorHAnsi"/>
              </w:rPr>
            </w:pPr>
          </w:p>
        </w:tc>
        <w:tc>
          <w:tcPr>
            <w:tcW w:w="704" w:type="dxa"/>
            <w:tcBorders>
              <w:top w:val="single" w:sz="4" w:space="0" w:color="auto"/>
              <w:bottom w:val="single" w:sz="4" w:space="0" w:color="auto"/>
            </w:tcBorders>
            <w:noWrap/>
            <w:vAlign w:val="center"/>
          </w:tcPr>
          <w:p w14:paraId="0087D6F7" w14:textId="77777777" w:rsidR="00B45351" w:rsidRPr="00882D96" w:rsidRDefault="00B45351" w:rsidP="00882D96">
            <w:pPr>
              <w:spacing w:line="276" w:lineRule="auto"/>
              <w:jc w:val="center"/>
              <w:rPr>
                <w:rFonts w:eastAsiaTheme="minorHAnsi"/>
                <w:b/>
                <w:bCs/>
              </w:rPr>
            </w:pPr>
            <w:r w:rsidRPr="00882D96">
              <w:rPr>
                <w:rFonts w:eastAsiaTheme="minorHAnsi"/>
                <w:b/>
                <w:bCs/>
              </w:rPr>
              <w:t>n</w:t>
            </w:r>
          </w:p>
        </w:tc>
        <w:tc>
          <w:tcPr>
            <w:tcW w:w="601" w:type="dxa"/>
            <w:tcBorders>
              <w:top w:val="single" w:sz="4" w:space="0" w:color="auto"/>
              <w:bottom w:val="single" w:sz="4" w:space="0" w:color="auto"/>
            </w:tcBorders>
            <w:noWrap/>
            <w:vAlign w:val="center"/>
          </w:tcPr>
          <w:p w14:paraId="764E6CD0" w14:textId="77777777" w:rsidR="00B45351" w:rsidRPr="00882D96" w:rsidRDefault="00B45351" w:rsidP="00882D96">
            <w:pPr>
              <w:spacing w:line="276" w:lineRule="auto"/>
              <w:jc w:val="center"/>
              <w:rPr>
                <w:rFonts w:eastAsiaTheme="minorHAnsi"/>
                <w:b/>
                <w:bCs/>
              </w:rPr>
            </w:pPr>
            <w:r w:rsidRPr="00882D96">
              <w:rPr>
                <w:rFonts w:eastAsiaTheme="minorHAnsi"/>
                <w:b/>
                <w:bCs/>
              </w:rPr>
              <w:t>%</w:t>
            </w:r>
          </w:p>
        </w:tc>
        <w:tc>
          <w:tcPr>
            <w:tcW w:w="673" w:type="dxa"/>
            <w:tcBorders>
              <w:top w:val="single" w:sz="4" w:space="0" w:color="auto"/>
              <w:bottom w:val="single" w:sz="4" w:space="0" w:color="auto"/>
            </w:tcBorders>
            <w:vAlign w:val="center"/>
          </w:tcPr>
          <w:p w14:paraId="39B1526A" w14:textId="77777777" w:rsidR="00B45351" w:rsidRPr="00882D96" w:rsidRDefault="00B45351" w:rsidP="00882D96">
            <w:pPr>
              <w:spacing w:line="276" w:lineRule="auto"/>
              <w:jc w:val="center"/>
              <w:rPr>
                <w:rFonts w:eastAsiaTheme="minorHAnsi"/>
                <w:b/>
                <w:bCs/>
              </w:rPr>
            </w:pPr>
            <w:r w:rsidRPr="00882D96">
              <w:rPr>
                <w:rFonts w:eastAsiaTheme="minorHAnsi"/>
                <w:b/>
                <w:bCs/>
              </w:rPr>
              <w:t>n</w:t>
            </w:r>
          </w:p>
        </w:tc>
        <w:tc>
          <w:tcPr>
            <w:tcW w:w="703" w:type="dxa"/>
            <w:tcBorders>
              <w:top w:val="single" w:sz="4" w:space="0" w:color="auto"/>
              <w:bottom w:val="single" w:sz="4" w:space="0" w:color="auto"/>
            </w:tcBorders>
            <w:vAlign w:val="center"/>
          </w:tcPr>
          <w:p w14:paraId="62B36C45" w14:textId="77777777" w:rsidR="00B45351" w:rsidRPr="00882D96" w:rsidRDefault="00B45351" w:rsidP="00882D96">
            <w:pPr>
              <w:spacing w:line="276" w:lineRule="auto"/>
              <w:jc w:val="center"/>
              <w:rPr>
                <w:rFonts w:eastAsiaTheme="minorHAnsi"/>
                <w:b/>
                <w:bCs/>
              </w:rPr>
            </w:pPr>
            <w:r w:rsidRPr="00882D96">
              <w:rPr>
                <w:rFonts w:eastAsiaTheme="minorHAnsi"/>
                <w:b/>
                <w:bCs/>
              </w:rPr>
              <w:t>%</w:t>
            </w:r>
          </w:p>
        </w:tc>
        <w:tc>
          <w:tcPr>
            <w:tcW w:w="1654" w:type="dxa"/>
            <w:gridSpan w:val="2"/>
            <w:vMerge/>
            <w:tcBorders>
              <w:top w:val="single" w:sz="4" w:space="0" w:color="auto"/>
              <w:bottom w:val="single" w:sz="4" w:space="0" w:color="auto"/>
            </w:tcBorders>
            <w:vAlign w:val="center"/>
          </w:tcPr>
          <w:p w14:paraId="184D8303" w14:textId="77777777" w:rsidR="00B45351" w:rsidRPr="00882D96" w:rsidRDefault="00B45351" w:rsidP="00882D96">
            <w:pPr>
              <w:spacing w:line="276" w:lineRule="auto"/>
              <w:jc w:val="center"/>
              <w:rPr>
                <w:rFonts w:eastAsiaTheme="minorHAnsi"/>
                <w:b/>
                <w:bCs/>
              </w:rPr>
            </w:pPr>
          </w:p>
        </w:tc>
        <w:tc>
          <w:tcPr>
            <w:tcW w:w="1897" w:type="dxa"/>
            <w:vMerge/>
            <w:tcBorders>
              <w:top w:val="single" w:sz="4" w:space="0" w:color="auto"/>
              <w:bottom w:val="single" w:sz="4" w:space="0" w:color="auto"/>
            </w:tcBorders>
            <w:vAlign w:val="center"/>
          </w:tcPr>
          <w:p w14:paraId="70A7CBCD" w14:textId="77777777" w:rsidR="00B45351" w:rsidRPr="00882D96" w:rsidRDefault="00B45351" w:rsidP="00882D96">
            <w:pPr>
              <w:spacing w:line="276" w:lineRule="auto"/>
              <w:jc w:val="center"/>
              <w:rPr>
                <w:rFonts w:eastAsiaTheme="minorHAnsi"/>
                <w:b/>
                <w:bCs/>
              </w:rPr>
            </w:pPr>
          </w:p>
        </w:tc>
      </w:tr>
      <w:tr w:rsidR="00B45351" w:rsidRPr="00882D96" w14:paraId="62A46A66" w14:textId="77777777" w:rsidTr="003C17AE">
        <w:trPr>
          <w:trHeight w:val="284"/>
          <w:jc w:val="center"/>
        </w:trPr>
        <w:tc>
          <w:tcPr>
            <w:tcW w:w="3119" w:type="dxa"/>
            <w:tcBorders>
              <w:top w:val="single" w:sz="4" w:space="0" w:color="auto"/>
              <w:bottom w:val="nil"/>
            </w:tcBorders>
            <w:noWrap/>
            <w:vAlign w:val="center"/>
            <w:hideMark/>
          </w:tcPr>
          <w:p w14:paraId="3CEE07F3" w14:textId="77777777" w:rsidR="00B45351" w:rsidRPr="00882D96" w:rsidRDefault="00B45351" w:rsidP="00882D96">
            <w:pPr>
              <w:spacing w:after="100" w:afterAutospacing="1"/>
              <w:rPr>
                <w:rFonts w:eastAsiaTheme="minorHAnsi"/>
                <w:b/>
                <w:bCs/>
              </w:rPr>
            </w:pPr>
            <w:r w:rsidRPr="00882D96">
              <w:rPr>
                <w:rFonts w:eastAsiaTheme="minorHAnsi"/>
                <w:b/>
                <w:bCs/>
              </w:rPr>
              <w:t>Depression</w:t>
            </w:r>
          </w:p>
        </w:tc>
        <w:tc>
          <w:tcPr>
            <w:tcW w:w="704" w:type="dxa"/>
            <w:tcBorders>
              <w:top w:val="single" w:sz="4" w:space="0" w:color="auto"/>
              <w:bottom w:val="nil"/>
            </w:tcBorders>
            <w:noWrap/>
            <w:vAlign w:val="center"/>
          </w:tcPr>
          <w:p w14:paraId="12B3BE09" w14:textId="77777777" w:rsidR="00B45351" w:rsidRPr="00882D96" w:rsidRDefault="00B45351" w:rsidP="00882D96">
            <w:pPr>
              <w:spacing w:after="100" w:afterAutospacing="1"/>
              <w:jc w:val="center"/>
              <w:rPr>
                <w:rFonts w:eastAsiaTheme="minorHAnsi"/>
                <w:i/>
                <w:iCs/>
              </w:rPr>
            </w:pPr>
            <w:r w:rsidRPr="00882D96">
              <w:rPr>
                <w:rFonts w:eastAsiaTheme="minorHAnsi"/>
                <w:i/>
                <w:iCs/>
              </w:rPr>
              <w:t>1002</w:t>
            </w:r>
          </w:p>
        </w:tc>
        <w:tc>
          <w:tcPr>
            <w:tcW w:w="601" w:type="dxa"/>
            <w:tcBorders>
              <w:top w:val="single" w:sz="4" w:space="0" w:color="auto"/>
              <w:bottom w:val="nil"/>
            </w:tcBorders>
            <w:noWrap/>
            <w:vAlign w:val="center"/>
          </w:tcPr>
          <w:p w14:paraId="148E210F" w14:textId="77777777" w:rsidR="00B45351" w:rsidRPr="00882D96" w:rsidRDefault="00B45351" w:rsidP="00882D96">
            <w:pPr>
              <w:spacing w:after="100" w:afterAutospacing="1"/>
              <w:jc w:val="center"/>
              <w:rPr>
                <w:rFonts w:eastAsiaTheme="minorHAnsi"/>
                <w:i/>
                <w:iCs/>
              </w:rPr>
            </w:pPr>
          </w:p>
        </w:tc>
        <w:tc>
          <w:tcPr>
            <w:tcW w:w="673" w:type="dxa"/>
            <w:tcBorders>
              <w:top w:val="single" w:sz="4" w:space="0" w:color="auto"/>
              <w:bottom w:val="nil"/>
            </w:tcBorders>
            <w:vAlign w:val="center"/>
          </w:tcPr>
          <w:p w14:paraId="2B97025C" w14:textId="77777777" w:rsidR="00B45351" w:rsidRPr="00882D96" w:rsidRDefault="00B45351" w:rsidP="00882D96">
            <w:pPr>
              <w:spacing w:after="100" w:afterAutospacing="1"/>
              <w:jc w:val="center"/>
              <w:rPr>
                <w:rFonts w:eastAsiaTheme="minorHAnsi"/>
                <w:i/>
                <w:iCs/>
              </w:rPr>
            </w:pPr>
            <w:r w:rsidRPr="00882D96">
              <w:rPr>
                <w:rFonts w:eastAsiaTheme="minorHAnsi"/>
                <w:i/>
                <w:iCs/>
              </w:rPr>
              <w:t>1145</w:t>
            </w:r>
          </w:p>
        </w:tc>
        <w:tc>
          <w:tcPr>
            <w:tcW w:w="703" w:type="dxa"/>
            <w:tcBorders>
              <w:top w:val="single" w:sz="4" w:space="0" w:color="auto"/>
              <w:bottom w:val="nil"/>
            </w:tcBorders>
            <w:vAlign w:val="center"/>
          </w:tcPr>
          <w:p w14:paraId="5B4248F4" w14:textId="77777777" w:rsidR="00B45351" w:rsidRPr="00882D96" w:rsidRDefault="00B45351" w:rsidP="00882D96">
            <w:pPr>
              <w:spacing w:after="100" w:afterAutospacing="1"/>
              <w:jc w:val="center"/>
              <w:rPr>
                <w:rFonts w:eastAsiaTheme="minorHAnsi"/>
                <w:i/>
                <w:iCs/>
              </w:rPr>
            </w:pPr>
          </w:p>
        </w:tc>
        <w:tc>
          <w:tcPr>
            <w:tcW w:w="848" w:type="dxa"/>
            <w:tcBorders>
              <w:top w:val="single" w:sz="4" w:space="0" w:color="auto"/>
              <w:bottom w:val="nil"/>
            </w:tcBorders>
            <w:vAlign w:val="center"/>
          </w:tcPr>
          <w:p w14:paraId="18F5A810" w14:textId="77777777" w:rsidR="00B45351" w:rsidRPr="00882D96" w:rsidRDefault="00B45351" w:rsidP="00882D96">
            <w:pPr>
              <w:spacing w:after="100" w:afterAutospacing="1"/>
              <w:jc w:val="center"/>
              <w:rPr>
                <w:rFonts w:eastAsiaTheme="minorHAnsi"/>
              </w:rPr>
            </w:pPr>
          </w:p>
        </w:tc>
        <w:tc>
          <w:tcPr>
            <w:tcW w:w="806" w:type="dxa"/>
            <w:tcBorders>
              <w:top w:val="single" w:sz="4" w:space="0" w:color="auto"/>
              <w:bottom w:val="nil"/>
            </w:tcBorders>
            <w:vAlign w:val="center"/>
          </w:tcPr>
          <w:p w14:paraId="233D251D" w14:textId="77777777" w:rsidR="00B45351" w:rsidRPr="00882D96" w:rsidRDefault="00B45351" w:rsidP="00882D96">
            <w:pPr>
              <w:spacing w:after="100" w:afterAutospacing="1"/>
              <w:jc w:val="center"/>
              <w:rPr>
                <w:rFonts w:eastAsiaTheme="minorHAnsi"/>
              </w:rPr>
            </w:pPr>
          </w:p>
        </w:tc>
        <w:tc>
          <w:tcPr>
            <w:tcW w:w="1897" w:type="dxa"/>
            <w:tcBorders>
              <w:top w:val="single" w:sz="4" w:space="0" w:color="auto"/>
              <w:bottom w:val="nil"/>
            </w:tcBorders>
            <w:vAlign w:val="center"/>
          </w:tcPr>
          <w:p w14:paraId="7BC57EF5" w14:textId="77777777" w:rsidR="00B45351" w:rsidRPr="00882D96" w:rsidRDefault="00B45351" w:rsidP="00882D96">
            <w:pPr>
              <w:spacing w:after="100" w:afterAutospacing="1"/>
              <w:jc w:val="center"/>
              <w:rPr>
                <w:rFonts w:eastAsiaTheme="minorHAnsi"/>
              </w:rPr>
            </w:pPr>
          </w:p>
        </w:tc>
      </w:tr>
      <w:tr w:rsidR="00B45351" w:rsidRPr="00882D96" w14:paraId="704C7439" w14:textId="77777777" w:rsidTr="003C17AE">
        <w:trPr>
          <w:trHeight w:val="284"/>
          <w:jc w:val="center"/>
        </w:trPr>
        <w:tc>
          <w:tcPr>
            <w:tcW w:w="3119" w:type="dxa"/>
            <w:tcBorders>
              <w:top w:val="nil"/>
            </w:tcBorders>
            <w:noWrap/>
            <w:vAlign w:val="center"/>
          </w:tcPr>
          <w:p w14:paraId="5892AC63" w14:textId="77777777" w:rsidR="00B45351" w:rsidRPr="00882D96" w:rsidRDefault="00B45351" w:rsidP="00882D96">
            <w:pPr>
              <w:spacing w:after="100" w:afterAutospacing="1"/>
              <w:rPr>
                <w:rFonts w:eastAsiaTheme="minorHAnsi"/>
              </w:rPr>
            </w:pPr>
            <w:r w:rsidRPr="00882D96">
              <w:rPr>
                <w:rFonts w:eastAsiaTheme="minorHAnsi"/>
                <w:b/>
                <w:bCs/>
              </w:rPr>
              <w:t xml:space="preserve">   </w:t>
            </w:r>
            <w:r w:rsidRPr="00882D96">
              <w:rPr>
                <w:rFonts w:eastAsiaTheme="minorHAnsi"/>
              </w:rPr>
              <w:t>No Depression</w:t>
            </w:r>
          </w:p>
        </w:tc>
        <w:tc>
          <w:tcPr>
            <w:tcW w:w="704" w:type="dxa"/>
            <w:tcBorders>
              <w:top w:val="nil"/>
            </w:tcBorders>
            <w:noWrap/>
            <w:vAlign w:val="center"/>
          </w:tcPr>
          <w:p w14:paraId="0DEC29EF" w14:textId="77777777" w:rsidR="00B45351" w:rsidRPr="00882D96" w:rsidRDefault="00B45351" w:rsidP="00882D96">
            <w:pPr>
              <w:spacing w:after="100" w:afterAutospacing="1"/>
              <w:jc w:val="center"/>
              <w:rPr>
                <w:rFonts w:eastAsiaTheme="minorHAnsi"/>
              </w:rPr>
            </w:pPr>
            <w:r w:rsidRPr="00882D96">
              <w:rPr>
                <w:rFonts w:eastAsiaTheme="minorHAnsi"/>
              </w:rPr>
              <w:t>305</w:t>
            </w:r>
          </w:p>
        </w:tc>
        <w:tc>
          <w:tcPr>
            <w:tcW w:w="601" w:type="dxa"/>
            <w:tcBorders>
              <w:top w:val="nil"/>
            </w:tcBorders>
            <w:noWrap/>
            <w:vAlign w:val="center"/>
          </w:tcPr>
          <w:p w14:paraId="381172BE" w14:textId="77777777" w:rsidR="00B45351" w:rsidRPr="00882D96" w:rsidRDefault="00B45351" w:rsidP="00882D96">
            <w:pPr>
              <w:spacing w:after="100" w:afterAutospacing="1"/>
              <w:jc w:val="center"/>
              <w:rPr>
                <w:rFonts w:eastAsiaTheme="minorHAnsi"/>
              </w:rPr>
            </w:pPr>
            <w:r w:rsidRPr="00882D96">
              <w:rPr>
                <w:rFonts w:eastAsiaTheme="minorHAnsi"/>
              </w:rPr>
              <w:t>30.4</w:t>
            </w:r>
          </w:p>
        </w:tc>
        <w:tc>
          <w:tcPr>
            <w:tcW w:w="673" w:type="dxa"/>
            <w:tcBorders>
              <w:top w:val="nil"/>
            </w:tcBorders>
            <w:vAlign w:val="center"/>
          </w:tcPr>
          <w:p w14:paraId="106BB05A" w14:textId="77777777" w:rsidR="00B45351" w:rsidRPr="00882D96" w:rsidRDefault="00B45351" w:rsidP="00882D96">
            <w:pPr>
              <w:spacing w:after="100" w:afterAutospacing="1"/>
              <w:jc w:val="center"/>
              <w:rPr>
                <w:rFonts w:eastAsiaTheme="minorHAnsi"/>
              </w:rPr>
            </w:pPr>
            <w:r w:rsidRPr="00882D96">
              <w:rPr>
                <w:rFonts w:eastAsiaTheme="minorHAnsi"/>
              </w:rPr>
              <w:t>630</w:t>
            </w:r>
          </w:p>
        </w:tc>
        <w:tc>
          <w:tcPr>
            <w:tcW w:w="703" w:type="dxa"/>
            <w:tcBorders>
              <w:top w:val="nil"/>
            </w:tcBorders>
            <w:vAlign w:val="center"/>
          </w:tcPr>
          <w:p w14:paraId="0E59318F" w14:textId="77777777" w:rsidR="00B45351" w:rsidRPr="00882D96" w:rsidRDefault="00B45351" w:rsidP="00882D96">
            <w:pPr>
              <w:spacing w:after="100" w:afterAutospacing="1"/>
              <w:jc w:val="center"/>
              <w:rPr>
                <w:rFonts w:eastAsiaTheme="minorHAnsi"/>
              </w:rPr>
            </w:pPr>
            <w:r w:rsidRPr="00882D96">
              <w:rPr>
                <w:rFonts w:eastAsiaTheme="minorHAnsi"/>
              </w:rPr>
              <w:t>55.0</w:t>
            </w:r>
          </w:p>
        </w:tc>
        <w:tc>
          <w:tcPr>
            <w:tcW w:w="848" w:type="dxa"/>
            <w:tcBorders>
              <w:top w:val="nil"/>
            </w:tcBorders>
            <w:vAlign w:val="center"/>
          </w:tcPr>
          <w:p w14:paraId="0ECEEBA8"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restart"/>
            <w:tcBorders>
              <w:top w:val="nil"/>
            </w:tcBorders>
            <w:vAlign w:val="center"/>
          </w:tcPr>
          <w:p w14:paraId="3333420E"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1897" w:type="dxa"/>
            <w:tcBorders>
              <w:top w:val="nil"/>
            </w:tcBorders>
            <w:vAlign w:val="center"/>
          </w:tcPr>
          <w:p w14:paraId="5079EB80" w14:textId="77777777" w:rsidR="00B45351" w:rsidRPr="00882D96" w:rsidRDefault="00B45351" w:rsidP="00882D96">
            <w:pPr>
              <w:spacing w:after="100" w:afterAutospacing="1"/>
              <w:jc w:val="center"/>
              <w:rPr>
                <w:rFonts w:eastAsiaTheme="minorHAnsi"/>
              </w:rPr>
            </w:pPr>
            <w:r w:rsidRPr="00882D96">
              <w:rPr>
                <w:rFonts w:eastAsiaTheme="minorHAnsi"/>
              </w:rPr>
              <w:t>0.36 (0.30 - 0.43)</w:t>
            </w:r>
          </w:p>
        </w:tc>
      </w:tr>
      <w:tr w:rsidR="00B45351" w:rsidRPr="00882D96" w14:paraId="4DDB7789" w14:textId="77777777" w:rsidTr="003C17AE">
        <w:trPr>
          <w:trHeight w:val="284"/>
          <w:jc w:val="center"/>
        </w:trPr>
        <w:tc>
          <w:tcPr>
            <w:tcW w:w="3119" w:type="dxa"/>
            <w:noWrap/>
            <w:vAlign w:val="center"/>
          </w:tcPr>
          <w:p w14:paraId="4013B009" w14:textId="77777777" w:rsidR="00B45351" w:rsidRPr="00882D96" w:rsidRDefault="00B45351" w:rsidP="00882D96">
            <w:pPr>
              <w:spacing w:after="100" w:afterAutospacing="1"/>
              <w:rPr>
                <w:rFonts w:eastAsiaTheme="minorHAnsi"/>
              </w:rPr>
            </w:pPr>
            <w:r w:rsidRPr="00882D96">
              <w:rPr>
                <w:rFonts w:eastAsiaTheme="minorHAnsi"/>
                <w:b/>
                <w:bCs/>
              </w:rPr>
              <w:t xml:space="preserve">   </w:t>
            </w:r>
            <w:r w:rsidRPr="00882D96">
              <w:rPr>
                <w:rFonts w:eastAsiaTheme="minorHAnsi"/>
              </w:rPr>
              <w:t xml:space="preserve">Mild </w:t>
            </w:r>
          </w:p>
        </w:tc>
        <w:tc>
          <w:tcPr>
            <w:tcW w:w="704" w:type="dxa"/>
            <w:noWrap/>
            <w:vAlign w:val="center"/>
          </w:tcPr>
          <w:p w14:paraId="4E551087" w14:textId="77777777" w:rsidR="00B45351" w:rsidRPr="00882D96" w:rsidRDefault="00B45351" w:rsidP="00882D96">
            <w:pPr>
              <w:spacing w:after="100" w:afterAutospacing="1"/>
              <w:jc w:val="center"/>
              <w:rPr>
                <w:rFonts w:eastAsiaTheme="minorHAnsi"/>
              </w:rPr>
            </w:pPr>
            <w:r w:rsidRPr="00882D96">
              <w:rPr>
                <w:rFonts w:eastAsiaTheme="minorHAnsi"/>
              </w:rPr>
              <w:t>269</w:t>
            </w:r>
          </w:p>
        </w:tc>
        <w:tc>
          <w:tcPr>
            <w:tcW w:w="601" w:type="dxa"/>
            <w:noWrap/>
            <w:vAlign w:val="center"/>
          </w:tcPr>
          <w:p w14:paraId="3067DAEB" w14:textId="77777777" w:rsidR="00B45351" w:rsidRPr="00882D96" w:rsidRDefault="00B45351" w:rsidP="00882D96">
            <w:pPr>
              <w:spacing w:after="100" w:afterAutospacing="1"/>
              <w:jc w:val="center"/>
              <w:rPr>
                <w:rFonts w:eastAsiaTheme="minorHAnsi"/>
              </w:rPr>
            </w:pPr>
            <w:r w:rsidRPr="00882D96">
              <w:rPr>
                <w:rFonts w:eastAsiaTheme="minorHAnsi"/>
              </w:rPr>
              <w:t>26.8</w:t>
            </w:r>
          </w:p>
        </w:tc>
        <w:tc>
          <w:tcPr>
            <w:tcW w:w="673" w:type="dxa"/>
            <w:vAlign w:val="center"/>
          </w:tcPr>
          <w:p w14:paraId="1B4634FA" w14:textId="77777777" w:rsidR="00B45351" w:rsidRPr="00882D96" w:rsidRDefault="00B45351" w:rsidP="00882D96">
            <w:pPr>
              <w:spacing w:after="100" w:afterAutospacing="1"/>
              <w:jc w:val="center"/>
              <w:rPr>
                <w:rFonts w:eastAsiaTheme="minorHAnsi"/>
              </w:rPr>
            </w:pPr>
            <w:r w:rsidRPr="00882D96">
              <w:rPr>
                <w:rFonts w:eastAsiaTheme="minorHAnsi"/>
              </w:rPr>
              <w:t>274</w:t>
            </w:r>
          </w:p>
        </w:tc>
        <w:tc>
          <w:tcPr>
            <w:tcW w:w="703" w:type="dxa"/>
            <w:vAlign w:val="center"/>
          </w:tcPr>
          <w:p w14:paraId="6F6B18DC" w14:textId="77777777" w:rsidR="00B45351" w:rsidRPr="00882D96" w:rsidRDefault="00B45351" w:rsidP="00882D96">
            <w:pPr>
              <w:spacing w:after="100" w:afterAutospacing="1"/>
              <w:jc w:val="center"/>
              <w:rPr>
                <w:rFonts w:eastAsiaTheme="minorHAnsi"/>
              </w:rPr>
            </w:pPr>
            <w:r w:rsidRPr="00882D96">
              <w:rPr>
                <w:rFonts w:eastAsiaTheme="minorHAnsi"/>
              </w:rPr>
              <w:t>23.9</w:t>
            </w:r>
          </w:p>
        </w:tc>
        <w:tc>
          <w:tcPr>
            <w:tcW w:w="848" w:type="dxa"/>
            <w:vAlign w:val="center"/>
          </w:tcPr>
          <w:p w14:paraId="7AA5990B" w14:textId="77777777" w:rsidR="00B45351" w:rsidRPr="00882D96" w:rsidRDefault="00B45351" w:rsidP="00882D96">
            <w:pPr>
              <w:spacing w:after="100" w:afterAutospacing="1"/>
              <w:jc w:val="center"/>
              <w:rPr>
                <w:rFonts w:eastAsiaTheme="minorHAnsi"/>
              </w:rPr>
            </w:pPr>
            <w:r w:rsidRPr="00882D96">
              <w:rPr>
                <w:rFonts w:eastAsiaTheme="minorHAnsi"/>
              </w:rPr>
              <w:t>.121</w:t>
            </w:r>
          </w:p>
        </w:tc>
        <w:tc>
          <w:tcPr>
            <w:tcW w:w="806" w:type="dxa"/>
            <w:vMerge/>
            <w:vAlign w:val="center"/>
          </w:tcPr>
          <w:p w14:paraId="3DED3534" w14:textId="77777777" w:rsidR="00B45351" w:rsidRPr="00882D96" w:rsidRDefault="00B45351" w:rsidP="00882D96">
            <w:pPr>
              <w:spacing w:after="100" w:afterAutospacing="1"/>
              <w:jc w:val="center"/>
              <w:rPr>
                <w:rFonts w:eastAsiaTheme="minorHAnsi"/>
              </w:rPr>
            </w:pPr>
          </w:p>
        </w:tc>
        <w:tc>
          <w:tcPr>
            <w:tcW w:w="1897" w:type="dxa"/>
            <w:vAlign w:val="center"/>
          </w:tcPr>
          <w:p w14:paraId="501EEF9F" w14:textId="77777777" w:rsidR="00B45351" w:rsidRPr="00882D96" w:rsidRDefault="00B45351" w:rsidP="00882D96">
            <w:pPr>
              <w:spacing w:after="100" w:afterAutospacing="1"/>
              <w:jc w:val="center"/>
              <w:rPr>
                <w:rFonts w:eastAsiaTheme="minorHAnsi"/>
              </w:rPr>
            </w:pPr>
            <w:r w:rsidRPr="00882D96">
              <w:rPr>
                <w:rFonts w:eastAsiaTheme="minorHAnsi"/>
              </w:rPr>
              <w:t>1.17 (0.96 - 1.42)</w:t>
            </w:r>
          </w:p>
        </w:tc>
      </w:tr>
      <w:tr w:rsidR="00B45351" w:rsidRPr="00882D96" w14:paraId="41B34CBD" w14:textId="77777777" w:rsidTr="003C17AE">
        <w:trPr>
          <w:trHeight w:val="284"/>
          <w:jc w:val="center"/>
        </w:trPr>
        <w:tc>
          <w:tcPr>
            <w:tcW w:w="3119" w:type="dxa"/>
            <w:noWrap/>
            <w:vAlign w:val="center"/>
          </w:tcPr>
          <w:p w14:paraId="77859543" w14:textId="77777777" w:rsidR="00B45351" w:rsidRPr="00882D96" w:rsidRDefault="00B45351" w:rsidP="00882D96">
            <w:pPr>
              <w:spacing w:after="100" w:afterAutospacing="1"/>
              <w:rPr>
                <w:rFonts w:eastAsiaTheme="minorHAnsi"/>
              </w:rPr>
            </w:pPr>
            <w:r w:rsidRPr="00882D96">
              <w:rPr>
                <w:rFonts w:eastAsiaTheme="minorHAnsi"/>
                <w:b/>
                <w:bCs/>
              </w:rPr>
              <w:t xml:space="preserve">   </w:t>
            </w:r>
            <w:r w:rsidRPr="00882D96">
              <w:rPr>
                <w:rFonts w:eastAsiaTheme="minorHAnsi"/>
              </w:rPr>
              <w:t xml:space="preserve">Moderate </w:t>
            </w:r>
          </w:p>
        </w:tc>
        <w:tc>
          <w:tcPr>
            <w:tcW w:w="704" w:type="dxa"/>
            <w:noWrap/>
            <w:vAlign w:val="center"/>
          </w:tcPr>
          <w:p w14:paraId="5ABC2B04" w14:textId="77777777" w:rsidR="00B45351" w:rsidRPr="00882D96" w:rsidRDefault="00B45351" w:rsidP="00882D96">
            <w:pPr>
              <w:spacing w:after="100" w:afterAutospacing="1"/>
              <w:jc w:val="center"/>
              <w:rPr>
                <w:rFonts w:eastAsiaTheme="minorHAnsi"/>
              </w:rPr>
            </w:pPr>
            <w:r w:rsidRPr="00882D96">
              <w:rPr>
                <w:rFonts w:eastAsiaTheme="minorHAnsi"/>
              </w:rPr>
              <w:t>271</w:t>
            </w:r>
          </w:p>
        </w:tc>
        <w:tc>
          <w:tcPr>
            <w:tcW w:w="601" w:type="dxa"/>
            <w:noWrap/>
            <w:vAlign w:val="center"/>
          </w:tcPr>
          <w:p w14:paraId="7FCB2612" w14:textId="77777777" w:rsidR="00B45351" w:rsidRPr="00882D96" w:rsidRDefault="00B45351" w:rsidP="00882D96">
            <w:pPr>
              <w:spacing w:after="100" w:afterAutospacing="1"/>
              <w:jc w:val="center"/>
              <w:rPr>
                <w:rFonts w:eastAsiaTheme="minorHAnsi"/>
              </w:rPr>
            </w:pPr>
            <w:r w:rsidRPr="00882D96">
              <w:rPr>
                <w:rFonts w:eastAsiaTheme="minorHAnsi"/>
              </w:rPr>
              <w:t>27.0</w:t>
            </w:r>
          </w:p>
        </w:tc>
        <w:tc>
          <w:tcPr>
            <w:tcW w:w="673" w:type="dxa"/>
            <w:vAlign w:val="center"/>
          </w:tcPr>
          <w:p w14:paraId="2F8076C7" w14:textId="77777777" w:rsidR="00B45351" w:rsidRPr="00882D96" w:rsidRDefault="00B45351" w:rsidP="00882D96">
            <w:pPr>
              <w:spacing w:after="100" w:afterAutospacing="1"/>
              <w:jc w:val="center"/>
              <w:rPr>
                <w:rFonts w:eastAsiaTheme="minorHAnsi"/>
              </w:rPr>
            </w:pPr>
            <w:r w:rsidRPr="00882D96">
              <w:rPr>
                <w:rFonts w:eastAsiaTheme="minorHAnsi"/>
              </w:rPr>
              <w:t>116</w:t>
            </w:r>
          </w:p>
        </w:tc>
        <w:tc>
          <w:tcPr>
            <w:tcW w:w="703" w:type="dxa"/>
            <w:vAlign w:val="center"/>
          </w:tcPr>
          <w:p w14:paraId="6E597C0B" w14:textId="77777777" w:rsidR="00B45351" w:rsidRPr="00882D96" w:rsidRDefault="00B45351" w:rsidP="00882D96">
            <w:pPr>
              <w:spacing w:after="100" w:afterAutospacing="1"/>
              <w:jc w:val="center"/>
              <w:rPr>
                <w:rFonts w:eastAsiaTheme="minorHAnsi"/>
              </w:rPr>
            </w:pPr>
            <w:r w:rsidRPr="00882D96">
              <w:rPr>
                <w:rFonts w:eastAsiaTheme="minorHAnsi"/>
              </w:rPr>
              <w:t>10.1</w:t>
            </w:r>
          </w:p>
        </w:tc>
        <w:tc>
          <w:tcPr>
            <w:tcW w:w="848" w:type="dxa"/>
            <w:vAlign w:val="center"/>
          </w:tcPr>
          <w:p w14:paraId="79F8A455"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52C55846" w14:textId="77777777" w:rsidR="00B45351" w:rsidRPr="00882D96" w:rsidRDefault="00B45351" w:rsidP="00882D96">
            <w:pPr>
              <w:spacing w:after="100" w:afterAutospacing="1"/>
              <w:jc w:val="center"/>
              <w:rPr>
                <w:rFonts w:eastAsiaTheme="minorHAnsi"/>
              </w:rPr>
            </w:pPr>
          </w:p>
        </w:tc>
        <w:tc>
          <w:tcPr>
            <w:tcW w:w="1897" w:type="dxa"/>
            <w:vAlign w:val="center"/>
          </w:tcPr>
          <w:p w14:paraId="77D857F5" w14:textId="77777777" w:rsidR="00B45351" w:rsidRPr="00882D96" w:rsidRDefault="00B45351" w:rsidP="00882D96">
            <w:pPr>
              <w:spacing w:after="100" w:afterAutospacing="1"/>
              <w:jc w:val="center"/>
              <w:rPr>
                <w:rFonts w:eastAsiaTheme="minorHAnsi"/>
              </w:rPr>
            </w:pPr>
            <w:r w:rsidRPr="00882D96">
              <w:rPr>
                <w:rFonts w:eastAsiaTheme="minorHAnsi"/>
              </w:rPr>
              <w:t>3.30 (2.59 - 4.17)</w:t>
            </w:r>
          </w:p>
        </w:tc>
      </w:tr>
      <w:tr w:rsidR="00B45351" w:rsidRPr="00882D96" w14:paraId="2F906D72" w14:textId="77777777" w:rsidTr="003C17AE">
        <w:trPr>
          <w:trHeight w:val="284"/>
          <w:jc w:val="center"/>
        </w:trPr>
        <w:tc>
          <w:tcPr>
            <w:tcW w:w="3119" w:type="dxa"/>
            <w:noWrap/>
            <w:vAlign w:val="center"/>
          </w:tcPr>
          <w:p w14:paraId="1693B685" w14:textId="77777777" w:rsidR="00B45351" w:rsidRPr="00882D96" w:rsidRDefault="00B45351" w:rsidP="00882D96">
            <w:pPr>
              <w:spacing w:after="100" w:afterAutospacing="1"/>
              <w:rPr>
                <w:rFonts w:eastAsiaTheme="minorHAnsi"/>
              </w:rPr>
            </w:pPr>
            <w:r w:rsidRPr="00882D96">
              <w:rPr>
                <w:rFonts w:eastAsiaTheme="minorHAnsi"/>
                <w:b/>
                <w:bCs/>
              </w:rPr>
              <w:t xml:space="preserve">   </w:t>
            </w:r>
            <w:r w:rsidRPr="00882D96">
              <w:rPr>
                <w:rFonts w:eastAsiaTheme="minorHAnsi"/>
              </w:rPr>
              <w:t xml:space="preserve">Moderately Severe </w:t>
            </w:r>
          </w:p>
        </w:tc>
        <w:tc>
          <w:tcPr>
            <w:tcW w:w="704" w:type="dxa"/>
            <w:noWrap/>
            <w:vAlign w:val="center"/>
          </w:tcPr>
          <w:p w14:paraId="3BCDC736" w14:textId="77777777" w:rsidR="00B45351" w:rsidRPr="00882D96" w:rsidRDefault="00B45351" w:rsidP="00882D96">
            <w:pPr>
              <w:spacing w:after="100" w:afterAutospacing="1"/>
              <w:jc w:val="center"/>
              <w:rPr>
                <w:rFonts w:eastAsiaTheme="minorHAnsi"/>
              </w:rPr>
            </w:pPr>
            <w:r w:rsidRPr="00882D96">
              <w:rPr>
                <w:rFonts w:eastAsiaTheme="minorHAnsi"/>
              </w:rPr>
              <w:t>72</w:t>
            </w:r>
          </w:p>
        </w:tc>
        <w:tc>
          <w:tcPr>
            <w:tcW w:w="601" w:type="dxa"/>
            <w:noWrap/>
            <w:vAlign w:val="center"/>
          </w:tcPr>
          <w:p w14:paraId="6060339D" w14:textId="77777777" w:rsidR="00B45351" w:rsidRPr="00882D96" w:rsidRDefault="00B45351" w:rsidP="00882D96">
            <w:pPr>
              <w:spacing w:after="100" w:afterAutospacing="1"/>
              <w:jc w:val="center"/>
              <w:rPr>
                <w:rFonts w:eastAsiaTheme="minorHAnsi"/>
              </w:rPr>
            </w:pPr>
            <w:r w:rsidRPr="00882D96">
              <w:rPr>
                <w:rFonts w:eastAsiaTheme="minorHAnsi"/>
              </w:rPr>
              <w:t>7.2</w:t>
            </w:r>
          </w:p>
        </w:tc>
        <w:tc>
          <w:tcPr>
            <w:tcW w:w="673" w:type="dxa"/>
            <w:vAlign w:val="center"/>
          </w:tcPr>
          <w:p w14:paraId="65A8F56F" w14:textId="77777777" w:rsidR="00B45351" w:rsidRPr="00882D96" w:rsidRDefault="00B45351" w:rsidP="00882D96">
            <w:pPr>
              <w:spacing w:after="100" w:afterAutospacing="1"/>
              <w:jc w:val="center"/>
              <w:rPr>
                <w:rFonts w:eastAsiaTheme="minorHAnsi"/>
              </w:rPr>
            </w:pPr>
            <w:r w:rsidRPr="00882D96">
              <w:rPr>
                <w:rFonts w:eastAsiaTheme="minorHAnsi"/>
              </w:rPr>
              <w:t>87</w:t>
            </w:r>
          </w:p>
        </w:tc>
        <w:tc>
          <w:tcPr>
            <w:tcW w:w="703" w:type="dxa"/>
            <w:vAlign w:val="center"/>
          </w:tcPr>
          <w:p w14:paraId="1DDC96A4" w14:textId="77777777" w:rsidR="00B45351" w:rsidRPr="00882D96" w:rsidRDefault="00B45351" w:rsidP="00882D96">
            <w:pPr>
              <w:spacing w:after="100" w:afterAutospacing="1"/>
              <w:jc w:val="center"/>
              <w:rPr>
                <w:rFonts w:eastAsiaTheme="minorHAnsi"/>
              </w:rPr>
            </w:pPr>
            <w:r w:rsidRPr="00882D96">
              <w:rPr>
                <w:rFonts w:eastAsiaTheme="minorHAnsi"/>
              </w:rPr>
              <w:t>7.6</w:t>
            </w:r>
          </w:p>
        </w:tc>
        <w:tc>
          <w:tcPr>
            <w:tcW w:w="848" w:type="dxa"/>
            <w:vAlign w:val="center"/>
          </w:tcPr>
          <w:p w14:paraId="328BD9F6" w14:textId="77777777" w:rsidR="00B45351" w:rsidRPr="00882D96" w:rsidRDefault="00B45351" w:rsidP="00882D96">
            <w:pPr>
              <w:spacing w:after="100" w:afterAutospacing="1"/>
              <w:jc w:val="center"/>
              <w:rPr>
                <w:rFonts w:eastAsiaTheme="minorHAnsi"/>
              </w:rPr>
            </w:pPr>
            <w:r w:rsidRPr="00882D96">
              <w:rPr>
                <w:rFonts w:eastAsiaTheme="minorHAnsi"/>
              </w:rPr>
              <w:t>.716</w:t>
            </w:r>
          </w:p>
        </w:tc>
        <w:tc>
          <w:tcPr>
            <w:tcW w:w="806" w:type="dxa"/>
            <w:vMerge/>
            <w:vAlign w:val="center"/>
          </w:tcPr>
          <w:p w14:paraId="3A3577AD" w14:textId="77777777" w:rsidR="00B45351" w:rsidRPr="00882D96" w:rsidRDefault="00B45351" w:rsidP="00882D96">
            <w:pPr>
              <w:spacing w:after="100" w:afterAutospacing="1"/>
              <w:jc w:val="center"/>
              <w:rPr>
                <w:rFonts w:eastAsiaTheme="minorHAnsi"/>
              </w:rPr>
            </w:pPr>
          </w:p>
        </w:tc>
        <w:tc>
          <w:tcPr>
            <w:tcW w:w="1897" w:type="dxa"/>
            <w:vAlign w:val="center"/>
          </w:tcPr>
          <w:p w14:paraId="303D025D" w14:textId="77777777" w:rsidR="00B45351" w:rsidRPr="00882D96" w:rsidRDefault="00B45351" w:rsidP="00882D96">
            <w:pPr>
              <w:spacing w:after="100" w:afterAutospacing="1"/>
              <w:jc w:val="center"/>
              <w:rPr>
                <w:rFonts w:eastAsiaTheme="minorHAnsi"/>
              </w:rPr>
            </w:pPr>
            <w:r w:rsidRPr="00882D96">
              <w:rPr>
                <w:rFonts w:eastAsiaTheme="minorHAnsi"/>
              </w:rPr>
              <w:t>0.94 (0.68 - 1.30)</w:t>
            </w:r>
          </w:p>
        </w:tc>
      </w:tr>
      <w:tr w:rsidR="00B45351" w:rsidRPr="00882D96" w14:paraId="3F912D28" w14:textId="77777777" w:rsidTr="003C17AE">
        <w:trPr>
          <w:trHeight w:val="284"/>
          <w:jc w:val="center"/>
        </w:trPr>
        <w:tc>
          <w:tcPr>
            <w:tcW w:w="3119" w:type="dxa"/>
            <w:noWrap/>
            <w:vAlign w:val="center"/>
          </w:tcPr>
          <w:p w14:paraId="52C38914" w14:textId="77777777" w:rsidR="00B45351" w:rsidRPr="00882D96" w:rsidRDefault="00B45351" w:rsidP="00882D96">
            <w:pPr>
              <w:spacing w:after="100" w:afterAutospacing="1"/>
              <w:rPr>
                <w:rFonts w:eastAsiaTheme="minorHAnsi"/>
              </w:rPr>
            </w:pPr>
            <w:r w:rsidRPr="00882D96">
              <w:rPr>
                <w:rFonts w:eastAsiaTheme="minorHAnsi"/>
                <w:b/>
                <w:bCs/>
              </w:rPr>
              <w:t xml:space="preserve">   </w:t>
            </w:r>
            <w:r w:rsidRPr="00882D96">
              <w:rPr>
                <w:rFonts w:eastAsiaTheme="minorHAnsi"/>
              </w:rPr>
              <w:t xml:space="preserve">Severe </w:t>
            </w:r>
          </w:p>
        </w:tc>
        <w:tc>
          <w:tcPr>
            <w:tcW w:w="704" w:type="dxa"/>
            <w:noWrap/>
            <w:vAlign w:val="center"/>
          </w:tcPr>
          <w:p w14:paraId="326E95DD" w14:textId="77777777" w:rsidR="00B45351" w:rsidRPr="00882D96" w:rsidRDefault="00B45351" w:rsidP="00882D96">
            <w:pPr>
              <w:spacing w:after="100" w:afterAutospacing="1"/>
              <w:jc w:val="center"/>
              <w:rPr>
                <w:rFonts w:eastAsiaTheme="minorHAnsi"/>
              </w:rPr>
            </w:pPr>
            <w:r w:rsidRPr="00882D96">
              <w:rPr>
                <w:rFonts w:eastAsiaTheme="minorHAnsi"/>
              </w:rPr>
              <w:t>85</w:t>
            </w:r>
          </w:p>
        </w:tc>
        <w:tc>
          <w:tcPr>
            <w:tcW w:w="601" w:type="dxa"/>
            <w:noWrap/>
            <w:vAlign w:val="center"/>
          </w:tcPr>
          <w:p w14:paraId="577811B5" w14:textId="77777777" w:rsidR="00B45351" w:rsidRPr="00882D96" w:rsidRDefault="00B45351" w:rsidP="00882D96">
            <w:pPr>
              <w:spacing w:after="100" w:afterAutospacing="1"/>
              <w:jc w:val="center"/>
              <w:rPr>
                <w:rFonts w:eastAsiaTheme="minorHAnsi"/>
              </w:rPr>
            </w:pPr>
            <w:r w:rsidRPr="00882D96">
              <w:rPr>
                <w:rFonts w:eastAsiaTheme="minorHAnsi"/>
              </w:rPr>
              <w:t>8.5</w:t>
            </w:r>
          </w:p>
        </w:tc>
        <w:tc>
          <w:tcPr>
            <w:tcW w:w="673" w:type="dxa"/>
            <w:vAlign w:val="center"/>
          </w:tcPr>
          <w:p w14:paraId="344C1F1A" w14:textId="77777777" w:rsidR="00B45351" w:rsidRPr="00882D96" w:rsidRDefault="00B45351" w:rsidP="00882D96">
            <w:pPr>
              <w:spacing w:after="100" w:afterAutospacing="1"/>
              <w:jc w:val="center"/>
              <w:rPr>
                <w:rFonts w:eastAsiaTheme="minorHAnsi"/>
              </w:rPr>
            </w:pPr>
            <w:r w:rsidRPr="00882D96">
              <w:rPr>
                <w:rFonts w:eastAsiaTheme="minorHAnsi"/>
              </w:rPr>
              <w:t>38</w:t>
            </w:r>
          </w:p>
        </w:tc>
        <w:tc>
          <w:tcPr>
            <w:tcW w:w="703" w:type="dxa"/>
            <w:vAlign w:val="center"/>
          </w:tcPr>
          <w:p w14:paraId="6751F3D2" w14:textId="77777777" w:rsidR="00B45351" w:rsidRPr="00882D96" w:rsidRDefault="00B45351" w:rsidP="00882D96">
            <w:pPr>
              <w:spacing w:after="100" w:afterAutospacing="1"/>
              <w:jc w:val="center"/>
              <w:rPr>
                <w:rFonts w:eastAsiaTheme="minorHAnsi"/>
              </w:rPr>
            </w:pPr>
            <w:r w:rsidRPr="00882D96">
              <w:rPr>
                <w:rFonts w:eastAsiaTheme="minorHAnsi"/>
              </w:rPr>
              <w:t>3.3</w:t>
            </w:r>
          </w:p>
        </w:tc>
        <w:tc>
          <w:tcPr>
            <w:tcW w:w="848" w:type="dxa"/>
            <w:vAlign w:val="center"/>
          </w:tcPr>
          <w:p w14:paraId="4E03B527"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7F49684A" w14:textId="77777777" w:rsidR="00B45351" w:rsidRPr="00882D96" w:rsidRDefault="00B45351" w:rsidP="00882D96">
            <w:pPr>
              <w:spacing w:after="100" w:afterAutospacing="1"/>
              <w:jc w:val="center"/>
              <w:rPr>
                <w:rFonts w:eastAsiaTheme="minorHAnsi"/>
              </w:rPr>
            </w:pPr>
          </w:p>
        </w:tc>
        <w:tc>
          <w:tcPr>
            <w:tcW w:w="1897" w:type="dxa"/>
            <w:vAlign w:val="center"/>
          </w:tcPr>
          <w:p w14:paraId="3E32D7E4" w14:textId="77777777" w:rsidR="00B45351" w:rsidRPr="00882D96" w:rsidRDefault="00B45351" w:rsidP="00882D96">
            <w:pPr>
              <w:spacing w:after="100" w:afterAutospacing="1"/>
              <w:jc w:val="center"/>
              <w:rPr>
                <w:rFonts w:eastAsiaTheme="minorHAnsi"/>
              </w:rPr>
            </w:pPr>
            <w:r w:rsidRPr="00882D96">
              <w:rPr>
                <w:rFonts w:eastAsiaTheme="minorHAnsi"/>
              </w:rPr>
              <w:t>2.70 (1.82 - 4.00)</w:t>
            </w:r>
          </w:p>
        </w:tc>
      </w:tr>
      <w:tr w:rsidR="00B45351" w:rsidRPr="00882D96" w14:paraId="48ED18BF" w14:textId="77777777" w:rsidTr="003C17AE">
        <w:trPr>
          <w:trHeight w:val="284"/>
          <w:jc w:val="center"/>
        </w:trPr>
        <w:tc>
          <w:tcPr>
            <w:tcW w:w="3119" w:type="dxa"/>
            <w:noWrap/>
            <w:vAlign w:val="center"/>
          </w:tcPr>
          <w:p w14:paraId="3F7E1D84" w14:textId="77777777" w:rsidR="00B45351" w:rsidRPr="00882D96" w:rsidRDefault="00B45351" w:rsidP="00882D96">
            <w:pPr>
              <w:spacing w:after="100" w:afterAutospacing="1"/>
              <w:rPr>
                <w:rFonts w:eastAsiaTheme="minorHAnsi"/>
                <w:b/>
                <w:bCs/>
              </w:rPr>
            </w:pPr>
            <w:r w:rsidRPr="00882D96">
              <w:rPr>
                <w:rFonts w:eastAsiaTheme="minorHAnsi"/>
                <w:b/>
                <w:bCs/>
              </w:rPr>
              <w:t>Anxiety</w:t>
            </w:r>
          </w:p>
        </w:tc>
        <w:tc>
          <w:tcPr>
            <w:tcW w:w="704" w:type="dxa"/>
            <w:noWrap/>
            <w:vAlign w:val="center"/>
          </w:tcPr>
          <w:p w14:paraId="643F1D74" w14:textId="77777777" w:rsidR="00B45351" w:rsidRPr="00882D96" w:rsidRDefault="00B45351" w:rsidP="00882D96">
            <w:pPr>
              <w:spacing w:after="100" w:afterAutospacing="1"/>
              <w:jc w:val="center"/>
              <w:rPr>
                <w:rFonts w:eastAsiaTheme="minorHAnsi"/>
                <w:i/>
                <w:iCs/>
              </w:rPr>
            </w:pPr>
            <w:r w:rsidRPr="00882D96">
              <w:rPr>
                <w:rFonts w:eastAsiaTheme="minorHAnsi"/>
                <w:i/>
                <w:iCs/>
              </w:rPr>
              <w:t>1002</w:t>
            </w:r>
          </w:p>
        </w:tc>
        <w:tc>
          <w:tcPr>
            <w:tcW w:w="601" w:type="dxa"/>
            <w:noWrap/>
            <w:vAlign w:val="center"/>
          </w:tcPr>
          <w:p w14:paraId="6459D670" w14:textId="77777777" w:rsidR="00B45351" w:rsidRPr="00882D96" w:rsidRDefault="00B45351" w:rsidP="00882D96">
            <w:pPr>
              <w:spacing w:after="100" w:afterAutospacing="1"/>
              <w:jc w:val="center"/>
              <w:rPr>
                <w:rFonts w:eastAsiaTheme="minorHAnsi"/>
                <w:i/>
                <w:iCs/>
              </w:rPr>
            </w:pPr>
          </w:p>
        </w:tc>
        <w:tc>
          <w:tcPr>
            <w:tcW w:w="673" w:type="dxa"/>
            <w:vAlign w:val="center"/>
          </w:tcPr>
          <w:p w14:paraId="658464B8" w14:textId="77777777" w:rsidR="00B45351" w:rsidRPr="00882D96" w:rsidRDefault="00B45351" w:rsidP="00882D96">
            <w:pPr>
              <w:spacing w:after="100" w:afterAutospacing="1"/>
              <w:jc w:val="center"/>
              <w:rPr>
                <w:rFonts w:eastAsiaTheme="minorHAnsi"/>
                <w:i/>
                <w:iCs/>
              </w:rPr>
            </w:pPr>
            <w:r w:rsidRPr="00882D96">
              <w:rPr>
                <w:rFonts w:eastAsiaTheme="minorHAnsi"/>
                <w:i/>
                <w:iCs/>
              </w:rPr>
              <w:t>1145</w:t>
            </w:r>
          </w:p>
        </w:tc>
        <w:tc>
          <w:tcPr>
            <w:tcW w:w="703" w:type="dxa"/>
            <w:vAlign w:val="center"/>
          </w:tcPr>
          <w:p w14:paraId="2318E57A" w14:textId="77777777" w:rsidR="00B45351" w:rsidRPr="00882D96" w:rsidRDefault="00B45351" w:rsidP="00882D96">
            <w:pPr>
              <w:spacing w:after="100" w:afterAutospacing="1"/>
              <w:jc w:val="center"/>
              <w:rPr>
                <w:rFonts w:eastAsiaTheme="minorHAnsi"/>
                <w:i/>
                <w:iCs/>
              </w:rPr>
            </w:pPr>
          </w:p>
        </w:tc>
        <w:tc>
          <w:tcPr>
            <w:tcW w:w="848" w:type="dxa"/>
            <w:vAlign w:val="center"/>
          </w:tcPr>
          <w:p w14:paraId="0D282BC0" w14:textId="77777777" w:rsidR="00B45351" w:rsidRPr="00882D96" w:rsidRDefault="00B45351" w:rsidP="00882D96">
            <w:pPr>
              <w:spacing w:after="100" w:afterAutospacing="1"/>
              <w:jc w:val="center"/>
              <w:rPr>
                <w:rFonts w:eastAsiaTheme="minorHAnsi"/>
              </w:rPr>
            </w:pPr>
          </w:p>
        </w:tc>
        <w:tc>
          <w:tcPr>
            <w:tcW w:w="806" w:type="dxa"/>
            <w:vAlign w:val="center"/>
          </w:tcPr>
          <w:p w14:paraId="59232197" w14:textId="77777777" w:rsidR="00B45351" w:rsidRPr="00882D96" w:rsidRDefault="00B45351" w:rsidP="00882D96">
            <w:pPr>
              <w:spacing w:after="100" w:afterAutospacing="1"/>
              <w:jc w:val="center"/>
              <w:rPr>
                <w:rFonts w:eastAsiaTheme="minorHAnsi"/>
              </w:rPr>
            </w:pPr>
          </w:p>
        </w:tc>
        <w:tc>
          <w:tcPr>
            <w:tcW w:w="1897" w:type="dxa"/>
            <w:vAlign w:val="center"/>
          </w:tcPr>
          <w:p w14:paraId="33CC8A94" w14:textId="77777777" w:rsidR="00B45351" w:rsidRPr="00882D96" w:rsidRDefault="00B45351" w:rsidP="00882D96">
            <w:pPr>
              <w:spacing w:after="100" w:afterAutospacing="1"/>
              <w:jc w:val="center"/>
              <w:rPr>
                <w:rFonts w:eastAsiaTheme="minorHAnsi"/>
              </w:rPr>
            </w:pPr>
          </w:p>
        </w:tc>
      </w:tr>
      <w:tr w:rsidR="00B45351" w:rsidRPr="00882D96" w14:paraId="175CD644" w14:textId="77777777" w:rsidTr="003C17AE">
        <w:trPr>
          <w:trHeight w:val="284"/>
          <w:jc w:val="center"/>
        </w:trPr>
        <w:tc>
          <w:tcPr>
            <w:tcW w:w="3119" w:type="dxa"/>
            <w:noWrap/>
            <w:vAlign w:val="center"/>
          </w:tcPr>
          <w:p w14:paraId="4ADB2E14" w14:textId="77777777" w:rsidR="00B45351" w:rsidRPr="00882D96" w:rsidRDefault="00B45351" w:rsidP="00882D96">
            <w:pPr>
              <w:spacing w:after="100" w:afterAutospacing="1"/>
              <w:rPr>
                <w:rFonts w:eastAsiaTheme="minorHAnsi"/>
                <w:b/>
                <w:bCs/>
              </w:rPr>
            </w:pPr>
            <w:r w:rsidRPr="00882D96">
              <w:rPr>
                <w:rFonts w:eastAsiaTheme="minorHAnsi"/>
                <w:b/>
                <w:bCs/>
              </w:rPr>
              <w:t xml:space="preserve">   </w:t>
            </w:r>
            <w:r w:rsidRPr="00882D96">
              <w:rPr>
                <w:rFonts w:eastAsiaTheme="minorHAnsi"/>
              </w:rPr>
              <w:t>No Anxiety</w:t>
            </w:r>
          </w:p>
        </w:tc>
        <w:tc>
          <w:tcPr>
            <w:tcW w:w="704" w:type="dxa"/>
            <w:noWrap/>
            <w:vAlign w:val="center"/>
          </w:tcPr>
          <w:p w14:paraId="5583952C" w14:textId="77777777" w:rsidR="00B45351" w:rsidRPr="00882D96" w:rsidRDefault="00B45351" w:rsidP="00882D96">
            <w:pPr>
              <w:spacing w:after="100" w:afterAutospacing="1"/>
              <w:jc w:val="center"/>
              <w:rPr>
                <w:rFonts w:eastAsiaTheme="minorHAnsi"/>
              </w:rPr>
            </w:pPr>
            <w:r w:rsidRPr="00882D96">
              <w:rPr>
                <w:rFonts w:eastAsiaTheme="minorHAnsi"/>
              </w:rPr>
              <w:t>388</w:t>
            </w:r>
          </w:p>
        </w:tc>
        <w:tc>
          <w:tcPr>
            <w:tcW w:w="601" w:type="dxa"/>
            <w:noWrap/>
            <w:vAlign w:val="center"/>
          </w:tcPr>
          <w:p w14:paraId="33FEA602" w14:textId="77777777" w:rsidR="00B45351" w:rsidRPr="00882D96" w:rsidRDefault="00B45351" w:rsidP="00882D96">
            <w:pPr>
              <w:spacing w:after="100" w:afterAutospacing="1"/>
              <w:jc w:val="center"/>
              <w:rPr>
                <w:rFonts w:eastAsiaTheme="minorHAnsi"/>
              </w:rPr>
            </w:pPr>
            <w:r w:rsidRPr="00882D96">
              <w:rPr>
                <w:rFonts w:eastAsiaTheme="minorHAnsi"/>
              </w:rPr>
              <w:t>38.7</w:t>
            </w:r>
          </w:p>
        </w:tc>
        <w:tc>
          <w:tcPr>
            <w:tcW w:w="673" w:type="dxa"/>
            <w:vAlign w:val="center"/>
          </w:tcPr>
          <w:p w14:paraId="4B335937" w14:textId="77777777" w:rsidR="00B45351" w:rsidRPr="00882D96" w:rsidRDefault="00B45351" w:rsidP="00882D96">
            <w:pPr>
              <w:spacing w:after="100" w:afterAutospacing="1"/>
              <w:jc w:val="center"/>
              <w:rPr>
                <w:rFonts w:eastAsiaTheme="minorHAnsi"/>
              </w:rPr>
            </w:pPr>
            <w:r w:rsidRPr="00882D96">
              <w:rPr>
                <w:rFonts w:eastAsiaTheme="minorHAnsi"/>
              </w:rPr>
              <w:t>743</w:t>
            </w:r>
          </w:p>
        </w:tc>
        <w:tc>
          <w:tcPr>
            <w:tcW w:w="703" w:type="dxa"/>
            <w:vAlign w:val="center"/>
          </w:tcPr>
          <w:p w14:paraId="0BF27F8E" w14:textId="77777777" w:rsidR="00B45351" w:rsidRPr="00882D96" w:rsidRDefault="00B45351" w:rsidP="00882D96">
            <w:pPr>
              <w:spacing w:after="100" w:afterAutospacing="1"/>
              <w:jc w:val="center"/>
              <w:rPr>
                <w:rFonts w:eastAsiaTheme="minorHAnsi"/>
              </w:rPr>
            </w:pPr>
            <w:r w:rsidRPr="00882D96">
              <w:rPr>
                <w:rFonts w:eastAsiaTheme="minorHAnsi"/>
              </w:rPr>
              <w:t>64.9</w:t>
            </w:r>
          </w:p>
        </w:tc>
        <w:tc>
          <w:tcPr>
            <w:tcW w:w="848" w:type="dxa"/>
            <w:vAlign w:val="center"/>
          </w:tcPr>
          <w:p w14:paraId="711425A0"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restart"/>
            <w:vAlign w:val="center"/>
          </w:tcPr>
          <w:p w14:paraId="2CF4706D"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1897" w:type="dxa"/>
            <w:vAlign w:val="center"/>
          </w:tcPr>
          <w:p w14:paraId="3889BE78" w14:textId="77777777" w:rsidR="00B45351" w:rsidRPr="00882D96" w:rsidRDefault="00B45351" w:rsidP="00882D96">
            <w:pPr>
              <w:spacing w:after="100" w:afterAutospacing="1"/>
              <w:jc w:val="center"/>
              <w:rPr>
                <w:rFonts w:eastAsiaTheme="minorHAnsi"/>
              </w:rPr>
            </w:pPr>
            <w:r w:rsidRPr="00882D96">
              <w:rPr>
                <w:rFonts w:eastAsiaTheme="minorHAnsi"/>
              </w:rPr>
              <w:t>0.34 (0.29 - 0.41)</w:t>
            </w:r>
          </w:p>
        </w:tc>
      </w:tr>
      <w:tr w:rsidR="00B45351" w:rsidRPr="00882D96" w14:paraId="48AE2C3E" w14:textId="77777777" w:rsidTr="003C17AE">
        <w:trPr>
          <w:trHeight w:val="284"/>
          <w:jc w:val="center"/>
        </w:trPr>
        <w:tc>
          <w:tcPr>
            <w:tcW w:w="3119" w:type="dxa"/>
            <w:noWrap/>
            <w:vAlign w:val="center"/>
          </w:tcPr>
          <w:p w14:paraId="5F94ABEB" w14:textId="77777777" w:rsidR="00B45351" w:rsidRPr="00882D96" w:rsidRDefault="00B45351" w:rsidP="00882D96">
            <w:pPr>
              <w:spacing w:after="100" w:afterAutospacing="1"/>
              <w:rPr>
                <w:rFonts w:eastAsiaTheme="minorHAnsi"/>
                <w:b/>
                <w:bCs/>
              </w:rPr>
            </w:pPr>
            <w:r w:rsidRPr="00882D96">
              <w:rPr>
                <w:rFonts w:eastAsiaTheme="minorHAnsi"/>
                <w:b/>
                <w:bCs/>
              </w:rPr>
              <w:t xml:space="preserve">   </w:t>
            </w:r>
            <w:r w:rsidRPr="00882D96">
              <w:rPr>
                <w:rFonts w:eastAsiaTheme="minorHAnsi"/>
              </w:rPr>
              <w:t xml:space="preserve">Mild </w:t>
            </w:r>
          </w:p>
        </w:tc>
        <w:tc>
          <w:tcPr>
            <w:tcW w:w="704" w:type="dxa"/>
            <w:noWrap/>
            <w:vAlign w:val="center"/>
          </w:tcPr>
          <w:p w14:paraId="65943F92" w14:textId="77777777" w:rsidR="00B45351" w:rsidRPr="00882D96" w:rsidRDefault="00B45351" w:rsidP="00882D96">
            <w:pPr>
              <w:spacing w:after="100" w:afterAutospacing="1"/>
              <w:jc w:val="center"/>
              <w:rPr>
                <w:rFonts w:eastAsiaTheme="minorHAnsi"/>
              </w:rPr>
            </w:pPr>
            <w:r w:rsidRPr="00882D96">
              <w:rPr>
                <w:rFonts w:eastAsiaTheme="minorHAnsi"/>
              </w:rPr>
              <w:t>354</w:t>
            </w:r>
          </w:p>
        </w:tc>
        <w:tc>
          <w:tcPr>
            <w:tcW w:w="601" w:type="dxa"/>
            <w:noWrap/>
            <w:vAlign w:val="center"/>
          </w:tcPr>
          <w:p w14:paraId="03579EC8" w14:textId="77777777" w:rsidR="00B45351" w:rsidRPr="00882D96" w:rsidRDefault="00B45351" w:rsidP="00882D96">
            <w:pPr>
              <w:spacing w:after="100" w:afterAutospacing="1"/>
              <w:jc w:val="center"/>
              <w:rPr>
                <w:rFonts w:eastAsiaTheme="minorHAnsi"/>
              </w:rPr>
            </w:pPr>
            <w:r w:rsidRPr="00882D96">
              <w:rPr>
                <w:rFonts w:eastAsiaTheme="minorHAnsi"/>
              </w:rPr>
              <w:t>35.3</w:t>
            </w:r>
          </w:p>
        </w:tc>
        <w:tc>
          <w:tcPr>
            <w:tcW w:w="673" w:type="dxa"/>
            <w:vAlign w:val="center"/>
          </w:tcPr>
          <w:p w14:paraId="537310DB" w14:textId="77777777" w:rsidR="00B45351" w:rsidRPr="00882D96" w:rsidRDefault="00B45351" w:rsidP="00882D96">
            <w:pPr>
              <w:spacing w:after="100" w:afterAutospacing="1"/>
              <w:jc w:val="center"/>
              <w:rPr>
                <w:rFonts w:eastAsiaTheme="minorHAnsi"/>
              </w:rPr>
            </w:pPr>
            <w:r w:rsidRPr="00882D96">
              <w:rPr>
                <w:rFonts w:eastAsiaTheme="minorHAnsi"/>
              </w:rPr>
              <w:t>224</w:t>
            </w:r>
          </w:p>
        </w:tc>
        <w:tc>
          <w:tcPr>
            <w:tcW w:w="703" w:type="dxa"/>
            <w:vAlign w:val="center"/>
          </w:tcPr>
          <w:p w14:paraId="005A963A" w14:textId="77777777" w:rsidR="00B45351" w:rsidRPr="00882D96" w:rsidRDefault="00B45351" w:rsidP="00882D96">
            <w:pPr>
              <w:spacing w:after="100" w:afterAutospacing="1"/>
              <w:jc w:val="center"/>
              <w:rPr>
                <w:rFonts w:eastAsiaTheme="minorHAnsi"/>
              </w:rPr>
            </w:pPr>
            <w:r w:rsidRPr="00882D96">
              <w:rPr>
                <w:rFonts w:eastAsiaTheme="minorHAnsi"/>
              </w:rPr>
              <w:t>19.6</w:t>
            </w:r>
          </w:p>
        </w:tc>
        <w:tc>
          <w:tcPr>
            <w:tcW w:w="848" w:type="dxa"/>
            <w:vAlign w:val="center"/>
          </w:tcPr>
          <w:p w14:paraId="2E41DB6E"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2F8BD2D2" w14:textId="77777777" w:rsidR="00B45351" w:rsidRPr="00882D96" w:rsidRDefault="00B45351" w:rsidP="00882D96">
            <w:pPr>
              <w:spacing w:after="100" w:afterAutospacing="1"/>
              <w:jc w:val="center"/>
              <w:rPr>
                <w:rFonts w:eastAsiaTheme="minorHAnsi"/>
              </w:rPr>
            </w:pPr>
          </w:p>
        </w:tc>
        <w:tc>
          <w:tcPr>
            <w:tcW w:w="1897" w:type="dxa"/>
            <w:vAlign w:val="center"/>
          </w:tcPr>
          <w:p w14:paraId="22238B92" w14:textId="77777777" w:rsidR="00B45351" w:rsidRPr="00882D96" w:rsidRDefault="00B45351" w:rsidP="00882D96">
            <w:pPr>
              <w:spacing w:after="100" w:afterAutospacing="1"/>
              <w:jc w:val="center"/>
              <w:rPr>
                <w:rFonts w:eastAsiaTheme="minorHAnsi"/>
              </w:rPr>
            </w:pPr>
            <w:r w:rsidRPr="00882D96">
              <w:rPr>
                <w:rFonts w:eastAsiaTheme="minorHAnsi"/>
              </w:rPr>
              <w:t>2.25 (1.85 - 2.73)</w:t>
            </w:r>
          </w:p>
        </w:tc>
      </w:tr>
      <w:tr w:rsidR="00B45351" w:rsidRPr="00882D96" w14:paraId="1DB5D104" w14:textId="77777777" w:rsidTr="003C17AE">
        <w:trPr>
          <w:trHeight w:val="284"/>
          <w:jc w:val="center"/>
        </w:trPr>
        <w:tc>
          <w:tcPr>
            <w:tcW w:w="3119" w:type="dxa"/>
            <w:noWrap/>
            <w:vAlign w:val="center"/>
          </w:tcPr>
          <w:p w14:paraId="5CE415F2" w14:textId="77777777" w:rsidR="00B45351" w:rsidRPr="00882D96" w:rsidRDefault="00B45351" w:rsidP="00882D96">
            <w:pPr>
              <w:spacing w:after="100" w:afterAutospacing="1"/>
              <w:rPr>
                <w:rFonts w:eastAsiaTheme="minorHAnsi"/>
                <w:b/>
                <w:bCs/>
              </w:rPr>
            </w:pPr>
            <w:r w:rsidRPr="00882D96">
              <w:rPr>
                <w:rFonts w:eastAsiaTheme="minorHAnsi"/>
                <w:b/>
                <w:bCs/>
              </w:rPr>
              <w:t xml:space="preserve">   </w:t>
            </w:r>
            <w:r w:rsidRPr="00882D96">
              <w:rPr>
                <w:rFonts w:eastAsiaTheme="minorHAnsi"/>
              </w:rPr>
              <w:t xml:space="preserve">Moderate </w:t>
            </w:r>
          </w:p>
        </w:tc>
        <w:tc>
          <w:tcPr>
            <w:tcW w:w="704" w:type="dxa"/>
            <w:noWrap/>
            <w:vAlign w:val="center"/>
          </w:tcPr>
          <w:p w14:paraId="352AD36F" w14:textId="77777777" w:rsidR="00B45351" w:rsidRPr="00882D96" w:rsidRDefault="00B45351" w:rsidP="00882D96">
            <w:pPr>
              <w:spacing w:after="100" w:afterAutospacing="1"/>
              <w:jc w:val="center"/>
              <w:rPr>
                <w:rFonts w:eastAsiaTheme="minorHAnsi"/>
              </w:rPr>
            </w:pPr>
            <w:r w:rsidRPr="00882D96">
              <w:rPr>
                <w:rFonts w:eastAsiaTheme="minorHAnsi"/>
              </w:rPr>
              <w:t>167</w:t>
            </w:r>
          </w:p>
        </w:tc>
        <w:tc>
          <w:tcPr>
            <w:tcW w:w="601" w:type="dxa"/>
            <w:noWrap/>
            <w:vAlign w:val="center"/>
          </w:tcPr>
          <w:p w14:paraId="46FE2017" w14:textId="77777777" w:rsidR="00B45351" w:rsidRPr="00882D96" w:rsidRDefault="00B45351" w:rsidP="00882D96">
            <w:pPr>
              <w:spacing w:after="100" w:afterAutospacing="1"/>
              <w:jc w:val="center"/>
              <w:rPr>
                <w:rFonts w:eastAsiaTheme="minorHAnsi"/>
              </w:rPr>
            </w:pPr>
            <w:r w:rsidRPr="00882D96">
              <w:rPr>
                <w:rFonts w:eastAsiaTheme="minorHAnsi"/>
              </w:rPr>
              <w:t>16.7</w:t>
            </w:r>
          </w:p>
        </w:tc>
        <w:tc>
          <w:tcPr>
            <w:tcW w:w="673" w:type="dxa"/>
            <w:vAlign w:val="center"/>
          </w:tcPr>
          <w:p w14:paraId="1E21F93C" w14:textId="77777777" w:rsidR="00B45351" w:rsidRPr="00882D96" w:rsidRDefault="00B45351" w:rsidP="00882D96">
            <w:pPr>
              <w:spacing w:after="100" w:afterAutospacing="1"/>
              <w:jc w:val="center"/>
              <w:rPr>
                <w:rFonts w:eastAsiaTheme="minorHAnsi"/>
              </w:rPr>
            </w:pPr>
            <w:r w:rsidRPr="00882D96">
              <w:rPr>
                <w:rFonts w:eastAsiaTheme="minorHAnsi"/>
              </w:rPr>
              <w:t>106</w:t>
            </w:r>
          </w:p>
        </w:tc>
        <w:tc>
          <w:tcPr>
            <w:tcW w:w="703" w:type="dxa"/>
            <w:vAlign w:val="center"/>
          </w:tcPr>
          <w:p w14:paraId="18633556" w14:textId="77777777" w:rsidR="00B45351" w:rsidRPr="00882D96" w:rsidRDefault="00B45351" w:rsidP="00882D96">
            <w:pPr>
              <w:spacing w:after="100" w:afterAutospacing="1"/>
              <w:jc w:val="center"/>
              <w:rPr>
                <w:rFonts w:eastAsiaTheme="minorHAnsi"/>
              </w:rPr>
            </w:pPr>
            <w:r w:rsidRPr="00882D96">
              <w:rPr>
                <w:rFonts w:eastAsiaTheme="minorHAnsi"/>
              </w:rPr>
              <w:t>9.3</w:t>
            </w:r>
          </w:p>
        </w:tc>
        <w:tc>
          <w:tcPr>
            <w:tcW w:w="848" w:type="dxa"/>
            <w:vAlign w:val="center"/>
          </w:tcPr>
          <w:p w14:paraId="3101E31C"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30726BDC" w14:textId="77777777" w:rsidR="00B45351" w:rsidRPr="00882D96" w:rsidRDefault="00B45351" w:rsidP="00882D96">
            <w:pPr>
              <w:spacing w:after="100" w:afterAutospacing="1"/>
              <w:jc w:val="center"/>
              <w:rPr>
                <w:rFonts w:eastAsiaTheme="minorHAnsi"/>
              </w:rPr>
            </w:pPr>
          </w:p>
        </w:tc>
        <w:tc>
          <w:tcPr>
            <w:tcW w:w="1897" w:type="dxa"/>
            <w:vAlign w:val="center"/>
          </w:tcPr>
          <w:p w14:paraId="30A0A3BA" w14:textId="77777777" w:rsidR="00B45351" w:rsidRPr="00882D96" w:rsidRDefault="00B45351" w:rsidP="00882D96">
            <w:pPr>
              <w:spacing w:after="100" w:afterAutospacing="1"/>
              <w:jc w:val="center"/>
              <w:rPr>
                <w:rFonts w:eastAsiaTheme="minorHAnsi"/>
              </w:rPr>
            </w:pPr>
            <w:r w:rsidRPr="00882D96">
              <w:rPr>
                <w:rFonts w:eastAsiaTheme="minorHAnsi"/>
              </w:rPr>
              <w:t>1.96 (1.51 - 2.54)</w:t>
            </w:r>
          </w:p>
        </w:tc>
      </w:tr>
      <w:tr w:rsidR="00B45351" w:rsidRPr="00882D96" w14:paraId="0A3664C1" w14:textId="77777777" w:rsidTr="003C17AE">
        <w:trPr>
          <w:trHeight w:val="284"/>
          <w:jc w:val="center"/>
        </w:trPr>
        <w:tc>
          <w:tcPr>
            <w:tcW w:w="3119" w:type="dxa"/>
            <w:noWrap/>
            <w:vAlign w:val="center"/>
          </w:tcPr>
          <w:p w14:paraId="63205401" w14:textId="77777777" w:rsidR="00B45351" w:rsidRPr="00882D96" w:rsidRDefault="00B45351" w:rsidP="00882D96">
            <w:pPr>
              <w:spacing w:after="100" w:afterAutospacing="1"/>
              <w:rPr>
                <w:rFonts w:eastAsiaTheme="minorHAnsi"/>
                <w:b/>
                <w:bCs/>
              </w:rPr>
            </w:pPr>
            <w:r w:rsidRPr="00882D96">
              <w:rPr>
                <w:rFonts w:eastAsiaTheme="minorHAnsi"/>
                <w:b/>
                <w:bCs/>
              </w:rPr>
              <w:t xml:space="preserve">   </w:t>
            </w:r>
            <w:r w:rsidRPr="00882D96">
              <w:rPr>
                <w:rFonts w:eastAsiaTheme="minorHAnsi"/>
              </w:rPr>
              <w:t xml:space="preserve">Severe </w:t>
            </w:r>
          </w:p>
        </w:tc>
        <w:tc>
          <w:tcPr>
            <w:tcW w:w="704" w:type="dxa"/>
            <w:noWrap/>
            <w:vAlign w:val="center"/>
          </w:tcPr>
          <w:p w14:paraId="6A438420" w14:textId="77777777" w:rsidR="00B45351" w:rsidRPr="00882D96" w:rsidRDefault="00B45351" w:rsidP="00882D96">
            <w:pPr>
              <w:spacing w:after="100" w:afterAutospacing="1"/>
              <w:jc w:val="center"/>
              <w:rPr>
                <w:rFonts w:eastAsiaTheme="minorHAnsi"/>
              </w:rPr>
            </w:pPr>
            <w:r w:rsidRPr="00882D96">
              <w:rPr>
                <w:rFonts w:eastAsiaTheme="minorHAnsi"/>
              </w:rPr>
              <w:t>93</w:t>
            </w:r>
          </w:p>
        </w:tc>
        <w:tc>
          <w:tcPr>
            <w:tcW w:w="601" w:type="dxa"/>
            <w:noWrap/>
            <w:vAlign w:val="center"/>
          </w:tcPr>
          <w:p w14:paraId="3B30B0B1" w14:textId="77777777" w:rsidR="00B45351" w:rsidRPr="00882D96" w:rsidRDefault="00B45351" w:rsidP="00882D96">
            <w:pPr>
              <w:spacing w:after="100" w:afterAutospacing="1"/>
              <w:jc w:val="center"/>
              <w:rPr>
                <w:rFonts w:eastAsiaTheme="minorHAnsi"/>
              </w:rPr>
            </w:pPr>
            <w:r w:rsidRPr="00882D96">
              <w:rPr>
                <w:rFonts w:eastAsiaTheme="minorHAnsi"/>
              </w:rPr>
              <w:t>9.3</w:t>
            </w:r>
          </w:p>
        </w:tc>
        <w:tc>
          <w:tcPr>
            <w:tcW w:w="673" w:type="dxa"/>
            <w:vAlign w:val="center"/>
          </w:tcPr>
          <w:p w14:paraId="55F753CF" w14:textId="77777777" w:rsidR="00B45351" w:rsidRPr="00882D96" w:rsidRDefault="00B45351" w:rsidP="00882D96">
            <w:pPr>
              <w:spacing w:after="100" w:afterAutospacing="1"/>
              <w:jc w:val="center"/>
              <w:rPr>
                <w:rFonts w:eastAsiaTheme="minorHAnsi"/>
              </w:rPr>
            </w:pPr>
            <w:r w:rsidRPr="00882D96">
              <w:rPr>
                <w:rFonts w:eastAsiaTheme="minorHAnsi"/>
              </w:rPr>
              <w:t>72</w:t>
            </w:r>
          </w:p>
        </w:tc>
        <w:tc>
          <w:tcPr>
            <w:tcW w:w="703" w:type="dxa"/>
            <w:vAlign w:val="center"/>
          </w:tcPr>
          <w:p w14:paraId="0C57206B" w14:textId="77777777" w:rsidR="00B45351" w:rsidRPr="00882D96" w:rsidRDefault="00B45351" w:rsidP="00882D96">
            <w:pPr>
              <w:spacing w:after="100" w:afterAutospacing="1"/>
              <w:jc w:val="center"/>
              <w:rPr>
                <w:rFonts w:eastAsiaTheme="minorHAnsi"/>
              </w:rPr>
            </w:pPr>
            <w:r w:rsidRPr="00882D96">
              <w:rPr>
                <w:rFonts w:eastAsiaTheme="minorHAnsi"/>
              </w:rPr>
              <w:t>6.3</w:t>
            </w:r>
          </w:p>
        </w:tc>
        <w:tc>
          <w:tcPr>
            <w:tcW w:w="848" w:type="dxa"/>
            <w:vAlign w:val="center"/>
          </w:tcPr>
          <w:p w14:paraId="058351C9" w14:textId="77777777" w:rsidR="00B45351" w:rsidRPr="00882D96" w:rsidRDefault="00B45351" w:rsidP="00882D96">
            <w:pPr>
              <w:spacing w:after="100" w:afterAutospacing="1"/>
              <w:jc w:val="center"/>
              <w:rPr>
                <w:rFonts w:eastAsiaTheme="minorHAnsi"/>
              </w:rPr>
            </w:pPr>
            <w:r w:rsidRPr="00882D96">
              <w:rPr>
                <w:rFonts w:eastAsiaTheme="minorHAnsi"/>
              </w:rPr>
              <w:t>.009</w:t>
            </w:r>
            <w:r w:rsidRPr="00882D96">
              <w:rPr>
                <w:rFonts w:eastAsiaTheme="minorHAnsi"/>
                <w:color w:val="000000"/>
                <w:vertAlign w:val="superscript"/>
              </w:rPr>
              <w:t>‡</w:t>
            </w:r>
          </w:p>
        </w:tc>
        <w:tc>
          <w:tcPr>
            <w:tcW w:w="806" w:type="dxa"/>
            <w:vMerge/>
            <w:vAlign w:val="center"/>
          </w:tcPr>
          <w:p w14:paraId="19E5463E" w14:textId="77777777" w:rsidR="00B45351" w:rsidRPr="00882D96" w:rsidRDefault="00B45351" w:rsidP="00882D96">
            <w:pPr>
              <w:spacing w:after="100" w:afterAutospacing="1"/>
              <w:jc w:val="center"/>
              <w:rPr>
                <w:rFonts w:eastAsiaTheme="minorHAnsi"/>
              </w:rPr>
            </w:pPr>
          </w:p>
        </w:tc>
        <w:tc>
          <w:tcPr>
            <w:tcW w:w="1897" w:type="dxa"/>
            <w:vAlign w:val="center"/>
          </w:tcPr>
          <w:p w14:paraId="0BC4712C" w14:textId="77777777" w:rsidR="00B45351" w:rsidRPr="00882D96" w:rsidRDefault="00B45351" w:rsidP="00882D96">
            <w:pPr>
              <w:spacing w:after="100" w:afterAutospacing="1"/>
              <w:jc w:val="center"/>
              <w:rPr>
                <w:rFonts w:eastAsiaTheme="minorHAnsi"/>
              </w:rPr>
            </w:pPr>
            <w:r w:rsidRPr="00882D96">
              <w:rPr>
                <w:rFonts w:eastAsiaTheme="minorHAnsi"/>
              </w:rPr>
              <w:t>1.53 (1.11 - 2.10)</w:t>
            </w:r>
          </w:p>
        </w:tc>
      </w:tr>
      <w:tr w:rsidR="00B45351" w:rsidRPr="00882D96" w14:paraId="5A2734AA" w14:textId="77777777" w:rsidTr="003C17AE">
        <w:trPr>
          <w:trHeight w:val="284"/>
          <w:jc w:val="center"/>
        </w:trPr>
        <w:tc>
          <w:tcPr>
            <w:tcW w:w="3119" w:type="dxa"/>
            <w:noWrap/>
            <w:vAlign w:val="center"/>
          </w:tcPr>
          <w:p w14:paraId="63C3E354" w14:textId="77777777" w:rsidR="00B45351" w:rsidRPr="00882D96" w:rsidRDefault="00B45351" w:rsidP="00882D96">
            <w:pPr>
              <w:spacing w:after="100" w:afterAutospacing="1"/>
              <w:rPr>
                <w:rFonts w:eastAsiaTheme="minorHAnsi"/>
                <w:b/>
                <w:bCs/>
              </w:rPr>
            </w:pPr>
            <w:r w:rsidRPr="00882D96">
              <w:rPr>
                <w:rFonts w:eastAsiaTheme="minorHAnsi"/>
                <w:b/>
                <w:bCs/>
              </w:rPr>
              <w:t>Posttraumatic Stress Disorder</w:t>
            </w:r>
          </w:p>
        </w:tc>
        <w:tc>
          <w:tcPr>
            <w:tcW w:w="704" w:type="dxa"/>
            <w:noWrap/>
            <w:vAlign w:val="center"/>
          </w:tcPr>
          <w:p w14:paraId="6CF4F597" w14:textId="77777777" w:rsidR="00B45351" w:rsidRPr="00882D96" w:rsidRDefault="00B45351" w:rsidP="00882D96">
            <w:pPr>
              <w:spacing w:after="100" w:afterAutospacing="1"/>
              <w:jc w:val="center"/>
              <w:rPr>
                <w:rFonts w:eastAsiaTheme="minorHAnsi"/>
                <w:i/>
                <w:iCs/>
              </w:rPr>
            </w:pPr>
            <w:r w:rsidRPr="00882D96">
              <w:rPr>
                <w:rFonts w:eastAsiaTheme="minorHAnsi"/>
                <w:i/>
                <w:iCs/>
              </w:rPr>
              <w:t>852</w:t>
            </w:r>
          </w:p>
        </w:tc>
        <w:tc>
          <w:tcPr>
            <w:tcW w:w="601" w:type="dxa"/>
            <w:noWrap/>
            <w:vAlign w:val="center"/>
          </w:tcPr>
          <w:p w14:paraId="0C7E8729" w14:textId="77777777" w:rsidR="00B45351" w:rsidRPr="00882D96" w:rsidRDefault="00B45351" w:rsidP="00882D96">
            <w:pPr>
              <w:spacing w:after="100" w:afterAutospacing="1"/>
              <w:jc w:val="center"/>
              <w:rPr>
                <w:rFonts w:eastAsiaTheme="minorHAnsi"/>
                <w:i/>
                <w:iCs/>
              </w:rPr>
            </w:pPr>
          </w:p>
        </w:tc>
        <w:tc>
          <w:tcPr>
            <w:tcW w:w="673" w:type="dxa"/>
            <w:vAlign w:val="center"/>
          </w:tcPr>
          <w:p w14:paraId="6D13F98C" w14:textId="77777777" w:rsidR="00B45351" w:rsidRPr="00882D96" w:rsidRDefault="00B45351" w:rsidP="00882D96">
            <w:pPr>
              <w:spacing w:after="100" w:afterAutospacing="1"/>
              <w:jc w:val="center"/>
              <w:rPr>
                <w:rFonts w:eastAsiaTheme="minorHAnsi"/>
                <w:i/>
                <w:iCs/>
              </w:rPr>
            </w:pPr>
            <w:r w:rsidRPr="00882D96">
              <w:rPr>
                <w:rFonts w:eastAsiaTheme="minorHAnsi"/>
                <w:i/>
                <w:iCs/>
              </w:rPr>
              <w:t>1148</w:t>
            </w:r>
          </w:p>
        </w:tc>
        <w:tc>
          <w:tcPr>
            <w:tcW w:w="703" w:type="dxa"/>
            <w:vAlign w:val="center"/>
          </w:tcPr>
          <w:p w14:paraId="32595EE7" w14:textId="77777777" w:rsidR="00B45351" w:rsidRPr="00882D96" w:rsidRDefault="00B45351" w:rsidP="00882D96">
            <w:pPr>
              <w:spacing w:after="100" w:afterAutospacing="1"/>
              <w:jc w:val="center"/>
              <w:rPr>
                <w:rFonts w:eastAsiaTheme="minorHAnsi"/>
              </w:rPr>
            </w:pPr>
          </w:p>
        </w:tc>
        <w:tc>
          <w:tcPr>
            <w:tcW w:w="848" w:type="dxa"/>
            <w:vAlign w:val="center"/>
          </w:tcPr>
          <w:p w14:paraId="299AA540" w14:textId="77777777" w:rsidR="00B45351" w:rsidRPr="00882D96" w:rsidRDefault="00B45351" w:rsidP="00882D96">
            <w:pPr>
              <w:spacing w:after="100" w:afterAutospacing="1"/>
              <w:jc w:val="center"/>
              <w:rPr>
                <w:rFonts w:eastAsiaTheme="minorHAnsi"/>
              </w:rPr>
            </w:pPr>
          </w:p>
        </w:tc>
        <w:tc>
          <w:tcPr>
            <w:tcW w:w="806" w:type="dxa"/>
            <w:vAlign w:val="center"/>
          </w:tcPr>
          <w:p w14:paraId="2CC26038" w14:textId="77777777" w:rsidR="00B45351" w:rsidRPr="00882D96" w:rsidRDefault="00B45351" w:rsidP="00882D96">
            <w:pPr>
              <w:spacing w:after="100" w:afterAutospacing="1"/>
              <w:jc w:val="center"/>
              <w:rPr>
                <w:rFonts w:eastAsiaTheme="minorHAnsi"/>
              </w:rPr>
            </w:pPr>
          </w:p>
        </w:tc>
        <w:tc>
          <w:tcPr>
            <w:tcW w:w="1897" w:type="dxa"/>
            <w:vAlign w:val="center"/>
          </w:tcPr>
          <w:p w14:paraId="37F20143" w14:textId="77777777" w:rsidR="00B45351" w:rsidRPr="00882D96" w:rsidRDefault="00B45351" w:rsidP="00882D96">
            <w:pPr>
              <w:spacing w:after="100" w:afterAutospacing="1"/>
              <w:jc w:val="center"/>
              <w:rPr>
                <w:rFonts w:eastAsiaTheme="minorHAnsi"/>
              </w:rPr>
            </w:pPr>
          </w:p>
        </w:tc>
      </w:tr>
      <w:tr w:rsidR="00B45351" w:rsidRPr="00882D96" w14:paraId="0B1414BF" w14:textId="77777777" w:rsidTr="003C17AE">
        <w:trPr>
          <w:trHeight w:val="284"/>
          <w:jc w:val="center"/>
        </w:trPr>
        <w:tc>
          <w:tcPr>
            <w:tcW w:w="3119" w:type="dxa"/>
            <w:noWrap/>
            <w:vAlign w:val="center"/>
          </w:tcPr>
          <w:p w14:paraId="2D1C48FB" w14:textId="77777777" w:rsidR="00B45351" w:rsidRPr="00882D96" w:rsidRDefault="00B45351" w:rsidP="00882D96">
            <w:pPr>
              <w:spacing w:after="100" w:afterAutospacing="1"/>
              <w:rPr>
                <w:rFonts w:eastAsiaTheme="minorHAnsi"/>
              </w:rPr>
            </w:pPr>
            <w:r w:rsidRPr="00882D96">
              <w:rPr>
                <w:rFonts w:eastAsiaTheme="minorHAnsi"/>
              </w:rPr>
              <w:t xml:space="preserve">   No Diagnosis</w:t>
            </w:r>
          </w:p>
        </w:tc>
        <w:tc>
          <w:tcPr>
            <w:tcW w:w="704" w:type="dxa"/>
            <w:noWrap/>
            <w:vAlign w:val="center"/>
          </w:tcPr>
          <w:p w14:paraId="31289C40" w14:textId="77777777" w:rsidR="00B45351" w:rsidRPr="00882D96" w:rsidRDefault="00B45351" w:rsidP="00882D96">
            <w:pPr>
              <w:spacing w:after="100" w:afterAutospacing="1"/>
              <w:jc w:val="center"/>
              <w:rPr>
                <w:rFonts w:eastAsiaTheme="minorHAnsi"/>
              </w:rPr>
            </w:pPr>
            <w:r w:rsidRPr="00882D96">
              <w:rPr>
                <w:rFonts w:eastAsiaTheme="minorHAnsi"/>
              </w:rPr>
              <w:t>552</w:t>
            </w:r>
          </w:p>
        </w:tc>
        <w:tc>
          <w:tcPr>
            <w:tcW w:w="601" w:type="dxa"/>
            <w:noWrap/>
            <w:vAlign w:val="center"/>
          </w:tcPr>
          <w:p w14:paraId="7DFF1FA2" w14:textId="77777777" w:rsidR="00B45351" w:rsidRPr="00882D96" w:rsidRDefault="00B45351" w:rsidP="00882D96">
            <w:pPr>
              <w:spacing w:after="100" w:afterAutospacing="1"/>
              <w:jc w:val="center"/>
              <w:rPr>
                <w:rFonts w:eastAsiaTheme="minorHAnsi"/>
              </w:rPr>
            </w:pPr>
            <w:r w:rsidRPr="00882D96">
              <w:rPr>
                <w:rFonts w:eastAsiaTheme="minorHAnsi"/>
              </w:rPr>
              <w:t>64.8</w:t>
            </w:r>
          </w:p>
        </w:tc>
        <w:tc>
          <w:tcPr>
            <w:tcW w:w="673" w:type="dxa"/>
            <w:vAlign w:val="center"/>
          </w:tcPr>
          <w:p w14:paraId="3F6D88A1" w14:textId="77777777" w:rsidR="00B45351" w:rsidRPr="00882D96" w:rsidRDefault="00B45351" w:rsidP="00882D96">
            <w:pPr>
              <w:spacing w:after="100" w:afterAutospacing="1"/>
              <w:jc w:val="center"/>
              <w:rPr>
                <w:rFonts w:eastAsiaTheme="minorHAnsi"/>
              </w:rPr>
            </w:pPr>
            <w:r w:rsidRPr="00882D96">
              <w:rPr>
                <w:rFonts w:eastAsiaTheme="minorHAnsi"/>
              </w:rPr>
              <w:t>1064</w:t>
            </w:r>
          </w:p>
        </w:tc>
        <w:tc>
          <w:tcPr>
            <w:tcW w:w="703" w:type="dxa"/>
            <w:vAlign w:val="center"/>
          </w:tcPr>
          <w:p w14:paraId="681F6F36" w14:textId="77777777" w:rsidR="00B45351" w:rsidRPr="00882D96" w:rsidRDefault="00B45351" w:rsidP="00882D96">
            <w:pPr>
              <w:spacing w:after="100" w:afterAutospacing="1"/>
              <w:jc w:val="center"/>
              <w:rPr>
                <w:rFonts w:eastAsiaTheme="minorHAnsi"/>
              </w:rPr>
            </w:pPr>
            <w:r w:rsidRPr="00882D96">
              <w:rPr>
                <w:rFonts w:eastAsiaTheme="minorHAnsi"/>
              </w:rPr>
              <w:t>92.7</w:t>
            </w:r>
          </w:p>
        </w:tc>
        <w:tc>
          <w:tcPr>
            <w:tcW w:w="848" w:type="dxa"/>
            <w:vAlign w:val="center"/>
          </w:tcPr>
          <w:p w14:paraId="18FA6BF2"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restart"/>
            <w:vAlign w:val="center"/>
          </w:tcPr>
          <w:p w14:paraId="5A0BEA05"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1897" w:type="dxa"/>
            <w:vAlign w:val="center"/>
          </w:tcPr>
          <w:p w14:paraId="161DAA1F" w14:textId="77777777" w:rsidR="00B45351" w:rsidRPr="00882D96" w:rsidRDefault="00B45351" w:rsidP="00882D96">
            <w:pPr>
              <w:spacing w:after="100" w:afterAutospacing="1"/>
              <w:jc w:val="center"/>
              <w:rPr>
                <w:rFonts w:eastAsiaTheme="minorHAnsi"/>
              </w:rPr>
            </w:pPr>
            <w:r w:rsidRPr="00882D96">
              <w:rPr>
                <w:rFonts w:eastAsiaTheme="minorHAnsi"/>
              </w:rPr>
              <w:t>0.15 (0.11 - 0.19)</w:t>
            </w:r>
          </w:p>
        </w:tc>
      </w:tr>
      <w:tr w:rsidR="00B45351" w:rsidRPr="00882D96" w14:paraId="09451ED3" w14:textId="77777777" w:rsidTr="003C17AE">
        <w:trPr>
          <w:trHeight w:val="284"/>
          <w:jc w:val="center"/>
        </w:trPr>
        <w:tc>
          <w:tcPr>
            <w:tcW w:w="3119" w:type="dxa"/>
            <w:noWrap/>
            <w:vAlign w:val="center"/>
          </w:tcPr>
          <w:p w14:paraId="1C6CA0AE" w14:textId="77777777" w:rsidR="00B45351" w:rsidRPr="00882D96" w:rsidRDefault="00B45351" w:rsidP="00882D96">
            <w:pPr>
              <w:spacing w:after="100" w:afterAutospacing="1"/>
              <w:rPr>
                <w:rFonts w:eastAsiaTheme="minorHAnsi"/>
              </w:rPr>
            </w:pPr>
            <w:r w:rsidRPr="00882D96">
              <w:rPr>
                <w:rFonts w:eastAsiaTheme="minorHAnsi"/>
              </w:rPr>
              <w:t xml:space="preserve">   Likely PTSD</w:t>
            </w:r>
          </w:p>
        </w:tc>
        <w:tc>
          <w:tcPr>
            <w:tcW w:w="704" w:type="dxa"/>
            <w:noWrap/>
            <w:vAlign w:val="center"/>
          </w:tcPr>
          <w:p w14:paraId="0E5CFD05" w14:textId="77777777" w:rsidR="00B45351" w:rsidRPr="00882D96" w:rsidRDefault="00B45351" w:rsidP="00882D96">
            <w:pPr>
              <w:spacing w:after="100" w:afterAutospacing="1"/>
              <w:jc w:val="center"/>
              <w:rPr>
                <w:rFonts w:eastAsiaTheme="minorHAnsi"/>
              </w:rPr>
            </w:pPr>
            <w:r w:rsidRPr="00882D96">
              <w:rPr>
                <w:rFonts w:eastAsiaTheme="minorHAnsi"/>
              </w:rPr>
              <w:t>73</w:t>
            </w:r>
          </w:p>
        </w:tc>
        <w:tc>
          <w:tcPr>
            <w:tcW w:w="601" w:type="dxa"/>
            <w:noWrap/>
            <w:vAlign w:val="center"/>
          </w:tcPr>
          <w:p w14:paraId="20635913" w14:textId="77777777" w:rsidR="00B45351" w:rsidRPr="00882D96" w:rsidRDefault="00B45351" w:rsidP="00882D96">
            <w:pPr>
              <w:spacing w:after="100" w:afterAutospacing="1"/>
              <w:jc w:val="center"/>
              <w:rPr>
                <w:rFonts w:eastAsiaTheme="minorHAnsi"/>
              </w:rPr>
            </w:pPr>
            <w:r w:rsidRPr="00882D96">
              <w:rPr>
                <w:rFonts w:eastAsiaTheme="minorHAnsi"/>
              </w:rPr>
              <w:t>8.6</w:t>
            </w:r>
          </w:p>
        </w:tc>
        <w:tc>
          <w:tcPr>
            <w:tcW w:w="673" w:type="dxa"/>
            <w:vAlign w:val="center"/>
          </w:tcPr>
          <w:p w14:paraId="1E5CE07B" w14:textId="77777777" w:rsidR="00B45351" w:rsidRPr="00882D96" w:rsidRDefault="00B45351" w:rsidP="00882D96">
            <w:pPr>
              <w:spacing w:after="100" w:afterAutospacing="1"/>
              <w:jc w:val="center"/>
              <w:rPr>
                <w:rFonts w:eastAsiaTheme="minorHAnsi"/>
              </w:rPr>
            </w:pPr>
            <w:r w:rsidRPr="00882D96">
              <w:rPr>
                <w:rFonts w:eastAsiaTheme="minorHAnsi"/>
              </w:rPr>
              <w:t>26</w:t>
            </w:r>
          </w:p>
        </w:tc>
        <w:tc>
          <w:tcPr>
            <w:tcW w:w="703" w:type="dxa"/>
            <w:vAlign w:val="center"/>
          </w:tcPr>
          <w:p w14:paraId="6C1C9976" w14:textId="77777777" w:rsidR="00B45351" w:rsidRPr="00882D96" w:rsidRDefault="00B45351" w:rsidP="00882D96">
            <w:pPr>
              <w:spacing w:after="100" w:afterAutospacing="1"/>
              <w:jc w:val="center"/>
              <w:rPr>
                <w:rFonts w:eastAsiaTheme="minorHAnsi"/>
              </w:rPr>
            </w:pPr>
            <w:r w:rsidRPr="00882D96">
              <w:rPr>
                <w:rFonts w:eastAsiaTheme="minorHAnsi"/>
              </w:rPr>
              <w:t>2.3</w:t>
            </w:r>
          </w:p>
        </w:tc>
        <w:tc>
          <w:tcPr>
            <w:tcW w:w="848" w:type="dxa"/>
            <w:vAlign w:val="center"/>
          </w:tcPr>
          <w:p w14:paraId="20382859"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2570A823" w14:textId="77777777" w:rsidR="00B45351" w:rsidRPr="00882D96" w:rsidRDefault="00B45351" w:rsidP="00882D96">
            <w:pPr>
              <w:spacing w:after="100" w:afterAutospacing="1"/>
              <w:jc w:val="center"/>
              <w:rPr>
                <w:rFonts w:eastAsiaTheme="minorHAnsi"/>
              </w:rPr>
            </w:pPr>
          </w:p>
        </w:tc>
        <w:tc>
          <w:tcPr>
            <w:tcW w:w="1897" w:type="dxa"/>
            <w:vAlign w:val="center"/>
          </w:tcPr>
          <w:p w14:paraId="6DEF1D54" w14:textId="77777777" w:rsidR="00B45351" w:rsidRPr="00882D96" w:rsidRDefault="00B45351" w:rsidP="00882D96">
            <w:pPr>
              <w:spacing w:after="100" w:afterAutospacing="1"/>
              <w:jc w:val="center"/>
              <w:rPr>
                <w:rFonts w:eastAsiaTheme="minorHAnsi"/>
              </w:rPr>
            </w:pPr>
            <w:r w:rsidRPr="00882D96">
              <w:rPr>
                <w:rFonts w:eastAsiaTheme="minorHAnsi"/>
              </w:rPr>
              <w:t>4.04 (2.56 - 6.39)</w:t>
            </w:r>
          </w:p>
        </w:tc>
      </w:tr>
      <w:tr w:rsidR="00B45351" w:rsidRPr="00882D96" w14:paraId="48AB619D" w14:textId="77777777" w:rsidTr="003C17AE">
        <w:trPr>
          <w:trHeight w:val="284"/>
          <w:jc w:val="center"/>
        </w:trPr>
        <w:tc>
          <w:tcPr>
            <w:tcW w:w="3119" w:type="dxa"/>
            <w:noWrap/>
            <w:vAlign w:val="center"/>
          </w:tcPr>
          <w:p w14:paraId="3BBC2925" w14:textId="77777777" w:rsidR="00B45351" w:rsidRPr="00882D96" w:rsidRDefault="00B45351" w:rsidP="00882D96">
            <w:pPr>
              <w:spacing w:after="100" w:afterAutospacing="1"/>
              <w:rPr>
                <w:rFonts w:eastAsiaTheme="minorHAnsi"/>
              </w:rPr>
            </w:pPr>
            <w:r w:rsidRPr="00882D96">
              <w:rPr>
                <w:rFonts w:eastAsiaTheme="minorHAnsi"/>
              </w:rPr>
              <w:t xml:space="preserve">   Likely C-PTSD</w:t>
            </w:r>
          </w:p>
        </w:tc>
        <w:tc>
          <w:tcPr>
            <w:tcW w:w="704" w:type="dxa"/>
            <w:noWrap/>
            <w:vAlign w:val="center"/>
          </w:tcPr>
          <w:p w14:paraId="3C833587" w14:textId="77777777" w:rsidR="00B45351" w:rsidRPr="00882D96" w:rsidRDefault="00B45351" w:rsidP="00882D96">
            <w:pPr>
              <w:spacing w:after="100" w:afterAutospacing="1"/>
              <w:jc w:val="center"/>
              <w:rPr>
                <w:rFonts w:eastAsiaTheme="minorHAnsi"/>
              </w:rPr>
            </w:pPr>
            <w:r w:rsidRPr="00882D96">
              <w:rPr>
                <w:rFonts w:eastAsiaTheme="minorHAnsi"/>
              </w:rPr>
              <w:t>227</w:t>
            </w:r>
          </w:p>
        </w:tc>
        <w:tc>
          <w:tcPr>
            <w:tcW w:w="601" w:type="dxa"/>
            <w:noWrap/>
            <w:vAlign w:val="center"/>
          </w:tcPr>
          <w:p w14:paraId="10A941A8" w14:textId="77777777" w:rsidR="00B45351" w:rsidRPr="00882D96" w:rsidRDefault="00B45351" w:rsidP="00882D96">
            <w:pPr>
              <w:spacing w:after="100" w:afterAutospacing="1"/>
              <w:jc w:val="center"/>
              <w:rPr>
                <w:rFonts w:eastAsiaTheme="minorHAnsi"/>
              </w:rPr>
            </w:pPr>
            <w:r w:rsidRPr="00882D96">
              <w:rPr>
                <w:rFonts w:eastAsiaTheme="minorHAnsi"/>
              </w:rPr>
              <w:t>26.6</w:t>
            </w:r>
          </w:p>
        </w:tc>
        <w:tc>
          <w:tcPr>
            <w:tcW w:w="673" w:type="dxa"/>
            <w:vAlign w:val="center"/>
          </w:tcPr>
          <w:p w14:paraId="484873B1" w14:textId="77777777" w:rsidR="00B45351" w:rsidRPr="00882D96" w:rsidRDefault="00B45351" w:rsidP="00882D96">
            <w:pPr>
              <w:spacing w:after="100" w:afterAutospacing="1"/>
              <w:jc w:val="center"/>
              <w:rPr>
                <w:rFonts w:eastAsiaTheme="minorHAnsi"/>
              </w:rPr>
            </w:pPr>
            <w:r w:rsidRPr="00882D96">
              <w:rPr>
                <w:rFonts w:eastAsiaTheme="minorHAnsi"/>
              </w:rPr>
              <w:t>58</w:t>
            </w:r>
          </w:p>
        </w:tc>
        <w:tc>
          <w:tcPr>
            <w:tcW w:w="703" w:type="dxa"/>
            <w:vAlign w:val="center"/>
          </w:tcPr>
          <w:p w14:paraId="1E8B26D8" w14:textId="77777777" w:rsidR="00B45351" w:rsidRPr="00882D96" w:rsidRDefault="00B45351" w:rsidP="00882D96">
            <w:pPr>
              <w:spacing w:after="100" w:afterAutospacing="1"/>
              <w:jc w:val="center"/>
              <w:rPr>
                <w:rFonts w:eastAsiaTheme="minorHAnsi"/>
              </w:rPr>
            </w:pPr>
            <w:r w:rsidRPr="00882D96">
              <w:rPr>
                <w:rFonts w:eastAsiaTheme="minorHAnsi"/>
              </w:rPr>
              <w:t>5.1</w:t>
            </w:r>
          </w:p>
        </w:tc>
        <w:tc>
          <w:tcPr>
            <w:tcW w:w="848" w:type="dxa"/>
            <w:vAlign w:val="center"/>
          </w:tcPr>
          <w:p w14:paraId="5B5DE244"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3BBE3494" w14:textId="77777777" w:rsidR="00B45351" w:rsidRPr="00882D96" w:rsidRDefault="00B45351" w:rsidP="00882D96">
            <w:pPr>
              <w:spacing w:after="100" w:afterAutospacing="1"/>
              <w:jc w:val="center"/>
              <w:rPr>
                <w:rFonts w:eastAsiaTheme="minorHAnsi"/>
              </w:rPr>
            </w:pPr>
          </w:p>
        </w:tc>
        <w:tc>
          <w:tcPr>
            <w:tcW w:w="1897" w:type="dxa"/>
            <w:vAlign w:val="center"/>
          </w:tcPr>
          <w:p w14:paraId="0AF3DE7F" w14:textId="77777777" w:rsidR="00B45351" w:rsidRPr="00882D96" w:rsidRDefault="00B45351" w:rsidP="00882D96">
            <w:pPr>
              <w:spacing w:after="100" w:afterAutospacing="1"/>
              <w:jc w:val="center"/>
              <w:rPr>
                <w:rFonts w:eastAsiaTheme="minorHAnsi"/>
              </w:rPr>
            </w:pPr>
            <w:r w:rsidRPr="00882D96">
              <w:rPr>
                <w:rFonts w:eastAsiaTheme="minorHAnsi"/>
              </w:rPr>
              <w:t>6.83 (5.03 - 9.26)</w:t>
            </w:r>
          </w:p>
        </w:tc>
      </w:tr>
      <w:tr w:rsidR="00B45351" w:rsidRPr="00882D96" w14:paraId="4355F67E" w14:textId="77777777" w:rsidTr="003C17AE">
        <w:trPr>
          <w:trHeight w:val="284"/>
          <w:jc w:val="center"/>
        </w:trPr>
        <w:tc>
          <w:tcPr>
            <w:tcW w:w="3119" w:type="dxa"/>
            <w:noWrap/>
            <w:vAlign w:val="center"/>
          </w:tcPr>
          <w:p w14:paraId="71CC95B4" w14:textId="77777777" w:rsidR="00B45351" w:rsidRPr="00882D96" w:rsidRDefault="00B45351" w:rsidP="00882D96">
            <w:pPr>
              <w:spacing w:after="100" w:afterAutospacing="1"/>
              <w:rPr>
                <w:rFonts w:eastAsiaTheme="minorHAnsi"/>
                <w:b/>
                <w:bCs/>
              </w:rPr>
            </w:pPr>
            <w:r w:rsidRPr="00882D96">
              <w:rPr>
                <w:rFonts w:eastAsiaTheme="minorHAnsi"/>
                <w:b/>
                <w:bCs/>
              </w:rPr>
              <w:t>Alcohol Use</w:t>
            </w:r>
          </w:p>
        </w:tc>
        <w:tc>
          <w:tcPr>
            <w:tcW w:w="704" w:type="dxa"/>
            <w:noWrap/>
            <w:vAlign w:val="center"/>
          </w:tcPr>
          <w:p w14:paraId="50981A25" w14:textId="77777777" w:rsidR="00B45351" w:rsidRPr="00882D96" w:rsidRDefault="00B45351" w:rsidP="00882D96">
            <w:pPr>
              <w:spacing w:after="100" w:afterAutospacing="1"/>
              <w:jc w:val="center"/>
              <w:rPr>
                <w:rFonts w:eastAsiaTheme="minorHAnsi"/>
                <w:i/>
                <w:iCs/>
              </w:rPr>
            </w:pPr>
            <w:r w:rsidRPr="00882D96">
              <w:rPr>
                <w:rFonts w:eastAsiaTheme="minorHAnsi"/>
                <w:i/>
                <w:iCs/>
              </w:rPr>
              <w:t>967</w:t>
            </w:r>
          </w:p>
        </w:tc>
        <w:tc>
          <w:tcPr>
            <w:tcW w:w="601" w:type="dxa"/>
            <w:noWrap/>
            <w:vAlign w:val="center"/>
          </w:tcPr>
          <w:p w14:paraId="762FCBBD" w14:textId="77777777" w:rsidR="00B45351" w:rsidRPr="00882D96" w:rsidRDefault="00B45351" w:rsidP="00882D96">
            <w:pPr>
              <w:spacing w:after="100" w:afterAutospacing="1"/>
              <w:jc w:val="center"/>
              <w:rPr>
                <w:rFonts w:eastAsiaTheme="minorHAnsi"/>
                <w:i/>
                <w:iCs/>
              </w:rPr>
            </w:pPr>
          </w:p>
        </w:tc>
        <w:tc>
          <w:tcPr>
            <w:tcW w:w="673" w:type="dxa"/>
            <w:vAlign w:val="center"/>
          </w:tcPr>
          <w:p w14:paraId="22A80ABF" w14:textId="77777777" w:rsidR="00B45351" w:rsidRPr="00882D96" w:rsidRDefault="00B45351" w:rsidP="00882D96">
            <w:pPr>
              <w:spacing w:after="100" w:afterAutospacing="1"/>
              <w:jc w:val="center"/>
              <w:rPr>
                <w:rFonts w:eastAsiaTheme="minorHAnsi"/>
                <w:i/>
                <w:iCs/>
              </w:rPr>
            </w:pPr>
            <w:r w:rsidRPr="00882D96">
              <w:rPr>
                <w:rFonts w:eastAsiaTheme="minorHAnsi"/>
                <w:i/>
                <w:iCs/>
              </w:rPr>
              <w:t>1138</w:t>
            </w:r>
          </w:p>
        </w:tc>
        <w:tc>
          <w:tcPr>
            <w:tcW w:w="703" w:type="dxa"/>
            <w:vAlign w:val="center"/>
          </w:tcPr>
          <w:p w14:paraId="23B1093F" w14:textId="77777777" w:rsidR="00B45351" w:rsidRPr="00882D96" w:rsidRDefault="00B45351" w:rsidP="00882D96">
            <w:pPr>
              <w:spacing w:after="100" w:afterAutospacing="1"/>
              <w:jc w:val="center"/>
              <w:rPr>
                <w:rFonts w:eastAsiaTheme="minorHAnsi"/>
              </w:rPr>
            </w:pPr>
          </w:p>
        </w:tc>
        <w:tc>
          <w:tcPr>
            <w:tcW w:w="848" w:type="dxa"/>
            <w:vAlign w:val="center"/>
          </w:tcPr>
          <w:p w14:paraId="59BC70C7" w14:textId="77777777" w:rsidR="00B45351" w:rsidRPr="00882D96" w:rsidRDefault="00B45351" w:rsidP="00882D96">
            <w:pPr>
              <w:spacing w:after="100" w:afterAutospacing="1"/>
              <w:jc w:val="center"/>
              <w:rPr>
                <w:rFonts w:eastAsiaTheme="minorHAnsi"/>
              </w:rPr>
            </w:pPr>
          </w:p>
        </w:tc>
        <w:tc>
          <w:tcPr>
            <w:tcW w:w="806" w:type="dxa"/>
            <w:vAlign w:val="center"/>
          </w:tcPr>
          <w:p w14:paraId="2D3F79A8" w14:textId="77777777" w:rsidR="00B45351" w:rsidRPr="00882D96" w:rsidRDefault="00B45351" w:rsidP="00882D96">
            <w:pPr>
              <w:spacing w:after="100" w:afterAutospacing="1"/>
              <w:jc w:val="center"/>
              <w:rPr>
                <w:rFonts w:eastAsiaTheme="minorHAnsi"/>
              </w:rPr>
            </w:pPr>
          </w:p>
        </w:tc>
        <w:tc>
          <w:tcPr>
            <w:tcW w:w="1897" w:type="dxa"/>
            <w:vAlign w:val="center"/>
          </w:tcPr>
          <w:p w14:paraId="772AE311" w14:textId="77777777" w:rsidR="00B45351" w:rsidRPr="00882D96" w:rsidRDefault="00B45351" w:rsidP="00882D96">
            <w:pPr>
              <w:spacing w:after="100" w:afterAutospacing="1"/>
              <w:jc w:val="center"/>
              <w:rPr>
                <w:rFonts w:eastAsiaTheme="minorHAnsi"/>
              </w:rPr>
            </w:pPr>
          </w:p>
        </w:tc>
      </w:tr>
      <w:tr w:rsidR="00B45351" w:rsidRPr="00882D96" w14:paraId="6C066744" w14:textId="77777777" w:rsidTr="003C17AE">
        <w:trPr>
          <w:trHeight w:val="284"/>
          <w:jc w:val="center"/>
        </w:trPr>
        <w:tc>
          <w:tcPr>
            <w:tcW w:w="3119" w:type="dxa"/>
            <w:noWrap/>
            <w:vAlign w:val="center"/>
          </w:tcPr>
          <w:p w14:paraId="53DE083A" w14:textId="77777777" w:rsidR="00B45351" w:rsidRPr="00882D96" w:rsidRDefault="00B45351" w:rsidP="00882D96">
            <w:pPr>
              <w:spacing w:after="100" w:afterAutospacing="1"/>
              <w:rPr>
                <w:rFonts w:eastAsiaTheme="minorHAnsi"/>
              </w:rPr>
            </w:pPr>
            <w:r w:rsidRPr="00882D96">
              <w:rPr>
                <w:rFonts w:eastAsiaTheme="minorHAnsi"/>
              </w:rPr>
              <w:t xml:space="preserve">   Non-drinker</w:t>
            </w:r>
          </w:p>
        </w:tc>
        <w:tc>
          <w:tcPr>
            <w:tcW w:w="704" w:type="dxa"/>
            <w:noWrap/>
            <w:vAlign w:val="center"/>
          </w:tcPr>
          <w:p w14:paraId="07EE8BB7" w14:textId="77777777" w:rsidR="00B45351" w:rsidRPr="00882D96" w:rsidRDefault="00B45351" w:rsidP="00882D96">
            <w:pPr>
              <w:spacing w:after="100" w:afterAutospacing="1"/>
              <w:jc w:val="center"/>
              <w:rPr>
                <w:rFonts w:eastAsiaTheme="minorHAnsi"/>
              </w:rPr>
            </w:pPr>
            <w:r w:rsidRPr="00882D96">
              <w:rPr>
                <w:rFonts w:eastAsiaTheme="minorHAnsi"/>
              </w:rPr>
              <w:t>112</w:t>
            </w:r>
          </w:p>
        </w:tc>
        <w:tc>
          <w:tcPr>
            <w:tcW w:w="601" w:type="dxa"/>
            <w:noWrap/>
            <w:vAlign w:val="center"/>
          </w:tcPr>
          <w:p w14:paraId="65729B82" w14:textId="77777777" w:rsidR="00B45351" w:rsidRPr="00882D96" w:rsidRDefault="00B45351" w:rsidP="00882D96">
            <w:pPr>
              <w:spacing w:after="100" w:afterAutospacing="1"/>
              <w:jc w:val="center"/>
              <w:rPr>
                <w:rFonts w:eastAsiaTheme="minorHAnsi"/>
              </w:rPr>
            </w:pPr>
            <w:r w:rsidRPr="00882D96">
              <w:rPr>
                <w:rFonts w:eastAsiaTheme="minorHAnsi"/>
              </w:rPr>
              <w:t>11.6</w:t>
            </w:r>
          </w:p>
        </w:tc>
        <w:tc>
          <w:tcPr>
            <w:tcW w:w="673" w:type="dxa"/>
            <w:vAlign w:val="center"/>
          </w:tcPr>
          <w:p w14:paraId="78C4B49F" w14:textId="77777777" w:rsidR="00B45351" w:rsidRPr="00882D96" w:rsidRDefault="00B45351" w:rsidP="00882D96">
            <w:pPr>
              <w:spacing w:after="100" w:afterAutospacing="1"/>
              <w:jc w:val="center"/>
              <w:rPr>
                <w:rFonts w:eastAsiaTheme="minorHAnsi"/>
              </w:rPr>
            </w:pPr>
            <w:r w:rsidRPr="00882D96">
              <w:rPr>
                <w:rFonts w:eastAsiaTheme="minorHAnsi"/>
              </w:rPr>
              <w:t>170</w:t>
            </w:r>
          </w:p>
        </w:tc>
        <w:tc>
          <w:tcPr>
            <w:tcW w:w="703" w:type="dxa"/>
            <w:vAlign w:val="center"/>
          </w:tcPr>
          <w:p w14:paraId="2D523545" w14:textId="77777777" w:rsidR="00B45351" w:rsidRPr="00882D96" w:rsidRDefault="00B45351" w:rsidP="00882D96">
            <w:pPr>
              <w:spacing w:after="100" w:afterAutospacing="1"/>
              <w:jc w:val="center"/>
              <w:rPr>
                <w:rFonts w:eastAsiaTheme="minorHAnsi"/>
              </w:rPr>
            </w:pPr>
            <w:r w:rsidRPr="00882D96">
              <w:rPr>
                <w:rFonts w:eastAsiaTheme="minorHAnsi"/>
              </w:rPr>
              <w:t>14.9</w:t>
            </w:r>
          </w:p>
        </w:tc>
        <w:tc>
          <w:tcPr>
            <w:tcW w:w="848" w:type="dxa"/>
            <w:vAlign w:val="center"/>
          </w:tcPr>
          <w:p w14:paraId="45D25522" w14:textId="77777777" w:rsidR="00B45351" w:rsidRPr="00882D96" w:rsidRDefault="00B45351" w:rsidP="00882D96">
            <w:pPr>
              <w:spacing w:after="100" w:afterAutospacing="1"/>
              <w:jc w:val="center"/>
              <w:rPr>
                <w:rFonts w:eastAsiaTheme="minorHAnsi"/>
              </w:rPr>
            </w:pPr>
            <w:r w:rsidRPr="00882D96">
              <w:rPr>
                <w:rFonts w:eastAsiaTheme="minorHAnsi"/>
              </w:rPr>
              <w:t>.024</w:t>
            </w:r>
          </w:p>
        </w:tc>
        <w:tc>
          <w:tcPr>
            <w:tcW w:w="806" w:type="dxa"/>
            <w:vMerge w:val="restart"/>
            <w:vAlign w:val="center"/>
          </w:tcPr>
          <w:p w14:paraId="3118D49E"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1897" w:type="dxa"/>
            <w:vAlign w:val="center"/>
          </w:tcPr>
          <w:p w14:paraId="20A16E05" w14:textId="77777777" w:rsidR="00B45351" w:rsidRPr="00882D96" w:rsidRDefault="00B45351" w:rsidP="00882D96">
            <w:pPr>
              <w:spacing w:after="100" w:afterAutospacing="1"/>
              <w:jc w:val="center"/>
              <w:rPr>
                <w:rFonts w:eastAsiaTheme="minorHAnsi"/>
              </w:rPr>
            </w:pPr>
            <w:r w:rsidRPr="00882D96">
              <w:rPr>
                <w:rFonts w:eastAsiaTheme="minorHAnsi"/>
              </w:rPr>
              <w:t>0.75 (0.58 - 0.96)</w:t>
            </w:r>
          </w:p>
        </w:tc>
      </w:tr>
      <w:tr w:rsidR="00B45351" w:rsidRPr="00882D96" w14:paraId="7024221F" w14:textId="77777777" w:rsidTr="003C17AE">
        <w:trPr>
          <w:trHeight w:val="284"/>
          <w:jc w:val="center"/>
        </w:trPr>
        <w:tc>
          <w:tcPr>
            <w:tcW w:w="3119" w:type="dxa"/>
            <w:noWrap/>
            <w:vAlign w:val="center"/>
          </w:tcPr>
          <w:p w14:paraId="4CB49769" w14:textId="77777777" w:rsidR="00B45351" w:rsidRPr="00882D96" w:rsidRDefault="00B45351" w:rsidP="00882D96">
            <w:pPr>
              <w:spacing w:after="100" w:afterAutospacing="1"/>
              <w:rPr>
                <w:rFonts w:eastAsiaTheme="minorHAnsi"/>
              </w:rPr>
            </w:pPr>
            <w:r w:rsidRPr="00882D96">
              <w:rPr>
                <w:rFonts w:eastAsiaTheme="minorHAnsi"/>
                <w:b/>
                <w:bCs/>
              </w:rPr>
              <w:t xml:space="preserve">   </w:t>
            </w:r>
            <w:r w:rsidRPr="00882D96">
              <w:rPr>
                <w:rFonts w:eastAsiaTheme="minorHAnsi"/>
              </w:rPr>
              <w:t xml:space="preserve">Lower Risk </w:t>
            </w:r>
          </w:p>
        </w:tc>
        <w:tc>
          <w:tcPr>
            <w:tcW w:w="704" w:type="dxa"/>
            <w:noWrap/>
            <w:vAlign w:val="center"/>
          </w:tcPr>
          <w:p w14:paraId="47216CCA" w14:textId="77777777" w:rsidR="00B45351" w:rsidRPr="00882D96" w:rsidRDefault="00B45351" w:rsidP="00882D96">
            <w:pPr>
              <w:spacing w:after="100" w:afterAutospacing="1"/>
              <w:jc w:val="center"/>
              <w:rPr>
                <w:rFonts w:eastAsiaTheme="minorHAnsi"/>
              </w:rPr>
            </w:pPr>
            <w:r w:rsidRPr="00882D96">
              <w:rPr>
                <w:rFonts w:eastAsiaTheme="minorHAnsi"/>
              </w:rPr>
              <w:t>239</w:t>
            </w:r>
          </w:p>
        </w:tc>
        <w:tc>
          <w:tcPr>
            <w:tcW w:w="601" w:type="dxa"/>
            <w:noWrap/>
            <w:vAlign w:val="center"/>
          </w:tcPr>
          <w:p w14:paraId="68574C75" w14:textId="77777777" w:rsidR="00B45351" w:rsidRPr="00882D96" w:rsidRDefault="00B45351" w:rsidP="00882D96">
            <w:pPr>
              <w:spacing w:after="100" w:afterAutospacing="1"/>
              <w:jc w:val="center"/>
              <w:rPr>
                <w:rFonts w:eastAsiaTheme="minorHAnsi"/>
              </w:rPr>
            </w:pPr>
            <w:r w:rsidRPr="00882D96">
              <w:rPr>
                <w:rFonts w:eastAsiaTheme="minorHAnsi"/>
              </w:rPr>
              <w:t>24.7</w:t>
            </w:r>
          </w:p>
        </w:tc>
        <w:tc>
          <w:tcPr>
            <w:tcW w:w="673" w:type="dxa"/>
            <w:vAlign w:val="center"/>
          </w:tcPr>
          <w:p w14:paraId="781D24DA" w14:textId="77777777" w:rsidR="00B45351" w:rsidRPr="00882D96" w:rsidRDefault="00B45351" w:rsidP="00882D96">
            <w:pPr>
              <w:spacing w:after="100" w:afterAutospacing="1"/>
              <w:jc w:val="center"/>
              <w:rPr>
                <w:rFonts w:eastAsiaTheme="minorHAnsi"/>
              </w:rPr>
            </w:pPr>
            <w:r w:rsidRPr="00882D96">
              <w:rPr>
                <w:rFonts w:eastAsiaTheme="minorHAnsi"/>
              </w:rPr>
              <w:t>598</w:t>
            </w:r>
          </w:p>
        </w:tc>
        <w:tc>
          <w:tcPr>
            <w:tcW w:w="703" w:type="dxa"/>
            <w:vAlign w:val="center"/>
          </w:tcPr>
          <w:p w14:paraId="111BC52C" w14:textId="77777777" w:rsidR="00B45351" w:rsidRPr="00882D96" w:rsidRDefault="00B45351" w:rsidP="00882D96">
            <w:pPr>
              <w:spacing w:after="100" w:afterAutospacing="1"/>
              <w:jc w:val="center"/>
              <w:rPr>
                <w:rFonts w:eastAsiaTheme="minorHAnsi"/>
              </w:rPr>
            </w:pPr>
            <w:r w:rsidRPr="00882D96">
              <w:rPr>
                <w:rFonts w:eastAsiaTheme="minorHAnsi"/>
              </w:rPr>
              <w:t>52.5</w:t>
            </w:r>
          </w:p>
        </w:tc>
        <w:tc>
          <w:tcPr>
            <w:tcW w:w="848" w:type="dxa"/>
            <w:vAlign w:val="center"/>
          </w:tcPr>
          <w:p w14:paraId="7167D3C4"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3733FB8B" w14:textId="77777777" w:rsidR="00B45351" w:rsidRPr="00882D96" w:rsidRDefault="00B45351" w:rsidP="00882D96">
            <w:pPr>
              <w:spacing w:after="100" w:afterAutospacing="1"/>
              <w:jc w:val="center"/>
              <w:rPr>
                <w:rFonts w:eastAsiaTheme="minorHAnsi"/>
              </w:rPr>
            </w:pPr>
          </w:p>
        </w:tc>
        <w:tc>
          <w:tcPr>
            <w:tcW w:w="1897" w:type="dxa"/>
            <w:vAlign w:val="center"/>
          </w:tcPr>
          <w:p w14:paraId="6045C85B" w14:textId="77777777" w:rsidR="00B45351" w:rsidRPr="00882D96" w:rsidRDefault="00B45351" w:rsidP="00882D96">
            <w:pPr>
              <w:spacing w:after="100" w:afterAutospacing="1"/>
              <w:jc w:val="center"/>
              <w:rPr>
                <w:rFonts w:eastAsiaTheme="minorHAnsi"/>
              </w:rPr>
            </w:pPr>
            <w:r w:rsidRPr="00882D96">
              <w:rPr>
                <w:rFonts w:eastAsiaTheme="minorHAnsi"/>
              </w:rPr>
              <w:t>0.30 (0.25 - 0.36)</w:t>
            </w:r>
          </w:p>
        </w:tc>
      </w:tr>
      <w:tr w:rsidR="00B45351" w:rsidRPr="00882D96" w14:paraId="00FADFB0" w14:textId="77777777" w:rsidTr="003C17AE">
        <w:trPr>
          <w:trHeight w:val="284"/>
          <w:jc w:val="center"/>
        </w:trPr>
        <w:tc>
          <w:tcPr>
            <w:tcW w:w="3119" w:type="dxa"/>
            <w:noWrap/>
            <w:vAlign w:val="center"/>
          </w:tcPr>
          <w:p w14:paraId="353E0203" w14:textId="77777777" w:rsidR="00B45351" w:rsidRPr="00882D96" w:rsidRDefault="00B45351" w:rsidP="00882D96">
            <w:pPr>
              <w:spacing w:after="100" w:afterAutospacing="1"/>
              <w:rPr>
                <w:rFonts w:eastAsiaTheme="minorHAnsi"/>
              </w:rPr>
            </w:pPr>
            <w:r w:rsidRPr="00882D96">
              <w:rPr>
                <w:rFonts w:eastAsiaTheme="minorHAnsi"/>
              </w:rPr>
              <w:t xml:space="preserve">   Increasing Risk </w:t>
            </w:r>
          </w:p>
        </w:tc>
        <w:tc>
          <w:tcPr>
            <w:tcW w:w="704" w:type="dxa"/>
            <w:noWrap/>
            <w:vAlign w:val="center"/>
          </w:tcPr>
          <w:p w14:paraId="26E00595" w14:textId="77777777" w:rsidR="00B45351" w:rsidRPr="00882D96" w:rsidRDefault="00B45351" w:rsidP="00882D96">
            <w:pPr>
              <w:spacing w:after="100" w:afterAutospacing="1"/>
              <w:jc w:val="center"/>
              <w:rPr>
                <w:rFonts w:eastAsiaTheme="minorHAnsi"/>
              </w:rPr>
            </w:pPr>
            <w:r w:rsidRPr="00882D96">
              <w:rPr>
                <w:rFonts w:eastAsiaTheme="minorHAnsi"/>
              </w:rPr>
              <w:t>332</w:t>
            </w:r>
          </w:p>
        </w:tc>
        <w:tc>
          <w:tcPr>
            <w:tcW w:w="601" w:type="dxa"/>
            <w:noWrap/>
            <w:vAlign w:val="center"/>
          </w:tcPr>
          <w:p w14:paraId="7B42EC75" w14:textId="77777777" w:rsidR="00B45351" w:rsidRPr="00882D96" w:rsidRDefault="00B45351" w:rsidP="00882D96">
            <w:pPr>
              <w:spacing w:after="100" w:afterAutospacing="1"/>
              <w:jc w:val="center"/>
              <w:rPr>
                <w:rFonts w:eastAsiaTheme="minorHAnsi"/>
              </w:rPr>
            </w:pPr>
            <w:r w:rsidRPr="00882D96">
              <w:rPr>
                <w:rFonts w:eastAsiaTheme="minorHAnsi"/>
              </w:rPr>
              <w:t>34.3</w:t>
            </w:r>
          </w:p>
        </w:tc>
        <w:tc>
          <w:tcPr>
            <w:tcW w:w="673" w:type="dxa"/>
            <w:vAlign w:val="center"/>
          </w:tcPr>
          <w:p w14:paraId="517641B5" w14:textId="77777777" w:rsidR="00B45351" w:rsidRPr="00882D96" w:rsidRDefault="00B45351" w:rsidP="00882D96">
            <w:pPr>
              <w:spacing w:after="100" w:afterAutospacing="1"/>
              <w:jc w:val="center"/>
              <w:rPr>
                <w:rFonts w:eastAsiaTheme="minorHAnsi"/>
              </w:rPr>
            </w:pPr>
            <w:r w:rsidRPr="00882D96">
              <w:rPr>
                <w:rFonts w:eastAsiaTheme="minorHAnsi"/>
              </w:rPr>
              <w:t>271</w:t>
            </w:r>
          </w:p>
        </w:tc>
        <w:tc>
          <w:tcPr>
            <w:tcW w:w="703" w:type="dxa"/>
            <w:vAlign w:val="center"/>
          </w:tcPr>
          <w:p w14:paraId="40C3AAAD" w14:textId="77777777" w:rsidR="00B45351" w:rsidRPr="00882D96" w:rsidRDefault="00B45351" w:rsidP="00882D96">
            <w:pPr>
              <w:spacing w:after="100" w:afterAutospacing="1"/>
              <w:jc w:val="center"/>
              <w:rPr>
                <w:rFonts w:eastAsiaTheme="minorHAnsi"/>
              </w:rPr>
            </w:pPr>
            <w:r w:rsidRPr="00882D96">
              <w:rPr>
                <w:rFonts w:eastAsiaTheme="minorHAnsi"/>
              </w:rPr>
              <w:t>23.8</w:t>
            </w:r>
          </w:p>
        </w:tc>
        <w:tc>
          <w:tcPr>
            <w:tcW w:w="848" w:type="dxa"/>
            <w:vAlign w:val="center"/>
          </w:tcPr>
          <w:p w14:paraId="2D77743C"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5AB2DCEA" w14:textId="77777777" w:rsidR="00B45351" w:rsidRPr="00882D96" w:rsidRDefault="00B45351" w:rsidP="00882D96">
            <w:pPr>
              <w:spacing w:after="100" w:afterAutospacing="1"/>
              <w:jc w:val="center"/>
              <w:rPr>
                <w:rFonts w:eastAsiaTheme="minorHAnsi"/>
              </w:rPr>
            </w:pPr>
          </w:p>
        </w:tc>
        <w:tc>
          <w:tcPr>
            <w:tcW w:w="1897" w:type="dxa"/>
            <w:vAlign w:val="center"/>
          </w:tcPr>
          <w:p w14:paraId="1AD1E2EA" w14:textId="77777777" w:rsidR="00B45351" w:rsidRPr="00882D96" w:rsidRDefault="00B45351" w:rsidP="00882D96">
            <w:pPr>
              <w:spacing w:after="100" w:afterAutospacing="1"/>
              <w:jc w:val="center"/>
              <w:rPr>
                <w:rFonts w:eastAsiaTheme="minorHAnsi"/>
              </w:rPr>
            </w:pPr>
            <w:r w:rsidRPr="00882D96">
              <w:rPr>
                <w:rFonts w:eastAsiaTheme="minorHAnsi"/>
              </w:rPr>
              <w:t>1.67 (1.38 - 2.02)</w:t>
            </w:r>
          </w:p>
        </w:tc>
      </w:tr>
      <w:tr w:rsidR="00B45351" w:rsidRPr="00882D96" w14:paraId="330EC1F7" w14:textId="77777777" w:rsidTr="003C17AE">
        <w:trPr>
          <w:trHeight w:val="284"/>
          <w:jc w:val="center"/>
        </w:trPr>
        <w:tc>
          <w:tcPr>
            <w:tcW w:w="3119" w:type="dxa"/>
            <w:noWrap/>
            <w:vAlign w:val="center"/>
          </w:tcPr>
          <w:p w14:paraId="33640AA7" w14:textId="77777777" w:rsidR="00B45351" w:rsidRPr="00882D96" w:rsidRDefault="00B45351" w:rsidP="00882D96">
            <w:pPr>
              <w:spacing w:after="100" w:afterAutospacing="1"/>
              <w:rPr>
                <w:rFonts w:eastAsiaTheme="minorHAnsi"/>
              </w:rPr>
            </w:pPr>
            <w:r w:rsidRPr="00882D96">
              <w:rPr>
                <w:rFonts w:eastAsiaTheme="minorHAnsi"/>
              </w:rPr>
              <w:t xml:space="preserve">   Higher Risk </w:t>
            </w:r>
          </w:p>
        </w:tc>
        <w:tc>
          <w:tcPr>
            <w:tcW w:w="704" w:type="dxa"/>
            <w:noWrap/>
            <w:vAlign w:val="center"/>
          </w:tcPr>
          <w:p w14:paraId="1FF9667D" w14:textId="77777777" w:rsidR="00B45351" w:rsidRPr="00882D96" w:rsidRDefault="00B45351" w:rsidP="00882D96">
            <w:pPr>
              <w:spacing w:after="100" w:afterAutospacing="1"/>
              <w:jc w:val="center"/>
              <w:rPr>
                <w:rFonts w:eastAsiaTheme="minorHAnsi"/>
              </w:rPr>
            </w:pPr>
            <w:r w:rsidRPr="00882D96">
              <w:rPr>
                <w:rFonts w:eastAsiaTheme="minorHAnsi"/>
              </w:rPr>
              <w:t>144</w:t>
            </w:r>
          </w:p>
        </w:tc>
        <w:tc>
          <w:tcPr>
            <w:tcW w:w="601" w:type="dxa"/>
            <w:noWrap/>
            <w:vAlign w:val="center"/>
          </w:tcPr>
          <w:p w14:paraId="3DDD82C5" w14:textId="77777777" w:rsidR="00B45351" w:rsidRPr="00882D96" w:rsidRDefault="00B45351" w:rsidP="00882D96">
            <w:pPr>
              <w:spacing w:after="100" w:afterAutospacing="1"/>
              <w:jc w:val="center"/>
              <w:rPr>
                <w:rFonts w:eastAsiaTheme="minorHAnsi"/>
              </w:rPr>
            </w:pPr>
            <w:r w:rsidRPr="00882D96">
              <w:rPr>
                <w:rFonts w:eastAsiaTheme="minorHAnsi"/>
              </w:rPr>
              <w:t>14.9</w:t>
            </w:r>
          </w:p>
        </w:tc>
        <w:tc>
          <w:tcPr>
            <w:tcW w:w="673" w:type="dxa"/>
            <w:vAlign w:val="center"/>
          </w:tcPr>
          <w:p w14:paraId="75EE87FB" w14:textId="77777777" w:rsidR="00B45351" w:rsidRPr="00882D96" w:rsidRDefault="00B45351" w:rsidP="00882D96">
            <w:pPr>
              <w:spacing w:after="100" w:afterAutospacing="1"/>
              <w:jc w:val="center"/>
              <w:rPr>
                <w:rFonts w:eastAsiaTheme="minorHAnsi"/>
              </w:rPr>
            </w:pPr>
            <w:r w:rsidRPr="00882D96">
              <w:rPr>
                <w:rFonts w:eastAsiaTheme="minorHAnsi"/>
              </w:rPr>
              <w:t>38</w:t>
            </w:r>
          </w:p>
        </w:tc>
        <w:tc>
          <w:tcPr>
            <w:tcW w:w="703" w:type="dxa"/>
            <w:vAlign w:val="center"/>
          </w:tcPr>
          <w:p w14:paraId="5AE3AA8F" w14:textId="77777777" w:rsidR="00B45351" w:rsidRPr="00882D96" w:rsidRDefault="00B45351" w:rsidP="00882D96">
            <w:pPr>
              <w:spacing w:after="100" w:afterAutospacing="1"/>
              <w:jc w:val="center"/>
              <w:rPr>
                <w:rFonts w:eastAsiaTheme="minorHAnsi"/>
              </w:rPr>
            </w:pPr>
            <w:r w:rsidRPr="00882D96">
              <w:rPr>
                <w:rFonts w:eastAsiaTheme="minorHAnsi"/>
              </w:rPr>
              <w:t>3.3</w:t>
            </w:r>
          </w:p>
        </w:tc>
        <w:tc>
          <w:tcPr>
            <w:tcW w:w="848" w:type="dxa"/>
            <w:vAlign w:val="center"/>
          </w:tcPr>
          <w:p w14:paraId="6B130BE2"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54BBD86F" w14:textId="77777777" w:rsidR="00B45351" w:rsidRPr="00882D96" w:rsidRDefault="00B45351" w:rsidP="00882D96">
            <w:pPr>
              <w:spacing w:after="100" w:afterAutospacing="1"/>
              <w:jc w:val="center"/>
              <w:rPr>
                <w:rFonts w:eastAsiaTheme="minorHAnsi"/>
              </w:rPr>
            </w:pPr>
          </w:p>
        </w:tc>
        <w:tc>
          <w:tcPr>
            <w:tcW w:w="1897" w:type="dxa"/>
            <w:vAlign w:val="center"/>
          </w:tcPr>
          <w:p w14:paraId="456AF390" w14:textId="77777777" w:rsidR="00B45351" w:rsidRPr="00882D96" w:rsidRDefault="00B45351" w:rsidP="00882D96">
            <w:pPr>
              <w:spacing w:after="100" w:afterAutospacing="1"/>
              <w:jc w:val="center"/>
              <w:rPr>
                <w:rFonts w:eastAsiaTheme="minorHAnsi"/>
              </w:rPr>
            </w:pPr>
            <w:r w:rsidRPr="00882D96">
              <w:rPr>
                <w:rFonts w:eastAsiaTheme="minorHAnsi"/>
              </w:rPr>
              <w:t>5.07 (3.50 - 7.32)</w:t>
            </w:r>
          </w:p>
        </w:tc>
      </w:tr>
      <w:tr w:rsidR="00B45351" w:rsidRPr="00882D96" w14:paraId="209A8604" w14:textId="77777777" w:rsidTr="003C17AE">
        <w:trPr>
          <w:trHeight w:val="284"/>
          <w:jc w:val="center"/>
        </w:trPr>
        <w:tc>
          <w:tcPr>
            <w:tcW w:w="3119" w:type="dxa"/>
            <w:noWrap/>
            <w:vAlign w:val="center"/>
          </w:tcPr>
          <w:p w14:paraId="5833F4B9" w14:textId="77777777" w:rsidR="00B45351" w:rsidRPr="00882D96" w:rsidRDefault="00B45351" w:rsidP="00882D96">
            <w:pPr>
              <w:spacing w:after="100" w:afterAutospacing="1"/>
              <w:rPr>
                <w:rFonts w:eastAsiaTheme="minorHAnsi"/>
              </w:rPr>
            </w:pPr>
            <w:r w:rsidRPr="00882D96">
              <w:rPr>
                <w:rFonts w:eastAsiaTheme="minorHAnsi"/>
              </w:rPr>
              <w:t xml:space="preserve">   Possible Alcohol Dependence</w:t>
            </w:r>
          </w:p>
        </w:tc>
        <w:tc>
          <w:tcPr>
            <w:tcW w:w="704" w:type="dxa"/>
            <w:noWrap/>
            <w:vAlign w:val="center"/>
          </w:tcPr>
          <w:p w14:paraId="5C404ECC" w14:textId="77777777" w:rsidR="00B45351" w:rsidRPr="00882D96" w:rsidRDefault="00B45351" w:rsidP="00882D96">
            <w:pPr>
              <w:spacing w:after="100" w:afterAutospacing="1"/>
              <w:jc w:val="center"/>
              <w:rPr>
                <w:rFonts w:eastAsiaTheme="minorHAnsi"/>
              </w:rPr>
            </w:pPr>
            <w:r w:rsidRPr="00882D96">
              <w:rPr>
                <w:rFonts w:eastAsiaTheme="minorHAnsi"/>
              </w:rPr>
              <w:t>140</w:t>
            </w:r>
          </w:p>
        </w:tc>
        <w:tc>
          <w:tcPr>
            <w:tcW w:w="601" w:type="dxa"/>
            <w:noWrap/>
            <w:vAlign w:val="center"/>
          </w:tcPr>
          <w:p w14:paraId="2A1BD009" w14:textId="77777777" w:rsidR="00B45351" w:rsidRPr="00882D96" w:rsidRDefault="00B45351" w:rsidP="00882D96">
            <w:pPr>
              <w:spacing w:after="100" w:afterAutospacing="1"/>
              <w:jc w:val="center"/>
              <w:rPr>
                <w:rFonts w:eastAsiaTheme="minorHAnsi"/>
              </w:rPr>
            </w:pPr>
            <w:r w:rsidRPr="00882D96">
              <w:rPr>
                <w:rFonts w:eastAsiaTheme="minorHAnsi"/>
              </w:rPr>
              <w:t>14.5</w:t>
            </w:r>
          </w:p>
        </w:tc>
        <w:tc>
          <w:tcPr>
            <w:tcW w:w="673" w:type="dxa"/>
            <w:vAlign w:val="center"/>
          </w:tcPr>
          <w:p w14:paraId="0808C0A4" w14:textId="77777777" w:rsidR="00B45351" w:rsidRPr="00882D96" w:rsidRDefault="00B45351" w:rsidP="00882D96">
            <w:pPr>
              <w:spacing w:after="100" w:afterAutospacing="1"/>
              <w:jc w:val="center"/>
              <w:rPr>
                <w:rFonts w:eastAsiaTheme="minorHAnsi"/>
              </w:rPr>
            </w:pPr>
            <w:r w:rsidRPr="00882D96">
              <w:rPr>
                <w:rFonts w:eastAsiaTheme="minorHAnsi"/>
              </w:rPr>
              <w:t>61</w:t>
            </w:r>
          </w:p>
        </w:tc>
        <w:tc>
          <w:tcPr>
            <w:tcW w:w="703" w:type="dxa"/>
            <w:vAlign w:val="center"/>
          </w:tcPr>
          <w:p w14:paraId="52D2FF1C" w14:textId="77777777" w:rsidR="00B45351" w:rsidRPr="00882D96" w:rsidRDefault="00B45351" w:rsidP="00882D96">
            <w:pPr>
              <w:spacing w:after="100" w:afterAutospacing="1"/>
              <w:jc w:val="center"/>
              <w:rPr>
                <w:rFonts w:eastAsiaTheme="minorHAnsi"/>
              </w:rPr>
            </w:pPr>
            <w:r w:rsidRPr="00882D96">
              <w:rPr>
                <w:rFonts w:eastAsiaTheme="minorHAnsi"/>
              </w:rPr>
              <w:t>5.4</w:t>
            </w:r>
          </w:p>
        </w:tc>
        <w:tc>
          <w:tcPr>
            <w:tcW w:w="848" w:type="dxa"/>
            <w:vAlign w:val="center"/>
          </w:tcPr>
          <w:p w14:paraId="0391C378"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0A049476" w14:textId="77777777" w:rsidR="00B45351" w:rsidRPr="00882D96" w:rsidRDefault="00B45351" w:rsidP="00882D96">
            <w:pPr>
              <w:spacing w:after="100" w:afterAutospacing="1"/>
              <w:jc w:val="center"/>
              <w:rPr>
                <w:rFonts w:eastAsiaTheme="minorHAnsi"/>
              </w:rPr>
            </w:pPr>
          </w:p>
        </w:tc>
        <w:tc>
          <w:tcPr>
            <w:tcW w:w="1897" w:type="dxa"/>
            <w:vAlign w:val="center"/>
          </w:tcPr>
          <w:p w14:paraId="6CC01961" w14:textId="77777777" w:rsidR="00B45351" w:rsidRPr="00882D96" w:rsidRDefault="00B45351" w:rsidP="00882D96">
            <w:pPr>
              <w:spacing w:after="100" w:afterAutospacing="1"/>
              <w:jc w:val="center"/>
              <w:rPr>
                <w:rFonts w:eastAsiaTheme="minorHAnsi"/>
              </w:rPr>
            </w:pPr>
            <w:r w:rsidRPr="00882D96">
              <w:rPr>
                <w:rFonts w:eastAsiaTheme="minorHAnsi"/>
              </w:rPr>
              <w:t>2.99 (2.18 - 4.09)</w:t>
            </w:r>
          </w:p>
        </w:tc>
      </w:tr>
      <w:tr w:rsidR="00B45351" w:rsidRPr="00882D96" w14:paraId="22C24CD1" w14:textId="77777777" w:rsidTr="003C17AE">
        <w:trPr>
          <w:trHeight w:val="284"/>
          <w:jc w:val="center"/>
        </w:trPr>
        <w:tc>
          <w:tcPr>
            <w:tcW w:w="3119" w:type="dxa"/>
            <w:noWrap/>
            <w:vAlign w:val="center"/>
          </w:tcPr>
          <w:p w14:paraId="631410F5" w14:textId="77777777" w:rsidR="00B45351" w:rsidRPr="00882D96" w:rsidRDefault="00B45351" w:rsidP="00882D96">
            <w:pPr>
              <w:spacing w:after="100" w:afterAutospacing="1"/>
              <w:rPr>
                <w:rFonts w:eastAsiaTheme="minorHAnsi"/>
                <w:b/>
                <w:bCs/>
              </w:rPr>
            </w:pPr>
            <w:r w:rsidRPr="00882D96">
              <w:rPr>
                <w:rFonts w:eastAsiaTheme="minorHAnsi"/>
                <w:b/>
                <w:bCs/>
              </w:rPr>
              <w:t>Nicotine Dependence</w:t>
            </w:r>
          </w:p>
        </w:tc>
        <w:tc>
          <w:tcPr>
            <w:tcW w:w="704" w:type="dxa"/>
            <w:noWrap/>
            <w:vAlign w:val="center"/>
          </w:tcPr>
          <w:p w14:paraId="13DB681D" w14:textId="77777777" w:rsidR="00B45351" w:rsidRPr="00882D96" w:rsidRDefault="00B45351" w:rsidP="00882D96">
            <w:pPr>
              <w:spacing w:after="100" w:afterAutospacing="1"/>
              <w:jc w:val="center"/>
              <w:rPr>
                <w:rFonts w:eastAsiaTheme="minorHAnsi"/>
                <w:i/>
                <w:iCs/>
              </w:rPr>
            </w:pPr>
            <w:r w:rsidRPr="00882D96">
              <w:rPr>
                <w:rFonts w:eastAsiaTheme="minorHAnsi"/>
                <w:i/>
                <w:iCs/>
              </w:rPr>
              <w:t>965</w:t>
            </w:r>
          </w:p>
        </w:tc>
        <w:tc>
          <w:tcPr>
            <w:tcW w:w="601" w:type="dxa"/>
            <w:noWrap/>
            <w:vAlign w:val="center"/>
          </w:tcPr>
          <w:p w14:paraId="6335E398" w14:textId="77777777" w:rsidR="00B45351" w:rsidRPr="00882D96" w:rsidRDefault="00B45351" w:rsidP="00882D96">
            <w:pPr>
              <w:spacing w:after="100" w:afterAutospacing="1"/>
              <w:jc w:val="center"/>
              <w:rPr>
                <w:rFonts w:eastAsiaTheme="minorHAnsi"/>
                <w:i/>
                <w:iCs/>
              </w:rPr>
            </w:pPr>
          </w:p>
        </w:tc>
        <w:tc>
          <w:tcPr>
            <w:tcW w:w="673" w:type="dxa"/>
            <w:vAlign w:val="center"/>
          </w:tcPr>
          <w:p w14:paraId="25692DDD" w14:textId="77777777" w:rsidR="00B45351" w:rsidRPr="00882D96" w:rsidRDefault="00B45351" w:rsidP="00882D96">
            <w:pPr>
              <w:spacing w:after="100" w:afterAutospacing="1"/>
              <w:jc w:val="center"/>
              <w:rPr>
                <w:rFonts w:eastAsiaTheme="minorHAnsi"/>
                <w:i/>
                <w:iCs/>
              </w:rPr>
            </w:pPr>
            <w:r w:rsidRPr="00882D96">
              <w:rPr>
                <w:rFonts w:eastAsiaTheme="minorHAnsi"/>
                <w:i/>
                <w:iCs/>
              </w:rPr>
              <w:t>1137</w:t>
            </w:r>
          </w:p>
        </w:tc>
        <w:tc>
          <w:tcPr>
            <w:tcW w:w="703" w:type="dxa"/>
            <w:vAlign w:val="center"/>
          </w:tcPr>
          <w:p w14:paraId="4F11437D" w14:textId="77777777" w:rsidR="00B45351" w:rsidRPr="00882D96" w:rsidRDefault="00B45351" w:rsidP="00882D96">
            <w:pPr>
              <w:spacing w:after="100" w:afterAutospacing="1"/>
              <w:jc w:val="center"/>
              <w:rPr>
                <w:rFonts w:eastAsiaTheme="minorHAnsi"/>
              </w:rPr>
            </w:pPr>
          </w:p>
        </w:tc>
        <w:tc>
          <w:tcPr>
            <w:tcW w:w="848" w:type="dxa"/>
            <w:vAlign w:val="center"/>
          </w:tcPr>
          <w:p w14:paraId="6456E1D5" w14:textId="77777777" w:rsidR="00B45351" w:rsidRPr="00882D96" w:rsidRDefault="00B45351" w:rsidP="00882D96">
            <w:pPr>
              <w:spacing w:after="100" w:afterAutospacing="1"/>
              <w:jc w:val="center"/>
              <w:rPr>
                <w:rFonts w:eastAsiaTheme="minorHAnsi"/>
              </w:rPr>
            </w:pPr>
          </w:p>
        </w:tc>
        <w:tc>
          <w:tcPr>
            <w:tcW w:w="806" w:type="dxa"/>
            <w:vAlign w:val="center"/>
          </w:tcPr>
          <w:p w14:paraId="742296E5" w14:textId="77777777" w:rsidR="00B45351" w:rsidRPr="00882D96" w:rsidRDefault="00B45351" w:rsidP="00882D96">
            <w:pPr>
              <w:spacing w:after="100" w:afterAutospacing="1"/>
              <w:jc w:val="center"/>
              <w:rPr>
                <w:rFonts w:eastAsiaTheme="minorHAnsi"/>
              </w:rPr>
            </w:pPr>
          </w:p>
        </w:tc>
        <w:tc>
          <w:tcPr>
            <w:tcW w:w="1897" w:type="dxa"/>
            <w:vAlign w:val="center"/>
          </w:tcPr>
          <w:p w14:paraId="6E03CC52" w14:textId="77777777" w:rsidR="00B45351" w:rsidRPr="00882D96" w:rsidRDefault="00B45351" w:rsidP="00882D96">
            <w:pPr>
              <w:spacing w:after="100" w:afterAutospacing="1"/>
              <w:jc w:val="center"/>
              <w:rPr>
                <w:rFonts w:eastAsiaTheme="minorHAnsi"/>
              </w:rPr>
            </w:pPr>
          </w:p>
        </w:tc>
      </w:tr>
      <w:tr w:rsidR="00B45351" w:rsidRPr="00882D96" w14:paraId="58EA9209" w14:textId="77777777" w:rsidTr="003C17AE">
        <w:trPr>
          <w:trHeight w:val="284"/>
          <w:jc w:val="center"/>
        </w:trPr>
        <w:tc>
          <w:tcPr>
            <w:tcW w:w="3119" w:type="dxa"/>
            <w:noWrap/>
            <w:vAlign w:val="center"/>
          </w:tcPr>
          <w:p w14:paraId="1309BE7A" w14:textId="77777777" w:rsidR="00B45351" w:rsidRPr="00882D96" w:rsidRDefault="00B45351" w:rsidP="00882D96">
            <w:pPr>
              <w:spacing w:after="100" w:afterAutospacing="1"/>
              <w:rPr>
                <w:rFonts w:eastAsiaTheme="minorHAnsi"/>
              </w:rPr>
            </w:pPr>
            <w:r w:rsidRPr="00882D96">
              <w:rPr>
                <w:rFonts w:eastAsiaTheme="minorHAnsi"/>
              </w:rPr>
              <w:t xml:space="preserve">   Non-Smoker</w:t>
            </w:r>
          </w:p>
        </w:tc>
        <w:tc>
          <w:tcPr>
            <w:tcW w:w="704" w:type="dxa"/>
            <w:noWrap/>
            <w:vAlign w:val="center"/>
          </w:tcPr>
          <w:p w14:paraId="77DD0BE9" w14:textId="77777777" w:rsidR="00B45351" w:rsidRPr="00882D96" w:rsidRDefault="00B45351" w:rsidP="00882D96">
            <w:pPr>
              <w:spacing w:after="100" w:afterAutospacing="1"/>
              <w:jc w:val="center"/>
              <w:rPr>
                <w:rFonts w:eastAsiaTheme="minorHAnsi"/>
              </w:rPr>
            </w:pPr>
            <w:r w:rsidRPr="00882D96">
              <w:rPr>
                <w:rFonts w:eastAsiaTheme="minorHAnsi"/>
              </w:rPr>
              <w:t>587</w:t>
            </w:r>
          </w:p>
        </w:tc>
        <w:tc>
          <w:tcPr>
            <w:tcW w:w="601" w:type="dxa"/>
            <w:noWrap/>
            <w:vAlign w:val="center"/>
          </w:tcPr>
          <w:p w14:paraId="761ECF52" w14:textId="77777777" w:rsidR="00B45351" w:rsidRPr="00882D96" w:rsidRDefault="00B45351" w:rsidP="00882D96">
            <w:pPr>
              <w:spacing w:after="100" w:afterAutospacing="1"/>
              <w:jc w:val="center"/>
              <w:rPr>
                <w:rFonts w:eastAsiaTheme="minorHAnsi"/>
              </w:rPr>
            </w:pPr>
            <w:r w:rsidRPr="00882D96">
              <w:rPr>
                <w:rFonts w:eastAsiaTheme="minorHAnsi"/>
              </w:rPr>
              <w:t>60.8</w:t>
            </w:r>
          </w:p>
        </w:tc>
        <w:tc>
          <w:tcPr>
            <w:tcW w:w="673" w:type="dxa"/>
            <w:vAlign w:val="center"/>
          </w:tcPr>
          <w:p w14:paraId="1704695D" w14:textId="77777777" w:rsidR="00B45351" w:rsidRPr="00882D96" w:rsidRDefault="00B45351" w:rsidP="00882D96">
            <w:pPr>
              <w:spacing w:after="100" w:afterAutospacing="1"/>
              <w:jc w:val="center"/>
              <w:rPr>
                <w:rFonts w:eastAsiaTheme="minorHAnsi"/>
              </w:rPr>
            </w:pPr>
            <w:r w:rsidRPr="00882D96">
              <w:rPr>
                <w:rFonts w:eastAsiaTheme="minorHAnsi"/>
              </w:rPr>
              <w:t>976</w:t>
            </w:r>
          </w:p>
        </w:tc>
        <w:tc>
          <w:tcPr>
            <w:tcW w:w="703" w:type="dxa"/>
            <w:vAlign w:val="center"/>
          </w:tcPr>
          <w:p w14:paraId="1F4ACFE8" w14:textId="77777777" w:rsidR="00B45351" w:rsidRPr="00882D96" w:rsidRDefault="00B45351" w:rsidP="00882D96">
            <w:pPr>
              <w:spacing w:after="100" w:afterAutospacing="1"/>
              <w:jc w:val="center"/>
              <w:rPr>
                <w:rFonts w:eastAsiaTheme="minorHAnsi"/>
              </w:rPr>
            </w:pPr>
            <w:r w:rsidRPr="00882D96">
              <w:rPr>
                <w:rFonts w:eastAsiaTheme="minorHAnsi"/>
              </w:rPr>
              <w:t>85.8</w:t>
            </w:r>
          </w:p>
        </w:tc>
        <w:tc>
          <w:tcPr>
            <w:tcW w:w="848" w:type="dxa"/>
            <w:vAlign w:val="center"/>
          </w:tcPr>
          <w:p w14:paraId="1416B6D3"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restart"/>
            <w:vAlign w:val="center"/>
          </w:tcPr>
          <w:p w14:paraId="46707154"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1897" w:type="dxa"/>
            <w:vAlign w:val="center"/>
          </w:tcPr>
          <w:p w14:paraId="62B87197" w14:textId="77777777" w:rsidR="00B45351" w:rsidRPr="00882D96" w:rsidRDefault="00B45351" w:rsidP="00882D96">
            <w:pPr>
              <w:spacing w:after="100" w:afterAutospacing="1"/>
              <w:jc w:val="center"/>
              <w:rPr>
                <w:rFonts w:eastAsiaTheme="minorHAnsi"/>
              </w:rPr>
            </w:pPr>
            <w:r w:rsidRPr="00882D96">
              <w:rPr>
                <w:rFonts w:eastAsiaTheme="minorHAnsi"/>
              </w:rPr>
              <w:t>0.26 (0.21 - 0.32)</w:t>
            </w:r>
          </w:p>
        </w:tc>
      </w:tr>
      <w:tr w:rsidR="00B45351" w:rsidRPr="00882D96" w14:paraId="7AA30602" w14:textId="77777777" w:rsidTr="003C17AE">
        <w:trPr>
          <w:trHeight w:val="284"/>
          <w:jc w:val="center"/>
        </w:trPr>
        <w:tc>
          <w:tcPr>
            <w:tcW w:w="3119" w:type="dxa"/>
            <w:noWrap/>
            <w:vAlign w:val="center"/>
          </w:tcPr>
          <w:p w14:paraId="39F1377D" w14:textId="77777777" w:rsidR="00B45351" w:rsidRPr="00882D96" w:rsidRDefault="00B45351" w:rsidP="00882D96">
            <w:pPr>
              <w:spacing w:after="100" w:afterAutospacing="1"/>
              <w:rPr>
                <w:rFonts w:eastAsiaTheme="minorHAnsi"/>
              </w:rPr>
            </w:pPr>
            <w:r w:rsidRPr="00882D96">
              <w:rPr>
                <w:rFonts w:eastAsiaTheme="minorHAnsi"/>
              </w:rPr>
              <w:t xml:space="preserve">   Very Low </w:t>
            </w:r>
          </w:p>
        </w:tc>
        <w:tc>
          <w:tcPr>
            <w:tcW w:w="704" w:type="dxa"/>
            <w:noWrap/>
            <w:vAlign w:val="center"/>
          </w:tcPr>
          <w:p w14:paraId="75EA968A" w14:textId="77777777" w:rsidR="00B45351" w:rsidRPr="00882D96" w:rsidRDefault="00B45351" w:rsidP="00882D96">
            <w:pPr>
              <w:spacing w:after="100" w:afterAutospacing="1"/>
              <w:jc w:val="center"/>
              <w:rPr>
                <w:rFonts w:eastAsiaTheme="minorHAnsi"/>
              </w:rPr>
            </w:pPr>
            <w:r w:rsidRPr="00882D96">
              <w:rPr>
                <w:rFonts w:eastAsiaTheme="minorHAnsi"/>
              </w:rPr>
              <w:t>1</w:t>
            </w:r>
          </w:p>
        </w:tc>
        <w:tc>
          <w:tcPr>
            <w:tcW w:w="601" w:type="dxa"/>
            <w:noWrap/>
            <w:vAlign w:val="center"/>
          </w:tcPr>
          <w:p w14:paraId="439E2E0F" w14:textId="77777777" w:rsidR="00B45351" w:rsidRPr="00882D96" w:rsidRDefault="00B45351" w:rsidP="00882D96">
            <w:pPr>
              <w:spacing w:after="100" w:afterAutospacing="1"/>
              <w:jc w:val="center"/>
              <w:rPr>
                <w:rFonts w:eastAsiaTheme="minorHAnsi"/>
              </w:rPr>
            </w:pPr>
            <w:r w:rsidRPr="00882D96">
              <w:rPr>
                <w:rFonts w:eastAsiaTheme="minorHAnsi"/>
              </w:rPr>
              <w:t>0.1</w:t>
            </w:r>
          </w:p>
        </w:tc>
        <w:tc>
          <w:tcPr>
            <w:tcW w:w="673" w:type="dxa"/>
            <w:vAlign w:val="center"/>
          </w:tcPr>
          <w:p w14:paraId="2659CE17" w14:textId="77777777" w:rsidR="00B45351" w:rsidRPr="00882D96" w:rsidRDefault="00B45351" w:rsidP="00882D96">
            <w:pPr>
              <w:spacing w:after="100" w:afterAutospacing="1"/>
              <w:jc w:val="center"/>
              <w:rPr>
                <w:rFonts w:eastAsiaTheme="minorHAnsi"/>
              </w:rPr>
            </w:pPr>
            <w:r w:rsidRPr="00882D96">
              <w:rPr>
                <w:rFonts w:eastAsiaTheme="minorHAnsi"/>
              </w:rPr>
              <w:t>1</w:t>
            </w:r>
          </w:p>
        </w:tc>
        <w:tc>
          <w:tcPr>
            <w:tcW w:w="703" w:type="dxa"/>
            <w:vAlign w:val="center"/>
          </w:tcPr>
          <w:p w14:paraId="5E441D9F" w14:textId="77777777" w:rsidR="00B45351" w:rsidRPr="00882D96" w:rsidRDefault="00B45351" w:rsidP="00882D96">
            <w:pPr>
              <w:spacing w:after="100" w:afterAutospacing="1"/>
              <w:jc w:val="center"/>
              <w:rPr>
                <w:rFonts w:eastAsiaTheme="minorHAnsi"/>
              </w:rPr>
            </w:pPr>
            <w:r w:rsidRPr="00882D96">
              <w:rPr>
                <w:rFonts w:eastAsiaTheme="minorHAnsi"/>
              </w:rPr>
              <w:t>0.1</w:t>
            </w:r>
          </w:p>
        </w:tc>
        <w:tc>
          <w:tcPr>
            <w:tcW w:w="848" w:type="dxa"/>
            <w:vAlign w:val="center"/>
          </w:tcPr>
          <w:p w14:paraId="763151B9" w14:textId="77777777" w:rsidR="00B45351" w:rsidRPr="00882D96" w:rsidRDefault="00B45351" w:rsidP="00882D96">
            <w:pPr>
              <w:spacing w:after="100" w:afterAutospacing="1"/>
              <w:jc w:val="center"/>
              <w:rPr>
                <w:rFonts w:eastAsiaTheme="minorHAnsi"/>
              </w:rPr>
            </w:pPr>
            <w:r w:rsidRPr="00882D96">
              <w:rPr>
                <w:rFonts w:eastAsiaTheme="minorHAnsi"/>
              </w:rPr>
              <w:t>.908</w:t>
            </w:r>
          </w:p>
        </w:tc>
        <w:tc>
          <w:tcPr>
            <w:tcW w:w="806" w:type="dxa"/>
            <w:vMerge/>
            <w:vAlign w:val="center"/>
          </w:tcPr>
          <w:p w14:paraId="5D1914CD" w14:textId="77777777" w:rsidR="00B45351" w:rsidRPr="00882D96" w:rsidRDefault="00B45351" w:rsidP="00882D96">
            <w:pPr>
              <w:spacing w:after="100" w:afterAutospacing="1"/>
              <w:jc w:val="center"/>
              <w:rPr>
                <w:rFonts w:eastAsiaTheme="minorHAnsi"/>
              </w:rPr>
            </w:pPr>
          </w:p>
        </w:tc>
        <w:tc>
          <w:tcPr>
            <w:tcW w:w="1897" w:type="dxa"/>
            <w:vAlign w:val="center"/>
          </w:tcPr>
          <w:p w14:paraId="263FDA36" w14:textId="77777777" w:rsidR="00B45351" w:rsidRPr="00882D96" w:rsidRDefault="00B45351" w:rsidP="00882D96">
            <w:pPr>
              <w:spacing w:after="100" w:afterAutospacing="1"/>
              <w:jc w:val="center"/>
              <w:rPr>
                <w:rFonts w:eastAsiaTheme="minorHAnsi"/>
              </w:rPr>
            </w:pPr>
            <w:r w:rsidRPr="00882D96">
              <w:rPr>
                <w:rFonts w:eastAsiaTheme="minorHAnsi"/>
              </w:rPr>
              <w:t>1.18 (0.07 - 18.86)</w:t>
            </w:r>
          </w:p>
        </w:tc>
      </w:tr>
      <w:tr w:rsidR="00B45351" w:rsidRPr="00882D96" w14:paraId="563DE2E4" w14:textId="77777777" w:rsidTr="003C17AE">
        <w:trPr>
          <w:trHeight w:val="284"/>
          <w:jc w:val="center"/>
        </w:trPr>
        <w:tc>
          <w:tcPr>
            <w:tcW w:w="3119" w:type="dxa"/>
            <w:noWrap/>
            <w:vAlign w:val="center"/>
          </w:tcPr>
          <w:p w14:paraId="5B2A6400" w14:textId="77777777" w:rsidR="00B45351" w:rsidRPr="00882D96" w:rsidRDefault="00B45351" w:rsidP="00882D96">
            <w:pPr>
              <w:spacing w:after="100" w:afterAutospacing="1"/>
              <w:rPr>
                <w:rFonts w:eastAsiaTheme="minorHAnsi"/>
              </w:rPr>
            </w:pPr>
            <w:r w:rsidRPr="00882D96">
              <w:rPr>
                <w:rFonts w:eastAsiaTheme="minorHAnsi"/>
              </w:rPr>
              <w:lastRenderedPageBreak/>
              <w:t xml:space="preserve">   Low </w:t>
            </w:r>
          </w:p>
        </w:tc>
        <w:tc>
          <w:tcPr>
            <w:tcW w:w="704" w:type="dxa"/>
            <w:noWrap/>
            <w:vAlign w:val="center"/>
          </w:tcPr>
          <w:p w14:paraId="044B35C9" w14:textId="77777777" w:rsidR="00B45351" w:rsidRPr="00882D96" w:rsidRDefault="00B45351" w:rsidP="00882D96">
            <w:pPr>
              <w:spacing w:after="100" w:afterAutospacing="1"/>
              <w:jc w:val="center"/>
              <w:rPr>
                <w:rFonts w:eastAsiaTheme="minorHAnsi"/>
              </w:rPr>
            </w:pPr>
            <w:r w:rsidRPr="00882D96">
              <w:rPr>
                <w:rFonts w:eastAsiaTheme="minorHAnsi"/>
              </w:rPr>
              <w:t>39</w:t>
            </w:r>
          </w:p>
        </w:tc>
        <w:tc>
          <w:tcPr>
            <w:tcW w:w="601" w:type="dxa"/>
            <w:noWrap/>
            <w:vAlign w:val="center"/>
          </w:tcPr>
          <w:p w14:paraId="545B1511" w14:textId="77777777" w:rsidR="00B45351" w:rsidRPr="00882D96" w:rsidRDefault="00B45351" w:rsidP="00882D96">
            <w:pPr>
              <w:spacing w:after="100" w:afterAutospacing="1"/>
              <w:jc w:val="center"/>
              <w:rPr>
                <w:rFonts w:eastAsiaTheme="minorHAnsi"/>
              </w:rPr>
            </w:pPr>
            <w:r w:rsidRPr="00882D96">
              <w:rPr>
                <w:rFonts w:eastAsiaTheme="minorHAnsi"/>
              </w:rPr>
              <w:t>4.0</w:t>
            </w:r>
          </w:p>
        </w:tc>
        <w:tc>
          <w:tcPr>
            <w:tcW w:w="673" w:type="dxa"/>
            <w:vAlign w:val="center"/>
          </w:tcPr>
          <w:p w14:paraId="45441E18" w14:textId="77777777" w:rsidR="00B45351" w:rsidRPr="00882D96" w:rsidRDefault="00B45351" w:rsidP="00882D96">
            <w:pPr>
              <w:spacing w:after="100" w:afterAutospacing="1"/>
              <w:jc w:val="center"/>
              <w:rPr>
                <w:rFonts w:eastAsiaTheme="minorHAnsi"/>
              </w:rPr>
            </w:pPr>
            <w:r w:rsidRPr="00882D96">
              <w:rPr>
                <w:rFonts w:eastAsiaTheme="minorHAnsi"/>
              </w:rPr>
              <w:t>57</w:t>
            </w:r>
          </w:p>
        </w:tc>
        <w:tc>
          <w:tcPr>
            <w:tcW w:w="703" w:type="dxa"/>
            <w:vAlign w:val="center"/>
          </w:tcPr>
          <w:p w14:paraId="61434E4A" w14:textId="77777777" w:rsidR="00B45351" w:rsidRPr="00882D96" w:rsidRDefault="00B45351" w:rsidP="00882D96">
            <w:pPr>
              <w:spacing w:after="100" w:afterAutospacing="1"/>
              <w:jc w:val="center"/>
              <w:rPr>
                <w:rFonts w:eastAsiaTheme="minorHAnsi"/>
              </w:rPr>
            </w:pPr>
            <w:r w:rsidRPr="00882D96">
              <w:rPr>
                <w:rFonts w:eastAsiaTheme="minorHAnsi"/>
              </w:rPr>
              <w:t>5.0</w:t>
            </w:r>
          </w:p>
        </w:tc>
        <w:tc>
          <w:tcPr>
            <w:tcW w:w="848" w:type="dxa"/>
            <w:vAlign w:val="center"/>
          </w:tcPr>
          <w:p w14:paraId="6E1F6956" w14:textId="77777777" w:rsidR="00B45351" w:rsidRPr="00882D96" w:rsidRDefault="00B45351" w:rsidP="00882D96">
            <w:pPr>
              <w:spacing w:after="100" w:afterAutospacing="1"/>
              <w:jc w:val="center"/>
              <w:rPr>
                <w:rFonts w:eastAsiaTheme="minorHAnsi"/>
              </w:rPr>
            </w:pPr>
            <w:r w:rsidRPr="00882D96">
              <w:rPr>
                <w:rFonts w:eastAsiaTheme="minorHAnsi"/>
              </w:rPr>
              <w:t>.287</w:t>
            </w:r>
          </w:p>
        </w:tc>
        <w:tc>
          <w:tcPr>
            <w:tcW w:w="806" w:type="dxa"/>
            <w:vMerge/>
            <w:vAlign w:val="center"/>
          </w:tcPr>
          <w:p w14:paraId="4618FD21" w14:textId="77777777" w:rsidR="00B45351" w:rsidRPr="00882D96" w:rsidRDefault="00B45351" w:rsidP="00882D96">
            <w:pPr>
              <w:spacing w:after="100" w:afterAutospacing="1"/>
              <w:jc w:val="center"/>
              <w:rPr>
                <w:rFonts w:eastAsiaTheme="minorHAnsi"/>
              </w:rPr>
            </w:pPr>
          </w:p>
        </w:tc>
        <w:tc>
          <w:tcPr>
            <w:tcW w:w="1897" w:type="dxa"/>
            <w:vAlign w:val="center"/>
          </w:tcPr>
          <w:p w14:paraId="47B3C29D" w14:textId="77777777" w:rsidR="00B45351" w:rsidRPr="00882D96" w:rsidRDefault="00B45351" w:rsidP="00882D96">
            <w:pPr>
              <w:spacing w:after="100" w:afterAutospacing="1"/>
              <w:jc w:val="center"/>
              <w:rPr>
                <w:rFonts w:eastAsiaTheme="minorHAnsi"/>
              </w:rPr>
            </w:pPr>
            <w:r w:rsidRPr="00882D96">
              <w:rPr>
                <w:rFonts w:eastAsiaTheme="minorHAnsi"/>
              </w:rPr>
              <w:t>0.80 (0.53 - 1.21)</w:t>
            </w:r>
          </w:p>
        </w:tc>
      </w:tr>
      <w:tr w:rsidR="00B45351" w:rsidRPr="00882D96" w14:paraId="3FCA4DF9" w14:textId="77777777" w:rsidTr="003C17AE">
        <w:trPr>
          <w:trHeight w:val="284"/>
          <w:jc w:val="center"/>
        </w:trPr>
        <w:tc>
          <w:tcPr>
            <w:tcW w:w="3119" w:type="dxa"/>
            <w:noWrap/>
            <w:vAlign w:val="center"/>
          </w:tcPr>
          <w:p w14:paraId="1F362736" w14:textId="77777777" w:rsidR="00B45351" w:rsidRPr="00882D96" w:rsidRDefault="00B45351" w:rsidP="00882D96">
            <w:pPr>
              <w:spacing w:after="100" w:afterAutospacing="1"/>
              <w:rPr>
                <w:rFonts w:eastAsiaTheme="minorHAnsi"/>
              </w:rPr>
            </w:pPr>
            <w:r w:rsidRPr="00882D96">
              <w:rPr>
                <w:rFonts w:eastAsiaTheme="minorHAnsi"/>
              </w:rPr>
              <w:t xml:space="preserve">   Medium </w:t>
            </w:r>
          </w:p>
        </w:tc>
        <w:tc>
          <w:tcPr>
            <w:tcW w:w="704" w:type="dxa"/>
            <w:noWrap/>
            <w:vAlign w:val="center"/>
          </w:tcPr>
          <w:p w14:paraId="7B8B090C" w14:textId="77777777" w:rsidR="00B45351" w:rsidRPr="00882D96" w:rsidRDefault="00B45351" w:rsidP="00882D96">
            <w:pPr>
              <w:spacing w:after="100" w:afterAutospacing="1"/>
              <w:jc w:val="center"/>
              <w:rPr>
                <w:rFonts w:eastAsiaTheme="minorHAnsi"/>
              </w:rPr>
            </w:pPr>
            <w:r w:rsidRPr="00882D96">
              <w:rPr>
                <w:rFonts w:eastAsiaTheme="minorHAnsi"/>
              </w:rPr>
              <w:t>143</w:t>
            </w:r>
          </w:p>
        </w:tc>
        <w:tc>
          <w:tcPr>
            <w:tcW w:w="601" w:type="dxa"/>
            <w:noWrap/>
            <w:vAlign w:val="center"/>
          </w:tcPr>
          <w:p w14:paraId="1FE707AC" w14:textId="77777777" w:rsidR="00B45351" w:rsidRPr="00882D96" w:rsidRDefault="00B45351" w:rsidP="00882D96">
            <w:pPr>
              <w:spacing w:after="100" w:afterAutospacing="1"/>
              <w:jc w:val="center"/>
              <w:rPr>
                <w:rFonts w:eastAsiaTheme="minorHAnsi"/>
              </w:rPr>
            </w:pPr>
            <w:r w:rsidRPr="00882D96">
              <w:rPr>
                <w:rFonts w:eastAsiaTheme="minorHAnsi"/>
              </w:rPr>
              <w:t>14.8</w:t>
            </w:r>
          </w:p>
        </w:tc>
        <w:tc>
          <w:tcPr>
            <w:tcW w:w="673" w:type="dxa"/>
            <w:vAlign w:val="center"/>
          </w:tcPr>
          <w:p w14:paraId="7D1E2420" w14:textId="77777777" w:rsidR="00B45351" w:rsidRPr="00882D96" w:rsidRDefault="00B45351" w:rsidP="00882D96">
            <w:pPr>
              <w:spacing w:after="100" w:afterAutospacing="1"/>
              <w:jc w:val="center"/>
              <w:rPr>
                <w:rFonts w:eastAsiaTheme="minorHAnsi"/>
              </w:rPr>
            </w:pPr>
            <w:r w:rsidRPr="00882D96">
              <w:rPr>
                <w:rFonts w:eastAsiaTheme="minorHAnsi"/>
              </w:rPr>
              <w:t>40</w:t>
            </w:r>
          </w:p>
        </w:tc>
        <w:tc>
          <w:tcPr>
            <w:tcW w:w="703" w:type="dxa"/>
            <w:vAlign w:val="center"/>
          </w:tcPr>
          <w:p w14:paraId="085CED3E" w14:textId="77777777" w:rsidR="00B45351" w:rsidRPr="00882D96" w:rsidRDefault="00B45351" w:rsidP="00882D96">
            <w:pPr>
              <w:spacing w:after="100" w:afterAutospacing="1"/>
              <w:jc w:val="center"/>
              <w:rPr>
                <w:rFonts w:eastAsiaTheme="minorHAnsi"/>
              </w:rPr>
            </w:pPr>
            <w:r w:rsidRPr="00882D96">
              <w:rPr>
                <w:rFonts w:eastAsiaTheme="minorHAnsi"/>
              </w:rPr>
              <w:t>3.5</w:t>
            </w:r>
          </w:p>
        </w:tc>
        <w:tc>
          <w:tcPr>
            <w:tcW w:w="848" w:type="dxa"/>
            <w:vAlign w:val="center"/>
          </w:tcPr>
          <w:p w14:paraId="700622AF"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366D987F" w14:textId="77777777" w:rsidR="00B45351" w:rsidRPr="00882D96" w:rsidRDefault="00B45351" w:rsidP="00882D96">
            <w:pPr>
              <w:spacing w:after="100" w:afterAutospacing="1"/>
              <w:jc w:val="center"/>
              <w:rPr>
                <w:rFonts w:eastAsiaTheme="minorHAnsi"/>
              </w:rPr>
            </w:pPr>
          </w:p>
        </w:tc>
        <w:tc>
          <w:tcPr>
            <w:tcW w:w="1897" w:type="dxa"/>
            <w:vAlign w:val="center"/>
          </w:tcPr>
          <w:p w14:paraId="258022F8" w14:textId="77777777" w:rsidR="00B45351" w:rsidRPr="00882D96" w:rsidRDefault="00B45351" w:rsidP="00882D96">
            <w:pPr>
              <w:spacing w:after="100" w:afterAutospacing="1"/>
              <w:jc w:val="center"/>
              <w:rPr>
                <w:rFonts w:eastAsiaTheme="minorHAnsi"/>
              </w:rPr>
            </w:pPr>
            <w:r w:rsidRPr="00882D96">
              <w:rPr>
                <w:rFonts w:eastAsiaTheme="minorHAnsi"/>
              </w:rPr>
              <w:t>4.77 (3.32 - 6.85)</w:t>
            </w:r>
          </w:p>
        </w:tc>
      </w:tr>
      <w:tr w:rsidR="00B45351" w:rsidRPr="00882D96" w14:paraId="5957F91D" w14:textId="77777777" w:rsidTr="003C17AE">
        <w:trPr>
          <w:trHeight w:val="284"/>
          <w:jc w:val="center"/>
        </w:trPr>
        <w:tc>
          <w:tcPr>
            <w:tcW w:w="3119" w:type="dxa"/>
            <w:noWrap/>
            <w:vAlign w:val="center"/>
          </w:tcPr>
          <w:p w14:paraId="4F1E270B" w14:textId="77777777" w:rsidR="00B45351" w:rsidRPr="00882D96" w:rsidRDefault="00B45351" w:rsidP="00882D96">
            <w:pPr>
              <w:spacing w:after="100" w:afterAutospacing="1"/>
              <w:rPr>
                <w:rFonts w:eastAsiaTheme="minorHAnsi"/>
              </w:rPr>
            </w:pPr>
            <w:r w:rsidRPr="00882D96">
              <w:rPr>
                <w:rFonts w:eastAsiaTheme="minorHAnsi"/>
              </w:rPr>
              <w:t xml:space="preserve">   High </w:t>
            </w:r>
          </w:p>
        </w:tc>
        <w:tc>
          <w:tcPr>
            <w:tcW w:w="704" w:type="dxa"/>
            <w:noWrap/>
            <w:vAlign w:val="center"/>
          </w:tcPr>
          <w:p w14:paraId="52CCA5D0" w14:textId="77777777" w:rsidR="00B45351" w:rsidRPr="00882D96" w:rsidRDefault="00B45351" w:rsidP="00882D96">
            <w:pPr>
              <w:spacing w:after="100" w:afterAutospacing="1"/>
              <w:jc w:val="center"/>
              <w:rPr>
                <w:rFonts w:eastAsiaTheme="minorHAnsi"/>
              </w:rPr>
            </w:pPr>
            <w:r w:rsidRPr="00882D96">
              <w:rPr>
                <w:rFonts w:eastAsiaTheme="minorHAnsi"/>
              </w:rPr>
              <w:t>162</w:t>
            </w:r>
          </w:p>
        </w:tc>
        <w:tc>
          <w:tcPr>
            <w:tcW w:w="601" w:type="dxa"/>
            <w:noWrap/>
            <w:vAlign w:val="center"/>
          </w:tcPr>
          <w:p w14:paraId="10020E15" w14:textId="77777777" w:rsidR="00B45351" w:rsidRPr="00882D96" w:rsidRDefault="00B45351" w:rsidP="00882D96">
            <w:pPr>
              <w:spacing w:after="100" w:afterAutospacing="1"/>
              <w:jc w:val="center"/>
              <w:rPr>
                <w:rFonts w:eastAsiaTheme="minorHAnsi"/>
              </w:rPr>
            </w:pPr>
            <w:r w:rsidRPr="00882D96">
              <w:rPr>
                <w:rFonts w:eastAsiaTheme="minorHAnsi"/>
              </w:rPr>
              <w:t>16.8</w:t>
            </w:r>
          </w:p>
        </w:tc>
        <w:tc>
          <w:tcPr>
            <w:tcW w:w="673" w:type="dxa"/>
            <w:vAlign w:val="center"/>
          </w:tcPr>
          <w:p w14:paraId="39E2F639" w14:textId="77777777" w:rsidR="00B45351" w:rsidRPr="00882D96" w:rsidRDefault="00B45351" w:rsidP="00882D96">
            <w:pPr>
              <w:spacing w:after="100" w:afterAutospacing="1"/>
              <w:jc w:val="center"/>
              <w:rPr>
                <w:rFonts w:eastAsiaTheme="minorHAnsi"/>
              </w:rPr>
            </w:pPr>
            <w:r w:rsidRPr="00882D96">
              <w:rPr>
                <w:rFonts w:eastAsiaTheme="minorHAnsi"/>
              </w:rPr>
              <w:t>58</w:t>
            </w:r>
          </w:p>
        </w:tc>
        <w:tc>
          <w:tcPr>
            <w:tcW w:w="703" w:type="dxa"/>
            <w:vAlign w:val="center"/>
          </w:tcPr>
          <w:p w14:paraId="530CC432" w14:textId="77777777" w:rsidR="00B45351" w:rsidRPr="00882D96" w:rsidRDefault="00B45351" w:rsidP="00882D96">
            <w:pPr>
              <w:spacing w:after="100" w:afterAutospacing="1"/>
              <w:jc w:val="center"/>
              <w:rPr>
                <w:rFonts w:eastAsiaTheme="minorHAnsi"/>
              </w:rPr>
            </w:pPr>
            <w:r w:rsidRPr="00882D96">
              <w:rPr>
                <w:rFonts w:eastAsiaTheme="minorHAnsi"/>
              </w:rPr>
              <w:t>5.1</w:t>
            </w:r>
          </w:p>
        </w:tc>
        <w:tc>
          <w:tcPr>
            <w:tcW w:w="848" w:type="dxa"/>
            <w:vAlign w:val="center"/>
          </w:tcPr>
          <w:p w14:paraId="2BCF83B0"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52FBC264" w14:textId="77777777" w:rsidR="00B45351" w:rsidRPr="00882D96" w:rsidRDefault="00B45351" w:rsidP="00882D96">
            <w:pPr>
              <w:spacing w:after="100" w:afterAutospacing="1"/>
              <w:jc w:val="center"/>
              <w:rPr>
                <w:rFonts w:eastAsiaTheme="minorHAnsi"/>
              </w:rPr>
            </w:pPr>
          </w:p>
        </w:tc>
        <w:tc>
          <w:tcPr>
            <w:tcW w:w="1897" w:type="dxa"/>
            <w:vAlign w:val="center"/>
          </w:tcPr>
          <w:p w14:paraId="1F5D4CCC" w14:textId="77777777" w:rsidR="00B45351" w:rsidRPr="00882D96" w:rsidRDefault="00B45351" w:rsidP="00882D96">
            <w:pPr>
              <w:spacing w:after="100" w:afterAutospacing="1"/>
              <w:jc w:val="center"/>
              <w:rPr>
                <w:rFonts w:eastAsiaTheme="minorHAnsi"/>
              </w:rPr>
            </w:pPr>
            <w:r w:rsidRPr="00882D96">
              <w:rPr>
                <w:rFonts w:eastAsiaTheme="minorHAnsi"/>
              </w:rPr>
              <w:t>3.75 (2.74 - 5.13)</w:t>
            </w:r>
          </w:p>
        </w:tc>
      </w:tr>
      <w:tr w:rsidR="00B45351" w:rsidRPr="00882D96" w14:paraId="3F8917F0" w14:textId="77777777" w:rsidTr="003C17AE">
        <w:trPr>
          <w:trHeight w:val="284"/>
          <w:jc w:val="center"/>
        </w:trPr>
        <w:tc>
          <w:tcPr>
            <w:tcW w:w="3119" w:type="dxa"/>
            <w:noWrap/>
            <w:vAlign w:val="center"/>
          </w:tcPr>
          <w:p w14:paraId="1EFCA08F" w14:textId="77777777" w:rsidR="00B45351" w:rsidRPr="00882D96" w:rsidRDefault="00B45351" w:rsidP="00882D96">
            <w:pPr>
              <w:spacing w:after="100" w:afterAutospacing="1"/>
              <w:rPr>
                <w:rFonts w:eastAsiaTheme="minorHAnsi"/>
              </w:rPr>
            </w:pPr>
            <w:r w:rsidRPr="00882D96">
              <w:rPr>
                <w:rFonts w:eastAsiaTheme="minorHAnsi"/>
              </w:rPr>
              <w:t xml:space="preserve">   Very High</w:t>
            </w:r>
          </w:p>
        </w:tc>
        <w:tc>
          <w:tcPr>
            <w:tcW w:w="704" w:type="dxa"/>
            <w:noWrap/>
            <w:vAlign w:val="center"/>
          </w:tcPr>
          <w:p w14:paraId="5CA84B50" w14:textId="77777777" w:rsidR="00B45351" w:rsidRPr="00882D96" w:rsidRDefault="00B45351" w:rsidP="00882D96">
            <w:pPr>
              <w:spacing w:after="100" w:afterAutospacing="1"/>
              <w:jc w:val="center"/>
              <w:rPr>
                <w:rFonts w:eastAsiaTheme="minorHAnsi"/>
              </w:rPr>
            </w:pPr>
            <w:r w:rsidRPr="00882D96">
              <w:rPr>
                <w:rFonts w:eastAsiaTheme="minorHAnsi"/>
              </w:rPr>
              <w:t>34</w:t>
            </w:r>
          </w:p>
        </w:tc>
        <w:tc>
          <w:tcPr>
            <w:tcW w:w="601" w:type="dxa"/>
            <w:noWrap/>
            <w:vAlign w:val="center"/>
          </w:tcPr>
          <w:p w14:paraId="3F5E3333" w14:textId="77777777" w:rsidR="00B45351" w:rsidRPr="00882D96" w:rsidRDefault="00B45351" w:rsidP="00882D96">
            <w:pPr>
              <w:spacing w:after="100" w:afterAutospacing="1"/>
              <w:jc w:val="center"/>
              <w:rPr>
                <w:rFonts w:eastAsiaTheme="minorHAnsi"/>
              </w:rPr>
            </w:pPr>
            <w:r w:rsidRPr="00882D96">
              <w:rPr>
                <w:rFonts w:eastAsiaTheme="minorHAnsi"/>
              </w:rPr>
              <w:t>3.5</w:t>
            </w:r>
          </w:p>
        </w:tc>
        <w:tc>
          <w:tcPr>
            <w:tcW w:w="673" w:type="dxa"/>
            <w:vAlign w:val="center"/>
          </w:tcPr>
          <w:p w14:paraId="1BDEFE07" w14:textId="77777777" w:rsidR="00B45351" w:rsidRPr="00882D96" w:rsidRDefault="00B45351" w:rsidP="00882D96">
            <w:pPr>
              <w:spacing w:after="100" w:afterAutospacing="1"/>
              <w:jc w:val="center"/>
              <w:rPr>
                <w:rFonts w:eastAsiaTheme="minorHAnsi"/>
              </w:rPr>
            </w:pPr>
            <w:r w:rsidRPr="00882D96">
              <w:rPr>
                <w:rFonts w:eastAsiaTheme="minorHAnsi"/>
              </w:rPr>
              <w:t>6</w:t>
            </w:r>
          </w:p>
        </w:tc>
        <w:tc>
          <w:tcPr>
            <w:tcW w:w="703" w:type="dxa"/>
            <w:vAlign w:val="center"/>
          </w:tcPr>
          <w:p w14:paraId="54C4057E" w14:textId="77777777" w:rsidR="00B45351" w:rsidRPr="00882D96" w:rsidRDefault="00B45351" w:rsidP="00882D96">
            <w:pPr>
              <w:spacing w:after="100" w:afterAutospacing="1"/>
              <w:jc w:val="center"/>
              <w:rPr>
                <w:rFonts w:eastAsiaTheme="minorHAnsi"/>
              </w:rPr>
            </w:pPr>
            <w:r w:rsidRPr="00882D96">
              <w:rPr>
                <w:rFonts w:eastAsiaTheme="minorHAnsi"/>
              </w:rPr>
              <w:t>0.5</w:t>
            </w:r>
          </w:p>
        </w:tc>
        <w:tc>
          <w:tcPr>
            <w:tcW w:w="848" w:type="dxa"/>
            <w:vAlign w:val="center"/>
          </w:tcPr>
          <w:p w14:paraId="7F13A064" w14:textId="77777777" w:rsidR="00B45351" w:rsidRPr="00882D96" w:rsidRDefault="00B45351" w:rsidP="00882D96">
            <w:pPr>
              <w:spacing w:after="100" w:afterAutospacing="1"/>
              <w:jc w:val="center"/>
              <w:rPr>
                <w:rFonts w:eastAsiaTheme="minorHAnsi"/>
              </w:rPr>
            </w:pPr>
            <w:r w:rsidRPr="00882D96">
              <w:rPr>
                <w:rFonts w:eastAsiaTheme="minorHAnsi"/>
              </w:rPr>
              <w:t>&lt;.001</w:t>
            </w:r>
            <w:r w:rsidRPr="00882D96">
              <w:rPr>
                <w:rFonts w:eastAsiaTheme="minorHAnsi"/>
                <w:color w:val="000000"/>
                <w:vertAlign w:val="superscript"/>
              </w:rPr>
              <w:t>‡</w:t>
            </w:r>
          </w:p>
        </w:tc>
        <w:tc>
          <w:tcPr>
            <w:tcW w:w="806" w:type="dxa"/>
            <w:vMerge/>
            <w:vAlign w:val="center"/>
          </w:tcPr>
          <w:p w14:paraId="2EFD1291" w14:textId="77777777" w:rsidR="00B45351" w:rsidRPr="00882D96" w:rsidRDefault="00B45351" w:rsidP="00882D96">
            <w:pPr>
              <w:spacing w:after="100" w:afterAutospacing="1"/>
              <w:jc w:val="center"/>
              <w:rPr>
                <w:rFonts w:eastAsiaTheme="minorHAnsi"/>
              </w:rPr>
            </w:pPr>
          </w:p>
        </w:tc>
        <w:tc>
          <w:tcPr>
            <w:tcW w:w="1897" w:type="dxa"/>
            <w:vAlign w:val="center"/>
          </w:tcPr>
          <w:p w14:paraId="3DBE106E" w14:textId="77777777" w:rsidR="00B45351" w:rsidRPr="00882D96" w:rsidRDefault="00B45351" w:rsidP="00882D96">
            <w:pPr>
              <w:spacing w:after="100" w:afterAutospacing="1"/>
              <w:jc w:val="center"/>
              <w:rPr>
                <w:rFonts w:eastAsiaTheme="minorHAnsi"/>
              </w:rPr>
            </w:pPr>
            <w:r w:rsidRPr="00882D96">
              <w:rPr>
                <w:rFonts w:eastAsiaTheme="minorHAnsi"/>
              </w:rPr>
              <w:t>6.88 (2.88 - 16.47)</w:t>
            </w:r>
          </w:p>
        </w:tc>
      </w:tr>
    </w:tbl>
    <w:p w14:paraId="09683313" w14:textId="77777777" w:rsidR="00B45351" w:rsidRPr="00882D96" w:rsidRDefault="00B45351" w:rsidP="00882D96">
      <w:pPr>
        <w:rPr>
          <w:rFonts w:eastAsiaTheme="minorHAnsi"/>
          <w:color w:val="000000"/>
        </w:rPr>
      </w:pPr>
      <w:r w:rsidRPr="00882D96">
        <w:rPr>
          <w:rFonts w:eastAsiaTheme="minorHAnsi"/>
          <w:i/>
          <w:iCs/>
          <w:color w:val="000000"/>
        </w:rPr>
        <w:t>Notes:</w:t>
      </w:r>
      <w:r w:rsidRPr="00882D96">
        <w:rPr>
          <w:rFonts w:eastAsiaTheme="minorHAnsi"/>
          <w:color w:val="000000"/>
        </w:rPr>
        <w:t xml:space="preserve"> Sample respondent totals reported for each measure.</w:t>
      </w:r>
      <w:r w:rsidRPr="00882D96">
        <w:rPr>
          <w:rFonts w:eastAsiaTheme="minorHAnsi"/>
          <w:i/>
          <w:iCs/>
          <w:color w:val="000000"/>
        </w:rPr>
        <w:t xml:space="preserve"> p</w:t>
      </w:r>
      <w:r w:rsidRPr="00882D96">
        <w:rPr>
          <w:rFonts w:eastAsiaTheme="minorHAnsi"/>
          <w:color w:val="000000"/>
        </w:rPr>
        <w:t xml:space="preserve"> = Significance of Pearson’s χ2 test. OR: unadjusted Odds Ratio. 95% CI: Upper and lower bound 95% confidence intervals. † Indicates significance where p &lt; 0.05. ‡ Indicates significance where p &lt; 0.01. </w:t>
      </w:r>
    </w:p>
    <w:p w14:paraId="7D7C0E0E" w14:textId="77777777" w:rsidR="00B45351" w:rsidRDefault="00B45351" w:rsidP="00882D96"/>
    <w:p w14:paraId="1B342B18" w14:textId="77777777" w:rsidR="00B45351" w:rsidRDefault="00B45351" w:rsidP="002C4BD3"/>
    <w:p w14:paraId="3B6602DF" w14:textId="77777777" w:rsidR="00B45351" w:rsidRDefault="00B45351" w:rsidP="002C4BD3"/>
    <w:p w14:paraId="538905F8" w14:textId="77777777" w:rsidR="00B45351" w:rsidRDefault="00B45351" w:rsidP="002C4BD3"/>
    <w:p w14:paraId="4AB6D695" w14:textId="77777777" w:rsidR="00B45351" w:rsidRDefault="00B45351" w:rsidP="002C4BD3"/>
    <w:p w14:paraId="6352E3A6" w14:textId="77777777" w:rsidR="00B45351" w:rsidRDefault="00B45351" w:rsidP="002C4BD3"/>
    <w:p w14:paraId="7DF4491E" w14:textId="77777777" w:rsidR="00B45351" w:rsidRDefault="00B45351" w:rsidP="002C4BD3"/>
    <w:p w14:paraId="1FA600BB" w14:textId="77777777" w:rsidR="00B45351" w:rsidRPr="002C4BD3" w:rsidRDefault="00B45351" w:rsidP="002C4BD3"/>
    <w:p w14:paraId="627C0EA5" w14:textId="77777777" w:rsidR="00B45351" w:rsidRDefault="00B45351" w:rsidP="00882D96">
      <w:pPr>
        <w:sectPr w:rsidR="00B45351" w:rsidSect="00B101B8">
          <w:type w:val="continuous"/>
          <w:pgSz w:w="11906" w:h="16838"/>
          <w:pgMar w:top="1440" w:right="1440" w:bottom="1440" w:left="1440" w:header="708" w:footer="708" w:gutter="0"/>
          <w:cols w:space="708"/>
          <w:docGrid w:linePitch="360"/>
        </w:sectPr>
      </w:pPr>
    </w:p>
    <w:p w14:paraId="6A3D42FE" w14:textId="77777777" w:rsidR="00B45351" w:rsidRPr="003F243A" w:rsidRDefault="00B45351" w:rsidP="00B45351">
      <w:pPr>
        <w:rPr>
          <w:b/>
          <w:bCs/>
        </w:rPr>
      </w:pPr>
      <w:r>
        <w:rPr>
          <w:b/>
          <w:bCs/>
        </w:rPr>
        <w:lastRenderedPageBreak/>
        <w:t>Table 5: Stepwise multiple linear regression models for clustered theoretical predictors of veterans’ continuous PGSI scores.</w:t>
      </w:r>
    </w:p>
    <w:p w14:paraId="3E76D116" w14:textId="77777777" w:rsidR="00B45351" w:rsidRPr="002C4BD3" w:rsidRDefault="00B45351" w:rsidP="00882D96"/>
    <w:tbl>
      <w:tblPr>
        <w:tblStyle w:val="TableGrid"/>
        <w:tblpPr w:leftFromText="180" w:rightFromText="180" w:vertAnchor="page" w:horzAnchor="margin" w:tblpY="1756"/>
        <w:tblW w:w="1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71"/>
        <w:gridCol w:w="766"/>
        <w:gridCol w:w="633"/>
        <w:gridCol w:w="733"/>
        <w:gridCol w:w="781"/>
        <w:gridCol w:w="733"/>
        <w:gridCol w:w="733"/>
        <w:gridCol w:w="833"/>
        <w:gridCol w:w="779"/>
        <w:gridCol w:w="633"/>
        <w:gridCol w:w="533"/>
        <w:gridCol w:w="666"/>
        <w:gridCol w:w="801"/>
        <w:gridCol w:w="633"/>
        <w:gridCol w:w="533"/>
        <w:gridCol w:w="666"/>
        <w:gridCol w:w="801"/>
      </w:tblGrid>
      <w:tr w:rsidR="00B45351" w:rsidRPr="00576C8A" w14:paraId="2E9318E5" w14:textId="77777777" w:rsidTr="00842E93">
        <w:trPr>
          <w:trHeight w:val="227"/>
        </w:trPr>
        <w:tc>
          <w:tcPr>
            <w:tcW w:w="3671" w:type="dxa"/>
            <w:tcBorders>
              <w:top w:val="single" w:sz="4" w:space="0" w:color="auto"/>
              <w:bottom w:val="single" w:sz="4" w:space="0" w:color="auto"/>
            </w:tcBorders>
            <w:vAlign w:val="center"/>
          </w:tcPr>
          <w:p w14:paraId="2FC8BB1D" w14:textId="77777777" w:rsidR="00B45351" w:rsidRPr="00576C8A" w:rsidRDefault="00B45351" w:rsidP="00842E93">
            <w:pPr>
              <w:jc w:val="center"/>
              <w:rPr>
                <w:b/>
                <w:bCs/>
                <w:sz w:val="20"/>
                <w:szCs w:val="20"/>
              </w:rPr>
            </w:pPr>
          </w:p>
        </w:tc>
        <w:tc>
          <w:tcPr>
            <w:tcW w:w="2913" w:type="dxa"/>
            <w:gridSpan w:val="4"/>
            <w:tcBorders>
              <w:top w:val="single" w:sz="4" w:space="0" w:color="auto"/>
              <w:bottom w:val="single" w:sz="4" w:space="0" w:color="auto"/>
            </w:tcBorders>
            <w:vAlign w:val="center"/>
          </w:tcPr>
          <w:p w14:paraId="42BF10E4" w14:textId="77777777" w:rsidR="00B45351" w:rsidRPr="00576C8A" w:rsidRDefault="00B45351" w:rsidP="00842E93">
            <w:pPr>
              <w:jc w:val="center"/>
              <w:rPr>
                <w:b/>
                <w:bCs/>
                <w:sz w:val="20"/>
                <w:szCs w:val="20"/>
              </w:rPr>
            </w:pPr>
            <w:r w:rsidRPr="00576C8A">
              <w:rPr>
                <w:b/>
                <w:bCs/>
                <w:sz w:val="20"/>
                <w:szCs w:val="20"/>
              </w:rPr>
              <w:t xml:space="preserve">Sociodemographics </w:t>
            </w:r>
          </w:p>
        </w:tc>
        <w:tc>
          <w:tcPr>
            <w:tcW w:w="3078" w:type="dxa"/>
            <w:gridSpan w:val="4"/>
            <w:tcBorders>
              <w:top w:val="single" w:sz="4" w:space="0" w:color="auto"/>
              <w:bottom w:val="single" w:sz="4" w:space="0" w:color="auto"/>
            </w:tcBorders>
            <w:vAlign w:val="center"/>
          </w:tcPr>
          <w:p w14:paraId="36F7CE00" w14:textId="77777777" w:rsidR="00B45351" w:rsidRPr="00576C8A" w:rsidRDefault="00B45351" w:rsidP="00842E93">
            <w:pPr>
              <w:jc w:val="center"/>
              <w:rPr>
                <w:b/>
                <w:bCs/>
                <w:sz w:val="20"/>
                <w:szCs w:val="20"/>
              </w:rPr>
            </w:pPr>
            <w:r>
              <w:rPr>
                <w:b/>
                <w:bCs/>
                <w:sz w:val="20"/>
                <w:szCs w:val="20"/>
              </w:rPr>
              <w:t>Military Demographics</w:t>
            </w:r>
          </w:p>
        </w:tc>
        <w:tc>
          <w:tcPr>
            <w:tcW w:w="2633" w:type="dxa"/>
            <w:gridSpan w:val="4"/>
            <w:tcBorders>
              <w:top w:val="single" w:sz="4" w:space="0" w:color="auto"/>
              <w:bottom w:val="single" w:sz="4" w:space="0" w:color="auto"/>
            </w:tcBorders>
            <w:vAlign w:val="center"/>
          </w:tcPr>
          <w:p w14:paraId="5BA6A14D" w14:textId="77777777" w:rsidR="00B45351" w:rsidRPr="00576C8A" w:rsidRDefault="00B45351" w:rsidP="00842E93">
            <w:pPr>
              <w:jc w:val="center"/>
              <w:rPr>
                <w:b/>
                <w:bCs/>
                <w:sz w:val="20"/>
                <w:szCs w:val="20"/>
              </w:rPr>
            </w:pPr>
            <w:r w:rsidRPr="00576C8A">
              <w:rPr>
                <w:b/>
                <w:bCs/>
                <w:sz w:val="20"/>
                <w:szCs w:val="20"/>
              </w:rPr>
              <w:t xml:space="preserve">Mental Health </w:t>
            </w:r>
          </w:p>
        </w:tc>
        <w:tc>
          <w:tcPr>
            <w:tcW w:w="2633" w:type="dxa"/>
            <w:gridSpan w:val="4"/>
            <w:tcBorders>
              <w:top w:val="single" w:sz="4" w:space="0" w:color="auto"/>
              <w:bottom w:val="single" w:sz="4" w:space="0" w:color="auto"/>
            </w:tcBorders>
            <w:vAlign w:val="center"/>
          </w:tcPr>
          <w:p w14:paraId="2286F5DE" w14:textId="77777777" w:rsidR="00B45351" w:rsidRPr="00576C8A" w:rsidRDefault="00B45351" w:rsidP="00842E93">
            <w:pPr>
              <w:jc w:val="center"/>
              <w:rPr>
                <w:b/>
                <w:bCs/>
                <w:sz w:val="20"/>
                <w:szCs w:val="20"/>
              </w:rPr>
            </w:pPr>
            <w:r>
              <w:rPr>
                <w:b/>
                <w:bCs/>
                <w:sz w:val="20"/>
                <w:szCs w:val="20"/>
              </w:rPr>
              <w:t>Gambling</w:t>
            </w:r>
          </w:p>
        </w:tc>
      </w:tr>
      <w:tr w:rsidR="00B45351" w:rsidRPr="00576C8A" w14:paraId="6A959E02" w14:textId="77777777" w:rsidTr="00842E93">
        <w:trPr>
          <w:trHeight w:val="227"/>
        </w:trPr>
        <w:tc>
          <w:tcPr>
            <w:tcW w:w="3671" w:type="dxa"/>
            <w:tcBorders>
              <w:top w:val="single" w:sz="4" w:space="0" w:color="auto"/>
            </w:tcBorders>
            <w:vAlign w:val="center"/>
          </w:tcPr>
          <w:p w14:paraId="5C2EDB76" w14:textId="77777777" w:rsidR="00B45351" w:rsidRPr="00576C8A" w:rsidRDefault="00B45351" w:rsidP="00842E93">
            <w:pPr>
              <w:rPr>
                <w:b/>
                <w:bCs/>
                <w:sz w:val="20"/>
                <w:szCs w:val="20"/>
              </w:rPr>
            </w:pPr>
            <w:r w:rsidRPr="00576C8A">
              <w:rPr>
                <w:b/>
                <w:bCs/>
                <w:sz w:val="20"/>
                <w:szCs w:val="20"/>
              </w:rPr>
              <w:t>Model Summary</w:t>
            </w:r>
          </w:p>
        </w:tc>
        <w:tc>
          <w:tcPr>
            <w:tcW w:w="2913" w:type="dxa"/>
            <w:gridSpan w:val="4"/>
            <w:tcBorders>
              <w:top w:val="single" w:sz="4" w:space="0" w:color="auto"/>
            </w:tcBorders>
            <w:vAlign w:val="center"/>
          </w:tcPr>
          <w:p w14:paraId="0CA628A5" w14:textId="77777777" w:rsidR="00B45351" w:rsidRPr="00576C8A" w:rsidRDefault="00B45351" w:rsidP="00842E93">
            <w:pPr>
              <w:rPr>
                <w:sz w:val="20"/>
                <w:szCs w:val="20"/>
              </w:rPr>
            </w:pPr>
          </w:p>
        </w:tc>
        <w:tc>
          <w:tcPr>
            <w:tcW w:w="3078" w:type="dxa"/>
            <w:gridSpan w:val="4"/>
            <w:tcBorders>
              <w:top w:val="single" w:sz="4" w:space="0" w:color="auto"/>
            </w:tcBorders>
            <w:vAlign w:val="center"/>
          </w:tcPr>
          <w:p w14:paraId="5D71EF32" w14:textId="77777777" w:rsidR="00B45351" w:rsidRPr="00576C8A" w:rsidRDefault="00B45351" w:rsidP="00842E93">
            <w:pPr>
              <w:rPr>
                <w:sz w:val="20"/>
                <w:szCs w:val="20"/>
              </w:rPr>
            </w:pPr>
          </w:p>
        </w:tc>
        <w:tc>
          <w:tcPr>
            <w:tcW w:w="2633" w:type="dxa"/>
            <w:gridSpan w:val="4"/>
            <w:tcBorders>
              <w:top w:val="single" w:sz="4" w:space="0" w:color="auto"/>
            </w:tcBorders>
            <w:vAlign w:val="center"/>
          </w:tcPr>
          <w:p w14:paraId="76F24646" w14:textId="77777777" w:rsidR="00B45351" w:rsidRPr="00576C8A" w:rsidRDefault="00B45351" w:rsidP="00842E93">
            <w:pPr>
              <w:rPr>
                <w:sz w:val="20"/>
                <w:szCs w:val="20"/>
              </w:rPr>
            </w:pPr>
          </w:p>
        </w:tc>
        <w:tc>
          <w:tcPr>
            <w:tcW w:w="2633" w:type="dxa"/>
            <w:gridSpan w:val="4"/>
            <w:tcBorders>
              <w:top w:val="single" w:sz="4" w:space="0" w:color="auto"/>
            </w:tcBorders>
            <w:vAlign w:val="center"/>
          </w:tcPr>
          <w:p w14:paraId="477EE7F6" w14:textId="77777777" w:rsidR="00B45351" w:rsidRPr="00576C8A" w:rsidRDefault="00B45351" w:rsidP="00842E93">
            <w:pPr>
              <w:rPr>
                <w:sz w:val="20"/>
                <w:szCs w:val="20"/>
              </w:rPr>
            </w:pPr>
          </w:p>
        </w:tc>
      </w:tr>
      <w:tr w:rsidR="00B45351" w:rsidRPr="00576C8A" w14:paraId="3D39E6C6" w14:textId="77777777" w:rsidTr="00842E93">
        <w:trPr>
          <w:trHeight w:val="227"/>
        </w:trPr>
        <w:tc>
          <w:tcPr>
            <w:tcW w:w="3671" w:type="dxa"/>
            <w:vAlign w:val="center"/>
          </w:tcPr>
          <w:p w14:paraId="08DBA42C" w14:textId="77777777" w:rsidR="00B45351" w:rsidRPr="00576C8A" w:rsidRDefault="00B45351" w:rsidP="00842E93">
            <w:pPr>
              <w:rPr>
                <w:i/>
                <w:iCs/>
                <w:sz w:val="20"/>
                <w:szCs w:val="20"/>
              </w:rPr>
            </w:pPr>
            <w:r w:rsidRPr="00576C8A">
              <w:rPr>
                <w:i/>
                <w:iCs/>
                <w:sz w:val="20"/>
                <w:szCs w:val="20"/>
              </w:rPr>
              <w:t xml:space="preserve">   R</w:t>
            </w:r>
          </w:p>
        </w:tc>
        <w:tc>
          <w:tcPr>
            <w:tcW w:w="2913" w:type="dxa"/>
            <w:gridSpan w:val="4"/>
            <w:vAlign w:val="center"/>
          </w:tcPr>
          <w:p w14:paraId="6D35DF9C" w14:textId="77777777" w:rsidR="00B45351" w:rsidRPr="00576C8A" w:rsidRDefault="00B45351" w:rsidP="00842E93">
            <w:pPr>
              <w:jc w:val="center"/>
              <w:rPr>
                <w:sz w:val="20"/>
                <w:szCs w:val="20"/>
              </w:rPr>
            </w:pPr>
            <w:r>
              <w:rPr>
                <w:sz w:val="20"/>
                <w:szCs w:val="20"/>
              </w:rPr>
              <w:t>.54</w:t>
            </w:r>
          </w:p>
        </w:tc>
        <w:tc>
          <w:tcPr>
            <w:tcW w:w="3078" w:type="dxa"/>
            <w:gridSpan w:val="4"/>
            <w:vAlign w:val="center"/>
          </w:tcPr>
          <w:p w14:paraId="46D04348" w14:textId="77777777" w:rsidR="00B45351" w:rsidRDefault="00B45351" w:rsidP="00842E93">
            <w:pPr>
              <w:jc w:val="center"/>
              <w:rPr>
                <w:sz w:val="20"/>
                <w:szCs w:val="20"/>
              </w:rPr>
            </w:pPr>
            <w:r>
              <w:rPr>
                <w:sz w:val="20"/>
                <w:szCs w:val="20"/>
              </w:rPr>
              <w:t>.59</w:t>
            </w:r>
          </w:p>
        </w:tc>
        <w:tc>
          <w:tcPr>
            <w:tcW w:w="2633" w:type="dxa"/>
            <w:gridSpan w:val="4"/>
            <w:vAlign w:val="center"/>
          </w:tcPr>
          <w:p w14:paraId="3EB1F24E" w14:textId="77777777" w:rsidR="00B45351" w:rsidRPr="00576C8A" w:rsidRDefault="00B45351" w:rsidP="00842E93">
            <w:pPr>
              <w:jc w:val="center"/>
              <w:rPr>
                <w:sz w:val="20"/>
                <w:szCs w:val="20"/>
              </w:rPr>
            </w:pPr>
            <w:r>
              <w:rPr>
                <w:sz w:val="20"/>
                <w:szCs w:val="20"/>
              </w:rPr>
              <w:t>.59</w:t>
            </w:r>
          </w:p>
        </w:tc>
        <w:tc>
          <w:tcPr>
            <w:tcW w:w="2633" w:type="dxa"/>
            <w:gridSpan w:val="4"/>
            <w:vAlign w:val="center"/>
          </w:tcPr>
          <w:p w14:paraId="4BA9694F" w14:textId="77777777" w:rsidR="00B45351" w:rsidRPr="00576C8A" w:rsidRDefault="00B45351" w:rsidP="00842E93">
            <w:pPr>
              <w:jc w:val="center"/>
              <w:rPr>
                <w:sz w:val="20"/>
                <w:szCs w:val="20"/>
              </w:rPr>
            </w:pPr>
            <w:r>
              <w:rPr>
                <w:sz w:val="20"/>
                <w:szCs w:val="20"/>
              </w:rPr>
              <w:t>.73</w:t>
            </w:r>
          </w:p>
        </w:tc>
      </w:tr>
      <w:tr w:rsidR="00B45351" w:rsidRPr="00576C8A" w14:paraId="249BF674" w14:textId="77777777" w:rsidTr="00842E93">
        <w:trPr>
          <w:trHeight w:val="227"/>
        </w:trPr>
        <w:tc>
          <w:tcPr>
            <w:tcW w:w="3671" w:type="dxa"/>
            <w:vAlign w:val="center"/>
          </w:tcPr>
          <w:p w14:paraId="7157030F" w14:textId="77777777" w:rsidR="00B45351" w:rsidRPr="00576C8A" w:rsidRDefault="00B45351" w:rsidP="00842E93">
            <w:pPr>
              <w:rPr>
                <w:i/>
                <w:iCs/>
                <w:sz w:val="20"/>
                <w:szCs w:val="20"/>
              </w:rPr>
            </w:pPr>
            <w:r w:rsidRPr="00576C8A">
              <w:rPr>
                <w:i/>
                <w:iCs/>
                <w:sz w:val="20"/>
                <w:szCs w:val="20"/>
              </w:rPr>
              <w:t xml:space="preserve">   R</w:t>
            </w:r>
            <w:r w:rsidRPr="00576C8A">
              <w:rPr>
                <w:i/>
                <w:iCs/>
                <w:sz w:val="20"/>
                <w:szCs w:val="20"/>
                <w:vertAlign w:val="superscript"/>
              </w:rPr>
              <w:t>2</w:t>
            </w:r>
          </w:p>
        </w:tc>
        <w:tc>
          <w:tcPr>
            <w:tcW w:w="2913" w:type="dxa"/>
            <w:gridSpan w:val="4"/>
            <w:vAlign w:val="center"/>
          </w:tcPr>
          <w:p w14:paraId="321D3B14" w14:textId="77777777" w:rsidR="00B45351" w:rsidRPr="00576C8A" w:rsidRDefault="00B45351" w:rsidP="00842E93">
            <w:pPr>
              <w:jc w:val="center"/>
              <w:rPr>
                <w:sz w:val="20"/>
                <w:szCs w:val="20"/>
              </w:rPr>
            </w:pPr>
            <w:r>
              <w:rPr>
                <w:sz w:val="20"/>
                <w:szCs w:val="20"/>
              </w:rPr>
              <w:t>.29</w:t>
            </w:r>
          </w:p>
        </w:tc>
        <w:tc>
          <w:tcPr>
            <w:tcW w:w="3078" w:type="dxa"/>
            <w:gridSpan w:val="4"/>
            <w:vAlign w:val="center"/>
          </w:tcPr>
          <w:p w14:paraId="26704602" w14:textId="77777777" w:rsidR="00B45351" w:rsidRDefault="00B45351" w:rsidP="00842E93">
            <w:pPr>
              <w:jc w:val="center"/>
              <w:rPr>
                <w:sz w:val="20"/>
                <w:szCs w:val="20"/>
              </w:rPr>
            </w:pPr>
            <w:r>
              <w:rPr>
                <w:sz w:val="20"/>
                <w:szCs w:val="20"/>
              </w:rPr>
              <w:t>.35</w:t>
            </w:r>
          </w:p>
        </w:tc>
        <w:tc>
          <w:tcPr>
            <w:tcW w:w="2633" w:type="dxa"/>
            <w:gridSpan w:val="4"/>
            <w:vAlign w:val="center"/>
          </w:tcPr>
          <w:p w14:paraId="3C3A891A" w14:textId="77777777" w:rsidR="00B45351" w:rsidRPr="00576C8A" w:rsidRDefault="00B45351" w:rsidP="00842E93">
            <w:pPr>
              <w:jc w:val="center"/>
              <w:rPr>
                <w:sz w:val="20"/>
                <w:szCs w:val="20"/>
              </w:rPr>
            </w:pPr>
            <w:r>
              <w:rPr>
                <w:sz w:val="20"/>
                <w:szCs w:val="20"/>
              </w:rPr>
              <w:t>.35</w:t>
            </w:r>
          </w:p>
        </w:tc>
        <w:tc>
          <w:tcPr>
            <w:tcW w:w="2633" w:type="dxa"/>
            <w:gridSpan w:val="4"/>
            <w:vAlign w:val="center"/>
          </w:tcPr>
          <w:p w14:paraId="2CAA8423" w14:textId="77777777" w:rsidR="00B45351" w:rsidRPr="00576C8A" w:rsidRDefault="00B45351" w:rsidP="00842E93">
            <w:pPr>
              <w:jc w:val="center"/>
              <w:rPr>
                <w:sz w:val="20"/>
                <w:szCs w:val="20"/>
              </w:rPr>
            </w:pPr>
            <w:r>
              <w:rPr>
                <w:sz w:val="20"/>
                <w:szCs w:val="20"/>
              </w:rPr>
              <w:t>.54</w:t>
            </w:r>
          </w:p>
        </w:tc>
      </w:tr>
      <w:tr w:rsidR="00B45351" w:rsidRPr="00576C8A" w14:paraId="6220348C" w14:textId="77777777" w:rsidTr="00842E93">
        <w:trPr>
          <w:trHeight w:val="227"/>
        </w:trPr>
        <w:tc>
          <w:tcPr>
            <w:tcW w:w="3671" w:type="dxa"/>
            <w:vAlign w:val="center"/>
          </w:tcPr>
          <w:p w14:paraId="0E4A7B6A" w14:textId="77777777" w:rsidR="00B45351" w:rsidRPr="00576C8A" w:rsidRDefault="00B45351" w:rsidP="00842E93">
            <w:pPr>
              <w:rPr>
                <w:sz w:val="20"/>
                <w:szCs w:val="20"/>
              </w:rPr>
            </w:pPr>
            <w:r w:rsidRPr="00576C8A">
              <w:rPr>
                <w:sz w:val="20"/>
                <w:szCs w:val="20"/>
              </w:rPr>
              <w:t xml:space="preserve">   Adjusted </w:t>
            </w:r>
            <w:r w:rsidRPr="00576C8A">
              <w:rPr>
                <w:i/>
                <w:iCs/>
                <w:sz w:val="20"/>
                <w:szCs w:val="20"/>
              </w:rPr>
              <w:t>R</w:t>
            </w:r>
            <w:r w:rsidRPr="00576C8A">
              <w:rPr>
                <w:i/>
                <w:iCs/>
                <w:sz w:val="20"/>
                <w:szCs w:val="20"/>
                <w:vertAlign w:val="superscript"/>
              </w:rPr>
              <w:t>2</w:t>
            </w:r>
          </w:p>
        </w:tc>
        <w:tc>
          <w:tcPr>
            <w:tcW w:w="2913" w:type="dxa"/>
            <w:gridSpan w:val="4"/>
            <w:vAlign w:val="center"/>
          </w:tcPr>
          <w:p w14:paraId="5A6D389E" w14:textId="77777777" w:rsidR="00B45351" w:rsidRPr="00576C8A" w:rsidRDefault="00B45351" w:rsidP="00842E93">
            <w:pPr>
              <w:jc w:val="center"/>
              <w:rPr>
                <w:sz w:val="20"/>
                <w:szCs w:val="20"/>
              </w:rPr>
            </w:pPr>
            <w:r>
              <w:rPr>
                <w:sz w:val="20"/>
                <w:szCs w:val="20"/>
              </w:rPr>
              <w:t>.28</w:t>
            </w:r>
          </w:p>
        </w:tc>
        <w:tc>
          <w:tcPr>
            <w:tcW w:w="3078" w:type="dxa"/>
            <w:gridSpan w:val="4"/>
            <w:vAlign w:val="center"/>
          </w:tcPr>
          <w:p w14:paraId="2B21FE8F" w14:textId="77777777" w:rsidR="00B45351" w:rsidRDefault="00B45351" w:rsidP="00842E93">
            <w:pPr>
              <w:jc w:val="center"/>
              <w:rPr>
                <w:sz w:val="20"/>
                <w:szCs w:val="20"/>
              </w:rPr>
            </w:pPr>
            <w:r>
              <w:rPr>
                <w:sz w:val="20"/>
                <w:szCs w:val="20"/>
              </w:rPr>
              <w:t>.34</w:t>
            </w:r>
          </w:p>
        </w:tc>
        <w:tc>
          <w:tcPr>
            <w:tcW w:w="2633" w:type="dxa"/>
            <w:gridSpan w:val="4"/>
            <w:vAlign w:val="center"/>
          </w:tcPr>
          <w:p w14:paraId="522F82C6" w14:textId="77777777" w:rsidR="00B45351" w:rsidRPr="00576C8A" w:rsidRDefault="00B45351" w:rsidP="00842E93">
            <w:pPr>
              <w:jc w:val="center"/>
              <w:rPr>
                <w:sz w:val="20"/>
                <w:szCs w:val="20"/>
              </w:rPr>
            </w:pPr>
            <w:r>
              <w:rPr>
                <w:sz w:val="20"/>
                <w:szCs w:val="20"/>
              </w:rPr>
              <w:t>.34</w:t>
            </w:r>
          </w:p>
        </w:tc>
        <w:tc>
          <w:tcPr>
            <w:tcW w:w="2633" w:type="dxa"/>
            <w:gridSpan w:val="4"/>
            <w:vAlign w:val="center"/>
          </w:tcPr>
          <w:p w14:paraId="03B8C312" w14:textId="77777777" w:rsidR="00B45351" w:rsidRPr="00576C8A" w:rsidRDefault="00B45351" w:rsidP="00842E93">
            <w:pPr>
              <w:jc w:val="center"/>
              <w:rPr>
                <w:sz w:val="20"/>
                <w:szCs w:val="20"/>
              </w:rPr>
            </w:pPr>
            <w:r>
              <w:rPr>
                <w:sz w:val="20"/>
                <w:szCs w:val="20"/>
              </w:rPr>
              <w:t>.54</w:t>
            </w:r>
          </w:p>
        </w:tc>
      </w:tr>
      <w:tr w:rsidR="00B45351" w:rsidRPr="00576C8A" w14:paraId="017D2BEE" w14:textId="77777777" w:rsidTr="00842E93">
        <w:trPr>
          <w:trHeight w:val="227"/>
        </w:trPr>
        <w:tc>
          <w:tcPr>
            <w:tcW w:w="3671" w:type="dxa"/>
            <w:tcBorders>
              <w:bottom w:val="single" w:sz="4" w:space="0" w:color="auto"/>
            </w:tcBorders>
            <w:vAlign w:val="center"/>
          </w:tcPr>
          <w:p w14:paraId="088CC2BE" w14:textId="77777777" w:rsidR="00B45351" w:rsidRPr="00576C8A" w:rsidRDefault="00B45351" w:rsidP="00842E93">
            <w:pPr>
              <w:rPr>
                <w:i/>
                <w:iCs/>
                <w:sz w:val="20"/>
                <w:szCs w:val="20"/>
              </w:rPr>
            </w:pPr>
            <w:r w:rsidRPr="00576C8A">
              <w:rPr>
                <w:i/>
                <w:iCs/>
                <w:sz w:val="20"/>
                <w:szCs w:val="20"/>
              </w:rPr>
              <w:t xml:space="preserve">   p</w:t>
            </w:r>
          </w:p>
        </w:tc>
        <w:tc>
          <w:tcPr>
            <w:tcW w:w="2913" w:type="dxa"/>
            <w:gridSpan w:val="4"/>
            <w:tcBorders>
              <w:bottom w:val="single" w:sz="4" w:space="0" w:color="auto"/>
            </w:tcBorders>
            <w:vAlign w:val="center"/>
          </w:tcPr>
          <w:p w14:paraId="1B17AB5F" w14:textId="77777777" w:rsidR="00B45351" w:rsidRPr="00576C8A" w:rsidRDefault="00B45351" w:rsidP="00842E93">
            <w:pPr>
              <w:jc w:val="center"/>
              <w:rPr>
                <w:sz w:val="20"/>
                <w:szCs w:val="20"/>
              </w:rPr>
            </w:pPr>
            <w:r>
              <w:rPr>
                <w:sz w:val="20"/>
                <w:szCs w:val="20"/>
              </w:rPr>
              <w:t>&lt;.001</w:t>
            </w:r>
          </w:p>
        </w:tc>
        <w:tc>
          <w:tcPr>
            <w:tcW w:w="3078" w:type="dxa"/>
            <w:gridSpan w:val="4"/>
            <w:tcBorders>
              <w:bottom w:val="single" w:sz="4" w:space="0" w:color="auto"/>
            </w:tcBorders>
            <w:vAlign w:val="center"/>
          </w:tcPr>
          <w:p w14:paraId="761625C3" w14:textId="77777777" w:rsidR="00B45351" w:rsidRPr="00576C8A" w:rsidRDefault="00B45351" w:rsidP="00842E93">
            <w:pPr>
              <w:jc w:val="center"/>
              <w:rPr>
                <w:sz w:val="20"/>
                <w:szCs w:val="20"/>
              </w:rPr>
            </w:pPr>
            <w:r>
              <w:rPr>
                <w:sz w:val="20"/>
                <w:szCs w:val="20"/>
              </w:rPr>
              <w:t>&lt;.001</w:t>
            </w:r>
          </w:p>
        </w:tc>
        <w:tc>
          <w:tcPr>
            <w:tcW w:w="2633" w:type="dxa"/>
            <w:gridSpan w:val="4"/>
            <w:tcBorders>
              <w:bottom w:val="single" w:sz="4" w:space="0" w:color="auto"/>
            </w:tcBorders>
            <w:vAlign w:val="center"/>
          </w:tcPr>
          <w:p w14:paraId="4AB3AA44" w14:textId="77777777" w:rsidR="00B45351" w:rsidRPr="00576C8A" w:rsidRDefault="00B45351" w:rsidP="00842E93">
            <w:pPr>
              <w:jc w:val="center"/>
              <w:rPr>
                <w:sz w:val="20"/>
                <w:szCs w:val="20"/>
              </w:rPr>
            </w:pPr>
            <w:r>
              <w:rPr>
                <w:sz w:val="20"/>
                <w:szCs w:val="20"/>
              </w:rPr>
              <w:t>&lt;.001</w:t>
            </w:r>
          </w:p>
        </w:tc>
        <w:tc>
          <w:tcPr>
            <w:tcW w:w="2633" w:type="dxa"/>
            <w:gridSpan w:val="4"/>
            <w:tcBorders>
              <w:bottom w:val="single" w:sz="4" w:space="0" w:color="auto"/>
            </w:tcBorders>
            <w:vAlign w:val="center"/>
          </w:tcPr>
          <w:p w14:paraId="6997D96D" w14:textId="77777777" w:rsidR="00B45351" w:rsidRPr="00576C8A" w:rsidRDefault="00B45351" w:rsidP="00842E93">
            <w:pPr>
              <w:jc w:val="center"/>
              <w:rPr>
                <w:sz w:val="20"/>
                <w:szCs w:val="20"/>
              </w:rPr>
            </w:pPr>
            <w:r>
              <w:rPr>
                <w:sz w:val="20"/>
                <w:szCs w:val="20"/>
              </w:rPr>
              <w:t>&lt;.001</w:t>
            </w:r>
          </w:p>
        </w:tc>
      </w:tr>
      <w:tr w:rsidR="00B45351" w:rsidRPr="00576C8A" w14:paraId="4B6DF4AB" w14:textId="77777777" w:rsidTr="00842E93">
        <w:trPr>
          <w:trHeight w:val="227"/>
        </w:trPr>
        <w:tc>
          <w:tcPr>
            <w:tcW w:w="3671" w:type="dxa"/>
            <w:tcBorders>
              <w:top w:val="single" w:sz="4" w:space="0" w:color="auto"/>
              <w:bottom w:val="single" w:sz="4" w:space="0" w:color="auto"/>
            </w:tcBorders>
            <w:vAlign w:val="center"/>
          </w:tcPr>
          <w:p w14:paraId="3A0AEA35" w14:textId="77777777" w:rsidR="00B45351" w:rsidRPr="00576C8A" w:rsidRDefault="00B45351" w:rsidP="00842E93">
            <w:pPr>
              <w:rPr>
                <w:b/>
                <w:bCs/>
                <w:sz w:val="20"/>
                <w:szCs w:val="20"/>
              </w:rPr>
            </w:pPr>
            <w:r>
              <w:rPr>
                <w:b/>
                <w:bCs/>
                <w:sz w:val="20"/>
                <w:szCs w:val="20"/>
              </w:rPr>
              <w:t xml:space="preserve">Significant </w:t>
            </w:r>
            <w:r w:rsidRPr="00576C8A">
              <w:rPr>
                <w:b/>
                <w:bCs/>
                <w:sz w:val="20"/>
                <w:szCs w:val="20"/>
              </w:rPr>
              <w:t>Predictors</w:t>
            </w:r>
          </w:p>
        </w:tc>
        <w:tc>
          <w:tcPr>
            <w:tcW w:w="766" w:type="dxa"/>
            <w:tcBorders>
              <w:top w:val="single" w:sz="4" w:space="0" w:color="auto"/>
              <w:bottom w:val="single" w:sz="4" w:space="0" w:color="auto"/>
            </w:tcBorders>
            <w:vAlign w:val="center"/>
          </w:tcPr>
          <w:p w14:paraId="4FC7B531" w14:textId="77777777" w:rsidR="00B45351" w:rsidRPr="00576C8A" w:rsidRDefault="00B45351" w:rsidP="00842E93">
            <w:pPr>
              <w:jc w:val="center"/>
              <w:rPr>
                <w:sz w:val="20"/>
                <w:szCs w:val="20"/>
              </w:rPr>
            </w:pPr>
            <w:r w:rsidRPr="00576C8A">
              <w:rPr>
                <w:sz w:val="20"/>
                <w:szCs w:val="20"/>
              </w:rPr>
              <w:t>B</w:t>
            </w:r>
          </w:p>
        </w:tc>
        <w:tc>
          <w:tcPr>
            <w:tcW w:w="633" w:type="dxa"/>
            <w:tcBorders>
              <w:top w:val="single" w:sz="4" w:space="0" w:color="auto"/>
              <w:bottom w:val="single" w:sz="4" w:space="0" w:color="auto"/>
            </w:tcBorders>
            <w:vAlign w:val="center"/>
          </w:tcPr>
          <w:p w14:paraId="3B7EF81C" w14:textId="77777777" w:rsidR="00B45351" w:rsidRPr="00576C8A" w:rsidRDefault="00B45351" w:rsidP="00842E93">
            <w:pPr>
              <w:jc w:val="center"/>
              <w:rPr>
                <w:i/>
                <w:iCs/>
                <w:sz w:val="20"/>
                <w:szCs w:val="20"/>
              </w:rPr>
            </w:pPr>
            <w:r w:rsidRPr="00576C8A">
              <w:rPr>
                <w:i/>
                <w:iCs/>
                <w:sz w:val="20"/>
                <w:szCs w:val="20"/>
              </w:rPr>
              <w:t>β</w:t>
            </w:r>
          </w:p>
        </w:tc>
        <w:tc>
          <w:tcPr>
            <w:tcW w:w="733" w:type="dxa"/>
            <w:tcBorders>
              <w:top w:val="single" w:sz="4" w:space="0" w:color="auto"/>
              <w:bottom w:val="single" w:sz="4" w:space="0" w:color="auto"/>
            </w:tcBorders>
            <w:vAlign w:val="center"/>
          </w:tcPr>
          <w:p w14:paraId="110125D0" w14:textId="77777777" w:rsidR="00B45351" w:rsidRPr="00576C8A" w:rsidRDefault="00B45351" w:rsidP="00842E93">
            <w:pPr>
              <w:jc w:val="center"/>
              <w:rPr>
                <w:i/>
                <w:iCs/>
                <w:sz w:val="20"/>
                <w:szCs w:val="20"/>
              </w:rPr>
            </w:pPr>
            <w:r w:rsidRPr="00576C8A">
              <w:rPr>
                <w:i/>
                <w:iCs/>
                <w:sz w:val="20"/>
                <w:szCs w:val="20"/>
              </w:rPr>
              <w:t>t</w:t>
            </w:r>
          </w:p>
        </w:tc>
        <w:tc>
          <w:tcPr>
            <w:tcW w:w="781" w:type="dxa"/>
            <w:tcBorders>
              <w:top w:val="single" w:sz="4" w:space="0" w:color="auto"/>
              <w:bottom w:val="single" w:sz="4" w:space="0" w:color="auto"/>
            </w:tcBorders>
            <w:vAlign w:val="center"/>
          </w:tcPr>
          <w:p w14:paraId="741455A8" w14:textId="77777777" w:rsidR="00B45351" w:rsidRPr="00576C8A" w:rsidRDefault="00B45351" w:rsidP="00842E93">
            <w:pPr>
              <w:jc w:val="center"/>
              <w:rPr>
                <w:i/>
                <w:iCs/>
                <w:sz w:val="20"/>
                <w:szCs w:val="20"/>
              </w:rPr>
            </w:pPr>
            <w:r w:rsidRPr="00576C8A">
              <w:rPr>
                <w:i/>
                <w:iCs/>
                <w:sz w:val="20"/>
                <w:szCs w:val="20"/>
              </w:rPr>
              <w:t>p</w:t>
            </w:r>
          </w:p>
        </w:tc>
        <w:tc>
          <w:tcPr>
            <w:tcW w:w="733" w:type="dxa"/>
            <w:tcBorders>
              <w:top w:val="single" w:sz="4" w:space="0" w:color="auto"/>
              <w:bottom w:val="single" w:sz="4" w:space="0" w:color="auto"/>
            </w:tcBorders>
            <w:vAlign w:val="center"/>
          </w:tcPr>
          <w:p w14:paraId="4B26F79B" w14:textId="77777777" w:rsidR="00B45351" w:rsidRPr="00576C8A" w:rsidRDefault="00B45351" w:rsidP="00842E93">
            <w:pPr>
              <w:jc w:val="center"/>
              <w:rPr>
                <w:sz w:val="20"/>
                <w:szCs w:val="20"/>
              </w:rPr>
            </w:pPr>
            <w:r w:rsidRPr="00576C8A">
              <w:rPr>
                <w:sz w:val="20"/>
                <w:szCs w:val="20"/>
              </w:rPr>
              <w:t>B</w:t>
            </w:r>
          </w:p>
        </w:tc>
        <w:tc>
          <w:tcPr>
            <w:tcW w:w="733" w:type="dxa"/>
            <w:tcBorders>
              <w:top w:val="single" w:sz="4" w:space="0" w:color="auto"/>
              <w:bottom w:val="single" w:sz="4" w:space="0" w:color="auto"/>
            </w:tcBorders>
            <w:vAlign w:val="center"/>
          </w:tcPr>
          <w:p w14:paraId="30F5CC9A" w14:textId="77777777" w:rsidR="00B45351" w:rsidRPr="00576C8A" w:rsidRDefault="00B45351" w:rsidP="00842E93">
            <w:pPr>
              <w:jc w:val="center"/>
              <w:rPr>
                <w:sz w:val="20"/>
                <w:szCs w:val="20"/>
              </w:rPr>
            </w:pPr>
            <w:r w:rsidRPr="00576C8A">
              <w:rPr>
                <w:i/>
                <w:iCs/>
                <w:sz w:val="20"/>
                <w:szCs w:val="20"/>
              </w:rPr>
              <w:t>β</w:t>
            </w:r>
          </w:p>
        </w:tc>
        <w:tc>
          <w:tcPr>
            <w:tcW w:w="833" w:type="dxa"/>
            <w:tcBorders>
              <w:top w:val="single" w:sz="4" w:space="0" w:color="auto"/>
              <w:bottom w:val="single" w:sz="4" w:space="0" w:color="auto"/>
            </w:tcBorders>
            <w:vAlign w:val="center"/>
          </w:tcPr>
          <w:p w14:paraId="60B6FADF" w14:textId="77777777" w:rsidR="00B45351" w:rsidRPr="00576C8A" w:rsidRDefault="00B45351" w:rsidP="00842E93">
            <w:pPr>
              <w:jc w:val="center"/>
              <w:rPr>
                <w:sz w:val="20"/>
                <w:szCs w:val="20"/>
              </w:rPr>
            </w:pPr>
            <w:r w:rsidRPr="00576C8A">
              <w:rPr>
                <w:i/>
                <w:iCs/>
                <w:sz w:val="20"/>
                <w:szCs w:val="20"/>
              </w:rPr>
              <w:t>t</w:t>
            </w:r>
          </w:p>
        </w:tc>
        <w:tc>
          <w:tcPr>
            <w:tcW w:w="779" w:type="dxa"/>
            <w:tcBorders>
              <w:top w:val="single" w:sz="4" w:space="0" w:color="auto"/>
              <w:bottom w:val="single" w:sz="4" w:space="0" w:color="auto"/>
            </w:tcBorders>
            <w:vAlign w:val="center"/>
          </w:tcPr>
          <w:p w14:paraId="66C32F6D" w14:textId="77777777" w:rsidR="00B45351" w:rsidRPr="00576C8A" w:rsidRDefault="00B45351" w:rsidP="00842E93">
            <w:pPr>
              <w:jc w:val="center"/>
              <w:rPr>
                <w:sz w:val="20"/>
                <w:szCs w:val="20"/>
              </w:rPr>
            </w:pPr>
            <w:r w:rsidRPr="00576C8A">
              <w:rPr>
                <w:i/>
                <w:iCs/>
                <w:sz w:val="20"/>
                <w:szCs w:val="20"/>
              </w:rPr>
              <w:t>p</w:t>
            </w:r>
          </w:p>
        </w:tc>
        <w:tc>
          <w:tcPr>
            <w:tcW w:w="633" w:type="dxa"/>
            <w:tcBorders>
              <w:top w:val="single" w:sz="4" w:space="0" w:color="auto"/>
              <w:bottom w:val="single" w:sz="4" w:space="0" w:color="auto"/>
            </w:tcBorders>
            <w:vAlign w:val="center"/>
          </w:tcPr>
          <w:p w14:paraId="68FF5072" w14:textId="77777777" w:rsidR="00B45351" w:rsidRPr="00576C8A" w:rsidRDefault="00B45351" w:rsidP="00842E93">
            <w:pPr>
              <w:jc w:val="center"/>
              <w:rPr>
                <w:sz w:val="20"/>
                <w:szCs w:val="20"/>
              </w:rPr>
            </w:pPr>
            <w:r w:rsidRPr="00576C8A">
              <w:rPr>
                <w:sz w:val="20"/>
                <w:szCs w:val="20"/>
              </w:rPr>
              <w:t>B</w:t>
            </w:r>
          </w:p>
        </w:tc>
        <w:tc>
          <w:tcPr>
            <w:tcW w:w="533" w:type="dxa"/>
            <w:tcBorders>
              <w:top w:val="single" w:sz="4" w:space="0" w:color="auto"/>
              <w:bottom w:val="single" w:sz="4" w:space="0" w:color="auto"/>
            </w:tcBorders>
            <w:vAlign w:val="center"/>
          </w:tcPr>
          <w:p w14:paraId="25BE1C2D" w14:textId="77777777" w:rsidR="00B45351" w:rsidRPr="00576C8A" w:rsidRDefault="00B45351" w:rsidP="00842E93">
            <w:pPr>
              <w:jc w:val="center"/>
              <w:rPr>
                <w:sz w:val="20"/>
                <w:szCs w:val="20"/>
              </w:rPr>
            </w:pPr>
            <w:r w:rsidRPr="00576C8A">
              <w:rPr>
                <w:i/>
                <w:iCs/>
                <w:sz w:val="20"/>
                <w:szCs w:val="20"/>
              </w:rPr>
              <w:t>β</w:t>
            </w:r>
          </w:p>
        </w:tc>
        <w:tc>
          <w:tcPr>
            <w:tcW w:w="666" w:type="dxa"/>
            <w:tcBorders>
              <w:top w:val="single" w:sz="4" w:space="0" w:color="auto"/>
              <w:bottom w:val="single" w:sz="4" w:space="0" w:color="auto"/>
            </w:tcBorders>
            <w:vAlign w:val="center"/>
          </w:tcPr>
          <w:p w14:paraId="094BC05E" w14:textId="77777777" w:rsidR="00B45351" w:rsidRPr="00576C8A" w:rsidRDefault="00B45351" w:rsidP="00842E93">
            <w:pPr>
              <w:jc w:val="center"/>
              <w:rPr>
                <w:sz w:val="20"/>
                <w:szCs w:val="20"/>
              </w:rPr>
            </w:pPr>
            <w:r w:rsidRPr="00576C8A">
              <w:rPr>
                <w:i/>
                <w:iCs/>
                <w:sz w:val="20"/>
                <w:szCs w:val="20"/>
              </w:rPr>
              <w:t>t</w:t>
            </w:r>
          </w:p>
        </w:tc>
        <w:tc>
          <w:tcPr>
            <w:tcW w:w="801" w:type="dxa"/>
            <w:tcBorders>
              <w:top w:val="single" w:sz="4" w:space="0" w:color="auto"/>
              <w:bottom w:val="single" w:sz="4" w:space="0" w:color="auto"/>
            </w:tcBorders>
            <w:vAlign w:val="center"/>
          </w:tcPr>
          <w:p w14:paraId="3A1F9DB5" w14:textId="77777777" w:rsidR="00B45351" w:rsidRPr="00576C8A" w:rsidRDefault="00B45351" w:rsidP="00842E93">
            <w:pPr>
              <w:jc w:val="center"/>
              <w:rPr>
                <w:sz w:val="20"/>
                <w:szCs w:val="20"/>
              </w:rPr>
            </w:pPr>
            <w:r w:rsidRPr="00576C8A">
              <w:rPr>
                <w:i/>
                <w:iCs/>
                <w:sz w:val="20"/>
                <w:szCs w:val="20"/>
              </w:rPr>
              <w:t>p</w:t>
            </w:r>
          </w:p>
        </w:tc>
        <w:tc>
          <w:tcPr>
            <w:tcW w:w="633" w:type="dxa"/>
            <w:tcBorders>
              <w:top w:val="single" w:sz="4" w:space="0" w:color="auto"/>
              <w:bottom w:val="single" w:sz="4" w:space="0" w:color="auto"/>
            </w:tcBorders>
            <w:vAlign w:val="center"/>
          </w:tcPr>
          <w:p w14:paraId="69F1EE23" w14:textId="77777777" w:rsidR="00B45351" w:rsidRPr="00576C8A" w:rsidRDefault="00B45351" w:rsidP="00842E93">
            <w:pPr>
              <w:jc w:val="center"/>
              <w:rPr>
                <w:sz w:val="20"/>
                <w:szCs w:val="20"/>
              </w:rPr>
            </w:pPr>
            <w:r w:rsidRPr="00576C8A">
              <w:rPr>
                <w:sz w:val="20"/>
                <w:szCs w:val="20"/>
              </w:rPr>
              <w:t>B</w:t>
            </w:r>
          </w:p>
        </w:tc>
        <w:tc>
          <w:tcPr>
            <w:tcW w:w="533" w:type="dxa"/>
            <w:tcBorders>
              <w:top w:val="single" w:sz="4" w:space="0" w:color="auto"/>
              <w:bottom w:val="single" w:sz="4" w:space="0" w:color="auto"/>
            </w:tcBorders>
            <w:vAlign w:val="center"/>
          </w:tcPr>
          <w:p w14:paraId="01499633" w14:textId="77777777" w:rsidR="00B45351" w:rsidRPr="00576C8A" w:rsidRDefault="00B45351" w:rsidP="00842E93">
            <w:pPr>
              <w:jc w:val="center"/>
              <w:rPr>
                <w:sz w:val="20"/>
                <w:szCs w:val="20"/>
              </w:rPr>
            </w:pPr>
            <w:r w:rsidRPr="00576C8A">
              <w:rPr>
                <w:i/>
                <w:iCs/>
                <w:sz w:val="20"/>
                <w:szCs w:val="20"/>
              </w:rPr>
              <w:t>β</w:t>
            </w:r>
          </w:p>
        </w:tc>
        <w:tc>
          <w:tcPr>
            <w:tcW w:w="666" w:type="dxa"/>
            <w:tcBorders>
              <w:top w:val="single" w:sz="4" w:space="0" w:color="auto"/>
              <w:bottom w:val="single" w:sz="4" w:space="0" w:color="auto"/>
            </w:tcBorders>
            <w:vAlign w:val="center"/>
          </w:tcPr>
          <w:p w14:paraId="7F13E210" w14:textId="77777777" w:rsidR="00B45351" w:rsidRPr="00576C8A" w:rsidRDefault="00B45351" w:rsidP="00842E93">
            <w:pPr>
              <w:jc w:val="center"/>
              <w:rPr>
                <w:sz w:val="20"/>
                <w:szCs w:val="20"/>
              </w:rPr>
            </w:pPr>
            <w:r w:rsidRPr="00576C8A">
              <w:rPr>
                <w:i/>
                <w:iCs/>
                <w:sz w:val="20"/>
                <w:szCs w:val="20"/>
              </w:rPr>
              <w:t>t</w:t>
            </w:r>
          </w:p>
        </w:tc>
        <w:tc>
          <w:tcPr>
            <w:tcW w:w="801" w:type="dxa"/>
            <w:tcBorders>
              <w:top w:val="single" w:sz="4" w:space="0" w:color="auto"/>
              <w:bottom w:val="single" w:sz="4" w:space="0" w:color="auto"/>
            </w:tcBorders>
            <w:vAlign w:val="center"/>
          </w:tcPr>
          <w:p w14:paraId="38D48137" w14:textId="77777777" w:rsidR="00B45351" w:rsidRPr="00576C8A" w:rsidRDefault="00B45351" w:rsidP="00842E93">
            <w:pPr>
              <w:jc w:val="center"/>
              <w:rPr>
                <w:sz w:val="20"/>
                <w:szCs w:val="20"/>
              </w:rPr>
            </w:pPr>
            <w:r w:rsidRPr="00576C8A">
              <w:rPr>
                <w:i/>
                <w:iCs/>
                <w:sz w:val="20"/>
                <w:szCs w:val="20"/>
              </w:rPr>
              <w:t>p</w:t>
            </w:r>
          </w:p>
        </w:tc>
      </w:tr>
      <w:tr w:rsidR="00B45351" w:rsidRPr="00576C8A" w14:paraId="41922DE8" w14:textId="77777777" w:rsidTr="00842E93">
        <w:trPr>
          <w:trHeight w:val="227"/>
        </w:trPr>
        <w:tc>
          <w:tcPr>
            <w:tcW w:w="3671" w:type="dxa"/>
            <w:tcBorders>
              <w:top w:val="single" w:sz="4" w:space="0" w:color="auto"/>
            </w:tcBorders>
            <w:vAlign w:val="center"/>
          </w:tcPr>
          <w:p w14:paraId="54502E38" w14:textId="77777777" w:rsidR="00B45351" w:rsidRDefault="00B45351" w:rsidP="00842E93">
            <w:pPr>
              <w:rPr>
                <w:b/>
                <w:bCs/>
                <w:sz w:val="20"/>
                <w:szCs w:val="20"/>
              </w:rPr>
            </w:pPr>
            <w:r>
              <w:rPr>
                <w:sz w:val="20"/>
                <w:szCs w:val="20"/>
              </w:rPr>
              <w:t xml:space="preserve">   </w:t>
            </w:r>
            <w:r>
              <w:rPr>
                <w:i/>
                <w:iCs/>
                <w:sz w:val="20"/>
                <w:szCs w:val="20"/>
              </w:rPr>
              <w:t>(Constant)</w:t>
            </w:r>
          </w:p>
        </w:tc>
        <w:tc>
          <w:tcPr>
            <w:tcW w:w="766" w:type="dxa"/>
            <w:tcBorders>
              <w:top w:val="single" w:sz="4" w:space="0" w:color="auto"/>
            </w:tcBorders>
            <w:vAlign w:val="center"/>
          </w:tcPr>
          <w:p w14:paraId="2309FBFA" w14:textId="77777777" w:rsidR="00B45351" w:rsidRPr="00576C8A" w:rsidRDefault="00B45351" w:rsidP="00842E93">
            <w:pPr>
              <w:jc w:val="center"/>
              <w:rPr>
                <w:sz w:val="20"/>
                <w:szCs w:val="20"/>
              </w:rPr>
            </w:pPr>
            <w:r>
              <w:rPr>
                <w:i/>
                <w:iCs/>
                <w:sz w:val="20"/>
                <w:szCs w:val="20"/>
              </w:rPr>
              <w:t>15.72</w:t>
            </w:r>
          </w:p>
        </w:tc>
        <w:tc>
          <w:tcPr>
            <w:tcW w:w="633" w:type="dxa"/>
            <w:tcBorders>
              <w:top w:val="single" w:sz="4" w:space="0" w:color="auto"/>
            </w:tcBorders>
            <w:vAlign w:val="center"/>
          </w:tcPr>
          <w:p w14:paraId="5114734C" w14:textId="77777777" w:rsidR="00B45351" w:rsidRPr="00576C8A" w:rsidRDefault="00B45351" w:rsidP="00842E93">
            <w:pPr>
              <w:jc w:val="center"/>
              <w:rPr>
                <w:i/>
                <w:iCs/>
                <w:sz w:val="20"/>
                <w:szCs w:val="20"/>
              </w:rPr>
            </w:pPr>
          </w:p>
        </w:tc>
        <w:tc>
          <w:tcPr>
            <w:tcW w:w="733" w:type="dxa"/>
            <w:tcBorders>
              <w:top w:val="single" w:sz="4" w:space="0" w:color="auto"/>
            </w:tcBorders>
            <w:vAlign w:val="center"/>
          </w:tcPr>
          <w:p w14:paraId="1897FD68" w14:textId="77777777" w:rsidR="00B45351" w:rsidRPr="00576C8A" w:rsidRDefault="00B45351" w:rsidP="00842E93">
            <w:pPr>
              <w:jc w:val="center"/>
              <w:rPr>
                <w:i/>
                <w:iCs/>
                <w:sz w:val="20"/>
                <w:szCs w:val="20"/>
              </w:rPr>
            </w:pPr>
            <w:r>
              <w:rPr>
                <w:i/>
                <w:iCs/>
                <w:sz w:val="20"/>
                <w:szCs w:val="20"/>
              </w:rPr>
              <w:t>16.42</w:t>
            </w:r>
          </w:p>
        </w:tc>
        <w:tc>
          <w:tcPr>
            <w:tcW w:w="781" w:type="dxa"/>
            <w:tcBorders>
              <w:top w:val="single" w:sz="4" w:space="0" w:color="auto"/>
            </w:tcBorders>
            <w:vAlign w:val="center"/>
          </w:tcPr>
          <w:p w14:paraId="19E14D9C" w14:textId="77777777" w:rsidR="00B45351" w:rsidRPr="00576C8A" w:rsidRDefault="00B45351" w:rsidP="00842E93">
            <w:pPr>
              <w:jc w:val="center"/>
              <w:rPr>
                <w:i/>
                <w:iCs/>
                <w:sz w:val="20"/>
                <w:szCs w:val="20"/>
              </w:rPr>
            </w:pPr>
            <w:r w:rsidRPr="005A1C3B">
              <w:rPr>
                <w:i/>
                <w:iCs/>
                <w:sz w:val="20"/>
                <w:szCs w:val="20"/>
              </w:rPr>
              <w:t>&lt;.001</w:t>
            </w:r>
          </w:p>
        </w:tc>
        <w:tc>
          <w:tcPr>
            <w:tcW w:w="733" w:type="dxa"/>
            <w:tcBorders>
              <w:top w:val="single" w:sz="4" w:space="0" w:color="auto"/>
            </w:tcBorders>
            <w:vAlign w:val="center"/>
          </w:tcPr>
          <w:p w14:paraId="736B1071" w14:textId="77777777" w:rsidR="00B45351" w:rsidRPr="005D6436" w:rsidRDefault="00B45351" w:rsidP="00842E93">
            <w:pPr>
              <w:jc w:val="center"/>
              <w:rPr>
                <w:i/>
                <w:iCs/>
                <w:sz w:val="20"/>
                <w:szCs w:val="20"/>
              </w:rPr>
            </w:pPr>
            <w:r w:rsidRPr="005D6436">
              <w:rPr>
                <w:i/>
                <w:iCs/>
                <w:sz w:val="20"/>
                <w:szCs w:val="20"/>
              </w:rPr>
              <w:t>7.86</w:t>
            </w:r>
          </w:p>
        </w:tc>
        <w:tc>
          <w:tcPr>
            <w:tcW w:w="733" w:type="dxa"/>
            <w:tcBorders>
              <w:top w:val="single" w:sz="4" w:space="0" w:color="auto"/>
            </w:tcBorders>
            <w:vAlign w:val="center"/>
          </w:tcPr>
          <w:p w14:paraId="6D62B6C9" w14:textId="77777777" w:rsidR="00B45351" w:rsidRPr="00576C8A" w:rsidRDefault="00B45351" w:rsidP="00842E93">
            <w:pPr>
              <w:jc w:val="center"/>
              <w:rPr>
                <w:i/>
                <w:iCs/>
                <w:sz w:val="20"/>
                <w:szCs w:val="20"/>
              </w:rPr>
            </w:pPr>
          </w:p>
        </w:tc>
        <w:tc>
          <w:tcPr>
            <w:tcW w:w="833" w:type="dxa"/>
            <w:tcBorders>
              <w:top w:val="single" w:sz="4" w:space="0" w:color="auto"/>
            </w:tcBorders>
            <w:vAlign w:val="center"/>
          </w:tcPr>
          <w:p w14:paraId="7F0B210C" w14:textId="77777777" w:rsidR="00B45351" w:rsidRPr="00576C8A" w:rsidRDefault="00B45351" w:rsidP="00842E93">
            <w:pPr>
              <w:jc w:val="center"/>
              <w:rPr>
                <w:i/>
                <w:iCs/>
                <w:sz w:val="20"/>
                <w:szCs w:val="20"/>
              </w:rPr>
            </w:pPr>
            <w:r>
              <w:rPr>
                <w:i/>
                <w:iCs/>
                <w:sz w:val="20"/>
                <w:szCs w:val="20"/>
              </w:rPr>
              <w:t>18.81</w:t>
            </w:r>
          </w:p>
        </w:tc>
        <w:tc>
          <w:tcPr>
            <w:tcW w:w="779" w:type="dxa"/>
            <w:tcBorders>
              <w:top w:val="single" w:sz="4" w:space="0" w:color="auto"/>
            </w:tcBorders>
            <w:vAlign w:val="center"/>
          </w:tcPr>
          <w:p w14:paraId="68FFB614" w14:textId="77777777" w:rsidR="00B45351" w:rsidRPr="00576C8A" w:rsidRDefault="00B45351" w:rsidP="00842E93">
            <w:pPr>
              <w:jc w:val="center"/>
              <w:rPr>
                <w:i/>
                <w:iCs/>
                <w:sz w:val="20"/>
                <w:szCs w:val="20"/>
              </w:rPr>
            </w:pPr>
            <w:r>
              <w:rPr>
                <w:i/>
                <w:iCs/>
                <w:sz w:val="20"/>
                <w:szCs w:val="20"/>
              </w:rPr>
              <w:t>&lt;.001</w:t>
            </w:r>
          </w:p>
        </w:tc>
        <w:tc>
          <w:tcPr>
            <w:tcW w:w="633" w:type="dxa"/>
            <w:tcBorders>
              <w:top w:val="single" w:sz="4" w:space="0" w:color="auto"/>
            </w:tcBorders>
            <w:vAlign w:val="center"/>
          </w:tcPr>
          <w:p w14:paraId="34F90CAF" w14:textId="77777777" w:rsidR="00B45351" w:rsidRPr="005D6436" w:rsidRDefault="00B45351" w:rsidP="00842E93">
            <w:pPr>
              <w:jc w:val="center"/>
              <w:rPr>
                <w:i/>
                <w:iCs/>
                <w:sz w:val="20"/>
                <w:szCs w:val="20"/>
              </w:rPr>
            </w:pPr>
            <w:r w:rsidRPr="005D6436">
              <w:rPr>
                <w:i/>
                <w:iCs/>
                <w:sz w:val="20"/>
                <w:szCs w:val="20"/>
              </w:rPr>
              <w:t>8.69</w:t>
            </w:r>
          </w:p>
        </w:tc>
        <w:tc>
          <w:tcPr>
            <w:tcW w:w="533" w:type="dxa"/>
            <w:tcBorders>
              <w:top w:val="single" w:sz="4" w:space="0" w:color="auto"/>
            </w:tcBorders>
            <w:vAlign w:val="center"/>
          </w:tcPr>
          <w:p w14:paraId="5168733C" w14:textId="77777777" w:rsidR="00B45351" w:rsidRPr="00576C8A" w:rsidRDefault="00B45351" w:rsidP="00842E93">
            <w:pPr>
              <w:jc w:val="center"/>
              <w:rPr>
                <w:i/>
                <w:iCs/>
                <w:sz w:val="20"/>
                <w:szCs w:val="20"/>
              </w:rPr>
            </w:pPr>
          </w:p>
        </w:tc>
        <w:tc>
          <w:tcPr>
            <w:tcW w:w="666" w:type="dxa"/>
            <w:tcBorders>
              <w:top w:val="single" w:sz="4" w:space="0" w:color="auto"/>
            </w:tcBorders>
            <w:vAlign w:val="center"/>
          </w:tcPr>
          <w:p w14:paraId="2F19A096" w14:textId="77777777" w:rsidR="00B45351" w:rsidRPr="00576C8A" w:rsidRDefault="00B45351" w:rsidP="00842E93">
            <w:pPr>
              <w:jc w:val="center"/>
              <w:rPr>
                <w:i/>
                <w:iCs/>
                <w:sz w:val="20"/>
                <w:szCs w:val="20"/>
              </w:rPr>
            </w:pPr>
            <w:r>
              <w:rPr>
                <w:i/>
                <w:iCs/>
                <w:sz w:val="20"/>
                <w:szCs w:val="20"/>
              </w:rPr>
              <w:t>17.29</w:t>
            </w:r>
          </w:p>
        </w:tc>
        <w:tc>
          <w:tcPr>
            <w:tcW w:w="801" w:type="dxa"/>
            <w:tcBorders>
              <w:top w:val="single" w:sz="4" w:space="0" w:color="auto"/>
            </w:tcBorders>
            <w:vAlign w:val="center"/>
          </w:tcPr>
          <w:p w14:paraId="05326187" w14:textId="77777777" w:rsidR="00B45351" w:rsidRPr="009A7A8A" w:rsidRDefault="00B45351" w:rsidP="00842E93">
            <w:pPr>
              <w:jc w:val="center"/>
              <w:rPr>
                <w:i/>
                <w:iCs/>
                <w:sz w:val="20"/>
                <w:szCs w:val="20"/>
              </w:rPr>
            </w:pPr>
            <w:r>
              <w:rPr>
                <w:i/>
                <w:iCs/>
                <w:sz w:val="20"/>
                <w:szCs w:val="20"/>
              </w:rPr>
              <w:t>&lt;.001</w:t>
            </w:r>
          </w:p>
        </w:tc>
        <w:tc>
          <w:tcPr>
            <w:tcW w:w="633" w:type="dxa"/>
            <w:tcBorders>
              <w:top w:val="single" w:sz="4" w:space="0" w:color="auto"/>
            </w:tcBorders>
            <w:vAlign w:val="center"/>
          </w:tcPr>
          <w:p w14:paraId="78D43302" w14:textId="77777777" w:rsidR="00B45351" w:rsidRPr="00E90635" w:rsidRDefault="00B45351" w:rsidP="00842E93">
            <w:pPr>
              <w:jc w:val="center"/>
              <w:rPr>
                <w:i/>
                <w:iCs/>
                <w:sz w:val="20"/>
                <w:szCs w:val="20"/>
              </w:rPr>
            </w:pPr>
            <w:r>
              <w:rPr>
                <w:i/>
                <w:iCs/>
                <w:sz w:val="20"/>
                <w:szCs w:val="20"/>
              </w:rPr>
              <w:t>.046</w:t>
            </w:r>
          </w:p>
        </w:tc>
        <w:tc>
          <w:tcPr>
            <w:tcW w:w="533" w:type="dxa"/>
            <w:tcBorders>
              <w:top w:val="single" w:sz="4" w:space="0" w:color="auto"/>
            </w:tcBorders>
            <w:vAlign w:val="center"/>
          </w:tcPr>
          <w:p w14:paraId="7FB5D20D" w14:textId="77777777" w:rsidR="00B45351" w:rsidRPr="00576C8A" w:rsidRDefault="00B45351" w:rsidP="00842E93">
            <w:pPr>
              <w:jc w:val="center"/>
              <w:rPr>
                <w:i/>
                <w:iCs/>
                <w:sz w:val="20"/>
                <w:szCs w:val="20"/>
              </w:rPr>
            </w:pPr>
          </w:p>
        </w:tc>
        <w:tc>
          <w:tcPr>
            <w:tcW w:w="666" w:type="dxa"/>
            <w:tcBorders>
              <w:top w:val="single" w:sz="4" w:space="0" w:color="auto"/>
            </w:tcBorders>
            <w:vAlign w:val="center"/>
          </w:tcPr>
          <w:p w14:paraId="7D484683" w14:textId="77777777" w:rsidR="00B45351" w:rsidRPr="00576C8A" w:rsidRDefault="00B45351" w:rsidP="00842E93">
            <w:pPr>
              <w:jc w:val="center"/>
              <w:rPr>
                <w:i/>
                <w:iCs/>
                <w:sz w:val="20"/>
                <w:szCs w:val="20"/>
              </w:rPr>
            </w:pPr>
            <w:r>
              <w:rPr>
                <w:i/>
                <w:iCs/>
                <w:sz w:val="20"/>
                <w:szCs w:val="20"/>
              </w:rPr>
              <w:t>0.15</w:t>
            </w:r>
          </w:p>
        </w:tc>
        <w:tc>
          <w:tcPr>
            <w:tcW w:w="801" w:type="dxa"/>
            <w:tcBorders>
              <w:top w:val="single" w:sz="4" w:space="0" w:color="auto"/>
            </w:tcBorders>
            <w:vAlign w:val="center"/>
          </w:tcPr>
          <w:p w14:paraId="58C6114A" w14:textId="77777777" w:rsidR="00B45351" w:rsidRPr="00576C8A" w:rsidRDefault="00B45351" w:rsidP="00842E93">
            <w:pPr>
              <w:jc w:val="center"/>
              <w:rPr>
                <w:i/>
                <w:iCs/>
                <w:sz w:val="20"/>
                <w:szCs w:val="20"/>
              </w:rPr>
            </w:pPr>
            <w:r>
              <w:rPr>
                <w:i/>
                <w:iCs/>
                <w:sz w:val="20"/>
                <w:szCs w:val="20"/>
              </w:rPr>
              <w:t>&lt;.001</w:t>
            </w:r>
          </w:p>
        </w:tc>
      </w:tr>
      <w:tr w:rsidR="00B45351" w:rsidRPr="00576C8A" w14:paraId="4269B01A" w14:textId="77777777" w:rsidTr="00842E93">
        <w:trPr>
          <w:trHeight w:val="227"/>
        </w:trPr>
        <w:tc>
          <w:tcPr>
            <w:tcW w:w="3671" w:type="dxa"/>
            <w:vAlign w:val="center"/>
          </w:tcPr>
          <w:p w14:paraId="1FF7F7F2" w14:textId="77777777" w:rsidR="00B45351" w:rsidRPr="00576C8A" w:rsidRDefault="00B45351" w:rsidP="00842E93">
            <w:pPr>
              <w:rPr>
                <w:sz w:val="20"/>
                <w:szCs w:val="20"/>
              </w:rPr>
            </w:pPr>
            <w:r w:rsidRPr="00576C8A">
              <w:rPr>
                <w:sz w:val="20"/>
                <w:szCs w:val="20"/>
              </w:rPr>
              <w:t xml:space="preserve">   Age</w:t>
            </w:r>
          </w:p>
        </w:tc>
        <w:tc>
          <w:tcPr>
            <w:tcW w:w="766" w:type="dxa"/>
            <w:vAlign w:val="center"/>
          </w:tcPr>
          <w:p w14:paraId="06EFD084" w14:textId="77777777" w:rsidR="00B45351" w:rsidRPr="00576C8A" w:rsidRDefault="00B45351" w:rsidP="00842E93">
            <w:pPr>
              <w:jc w:val="center"/>
              <w:rPr>
                <w:sz w:val="20"/>
                <w:szCs w:val="20"/>
              </w:rPr>
            </w:pPr>
            <w:r>
              <w:rPr>
                <w:sz w:val="20"/>
                <w:szCs w:val="20"/>
              </w:rPr>
              <w:t>-0.20</w:t>
            </w:r>
          </w:p>
        </w:tc>
        <w:tc>
          <w:tcPr>
            <w:tcW w:w="633" w:type="dxa"/>
            <w:vAlign w:val="center"/>
          </w:tcPr>
          <w:p w14:paraId="391F0403" w14:textId="77777777" w:rsidR="00B45351" w:rsidRPr="00576C8A" w:rsidRDefault="00B45351" w:rsidP="00842E93">
            <w:pPr>
              <w:jc w:val="center"/>
              <w:rPr>
                <w:sz w:val="20"/>
                <w:szCs w:val="20"/>
              </w:rPr>
            </w:pPr>
            <w:r>
              <w:rPr>
                <w:sz w:val="20"/>
                <w:szCs w:val="20"/>
              </w:rPr>
              <w:t>-.40</w:t>
            </w:r>
          </w:p>
        </w:tc>
        <w:tc>
          <w:tcPr>
            <w:tcW w:w="733" w:type="dxa"/>
            <w:vAlign w:val="center"/>
          </w:tcPr>
          <w:p w14:paraId="75E9B96F" w14:textId="77777777" w:rsidR="00B45351" w:rsidRPr="00576C8A" w:rsidRDefault="00B45351" w:rsidP="00842E93">
            <w:pPr>
              <w:jc w:val="center"/>
              <w:rPr>
                <w:sz w:val="20"/>
                <w:szCs w:val="20"/>
              </w:rPr>
            </w:pPr>
            <w:r>
              <w:rPr>
                <w:sz w:val="20"/>
                <w:szCs w:val="20"/>
              </w:rPr>
              <w:t>-13.83</w:t>
            </w:r>
          </w:p>
        </w:tc>
        <w:tc>
          <w:tcPr>
            <w:tcW w:w="781" w:type="dxa"/>
            <w:vAlign w:val="center"/>
          </w:tcPr>
          <w:p w14:paraId="227BC911" w14:textId="77777777" w:rsidR="00B45351" w:rsidRPr="00576C8A" w:rsidRDefault="00B45351" w:rsidP="00842E93">
            <w:pPr>
              <w:jc w:val="center"/>
              <w:rPr>
                <w:sz w:val="20"/>
                <w:szCs w:val="20"/>
              </w:rPr>
            </w:pPr>
            <w:r w:rsidRPr="00576C8A">
              <w:rPr>
                <w:sz w:val="20"/>
                <w:szCs w:val="20"/>
              </w:rPr>
              <w:t>&lt;.001</w:t>
            </w:r>
          </w:p>
        </w:tc>
        <w:tc>
          <w:tcPr>
            <w:tcW w:w="733" w:type="dxa"/>
            <w:vAlign w:val="center"/>
          </w:tcPr>
          <w:p w14:paraId="01DD60D4" w14:textId="77777777" w:rsidR="00B45351" w:rsidRPr="00576C8A" w:rsidRDefault="00B45351" w:rsidP="00842E93">
            <w:pPr>
              <w:jc w:val="center"/>
              <w:rPr>
                <w:sz w:val="20"/>
                <w:szCs w:val="20"/>
              </w:rPr>
            </w:pPr>
          </w:p>
        </w:tc>
        <w:tc>
          <w:tcPr>
            <w:tcW w:w="733" w:type="dxa"/>
            <w:vAlign w:val="center"/>
          </w:tcPr>
          <w:p w14:paraId="24D85BB7" w14:textId="77777777" w:rsidR="00B45351" w:rsidRPr="00576C8A" w:rsidRDefault="00B45351" w:rsidP="00842E93">
            <w:pPr>
              <w:jc w:val="center"/>
              <w:rPr>
                <w:sz w:val="20"/>
                <w:szCs w:val="20"/>
              </w:rPr>
            </w:pPr>
          </w:p>
        </w:tc>
        <w:tc>
          <w:tcPr>
            <w:tcW w:w="833" w:type="dxa"/>
            <w:vAlign w:val="center"/>
          </w:tcPr>
          <w:p w14:paraId="1B4345E4" w14:textId="77777777" w:rsidR="00B45351" w:rsidRPr="00576C8A" w:rsidRDefault="00B45351" w:rsidP="00842E93">
            <w:pPr>
              <w:jc w:val="center"/>
              <w:rPr>
                <w:sz w:val="20"/>
                <w:szCs w:val="20"/>
              </w:rPr>
            </w:pPr>
          </w:p>
        </w:tc>
        <w:tc>
          <w:tcPr>
            <w:tcW w:w="779" w:type="dxa"/>
            <w:vAlign w:val="center"/>
          </w:tcPr>
          <w:p w14:paraId="7EDCEE1A" w14:textId="77777777" w:rsidR="00B45351" w:rsidRPr="00576C8A" w:rsidRDefault="00B45351" w:rsidP="00842E93">
            <w:pPr>
              <w:jc w:val="center"/>
              <w:rPr>
                <w:sz w:val="20"/>
                <w:szCs w:val="20"/>
              </w:rPr>
            </w:pPr>
          </w:p>
        </w:tc>
        <w:tc>
          <w:tcPr>
            <w:tcW w:w="633" w:type="dxa"/>
            <w:vAlign w:val="center"/>
          </w:tcPr>
          <w:p w14:paraId="7CA75713" w14:textId="77777777" w:rsidR="00B45351" w:rsidRPr="00576C8A" w:rsidRDefault="00B45351" w:rsidP="00842E93">
            <w:pPr>
              <w:jc w:val="center"/>
              <w:rPr>
                <w:sz w:val="20"/>
                <w:szCs w:val="20"/>
              </w:rPr>
            </w:pPr>
          </w:p>
        </w:tc>
        <w:tc>
          <w:tcPr>
            <w:tcW w:w="533" w:type="dxa"/>
            <w:vAlign w:val="center"/>
          </w:tcPr>
          <w:p w14:paraId="3AC46904" w14:textId="77777777" w:rsidR="00B45351" w:rsidRPr="00576C8A" w:rsidRDefault="00B45351" w:rsidP="00842E93">
            <w:pPr>
              <w:jc w:val="center"/>
              <w:rPr>
                <w:sz w:val="20"/>
                <w:szCs w:val="20"/>
              </w:rPr>
            </w:pPr>
          </w:p>
        </w:tc>
        <w:tc>
          <w:tcPr>
            <w:tcW w:w="666" w:type="dxa"/>
            <w:vAlign w:val="center"/>
          </w:tcPr>
          <w:p w14:paraId="1BFD94B3" w14:textId="77777777" w:rsidR="00B45351" w:rsidRPr="00576C8A" w:rsidRDefault="00B45351" w:rsidP="00842E93">
            <w:pPr>
              <w:jc w:val="center"/>
              <w:rPr>
                <w:sz w:val="20"/>
                <w:szCs w:val="20"/>
              </w:rPr>
            </w:pPr>
          </w:p>
        </w:tc>
        <w:tc>
          <w:tcPr>
            <w:tcW w:w="801" w:type="dxa"/>
            <w:vAlign w:val="center"/>
          </w:tcPr>
          <w:p w14:paraId="6A3E4D20" w14:textId="77777777" w:rsidR="00B45351" w:rsidRPr="00576C8A" w:rsidRDefault="00B45351" w:rsidP="00842E93">
            <w:pPr>
              <w:jc w:val="center"/>
              <w:rPr>
                <w:sz w:val="20"/>
                <w:szCs w:val="20"/>
              </w:rPr>
            </w:pPr>
          </w:p>
        </w:tc>
        <w:tc>
          <w:tcPr>
            <w:tcW w:w="633" w:type="dxa"/>
            <w:vAlign w:val="center"/>
          </w:tcPr>
          <w:p w14:paraId="7321A402" w14:textId="77777777" w:rsidR="00B45351" w:rsidRPr="00576C8A" w:rsidRDefault="00B45351" w:rsidP="00842E93">
            <w:pPr>
              <w:jc w:val="center"/>
              <w:rPr>
                <w:sz w:val="20"/>
                <w:szCs w:val="20"/>
              </w:rPr>
            </w:pPr>
          </w:p>
        </w:tc>
        <w:tc>
          <w:tcPr>
            <w:tcW w:w="533" w:type="dxa"/>
            <w:vAlign w:val="center"/>
          </w:tcPr>
          <w:p w14:paraId="6C9DC354" w14:textId="77777777" w:rsidR="00B45351" w:rsidRPr="00576C8A" w:rsidRDefault="00B45351" w:rsidP="00842E93">
            <w:pPr>
              <w:jc w:val="center"/>
              <w:rPr>
                <w:sz w:val="20"/>
                <w:szCs w:val="20"/>
              </w:rPr>
            </w:pPr>
          </w:p>
        </w:tc>
        <w:tc>
          <w:tcPr>
            <w:tcW w:w="666" w:type="dxa"/>
            <w:vAlign w:val="center"/>
          </w:tcPr>
          <w:p w14:paraId="7B5B6F37" w14:textId="77777777" w:rsidR="00B45351" w:rsidRPr="00576C8A" w:rsidRDefault="00B45351" w:rsidP="00842E93">
            <w:pPr>
              <w:jc w:val="center"/>
              <w:rPr>
                <w:sz w:val="20"/>
                <w:szCs w:val="20"/>
              </w:rPr>
            </w:pPr>
          </w:p>
        </w:tc>
        <w:tc>
          <w:tcPr>
            <w:tcW w:w="801" w:type="dxa"/>
            <w:vAlign w:val="center"/>
          </w:tcPr>
          <w:p w14:paraId="7DC67B00" w14:textId="77777777" w:rsidR="00B45351" w:rsidRPr="00576C8A" w:rsidRDefault="00B45351" w:rsidP="00842E93">
            <w:pPr>
              <w:jc w:val="center"/>
              <w:rPr>
                <w:sz w:val="20"/>
                <w:szCs w:val="20"/>
              </w:rPr>
            </w:pPr>
          </w:p>
        </w:tc>
      </w:tr>
      <w:tr w:rsidR="00B45351" w:rsidRPr="00576C8A" w14:paraId="2DD7F223" w14:textId="77777777" w:rsidTr="00842E93">
        <w:trPr>
          <w:trHeight w:val="227"/>
        </w:trPr>
        <w:tc>
          <w:tcPr>
            <w:tcW w:w="3671" w:type="dxa"/>
            <w:vAlign w:val="center"/>
          </w:tcPr>
          <w:p w14:paraId="6B95AE15" w14:textId="77777777" w:rsidR="00B45351" w:rsidRPr="00576C8A" w:rsidRDefault="00B45351" w:rsidP="00842E93">
            <w:pPr>
              <w:rPr>
                <w:sz w:val="20"/>
                <w:szCs w:val="20"/>
              </w:rPr>
            </w:pPr>
            <w:r w:rsidRPr="00576C8A">
              <w:rPr>
                <w:sz w:val="20"/>
                <w:szCs w:val="20"/>
              </w:rPr>
              <w:t xml:space="preserve">   Ethnicity</w:t>
            </w:r>
          </w:p>
        </w:tc>
        <w:tc>
          <w:tcPr>
            <w:tcW w:w="766" w:type="dxa"/>
            <w:vAlign w:val="center"/>
          </w:tcPr>
          <w:p w14:paraId="68445742" w14:textId="77777777" w:rsidR="00B45351" w:rsidRPr="00576C8A" w:rsidRDefault="00B45351" w:rsidP="00842E93">
            <w:pPr>
              <w:jc w:val="center"/>
              <w:rPr>
                <w:sz w:val="20"/>
                <w:szCs w:val="20"/>
              </w:rPr>
            </w:pPr>
            <w:r>
              <w:rPr>
                <w:sz w:val="20"/>
                <w:szCs w:val="20"/>
              </w:rPr>
              <w:t>-2.55</w:t>
            </w:r>
          </w:p>
        </w:tc>
        <w:tc>
          <w:tcPr>
            <w:tcW w:w="633" w:type="dxa"/>
            <w:vAlign w:val="center"/>
          </w:tcPr>
          <w:p w14:paraId="20D47417" w14:textId="77777777" w:rsidR="00B45351" w:rsidRPr="00576C8A" w:rsidRDefault="00B45351" w:rsidP="00842E93">
            <w:pPr>
              <w:jc w:val="center"/>
              <w:rPr>
                <w:sz w:val="20"/>
                <w:szCs w:val="20"/>
              </w:rPr>
            </w:pPr>
            <w:r>
              <w:rPr>
                <w:sz w:val="20"/>
                <w:szCs w:val="20"/>
              </w:rPr>
              <w:t>-.11</w:t>
            </w:r>
          </w:p>
        </w:tc>
        <w:tc>
          <w:tcPr>
            <w:tcW w:w="733" w:type="dxa"/>
            <w:vAlign w:val="center"/>
          </w:tcPr>
          <w:p w14:paraId="11766C87" w14:textId="77777777" w:rsidR="00B45351" w:rsidRPr="00576C8A" w:rsidRDefault="00B45351" w:rsidP="00842E93">
            <w:pPr>
              <w:jc w:val="center"/>
              <w:rPr>
                <w:sz w:val="20"/>
                <w:szCs w:val="20"/>
              </w:rPr>
            </w:pPr>
            <w:r>
              <w:rPr>
                <w:sz w:val="20"/>
                <w:szCs w:val="20"/>
              </w:rPr>
              <w:t>-3.77</w:t>
            </w:r>
          </w:p>
        </w:tc>
        <w:tc>
          <w:tcPr>
            <w:tcW w:w="781" w:type="dxa"/>
            <w:vAlign w:val="center"/>
          </w:tcPr>
          <w:p w14:paraId="072E262D" w14:textId="77777777" w:rsidR="00B45351" w:rsidRPr="00576C8A" w:rsidRDefault="00B45351" w:rsidP="00842E93">
            <w:pPr>
              <w:jc w:val="center"/>
              <w:rPr>
                <w:sz w:val="20"/>
                <w:szCs w:val="20"/>
              </w:rPr>
            </w:pPr>
            <w:r w:rsidRPr="00576C8A">
              <w:rPr>
                <w:sz w:val="20"/>
                <w:szCs w:val="20"/>
              </w:rPr>
              <w:t>&lt;.001</w:t>
            </w:r>
          </w:p>
        </w:tc>
        <w:tc>
          <w:tcPr>
            <w:tcW w:w="733" w:type="dxa"/>
            <w:vAlign w:val="center"/>
          </w:tcPr>
          <w:p w14:paraId="107B497E" w14:textId="77777777" w:rsidR="00B45351" w:rsidRPr="00576C8A" w:rsidRDefault="00B45351" w:rsidP="00842E93">
            <w:pPr>
              <w:jc w:val="center"/>
              <w:rPr>
                <w:sz w:val="20"/>
                <w:szCs w:val="20"/>
              </w:rPr>
            </w:pPr>
          </w:p>
        </w:tc>
        <w:tc>
          <w:tcPr>
            <w:tcW w:w="733" w:type="dxa"/>
            <w:vAlign w:val="center"/>
          </w:tcPr>
          <w:p w14:paraId="64BF22A4" w14:textId="77777777" w:rsidR="00B45351" w:rsidRPr="00576C8A" w:rsidRDefault="00B45351" w:rsidP="00842E93">
            <w:pPr>
              <w:jc w:val="center"/>
              <w:rPr>
                <w:sz w:val="20"/>
                <w:szCs w:val="20"/>
              </w:rPr>
            </w:pPr>
          </w:p>
        </w:tc>
        <w:tc>
          <w:tcPr>
            <w:tcW w:w="833" w:type="dxa"/>
            <w:vAlign w:val="center"/>
          </w:tcPr>
          <w:p w14:paraId="13A0CC71" w14:textId="77777777" w:rsidR="00B45351" w:rsidRPr="00576C8A" w:rsidRDefault="00B45351" w:rsidP="00842E93">
            <w:pPr>
              <w:jc w:val="center"/>
              <w:rPr>
                <w:sz w:val="20"/>
                <w:szCs w:val="20"/>
              </w:rPr>
            </w:pPr>
          </w:p>
        </w:tc>
        <w:tc>
          <w:tcPr>
            <w:tcW w:w="779" w:type="dxa"/>
            <w:vAlign w:val="center"/>
          </w:tcPr>
          <w:p w14:paraId="1ACFBCE1" w14:textId="77777777" w:rsidR="00B45351" w:rsidRPr="00576C8A" w:rsidRDefault="00B45351" w:rsidP="00842E93">
            <w:pPr>
              <w:jc w:val="center"/>
              <w:rPr>
                <w:sz w:val="20"/>
                <w:szCs w:val="20"/>
              </w:rPr>
            </w:pPr>
          </w:p>
        </w:tc>
        <w:tc>
          <w:tcPr>
            <w:tcW w:w="633" w:type="dxa"/>
            <w:vAlign w:val="center"/>
          </w:tcPr>
          <w:p w14:paraId="2E8DD590" w14:textId="77777777" w:rsidR="00B45351" w:rsidRPr="00576C8A" w:rsidRDefault="00B45351" w:rsidP="00842E93">
            <w:pPr>
              <w:jc w:val="center"/>
              <w:rPr>
                <w:sz w:val="20"/>
                <w:szCs w:val="20"/>
              </w:rPr>
            </w:pPr>
          </w:p>
        </w:tc>
        <w:tc>
          <w:tcPr>
            <w:tcW w:w="533" w:type="dxa"/>
            <w:vAlign w:val="center"/>
          </w:tcPr>
          <w:p w14:paraId="1246B647" w14:textId="77777777" w:rsidR="00B45351" w:rsidRPr="00576C8A" w:rsidRDefault="00B45351" w:rsidP="00842E93">
            <w:pPr>
              <w:jc w:val="center"/>
              <w:rPr>
                <w:sz w:val="20"/>
                <w:szCs w:val="20"/>
              </w:rPr>
            </w:pPr>
          </w:p>
        </w:tc>
        <w:tc>
          <w:tcPr>
            <w:tcW w:w="666" w:type="dxa"/>
            <w:vAlign w:val="center"/>
          </w:tcPr>
          <w:p w14:paraId="3DCB87C7" w14:textId="77777777" w:rsidR="00B45351" w:rsidRPr="00576C8A" w:rsidRDefault="00B45351" w:rsidP="00842E93">
            <w:pPr>
              <w:jc w:val="center"/>
              <w:rPr>
                <w:sz w:val="20"/>
                <w:szCs w:val="20"/>
              </w:rPr>
            </w:pPr>
          </w:p>
        </w:tc>
        <w:tc>
          <w:tcPr>
            <w:tcW w:w="801" w:type="dxa"/>
            <w:vAlign w:val="center"/>
          </w:tcPr>
          <w:p w14:paraId="4424A9CB" w14:textId="77777777" w:rsidR="00B45351" w:rsidRPr="00576C8A" w:rsidRDefault="00B45351" w:rsidP="00842E93">
            <w:pPr>
              <w:jc w:val="center"/>
              <w:rPr>
                <w:sz w:val="20"/>
                <w:szCs w:val="20"/>
              </w:rPr>
            </w:pPr>
          </w:p>
        </w:tc>
        <w:tc>
          <w:tcPr>
            <w:tcW w:w="633" w:type="dxa"/>
            <w:vAlign w:val="center"/>
          </w:tcPr>
          <w:p w14:paraId="4D92BC0B" w14:textId="77777777" w:rsidR="00B45351" w:rsidRPr="00576C8A" w:rsidRDefault="00B45351" w:rsidP="00842E93">
            <w:pPr>
              <w:jc w:val="center"/>
              <w:rPr>
                <w:sz w:val="20"/>
                <w:szCs w:val="20"/>
              </w:rPr>
            </w:pPr>
          </w:p>
        </w:tc>
        <w:tc>
          <w:tcPr>
            <w:tcW w:w="533" w:type="dxa"/>
            <w:vAlign w:val="center"/>
          </w:tcPr>
          <w:p w14:paraId="1144D009" w14:textId="77777777" w:rsidR="00B45351" w:rsidRPr="00576C8A" w:rsidRDefault="00B45351" w:rsidP="00842E93">
            <w:pPr>
              <w:jc w:val="center"/>
              <w:rPr>
                <w:sz w:val="20"/>
                <w:szCs w:val="20"/>
              </w:rPr>
            </w:pPr>
          </w:p>
        </w:tc>
        <w:tc>
          <w:tcPr>
            <w:tcW w:w="666" w:type="dxa"/>
            <w:vAlign w:val="center"/>
          </w:tcPr>
          <w:p w14:paraId="17ED9B2D" w14:textId="77777777" w:rsidR="00B45351" w:rsidRPr="00576C8A" w:rsidRDefault="00B45351" w:rsidP="00842E93">
            <w:pPr>
              <w:jc w:val="center"/>
              <w:rPr>
                <w:sz w:val="20"/>
                <w:szCs w:val="20"/>
              </w:rPr>
            </w:pPr>
          </w:p>
        </w:tc>
        <w:tc>
          <w:tcPr>
            <w:tcW w:w="801" w:type="dxa"/>
            <w:vAlign w:val="center"/>
          </w:tcPr>
          <w:p w14:paraId="1166BFC7" w14:textId="77777777" w:rsidR="00B45351" w:rsidRPr="00576C8A" w:rsidRDefault="00B45351" w:rsidP="00842E93">
            <w:pPr>
              <w:jc w:val="center"/>
              <w:rPr>
                <w:sz w:val="20"/>
                <w:szCs w:val="20"/>
              </w:rPr>
            </w:pPr>
          </w:p>
        </w:tc>
      </w:tr>
      <w:tr w:rsidR="00B45351" w:rsidRPr="00576C8A" w14:paraId="7D429D4C" w14:textId="77777777" w:rsidTr="00842E93">
        <w:trPr>
          <w:trHeight w:val="227"/>
        </w:trPr>
        <w:tc>
          <w:tcPr>
            <w:tcW w:w="3671" w:type="dxa"/>
            <w:vAlign w:val="center"/>
          </w:tcPr>
          <w:p w14:paraId="5070EF12" w14:textId="77777777" w:rsidR="00B45351" w:rsidRPr="00576C8A" w:rsidRDefault="00B45351" w:rsidP="00842E93">
            <w:pPr>
              <w:rPr>
                <w:sz w:val="20"/>
                <w:szCs w:val="20"/>
              </w:rPr>
            </w:pPr>
            <w:r>
              <w:rPr>
                <w:sz w:val="20"/>
                <w:szCs w:val="20"/>
              </w:rPr>
              <w:t xml:space="preserve">   Benefits</w:t>
            </w:r>
          </w:p>
        </w:tc>
        <w:tc>
          <w:tcPr>
            <w:tcW w:w="766" w:type="dxa"/>
            <w:vAlign w:val="center"/>
          </w:tcPr>
          <w:p w14:paraId="179074E3" w14:textId="77777777" w:rsidR="00B45351" w:rsidRDefault="00B45351" w:rsidP="00842E93">
            <w:pPr>
              <w:jc w:val="center"/>
              <w:rPr>
                <w:sz w:val="20"/>
                <w:szCs w:val="20"/>
              </w:rPr>
            </w:pPr>
            <w:r>
              <w:rPr>
                <w:sz w:val="20"/>
                <w:szCs w:val="20"/>
              </w:rPr>
              <w:t>2.41</w:t>
            </w:r>
          </w:p>
        </w:tc>
        <w:tc>
          <w:tcPr>
            <w:tcW w:w="633" w:type="dxa"/>
            <w:vAlign w:val="center"/>
          </w:tcPr>
          <w:p w14:paraId="1BE0D8CC" w14:textId="77777777" w:rsidR="00B45351" w:rsidRDefault="00B45351" w:rsidP="00842E93">
            <w:pPr>
              <w:jc w:val="center"/>
              <w:rPr>
                <w:sz w:val="20"/>
                <w:szCs w:val="20"/>
              </w:rPr>
            </w:pPr>
            <w:r>
              <w:rPr>
                <w:sz w:val="20"/>
                <w:szCs w:val="20"/>
              </w:rPr>
              <w:t>.19</w:t>
            </w:r>
          </w:p>
        </w:tc>
        <w:tc>
          <w:tcPr>
            <w:tcW w:w="733" w:type="dxa"/>
            <w:vAlign w:val="center"/>
          </w:tcPr>
          <w:p w14:paraId="1BE9C3A8" w14:textId="77777777" w:rsidR="00B45351" w:rsidRDefault="00B45351" w:rsidP="00842E93">
            <w:pPr>
              <w:jc w:val="center"/>
              <w:rPr>
                <w:sz w:val="20"/>
                <w:szCs w:val="20"/>
              </w:rPr>
            </w:pPr>
            <w:r>
              <w:rPr>
                <w:sz w:val="20"/>
                <w:szCs w:val="20"/>
              </w:rPr>
              <w:t>6.71</w:t>
            </w:r>
          </w:p>
        </w:tc>
        <w:tc>
          <w:tcPr>
            <w:tcW w:w="781" w:type="dxa"/>
            <w:vAlign w:val="center"/>
          </w:tcPr>
          <w:p w14:paraId="7203CAB0" w14:textId="77777777" w:rsidR="00B45351" w:rsidRDefault="00B45351" w:rsidP="00842E93">
            <w:pPr>
              <w:jc w:val="center"/>
              <w:rPr>
                <w:sz w:val="20"/>
                <w:szCs w:val="20"/>
              </w:rPr>
            </w:pPr>
            <w:r w:rsidRPr="00576C8A">
              <w:rPr>
                <w:sz w:val="20"/>
                <w:szCs w:val="20"/>
              </w:rPr>
              <w:t>&lt;.001</w:t>
            </w:r>
          </w:p>
        </w:tc>
        <w:tc>
          <w:tcPr>
            <w:tcW w:w="733" w:type="dxa"/>
            <w:vAlign w:val="center"/>
          </w:tcPr>
          <w:p w14:paraId="1683A6CB" w14:textId="77777777" w:rsidR="00B45351" w:rsidRPr="00576C8A" w:rsidRDefault="00B45351" w:rsidP="00842E93">
            <w:pPr>
              <w:jc w:val="center"/>
              <w:rPr>
                <w:sz w:val="20"/>
                <w:szCs w:val="20"/>
              </w:rPr>
            </w:pPr>
          </w:p>
        </w:tc>
        <w:tc>
          <w:tcPr>
            <w:tcW w:w="733" w:type="dxa"/>
            <w:vAlign w:val="center"/>
          </w:tcPr>
          <w:p w14:paraId="53A2801A" w14:textId="77777777" w:rsidR="00B45351" w:rsidRPr="00576C8A" w:rsidRDefault="00B45351" w:rsidP="00842E93">
            <w:pPr>
              <w:jc w:val="center"/>
              <w:rPr>
                <w:sz w:val="20"/>
                <w:szCs w:val="20"/>
              </w:rPr>
            </w:pPr>
          </w:p>
        </w:tc>
        <w:tc>
          <w:tcPr>
            <w:tcW w:w="833" w:type="dxa"/>
            <w:vAlign w:val="center"/>
          </w:tcPr>
          <w:p w14:paraId="1C1954CB" w14:textId="77777777" w:rsidR="00B45351" w:rsidRPr="00576C8A" w:rsidRDefault="00B45351" w:rsidP="00842E93">
            <w:pPr>
              <w:jc w:val="center"/>
              <w:rPr>
                <w:sz w:val="20"/>
                <w:szCs w:val="20"/>
              </w:rPr>
            </w:pPr>
          </w:p>
        </w:tc>
        <w:tc>
          <w:tcPr>
            <w:tcW w:w="779" w:type="dxa"/>
            <w:vAlign w:val="center"/>
          </w:tcPr>
          <w:p w14:paraId="12D6A014" w14:textId="77777777" w:rsidR="00B45351" w:rsidRPr="00576C8A" w:rsidRDefault="00B45351" w:rsidP="00842E93">
            <w:pPr>
              <w:jc w:val="center"/>
              <w:rPr>
                <w:sz w:val="20"/>
                <w:szCs w:val="20"/>
              </w:rPr>
            </w:pPr>
          </w:p>
        </w:tc>
        <w:tc>
          <w:tcPr>
            <w:tcW w:w="633" w:type="dxa"/>
            <w:vAlign w:val="center"/>
          </w:tcPr>
          <w:p w14:paraId="4EC7D8CF" w14:textId="77777777" w:rsidR="00B45351" w:rsidRPr="00576C8A" w:rsidRDefault="00B45351" w:rsidP="00842E93">
            <w:pPr>
              <w:jc w:val="center"/>
              <w:rPr>
                <w:sz w:val="20"/>
                <w:szCs w:val="20"/>
              </w:rPr>
            </w:pPr>
          </w:p>
        </w:tc>
        <w:tc>
          <w:tcPr>
            <w:tcW w:w="533" w:type="dxa"/>
            <w:vAlign w:val="center"/>
          </w:tcPr>
          <w:p w14:paraId="63D56A38" w14:textId="77777777" w:rsidR="00B45351" w:rsidRPr="00576C8A" w:rsidRDefault="00B45351" w:rsidP="00842E93">
            <w:pPr>
              <w:jc w:val="center"/>
              <w:rPr>
                <w:sz w:val="20"/>
                <w:szCs w:val="20"/>
              </w:rPr>
            </w:pPr>
          </w:p>
        </w:tc>
        <w:tc>
          <w:tcPr>
            <w:tcW w:w="666" w:type="dxa"/>
            <w:vAlign w:val="center"/>
          </w:tcPr>
          <w:p w14:paraId="0D58CB33" w14:textId="77777777" w:rsidR="00B45351" w:rsidRPr="00576C8A" w:rsidRDefault="00B45351" w:rsidP="00842E93">
            <w:pPr>
              <w:jc w:val="center"/>
              <w:rPr>
                <w:sz w:val="20"/>
                <w:szCs w:val="20"/>
              </w:rPr>
            </w:pPr>
          </w:p>
        </w:tc>
        <w:tc>
          <w:tcPr>
            <w:tcW w:w="801" w:type="dxa"/>
            <w:vAlign w:val="center"/>
          </w:tcPr>
          <w:p w14:paraId="227829BD" w14:textId="77777777" w:rsidR="00B45351" w:rsidRPr="00576C8A" w:rsidRDefault="00B45351" w:rsidP="00842E93">
            <w:pPr>
              <w:jc w:val="center"/>
              <w:rPr>
                <w:sz w:val="20"/>
                <w:szCs w:val="20"/>
              </w:rPr>
            </w:pPr>
          </w:p>
        </w:tc>
        <w:tc>
          <w:tcPr>
            <w:tcW w:w="633" w:type="dxa"/>
            <w:vAlign w:val="center"/>
          </w:tcPr>
          <w:p w14:paraId="76E5F2B3" w14:textId="77777777" w:rsidR="00B45351" w:rsidRPr="00576C8A" w:rsidRDefault="00B45351" w:rsidP="00842E93">
            <w:pPr>
              <w:jc w:val="center"/>
              <w:rPr>
                <w:sz w:val="20"/>
                <w:szCs w:val="20"/>
              </w:rPr>
            </w:pPr>
          </w:p>
        </w:tc>
        <w:tc>
          <w:tcPr>
            <w:tcW w:w="533" w:type="dxa"/>
            <w:vAlign w:val="center"/>
          </w:tcPr>
          <w:p w14:paraId="6E9CC252" w14:textId="77777777" w:rsidR="00B45351" w:rsidRPr="00576C8A" w:rsidRDefault="00B45351" w:rsidP="00842E93">
            <w:pPr>
              <w:jc w:val="center"/>
              <w:rPr>
                <w:sz w:val="20"/>
                <w:szCs w:val="20"/>
              </w:rPr>
            </w:pPr>
          </w:p>
        </w:tc>
        <w:tc>
          <w:tcPr>
            <w:tcW w:w="666" w:type="dxa"/>
            <w:vAlign w:val="center"/>
          </w:tcPr>
          <w:p w14:paraId="0ED7C964" w14:textId="77777777" w:rsidR="00B45351" w:rsidRPr="00576C8A" w:rsidRDefault="00B45351" w:rsidP="00842E93">
            <w:pPr>
              <w:jc w:val="center"/>
              <w:rPr>
                <w:sz w:val="20"/>
                <w:szCs w:val="20"/>
              </w:rPr>
            </w:pPr>
          </w:p>
        </w:tc>
        <w:tc>
          <w:tcPr>
            <w:tcW w:w="801" w:type="dxa"/>
            <w:vAlign w:val="center"/>
          </w:tcPr>
          <w:p w14:paraId="0755AFB6" w14:textId="77777777" w:rsidR="00B45351" w:rsidRPr="00576C8A" w:rsidRDefault="00B45351" w:rsidP="00842E93">
            <w:pPr>
              <w:jc w:val="center"/>
              <w:rPr>
                <w:sz w:val="20"/>
                <w:szCs w:val="20"/>
              </w:rPr>
            </w:pPr>
          </w:p>
        </w:tc>
      </w:tr>
      <w:tr w:rsidR="00B45351" w:rsidRPr="00576C8A" w14:paraId="1226BE6A" w14:textId="77777777" w:rsidTr="00842E93">
        <w:trPr>
          <w:trHeight w:val="227"/>
        </w:trPr>
        <w:tc>
          <w:tcPr>
            <w:tcW w:w="3671" w:type="dxa"/>
            <w:vAlign w:val="center"/>
          </w:tcPr>
          <w:p w14:paraId="7F99780C" w14:textId="77777777" w:rsidR="00B45351" w:rsidRPr="00576C8A" w:rsidRDefault="00B45351" w:rsidP="00842E93">
            <w:pPr>
              <w:rPr>
                <w:sz w:val="20"/>
                <w:szCs w:val="20"/>
              </w:rPr>
            </w:pPr>
            <w:r w:rsidRPr="00576C8A">
              <w:rPr>
                <w:sz w:val="20"/>
                <w:szCs w:val="20"/>
              </w:rPr>
              <w:t xml:space="preserve">   Relationship Status (Married)</w:t>
            </w:r>
          </w:p>
        </w:tc>
        <w:tc>
          <w:tcPr>
            <w:tcW w:w="766" w:type="dxa"/>
            <w:vAlign w:val="center"/>
          </w:tcPr>
          <w:p w14:paraId="3D9F65E9" w14:textId="77777777" w:rsidR="00B45351" w:rsidRPr="00576C8A" w:rsidRDefault="00B45351" w:rsidP="00842E93">
            <w:pPr>
              <w:jc w:val="center"/>
              <w:rPr>
                <w:sz w:val="20"/>
                <w:szCs w:val="20"/>
              </w:rPr>
            </w:pPr>
            <w:r>
              <w:rPr>
                <w:sz w:val="20"/>
                <w:szCs w:val="20"/>
              </w:rPr>
              <w:t>1.11</w:t>
            </w:r>
          </w:p>
        </w:tc>
        <w:tc>
          <w:tcPr>
            <w:tcW w:w="633" w:type="dxa"/>
            <w:vAlign w:val="center"/>
          </w:tcPr>
          <w:p w14:paraId="271577BC" w14:textId="77777777" w:rsidR="00B45351" w:rsidRPr="00576C8A" w:rsidRDefault="00B45351" w:rsidP="00842E93">
            <w:pPr>
              <w:jc w:val="center"/>
              <w:rPr>
                <w:sz w:val="20"/>
                <w:szCs w:val="20"/>
              </w:rPr>
            </w:pPr>
            <w:r>
              <w:rPr>
                <w:sz w:val="20"/>
                <w:szCs w:val="20"/>
              </w:rPr>
              <w:t>.09</w:t>
            </w:r>
          </w:p>
        </w:tc>
        <w:tc>
          <w:tcPr>
            <w:tcW w:w="733" w:type="dxa"/>
            <w:vAlign w:val="center"/>
          </w:tcPr>
          <w:p w14:paraId="7D9F23D6" w14:textId="77777777" w:rsidR="00B45351" w:rsidRPr="00576C8A" w:rsidRDefault="00B45351" w:rsidP="00842E93">
            <w:pPr>
              <w:jc w:val="center"/>
              <w:rPr>
                <w:sz w:val="20"/>
                <w:szCs w:val="20"/>
              </w:rPr>
            </w:pPr>
            <w:r>
              <w:rPr>
                <w:sz w:val="20"/>
                <w:szCs w:val="20"/>
              </w:rPr>
              <w:t>3.02</w:t>
            </w:r>
          </w:p>
        </w:tc>
        <w:tc>
          <w:tcPr>
            <w:tcW w:w="781" w:type="dxa"/>
            <w:vAlign w:val="center"/>
          </w:tcPr>
          <w:p w14:paraId="5D2EBFF4" w14:textId="77777777" w:rsidR="00B45351" w:rsidRPr="00576C8A" w:rsidRDefault="00B45351" w:rsidP="00842E93">
            <w:pPr>
              <w:jc w:val="center"/>
              <w:rPr>
                <w:sz w:val="20"/>
                <w:szCs w:val="20"/>
              </w:rPr>
            </w:pPr>
            <w:r>
              <w:rPr>
                <w:sz w:val="20"/>
                <w:szCs w:val="20"/>
              </w:rPr>
              <w:t>.003</w:t>
            </w:r>
          </w:p>
        </w:tc>
        <w:tc>
          <w:tcPr>
            <w:tcW w:w="733" w:type="dxa"/>
            <w:vAlign w:val="center"/>
          </w:tcPr>
          <w:p w14:paraId="6586CD2E" w14:textId="77777777" w:rsidR="00B45351" w:rsidRPr="00576C8A" w:rsidRDefault="00B45351" w:rsidP="00842E93">
            <w:pPr>
              <w:jc w:val="center"/>
              <w:rPr>
                <w:sz w:val="20"/>
                <w:szCs w:val="20"/>
              </w:rPr>
            </w:pPr>
          </w:p>
        </w:tc>
        <w:tc>
          <w:tcPr>
            <w:tcW w:w="733" w:type="dxa"/>
            <w:vAlign w:val="center"/>
          </w:tcPr>
          <w:p w14:paraId="7F7A39DF" w14:textId="77777777" w:rsidR="00B45351" w:rsidRPr="00576C8A" w:rsidRDefault="00B45351" w:rsidP="00842E93">
            <w:pPr>
              <w:jc w:val="center"/>
              <w:rPr>
                <w:sz w:val="20"/>
                <w:szCs w:val="20"/>
              </w:rPr>
            </w:pPr>
          </w:p>
        </w:tc>
        <w:tc>
          <w:tcPr>
            <w:tcW w:w="833" w:type="dxa"/>
            <w:vAlign w:val="center"/>
          </w:tcPr>
          <w:p w14:paraId="0F0B09E4" w14:textId="77777777" w:rsidR="00B45351" w:rsidRPr="00576C8A" w:rsidRDefault="00B45351" w:rsidP="00842E93">
            <w:pPr>
              <w:jc w:val="center"/>
              <w:rPr>
                <w:sz w:val="20"/>
                <w:szCs w:val="20"/>
              </w:rPr>
            </w:pPr>
          </w:p>
        </w:tc>
        <w:tc>
          <w:tcPr>
            <w:tcW w:w="779" w:type="dxa"/>
            <w:vAlign w:val="center"/>
          </w:tcPr>
          <w:p w14:paraId="35871644" w14:textId="77777777" w:rsidR="00B45351" w:rsidRPr="00576C8A" w:rsidRDefault="00B45351" w:rsidP="00842E93">
            <w:pPr>
              <w:jc w:val="center"/>
              <w:rPr>
                <w:sz w:val="20"/>
                <w:szCs w:val="20"/>
              </w:rPr>
            </w:pPr>
          </w:p>
        </w:tc>
        <w:tc>
          <w:tcPr>
            <w:tcW w:w="633" w:type="dxa"/>
            <w:vAlign w:val="center"/>
          </w:tcPr>
          <w:p w14:paraId="1A6E0F83" w14:textId="77777777" w:rsidR="00B45351" w:rsidRPr="00576C8A" w:rsidRDefault="00B45351" w:rsidP="00842E93">
            <w:pPr>
              <w:jc w:val="center"/>
              <w:rPr>
                <w:sz w:val="20"/>
                <w:szCs w:val="20"/>
              </w:rPr>
            </w:pPr>
          </w:p>
        </w:tc>
        <w:tc>
          <w:tcPr>
            <w:tcW w:w="533" w:type="dxa"/>
            <w:vAlign w:val="center"/>
          </w:tcPr>
          <w:p w14:paraId="0B55E225" w14:textId="77777777" w:rsidR="00B45351" w:rsidRPr="00576C8A" w:rsidRDefault="00B45351" w:rsidP="00842E93">
            <w:pPr>
              <w:jc w:val="center"/>
              <w:rPr>
                <w:sz w:val="20"/>
                <w:szCs w:val="20"/>
              </w:rPr>
            </w:pPr>
          </w:p>
        </w:tc>
        <w:tc>
          <w:tcPr>
            <w:tcW w:w="666" w:type="dxa"/>
            <w:vAlign w:val="center"/>
          </w:tcPr>
          <w:p w14:paraId="78D158D7" w14:textId="77777777" w:rsidR="00B45351" w:rsidRPr="00576C8A" w:rsidRDefault="00B45351" w:rsidP="00842E93">
            <w:pPr>
              <w:jc w:val="center"/>
              <w:rPr>
                <w:sz w:val="20"/>
                <w:szCs w:val="20"/>
              </w:rPr>
            </w:pPr>
          </w:p>
        </w:tc>
        <w:tc>
          <w:tcPr>
            <w:tcW w:w="801" w:type="dxa"/>
            <w:vAlign w:val="center"/>
          </w:tcPr>
          <w:p w14:paraId="124A212D" w14:textId="77777777" w:rsidR="00B45351" w:rsidRPr="00576C8A" w:rsidRDefault="00B45351" w:rsidP="00842E93">
            <w:pPr>
              <w:jc w:val="center"/>
              <w:rPr>
                <w:sz w:val="20"/>
                <w:szCs w:val="20"/>
              </w:rPr>
            </w:pPr>
          </w:p>
        </w:tc>
        <w:tc>
          <w:tcPr>
            <w:tcW w:w="633" w:type="dxa"/>
            <w:vAlign w:val="center"/>
          </w:tcPr>
          <w:p w14:paraId="40E77292" w14:textId="77777777" w:rsidR="00B45351" w:rsidRPr="00576C8A" w:rsidRDefault="00B45351" w:rsidP="00842E93">
            <w:pPr>
              <w:jc w:val="center"/>
              <w:rPr>
                <w:sz w:val="20"/>
                <w:szCs w:val="20"/>
              </w:rPr>
            </w:pPr>
          </w:p>
        </w:tc>
        <w:tc>
          <w:tcPr>
            <w:tcW w:w="533" w:type="dxa"/>
            <w:vAlign w:val="center"/>
          </w:tcPr>
          <w:p w14:paraId="0A231FDD" w14:textId="77777777" w:rsidR="00B45351" w:rsidRPr="00576C8A" w:rsidRDefault="00B45351" w:rsidP="00842E93">
            <w:pPr>
              <w:jc w:val="center"/>
              <w:rPr>
                <w:sz w:val="20"/>
                <w:szCs w:val="20"/>
              </w:rPr>
            </w:pPr>
          </w:p>
        </w:tc>
        <w:tc>
          <w:tcPr>
            <w:tcW w:w="666" w:type="dxa"/>
            <w:vAlign w:val="center"/>
          </w:tcPr>
          <w:p w14:paraId="008A0614" w14:textId="77777777" w:rsidR="00B45351" w:rsidRPr="00576C8A" w:rsidRDefault="00B45351" w:rsidP="00842E93">
            <w:pPr>
              <w:jc w:val="center"/>
              <w:rPr>
                <w:sz w:val="20"/>
                <w:szCs w:val="20"/>
              </w:rPr>
            </w:pPr>
          </w:p>
        </w:tc>
        <w:tc>
          <w:tcPr>
            <w:tcW w:w="801" w:type="dxa"/>
            <w:vAlign w:val="center"/>
          </w:tcPr>
          <w:p w14:paraId="4A17E7DC" w14:textId="77777777" w:rsidR="00B45351" w:rsidRPr="00576C8A" w:rsidRDefault="00B45351" w:rsidP="00842E93">
            <w:pPr>
              <w:jc w:val="center"/>
              <w:rPr>
                <w:sz w:val="20"/>
                <w:szCs w:val="20"/>
              </w:rPr>
            </w:pPr>
          </w:p>
        </w:tc>
      </w:tr>
      <w:tr w:rsidR="00B45351" w:rsidRPr="00576C8A" w14:paraId="092CE266" w14:textId="77777777" w:rsidTr="00842E93">
        <w:trPr>
          <w:trHeight w:val="227"/>
        </w:trPr>
        <w:tc>
          <w:tcPr>
            <w:tcW w:w="3671" w:type="dxa"/>
            <w:vAlign w:val="center"/>
          </w:tcPr>
          <w:p w14:paraId="73639F21" w14:textId="77777777" w:rsidR="00B45351" w:rsidRPr="00576C8A" w:rsidRDefault="00B45351" w:rsidP="00842E93">
            <w:pPr>
              <w:rPr>
                <w:sz w:val="20"/>
                <w:szCs w:val="20"/>
              </w:rPr>
            </w:pPr>
            <w:r w:rsidRPr="00576C8A">
              <w:rPr>
                <w:sz w:val="20"/>
                <w:szCs w:val="20"/>
              </w:rPr>
              <w:t xml:space="preserve">   Highest Qualification (</w:t>
            </w:r>
            <w:r>
              <w:rPr>
                <w:sz w:val="20"/>
                <w:szCs w:val="20"/>
              </w:rPr>
              <w:t>Doctorate</w:t>
            </w:r>
            <w:r w:rsidRPr="00576C8A">
              <w:rPr>
                <w:sz w:val="20"/>
                <w:szCs w:val="20"/>
              </w:rPr>
              <w:t>)</w:t>
            </w:r>
          </w:p>
        </w:tc>
        <w:tc>
          <w:tcPr>
            <w:tcW w:w="766" w:type="dxa"/>
            <w:vAlign w:val="center"/>
          </w:tcPr>
          <w:p w14:paraId="4FDC9EC9" w14:textId="77777777" w:rsidR="00B45351" w:rsidRPr="00576C8A" w:rsidRDefault="00B45351" w:rsidP="00842E93">
            <w:pPr>
              <w:jc w:val="center"/>
              <w:rPr>
                <w:sz w:val="20"/>
                <w:szCs w:val="20"/>
              </w:rPr>
            </w:pPr>
            <w:r>
              <w:rPr>
                <w:sz w:val="20"/>
                <w:szCs w:val="20"/>
              </w:rPr>
              <w:t>-6.35</w:t>
            </w:r>
          </w:p>
        </w:tc>
        <w:tc>
          <w:tcPr>
            <w:tcW w:w="633" w:type="dxa"/>
            <w:vAlign w:val="center"/>
          </w:tcPr>
          <w:p w14:paraId="5DC47124" w14:textId="77777777" w:rsidR="00B45351" w:rsidRPr="00576C8A" w:rsidRDefault="00B45351" w:rsidP="00842E93">
            <w:pPr>
              <w:jc w:val="center"/>
              <w:rPr>
                <w:sz w:val="20"/>
                <w:szCs w:val="20"/>
              </w:rPr>
            </w:pPr>
            <w:r>
              <w:rPr>
                <w:sz w:val="20"/>
                <w:szCs w:val="20"/>
              </w:rPr>
              <w:t>-.07</w:t>
            </w:r>
          </w:p>
        </w:tc>
        <w:tc>
          <w:tcPr>
            <w:tcW w:w="733" w:type="dxa"/>
            <w:vAlign w:val="center"/>
          </w:tcPr>
          <w:p w14:paraId="5435500A" w14:textId="77777777" w:rsidR="00B45351" w:rsidRPr="00576C8A" w:rsidRDefault="00B45351" w:rsidP="00842E93">
            <w:pPr>
              <w:jc w:val="center"/>
              <w:rPr>
                <w:sz w:val="20"/>
                <w:szCs w:val="20"/>
              </w:rPr>
            </w:pPr>
            <w:r>
              <w:rPr>
                <w:sz w:val="20"/>
                <w:szCs w:val="20"/>
              </w:rPr>
              <w:t>-2.33</w:t>
            </w:r>
          </w:p>
        </w:tc>
        <w:tc>
          <w:tcPr>
            <w:tcW w:w="781" w:type="dxa"/>
            <w:vAlign w:val="center"/>
          </w:tcPr>
          <w:p w14:paraId="1C4C60EF" w14:textId="77777777" w:rsidR="00B45351" w:rsidRPr="00576C8A" w:rsidRDefault="00B45351" w:rsidP="00842E93">
            <w:pPr>
              <w:jc w:val="center"/>
              <w:rPr>
                <w:sz w:val="20"/>
                <w:szCs w:val="20"/>
              </w:rPr>
            </w:pPr>
            <w:r>
              <w:rPr>
                <w:sz w:val="20"/>
                <w:szCs w:val="20"/>
              </w:rPr>
              <w:t>.020</w:t>
            </w:r>
          </w:p>
        </w:tc>
        <w:tc>
          <w:tcPr>
            <w:tcW w:w="733" w:type="dxa"/>
            <w:vAlign w:val="center"/>
          </w:tcPr>
          <w:p w14:paraId="392F675F" w14:textId="77777777" w:rsidR="00B45351" w:rsidRPr="00576C8A" w:rsidRDefault="00B45351" w:rsidP="00842E93">
            <w:pPr>
              <w:jc w:val="center"/>
              <w:rPr>
                <w:sz w:val="20"/>
                <w:szCs w:val="20"/>
              </w:rPr>
            </w:pPr>
          </w:p>
        </w:tc>
        <w:tc>
          <w:tcPr>
            <w:tcW w:w="733" w:type="dxa"/>
            <w:vAlign w:val="center"/>
          </w:tcPr>
          <w:p w14:paraId="6A9D8A57" w14:textId="77777777" w:rsidR="00B45351" w:rsidRPr="00576C8A" w:rsidRDefault="00B45351" w:rsidP="00842E93">
            <w:pPr>
              <w:jc w:val="center"/>
              <w:rPr>
                <w:sz w:val="20"/>
                <w:szCs w:val="20"/>
              </w:rPr>
            </w:pPr>
          </w:p>
        </w:tc>
        <w:tc>
          <w:tcPr>
            <w:tcW w:w="833" w:type="dxa"/>
            <w:vAlign w:val="center"/>
          </w:tcPr>
          <w:p w14:paraId="38D11BD9" w14:textId="77777777" w:rsidR="00B45351" w:rsidRPr="00576C8A" w:rsidRDefault="00B45351" w:rsidP="00842E93">
            <w:pPr>
              <w:jc w:val="center"/>
              <w:rPr>
                <w:sz w:val="20"/>
                <w:szCs w:val="20"/>
              </w:rPr>
            </w:pPr>
          </w:p>
        </w:tc>
        <w:tc>
          <w:tcPr>
            <w:tcW w:w="779" w:type="dxa"/>
            <w:vAlign w:val="center"/>
          </w:tcPr>
          <w:p w14:paraId="4926316B" w14:textId="77777777" w:rsidR="00B45351" w:rsidRPr="00576C8A" w:rsidRDefault="00B45351" w:rsidP="00842E93">
            <w:pPr>
              <w:jc w:val="center"/>
              <w:rPr>
                <w:sz w:val="20"/>
                <w:szCs w:val="20"/>
              </w:rPr>
            </w:pPr>
          </w:p>
        </w:tc>
        <w:tc>
          <w:tcPr>
            <w:tcW w:w="633" w:type="dxa"/>
            <w:vAlign w:val="center"/>
          </w:tcPr>
          <w:p w14:paraId="5942AAB0" w14:textId="77777777" w:rsidR="00B45351" w:rsidRPr="00576C8A" w:rsidRDefault="00B45351" w:rsidP="00842E93">
            <w:pPr>
              <w:jc w:val="center"/>
              <w:rPr>
                <w:sz w:val="20"/>
                <w:szCs w:val="20"/>
              </w:rPr>
            </w:pPr>
          </w:p>
        </w:tc>
        <w:tc>
          <w:tcPr>
            <w:tcW w:w="533" w:type="dxa"/>
            <w:vAlign w:val="center"/>
          </w:tcPr>
          <w:p w14:paraId="6D9B1374" w14:textId="77777777" w:rsidR="00B45351" w:rsidRPr="00576C8A" w:rsidRDefault="00B45351" w:rsidP="00842E93">
            <w:pPr>
              <w:jc w:val="center"/>
              <w:rPr>
                <w:sz w:val="20"/>
                <w:szCs w:val="20"/>
              </w:rPr>
            </w:pPr>
          </w:p>
        </w:tc>
        <w:tc>
          <w:tcPr>
            <w:tcW w:w="666" w:type="dxa"/>
            <w:vAlign w:val="center"/>
          </w:tcPr>
          <w:p w14:paraId="71462A18" w14:textId="77777777" w:rsidR="00B45351" w:rsidRPr="00576C8A" w:rsidRDefault="00B45351" w:rsidP="00842E93">
            <w:pPr>
              <w:jc w:val="center"/>
              <w:rPr>
                <w:sz w:val="20"/>
                <w:szCs w:val="20"/>
              </w:rPr>
            </w:pPr>
          </w:p>
        </w:tc>
        <w:tc>
          <w:tcPr>
            <w:tcW w:w="801" w:type="dxa"/>
            <w:vAlign w:val="center"/>
          </w:tcPr>
          <w:p w14:paraId="2BC9DCB9" w14:textId="77777777" w:rsidR="00B45351" w:rsidRPr="00576C8A" w:rsidRDefault="00B45351" w:rsidP="00842E93">
            <w:pPr>
              <w:jc w:val="center"/>
              <w:rPr>
                <w:sz w:val="20"/>
                <w:szCs w:val="20"/>
              </w:rPr>
            </w:pPr>
          </w:p>
        </w:tc>
        <w:tc>
          <w:tcPr>
            <w:tcW w:w="633" w:type="dxa"/>
            <w:vAlign w:val="center"/>
          </w:tcPr>
          <w:p w14:paraId="7A255E60" w14:textId="77777777" w:rsidR="00B45351" w:rsidRPr="00576C8A" w:rsidRDefault="00B45351" w:rsidP="00842E93">
            <w:pPr>
              <w:jc w:val="center"/>
              <w:rPr>
                <w:sz w:val="20"/>
                <w:szCs w:val="20"/>
              </w:rPr>
            </w:pPr>
          </w:p>
        </w:tc>
        <w:tc>
          <w:tcPr>
            <w:tcW w:w="533" w:type="dxa"/>
            <w:vAlign w:val="center"/>
          </w:tcPr>
          <w:p w14:paraId="06A2796C" w14:textId="77777777" w:rsidR="00B45351" w:rsidRPr="00576C8A" w:rsidRDefault="00B45351" w:rsidP="00842E93">
            <w:pPr>
              <w:jc w:val="center"/>
              <w:rPr>
                <w:sz w:val="20"/>
                <w:szCs w:val="20"/>
              </w:rPr>
            </w:pPr>
          </w:p>
        </w:tc>
        <w:tc>
          <w:tcPr>
            <w:tcW w:w="666" w:type="dxa"/>
            <w:vAlign w:val="center"/>
          </w:tcPr>
          <w:p w14:paraId="2218D11E" w14:textId="77777777" w:rsidR="00B45351" w:rsidRPr="00576C8A" w:rsidRDefault="00B45351" w:rsidP="00842E93">
            <w:pPr>
              <w:jc w:val="center"/>
              <w:rPr>
                <w:sz w:val="20"/>
                <w:szCs w:val="20"/>
              </w:rPr>
            </w:pPr>
          </w:p>
        </w:tc>
        <w:tc>
          <w:tcPr>
            <w:tcW w:w="801" w:type="dxa"/>
            <w:vAlign w:val="center"/>
          </w:tcPr>
          <w:p w14:paraId="2D1B3E2C" w14:textId="77777777" w:rsidR="00B45351" w:rsidRPr="00576C8A" w:rsidRDefault="00B45351" w:rsidP="00842E93">
            <w:pPr>
              <w:jc w:val="center"/>
              <w:rPr>
                <w:sz w:val="20"/>
                <w:szCs w:val="20"/>
              </w:rPr>
            </w:pPr>
          </w:p>
        </w:tc>
      </w:tr>
      <w:tr w:rsidR="00B45351" w:rsidRPr="00576C8A" w14:paraId="331F92CC" w14:textId="77777777" w:rsidTr="00842E93">
        <w:trPr>
          <w:trHeight w:val="227"/>
        </w:trPr>
        <w:tc>
          <w:tcPr>
            <w:tcW w:w="3671" w:type="dxa"/>
            <w:vAlign w:val="center"/>
          </w:tcPr>
          <w:p w14:paraId="19F61050" w14:textId="77777777" w:rsidR="00B45351" w:rsidRPr="00576C8A" w:rsidRDefault="00B45351" w:rsidP="00842E93">
            <w:pPr>
              <w:rPr>
                <w:sz w:val="20"/>
                <w:szCs w:val="20"/>
              </w:rPr>
            </w:pPr>
            <w:r w:rsidRPr="00576C8A">
              <w:rPr>
                <w:sz w:val="20"/>
                <w:szCs w:val="20"/>
              </w:rPr>
              <w:t xml:space="preserve">   Accommodation (</w:t>
            </w:r>
            <w:r>
              <w:rPr>
                <w:sz w:val="20"/>
                <w:szCs w:val="20"/>
              </w:rPr>
              <w:t>Private Rent</w:t>
            </w:r>
            <w:r w:rsidRPr="00576C8A">
              <w:rPr>
                <w:sz w:val="20"/>
                <w:szCs w:val="20"/>
              </w:rPr>
              <w:t>)</w:t>
            </w:r>
          </w:p>
        </w:tc>
        <w:tc>
          <w:tcPr>
            <w:tcW w:w="766" w:type="dxa"/>
            <w:vAlign w:val="center"/>
          </w:tcPr>
          <w:p w14:paraId="0FDC9BD1" w14:textId="77777777" w:rsidR="00B45351" w:rsidRPr="00576C8A" w:rsidRDefault="00B45351" w:rsidP="00842E93">
            <w:pPr>
              <w:jc w:val="center"/>
              <w:rPr>
                <w:sz w:val="20"/>
                <w:szCs w:val="20"/>
              </w:rPr>
            </w:pPr>
            <w:r>
              <w:rPr>
                <w:sz w:val="20"/>
                <w:szCs w:val="20"/>
              </w:rPr>
              <w:t>0.97</w:t>
            </w:r>
          </w:p>
        </w:tc>
        <w:tc>
          <w:tcPr>
            <w:tcW w:w="633" w:type="dxa"/>
            <w:vAlign w:val="center"/>
          </w:tcPr>
          <w:p w14:paraId="1D5250BC" w14:textId="77777777" w:rsidR="00B45351" w:rsidRPr="00576C8A" w:rsidRDefault="00B45351" w:rsidP="00842E93">
            <w:pPr>
              <w:jc w:val="center"/>
              <w:rPr>
                <w:sz w:val="20"/>
                <w:szCs w:val="20"/>
              </w:rPr>
            </w:pPr>
            <w:r>
              <w:rPr>
                <w:sz w:val="20"/>
                <w:szCs w:val="20"/>
              </w:rPr>
              <w:t>.06</w:t>
            </w:r>
          </w:p>
        </w:tc>
        <w:tc>
          <w:tcPr>
            <w:tcW w:w="733" w:type="dxa"/>
            <w:vAlign w:val="center"/>
          </w:tcPr>
          <w:p w14:paraId="79EFEB6C" w14:textId="77777777" w:rsidR="00B45351" w:rsidRPr="00576C8A" w:rsidRDefault="00B45351" w:rsidP="00842E93">
            <w:pPr>
              <w:jc w:val="center"/>
              <w:rPr>
                <w:sz w:val="20"/>
                <w:szCs w:val="20"/>
              </w:rPr>
            </w:pPr>
            <w:r>
              <w:rPr>
                <w:sz w:val="20"/>
                <w:szCs w:val="20"/>
              </w:rPr>
              <w:t>2.14</w:t>
            </w:r>
          </w:p>
        </w:tc>
        <w:tc>
          <w:tcPr>
            <w:tcW w:w="781" w:type="dxa"/>
            <w:vAlign w:val="center"/>
          </w:tcPr>
          <w:p w14:paraId="0427981B" w14:textId="77777777" w:rsidR="00B45351" w:rsidRPr="00576C8A" w:rsidRDefault="00B45351" w:rsidP="00842E93">
            <w:pPr>
              <w:jc w:val="center"/>
              <w:rPr>
                <w:sz w:val="20"/>
                <w:szCs w:val="20"/>
              </w:rPr>
            </w:pPr>
            <w:r>
              <w:rPr>
                <w:sz w:val="20"/>
                <w:szCs w:val="20"/>
              </w:rPr>
              <w:t>.033</w:t>
            </w:r>
          </w:p>
        </w:tc>
        <w:tc>
          <w:tcPr>
            <w:tcW w:w="733" w:type="dxa"/>
            <w:vAlign w:val="center"/>
          </w:tcPr>
          <w:p w14:paraId="7E02FFAC" w14:textId="77777777" w:rsidR="00B45351" w:rsidRPr="00576C8A" w:rsidRDefault="00B45351" w:rsidP="00842E93">
            <w:pPr>
              <w:jc w:val="center"/>
              <w:rPr>
                <w:sz w:val="20"/>
                <w:szCs w:val="20"/>
              </w:rPr>
            </w:pPr>
          </w:p>
        </w:tc>
        <w:tc>
          <w:tcPr>
            <w:tcW w:w="733" w:type="dxa"/>
            <w:vAlign w:val="center"/>
          </w:tcPr>
          <w:p w14:paraId="54176EB5" w14:textId="77777777" w:rsidR="00B45351" w:rsidRPr="00576C8A" w:rsidRDefault="00B45351" w:rsidP="00842E93">
            <w:pPr>
              <w:jc w:val="center"/>
              <w:rPr>
                <w:sz w:val="20"/>
                <w:szCs w:val="20"/>
              </w:rPr>
            </w:pPr>
          </w:p>
        </w:tc>
        <w:tc>
          <w:tcPr>
            <w:tcW w:w="833" w:type="dxa"/>
            <w:vAlign w:val="center"/>
          </w:tcPr>
          <w:p w14:paraId="21FEEE19" w14:textId="77777777" w:rsidR="00B45351" w:rsidRPr="00576C8A" w:rsidRDefault="00B45351" w:rsidP="00842E93">
            <w:pPr>
              <w:jc w:val="center"/>
              <w:rPr>
                <w:sz w:val="20"/>
                <w:szCs w:val="20"/>
              </w:rPr>
            </w:pPr>
          </w:p>
        </w:tc>
        <w:tc>
          <w:tcPr>
            <w:tcW w:w="779" w:type="dxa"/>
            <w:vAlign w:val="center"/>
          </w:tcPr>
          <w:p w14:paraId="4C00EE7A" w14:textId="77777777" w:rsidR="00B45351" w:rsidRPr="00576C8A" w:rsidRDefault="00B45351" w:rsidP="00842E93">
            <w:pPr>
              <w:jc w:val="center"/>
              <w:rPr>
                <w:sz w:val="20"/>
                <w:szCs w:val="20"/>
              </w:rPr>
            </w:pPr>
          </w:p>
        </w:tc>
        <w:tc>
          <w:tcPr>
            <w:tcW w:w="633" w:type="dxa"/>
            <w:vAlign w:val="center"/>
          </w:tcPr>
          <w:p w14:paraId="5AC99D67" w14:textId="77777777" w:rsidR="00B45351" w:rsidRPr="00576C8A" w:rsidRDefault="00B45351" w:rsidP="00842E93">
            <w:pPr>
              <w:jc w:val="center"/>
              <w:rPr>
                <w:sz w:val="20"/>
                <w:szCs w:val="20"/>
              </w:rPr>
            </w:pPr>
          </w:p>
        </w:tc>
        <w:tc>
          <w:tcPr>
            <w:tcW w:w="533" w:type="dxa"/>
            <w:vAlign w:val="center"/>
          </w:tcPr>
          <w:p w14:paraId="03A86584" w14:textId="77777777" w:rsidR="00B45351" w:rsidRPr="00576C8A" w:rsidRDefault="00B45351" w:rsidP="00842E93">
            <w:pPr>
              <w:jc w:val="center"/>
              <w:rPr>
                <w:sz w:val="20"/>
                <w:szCs w:val="20"/>
              </w:rPr>
            </w:pPr>
          </w:p>
        </w:tc>
        <w:tc>
          <w:tcPr>
            <w:tcW w:w="666" w:type="dxa"/>
            <w:vAlign w:val="center"/>
          </w:tcPr>
          <w:p w14:paraId="6E4B3E69" w14:textId="77777777" w:rsidR="00B45351" w:rsidRPr="00576C8A" w:rsidRDefault="00B45351" w:rsidP="00842E93">
            <w:pPr>
              <w:jc w:val="center"/>
              <w:rPr>
                <w:sz w:val="20"/>
                <w:szCs w:val="20"/>
              </w:rPr>
            </w:pPr>
          </w:p>
        </w:tc>
        <w:tc>
          <w:tcPr>
            <w:tcW w:w="801" w:type="dxa"/>
            <w:vAlign w:val="center"/>
          </w:tcPr>
          <w:p w14:paraId="57A62A98" w14:textId="77777777" w:rsidR="00B45351" w:rsidRPr="00576C8A" w:rsidRDefault="00B45351" w:rsidP="00842E93">
            <w:pPr>
              <w:jc w:val="center"/>
              <w:rPr>
                <w:sz w:val="20"/>
                <w:szCs w:val="20"/>
              </w:rPr>
            </w:pPr>
          </w:p>
        </w:tc>
        <w:tc>
          <w:tcPr>
            <w:tcW w:w="633" w:type="dxa"/>
            <w:vAlign w:val="center"/>
          </w:tcPr>
          <w:p w14:paraId="1CBCEB27" w14:textId="77777777" w:rsidR="00B45351" w:rsidRPr="00576C8A" w:rsidRDefault="00B45351" w:rsidP="00842E93">
            <w:pPr>
              <w:jc w:val="center"/>
              <w:rPr>
                <w:sz w:val="20"/>
                <w:szCs w:val="20"/>
              </w:rPr>
            </w:pPr>
          </w:p>
        </w:tc>
        <w:tc>
          <w:tcPr>
            <w:tcW w:w="533" w:type="dxa"/>
            <w:vAlign w:val="center"/>
          </w:tcPr>
          <w:p w14:paraId="1695FA28" w14:textId="77777777" w:rsidR="00B45351" w:rsidRPr="00576C8A" w:rsidRDefault="00B45351" w:rsidP="00842E93">
            <w:pPr>
              <w:jc w:val="center"/>
              <w:rPr>
                <w:sz w:val="20"/>
                <w:szCs w:val="20"/>
              </w:rPr>
            </w:pPr>
          </w:p>
        </w:tc>
        <w:tc>
          <w:tcPr>
            <w:tcW w:w="666" w:type="dxa"/>
            <w:vAlign w:val="center"/>
          </w:tcPr>
          <w:p w14:paraId="12AA92D9" w14:textId="77777777" w:rsidR="00B45351" w:rsidRPr="00576C8A" w:rsidRDefault="00B45351" w:rsidP="00842E93">
            <w:pPr>
              <w:jc w:val="center"/>
              <w:rPr>
                <w:sz w:val="20"/>
                <w:szCs w:val="20"/>
              </w:rPr>
            </w:pPr>
          </w:p>
        </w:tc>
        <w:tc>
          <w:tcPr>
            <w:tcW w:w="801" w:type="dxa"/>
            <w:vAlign w:val="center"/>
          </w:tcPr>
          <w:p w14:paraId="34D038CB" w14:textId="77777777" w:rsidR="00B45351" w:rsidRPr="00576C8A" w:rsidRDefault="00B45351" w:rsidP="00842E93">
            <w:pPr>
              <w:jc w:val="center"/>
              <w:rPr>
                <w:sz w:val="20"/>
                <w:szCs w:val="20"/>
              </w:rPr>
            </w:pPr>
          </w:p>
        </w:tc>
      </w:tr>
      <w:tr w:rsidR="00B45351" w:rsidRPr="00576C8A" w14:paraId="30C127B8" w14:textId="77777777" w:rsidTr="00842E93">
        <w:trPr>
          <w:trHeight w:val="227"/>
        </w:trPr>
        <w:tc>
          <w:tcPr>
            <w:tcW w:w="3671" w:type="dxa"/>
            <w:vAlign w:val="center"/>
          </w:tcPr>
          <w:p w14:paraId="5D4F67C9" w14:textId="77777777" w:rsidR="00B45351" w:rsidRPr="00576C8A" w:rsidRDefault="00B45351" w:rsidP="00842E93">
            <w:pPr>
              <w:rPr>
                <w:sz w:val="20"/>
                <w:szCs w:val="20"/>
              </w:rPr>
            </w:pPr>
            <w:r w:rsidRPr="00576C8A">
              <w:rPr>
                <w:sz w:val="20"/>
                <w:szCs w:val="20"/>
              </w:rPr>
              <w:t xml:space="preserve">   Accommodation (Supported Living)</w:t>
            </w:r>
          </w:p>
        </w:tc>
        <w:tc>
          <w:tcPr>
            <w:tcW w:w="766" w:type="dxa"/>
            <w:vAlign w:val="center"/>
          </w:tcPr>
          <w:p w14:paraId="4A4D7564" w14:textId="77777777" w:rsidR="00B45351" w:rsidRPr="00576C8A" w:rsidRDefault="00B45351" w:rsidP="00842E93">
            <w:pPr>
              <w:jc w:val="center"/>
              <w:rPr>
                <w:sz w:val="20"/>
                <w:szCs w:val="20"/>
              </w:rPr>
            </w:pPr>
            <w:r>
              <w:rPr>
                <w:sz w:val="20"/>
                <w:szCs w:val="20"/>
              </w:rPr>
              <w:t>4.23</w:t>
            </w:r>
          </w:p>
        </w:tc>
        <w:tc>
          <w:tcPr>
            <w:tcW w:w="633" w:type="dxa"/>
            <w:vAlign w:val="center"/>
          </w:tcPr>
          <w:p w14:paraId="189D6256" w14:textId="77777777" w:rsidR="00B45351" w:rsidRPr="00576C8A" w:rsidRDefault="00B45351" w:rsidP="00842E93">
            <w:pPr>
              <w:jc w:val="center"/>
              <w:rPr>
                <w:sz w:val="20"/>
                <w:szCs w:val="20"/>
              </w:rPr>
            </w:pPr>
            <w:r>
              <w:rPr>
                <w:sz w:val="20"/>
                <w:szCs w:val="20"/>
              </w:rPr>
              <w:t>.12</w:t>
            </w:r>
          </w:p>
        </w:tc>
        <w:tc>
          <w:tcPr>
            <w:tcW w:w="733" w:type="dxa"/>
            <w:vAlign w:val="center"/>
          </w:tcPr>
          <w:p w14:paraId="68D22B05" w14:textId="77777777" w:rsidR="00B45351" w:rsidRPr="00576C8A" w:rsidRDefault="00B45351" w:rsidP="00842E93">
            <w:pPr>
              <w:jc w:val="center"/>
              <w:rPr>
                <w:sz w:val="20"/>
                <w:szCs w:val="20"/>
              </w:rPr>
            </w:pPr>
            <w:r>
              <w:rPr>
                <w:sz w:val="20"/>
                <w:szCs w:val="20"/>
              </w:rPr>
              <w:t>4.27</w:t>
            </w:r>
          </w:p>
        </w:tc>
        <w:tc>
          <w:tcPr>
            <w:tcW w:w="781" w:type="dxa"/>
            <w:vAlign w:val="center"/>
          </w:tcPr>
          <w:p w14:paraId="61C95E58" w14:textId="77777777" w:rsidR="00B45351" w:rsidRPr="00576C8A" w:rsidRDefault="00B45351" w:rsidP="00842E93">
            <w:pPr>
              <w:jc w:val="center"/>
              <w:rPr>
                <w:sz w:val="20"/>
                <w:szCs w:val="20"/>
              </w:rPr>
            </w:pPr>
            <w:r w:rsidRPr="00576C8A">
              <w:rPr>
                <w:sz w:val="20"/>
                <w:szCs w:val="20"/>
              </w:rPr>
              <w:t>&lt;.001</w:t>
            </w:r>
          </w:p>
        </w:tc>
        <w:tc>
          <w:tcPr>
            <w:tcW w:w="733" w:type="dxa"/>
            <w:vAlign w:val="center"/>
          </w:tcPr>
          <w:p w14:paraId="053535A8" w14:textId="77777777" w:rsidR="00B45351" w:rsidRPr="00576C8A" w:rsidRDefault="00B45351" w:rsidP="00842E93">
            <w:pPr>
              <w:jc w:val="center"/>
              <w:rPr>
                <w:sz w:val="20"/>
                <w:szCs w:val="20"/>
              </w:rPr>
            </w:pPr>
          </w:p>
        </w:tc>
        <w:tc>
          <w:tcPr>
            <w:tcW w:w="733" w:type="dxa"/>
            <w:vAlign w:val="center"/>
          </w:tcPr>
          <w:p w14:paraId="65581FC8" w14:textId="77777777" w:rsidR="00B45351" w:rsidRPr="00576C8A" w:rsidRDefault="00B45351" w:rsidP="00842E93">
            <w:pPr>
              <w:jc w:val="center"/>
              <w:rPr>
                <w:sz w:val="20"/>
                <w:szCs w:val="20"/>
              </w:rPr>
            </w:pPr>
          </w:p>
        </w:tc>
        <w:tc>
          <w:tcPr>
            <w:tcW w:w="833" w:type="dxa"/>
            <w:vAlign w:val="center"/>
          </w:tcPr>
          <w:p w14:paraId="00C82CE1" w14:textId="77777777" w:rsidR="00B45351" w:rsidRPr="00576C8A" w:rsidRDefault="00B45351" w:rsidP="00842E93">
            <w:pPr>
              <w:jc w:val="center"/>
              <w:rPr>
                <w:sz w:val="20"/>
                <w:szCs w:val="20"/>
              </w:rPr>
            </w:pPr>
          </w:p>
        </w:tc>
        <w:tc>
          <w:tcPr>
            <w:tcW w:w="779" w:type="dxa"/>
            <w:vAlign w:val="center"/>
          </w:tcPr>
          <w:p w14:paraId="1A6E5276" w14:textId="77777777" w:rsidR="00B45351" w:rsidRPr="00576C8A" w:rsidRDefault="00B45351" w:rsidP="00842E93">
            <w:pPr>
              <w:jc w:val="center"/>
              <w:rPr>
                <w:sz w:val="20"/>
                <w:szCs w:val="20"/>
              </w:rPr>
            </w:pPr>
          </w:p>
        </w:tc>
        <w:tc>
          <w:tcPr>
            <w:tcW w:w="633" w:type="dxa"/>
            <w:vAlign w:val="center"/>
          </w:tcPr>
          <w:p w14:paraId="155E3E7B" w14:textId="77777777" w:rsidR="00B45351" w:rsidRPr="00576C8A" w:rsidRDefault="00B45351" w:rsidP="00842E93">
            <w:pPr>
              <w:jc w:val="center"/>
              <w:rPr>
                <w:sz w:val="20"/>
                <w:szCs w:val="20"/>
              </w:rPr>
            </w:pPr>
          </w:p>
        </w:tc>
        <w:tc>
          <w:tcPr>
            <w:tcW w:w="533" w:type="dxa"/>
            <w:vAlign w:val="center"/>
          </w:tcPr>
          <w:p w14:paraId="5B8FA9D8" w14:textId="77777777" w:rsidR="00B45351" w:rsidRPr="00576C8A" w:rsidRDefault="00B45351" w:rsidP="00842E93">
            <w:pPr>
              <w:jc w:val="center"/>
              <w:rPr>
                <w:sz w:val="20"/>
                <w:szCs w:val="20"/>
              </w:rPr>
            </w:pPr>
          </w:p>
        </w:tc>
        <w:tc>
          <w:tcPr>
            <w:tcW w:w="666" w:type="dxa"/>
            <w:vAlign w:val="center"/>
          </w:tcPr>
          <w:p w14:paraId="3173ABA8" w14:textId="77777777" w:rsidR="00B45351" w:rsidRPr="00576C8A" w:rsidRDefault="00B45351" w:rsidP="00842E93">
            <w:pPr>
              <w:jc w:val="center"/>
              <w:rPr>
                <w:sz w:val="20"/>
                <w:szCs w:val="20"/>
              </w:rPr>
            </w:pPr>
          </w:p>
        </w:tc>
        <w:tc>
          <w:tcPr>
            <w:tcW w:w="801" w:type="dxa"/>
            <w:vAlign w:val="center"/>
          </w:tcPr>
          <w:p w14:paraId="3D8D28A5" w14:textId="77777777" w:rsidR="00B45351" w:rsidRPr="00576C8A" w:rsidRDefault="00B45351" w:rsidP="00842E93">
            <w:pPr>
              <w:jc w:val="center"/>
              <w:rPr>
                <w:sz w:val="20"/>
                <w:szCs w:val="20"/>
              </w:rPr>
            </w:pPr>
          </w:p>
        </w:tc>
        <w:tc>
          <w:tcPr>
            <w:tcW w:w="633" w:type="dxa"/>
            <w:vAlign w:val="center"/>
          </w:tcPr>
          <w:p w14:paraId="6B5D08E5" w14:textId="77777777" w:rsidR="00B45351" w:rsidRPr="00576C8A" w:rsidRDefault="00B45351" w:rsidP="00842E93">
            <w:pPr>
              <w:jc w:val="center"/>
              <w:rPr>
                <w:sz w:val="20"/>
                <w:szCs w:val="20"/>
              </w:rPr>
            </w:pPr>
          </w:p>
        </w:tc>
        <w:tc>
          <w:tcPr>
            <w:tcW w:w="533" w:type="dxa"/>
            <w:vAlign w:val="center"/>
          </w:tcPr>
          <w:p w14:paraId="6B2B39EA" w14:textId="77777777" w:rsidR="00B45351" w:rsidRPr="00576C8A" w:rsidRDefault="00B45351" w:rsidP="00842E93">
            <w:pPr>
              <w:jc w:val="center"/>
              <w:rPr>
                <w:sz w:val="20"/>
                <w:szCs w:val="20"/>
              </w:rPr>
            </w:pPr>
          </w:p>
        </w:tc>
        <w:tc>
          <w:tcPr>
            <w:tcW w:w="666" w:type="dxa"/>
            <w:vAlign w:val="center"/>
          </w:tcPr>
          <w:p w14:paraId="7459C89B" w14:textId="77777777" w:rsidR="00B45351" w:rsidRPr="00576C8A" w:rsidRDefault="00B45351" w:rsidP="00842E93">
            <w:pPr>
              <w:jc w:val="center"/>
              <w:rPr>
                <w:sz w:val="20"/>
                <w:szCs w:val="20"/>
              </w:rPr>
            </w:pPr>
          </w:p>
        </w:tc>
        <w:tc>
          <w:tcPr>
            <w:tcW w:w="801" w:type="dxa"/>
            <w:vAlign w:val="center"/>
          </w:tcPr>
          <w:p w14:paraId="3371D33A" w14:textId="77777777" w:rsidR="00B45351" w:rsidRPr="00576C8A" w:rsidRDefault="00B45351" w:rsidP="00842E93">
            <w:pPr>
              <w:jc w:val="center"/>
              <w:rPr>
                <w:sz w:val="20"/>
                <w:szCs w:val="20"/>
              </w:rPr>
            </w:pPr>
          </w:p>
        </w:tc>
      </w:tr>
      <w:tr w:rsidR="00B45351" w:rsidRPr="00576C8A" w14:paraId="05C33E1E" w14:textId="77777777" w:rsidTr="00842E93">
        <w:trPr>
          <w:trHeight w:val="227"/>
        </w:trPr>
        <w:tc>
          <w:tcPr>
            <w:tcW w:w="3671" w:type="dxa"/>
            <w:vAlign w:val="center"/>
          </w:tcPr>
          <w:p w14:paraId="7D1D9AE7" w14:textId="77777777" w:rsidR="00B45351" w:rsidRPr="00576C8A" w:rsidRDefault="00B45351" w:rsidP="00842E93">
            <w:pPr>
              <w:rPr>
                <w:sz w:val="20"/>
                <w:szCs w:val="20"/>
              </w:rPr>
            </w:pPr>
            <w:r>
              <w:rPr>
                <w:sz w:val="20"/>
                <w:szCs w:val="20"/>
              </w:rPr>
              <w:t xml:space="preserve">   Live with Non-Family</w:t>
            </w:r>
          </w:p>
        </w:tc>
        <w:tc>
          <w:tcPr>
            <w:tcW w:w="766" w:type="dxa"/>
            <w:vAlign w:val="center"/>
          </w:tcPr>
          <w:p w14:paraId="73CC80AF" w14:textId="77777777" w:rsidR="00B45351" w:rsidRDefault="00B45351" w:rsidP="00842E93">
            <w:pPr>
              <w:jc w:val="center"/>
              <w:rPr>
                <w:sz w:val="20"/>
                <w:szCs w:val="20"/>
              </w:rPr>
            </w:pPr>
            <w:r>
              <w:rPr>
                <w:sz w:val="20"/>
                <w:szCs w:val="20"/>
              </w:rPr>
              <w:t>-3.92</w:t>
            </w:r>
          </w:p>
        </w:tc>
        <w:tc>
          <w:tcPr>
            <w:tcW w:w="633" w:type="dxa"/>
            <w:vAlign w:val="center"/>
          </w:tcPr>
          <w:p w14:paraId="0771A1A7" w14:textId="77777777" w:rsidR="00B45351" w:rsidRDefault="00B45351" w:rsidP="00842E93">
            <w:pPr>
              <w:jc w:val="center"/>
              <w:rPr>
                <w:sz w:val="20"/>
                <w:szCs w:val="20"/>
              </w:rPr>
            </w:pPr>
            <w:r>
              <w:rPr>
                <w:sz w:val="20"/>
                <w:szCs w:val="20"/>
              </w:rPr>
              <w:t>-.06</w:t>
            </w:r>
          </w:p>
        </w:tc>
        <w:tc>
          <w:tcPr>
            <w:tcW w:w="733" w:type="dxa"/>
            <w:vAlign w:val="center"/>
          </w:tcPr>
          <w:p w14:paraId="2D5342AF" w14:textId="77777777" w:rsidR="00B45351" w:rsidRDefault="00B45351" w:rsidP="00842E93">
            <w:pPr>
              <w:jc w:val="center"/>
              <w:rPr>
                <w:sz w:val="20"/>
                <w:szCs w:val="20"/>
              </w:rPr>
            </w:pPr>
            <w:r>
              <w:rPr>
                <w:sz w:val="20"/>
                <w:szCs w:val="20"/>
              </w:rPr>
              <w:t>-2.24</w:t>
            </w:r>
          </w:p>
        </w:tc>
        <w:tc>
          <w:tcPr>
            <w:tcW w:w="781" w:type="dxa"/>
            <w:vAlign w:val="center"/>
          </w:tcPr>
          <w:p w14:paraId="6E320432" w14:textId="77777777" w:rsidR="00B45351" w:rsidRPr="00576C8A" w:rsidRDefault="00B45351" w:rsidP="00842E93">
            <w:pPr>
              <w:jc w:val="center"/>
              <w:rPr>
                <w:sz w:val="20"/>
                <w:szCs w:val="20"/>
              </w:rPr>
            </w:pPr>
            <w:r>
              <w:rPr>
                <w:sz w:val="20"/>
                <w:szCs w:val="20"/>
              </w:rPr>
              <w:t>.025</w:t>
            </w:r>
          </w:p>
        </w:tc>
        <w:tc>
          <w:tcPr>
            <w:tcW w:w="733" w:type="dxa"/>
            <w:vAlign w:val="center"/>
          </w:tcPr>
          <w:p w14:paraId="0FD7DD17" w14:textId="77777777" w:rsidR="00B45351" w:rsidRPr="00576C8A" w:rsidRDefault="00B45351" w:rsidP="00842E93">
            <w:pPr>
              <w:jc w:val="center"/>
              <w:rPr>
                <w:sz w:val="20"/>
                <w:szCs w:val="20"/>
              </w:rPr>
            </w:pPr>
          </w:p>
        </w:tc>
        <w:tc>
          <w:tcPr>
            <w:tcW w:w="733" w:type="dxa"/>
            <w:vAlign w:val="center"/>
          </w:tcPr>
          <w:p w14:paraId="6749769F" w14:textId="77777777" w:rsidR="00B45351" w:rsidRPr="00576C8A" w:rsidRDefault="00B45351" w:rsidP="00842E93">
            <w:pPr>
              <w:jc w:val="center"/>
              <w:rPr>
                <w:sz w:val="20"/>
                <w:szCs w:val="20"/>
              </w:rPr>
            </w:pPr>
          </w:p>
        </w:tc>
        <w:tc>
          <w:tcPr>
            <w:tcW w:w="833" w:type="dxa"/>
            <w:vAlign w:val="center"/>
          </w:tcPr>
          <w:p w14:paraId="0858A59B" w14:textId="77777777" w:rsidR="00B45351" w:rsidRPr="00576C8A" w:rsidRDefault="00B45351" w:rsidP="00842E93">
            <w:pPr>
              <w:jc w:val="center"/>
              <w:rPr>
                <w:sz w:val="20"/>
                <w:szCs w:val="20"/>
              </w:rPr>
            </w:pPr>
          </w:p>
        </w:tc>
        <w:tc>
          <w:tcPr>
            <w:tcW w:w="779" w:type="dxa"/>
            <w:vAlign w:val="center"/>
          </w:tcPr>
          <w:p w14:paraId="4BD5D7BE" w14:textId="77777777" w:rsidR="00B45351" w:rsidRPr="00576C8A" w:rsidRDefault="00B45351" w:rsidP="00842E93">
            <w:pPr>
              <w:jc w:val="center"/>
              <w:rPr>
                <w:sz w:val="20"/>
                <w:szCs w:val="20"/>
              </w:rPr>
            </w:pPr>
          </w:p>
        </w:tc>
        <w:tc>
          <w:tcPr>
            <w:tcW w:w="633" w:type="dxa"/>
            <w:vAlign w:val="center"/>
          </w:tcPr>
          <w:p w14:paraId="65C262D9" w14:textId="77777777" w:rsidR="00B45351" w:rsidRPr="00576C8A" w:rsidRDefault="00B45351" w:rsidP="00842E93">
            <w:pPr>
              <w:jc w:val="center"/>
              <w:rPr>
                <w:sz w:val="20"/>
                <w:szCs w:val="20"/>
              </w:rPr>
            </w:pPr>
          </w:p>
        </w:tc>
        <w:tc>
          <w:tcPr>
            <w:tcW w:w="533" w:type="dxa"/>
            <w:vAlign w:val="center"/>
          </w:tcPr>
          <w:p w14:paraId="6D56FBF7" w14:textId="77777777" w:rsidR="00B45351" w:rsidRPr="00576C8A" w:rsidRDefault="00B45351" w:rsidP="00842E93">
            <w:pPr>
              <w:jc w:val="center"/>
              <w:rPr>
                <w:sz w:val="20"/>
                <w:szCs w:val="20"/>
              </w:rPr>
            </w:pPr>
          </w:p>
        </w:tc>
        <w:tc>
          <w:tcPr>
            <w:tcW w:w="666" w:type="dxa"/>
            <w:vAlign w:val="center"/>
          </w:tcPr>
          <w:p w14:paraId="3D0D2A77" w14:textId="77777777" w:rsidR="00B45351" w:rsidRPr="00576C8A" w:rsidRDefault="00B45351" w:rsidP="00842E93">
            <w:pPr>
              <w:jc w:val="center"/>
              <w:rPr>
                <w:sz w:val="20"/>
                <w:szCs w:val="20"/>
              </w:rPr>
            </w:pPr>
          </w:p>
        </w:tc>
        <w:tc>
          <w:tcPr>
            <w:tcW w:w="801" w:type="dxa"/>
            <w:vAlign w:val="center"/>
          </w:tcPr>
          <w:p w14:paraId="3D22FB43" w14:textId="77777777" w:rsidR="00B45351" w:rsidRPr="00576C8A" w:rsidRDefault="00B45351" w:rsidP="00842E93">
            <w:pPr>
              <w:jc w:val="center"/>
              <w:rPr>
                <w:sz w:val="20"/>
                <w:szCs w:val="20"/>
              </w:rPr>
            </w:pPr>
          </w:p>
        </w:tc>
        <w:tc>
          <w:tcPr>
            <w:tcW w:w="633" w:type="dxa"/>
            <w:vAlign w:val="center"/>
          </w:tcPr>
          <w:p w14:paraId="020DFFA0" w14:textId="77777777" w:rsidR="00B45351" w:rsidRPr="00576C8A" w:rsidRDefault="00B45351" w:rsidP="00842E93">
            <w:pPr>
              <w:jc w:val="center"/>
              <w:rPr>
                <w:sz w:val="20"/>
                <w:szCs w:val="20"/>
              </w:rPr>
            </w:pPr>
          </w:p>
        </w:tc>
        <w:tc>
          <w:tcPr>
            <w:tcW w:w="533" w:type="dxa"/>
            <w:vAlign w:val="center"/>
          </w:tcPr>
          <w:p w14:paraId="6E145F22" w14:textId="77777777" w:rsidR="00B45351" w:rsidRPr="00576C8A" w:rsidRDefault="00B45351" w:rsidP="00842E93">
            <w:pPr>
              <w:jc w:val="center"/>
              <w:rPr>
                <w:sz w:val="20"/>
                <w:szCs w:val="20"/>
              </w:rPr>
            </w:pPr>
          </w:p>
        </w:tc>
        <w:tc>
          <w:tcPr>
            <w:tcW w:w="666" w:type="dxa"/>
            <w:vAlign w:val="center"/>
          </w:tcPr>
          <w:p w14:paraId="1E929C88" w14:textId="77777777" w:rsidR="00B45351" w:rsidRPr="00576C8A" w:rsidRDefault="00B45351" w:rsidP="00842E93">
            <w:pPr>
              <w:jc w:val="center"/>
              <w:rPr>
                <w:sz w:val="20"/>
                <w:szCs w:val="20"/>
              </w:rPr>
            </w:pPr>
          </w:p>
        </w:tc>
        <w:tc>
          <w:tcPr>
            <w:tcW w:w="801" w:type="dxa"/>
            <w:vAlign w:val="center"/>
          </w:tcPr>
          <w:p w14:paraId="798BDDA7" w14:textId="77777777" w:rsidR="00B45351" w:rsidRPr="00576C8A" w:rsidRDefault="00B45351" w:rsidP="00842E93">
            <w:pPr>
              <w:jc w:val="center"/>
              <w:rPr>
                <w:sz w:val="20"/>
                <w:szCs w:val="20"/>
              </w:rPr>
            </w:pPr>
          </w:p>
        </w:tc>
      </w:tr>
      <w:tr w:rsidR="00B45351" w:rsidRPr="00576C8A" w14:paraId="2C68941B" w14:textId="77777777" w:rsidTr="00842E93">
        <w:trPr>
          <w:trHeight w:val="227"/>
        </w:trPr>
        <w:tc>
          <w:tcPr>
            <w:tcW w:w="3671" w:type="dxa"/>
            <w:vAlign w:val="center"/>
          </w:tcPr>
          <w:p w14:paraId="2E32AE7C" w14:textId="77777777" w:rsidR="00B45351" w:rsidRDefault="00B45351" w:rsidP="00842E93">
            <w:pPr>
              <w:rPr>
                <w:sz w:val="20"/>
                <w:szCs w:val="20"/>
              </w:rPr>
            </w:pPr>
            <w:r>
              <w:rPr>
                <w:sz w:val="20"/>
                <w:szCs w:val="20"/>
              </w:rPr>
              <w:t xml:space="preserve">   Length of Service (20+ Years)</w:t>
            </w:r>
          </w:p>
        </w:tc>
        <w:tc>
          <w:tcPr>
            <w:tcW w:w="766" w:type="dxa"/>
            <w:vAlign w:val="center"/>
          </w:tcPr>
          <w:p w14:paraId="695C9D9E" w14:textId="77777777" w:rsidR="00B45351" w:rsidRDefault="00B45351" w:rsidP="00842E93">
            <w:pPr>
              <w:jc w:val="center"/>
              <w:rPr>
                <w:sz w:val="20"/>
                <w:szCs w:val="20"/>
              </w:rPr>
            </w:pPr>
          </w:p>
        </w:tc>
        <w:tc>
          <w:tcPr>
            <w:tcW w:w="633" w:type="dxa"/>
            <w:vAlign w:val="center"/>
          </w:tcPr>
          <w:p w14:paraId="211796AF" w14:textId="77777777" w:rsidR="00B45351" w:rsidRDefault="00B45351" w:rsidP="00842E93">
            <w:pPr>
              <w:jc w:val="center"/>
              <w:rPr>
                <w:sz w:val="20"/>
                <w:szCs w:val="20"/>
              </w:rPr>
            </w:pPr>
          </w:p>
        </w:tc>
        <w:tc>
          <w:tcPr>
            <w:tcW w:w="733" w:type="dxa"/>
            <w:vAlign w:val="center"/>
          </w:tcPr>
          <w:p w14:paraId="20FC7AB6" w14:textId="77777777" w:rsidR="00B45351" w:rsidRDefault="00B45351" w:rsidP="00842E93">
            <w:pPr>
              <w:jc w:val="center"/>
              <w:rPr>
                <w:sz w:val="20"/>
                <w:szCs w:val="20"/>
              </w:rPr>
            </w:pPr>
          </w:p>
        </w:tc>
        <w:tc>
          <w:tcPr>
            <w:tcW w:w="781" w:type="dxa"/>
            <w:vAlign w:val="center"/>
          </w:tcPr>
          <w:p w14:paraId="10FC685E" w14:textId="77777777" w:rsidR="00B45351" w:rsidRPr="00576C8A" w:rsidRDefault="00B45351" w:rsidP="00842E93">
            <w:pPr>
              <w:jc w:val="center"/>
              <w:rPr>
                <w:sz w:val="20"/>
                <w:szCs w:val="20"/>
              </w:rPr>
            </w:pPr>
          </w:p>
        </w:tc>
        <w:tc>
          <w:tcPr>
            <w:tcW w:w="733" w:type="dxa"/>
            <w:vAlign w:val="center"/>
          </w:tcPr>
          <w:p w14:paraId="3E3CA63B" w14:textId="77777777" w:rsidR="00B45351" w:rsidRPr="00576C8A" w:rsidRDefault="00B45351" w:rsidP="00842E93">
            <w:pPr>
              <w:jc w:val="center"/>
              <w:rPr>
                <w:sz w:val="20"/>
                <w:szCs w:val="20"/>
              </w:rPr>
            </w:pPr>
            <w:r>
              <w:rPr>
                <w:sz w:val="20"/>
                <w:szCs w:val="20"/>
              </w:rPr>
              <w:t>-6.70</w:t>
            </w:r>
          </w:p>
        </w:tc>
        <w:tc>
          <w:tcPr>
            <w:tcW w:w="733" w:type="dxa"/>
            <w:vAlign w:val="center"/>
          </w:tcPr>
          <w:p w14:paraId="37C1F53C" w14:textId="77777777" w:rsidR="00B45351" w:rsidRPr="00576C8A" w:rsidRDefault="00B45351" w:rsidP="00842E93">
            <w:pPr>
              <w:jc w:val="center"/>
              <w:rPr>
                <w:sz w:val="20"/>
                <w:szCs w:val="20"/>
              </w:rPr>
            </w:pPr>
            <w:r>
              <w:rPr>
                <w:sz w:val="20"/>
                <w:szCs w:val="20"/>
              </w:rPr>
              <w:t>-.40</w:t>
            </w:r>
          </w:p>
        </w:tc>
        <w:tc>
          <w:tcPr>
            <w:tcW w:w="833" w:type="dxa"/>
            <w:vAlign w:val="center"/>
          </w:tcPr>
          <w:p w14:paraId="26E9C36F" w14:textId="77777777" w:rsidR="00B45351" w:rsidRPr="00576C8A" w:rsidRDefault="00B45351" w:rsidP="00842E93">
            <w:pPr>
              <w:jc w:val="center"/>
              <w:rPr>
                <w:sz w:val="20"/>
                <w:szCs w:val="20"/>
              </w:rPr>
            </w:pPr>
            <w:r>
              <w:rPr>
                <w:sz w:val="20"/>
                <w:szCs w:val="20"/>
              </w:rPr>
              <w:t>-12.84</w:t>
            </w:r>
          </w:p>
        </w:tc>
        <w:tc>
          <w:tcPr>
            <w:tcW w:w="779" w:type="dxa"/>
            <w:vAlign w:val="center"/>
          </w:tcPr>
          <w:p w14:paraId="70FB3B7C" w14:textId="77777777" w:rsidR="00B45351" w:rsidRPr="00576C8A" w:rsidRDefault="00B45351" w:rsidP="00842E93">
            <w:pPr>
              <w:jc w:val="center"/>
              <w:rPr>
                <w:sz w:val="20"/>
                <w:szCs w:val="20"/>
              </w:rPr>
            </w:pPr>
            <w:r>
              <w:rPr>
                <w:sz w:val="20"/>
                <w:szCs w:val="20"/>
              </w:rPr>
              <w:t>&lt;.001</w:t>
            </w:r>
          </w:p>
        </w:tc>
        <w:tc>
          <w:tcPr>
            <w:tcW w:w="633" w:type="dxa"/>
            <w:vAlign w:val="center"/>
          </w:tcPr>
          <w:p w14:paraId="7125ECCB" w14:textId="77777777" w:rsidR="00B45351" w:rsidRPr="00576C8A" w:rsidRDefault="00B45351" w:rsidP="00842E93">
            <w:pPr>
              <w:jc w:val="center"/>
              <w:rPr>
                <w:sz w:val="20"/>
                <w:szCs w:val="20"/>
              </w:rPr>
            </w:pPr>
          </w:p>
        </w:tc>
        <w:tc>
          <w:tcPr>
            <w:tcW w:w="533" w:type="dxa"/>
            <w:vAlign w:val="center"/>
          </w:tcPr>
          <w:p w14:paraId="56FA258D" w14:textId="77777777" w:rsidR="00B45351" w:rsidRPr="00576C8A" w:rsidRDefault="00B45351" w:rsidP="00842E93">
            <w:pPr>
              <w:jc w:val="center"/>
              <w:rPr>
                <w:sz w:val="20"/>
                <w:szCs w:val="20"/>
              </w:rPr>
            </w:pPr>
          </w:p>
        </w:tc>
        <w:tc>
          <w:tcPr>
            <w:tcW w:w="666" w:type="dxa"/>
            <w:vAlign w:val="center"/>
          </w:tcPr>
          <w:p w14:paraId="557F6B29" w14:textId="77777777" w:rsidR="00B45351" w:rsidRPr="00576C8A" w:rsidRDefault="00B45351" w:rsidP="00842E93">
            <w:pPr>
              <w:jc w:val="center"/>
              <w:rPr>
                <w:sz w:val="20"/>
                <w:szCs w:val="20"/>
              </w:rPr>
            </w:pPr>
          </w:p>
        </w:tc>
        <w:tc>
          <w:tcPr>
            <w:tcW w:w="801" w:type="dxa"/>
            <w:vAlign w:val="center"/>
          </w:tcPr>
          <w:p w14:paraId="143EF50A" w14:textId="77777777" w:rsidR="00B45351" w:rsidRPr="00576C8A" w:rsidRDefault="00B45351" w:rsidP="00842E93">
            <w:pPr>
              <w:jc w:val="center"/>
              <w:rPr>
                <w:sz w:val="20"/>
                <w:szCs w:val="20"/>
              </w:rPr>
            </w:pPr>
          </w:p>
        </w:tc>
        <w:tc>
          <w:tcPr>
            <w:tcW w:w="633" w:type="dxa"/>
            <w:vAlign w:val="center"/>
          </w:tcPr>
          <w:p w14:paraId="4E4B3EBF" w14:textId="77777777" w:rsidR="00B45351" w:rsidRPr="00576C8A" w:rsidRDefault="00B45351" w:rsidP="00842E93">
            <w:pPr>
              <w:jc w:val="center"/>
              <w:rPr>
                <w:sz w:val="20"/>
                <w:szCs w:val="20"/>
              </w:rPr>
            </w:pPr>
          </w:p>
        </w:tc>
        <w:tc>
          <w:tcPr>
            <w:tcW w:w="533" w:type="dxa"/>
            <w:vAlign w:val="center"/>
          </w:tcPr>
          <w:p w14:paraId="37B3157B" w14:textId="77777777" w:rsidR="00B45351" w:rsidRPr="00576C8A" w:rsidRDefault="00B45351" w:rsidP="00842E93">
            <w:pPr>
              <w:jc w:val="center"/>
              <w:rPr>
                <w:sz w:val="20"/>
                <w:szCs w:val="20"/>
              </w:rPr>
            </w:pPr>
          </w:p>
        </w:tc>
        <w:tc>
          <w:tcPr>
            <w:tcW w:w="666" w:type="dxa"/>
            <w:vAlign w:val="center"/>
          </w:tcPr>
          <w:p w14:paraId="6C4BDF54" w14:textId="77777777" w:rsidR="00B45351" w:rsidRPr="00576C8A" w:rsidRDefault="00B45351" w:rsidP="00842E93">
            <w:pPr>
              <w:jc w:val="center"/>
              <w:rPr>
                <w:sz w:val="20"/>
                <w:szCs w:val="20"/>
              </w:rPr>
            </w:pPr>
          </w:p>
        </w:tc>
        <w:tc>
          <w:tcPr>
            <w:tcW w:w="801" w:type="dxa"/>
            <w:vAlign w:val="center"/>
          </w:tcPr>
          <w:p w14:paraId="35C39CF1" w14:textId="77777777" w:rsidR="00B45351" w:rsidRPr="00576C8A" w:rsidRDefault="00B45351" w:rsidP="00842E93">
            <w:pPr>
              <w:jc w:val="center"/>
              <w:rPr>
                <w:sz w:val="20"/>
                <w:szCs w:val="20"/>
              </w:rPr>
            </w:pPr>
          </w:p>
        </w:tc>
      </w:tr>
      <w:tr w:rsidR="00B45351" w:rsidRPr="00576C8A" w14:paraId="10597732" w14:textId="77777777" w:rsidTr="00842E93">
        <w:trPr>
          <w:trHeight w:val="227"/>
        </w:trPr>
        <w:tc>
          <w:tcPr>
            <w:tcW w:w="3671" w:type="dxa"/>
            <w:vAlign w:val="center"/>
          </w:tcPr>
          <w:p w14:paraId="43069F62" w14:textId="77777777" w:rsidR="00B45351" w:rsidRDefault="00B45351" w:rsidP="00842E93">
            <w:pPr>
              <w:rPr>
                <w:sz w:val="20"/>
                <w:szCs w:val="20"/>
              </w:rPr>
            </w:pPr>
            <w:r>
              <w:rPr>
                <w:sz w:val="20"/>
                <w:szCs w:val="20"/>
              </w:rPr>
              <w:t xml:space="preserve">   Length of Service (10-19 Years)</w:t>
            </w:r>
          </w:p>
        </w:tc>
        <w:tc>
          <w:tcPr>
            <w:tcW w:w="766" w:type="dxa"/>
            <w:vAlign w:val="center"/>
          </w:tcPr>
          <w:p w14:paraId="701D48B1" w14:textId="77777777" w:rsidR="00B45351" w:rsidRDefault="00B45351" w:rsidP="00842E93">
            <w:pPr>
              <w:jc w:val="center"/>
              <w:rPr>
                <w:sz w:val="20"/>
                <w:szCs w:val="20"/>
              </w:rPr>
            </w:pPr>
          </w:p>
        </w:tc>
        <w:tc>
          <w:tcPr>
            <w:tcW w:w="633" w:type="dxa"/>
            <w:vAlign w:val="center"/>
          </w:tcPr>
          <w:p w14:paraId="2E7AA331" w14:textId="77777777" w:rsidR="00B45351" w:rsidRDefault="00B45351" w:rsidP="00842E93">
            <w:pPr>
              <w:jc w:val="center"/>
              <w:rPr>
                <w:sz w:val="20"/>
                <w:szCs w:val="20"/>
              </w:rPr>
            </w:pPr>
          </w:p>
        </w:tc>
        <w:tc>
          <w:tcPr>
            <w:tcW w:w="733" w:type="dxa"/>
            <w:vAlign w:val="center"/>
          </w:tcPr>
          <w:p w14:paraId="31D35011" w14:textId="77777777" w:rsidR="00B45351" w:rsidRDefault="00B45351" w:rsidP="00842E93">
            <w:pPr>
              <w:jc w:val="center"/>
              <w:rPr>
                <w:sz w:val="20"/>
                <w:szCs w:val="20"/>
              </w:rPr>
            </w:pPr>
          </w:p>
        </w:tc>
        <w:tc>
          <w:tcPr>
            <w:tcW w:w="781" w:type="dxa"/>
            <w:vAlign w:val="center"/>
          </w:tcPr>
          <w:p w14:paraId="12B357AC" w14:textId="77777777" w:rsidR="00B45351" w:rsidRPr="00576C8A" w:rsidRDefault="00B45351" w:rsidP="00842E93">
            <w:pPr>
              <w:jc w:val="center"/>
              <w:rPr>
                <w:sz w:val="20"/>
                <w:szCs w:val="20"/>
              </w:rPr>
            </w:pPr>
          </w:p>
        </w:tc>
        <w:tc>
          <w:tcPr>
            <w:tcW w:w="733" w:type="dxa"/>
            <w:vAlign w:val="center"/>
          </w:tcPr>
          <w:p w14:paraId="05371D81" w14:textId="77777777" w:rsidR="00B45351" w:rsidRPr="00576C8A" w:rsidRDefault="00B45351" w:rsidP="00842E93">
            <w:pPr>
              <w:jc w:val="center"/>
              <w:rPr>
                <w:sz w:val="20"/>
                <w:szCs w:val="20"/>
              </w:rPr>
            </w:pPr>
            <w:r>
              <w:rPr>
                <w:sz w:val="20"/>
                <w:szCs w:val="20"/>
              </w:rPr>
              <w:t>-2.75</w:t>
            </w:r>
          </w:p>
        </w:tc>
        <w:tc>
          <w:tcPr>
            <w:tcW w:w="733" w:type="dxa"/>
            <w:vAlign w:val="center"/>
          </w:tcPr>
          <w:p w14:paraId="2E73A44C" w14:textId="77777777" w:rsidR="00B45351" w:rsidRPr="00576C8A" w:rsidRDefault="00B45351" w:rsidP="00842E93">
            <w:pPr>
              <w:jc w:val="center"/>
              <w:rPr>
                <w:sz w:val="20"/>
                <w:szCs w:val="20"/>
              </w:rPr>
            </w:pPr>
            <w:r>
              <w:rPr>
                <w:sz w:val="20"/>
                <w:szCs w:val="20"/>
              </w:rPr>
              <w:t>-.16</w:t>
            </w:r>
          </w:p>
        </w:tc>
        <w:tc>
          <w:tcPr>
            <w:tcW w:w="833" w:type="dxa"/>
            <w:vAlign w:val="center"/>
          </w:tcPr>
          <w:p w14:paraId="2572C78F" w14:textId="77777777" w:rsidR="00B45351" w:rsidRPr="00576C8A" w:rsidRDefault="00B45351" w:rsidP="00842E93">
            <w:pPr>
              <w:jc w:val="center"/>
              <w:rPr>
                <w:sz w:val="20"/>
                <w:szCs w:val="20"/>
              </w:rPr>
            </w:pPr>
            <w:r>
              <w:rPr>
                <w:sz w:val="20"/>
                <w:szCs w:val="20"/>
              </w:rPr>
              <w:t>-5.44</w:t>
            </w:r>
          </w:p>
        </w:tc>
        <w:tc>
          <w:tcPr>
            <w:tcW w:w="779" w:type="dxa"/>
            <w:vAlign w:val="center"/>
          </w:tcPr>
          <w:p w14:paraId="3F5E8B85" w14:textId="77777777" w:rsidR="00B45351" w:rsidRPr="00576C8A" w:rsidRDefault="00B45351" w:rsidP="00842E93">
            <w:pPr>
              <w:jc w:val="center"/>
              <w:rPr>
                <w:sz w:val="20"/>
                <w:szCs w:val="20"/>
              </w:rPr>
            </w:pPr>
            <w:r>
              <w:rPr>
                <w:sz w:val="20"/>
                <w:szCs w:val="20"/>
              </w:rPr>
              <w:t>&lt;.001</w:t>
            </w:r>
          </w:p>
        </w:tc>
        <w:tc>
          <w:tcPr>
            <w:tcW w:w="633" w:type="dxa"/>
            <w:vAlign w:val="center"/>
          </w:tcPr>
          <w:p w14:paraId="291B4D9A" w14:textId="77777777" w:rsidR="00B45351" w:rsidRPr="00576C8A" w:rsidRDefault="00B45351" w:rsidP="00842E93">
            <w:pPr>
              <w:jc w:val="center"/>
              <w:rPr>
                <w:sz w:val="20"/>
                <w:szCs w:val="20"/>
              </w:rPr>
            </w:pPr>
          </w:p>
        </w:tc>
        <w:tc>
          <w:tcPr>
            <w:tcW w:w="533" w:type="dxa"/>
            <w:vAlign w:val="center"/>
          </w:tcPr>
          <w:p w14:paraId="177CD015" w14:textId="77777777" w:rsidR="00B45351" w:rsidRPr="00576C8A" w:rsidRDefault="00B45351" w:rsidP="00842E93">
            <w:pPr>
              <w:jc w:val="center"/>
              <w:rPr>
                <w:sz w:val="20"/>
                <w:szCs w:val="20"/>
              </w:rPr>
            </w:pPr>
          </w:p>
        </w:tc>
        <w:tc>
          <w:tcPr>
            <w:tcW w:w="666" w:type="dxa"/>
            <w:vAlign w:val="center"/>
          </w:tcPr>
          <w:p w14:paraId="2A4785E1" w14:textId="77777777" w:rsidR="00B45351" w:rsidRPr="00576C8A" w:rsidRDefault="00B45351" w:rsidP="00842E93">
            <w:pPr>
              <w:jc w:val="center"/>
              <w:rPr>
                <w:sz w:val="20"/>
                <w:szCs w:val="20"/>
              </w:rPr>
            </w:pPr>
          </w:p>
        </w:tc>
        <w:tc>
          <w:tcPr>
            <w:tcW w:w="801" w:type="dxa"/>
            <w:vAlign w:val="center"/>
          </w:tcPr>
          <w:p w14:paraId="14E7D0D2" w14:textId="77777777" w:rsidR="00B45351" w:rsidRPr="00576C8A" w:rsidRDefault="00B45351" w:rsidP="00842E93">
            <w:pPr>
              <w:jc w:val="center"/>
              <w:rPr>
                <w:sz w:val="20"/>
                <w:szCs w:val="20"/>
              </w:rPr>
            </w:pPr>
          </w:p>
        </w:tc>
        <w:tc>
          <w:tcPr>
            <w:tcW w:w="633" w:type="dxa"/>
            <w:vAlign w:val="center"/>
          </w:tcPr>
          <w:p w14:paraId="1C42D817" w14:textId="77777777" w:rsidR="00B45351" w:rsidRPr="00576C8A" w:rsidRDefault="00B45351" w:rsidP="00842E93">
            <w:pPr>
              <w:jc w:val="center"/>
              <w:rPr>
                <w:sz w:val="20"/>
                <w:szCs w:val="20"/>
              </w:rPr>
            </w:pPr>
          </w:p>
        </w:tc>
        <w:tc>
          <w:tcPr>
            <w:tcW w:w="533" w:type="dxa"/>
            <w:vAlign w:val="center"/>
          </w:tcPr>
          <w:p w14:paraId="4B68AEFD" w14:textId="77777777" w:rsidR="00B45351" w:rsidRPr="00576C8A" w:rsidRDefault="00B45351" w:rsidP="00842E93">
            <w:pPr>
              <w:jc w:val="center"/>
              <w:rPr>
                <w:sz w:val="20"/>
                <w:szCs w:val="20"/>
              </w:rPr>
            </w:pPr>
          </w:p>
        </w:tc>
        <w:tc>
          <w:tcPr>
            <w:tcW w:w="666" w:type="dxa"/>
            <w:vAlign w:val="center"/>
          </w:tcPr>
          <w:p w14:paraId="0A0E0870" w14:textId="77777777" w:rsidR="00B45351" w:rsidRPr="00576C8A" w:rsidRDefault="00B45351" w:rsidP="00842E93">
            <w:pPr>
              <w:jc w:val="center"/>
              <w:rPr>
                <w:sz w:val="20"/>
                <w:szCs w:val="20"/>
              </w:rPr>
            </w:pPr>
          </w:p>
        </w:tc>
        <w:tc>
          <w:tcPr>
            <w:tcW w:w="801" w:type="dxa"/>
            <w:vAlign w:val="center"/>
          </w:tcPr>
          <w:p w14:paraId="57667313" w14:textId="77777777" w:rsidR="00B45351" w:rsidRPr="00576C8A" w:rsidRDefault="00B45351" w:rsidP="00842E93">
            <w:pPr>
              <w:jc w:val="center"/>
              <w:rPr>
                <w:sz w:val="20"/>
                <w:szCs w:val="20"/>
              </w:rPr>
            </w:pPr>
          </w:p>
        </w:tc>
      </w:tr>
      <w:tr w:rsidR="00B45351" w:rsidRPr="00576C8A" w14:paraId="7EC514F4" w14:textId="77777777" w:rsidTr="00842E93">
        <w:trPr>
          <w:trHeight w:val="227"/>
        </w:trPr>
        <w:tc>
          <w:tcPr>
            <w:tcW w:w="3671" w:type="dxa"/>
            <w:vAlign w:val="center"/>
          </w:tcPr>
          <w:p w14:paraId="533E8417" w14:textId="77777777" w:rsidR="00B45351" w:rsidRDefault="00B45351" w:rsidP="00842E93">
            <w:pPr>
              <w:rPr>
                <w:sz w:val="20"/>
                <w:szCs w:val="20"/>
              </w:rPr>
            </w:pPr>
            <w:r>
              <w:rPr>
                <w:sz w:val="20"/>
                <w:szCs w:val="20"/>
              </w:rPr>
              <w:t xml:space="preserve">   Length of Service (0-4 Years)</w:t>
            </w:r>
          </w:p>
        </w:tc>
        <w:tc>
          <w:tcPr>
            <w:tcW w:w="766" w:type="dxa"/>
            <w:vAlign w:val="center"/>
          </w:tcPr>
          <w:p w14:paraId="205E58C6" w14:textId="77777777" w:rsidR="00B45351" w:rsidRDefault="00B45351" w:rsidP="00842E93">
            <w:pPr>
              <w:jc w:val="center"/>
              <w:rPr>
                <w:sz w:val="20"/>
                <w:szCs w:val="20"/>
              </w:rPr>
            </w:pPr>
          </w:p>
        </w:tc>
        <w:tc>
          <w:tcPr>
            <w:tcW w:w="633" w:type="dxa"/>
            <w:vAlign w:val="center"/>
          </w:tcPr>
          <w:p w14:paraId="5E80656A" w14:textId="77777777" w:rsidR="00B45351" w:rsidRDefault="00B45351" w:rsidP="00842E93">
            <w:pPr>
              <w:jc w:val="center"/>
              <w:rPr>
                <w:sz w:val="20"/>
                <w:szCs w:val="20"/>
              </w:rPr>
            </w:pPr>
          </w:p>
        </w:tc>
        <w:tc>
          <w:tcPr>
            <w:tcW w:w="733" w:type="dxa"/>
            <w:vAlign w:val="center"/>
          </w:tcPr>
          <w:p w14:paraId="7EBF8A44" w14:textId="77777777" w:rsidR="00B45351" w:rsidRDefault="00B45351" w:rsidP="00842E93">
            <w:pPr>
              <w:jc w:val="center"/>
              <w:rPr>
                <w:sz w:val="20"/>
                <w:szCs w:val="20"/>
              </w:rPr>
            </w:pPr>
          </w:p>
        </w:tc>
        <w:tc>
          <w:tcPr>
            <w:tcW w:w="781" w:type="dxa"/>
            <w:vAlign w:val="center"/>
          </w:tcPr>
          <w:p w14:paraId="15284F16" w14:textId="77777777" w:rsidR="00B45351" w:rsidRPr="00576C8A" w:rsidRDefault="00B45351" w:rsidP="00842E93">
            <w:pPr>
              <w:jc w:val="center"/>
              <w:rPr>
                <w:sz w:val="20"/>
                <w:szCs w:val="20"/>
              </w:rPr>
            </w:pPr>
          </w:p>
        </w:tc>
        <w:tc>
          <w:tcPr>
            <w:tcW w:w="733" w:type="dxa"/>
            <w:vAlign w:val="center"/>
          </w:tcPr>
          <w:p w14:paraId="466EC68C" w14:textId="77777777" w:rsidR="00B45351" w:rsidRPr="00576C8A" w:rsidRDefault="00B45351" w:rsidP="00842E93">
            <w:pPr>
              <w:jc w:val="center"/>
              <w:rPr>
                <w:sz w:val="20"/>
                <w:szCs w:val="20"/>
              </w:rPr>
            </w:pPr>
            <w:r>
              <w:rPr>
                <w:sz w:val="20"/>
                <w:szCs w:val="20"/>
              </w:rPr>
              <w:t>1.86</w:t>
            </w:r>
          </w:p>
        </w:tc>
        <w:tc>
          <w:tcPr>
            <w:tcW w:w="733" w:type="dxa"/>
            <w:vAlign w:val="center"/>
          </w:tcPr>
          <w:p w14:paraId="22C3D49C" w14:textId="77777777" w:rsidR="00B45351" w:rsidRPr="00576C8A" w:rsidRDefault="00B45351" w:rsidP="00842E93">
            <w:pPr>
              <w:jc w:val="center"/>
              <w:rPr>
                <w:sz w:val="20"/>
                <w:szCs w:val="20"/>
              </w:rPr>
            </w:pPr>
            <w:r>
              <w:rPr>
                <w:sz w:val="20"/>
                <w:szCs w:val="20"/>
              </w:rPr>
              <w:t>.13</w:t>
            </w:r>
          </w:p>
        </w:tc>
        <w:tc>
          <w:tcPr>
            <w:tcW w:w="833" w:type="dxa"/>
            <w:vAlign w:val="center"/>
          </w:tcPr>
          <w:p w14:paraId="4DC01FCA" w14:textId="77777777" w:rsidR="00B45351" w:rsidRPr="00576C8A" w:rsidRDefault="00B45351" w:rsidP="00842E93">
            <w:pPr>
              <w:jc w:val="center"/>
              <w:rPr>
                <w:sz w:val="20"/>
                <w:szCs w:val="20"/>
              </w:rPr>
            </w:pPr>
            <w:r>
              <w:rPr>
                <w:sz w:val="20"/>
                <w:szCs w:val="20"/>
              </w:rPr>
              <w:t>4.09</w:t>
            </w:r>
          </w:p>
        </w:tc>
        <w:tc>
          <w:tcPr>
            <w:tcW w:w="779" w:type="dxa"/>
            <w:vAlign w:val="center"/>
          </w:tcPr>
          <w:p w14:paraId="5E906E49" w14:textId="77777777" w:rsidR="00B45351" w:rsidRPr="00576C8A" w:rsidRDefault="00B45351" w:rsidP="00842E93">
            <w:pPr>
              <w:jc w:val="center"/>
              <w:rPr>
                <w:sz w:val="20"/>
                <w:szCs w:val="20"/>
              </w:rPr>
            </w:pPr>
            <w:r>
              <w:rPr>
                <w:sz w:val="20"/>
                <w:szCs w:val="20"/>
              </w:rPr>
              <w:t>&lt;.001</w:t>
            </w:r>
          </w:p>
        </w:tc>
        <w:tc>
          <w:tcPr>
            <w:tcW w:w="633" w:type="dxa"/>
            <w:vAlign w:val="center"/>
          </w:tcPr>
          <w:p w14:paraId="65E3C18E" w14:textId="77777777" w:rsidR="00B45351" w:rsidRPr="00576C8A" w:rsidRDefault="00B45351" w:rsidP="00842E93">
            <w:pPr>
              <w:jc w:val="center"/>
              <w:rPr>
                <w:sz w:val="20"/>
                <w:szCs w:val="20"/>
              </w:rPr>
            </w:pPr>
          </w:p>
        </w:tc>
        <w:tc>
          <w:tcPr>
            <w:tcW w:w="533" w:type="dxa"/>
            <w:vAlign w:val="center"/>
          </w:tcPr>
          <w:p w14:paraId="6D855906" w14:textId="77777777" w:rsidR="00B45351" w:rsidRPr="00576C8A" w:rsidRDefault="00B45351" w:rsidP="00842E93">
            <w:pPr>
              <w:jc w:val="center"/>
              <w:rPr>
                <w:sz w:val="20"/>
                <w:szCs w:val="20"/>
              </w:rPr>
            </w:pPr>
          </w:p>
        </w:tc>
        <w:tc>
          <w:tcPr>
            <w:tcW w:w="666" w:type="dxa"/>
            <w:vAlign w:val="center"/>
          </w:tcPr>
          <w:p w14:paraId="2FB51F5C" w14:textId="77777777" w:rsidR="00B45351" w:rsidRPr="00576C8A" w:rsidRDefault="00B45351" w:rsidP="00842E93">
            <w:pPr>
              <w:jc w:val="center"/>
              <w:rPr>
                <w:sz w:val="20"/>
                <w:szCs w:val="20"/>
              </w:rPr>
            </w:pPr>
          </w:p>
        </w:tc>
        <w:tc>
          <w:tcPr>
            <w:tcW w:w="801" w:type="dxa"/>
            <w:vAlign w:val="center"/>
          </w:tcPr>
          <w:p w14:paraId="5280E0B7" w14:textId="77777777" w:rsidR="00B45351" w:rsidRPr="00576C8A" w:rsidRDefault="00B45351" w:rsidP="00842E93">
            <w:pPr>
              <w:jc w:val="center"/>
              <w:rPr>
                <w:sz w:val="20"/>
                <w:szCs w:val="20"/>
              </w:rPr>
            </w:pPr>
          </w:p>
        </w:tc>
        <w:tc>
          <w:tcPr>
            <w:tcW w:w="633" w:type="dxa"/>
            <w:vAlign w:val="center"/>
          </w:tcPr>
          <w:p w14:paraId="3539B395" w14:textId="77777777" w:rsidR="00B45351" w:rsidRPr="00576C8A" w:rsidRDefault="00B45351" w:rsidP="00842E93">
            <w:pPr>
              <w:jc w:val="center"/>
              <w:rPr>
                <w:sz w:val="20"/>
                <w:szCs w:val="20"/>
              </w:rPr>
            </w:pPr>
          </w:p>
        </w:tc>
        <w:tc>
          <w:tcPr>
            <w:tcW w:w="533" w:type="dxa"/>
            <w:vAlign w:val="center"/>
          </w:tcPr>
          <w:p w14:paraId="01AB3293" w14:textId="77777777" w:rsidR="00B45351" w:rsidRPr="00576C8A" w:rsidRDefault="00B45351" w:rsidP="00842E93">
            <w:pPr>
              <w:jc w:val="center"/>
              <w:rPr>
                <w:sz w:val="20"/>
                <w:szCs w:val="20"/>
              </w:rPr>
            </w:pPr>
          </w:p>
        </w:tc>
        <w:tc>
          <w:tcPr>
            <w:tcW w:w="666" w:type="dxa"/>
            <w:vAlign w:val="center"/>
          </w:tcPr>
          <w:p w14:paraId="1FBFE3E8" w14:textId="77777777" w:rsidR="00B45351" w:rsidRPr="00576C8A" w:rsidRDefault="00B45351" w:rsidP="00842E93">
            <w:pPr>
              <w:jc w:val="center"/>
              <w:rPr>
                <w:sz w:val="20"/>
                <w:szCs w:val="20"/>
              </w:rPr>
            </w:pPr>
          </w:p>
        </w:tc>
        <w:tc>
          <w:tcPr>
            <w:tcW w:w="801" w:type="dxa"/>
            <w:vAlign w:val="center"/>
          </w:tcPr>
          <w:p w14:paraId="1F96FF19" w14:textId="77777777" w:rsidR="00B45351" w:rsidRPr="00576C8A" w:rsidRDefault="00B45351" w:rsidP="00842E93">
            <w:pPr>
              <w:jc w:val="center"/>
              <w:rPr>
                <w:sz w:val="20"/>
                <w:szCs w:val="20"/>
              </w:rPr>
            </w:pPr>
          </w:p>
        </w:tc>
      </w:tr>
      <w:tr w:rsidR="00B45351" w:rsidRPr="00576C8A" w14:paraId="37EFD5AC" w14:textId="77777777" w:rsidTr="00842E93">
        <w:trPr>
          <w:trHeight w:val="227"/>
        </w:trPr>
        <w:tc>
          <w:tcPr>
            <w:tcW w:w="3671" w:type="dxa"/>
            <w:vAlign w:val="center"/>
          </w:tcPr>
          <w:p w14:paraId="69C1E1A7" w14:textId="77777777" w:rsidR="00B45351" w:rsidRDefault="00B45351" w:rsidP="00842E93">
            <w:pPr>
              <w:rPr>
                <w:sz w:val="20"/>
                <w:szCs w:val="20"/>
              </w:rPr>
            </w:pPr>
            <w:r>
              <w:rPr>
                <w:sz w:val="20"/>
                <w:szCs w:val="20"/>
              </w:rPr>
              <w:t xml:space="preserve">   Years Since Discharge (25+ Years)</w:t>
            </w:r>
          </w:p>
        </w:tc>
        <w:tc>
          <w:tcPr>
            <w:tcW w:w="766" w:type="dxa"/>
            <w:vAlign w:val="center"/>
          </w:tcPr>
          <w:p w14:paraId="4DFABE2D" w14:textId="77777777" w:rsidR="00B45351" w:rsidRDefault="00B45351" w:rsidP="00842E93">
            <w:pPr>
              <w:jc w:val="center"/>
              <w:rPr>
                <w:sz w:val="20"/>
                <w:szCs w:val="20"/>
              </w:rPr>
            </w:pPr>
          </w:p>
        </w:tc>
        <w:tc>
          <w:tcPr>
            <w:tcW w:w="633" w:type="dxa"/>
            <w:vAlign w:val="center"/>
          </w:tcPr>
          <w:p w14:paraId="275E9D84" w14:textId="77777777" w:rsidR="00B45351" w:rsidRDefault="00B45351" w:rsidP="00842E93">
            <w:pPr>
              <w:jc w:val="center"/>
              <w:rPr>
                <w:sz w:val="20"/>
                <w:szCs w:val="20"/>
              </w:rPr>
            </w:pPr>
          </w:p>
        </w:tc>
        <w:tc>
          <w:tcPr>
            <w:tcW w:w="733" w:type="dxa"/>
            <w:vAlign w:val="center"/>
          </w:tcPr>
          <w:p w14:paraId="73CD8A45" w14:textId="77777777" w:rsidR="00B45351" w:rsidRDefault="00B45351" w:rsidP="00842E93">
            <w:pPr>
              <w:jc w:val="center"/>
              <w:rPr>
                <w:sz w:val="20"/>
                <w:szCs w:val="20"/>
              </w:rPr>
            </w:pPr>
          </w:p>
        </w:tc>
        <w:tc>
          <w:tcPr>
            <w:tcW w:w="781" w:type="dxa"/>
            <w:vAlign w:val="center"/>
          </w:tcPr>
          <w:p w14:paraId="2F3E778C" w14:textId="77777777" w:rsidR="00B45351" w:rsidRPr="00576C8A" w:rsidRDefault="00B45351" w:rsidP="00842E93">
            <w:pPr>
              <w:jc w:val="center"/>
              <w:rPr>
                <w:sz w:val="20"/>
                <w:szCs w:val="20"/>
              </w:rPr>
            </w:pPr>
          </w:p>
        </w:tc>
        <w:tc>
          <w:tcPr>
            <w:tcW w:w="733" w:type="dxa"/>
            <w:vAlign w:val="center"/>
          </w:tcPr>
          <w:p w14:paraId="0A7D00B7" w14:textId="77777777" w:rsidR="00B45351" w:rsidRPr="00576C8A" w:rsidRDefault="00B45351" w:rsidP="00842E93">
            <w:pPr>
              <w:jc w:val="center"/>
              <w:rPr>
                <w:sz w:val="20"/>
                <w:szCs w:val="20"/>
              </w:rPr>
            </w:pPr>
            <w:r>
              <w:rPr>
                <w:sz w:val="20"/>
                <w:szCs w:val="20"/>
              </w:rPr>
              <w:t>-2.80</w:t>
            </w:r>
          </w:p>
        </w:tc>
        <w:tc>
          <w:tcPr>
            <w:tcW w:w="733" w:type="dxa"/>
            <w:vAlign w:val="center"/>
          </w:tcPr>
          <w:p w14:paraId="78913190" w14:textId="77777777" w:rsidR="00B45351" w:rsidRPr="00576C8A" w:rsidRDefault="00B45351" w:rsidP="00842E93">
            <w:pPr>
              <w:jc w:val="center"/>
              <w:rPr>
                <w:sz w:val="20"/>
                <w:szCs w:val="20"/>
              </w:rPr>
            </w:pPr>
            <w:r>
              <w:rPr>
                <w:sz w:val="20"/>
                <w:szCs w:val="20"/>
              </w:rPr>
              <w:t>-.19</w:t>
            </w:r>
          </w:p>
        </w:tc>
        <w:tc>
          <w:tcPr>
            <w:tcW w:w="833" w:type="dxa"/>
            <w:vAlign w:val="center"/>
          </w:tcPr>
          <w:p w14:paraId="75274D48" w14:textId="77777777" w:rsidR="00B45351" w:rsidRPr="00576C8A" w:rsidRDefault="00B45351" w:rsidP="00842E93">
            <w:pPr>
              <w:jc w:val="center"/>
              <w:rPr>
                <w:sz w:val="20"/>
                <w:szCs w:val="20"/>
              </w:rPr>
            </w:pPr>
            <w:r>
              <w:rPr>
                <w:sz w:val="20"/>
                <w:szCs w:val="20"/>
              </w:rPr>
              <w:t>-6.35</w:t>
            </w:r>
          </w:p>
        </w:tc>
        <w:tc>
          <w:tcPr>
            <w:tcW w:w="779" w:type="dxa"/>
            <w:vAlign w:val="center"/>
          </w:tcPr>
          <w:p w14:paraId="7FCCB99D" w14:textId="77777777" w:rsidR="00B45351" w:rsidRPr="00576C8A" w:rsidRDefault="00B45351" w:rsidP="00842E93">
            <w:pPr>
              <w:jc w:val="center"/>
              <w:rPr>
                <w:sz w:val="20"/>
                <w:szCs w:val="20"/>
              </w:rPr>
            </w:pPr>
            <w:r>
              <w:rPr>
                <w:sz w:val="20"/>
                <w:szCs w:val="20"/>
              </w:rPr>
              <w:t>&lt;.001</w:t>
            </w:r>
          </w:p>
        </w:tc>
        <w:tc>
          <w:tcPr>
            <w:tcW w:w="633" w:type="dxa"/>
            <w:vAlign w:val="center"/>
          </w:tcPr>
          <w:p w14:paraId="6BF9C2FB" w14:textId="77777777" w:rsidR="00B45351" w:rsidRPr="00576C8A" w:rsidRDefault="00B45351" w:rsidP="00842E93">
            <w:pPr>
              <w:jc w:val="center"/>
              <w:rPr>
                <w:sz w:val="20"/>
                <w:szCs w:val="20"/>
              </w:rPr>
            </w:pPr>
          </w:p>
        </w:tc>
        <w:tc>
          <w:tcPr>
            <w:tcW w:w="533" w:type="dxa"/>
            <w:vAlign w:val="center"/>
          </w:tcPr>
          <w:p w14:paraId="67B9F644" w14:textId="77777777" w:rsidR="00B45351" w:rsidRPr="00576C8A" w:rsidRDefault="00B45351" w:rsidP="00842E93">
            <w:pPr>
              <w:jc w:val="center"/>
              <w:rPr>
                <w:sz w:val="20"/>
                <w:szCs w:val="20"/>
              </w:rPr>
            </w:pPr>
          </w:p>
        </w:tc>
        <w:tc>
          <w:tcPr>
            <w:tcW w:w="666" w:type="dxa"/>
            <w:vAlign w:val="center"/>
          </w:tcPr>
          <w:p w14:paraId="64297BDF" w14:textId="77777777" w:rsidR="00B45351" w:rsidRPr="00576C8A" w:rsidRDefault="00B45351" w:rsidP="00842E93">
            <w:pPr>
              <w:jc w:val="center"/>
              <w:rPr>
                <w:sz w:val="20"/>
                <w:szCs w:val="20"/>
              </w:rPr>
            </w:pPr>
          </w:p>
        </w:tc>
        <w:tc>
          <w:tcPr>
            <w:tcW w:w="801" w:type="dxa"/>
            <w:vAlign w:val="center"/>
          </w:tcPr>
          <w:p w14:paraId="26820CCE" w14:textId="77777777" w:rsidR="00B45351" w:rsidRPr="00576C8A" w:rsidRDefault="00B45351" w:rsidP="00842E93">
            <w:pPr>
              <w:jc w:val="center"/>
              <w:rPr>
                <w:sz w:val="20"/>
                <w:szCs w:val="20"/>
              </w:rPr>
            </w:pPr>
          </w:p>
        </w:tc>
        <w:tc>
          <w:tcPr>
            <w:tcW w:w="633" w:type="dxa"/>
            <w:vAlign w:val="center"/>
          </w:tcPr>
          <w:p w14:paraId="6631F8CD" w14:textId="77777777" w:rsidR="00B45351" w:rsidRPr="00576C8A" w:rsidRDefault="00B45351" w:rsidP="00842E93">
            <w:pPr>
              <w:jc w:val="center"/>
              <w:rPr>
                <w:sz w:val="20"/>
                <w:szCs w:val="20"/>
              </w:rPr>
            </w:pPr>
          </w:p>
        </w:tc>
        <w:tc>
          <w:tcPr>
            <w:tcW w:w="533" w:type="dxa"/>
            <w:vAlign w:val="center"/>
          </w:tcPr>
          <w:p w14:paraId="2622B2A1" w14:textId="77777777" w:rsidR="00B45351" w:rsidRPr="00576C8A" w:rsidRDefault="00B45351" w:rsidP="00842E93">
            <w:pPr>
              <w:jc w:val="center"/>
              <w:rPr>
                <w:sz w:val="20"/>
                <w:szCs w:val="20"/>
              </w:rPr>
            </w:pPr>
          </w:p>
        </w:tc>
        <w:tc>
          <w:tcPr>
            <w:tcW w:w="666" w:type="dxa"/>
            <w:vAlign w:val="center"/>
          </w:tcPr>
          <w:p w14:paraId="1C2BA262" w14:textId="77777777" w:rsidR="00B45351" w:rsidRPr="00576C8A" w:rsidRDefault="00B45351" w:rsidP="00842E93">
            <w:pPr>
              <w:jc w:val="center"/>
              <w:rPr>
                <w:sz w:val="20"/>
                <w:szCs w:val="20"/>
              </w:rPr>
            </w:pPr>
          </w:p>
        </w:tc>
        <w:tc>
          <w:tcPr>
            <w:tcW w:w="801" w:type="dxa"/>
            <w:vAlign w:val="center"/>
          </w:tcPr>
          <w:p w14:paraId="51013F8D" w14:textId="77777777" w:rsidR="00B45351" w:rsidRPr="00576C8A" w:rsidRDefault="00B45351" w:rsidP="00842E93">
            <w:pPr>
              <w:jc w:val="center"/>
              <w:rPr>
                <w:sz w:val="20"/>
                <w:szCs w:val="20"/>
              </w:rPr>
            </w:pPr>
          </w:p>
        </w:tc>
      </w:tr>
      <w:tr w:rsidR="00B45351" w:rsidRPr="00576C8A" w14:paraId="620227DE" w14:textId="77777777" w:rsidTr="00842E93">
        <w:trPr>
          <w:trHeight w:val="227"/>
        </w:trPr>
        <w:tc>
          <w:tcPr>
            <w:tcW w:w="3671" w:type="dxa"/>
            <w:vAlign w:val="center"/>
          </w:tcPr>
          <w:p w14:paraId="06E4EBF9" w14:textId="77777777" w:rsidR="00B45351" w:rsidRDefault="00B45351" w:rsidP="00842E93">
            <w:pPr>
              <w:rPr>
                <w:sz w:val="20"/>
                <w:szCs w:val="20"/>
              </w:rPr>
            </w:pPr>
            <w:r>
              <w:rPr>
                <w:sz w:val="20"/>
                <w:szCs w:val="20"/>
              </w:rPr>
              <w:t xml:space="preserve">   Years Since Discharge (9-13 Years)</w:t>
            </w:r>
          </w:p>
        </w:tc>
        <w:tc>
          <w:tcPr>
            <w:tcW w:w="766" w:type="dxa"/>
            <w:vAlign w:val="center"/>
          </w:tcPr>
          <w:p w14:paraId="173D63AF" w14:textId="77777777" w:rsidR="00B45351" w:rsidRDefault="00B45351" w:rsidP="00842E93">
            <w:pPr>
              <w:jc w:val="center"/>
              <w:rPr>
                <w:sz w:val="20"/>
                <w:szCs w:val="20"/>
              </w:rPr>
            </w:pPr>
          </w:p>
        </w:tc>
        <w:tc>
          <w:tcPr>
            <w:tcW w:w="633" w:type="dxa"/>
            <w:vAlign w:val="center"/>
          </w:tcPr>
          <w:p w14:paraId="2925FB34" w14:textId="77777777" w:rsidR="00B45351" w:rsidRDefault="00B45351" w:rsidP="00842E93">
            <w:pPr>
              <w:jc w:val="center"/>
              <w:rPr>
                <w:sz w:val="20"/>
                <w:szCs w:val="20"/>
              </w:rPr>
            </w:pPr>
          </w:p>
        </w:tc>
        <w:tc>
          <w:tcPr>
            <w:tcW w:w="733" w:type="dxa"/>
            <w:vAlign w:val="center"/>
          </w:tcPr>
          <w:p w14:paraId="3122D06F" w14:textId="77777777" w:rsidR="00B45351" w:rsidRDefault="00B45351" w:rsidP="00842E93">
            <w:pPr>
              <w:jc w:val="center"/>
              <w:rPr>
                <w:sz w:val="20"/>
                <w:szCs w:val="20"/>
              </w:rPr>
            </w:pPr>
          </w:p>
        </w:tc>
        <w:tc>
          <w:tcPr>
            <w:tcW w:w="781" w:type="dxa"/>
            <w:vAlign w:val="center"/>
          </w:tcPr>
          <w:p w14:paraId="1FA3044C" w14:textId="77777777" w:rsidR="00B45351" w:rsidRPr="00576C8A" w:rsidRDefault="00B45351" w:rsidP="00842E93">
            <w:pPr>
              <w:jc w:val="center"/>
              <w:rPr>
                <w:sz w:val="20"/>
                <w:szCs w:val="20"/>
              </w:rPr>
            </w:pPr>
          </w:p>
        </w:tc>
        <w:tc>
          <w:tcPr>
            <w:tcW w:w="733" w:type="dxa"/>
            <w:vAlign w:val="center"/>
          </w:tcPr>
          <w:p w14:paraId="4BE8A682" w14:textId="77777777" w:rsidR="00B45351" w:rsidRPr="00576C8A" w:rsidRDefault="00B45351" w:rsidP="00842E93">
            <w:pPr>
              <w:jc w:val="center"/>
              <w:rPr>
                <w:sz w:val="20"/>
                <w:szCs w:val="20"/>
              </w:rPr>
            </w:pPr>
            <w:r>
              <w:rPr>
                <w:sz w:val="20"/>
                <w:szCs w:val="20"/>
              </w:rPr>
              <w:t>2.76</w:t>
            </w:r>
          </w:p>
        </w:tc>
        <w:tc>
          <w:tcPr>
            <w:tcW w:w="733" w:type="dxa"/>
            <w:vAlign w:val="center"/>
          </w:tcPr>
          <w:p w14:paraId="3748AD55" w14:textId="77777777" w:rsidR="00B45351" w:rsidRPr="00576C8A" w:rsidRDefault="00B45351" w:rsidP="00842E93">
            <w:pPr>
              <w:jc w:val="center"/>
              <w:rPr>
                <w:sz w:val="20"/>
                <w:szCs w:val="20"/>
              </w:rPr>
            </w:pPr>
            <w:r>
              <w:rPr>
                <w:sz w:val="20"/>
                <w:szCs w:val="20"/>
              </w:rPr>
              <w:t>.20</w:t>
            </w:r>
          </w:p>
        </w:tc>
        <w:tc>
          <w:tcPr>
            <w:tcW w:w="833" w:type="dxa"/>
            <w:vAlign w:val="center"/>
          </w:tcPr>
          <w:p w14:paraId="7A2E6320" w14:textId="77777777" w:rsidR="00B45351" w:rsidRPr="00576C8A" w:rsidRDefault="00B45351" w:rsidP="00842E93">
            <w:pPr>
              <w:jc w:val="center"/>
              <w:rPr>
                <w:sz w:val="20"/>
                <w:szCs w:val="20"/>
              </w:rPr>
            </w:pPr>
            <w:r>
              <w:rPr>
                <w:sz w:val="20"/>
                <w:szCs w:val="20"/>
              </w:rPr>
              <w:t>6.69</w:t>
            </w:r>
          </w:p>
        </w:tc>
        <w:tc>
          <w:tcPr>
            <w:tcW w:w="779" w:type="dxa"/>
            <w:vAlign w:val="center"/>
          </w:tcPr>
          <w:p w14:paraId="609DCD3E" w14:textId="77777777" w:rsidR="00B45351" w:rsidRPr="00576C8A" w:rsidRDefault="00B45351" w:rsidP="00842E93">
            <w:pPr>
              <w:jc w:val="center"/>
              <w:rPr>
                <w:sz w:val="20"/>
                <w:szCs w:val="20"/>
              </w:rPr>
            </w:pPr>
            <w:r>
              <w:rPr>
                <w:sz w:val="20"/>
                <w:szCs w:val="20"/>
              </w:rPr>
              <w:t>&lt;.001</w:t>
            </w:r>
          </w:p>
        </w:tc>
        <w:tc>
          <w:tcPr>
            <w:tcW w:w="633" w:type="dxa"/>
            <w:vAlign w:val="center"/>
          </w:tcPr>
          <w:p w14:paraId="20D79EDD" w14:textId="77777777" w:rsidR="00B45351" w:rsidRPr="00576C8A" w:rsidRDefault="00B45351" w:rsidP="00842E93">
            <w:pPr>
              <w:jc w:val="center"/>
              <w:rPr>
                <w:sz w:val="20"/>
                <w:szCs w:val="20"/>
              </w:rPr>
            </w:pPr>
          </w:p>
        </w:tc>
        <w:tc>
          <w:tcPr>
            <w:tcW w:w="533" w:type="dxa"/>
            <w:vAlign w:val="center"/>
          </w:tcPr>
          <w:p w14:paraId="0AF647E0" w14:textId="77777777" w:rsidR="00B45351" w:rsidRPr="00576C8A" w:rsidRDefault="00B45351" w:rsidP="00842E93">
            <w:pPr>
              <w:jc w:val="center"/>
              <w:rPr>
                <w:sz w:val="20"/>
                <w:szCs w:val="20"/>
              </w:rPr>
            </w:pPr>
          </w:p>
        </w:tc>
        <w:tc>
          <w:tcPr>
            <w:tcW w:w="666" w:type="dxa"/>
            <w:vAlign w:val="center"/>
          </w:tcPr>
          <w:p w14:paraId="253009B5" w14:textId="77777777" w:rsidR="00B45351" w:rsidRPr="00576C8A" w:rsidRDefault="00B45351" w:rsidP="00842E93">
            <w:pPr>
              <w:jc w:val="center"/>
              <w:rPr>
                <w:sz w:val="20"/>
                <w:szCs w:val="20"/>
              </w:rPr>
            </w:pPr>
          </w:p>
        </w:tc>
        <w:tc>
          <w:tcPr>
            <w:tcW w:w="801" w:type="dxa"/>
            <w:vAlign w:val="center"/>
          </w:tcPr>
          <w:p w14:paraId="3EF13A79" w14:textId="77777777" w:rsidR="00B45351" w:rsidRPr="00576C8A" w:rsidRDefault="00B45351" w:rsidP="00842E93">
            <w:pPr>
              <w:jc w:val="center"/>
              <w:rPr>
                <w:sz w:val="20"/>
                <w:szCs w:val="20"/>
              </w:rPr>
            </w:pPr>
          </w:p>
        </w:tc>
        <w:tc>
          <w:tcPr>
            <w:tcW w:w="633" w:type="dxa"/>
            <w:vAlign w:val="center"/>
          </w:tcPr>
          <w:p w14:paraId="475D0601" w14:textId="77777777" w:rsidR="00B45351" w:rsidRPr="00576C8A" w:rsidRDefault="00B45351" w:rsidP="00842E93">
            <w:pPr>
              <w:jc w:val="center"/>
              <w:rPr>
                <w:sz w:val="20"/>
                <w:szCs w:val="20"/>
              </w:rPr>
            </w:pPr>
          </w:p>
        </w:tc>
        <w:tc>
          <w:tcPr>
            <w:tcW w:w="533" w:type="dxa"/>
            <w:vAlign w:val="center"/>
          </w:tcPr>
          <w:p w14:paraId="56BC2A3B" w14:textId="77777777" w:rsidR="00B45351" w:rsidRPr="00576C8A" w:rsidRDefault="00B45351" w:rsidP="00842E93">
            <w:pPr>
              <w:jc w:val="center"/>
              <w:rPr>
                <w:sz w:val="20"/>
                <w:szCs w:val="20"/>
              </w:rPr>
            </w:pPr>
          </w:p>
        </w:tc>
        <w:tc>
          <w:tcPr>
            <w:tcW w:w="666" w:type="dxa"/>
            <w:vAlign w:val="center"/>
          </w:tcPr>
          <w:p w14:paraId="0BACF96C" w14:textId="77777777" w:rsidR="00B45351" w:rsidRPr="00576C8A" w:rsidRDefault="00B45351" w:rsidP="00842E93">
            <w:pPr>
              <w:jc w:val="center"/>
              <w:rPr>
                <w:sz w:val="20"/>
                <w:szCs w:val="20"/>
              </w:rPr>
            </w:pPr>
          </w:p>
        </w:tc>
        <w:tc>
          <w:tcPr>
            <w:tcW w:w="801" w:type="dxa"/>
            <w:vAlign w:val="center"/>
          </w:tcPr>
          <w:p w14:paraId="05E94B80" w14:textId="77777777" w:rsidR="00B45351" w:rsidRPr="00576C8A" w:rsidRDefault="00B45351" w:rsidP="00842E93">
            <w:pPr>
              <w:jc w:val="center"/>
              <w:rPr>
                <w:sz w:val="20"/>
                <w:szCs w:val="20"/>
              </w:rPr>
            </w:pPr>
          </w:p>
        </w:tc>
      </w:tr>
      <w:tr w:rsidR="00B45351" w:rsidRPr="00576C8A" w14:paraId="57EA18E1" w14:textId="77777777" w:rsidTr="00842E93">
        <w:trPr>
          <w:trHeight w:val="227"/>
        </w:trPr>
        <w:tc>
          <w:tcPr>
            <w:tcW w:w="3671" w:type="dxa"/>
            <w:vAlign w:val="center"/>
          </w:tcPr>
          <w:p w14:paraId="07C05C99" w14:textId="77777777" w:rsidR="00B45351" w:rsidRDefault="00B45351" w:rsidP="00842E93">
            <w:pPr>
              <w:rPr>
                <w:sz w:val="20"/>
                <w:szCs w:val="20"/>
              </w:rPr>
            </w:pPr>
            <w:r>
              <w:rPr>
                <w:sz w:val="20"/>
                <w:szCs w:val="20"/>
              </w:rPr>
              <w:t xml:space="preserve">   Branch (Royal Navy)</w:t>
            </w:r>
          </w:p>
        </w:tc>
        <w:tc>
          <w:tcPr>
            <w:tcW w:w="766" w:type="dxa"/>
            <w:vAlign w:val="center"/>
          </w:tcPr>
          <w:p w14:paraId="79AD111A" w14:textId="77777777" w:rsidR="00B45351" w:rsidRDefault="00B45351" w:rsidP="00842E93">
            <w:pPr>
              <w:jc w:val="center"/>
              <w:rPr>
                <w:sz w:val="20"/>
                <w:szCs w:val="20"/>
              </w:rPr>
            </w:pPr>
          </w:p>
        </w:tc>
        <w:tc>
          <w:tcPr>
            <w:tcW w:w="633" w:type="dxa"/>
            <w:vAlign w:val="center"/>
          </w:tcPr>
          <w:p w14:paraId="7F760322" w14:textId="77777777" w:rsidR="00B45351" w:rsidRDefault="00B45351" w:rsidP="00842E93">
            <w:pPr>
              <w:jc w:val="center"/>
              <w:rPr>
                <w:sz w:val="20"/>
                <w:szCs w:val="20"/>
              </w:rPr>
            </w:pPr>
          </w:p>
        </w:tc>
        <w:tc>
          <w:tcPr>
            <w:tcW w:w="733" w:type="dxa"/>
            <w:vAlign w:val="center"/>
          </w:tcPr>
          <w:p w14:paraId="6D6336BF" w14:textId="77777777" w:rsidR="00B45351" w:rsidRDefault="00B45351" w:rsidP="00842E93">
            <w:pPr>
              <w:jc w:val="center"/>
              <w:rPr>
                <w:sz w:val="20"/>
                <w:szCs w:val="20"/>
              </w:rPr>
            </w:pPr>
          </w:p>
        </w:tc>
        <w:tc>
          <w:tcPr>
            <w:tcW w:w="781" w:type="dxa"/>
            <w:vAlign w:val="center"/>
          </w:tcPr>
          <w:p w14:paraId="12381FEC" w14:textId="77777777" w:rsidR="00B45351" w:rsidRPr="00576C8A" w:rsidRDefault="00B45351" w:rsidP="00842E93">
            <w:pPr>
              <w:jc w:val="center"/>
              <w:rPr>
                <w:sz w:val="20"/>
                <w:szCs w:val="20"/>
              </w:rPr>
            </w:pPr>
          </w:p>
        </w:tc>
        <w:tc>
          <w:tcPr>
            <w:tcW w:w="733" w:type="dxa"/>
            <w:vAlign w:val="center"/>
          </w:tcPr>
          <w:p w14:paraId="0E2D4ED2" w14:textId="77777777" w:rsidR="00B45351" w:rsidRPr="00576C8A" w:rsidRDefault="00B45351" w:rsidP="00842E93">
            <w:pPr>
              <w:jc w:val="center"/>
              <w:rPr>
                <w:sz w:val="20"/>
                <w:szCs w:val="20"/>
              </w:rPr>
            </w:pPr>
            <w:r>
              <w:rPr>
                <w:sz w:val="20"/>
                <w:szCs w:val="20"/>
              </w:rPr>
              <w:t>1.04</w:t>
            </w:r>
          </w:p>
        </w:tc>
        <w:tc>
          <w:tcPr>
            <w:tcW w:w="733" w:type="dxa"/>
            <w:vAlign w:val="center"/>
          </w:tcPr>
          <w:p w14:paraId="7B357699" w14:textId="77777777" w:rsidR="00B45351" w:rsidRPr="00576C8A" w:rsidRDefault="00B45351" w:rsidP="00842E93">
            <w:pPr>
              <w:jc w:val="center"/>
              <w:rPr>
                <w:sz w:val="20"/>
                <w:szCs w:val="20"/>
              </w:rPr>
            </w:pPr>
            <w:r>
              <w:rPr>
                <w:sz w:val="20"/>
                <w:szCs w:val="20"/>
              </w:rPr>
              <w:t>.07</w:t>
            </w:r>
          </w:p>
        </w:tc>
        <w:tc>
          <w:tcPr>
            <w:tcW w:w="833" w:type="dxa"/>
            <w:vAlign w:val="center"/>
          </w:tcPr>
          <w:p w14:paraId="4D13C125" w14:textId="77777777" w:rsidR="00B45351" w:rsidRPr="00576C8A" w:rsidRDefault="00B45351" w:rsidP="00842E93">
            <w:pPr>
              <w:jc w:val="center"/>
              <w:rPr>
                <w:sz w:val="20"/>
                <w:szCs w:val="20"/>
              </w:rPr>
            </w:pPr>
            <w:r>
              <w:rPr>
                <w:sz w:val="20"/>
                <w:szCs w:val="20"/>
              </w:rPr>
              <w:t>2.46</w:t>
            </w:r>
          </w:p>
        </w:tc>
        <w:tc>
          <w:tcPr>
            <w:tcW w:w="779" w:type="dxa"/>
            <w:vAlign w:val="center"/>
          </w:tcPr>
          <w:p w14:paraId="09E58222" w14:textId="77777777" w:rsidR="00B45351" w:rsidRPr="00576C8A" w:rsidRDefault="00B45351" w:rsidP="00842E93">
            <w:pPr>
              <w:jc w:val="center"/>
              <w:rPr>
                <w:sz w:val="20"/>
                <w:szCs w:val="20"/>
              </w:rPr>
            </w:pPr>
            <w:r>
              <w:rPr>
                <w:sz w:val="20"/>
                <w:szCs w:val="20"/>
              </w:rPr>
              <w:t>.014</w:t>
            </w:r>
          </w:p>
        </w:tc>
        <w:tc>
          <w:tcPr>
            <w:tcW w:w="633" w:type="dxa"/>
            <w:vAlign w:val="center"/>
          </w:tcPr>
          <w:p w14:paraId="44BE1616" w14:textId="77777777" w:rsidR="00B45351" w:rsidRPr="00576C8A" w:rsidRDefault="00B45351" w:rsidP="00842E93">
            <w:pPr>
              <w:jc w:val="center"/>
              <w:rPr>
                <w:sz w:val="20"/>
                <w:szCs w:val="20"/>
              </w:rPr>
            </w:pPr>
          </w:p>
        </w:tc>
        <w:tc>
          <w:tcPr>
            <w:tcW w:w="533" w:type="dxa"/>
            <w:vAlign w:val="center"/>
          </w:tcPr>
          <w:p w14:paraId="4B622BA0" w14:textId="77777777" w:rsidR="00B45351" w:rsidRPr="00576C8A" w:rsidRDefault="00B45351" w:rsidP="00842E93">
            <w:pPr>
              <w:jc w:val="center"/>
              <w:rPr>
                <w:sz w:val="20"/>
                <w:szCs w:val="20"/>
              </w:rPr>
            </w:pPr>
          </w:p>
        </w:tc>
        <w:tc>
          <w:tcPr>
            <w:tcW w:w="666" w:type="dxa"/>
            <w:vAlign w:val="center"/>
          </w:tcPr>
          <w:p w14:paraId="1030669B" w14:textId="77777777" w:rsidR="00B45351" w:rsidRPr="00576C8A" w:rsidRDefault="00B45351" w:rsidP="00842E93">
            <w:pPr>
              <w:jc w:val="center"/>
              <w:rPr>
                <w:sz w:val="20"/>
                <w:szCs w:val="20"/>
              </w:rPr>
            </w:pPr>
          </w:p>
        </w:tc>
        <w:tc>
          <w:tcPr>
            <w:tcW w:w="801" w:type="dxa"/>
            <w:vAlign w:val="center"/>
          </w:tcPr>
          <w:p w14:paraId="2BDCF4BE" w14:textId="77777777" w:rsidR="00B45351" w:rsidRPr="00576C8A" w:rsidRDefault="00B45351" w:rsidP="00842E93">
            <w:pPr>
              <w:jc w:val="center"/>
              <w:rPr>
                <w:sz w:val="20"/>
                <w:szCs w:val="20"/>
              </w:rPr>
            </w:pPr>
          </w:p>
        </w:tc>
        <w:tc>
          <w:tcPr>
            <w:tcW w:w="633" w:type="dxa"/>
            <w:vAlign w:val="center"/>
          </w:tcPr>
          <w:p w14:paraId="56A5EBD9" w14:textId="77777777" w:rsidR="00B45351" w:rsidRPr="00576C8A" w:rsidRDefault="00B45351" w:rsidP="00842E93">
            <w:pPr>
              <w:jc w:val="center"/>
              <w:rPr>
                <w:sz w:val="20"/>
                <w:szCs w:val="20"/>
              </w:rPr>
            </w:pPr>
          </w:p>
        </w:tc>
        <w:tc>
          <w:tcPr>
            <w:tcW w:w="533" w:type="dxa"/>
            <w:vAlign w:val="center"/>
          </w:tcPr>
          <w:p w14:paraId="3655C0F8" w14:textId="77777777" w:rsidR="00B45351" w:rsidRPr="00576C8A" w:rsidRDefault="00B45351" w:rsidP="00842E93">
            <w:pPr>
              <w:jc w:val="center"/>
              <w:rPr>
                <w:sz w:val="20"/>
                <w:szCs w:val="20"/>
              </w:rPr>
            </w:pPr>
          </w:p>
        </w:tc>
        <w:tc>
          <w:tcPr>
            <w:tcW w:w="666" w:type="dxa"/>
            <w:vAlign w:val="center"/>
          </w:tcPr>
          <w:p w14:paraId="12D8BB78" w14:textId="77777777" w:rsidR="00B45351" w:rsidRPr="00576C8A" w:rsidRDefault="00B45351" w:rsidP="00842E93">
            <w:pPr>
              <w:jc w:val="center"/>
              <w:rPr>
                <w:sz w:val="20"/>
                <w:szCs w:val="20"/>
              </w:rPr>
            </w:pPr>
          </w:p>
        </w:tc>
        <w:tc>
          <w:tcPr>
            <w:tcW w:w="801" w:type="dxa"/>
            <w:vAlign w:val="center"/>
          </w:tcPr>
          <w:p w14:paraId="1F9CA81D" w14:textId="77777777" w:rsidR="00B45351" w:rsidRPr="00576C8A" w:rsidRDefault="00B45351" w:rsidP="00842E93">
            <w:pPr>
              <w:jc w:val="center"/>
              <w:rPr>
                <w:sz w:val="20"/>
                <w:szCs w:val="20"/>
              </w:rPr>
            </w:pPr>
          </w:p>
        </w:tc>
      </w:tr>
      <w:tr w:rsidR="00B45351" w:rsidRPr="00576C8A" w14:paraId="35F4BF13" w14:textId="77777777" w:rsidTr="00842E93">
        <w:trPr>
          <w:trHeight w:val="227"/>
        </w:trPr>
        <w:tc>
          <w:tcPr>
            <w:tcW w:w="3671" w:type="dxa"/>
            <w:vAlign w:val="center"/>
          </w:tcPr>
          <w:p w14:paraId="4AC9605B" w14:textId="77777777" w:rsidR="00B45351" w:rsidRDefault="00B45351" w:rsidP="00842E93">
            <w:pPr>
              <w:rPr>
                <w:sz w:val="20"/>
                <w:szCs w:val="20"/>
              </w:rPr>
            </w:pPr>
            <w:r>
              <w:rPr>
                <w:sz w:val="20"/>
                <w:szCs w:val="20"/>
              </w:rPr>
              <w:t xml:space="preserve">   Not Deployed</w:t>
            </w:r>
          </w:p>
        </w:tc>
        <w:tc>
          <w:tcPr>
            <w:tcW w:w="766" w:type="dxa"/>
            <w:vAlign w:val="center"/>
          </w:tcPr>
          <w:p w14:paraId="2A825D20" w14:textId="77777777" w:rsidR="00B45351" w:rsidRDefault="00B45351" w:rsidP="00842E93">
            <w:pPr>
              <w:jc w:val="center"/>
              <w:rPr>
                <w:sz w:val="20"/>
                <w:szCs w:val="20"/>
              </w:rPr>
            </w:pPr>
          </w:p>
        </w:tc>
        <w:tc>
          <w:tcPr>
            <w:tcW w:w="633" w:type="dxa"/>
            <w:vAlign w:val="center"/>
          </w:tcPr>
          <w:p w14:paraId="663B54D6" w14:textId="77777777" w:rsidR="00B45351" w:rsidRDefault="00B45351" w:rsidP="00842E93">
            <w:pPr>
              <w:jc w:val="center"/>
              <w:rPr>
                <w:sz w:val="20"/>
                <w:szCs w:val="20"/>
              </w:rPr>
            </w:pPr>
          </w:p>
        </w:tc>
        <w:tc>
          <w:tcPr>
            <w:tcW w:w="733" w:type="dxa"/>
            <w:vAlign w:val="center"/>
          </w:tcPr>
          <w:p w14:paraId="0D328923" w14:textId="77777777" w:rsidR="00B45351" w:rsidRDefault="00B45351" w:rsidP="00842E93">
            <w:pPr>
              <w:jc w:val="center"/>
              <w:rPr>
                <w:sz w:val="20"/>
                <w:szCs w:val="20"/>
              </w:rPr>
            </w:pPr>
          </w:p>
        </w:tc>
        <w:tc>
          <w:tcPr>
            <w:tcW w:w="781" w:type="dxa"/>
            <w:vAlign w:val="center"/>
          </w:tcPr>
          <w:p w14:paraId="66C3ACB3" w14:textId="77777777" w:rsidR="00B45351" w:rsidRPr="00576C8A" w:rsidRDefault="00B45351" w:rsidP="00842E93">
            <w:pPr>
              <w:jc w:val="center"/>
              <w:rPr>
                <w:sz w:val="20"/>
                <w:szCs w:val="20"/>
              </w:rPr>
            </w:pPr>
          </w:p>
        </w:tc>
        <w:tc>
          <w:tcPr>
            <w:tcW w:w="733" w:type="dxa"/>
            <w:vAlign w:val="center"/>
          </w:tcPr>
          <w:p w14:paraId="7BC53693" w14:textId="77777777" w:rsidR="00B45351" w:rsidRPr="00576C8A" w:rsidRDefault="00B45351" w:rsidP="00842E93">
            <w:pPr>
              <w:jc w:val="center"/>
              <w:rPr>
                <w:sz w:val="20"/>
                <w:szCs w:val="20"/>
              </w:rPr>
            </w:pPr>
            <w:r>
              <w:rPr>
                <w:sz w:val="20"/>
                <w:szCs w:val="20"/>
              </w:rPr>
              <w:t>-1.57</w:t>
            </w:r>
          </w:p>
        </w:tc>
        <w:tc>
          <w:tcPr>
            <w:tcW w:w="733" w:type="dxa"/>
            <w:vAlign w:val="center"/>
          </w:tcPr>
          <w:p w14:paraId="57CBA6A7" w14:textId="77777777" w:rsidR="00B45351" w:rsidRPr="00576C8A" w:rsidRDefault="00B45351" w:rsidP="00842E93">
            <w:pPr>
              <w:jc w:val="center"/>
              <w:rPr>
                <w:sz w:val="20"/>
                <w:szCs w:val="20"/>
              </w:rPr>
            </w:pPr>
            <w:r>
              <w:rPr>
                <w:sz w:val="20"/>
                <w:szCs w:val="20"/>
              </w:rPr>
              <w:t>-.09</w:t>
            </w:r>
          </w:p>
        </w:tc>
        <w:tc>
          <w:tcPr>
            <w:tcW w:w="833" w:type="dxa"/>
            <w:vAlign w:val="center"/>
          </w:tcPr>
          <w:p w14:paraId="3AC53B3F" w14:textId="77777777" w:rsidR="00B45351" w:rsidRPr="00576C8A" w:rsidRDefault="00B45351" w:rsidP="00842E93">
            <w:pPr>
              <w:jc w:val="center"/>
              <w:rPr>
                <w:sz w:val="20"/>
                <w:szCs w:val="20"/>
              </w:rPr>
            </w:pPr>
            <w:r>
              <w:rPr>
                <w:sz w:val="20"/>
                <w:szCs w:val="20"/>
              </w:rPr>
              <w:t>-3.14</w:t>
            </w:r>
          </w:p>
        </w:tc>
        <w:tc>
          <w:tcPr>
            <w:tcW w:w="779" w:type="dxa"/>
            <w:vAlign w:val="center"/>
          </w:tcPr>
          <w:p w14:paraId="3B7EACEA" w14:textId="77777777" w:rsidR="00B45351" w:rsidRPr="00576C8A" w:rsidRDefault="00B45351" w:rsidP="00842E93">
            <w:pPr>
              <w:jc w:val="center"/>
              <w:rPr>
                <w:sz w:val="20"/>
                <w:szCs w:val="20"/>
              </w:rPr>
            </w:pPr>
            <w:r>
              <w:rPr>
                <w:sz w:val="20"/>
                <w:szCs w:val="20"/>
              </w:rPr>
              <w:t>.002</w:t>
            </w:r>
          </w:p>
        </w:tc>
        <w:tc>
          <w:tcPr>
            <w:tcW w:w="633" w:type="dxa"/>
            <w:vAlign w:val="center"/>
          </w:tcPr>
          <w:p w14:paraId="05BC5C5C" w14:textId="77777777" w:rsidR="00B45351" w:rsidRPr="00576C8A" w:rsidRDefault="00B45351" w:rsidP="00842E93">
            <w:pPr>
              <w:jc w:val="center"/>
              <w:rPr>
                <w:sz w:val="20"/>
                <w:szCs w:val="20"/>
              </w:rPr>
            </w:pPr>
          </w:p>
        </w:tc>
        <w:tc>
          <w:tcPr>
            <w:tcW w:w="533" w:type="dxa"/>
            <w:vAlign w:val="center"/>
          </w:tcPr>
          <w:p w14:paraId="262FF69D" w14:textId="77777777" w:rsidR="00B45351" w:rsidRPr="00576C8A" w:rsidRDefault="00B45351" w:rsidP="00842E93">
            <w:pPr>
              <w:jc w:val="center"/>
              <w:rPr>
                <w:sz w:val="20"/>
                <w:szCs w:val="20"/>
              </w:rPr>
            </w:pPr>
          </w:p>
        </w:tc>
        <w:tc>
          <w:tcPr>
            <w:tcW w:w="666" w:type="dxa"/>
            <w:vAlign w:val="center"/>
          </w:tcPr>
          <w:p w14:paraId="19149990" w14:textId="77777777" w:rsidR="00B45351" w:rsidRPr="00576C8A" w:rsidRDefault="00B45351" w:rsidP="00842E93">
            <w:pPr>
              <w:jc w:val="center"/>
              <w:rPr>
                <w:sz w:val="20"/>
                <w:szCs w:val="20"/>
              </w:rPr>
            </w:pPr>
          </w:p>
        </w:tc>
        <w:tc>
          <w:tcPr>
            <w:tcW w:w="801" w:type="dxa"/>
            <w:vAlign w:val="center"/>
          </w:tcPr>
          <w:p w14:paraId="4653E973" w14:textId="77777777" w:rsidR="00B45351" w:rsidRPr="00576C8A" w:rsidRDefault="00B45351" w:rsidP="00842E93">
            <w:pPr>
              <w:jc w:val="center"/>
              <w:rPr>
                <w:sz w:val="20"/>
                <w:szCs w:val="20"/>
              </w:rPr>
            </w:pPr>
          </w:p>
        </w:tc>
        <w:tc>
          <w:tcPr>
            <w:tcW w:w="633" w:type="dxa"/>
            <w:vAlign w:val="center"/>
          </w:tcPr>
          <w:p w14:paraId="1C2FCD33" w14:textId="77777777" w:rsidR="00B45351" w:rsidRPr="00576C8A" w:rsidRDefault="00B45351" w:rsidP="00842E93">
            <w:pPr>
              <w:jc w:val="center"/>
              <w:rPr>
                <w:sz w:val="20"/>
                <w:szCs w:val="20"/>
              </w:rPr>
            </w:pPr>
          </w:p>
        </w:tc>
        <w:tc>
          <w:tcPr>
            <w:tcW w:w="533" w:type="dxa"/>
            <w:vAlign w:val="center"/>
          </w:tcPr>
          <w:p w14:paraId="70DFF0FF" w14:textId="77777777" w:rsidR="00B45351" w:rsidRPr="00576C8A" w:rsidRDefault="00B45351" w:rsidP="00842E93">
            <w:pPr>
              <w:jc w:val="center"/>
              <w:rPr>
                <w:sz w:val="20"/>
                <w:szCs w:val="20"/>
              </w:rPr>
            </w:pPr>
          </w:p>
        </w:tc>
        <w:tc>
          <w:tcPr>
            <w:tcW w:w="666" w:type="dxa"/>
            <w:vAlign w:val="center"/>
          </w:tcPr>
          <w:p w14:paraId="5A2D4DD0" w14:textId="77777777" w:rsidR="00B45351" w:rsidRPr="00576C8A" w:rsidRDefault="00B45351" w:rsidP="00842E93">
            <w:pPr>
              <w:jc w:val="center"/>
              <w:rPr>
                <w:sz w:val="20"/>
                <w:szCs w:val="20"/>
              </w:rPr>
            </w:pPr>
          </w:p>
        </w:tc>
        <w:tc>
          <w:tcPr>
            <w:tcW w:w="801" w:type="dxa"/>
            <w:vAlign w:val="center"/>
          </w:tcPr>
          <w:p w14:paraId="170F030D" w14:textId="77777777" w:rsidR="00B45351" w:rsidRPr="00576C8A" w:rsidRDefault="00B45351" w:rsidP="00842E93">
            <w:pPr>
              <w:jc w:val="center"/>
              <w:rPr>
                <w:sz w:val="20"/>
                <w:szCs w:val="20"/>
              </w:rPr>
            </w:pPr>
          </w:p>
        </w:tc>
      </w:tr>
      <w:tr w:rsidR="00B45351" w:rsidRPr="00576C8A" w14:paraId="720F954F" w14:textId="77777777" w:rsidTr="00842E93">
        <w:trPr>
          <w:trHeight w:val="227"/>
        </w:trPr>
        <w:tc>
          <w:tcPr>
            <w:tcW w:w="3671" w:type="dxa"/>
            <w:vAlign w:val="center"/>
          </w:tcPr>
          <w:p w14:paraId="0952FBF8" w14:textId="77777777" w:rsidR="00B45351" w:rsidRDefault="00B45351" w:rsidP="00842E93">
            <w:pPr>
              <w:rPr>
                <w:sz w:val="20"/>
                <w:szCs w:val="20"/>
              </w:rPr>
            </w:pPr>
            <w:r>
              <w:rPr>
                <w:sz w:val="20"/>
                <w:szCs w:val="20"/>
              </w:rPr>
              <w:t xml:space="preserve">   Discharge (Other)</w:t>
            </w:r>
          </w:p>
        </w:tc>
        <w:tc>
          <w:tcPr>
            <w:tcW w:w="766" w:type="dxa"/>
            <w:vAlign w:val="center"/>
          </w:tcPr>
          <w:p w14:paraId="4F99182F" w14:textId="77777777" w:rsidR="00B45351" w:rsidRDefault="00B45351" w:rsidP="00842E93">
            <w:pPr>
              <w:jc w:val="center"/>
              <w:rPr>
                <w:sz w:val="20"/>
                <w:szCs w:val="20"/>
              </w:rPr>
            </w:pPr>
          </w:p>
        </w:tc>
        <w:tc>
          <w:tcPr>
            <w:tcW w:w="633" w:type="dxa"/>
            <w:vAlign w:val="center"/>
          </w:tcPr>
          <w:p w14:paraId="3F419AAA" w14:textId="77777777" w:rsidR="00B45351" w:rsidRDefault="00B45351" w:rsidP="00842E93">
            <w:pPr>
              <w:jc w:val="center"/>
              <w:rPr>
                <w:sz w:val="20"/>
                <w:szCs w:val="20"/>
              </w:rPr>
            </w:pPr>
          </w:p>
        </w:tc>
        <w:tc>
          <w:tcPr>
            <w:tcW w:w="733" w:type="dxa"/>
            <w:vAlign w:val="center"/>
          </w:tcPr>
          <w:p w14:paraId="52D7528F" w14:textId="77777777" w:rsidR="00B45351" w:rsidRDefault="00B45351" w:rsidP="00842E93">
            <w:pPr>
              <w:jc w:val="center"/>
              <w:rPr>
                <w:sz w:val="20"/>
                <w:szCs w:val="20"/>
              </w:rPr>
            </w:pPr>
          </w:p>
        </w:tc>
        <w:tc>
          <w:tcPr>
            <w:tcW w:w="781" w:type="dxa"/>
            <w:vAlign w:val="center"/>
          </w:tcPr>
          <w:p w14:paraId="298719E2" w14:textId="77777777" w:rsidR="00B45351" w:rsidRPr="00576C8A" w:rsidRDefault="00B45351" w:rsidP="00842E93">
            <w:pPr>
              <w:jc w:val="center"/>
              <w:rPr>
                <w:sz w:val="20"/>
                <w:szCs w:val="20"/>
              </w:rPr>
            </w:pPr>
          </w:p>
        </w:tc>
        <w:tc>
          <w:tcPr>
            <w:tcW w:w="733" w:type="dxa"/>
            <w:vAlign w:val="center"/>
          </w:tcPr>
          <w:p w14:paraId="3EF8B616" w14:textId="77777777" w:rsidR="00B45351" w:rsidRDefault="00B45351" w:rsidP="00842E93">
            <w:pPr>
              <w:jc w:val="center"/>
              <w:rPr>
                <w:sz w:val="20"/>
                <w:szCs w:val="20"/>
              </w:rPr>
            </w:pPr>
            <w:r>
              <w:rPr>
                <w:sz w:val="20"/>
                <w:szCs w:val="20"/>
              </w:rPr>
              <w:t>-4.17</w:t>
            </w:r>
          </w:p>
        </w:tc>
        <w:tc>
          <w:tcPr>
            <w:tcW w:w="733" w:type="dxa"/>
            <w:vAlign w:val="center"/>
          </w:tcPr>
          <w:p w14:paraId="666E52AA" w14:textId="77777777" w:rsidR="00B45351" w:rsidRDefault="00B45351" w:rsidP="00842E93">
            <w:pPr>
              <w:jc w:val="center"/>
              <w:rPr>
                <w:sz w:val="20"/>
                <w:szCs w:val="20"/>
              </w:rPr>
            </w:pPr>
            <w:r>
              <w:rPr>
                <w:sz w:val="20"/>
                <w:szCs w:val="20"/>
              </w:rPr>
              <w:t>-.11</w:t>
            </w:r>
          </w:p>
        </w:tc>
        <w:tc>
          <w:tcPr>
            <w:tcW w:w="833" w:type="dxa"/>
            <w:vAlign w:val="center"/>
          </w:tcPr>
          <w:p w14:paraId="31663A72" w14:textId="77777777" w:rsidR="00B45351" w:rsidRDefault="00B45351" w:rsidP="00842E93">
            <w:pPr>
              <w:jc w:val="center"/>
              <w:rPr>
                <w:sz w:val="20"/>
                <w:szCs w:val="20"/>
              </w:rPr>
            </w:pPr>
            <w:r>
              <w:rPr>
                <w:sz w:val="20"/>
                <w:szCs w:val="20"/>
              </w:rPr>
              <w:t>-3.82</w:t>
            </w:r>
          </w:p>
        </w:tc>
        <w:tc>
          <w:tcPr>
            <w:tcW w:w="779" w:type="dxa"/>
            <w:vAlign w:val="center"/>
          </w:tcPr>
          <w:p w14:paraId="39DCF677" w14:textId="77777777" w:rsidR="00B45351" w:rsidRDefault="00B45351" w:rsidP="00842E93">
            <w:pPr>
              <w:jc w:val="center"/>
              <w:rPr>
                <w:sz w:val="20"/>
                <w:szCs w:val="20"/>
              </w:rPr>
            </w:pPr>
            <w:r>
              <w:rPr>
                <w:sz w:val="20"/>
                <w:szCs w:val="20"/>
              </w:rPr>
              <w:t>&lt;.001</w:t>
            </w:r>
          </w:p>
        </w:tc>
        <w:tc>
          <w:tcPr>
            <w:tcW w:w="633" w:type="dxa"/>
            <w:vAlign w:val="center"/>
          </w:tcPr>
          <w:p w14:paraId="6CE7FEE8" w14:textId="77777777" w:rsidR="00B45351" w:rsidRPr="00576C8A" w:rsidRDefault="00B45351" w:rsidP="00842E93">
            <w:pPr>
              <w:jc w:val="center"/>
              <w:rPr>
                <w:sz w:val="20"/>
                <w:szCs w:val="20"/>
              </w:rPr>
            </w:pPr>
          </w:p>
        </w:tc>
        <w:tc>
          <w:tcPr>
            <w:tcW w:w="533" w:type="dxa"/>
            <w:vAlign w:val="center"/>
          </w:tcPr>
          <w:p w14:paraId="1B2AF5A8" w14:textId="77777777" w:rsidR="00B45351" w:rsidRPr="00576C8A" w:rsidRDefault="00B45351" w:rsidP="00842E93">
            <w:pPr>
              <w:jc w:val="center"/>
              <w:rPr>
                <w:sz w:val="20"/>
                <w:szCs w:val="20"/>
              </w:rPr>
            </w:pPr>
          </w:p>
        </w:tc>
        <w:tc>
          <w:tcPr>
            <w:tcW w:w="666" w:type="dxa"/>
            <w:vAlign w:val="center"/>
          </w:tcPr>
          <w:p w14:paraId="5A1EECBF" w14:textId="77777777" w:rsidR="00B45351" w:rsidRPr="00576C8A" w:rsidRDefault="00B45351" w:rsidP="00842E93">
            <w:pPr>
              <w:jc w:val="center"/>
              <w:rPr>
                <w:sz w:val="20"/>
                <w:szCs w:val="20"/>
              </w:rPr>
            </w:pPr>
          </w:p>
        </w:tc>
        <w:tc>
          <w:tcPr>
            <w:tcW w:w="801" w:type="dxa"/>
            <w:vAlign w:val="center"/>
          </w:tcPr>
          <w:p w14:paraId="6F6D367F" w14:textId="77777777" w:rsidR="00B45351" w:rsidRPr="00576C8A" w:rsidRDefault="00B45351" w:rsidP="00842E93">
            <w:pPr>
              <w:jc w:val="center"/>
              <w:rPr>
                <w:sz w:val="20"/>
                <w:szCs w:val="20"/>
              </w:rPr>
            </w:pPr>
          </w:p>
        </w:tc>
        <w:tc>
          <w:tcPr>
            <w:tcW w:w="633" w:type="dxa"/>
            <w:vAlign w:val="center"/>
          </w:tcPr>
          <w:p w14:paraId="4BD0A18B" w14:textId="77777777" w:rsidR="00B45351" w:rsidRPr="00576C8A" w:rsidRDefault="00B45351" w:rsidP="00842E93">
            <w:pPr>
              <w:jc w:val="center"/>
              <w:rPr>
                <w:sz w:val="20"/>
                <w:szCs w:val="20"/>
              </w:rPr>
            </w:pPr>
          </w:p>
        </w:tc>
        <w:tc>
          <w:tcPr>
            <w:tcW w:w="533" w:type="dxa"/>
            <w:vAlign w:val="center"/>
          </w:tcPr>
          <w:p w14:paraId="1DD231A2" w14:textId="77777777" w:rsidR="00B45351" w:rsidRPr="00576C8A" w:rsidRDefault="00B45351" w:rsidP="00842E93">
            <w:pPr>
              <w:jc w:val="center"/>
              <w:rPr>
                <w:sz w:val="20"/>
                <w:szCs w:val="20"/>
              </w:rPr>
            </w:pPr>
          </w:p>
        </w:tc>
        <w:tc>
          <w:tcPr>
            <w:tcW w:w="666" w:type="dxa"/>
            <w:vAlign w:val="center"/>
          </w:tcPr>
          <w:p w14:paraId="23C6C90D" w14:textId="77777777" w:rsidR="00B45351" w:rsidRPr="00576C8A" w:rsidRDefault="00B45351" w:rsidP="00842E93">
            <w:pPr>
              <w:jc w:val="center"/>
              <w:rPr>
                <w:sz w:val="20"/>
                <w:szCs w:val="20"/>
              </w:rPr>
            </w:pPr>
          </w:p>
        </w:tc>
        <w:tc>
          <w:tcPr>
            <w:tcW w:w="801" w:type="dxa"/>
            <w:vAlign w:val="center"/>
          </w:tcPr>
          <w:p w14:paraId="1C1BD037" w14:textId="77777777" w:rsidR="00B45351" w:rsidRPr="00576C8A" w:rsidRDefault="00B45351" w:rsidP="00842E93">
            <w:pPr>
              <w:jc w:val="center"/>
              <w:rPr>
                <w:sz w:val="20"/>
                <w:szCs w:val="20"/>
              </w:rPr>
            </w:pPr>
          </w:p>
        </w:tc>
      </w:tr>
      <w:tr w:rsidR="00B45351" w:rsidRPr="00576C8A" w14:paraId="0027DC72" w14:textId="77777777" w:rsidTr="00842E93">
        <w:trPr>
          <w:trHeight w:val="227"/>
        </w:trPr>
        <w:tc>
          <w:tcPr>
            <w:tcW w:w="3671" w:type="dxa"/>
            <w:vAlign w:val="center"/>
          </w:tcPr>
          <w:p w14:paraId="5ADFF4E7" w14:textId="77777777" w:rsidR="00B45351" w:rsidRPr="00576C8A" w:rsidRDefault="00B45351" w:rsidP="00842E93">
            <w:pPr>
              <w:rPr>
                <w:sz w:val="20"/>
                <w:szCs w:val="20"/>
              </w:rPr>
            </w:pPr>
            <w:r>
              <w:rPr>
                <w:sz w:val="20"/>
                <w:szCs w:val="20"/>
              </w:rPr>
              <w:t xml:space="preserve">   Discharge (At Own Request)</w:t>
            </w:r>
          </w:p>
        </w:tc>
        <w:tc>
          <w:tcPr>
            <w:tcW w:w="766" w:type="dxa"/>
            <w:vAlign w:val="center"/>
          </w:tcPr>
          <w:p w14:paraId="5CC32FD6" w14:textId="77777777" w:rsidR="00B45351" w:rsidRPr="00576C8A" w:rsidRDefault="00B45351" w:rsidP="00842E93">
            <w:pPr>
              <w:jc w:val="center"/>
              <w:rPr>
                <w:sz w:val="20"/>
                <w:szCs w:val="20"/>
              </w:rPr>
            </w:pPr>
          </w:p>
        </w:tc>
        <w:tc>
          <w:tcPr>
            <w:tcW w:w="633" w:type="dxa"/>
            <w:vAlign w:val="center"/>
          </w:tcPr>
          <w:p w14:paraId="470F107D" w14:textId="77777777" w:rsidR="00B45351" w:rsidRPr="00576C8A" w:rsidRDefault="00B45351" w:rsidP="00842E93">
            <w:pPr>
              <w:jc w:val="center"/>
              <w:rPr>
                <w:sz w:val="20"/>
                <w:szCs w:val="20"/>
              </w:rPr>
            </w:pPr>
          </w:p>
        </w:tc>
        <w:tc>
          <w:tcPr>
            <w:tcW w:w="733" w:type="dxa"/>
            <w:vAlign w:val="center"/>
          </w:tcPr>
          <w:p w14:paraId="27F86CE5" w14:textId="77777777" w:rsidR="00B45351" w:rsidRPr="00576C8A" w:rsidRDefault="00B45351" w:rsidP="00842E93">
            <w:pPr>
              <w:jc w:val="center"/>
              <w:rPr>
                <w:sz w:val="20"/>
                <w:szCs w:val="20"/>
              </w:rPr>
            </w:pPr>
          </w:p>
        </w:tc>
        <w:tc>
          <w:tcPr>
            <w:tcW w:w="781" w:type="dxa"/>
            <w:vAlign w:val="center"/>
          </w:tcPr>
          <w:p w14:paraId="00764CBC" w14:textId="77777777" w:rsidR="00B45351" w:rsidRPr="00576C8A" w:rsidRDefault="00B45351" w:rsidP="00842E93">
            <w:pPr>
              <w:jc w:val="center"/>
              <w:rPr>
                <w:sz w:val="20"/>
                <w:szCs w:val="20"/>
              </w:rPr>
            </w:pPr>
          </w:p>
        </w:tc>
        <w:tc>
          <w:tcPr>
            <w:tcW w:w="733" w:type="dxa"/>
          </w:tcPr>
          <w:p w14:paraId="556A7CF8" w14:textId="77777777" w:rsidR="00B45351" w:rsidRPr="00576C8A" w:rsidRDefault="00B45351" w:rsidP="00842E93">
            <w:pPr>
              <w:jc w:val="center"/>
              <w:rPr>
                <w:sz w:val="20"/>
                <w:szCs w:val="20"/>
              </w:rPr>
            </w:pPr>
            <w:r>
              <w:rPr>
                <w:sz w:val="20"/>
                <w:szCs w:val="20"/>
              </w:rPr>
              <w:t>-1.07</w:t>
            </w:r>
          </w:p>
        </w:tc>
        <w:tc>
          <w:tcPr>
            <w:tcW w:w="733" w:type="dxa"/>
          </w:tcPr>
          <w:p w14:paraId="71492A88" w14:textId="77777777" w:rsidR="00B45351" w:rsidRPr="00576C8A" w:rsidRDefault="00B45351" w:rsidP="00842E93">
            <w:pPr>
              <w:jc w:val="center"/>
              <w:rPr>
                <w:sz w:val="20"/>
                <w:szCs w:val="20"/>
              </w:rPr>
            </w:pPr>
            <w:r>
              <w:rPr>
                <w:sz w:val="20"/>
                <w:szCs w:val="20"/>
              </w:rPr>
              <w:t>-.08</w:t>
            </w:r>
          </w:p>
        </w:tc>
        <w:tc>
          <w:tcPr>
            <w:tcW w:w="833" w:type="dxa"/>
          </w:tcPr>
          <w:p w14:paraId="1EF1930D" w14:textId="77777777" w:rsidR="00B45351" w:rsidRPr="00576C8A" w:rsidRDefault="00B45351" w:rsidP="00842E93">
            <w:pPr>
              <w:jc w:val="center"/>
              <w:rPr>
                <w:sz w:val="20"/>
                <w:szCs w:val="20"/>
              </w:rPr>
            </w:pPr>
            <w:r>
              <w:rPr>
                <w:sz w:val="20"/>
                <w:szCs w:val="20"/>
              </w:rPr>
              <w:t>-2.65</w:t>
            </w:r>
          </w:p>
        </w:tc>
        <w:tc>
          <w:tcPr>
            <w:tcW w:w="779" w:type="dxa"/>
          </w:tcPr>
          <w:p w14:paraId="34A32613" w14:textId="77777777" w:rsidR="00B45351" w:rsidRPr="00576C8A" w:rsidRDefault="00B45351" w:rsidP="00842E93">
            <w:pPr>
              <w:jc w:val="center"/>
              <w:rPr>
                <w:sz w:val="20"/>
                <w:szCs w:val="20"/>
              </w:rPr>
            </w:pPr>
            <w:r>
              <w:rPr>
                <w:sz w:val="20"/>
                <w:szCs w:val="20"/>
              </w:rPr>
              <w:t>.008</w:t>
            </w:r>
          </w:p>
        </w:tc>
        <w:tc>
          <w:tcPr>
            <w:tcW w:w="633" w:type="dxa"/>
            <w:vAlign w:val="center"/>
          </w:tcPr>
          <w:p w14:paraId="71F88443" w14:textId="77777777" w:rsidR="00B45351" w:rsidRPr="00576C8A" w:rsidRDefault="00B45351" w:rsidP="00842E93">
            <w:pPr>
              <w:jc w:val="center"/>
              <w:rPr>
                <w:sz w:val="20"/>
                <w:szCs w:val="20"/>
              </w:rPr>
            </w:pPr>
          </w:p>
        </w:tc>
        <w:tc>
          <w:tcPr>
            <w:tcW w:w="533" w:type="dxa"/>
            <w:vAlign w:val="center"/>
          </w:tcPr>
          <w:p w14:paraId="65F6E49D" w14:textId="77777777" w:rsidR="00B45351" w:rsidRPr="00576C8A" w:rsidRDefault="00B45351" w:rsidP="00842E93">
            <w:pPr>
              <w:jc w:val="center"/>
              <w:rPr>
                <w:sz w:val="20"/>
                <w:szCs w:val="20"/>
              </w:rPr>
            </w:pPr>
          </w:p>
        </w:tc>
        <w:tc>
          <w:tcPr>
            <w:tcW w:w="666" w:type="dxa"/>
            <w:vAlign w:val="center"/>
          </w:tcPr>
          <w:p w14:paraId="4BAD58FD" w14:textId="77777777" w:rsidR="00B45351" w:rsidRPr="00576C8A" w:rsidRDefault="00B45351" w:rsidP="00842E93">
            <w:pPr>
              <w:jc w:val="center"/>
              <w:rPr>
                <w:sz w:val="20"/>
                <w:szCs w:val="20"/>
              </w:rPr>
            </w:pPr>
          </w:p>
        </w:tc>
        <w:tc>
          <w:tcPr>
            <w:tcW w:w="801" w:type="dxa"/>
            <w:vAlign w:val="center"/>
          </w:tcPr>
          <w:p w14:paraId="543BC8B6" w14:textId="77777777" w:rsidR="00B45351" w:rsidRPr="00576C8A" w:rsidRDefault="00B45351" w:rsidP="00842E93">
            <w:pPr>
              <w:jc w:val="center"/>
              <w:rPr>
                <w:sz w:val="20"/>
                <w:szCs w:val="20"/>
              </w:rPr>
            </w:pPr>
          </w:p>
        </w:tc>
        <w:tc>
          <w:tcPr>
            <w:tcW w:w="633" w:type="dxa"/>
            <w:vAlign w:val="center"/>
          </w:tcPr>
          <w:p w14:paraId="148FD00D" w14:textId="77777777" w:rsidR="00B45351" w:rsidRPr="00576C8A" w:rsidRDefault="00B45351" w:rsidP="00842E93">
            <w:pPr>
              <w:jc w:val="center"/>
              <w:rPr>
                <w:sz w:val="20"/>
                <w:szCs w:val="20"/>
              </w:rPr>
            </w:pPr>
          </w:p>
        </w:tc>
        <w:tc>
          <w:tcPr>
            <w:tcW w:w="533" w:type="dxa"/>
            <w:vAlign w:val="center"/>
          </w:tcPr>
          <w:p w14:paraId="6C2D45B5" w14:textId="77777777" w:rsidR="00B45351" w:rsidRPr="00576C8A" w:rsidRDefault="00B45351" w:rsidP="00842E93">
            <w:pPr>
              <w:jc w:val="center"/>
              <w:rPr>
                <w:sz w:val="20"/>
                <w:szCs w:val="20"/>
              </w:rPr>
            </w:pPr>
          </w:p>
        </w:tc>
        <w:tc>
          <w:tcPr>
            <w:tcW w:w="666" w:type="dxa"/>
            <w:vAlign w:val="center"/>
          </w:tcPr>
          <w:p w14:paraId="1FD8196E" w14:textId="77777777" w:rsidR="00B45351" w:rsidRPr="00576C8A" w:rsidRDefault="00B45351" w:rsidP="00842E93">
            <w:pPr>
              <w:jc w:val="center"/>
              <w:rPr>
                <w:sz w:val="20"/>
                <w:szCs w:val="20"/>
              </w:rPr>
            </w:pPr>
          </w:p>
        </w:tc>
        <w:tc>
          <w:tcPr>
            <w:tcW w:w="801" w:type="dxa"/>
            <w:vAlign w:val="center"/>
          </w:tcPr>
          <w:p w14:paraId="4054615C" w14:textId="77777777" w:rsidR="00B45351" w:rsidRPr="00576C8A" w:rsidRDefault="00B45351" w:rsidP="00842E93">
            <w:pPr>
              <w:jc w:val="center"/>
              <w:rPr>
                <w:sz w:val="20"/>
                <w:szCs w:val="20"/>
              </w:rPr>
            </w:pPr>
          </w:p>
        </w:tc>
      </w:tr>
      <w:tr w:rsidR="00B45351" w:rsidRPr="00576C8A" w14:paraId="741D2362" w14:textId="77777777" w:rsidTr="00842E93">
        <w:trPr>
          <w:trHeight w:val="227"/>
        </w:trPr>
        <w:tc>
          <w:tcPr>
            <w:tcW w:w="3671" w:type="dxa"/>
            <w:vAlign w:val="center"/>
          </w:tcPr>
          <w:p w14:paraId="1440A29C" w14:textId="77777777" w:rsidR="00B45351" w:rsidRPr="00576C8A" w:rsidRDefault="00B45351" w:rsidP="00842E93">
            <w:pPr>
              <w:rPr>
                <w:sz w:val="20"/>
                <w:szCs w:val="20"/>
              </w:rPr>
            </w:pPr>
            <w:r>
              <w:rPr>
                <w:sz w:val="20"/>
                <w:szCs w:val="20"/>
              </w:rPr>
              <w:t xml:space="preserve">   Discharge (Medical)</w:t>
            </w:r>
          </w:p>
        </w:tc>
        <w:tc>
          <w:tcPr>
            <w:tcW w:w="766" w:type="dxa"/>
            <w:vAlign w:val="center"/>
          </w:tcPr>
          <w:p w14:paraId="0EAB000F" w14:textId="77777777" w:rsidR="00B45351" w:rsidRPr="00576C8A" w:rsidRDefault="00B45351" w:rsidP="00842E93">
            <w:pPr>
              <w:jc w:val="center"/>
              <w:rPr>
                <w:sz w:val="20"/>
                <w:szCs w:val="20"/>
              </w:rPr>
            </w:pPr>
          </w:p>
        </w:tc>
        <w:tc>
          <w:tcPr>
            <w:tcW w:w="633" w:type="dxa"/>
            <w:vAlign w:val="center"/>
          </w:tcPr>
          <w:p w14:paraId="512E08EF" w14:textId="77777777" w:rsidR="00B45351" w:rsidRPr="00576C8A" w:rsidRDefault="00B45351" w:rsidP="00842E93">
            <w:pPr>
              <w:jc w:val="center"/>
              <w:rPr>
                <w:sz w:val="20"/>
                <w:szCs w:val="20"/>
              </w:rPr>
            </w:pPr>
          </w:p>
        </w:tc>
        <w:tc>
          <w:tcPr>
            <w:tcW w:w="733" w:type="dxa"/>
            <w:vAlign w:val="center"/>
          </w:tcPr>
          <w:p w14:paraId="6E19A1C7" w14:textId="77777777" w:rsidR="00B45351" w:rsidRPr="00576C8A" w:rsidRDefault="00B45351" w:rsidP="00842E93">
            <w:pPr>
              <w:jc w:val="center"/>
              <w:rPr>
                <w:sz w:val="20"/>
                <w:szCs w:val="20"/>
              </w:rPr>
            </w:pPr>
          </w:p>
        </w:tc>
        <w:tc>
          <w:tcPr>
            <w:tcW w:w="781" w:type="dxa"/>
            <w:vAlign w:val="center"/>
          </w:tcPr>
          <w:p w14:paraId="6860435B" w14:textId="77777777" w:rsidR="00B45351" w:rsidRPr="00576C8A" w:rsidRDefault="00B45351" w:rsidP="00842E93">
            <w:pPr>
              <w:jc w:val="center"/>
              <w:rPr>
                <w:sz w:val="20"/>
                <w:szCs w:val="20"/>
              </w:rPr>
            </w:pPr>
          </w:p>
        </w:tc>
        <w:tc>
          <w:tcPr>
            <w:tcW w:w="733" w:type="dxa"/>
          </w:tcPr>
          <w:p w14:paraId="5004E1D5" w14:textId="77777777" w:rsidR="00B45351" w:rsidRPr="00576C8A" w:rsidRDefault="00B45351" w:rsidP="00842E93">
            <w:pPr>
              <w:jc w:val="center"/>
              <w:rPr>
                <w:sz w:val="20"/>
                <w:szCs w:val="20"/>
              </w:rPr>
            </w:pPr>
            <w:r>
              <w:rPr>
                <w:sz w:val="20"/>
                <w:szCs w:val="20"/>
              </w:rPr>
              <w:t>-1.46</w:t>
            </w:r>
          </w:p>
        </w:tc>
        <w:tc>
          <w:tcPr>
            <w:tcW w:w="733" w:type="dxa"/>
          </w:tcPr>
          <w:p w14:paraId="6658982B" w14:textId="77777777" w:rsidR="00B45351" w:rsidRPr="00576C8A" w:rsidRDefault="00B45351" w:rsidP="00842E93">
            <w:pPr>
              <w:jc w:val="center"/>
              <w:rPr>
                <w:sz w:val="20"/>
                <w:szCs w:val="20"/>
              </w:rPr>
            </w:pPr>
            <w:r>
              <w:rPr>
                <w:sz w:val="20"/>
                <w:szCs w:val="20"/>
              </w:rPr>
              <w:t>-.07</w:t>
            </w:r>
          </w:p>
        </w:tc>
        <w:tc>
          <w:tcPr>
            <w:tcW w:w="833" w:type="dxa"/>
          </w:tcPr>
          <w:p w14:paraId="6FD2AA1F" w14:textId="77777777" w:rsidR="00B45351" w:rsidRPr="00576C8A" w:rsidRDefault="00B45351" w:rsidP="00842E93">
            <w:pPr>
              <w:jc w:val="center"/>
              <w:rPr>
                <w:sz w:val="20"/>
                <w:szCs w:val="20"/>
              </w:rPr>
            </w:pPr>
            <w:r>
              <w:rPr>
                <w:sz w:val="20"/>
                <w:szCs w:val="20"/>
              </w:rPr>
              <w:t>-2.41</w:t>
            </w:r>
          </w:p>
        </w:tc>
        <w:tc>
          <w:tcPr>
            <w:tcW w:w="779" w:type="dxa"/>
          </w:tcPr>
          <w:p w14:paraId="7FD554CE" w14:textId="77777777" w:rsidR="00B45351" w:rsidRPr="00576C8A" w:rsidRDefault="00B45351" w:rsidP="00842E93">
            <w:pPr>
              <w:jc w:val="center"/>
              <w:rPr>
                <w:sz w:val="20"/>
                <w:szCs w:val="20"/>
              </w:rPr>
            </w:pPr>
            <w:r>
              <w:rPr>
                <w:sz w:val="20"/>
                <w:szCs w:val="20"/>
              </w:rPr>
              <w:t>.016</w:t>
            </w:r>
          </w:p>
        </w:tc>
        <w:tc>
          <w:tcPr>
            <w:tcW w:w="633" w:type="dxa"/>
            <w:vAlign w:val="center"/>
          </w:tcPr>
          <w:p w14:paraId="36235241" w14:textId="77777777" w:rsidR="00B45351" w:rsidRPr="00576C8A" w:rsidRDefault="00B45351" w:rsidP="00842E93">
            <w:pPr>
              <w:jc w:val="center"/>
              <w:rPr>
                <w:sz w:val="20"/>
                <w:szCs w:val="20"/>
              </w:rPr>
            </w:pPr>
          </w:p>
        </w:tc>
        <w:tc>
          <w:tcPr>
            <w:tcW w:w="533" w:type="dxa"/>
            <w:vAlign w:val="center"/>
          </w:tcPr>
          <w:p w14:paraId="0417655A" w14:textId="77777777" w:rsidR="00B45351" w:rsidRPr="00576C8A" w:rsidRDefault="00B45351" w:rsidP="00842E93">
            <w:pPr>
              <w:jc w:val="center"/>
              <w:rPr>
                <w:sz w:val="20"/>
                <w:szCs w:val="20"/>
              </w:rPr>
            </w:pPr>
          </w:p>
        </w:tc>
        <w:tc>
          <w:tcPr>
            <w:tcW w:w="666" w:type="dxa"/>
            <w:vAlign w:val="center"/>
          </w:tcPr>
          <w:p w14:paraId="1097EA17" w14:textId="77777777" w:rsidR="00B45351" w:rsidRPr="00576C8A" w:rsidRDefault="00B45351" w:rsidP="00842E93">
            <w:pPr>
              <w:jc w:val="center"/>
              <w:rPr>
                <w:sz w:val="20"/>
                <w:szCs w:val="20"/>
              </w:rPr>
            </w:pPr>
          </w:p>
        </w:tc>
        <w:tc>
          <w:tcPr>
            <w:tcW w:w="801" w:type="dxa"/>
            <w:vAlign w:val="center"/>
          </w:tcPr>
          <w:p w14:paraId="2EFC3745" w14:textId="77777777" w:rsidR="00B45351" w:rsidRPr="00576C8A" w:rsidRDefault="00B45351" w:rsidP="00842E93">
            <w:pPr>
              <w:jc w:val="center"/>
              <w:rPr>
                <w:sz w:val="20"/>
                <w:szCs w:val="20"/>
              </w:rPr>
            </w:pPr>
          </w:p>
        </w:tc>
        <w:tc>
          <w:tcPr>
            <w:tcW w:w="633" w:type="dxa"/>
            <w:vAlign w:val="center"/>
          </w:tcPr>
          <w:p w14:paraId="1CE10D69" w14:textId="77777777" w:rsidR="00B45351" w:rsidRPr="00576C8A" w:rsidRDefault="00B45351" w:rsidP="00842E93">
            <w:pPr>
              <w:jc w:val="center"/>
              <w:rPr>
                <w:sz w:val="20"/>
                <w:szCs w:val="20"/>
              </w:rPr>
            </w:pPr>
          </w:p>
        </w:tc>
        <w:tc>
          <w:tcPr>
            <w:tcW w:w="533" w:type="dxa"/>
            <w:vAlign w:val="center"/>
          </w:tcPr>
          <w:p w14:paraId="00CC4998" w14:textId="77777777" w:rsidR="00B45351" w:rsidRPr="00576C8A" w:rsidRDefault="00B45351" w:rsidP="00842E93">
            <w:pPr>
              <w:jc w:val="center"/>
              <w:rPr>
                <w:sz w:val="20"/>
                <w:szCs w:val="20"/>
              </w:rPr>
            </w:pPr>
          </w:p>
        </w:tc>
        <w:tc>
          <w:tcPr>
            <w:tcW w:w="666" w:type="dxa"/>
            <w:vAlign w:val="center"/>
          </w:tcPr>
          <w:p w14:paraId="382FF488" w14:textId="77777777" w:rsidR="00B45351" w:rsidRPr="00576C8A" w:rsidRDefault="00B45351" w:rsidP="00842E93">
            <w:pPr>
              <w:jc w:val="center"/>
              <w:rPr>
                <w:sz w:val="20"/>
                <w:szCs w:val="20"/>
              </w:rPr>
            </w:pPr>
          </w:p>
        </w:tc>
        <w:tc>
          <w:tcPr>
            <w:tcW w:w="801" w:type="dxa"/>
            <w:vAlign w:val="center"/>
          </w:tcPr>
          <w:p w14:paraId="22C4D49C" w14:textId="77777777" w:rsidR="00B45351" w:rsidRPr="00576C8A" w:rsidRDefault="00B45351" w:rsidP="00842E93">
            <w:pPr>
              <w:jc w:val="center"/>
              <w:rPr>
                <w:sz w:val="20"/>
                <w:szCs w:val="20"/>
              </w:rPr>
            </w:pPr>
          </w:p>
        </w:tc>
      </w:tr>
      <w:tr w:rsidR="00B45351" w:rsidRPr="00576C8A" w14:paraId="722616B4" w14:textId="77777777" w:rsidTr="00842E93">
        <w:trPr>
          <w:trHeight w:val="227"/>
        </w:trPr>
        <w:tc>
          <w:tcPr>
            <w:tcW w:w="3671" w:type="dxa"/>
            <w:vAlign w:val="center"/>
          </w:tcPr>
          <w:p w14:paraId="1CE36815" w14:textId="77777777" w:rsidR="00B45351" w:rsidRPr="00576C8A" w:rsidRDefault="00B45351" w:rsidP="00842E93">
            <w:pPr>
              <w:rPr>
                <w:sz w:val="20"/>
                <w:szCs w:val="20"/>
              </w:rPr>
            </w:pPr>
            <w:r>
              <w:rPr>
                <w:sz w:val="20"/>
                <w:szCs w:val="20"/>
              </w:rPr>
              <w:t xml:space="preserve">   PHQ-9 (No Depression)</w:t>
            </w:r>
          </w:p>
        </w:tc>
        <w:tc>
          <w:tcPr>
            <w:tcW w:w="766" w:type="dxa"/>
            <w:vAlign w:val="center"/>
          </w:tcPr>
          <w:p w14:paraId="5B1C9C4F" w14:textId="77777777" w:rsidR="00B45351" w:rsidRPr="00576C8A" w:rsidRDefault="00B45351" w:rsidP="00842E93">
            <w:pPr>
              <w:jc w:val="center"/>
              <w:rPr>
                <w:sz w:val="20"/>
                <w:szCs w:val="20"/>
              </w:rPr>
            </w:pPr>
          </w:p>
        </w:tc>
        <w:tc>
          <w:tcPr>
            <w:tcW w:w="633" w:type="dxa"/>
            <w:vAlign w:val="center"/>
          </w:tcPr>
          <w:p w14:paraId="73A562C1" w14:textId="77777777" w:rsidR="00B45351" w:rsidRPr="00576C8A" w:rsidRDefault="00B45351" w:rsidP="00842E93">
            <w:pPr>
              <w:jc w:val="center"/>
              <w:rPr>
                <w:sz w:val="20"/>
                <w:szCs w:val="20"/>
              </w:rPr>
            </w:pPr>
          </w:p>
        </w:tc>
        <w:tc>
          <w:tcPr>
            <w:tcW w:w="733" w:type="dxa"/>
            <w:vAlign w:val="center"/>
          </w:tcPr>
          <w:p w14:paraId="2ACA8112" w14:textId="77777777" w:rsidR="00B45351" w:rsidRPr="00576C8A" w:rsidRDefault="00B45351" w:rsidP="00842E93">
            <w:pPr>
              <w:jc w:val="center"/>
              <w:rPr>
                <w:sz w:val="20"/>
                <w:szCs w:val="20"/>
              </w:rPr>
            </w:pPr>
          </w:p>
        </w:tc>
        <w:tc>
          <w:tcPr>
            <w:tcW w:w="781" w:type="dxa"/>
            <w:vAlign w:val="center"/>
          </w:tcPr>
          <w:p w14:paraId="35C66C3A" w14:textId="77777777" w:rsidR="00B45351" w:rsidRPr="00576C8A" w:rsidRDefault="00B45351" w:rsidP="00842E93">
            <w:pPr>
              <w:jc w:val="center"/>
              <w:rPr>
                <w:sz w:val="20"/>
                <w:szCs w:val="20"/>
              </w:rPr>
            </w:pPr>
          </w:p>
        </w:tc>
        <w:tc>
          <w:tcPr>
            <w:tcW w:w="733" w:type="dxa"/>
          </w:tcPr>
          <w:p w14:paraId="1832BB00" w14:textId="77777777" w:rsidR="00B45351" w:rsidRPr="00576C8A" w:rsidRDefault="00B45351" w:rsidP="00842E93">
            <w:pPr>
              <w:jc w:val="center"/>
              <w:rPr>
                <w:sz w:val="20"/>
                <w:szCs w:val="20"/>
              </w:rPr>
            </w:pPr>
          </w:p>
        </w:tc>
        <w:tc>
          <w:tcPr>
            <w:tcW w:w="733" w:type="dxa"/>
          </w:tcPr>
          <w:p w14:paraId="6D3C9EE0" w14:textId="77777777" w:rsidR="00B45351" w:rsidRPr="00576C8A" w:rsidRDefault="00B45351" w:rsidP="00842E93">
            <w:pPr>
              <w:jc w:val="center"/>
              <w:rPr>
                <w:sz w:val="20"/>
                <w:szCs w:val="20"/>
              </w:rPr>
            </w:pPr>
          </w:p>
        </w:tc>
        <w:tc>
          <w:tcPr>
            <w:tcW w:w="833" w:type="dxa"/>
          </w:tcPr>
          <w:p w14:paraId="49A7FA33" w14:textId="77777777" w:rsidR="00B45351" w:rsidRPr="00576C8A" w:rsidRDefault="00B45351" w:rsidP="00842E93">
            <w:pPr>
              <w:jc w:val="center"/>
              <w:rPr>
                <w:sz w:val="20"/>
                <w:szCs w:val="20"/>
              </w:rPr>
            </w:pPr>
          </w:p>
        </w:tc>
        <w:tc>
          <w:tcPr>
            <w:tcW w:w="779" w:type="dxa"/>
          </w:tcPr>
          <w:p w14:paraId="4C36560F" w14:textId="77777777" w:rsidR="00B45351" w:rsidRPr="00576C8A" w:rsidRDefault="00B45351" w:rsidP="00842E93">
            <w:pPr>
              <w:jc w:val="center"/>
              <w:rPr>
                <w:sz w:val="20"/>
                <w:szCs w:val="20"/>
              </w:rPr>
            </w:pPr>
          </w:p>
        </w:tc>
        <w:tc>
          <w:tcPr>
            <w:tcW w:w="633" w:type="dxa"/>
            <w:vAlign w:val="center"/>
          </w:tcPr>
          <w:p w14:paraId="5B906DFD" w14:textId="77777777" w:rsidR="00B45351" w:rsidRPr="00576C8A" w:rsidRDefault="00B45351" w:rsidP="00842E93">
            <w:pPr>
              <w:jc w:val="center"/>
              <w:rPr>
                <w:sz w:val="20"/>
                <w:szCs w:val="20"/>
              </w:rPr>
            </w:pPr>
            <w:r>
              <w:rPr>
                <w:sz w:val="20"/>
                <w:szCs w:val="20"/>
              </w:rPr>
              <w:t>-3.18</w:t>
            </w:r>
          </w:p>
        </w:tc>
        <w:tc>
          <w:tcPr>
            <w:tcW w:w="533" w:type="dxa"/>
            <w:vAlign w:val="center"/>
          </w:tcPr>
          <w:p w14:paraId="4ED87C5E" w14:textId="77777777" w:rsidR="00B45351" w:rsidRPr="00576C8A" w:rsidRDefault="00B45351" w:rsidP="00842E93">
            <w:pPr>
              <w:jc w:val="center"/>
              <w:rPr>
                <w:sz w:val="20"/>
                <w:szCs w:val="20"/>
              </w:rPr>
            </w:pPr>
            <w:r>
              <w:rPr>
                <w:sz w:val="20"/>
                <w:szCs w:val="20"/>
              </w:rPr>
              <w:t>-.23</w:t>
            </w:r>
          </w:p>
        </w:tc>
        <w:tc>
          <w:tcPr>
            <w:tcW w:w="666" w:type="dxa"/>
            <w:vAlign w:val="center"/>
          </w:tcPr>
          <w:p w14:paraId="62280CD8" w14:textId="77777777" w:rsidR="00B45351" w:rsidRPr="00576C8A" w:rsidRDefault="00B45351" w:rsidP="00842E93">
            <w:pPr>
              <w:jc w:val="center"/>
              <w:rPr>
                <w:sz w:val="20"/>
                <w:szCs w:val="20"/>
              </w:rPr>
            </w:pPr>
            <w:r>
              <w:rPr>
                <w:sz w:val="20"/>
                <w:szCs w:val="20"/>
              </w:rPr>
              <w:t>-6.18</w:t>
            </w:r>
          </w:p>
        </w:tc>
        <w:tc>
          <w:tcPr>
            <w:tcW w:w="801" w:type="dxa"/>
            <w:vAlign w:val="center"/>
          </w:tcPr>
          <w:p w14:paraId="3581AD7C" w14:textId="77777777" w:rsidR="00B45351" w:rsidRPr="00576C8A" w:rsidRDefault="00B45351" w:rsidP="00842E93">
            <w:pPr>
              <w:jc w:val="center"/>
              <w:rPr>
                <w:sz w:val="20"/>
                <w:szCs w:val="20"/>
              </w:rPr>
            </w:pPr>
            <w:r>
              <w:rPr>
                <w:sz w:val="20"/>
                <w:szCs w:val="20"/>
              </w:rPr>
              <w:t>&lt;.001</w:t>
            </w:r>
          </w:p>
        </w:tc>
        <w:tc>
          <w:tcPr>
            <w:tcW w:w="633" w:type="dxa"/>
            <w:vAlign w:val="center"/>
          </w:tcPr>
          <w:p w14:paraId="4AE940EB" w14:textId="77777777" w:rsidR="00B45351" w:rsidRPr="00576C8A" w:rsidRDefault="00B45351" w:rsidP="00842E93">
            <w:pPr>
              <w:jc w:val="center"/>
              <w:rPr>
                <w:sz w:val="20"/>
                <w:szCs w:val="20"/>
              </w:rPr>
            </w:pPr>
          </w:p>
        </w:tc>
        <w:tc>
          <w:tcPr>
            <w:tcW w:w="533" w:type="dxa"/>
            <w:vAlign w:val="center"/>
          </w:tcPr>
          <w:p w14:paraId="716C4D29" w14:textId="77777777" w:rsidR="00B45351" w:rsidRPr="00576C8A" w:rsidRDefault="00B45351" w:rsidP="00842E93">
            <w:pPr>
              <w:jc w:val="center"/>
              <w:rPr>
                <w:sz w:val="20"/>
                <w:szCs w:val="20"/>
              </w:rPr>
            </w:pPr>
          </w:p>
        </w:tc>
        <w:tc>
          <w:tcPr>
            <w:tcW w:w="666" w:type="dxa"/>
            <w:vAlign w:val="center"/>
          </w:tcPr>
          <w:p w14:paraId="62D91D45" w14:textId="77777777" w:rsidR="00B45351" w:rsidRPr="00576C8A" w:rsidRDefault="00B45351" w:rsidP="00842E93">
            <w:pPr>
              <w:jc w:val="center"/>
              <w:rPr>
                <w:sz w:val="20"/>
                <w:szCs w:val="20"/>
              </w:rPr>
            </w:pPr>
          </w:p>
        </w:tc>
        <w:tc>
          <w:tcPr>
            <w:tcW w:w="801" w:type="dxa"/>
            <w:vAlign w:val="center"/>
          </w:tcPr>
          <w:p w14:paraId="3E44D82D" w14:textId="77777777" w:rsidR="00B45351" w:rsidRPr="00576C8A" w:rsidRDefault="00B45351" w:rsidP="00842E93">
            <w:pPr>
              <w:jc w:val="center"/>
              <w:rPr>
                <w:sz w:val="20"/>
                <w:szCs w:val="20"/>
              </w:rPr>
            </w:pPr>
          </w:p>
        </w:tc>
      </w:tr>
      <w:tr w:rsidR="00B45351" w:rsidRPr="00576C8A" w14:paraId="6260BD68" w14:textId="77777777" w:rsidTr="00842E93">
        <w:trPr>
          <w:trHeight w:val="227"/>
        </w:trPr>
        <w:tc>
          <w:tcPr>
            <w:tcW w:w="3671" w:type="dxa"/>
            <w:vAlign w:val="center"/>
          </w:tcPr>
          <w:p w14:paraId="3A41E7DC" w14:textId="77777777" w:rsidR="00B45351" w:rsidRPr="00576C8A" w:rsidRDefault="00B45351" w:rsidP="00842E93">
            <w:pPr>
              <w:rPr>
                <w:sz w:val="20"/>
                <w:szCs w:val="20"/>
              </w:rPr>
            </w:pPr>
            <w:r>
              <w:rPr>
                <w:sz w:val="20"/>
                <w:szCs w:val="20"/>
              </w:rPr>
              <w:t xml:space="preserve">   GAD-7 (Mild Anxiety)</w:t>
            </w:r>
          </w:p>
        </w:tc>
        <w:tc>
          <w:tcPr>
            <w:tcW w:w="766" w:type="dxa"/>
            <w:vAlign w:val="center"/>
          </w:tcPr>
          <w:p w14:paraId="0D68AF21" w14:textId="77777777" w:rsidR="00B45351" w:rsidRPr="00576C8A" w:rsidRDefault="00B45351" w:rsidP="00842E93">
            <w:pPr>
              <w:jc w:val="center"/>
              <w:rPr>
                <w:sz w:val="20"/>
                <w:szCs w:val="20"/>
              </w:rPr>
            </w:pPr>
          </w:p>
        </w:tc>
        <w:tc>
          <w:tcPr>
            <w:tcW w:w="633" w:type="dxa"/>
            <w:vAlign w:val="center"/>
          </w:tcPr>
          <w:p w14:paraId="04132E0E" w14:textId="77777777" w:rsidR="00B45351" w:rsidRPr="00576C8A" w:rsidRDefault="00B45351" w:rsidP="00842E93">
            <w:pPr>
              <w:jc w:val="center"/>
              <w:rPr>
                <w:sz w:val="20"/>
                <w:szCs w:val="20"/>
              </w:rPr>
            </w:pPr>
          </w:p>
        </w:tc>
        <w:tc>
          <w:tcPr>
            <w:tcW w:w="733" w:type="dxa"/>
            <w:vAlign w:val="center"/>
          </w:tcPr>
          <w:p w14:paraId="6EDA70E0" w14:textId="77777777" w:rsidR="00B45351" w:rsidRPr="00576C8A" w:rsidRDefault="00B45351" w:rsidP="00842E93">
            <w:pPr>
              <w:jc w:val="center"/>
              <w:rPr>
                <w:sz w:val="20"/>
                <w:szCs w:val="20"/>
              </w:rPr>
            </w:pPr>
          </w:p>
        </w:tc>
        <w:tc>
          <w:tcPr>
            <w:tcW w:w="781" w:type="dxa"/>
            <w:vAlign w:val="center"/>
          </w:tcPr>
          <w:p w14:paraId="4D293E81" w14:textId="77777777" w:rsidR="00B45351" w:rsidRPr="00576C8A" w:rsidRDefault="00B45351" w:rsidP="00842E93">
            <w:pPr>
              <w:jc w:val="center"/>
              <w:rPr>
                <w:sz w:val="20"/>
                <w:szCs w:val="20"/>
              </w:rPr>
            </w:pPr>
          </w:p>
        </w:tc>
        <w:tc>
          <w:tcPr>
            <w:tcW w:w="733" w:type="dxa"/>
          </w:tcPr>
          <w:p w14:paraId="424FC1E4" w14:textId="77777777" w:rsidR="00B45351" w:rsidRPr="00576C8A" w:rsidRDefault="00B45351" w:rsidP="00842E93">
            <w:pPr>
              <w:jc w:val="center"/>
              <w:rPr>
                <w:sz w:val="20"/>
                <w:szCs w:val="20"/>
              </w:rPr>
            </w:pPr>
          </w:p>
        </w:tc>
        <w:tc>
          <w:tcPr>
            <w:tcW w:w="733" w:type="dxa"/>
          </w:tcPr>
          <w:p w14:paraId="08CE184E" w14:textId="77777777" w:rsidR="00B45351" w:rsidRPr="00576C8A" w:rsidRDefault="00B45351" w:rsidP="00842E93">
            <w:pPr>
              <w:jc w:val="center"/>
              <w:rPr>
                <w:sz w:val="20"/>
                <w:szCs w:val="20"/>
              </w:rPr>
            </w:pPr>
          </w:p>
        </w:tc>
        <w:tc>
          <w:tcPr>
            <w:tcW w:w="833" w:type="dxa"/>
          </w:tcPr>
          <w:p w14:paraId="65871EF5" w14:textId="77777777" w:rsidR="00B45351" w:rsidRPr="00576C8A" w:rsidRDefault="00B45351" w:rsidP="00842E93">
            <w:pPr>
              <w:jc w:val="center"/>
              <w:rPr>
                <w:sz w:val="20"/>
                <w:szCs w:val="20"/>
              </w:rPr>
            </w:pPr>
          </w:p>
        </w:tc>
        <w:tc>
          <w:tcPr>
            <w:tcW w:w="779" w:type="dxa"/>
          </w:tcPr>
          <w:p w14:paraId="0BBB86CE" w14:textId="77777777" w:rsidR="00B45351" w:rsidRPr="00576C8A" w:rsidRDefault="00B45351" w:rsidP="00842E93">
            <w:pPr>
              <w:jc w:val="center"/>
              <w:rPr>
                <w:sz w:val="20"/>
                <w:szCs w:val="20"/>
              </w:rPr>
            </w:pPr>
          </w:p>
        </w:tc>
        <w:tc>
          <w:tcPr>
            <w:tcW w:w="633" w:type="dxa"/>
            <w:vAlign w:val="center"/>
          </w:tcPr>
          <w:p w14:paraId="342F5298" w14:textId="77777777" w:rsidR="00B45351" w:rsidRPr="00576C8A" w:rsidRDefault="00B45351" w:rsidP="00842E93">
            <w:pPr>
              <w:jc w:val="center"/>
              <w:rPr>
                <w:sz w:val="20"/>
                <w:szCs w:val="20"/>
              </w:rPr>
            </w:pPr>
            <w:r>
              <w:rPr>
                <w:sz w:val="20"/>
                <w:szCs w:val="20"/>
              </w:rPr>
              <w:t>1.02</w:t>
            </w:r>
          </w:p>
        </w:tc>
        <w:tc>
          <w:tcPr>
            <w:tcW w:w="533" w:type="dxa"/>
            <w:vAlign w:val="center"/>
          </w:tcPr>
          <w:p w14:paraId="16806F2F" w14:textId="77777777" w:rsidR="00B45351" w:rsidRPr="00576C8A" w:rsidRDefault="00B45351" w:rsidP="00842E93">
            <w:pPr>
              <w:jc w:val="center"/>
              <w:rPr>
                <w:sz w:val="20"/>
                <w:szCs w:val="20"/>
              </w:rPr>
            </w:pPr>
            <w:r>
              <w:rPr>
                <w:sz w:val="20"/>
                <w:szCs w:val="20"/>
              </w:rPr>
              <w:t>.08</w:t>
            </w:r>
          </w:p>
        </w:tc>
        <w:tc>
          <w:tcPr>
            <w:tcW w:w="666" w:type="dxa"/>
            <w:vAlign w:val="center"/>
          </w:tcPr>
          <w:p w14:paraId="58360902" w14:textId="77777777" w:rsidR="00B45351" w:rsidRPr="00576C8A" w:rsidRDefault="00B45351" w:rsidP="00842E93">
            <w:pPr>
              <w:jc w:val="center"/>
              <w:rPr>
                <w:sz w:val="20"/>
                <w:szCs w:val="20"/>
              </w:rPr>
            </w:pPr>
            <w:r>
              <w:rPr>
                <w:sz w:val="20"/>
                <w:szCs w:val="20"/>
              </w:rPr>
              <w:t>2.22</w:t>
            </w:r>
          </w:p>
        </w:tc>
        <w:tc>
          <w:tcPr>
            <w:tcW w:w="801" w:type="dxa"/>
            <w:vAlign w:val="center"/>
          </w:tcPr>
          <w:p w14:paraId="2C046EA4" w14:textId="77777777" w:rsidR="00B45351" w:rsidRPr="00576C8A" w:rsidRDefault="00B45351" w:rsidP="00842E93">
            <w:pPr>
              <w:jc w:val="center"/>
              <w:rPr>
                <w:sz w:val="20"/>
                <w:szCs w:val="20"/>
              </w:rPr>
            </w:pPr>
            <w:r>
              <w:rPr>
                <w:sz w:val="20"/>
                <w:szCs w:val="20"/>
              </w:rPr>
              <w:t>.026</w:t>
            </w:r>
          </w:p>
        </w:tc>
        <w:tc>
          <w:tcPr>
            <w:tcW w:w="633" w:type="dxa"/>
            <w:vAlign w:val="center"/>
          </w:tcPr>
          <w:p w14:paraId="4115460C" w14:textId="77777777" w:rsidR="00B45351" w:rsidRPr="00576C8A" w:rsidRDefault="00B45351" w:rsidP="00842E93">
            <w:pPr>
              <w:jc w:val="center"/>
              <w:rPr>
                <w:sz w:val="20"/>
                <w:szCs w:val="20"/>
              </w:rPr>
            </w:pPr>
          </w:p>
        </w:tc>
        <w:tc>
          <w:tcPr>
            <w:tcW w:w="533" w:type="dxa"/>
            <w:vAlign w:val="center"/>
          </w:tcPr>
          <w:p w14:paraId="682D043D" w14:textId="77777777" w:rsidR="00B45351" w:rsidRPr="00576C8A" w:rsidRDefault="00B45351" w:rsidP="00842E93">
            <w:pPr>
              <w:jc w:val="center"/>
              <w:rPr>
                <w:sz w:val="20"/>
                <w:szCs w:val="20"/>
              </w:rPr>
            </w:pPr>
          </w:p>
        </w:tc>
        <w:tc>
          <w:tcPr>
            <w:tcW w:w="666" w:type="dxa"/>
            <w:vAlign w:val="center"/>
          </w:tcPr>
          <w:p w14:paraId="220875BF" w14:textId="77777777" w:rsidR="00B45351" w:rsidRPr="00576C8A" w:rsidRDefault="00B45351" w:rsidP="00842E93">
            <w:pPr>
              <w:jc w:val="center"/>
              <w:rPr>
                <w:sz w:val="20"/>
                <w:szCs w:val="20"/>
              </w:rPr>
            </w:pPr>
          </w:p>
        </w:tc>
        <w:tc>
          <w:tcPr>
            <w:tcW w:w="801" w:type="dxa"/>
            <w:vAlign w:val="center"/>
          </w:tcPr>
          <w:p w14:paraId="3999F535" w14:textId="77777777" w:rsidR="00B45351" w:rsidRPr="00576C8A" w:rsidRDefault="00B45351" w:rsidP="00842E93">
            <w:pPr>
              <w:jc w:val="center"/>
              <w:rPr>
                <w:sz w:val="20"/>
                <w:szCs w:val="20"/>
              </w:rPr>
            </w:pPr>
          </w:p>
        </w:tc>
      </w:tr>
      <w:tr w:rsidR="00B45351" w:rsidRPr="00576C8A" w14:paraId="65CED762" w14:textId="77777777" w:rsidTr="00842E93">
        <w:trPr>
          <w:trHeight w:val="227"/>
        </w:trPr>
        <w:tc>
          <w:tcPr>
            <w:tcW w:w="3671" w:type="dxa"/>
            <w:vAlign w:val="center"/>
          </w:tcPr>
          <w:p w14:paraId="344F1FBD" w14:textId="77777777" w:rsidR="00B45351" w:rsidRPr="00576C8A" w:rsidRDefault="00B45351" w:rsidP="00842E93">
            <w:pPr>
              <w:rPr>
                <w:sz w:val="20"/>
                <w:szCs w:val="20"/>
              </w:rPr>
            </w:pPr>
            <w:r>
              <w:rPr>
                <w:sz w:val="20"/>
                <w:szCs w:val="20"/>
              </w:rPr>
              <w:t xml:space="preserve">   GAD-7 (Severe Anxiety)</w:t>
            </w:r>
          </w:p>
        </w:tc>
        <w:tc>
          <w:tcPr>
            <w:tcW w:w="766" w:type="dxa"/>
            <w:vAlign w:val="center"/>
          </w:tcPr>
          <w:p w14:paraId="5A817125" w14:textId="77777777" w:rsidR="00B45351" w:rsidRPr="00576C8A" w:rsidRDefault="00B45351" w:rsidP="00842E93">
            <w:pPr>
              <w:jc w:val="center"/>
              <w:rPr>
                <w:sz w:val="20"/>
                <w:szCs w:val="20"/>
              </w:rPr>
            </w:pPr>
          </w:p>
        </w:tc>
        <w:tc>
          <w:tcPr>
            <w:tcW w:w="633" w:type="dxa"/>
            <w:vAlign w:val="center"/>
          </w:tcPr>
          <w:p w14:paraId="32DE9054" w14:textId="77777777" w:rsidR="00B45351" w:rsidRPr="00576C8A" w:rsidRDefault="00B45351" w:rsidP="00842E93">
            <w:pPr>
              <w:jc w:val="center"/>
              <w:rPr>
                <w:sz w:val="20"/>
                <w:szCs w:val="20"/>
              </w:rPr>
            </w:pPr>
          </w:p>
        </w:tc>
        <w:tc>
          <w:tcPr>
            <w:tcW w:w="733" w:type="dxa"/>
            <w:vAlign w:val="center"/>
          </w:tcPr>
          <w:p w14:paraId="1F53B1F9" w14:textId="77777777" w:rsidR="00B45351" w:rsidRPr="00576C8A" w:rsidRDefault="00B45351" w:rsidP="00842E93">
            <w:pPr>
              <w:jc w:val="center"/>
              <w:rPr>
                <w:sz w:val="20"/>
                <w:szCs w:val="20"/>
              </w:rPr>
            </w:pPr>
          </w:p>
        </w:tc>
        <w:tc>
          <w:tcPr>
            <w:tcW w:w="781" w:type="dxa"/>
            <w:vAlign w:val="center"/>
          </w:tcPr>
          <w:p w14:paraId="68DF4D8F" w14:textId="77777777" w:rsidR="00B45351" w:rsidRPr="00576C8A" w:rsidRDefault="00B45351" w:rsidP="00842E93">
            <w:pPr>
              <w:jc w:val="center"/>
              <w:rPr>
                <w:sz w:val="20"/>
                <w:szCs w:val="20"/>
              </w:rPr>
            </w:pPr>
          </w:p>
        </w:tc>
        <w:tc>
          <w:tcPr>
            <w:tcW w:w="733" w:type="dxa"/>
          </w:tcPr>
          <w:p w14:paraId="59AF5851" w14:textId="77777777" w:rsidR="00B45351" w:rsidRPr="00576C8A" w:rsidRDefault="00B45351" w:rsidP="00842E93">
            <w:pPr>
              <w:jc w:val="center"/>
              <w:rPr>
                <w:sz w:val="20"/>
                <w:szCs w:val="20"/>
              </w:rPr>
            </w:pPr>
          </w:p>
        </w:tc>
        <w:tc>
          <w:tcPr>
            <w:tcW w:w="733" w:type="dxa"/>
          </w:tcPr>
          <w:p w14:paraId="36DBEE72" w14:textId="77777777" w:rsidR="00B45351" w:rsidRPr="00576C8A" w:rsidRDefault="00B45351" w:rsidP="00842E93">
            <w:pPr>
              <w:jc w:val="center"/>
              <w:rPr>
                <w:sz w:val="20"/>
                <w:szCs w:val="20"/>
              </w:rPr>
            </w:pPr>
          </w:p>
        </w:tc>
        <w:tc>
          <w:tcPr>
            <w:tcW w:w="833" w:type="dxa"/>
          </w:tcPr>
          <w:p w14:paraId="2E576F25" w14:textId="77777777" w:rsidR="00B45351" w:rsidRPr="00576C8A" w:rsidRDefault="00B45351" w:rsidP="00842E93">
            <w:pPr>
              <w:jc w:val="center"/>
              <w:rPr>
                <w:sz w:val="20"/>
                <w:szCs w:val="20"/>
              </w:rPr>
            </w:pPr>
          </w:p>
        </w:tc>
        <w:tc>
          <w:tcPr>
            <w:tcW w:w="779" w:type="dxa"/>
          </w:tcPr>
          <w:p w14:paraId="6B4FAF36" w14:textId="77777777" w:rsidR="00B45351" w:rsidRPr="00576C8A" w:rsidRDefault="00B45351" w:rsidP="00842E93">
            <w:pPr>
              <w:jc w:val="center"/>
              <w:rPr>
                <w:sz w:val="20"/>
                <w:szCs w:val="20"/>
              </w:rPr>
            </w:pPr>
          </w:p>
        </w:tc>
        <w:tc>
          <w:tcPr>
            <w:tcW w:w="633" w:type="dxa"/>
            <w:vAlign w:val="center"/>
          </w:tcPr>
          <w:p w14:paraId="6B01A379" w14:textId="77777777" w:rsidR="00B45351" w:rsidRPr="00576C8A" w:rsidRDefault="00B45351" w:rsidP="00842E93">
            <w:pPr>
              <w:jc w:val="center"/>
              <w:rPr>
                <w:sz w:val="20"/>
                <w:szCs w:val="20"/>
              </w:rPr>
            </w:pPr>
            <w:r>
              <w:rPr>
                <w:sz w:val="20"/>
                <w:szCs w:val="20"/>
              </w:rPr>
              <w:t>-2.07</w:t>
            </w:r>
          </w:p>
        </w:tc>
        <w:tc>
          <w:tcPr>
            <w:tcW w:w="533" w:type="dxa"/>
            <w:vAlign w:val="center"/>
          </w:tcPr>
          <w:p w14:paraId="38E958B6" w14:textId="77777777" w:rsidR="00B45351" w:rsidRPr="00576C8A" w:rsidRDefault="00B45351" w:rsidP="00842E93">
            <w:pPr>
              <w:jc w:val="center"/>
              <w:rPr>
                <w:sz w:val="20"/>
                <w:szCs w:val="20"/>
              </w:rPr>
            </w:pPr>
            <w:r>
              <w:rPr>
                <w:sz w:val="20"/>
                <w:szCs w:val="20"/>
              </w:rPr>
              <w:t>-.09</w:t>
            </w:r>
          </w:p>
        </w:tc>
        <w:tc>
          <w:tcPr>
            <w:tcW w:w="666" w:type="dxa"/>
            <w:vAlign w:val="center"/>
          </w:tcPr>
          <w:p w14:paraId="6AFD0C6A" w14:textId="77777777" w:rsidR="00B45351" w:rsidRPr="00576C8A" w:rsidRDefault="00B45351" w:rsidP="00842E93">
            <w:pPr>
              <w:jc w:val="center"/>
              <w:rPr>
                <w:sz w:val="20"/>
                <w:szCs w:val="20"/>
              </w:rPr>
            </w:pPr>
            <w:r>
              <w:rPr>
                <w:sz w:val="20"/>
                <w:szCs w:val="20"/>
              </w:rPr>
              <w:t>-2.83</w:t>
            </w:r>
          </w:p>
        </w:tc>
        <w:tc>
          <w:tcPr>
            <w:tcW w:w="801" w:type="dxa"/>
            <w:vAlign w:val="center"/>
          </w:tcPr>
          <w:p w14:paraId="08D23798" w14:textId="77777777" w:rsidR="00B45351" w:rsidRPr="00576C8A" w:rsidRDefault="00B45351" w:rsidP="00842E93">
            <w:pPr>
              <w:jc w:val="center"/>
              <w:rPr>
                <w:sz w:val="20"/>
                <w:szCs w:val="20"/>
              </w:rPr>
            </w:pPr>
            <w:r>
              <w:rPr>
                <w:sz w:val="20"/>
                <w:szCs w:val="20"/>
              </w:rPr>
              <w:t>.005</w:t>
            </w:r>
          </w:p>
        </w:tc>
        <w:tc>
          <w:tcPr>
            <w:tcW w:w="633" w:type="dxa"/>
            <w:vAlign w:val="center"/>
          </w:tcPr>
          <w:p w14:paraId="03AB8A14" w14:textId="77777777" w:rsidR="00B45351" w:rsidRPr="00576C8A" w:rsidRDefault="00B45351" w:rsidP="00842E93">
            <w:pPr>
              <w:jc w:val="center"/>
              <w:rPr>
                <w:sz w:val="20"/>
                <w:szCs w:val="20"/>
              </w:rPr>
            </w:pPr>
          </w:p>
        </w:tc>
        <w:tc>
          <w:tcPr>
            <w:tcW w:w="533" w:type="dxa"/>
            <w:vAlign w:val="center"/>
          </w:tcPr>
          <w:p w14:paraId="66DCDC28" w14:textId="77777777" w:rsidR="00B45351" w:rsidRPr="00576C8A" w:rsidRDefault="00B45351" w:rsidP="00842E93">
            <w:pPr>
              <w:jc w:val="center"/>
              <w:rPr>
                <w:sz w:val="20"/>
                <w:szCs w:val="20"/>
              </w:rPr>
            </w:pPr>
          </w:p>
        </w:tc>
        <w:tc>
          <w:tcPr>
            <w:tcW w:w="666" w:type="dxa"/>
            <w:vAlign w:val="center"/>
          </w:tcPr>
          <w:p w14:paraId="41F6E1E4" w14:textId="77777777" w:rsidR="00B45351" w:rsidRPr="00576C8A" w:rsidRDefault="00B45351" w:rsidP="00842E93">
            <w:pPr>
              <w:jc w:val="center"/>
              <w:rPr>
                <w:sz w:val="20"/>
                <w:szCs w:val="20"/>
              </w:rPr>
            </w:pPr>
          </w:p>
        </w:tc>
        <w:tc>
          <w:tcPr>
            <w:tcW w:w="801" w:type="dxa"/>
            <w:vAlign w:val="center"/>
          </w:tcPr>
          <w:p w14:paraId="3744CF3B" w14:textId="77777777" w:rsidR="00B45351" w:rsidRPr="00576C8A" w:rsidRDefault="00B45351" w:rsidP="00842E93">
            <w:pPr>
              <w:jc w:val="center"/>
              <w:rPr>
                <w:sz w:val="20"/>
                <w:szCs w:val="20"/>
              </w:rPr>
            </w:pPr>
          </w:p>
        </w:tc>
      </w:tr>
      <w:tr w:rsidR="00B45351" w:rsidRPr="00576C8A" w14:paraId="469EAE8E" w14:textId="77777777" w:rsidTr="00842E93">
        <w:trPr>
          <w:trHeight w:val="227"/>
        </w:trPr>
        <w:tc>
          <w:tcPr>
            <w:tcW w:w="3671" w:type="dxa"/>
            <w:vAlign w:val="center"/>
          </w:tcPr>
          <w:p w14:paraId="4B29B958" w14:textId="77777777" w:rsidR="00B45351" w:rsidRPr="00576C8A" w:rsidRDefault="00B45351" w:rsidP="00842E93">
            <w:pPr>
              <w:rPr>
                <w:sz w:val="20"/>
                <w:szCs w:val="20"/>
              </w:rPr>
            </w:pPr>
            <w:r>
              <w:rPr>
                <w:sz w:val="20"/>
                <w:szCs w:val="20"/>
              </w:rPr>
              <w:t xml:space="preserve">   AUDIT (Lower Risk Drinking)</w:t>
            </w:r>
          </w:p>
        </w:tc>
        <w:tc>
          <w:tcPr>
            <w:tcW w:w="766" w:type="dxa"/>
            <w:vAlign w:val="center"/>
          </w:tcPr>
          <w:p w14:paraId="1AB850A5" w14:textId="77777777" w:rsidR="00B45351" w:rsidRPr="00576C8A" w:rsidRDefault="00B45351" w:rsidP="00842E93">
            <w:pPr>
              <w:jc w:val="center"/>
              <w:rPr>
                <w:sz w:val="20"/>
                <w:szCs w:val="20"/>
              </w:rPr>
            </w:pPr>
          </w:p>
        </w:tc>
        <w:tc>
          <w:tcPr>
            <w:tcW w:w="633" w:type="dxa"/>
            <w:vAlign w:val="center"/>
          </w:tcPr>
          <w:p w14:paraId="2BFA7E18" w14:textId="77777777" w:rsidR="00B45351" w:rsidRPr="00576C8A" w:rsidRDefault="00B45351" w:rsidP="00842E93">
            <w:pPr>
              <w:jc w:val="center"/>
              <w:rPr>
                <w:sz w:val="20"/>
                <w:szCs w:val="20"/>
              </w:rPr>
            </w:pPr>
          </w:p>
        </w:tc>
        <w:tc>
          <w:tcPr>
            <w:tcW w:w="733" w:type="dxa"/>
            <w:vAlign w:val="center"/>
          </w:tcPr>
          <w:p w14:paraId="43C42261" w14:textId="77777777" w:rsidR="00B45351" w:rsidRPr="00576C8A" w:rsidRDefault="00B45351" w:rsidP="00842E93">
            <w:pPr>
              <w:jc w:val="center"/>
              <w:rPr>
                <w:sz w:val="20"/>
                <w:szCs w:val="20"/>
              </w:rPr>
            </w:pPr>
          </w:p>
        </w:tc>
        <w:tc>
          <w:tcPr>
            <w:tcW w:w="781" w:type="dxa"/>
            <w:vAlign w:val="center"/>
          </w:tcPr>
          <w:p w14:paraId="5667BDE7" w14:textId="77777777" w:rsidR="00B45351" w:rsidRPr="00576C8A" w:rsidRDefault="00B45351" w:rsidP="00842E93">
            <w:pPr>
              <w:jc w:val="center"/>
              <w:rPr>
                <w:sz w:val="20"/>
                <w:szCs w:val="20"/>
              </w:rPr>
            </w:pPr>
          </w:p>
        </w:tc>
        <w:tc>
          <w:tcPr>
            <w:tcW w:w="733" w:type="dxa"/>
          </w:tcPr>
          <w:p w14:paraId="64ED1883" w14:textId="77777777" w:rsidR="00B45351" w:rsidRPr="00576C8A" w:rsidRDefault="00B45351" w:rsidP="00842E93">
            <w:pPr>
              <w:jc w:val="center"/>
              <w:rPr>
                <w:sz w:val="20"/>
                <w:szCs w:val="20"/>
              </w:rPr>
            </w:pPr>
          </w:p>
        </w:tc>
        <w:tc>
          <w:tcPr>
            <w:tcW w:w="733" w:type="dxa"/>
          </w:tcPr>
          <w:p w14:paraId="76D2525F" w14:textId="77777777" w:rsidR="00B45351" w:rsidRPr="00576C8A" w:rsidRDefault="00B45351" w:rsidP="00842E93">
            <w:pPr>
              <w:jc w:val="center"/>
              <w:rPr>
                <w:sz w:val="20"/>
                <w:szCs w:val="20"/>
              </w:rPr>
            </w:pPr>
          </w:p>
        </w:tc>
        <w:tc>
          <w:tcPr>
            <w:tcW w:w="833" w:type="dxa"/>
          </w:tcPr>
          <w:p w14:paraId="7DAEFF38" w14:textId="77777777" w:rsidR="00B45351" w:rsidRPr="00576C8A" w:rsidRDefault="00B45351" w:rsidP="00842E93">
            <w:pPr>
              <w:jc w:val="center"/>
              <w:rPr>
                <w:sz w:val="20"/>
                <w:szCs w:val="20"/>
              </w:rPr>
            </w:pPr>
          </w:p>
        </w:tc>
        <w:tc>
          <w:tcPr>
            <w:tcW w:w="779" w:type="dxa"/>
          </w:tcPr>
          <w:p w14:paraId="3D81F929" w14:textId="77777777" w:rsidR="00B45351" w:rsidRPr="00576C8A" w:rsidRDefault="00B45351" w:rsidP="00842E93">
            <w:pPr>
              <w:jc w:val="center"/>
              <w:rPr>
                <w:sz w:val="20"/>
                <w:szCs w:val="20"/>
              </w:rPr>
            </w:pPr>
          </w:p>
        </w:tc>
        <w:tc>
          <w:tcPr>
            <w:tcW w:w="633" w:type="dxa"/>
            <w:vAlign w:val="center"/>
          </w:tcPr>
          <w:p w14:paraId="3E407070" w14:textId="77777777" w:rsidR="00B45351" w:rsidRPr="00576C8A" w:rsidRDefault="00B45351" w:rsidP="00842E93">
            <w:pPr>
              <w:jc w:val="center"/>
              <w:rPr>
                <w:sz w:val="20"/>
                <w:szCs w:val="20"/>
              </w:rPr>
            </w:pPr>
            <w:r>
              <w:rPr>
                <w:sz w:val="20"/>
                <w:szCs w:val="20"/>
              </w:rPr>
              <w:t>-1.35</w:t>
            </w:r>
          </w:p>
        </w:tc>
        <w:tc>
          <w:tcPr>
            <w:tcW w:w="533" w:type="dxa"/>
            <w:vAlign w:val="center"/>
          </w:tcPr>
          <w:p w14:paraId="49264AA9" w14:textId="77777777" w:rsidR="00B45351" w:rsidRPr="00576C8A" w:rsidRDefault="00B45351" w:rsidP="00842E93">
            <w:pPr>
              <w:jc w:val="center"/>
              <w:rPr>
                <w:sz w:val="20"/>
                <w:szCs w:val="20"/>
              </w:rPr>
            </w:pPr>
            <w:r>
              <w:rPr>
                <w:sz w:val="20"/>
                <w:szCs w:val="20"/>
              </w:rPr>
              <w:t>-.09</w:t>
            </w:r>
          </w:p>
        </w:tc>
        <w:tc>
          <w:tcPr>
            <w:tcW w:w="666" w:type="dxa"/>
            <w:vAlign w:val="center"/>
          </w:tcPr>
          <w:p w14:paraId="5D0B044B" w14:textId="77777777" w:rsidR="00B45351" w:rsidRPr="00576C8A" w:rsidRDefault="00B45351" w:rsidP="00842E93">
            <w:pPr>
              <w:jc w:val="center"/>
              <w:rPr>
                <w:sz w:val="20"/>
                <w:szCs w:val="20"/>
              </w:rPr>
            </w:pPr>
            <w:r>
              <w:rPr>
                <w:sz w:val="20"/>
                <w:szCs w:val="20"/>
              </w:rPr>
              <w:t>-2.83</w:t>
            </w:r>
          </w:p>
        </w:tc>
        <w:tc>
          <w:tcPr>
            <w:tcW w:w="801" w:type="dxa"/>
            <w:vAlign w:val="center"/>
          </w:tcPr>
          <w:p w14:paraId="0AB0955B" w14:textId="77777777" w:rsidR="00B45351" w:rsidRPr="00576C8A" w:rsidRDefault="00B45351" w:rsidP="00842E93">
            <w:pPr>
              <w:jc w:val="center"/>
              <w:rPr>
                <w:sz w:val="20"/>
                <w:szCs w:val="20"/>
              </w:rPr>
            </w:pPr>
            <w:r>
              <w:rPr>
                <w:sz w:val="20"/>
                <w:szCs w:val="20"/>
              </w:rPr>
              <w:t>.005</w:t>
            </w:r>
          </w:p>
        </w:tc>
        <w:tc>
          <w:tcPr>
            <w:tcW w:w="633" w:type="dxa"/>
            <w:vAlign w:val="center"/>
          </w:tcPr>
          <w:p w14:paraId="335E6AF3" w14:textId="77777777" w:rsidR="00B45351" w:rsidRPr="00576C8A" w:rsidRDefault="00B45351" w:rsidP="00842E93">
            <w:pPr>
              <w:jc w:val="center"/>
              <w:rPr>
                <w:sz w:val="20"/>
                <w:szCs w:val="20"/>
              </w:rPr>
            </w:pPr>
          </w:p>
        </w:tc>
        <w:tc>
          <w:tcPr>
            <w:tcW w:w="533" w:type="dxa"/>
            <w:vAlign w:val="center"/>
          </w:tcPr>
          <w:p w14:paraId="4839AA2B" w14:textId="77777777" w:rsidR="00B45351" w:rsidRPr="00576C8A" w:rsidRDefault="00B45351" w:rsidP="00842E93">
            <w:pPr>
              <w:jc w:val="center"/>
              <w:rPr>
                <w:sz w:val="20"/>
                <w:szCs w:val="20"/>
              </w:rPr>
            </w:pPr>
          </w:p>
        </w:tc>
        <w:tc>
          <w:tcPr>
            <w:tcW w:w="666" w:type="dxa"/>
            <w:vAlign w:val="center"/>
          </w:tcPr>
          <w:p w14:paraId="67420ECF" w14:textId="77777777" w:rsidR="00B45351" w:rsidRPr="00576C8A" w:rsidRDefault="00B45351" w:rsidP="00842E93">
            <w:pPr>
              <w:jc w:val="center"/>
              <w:rPr>
                <w:sz w:val="20"/>
                <w:szCs w:val="20"/>
              </w:rPr>
            </w:pPr>
          </w:p>
        </w:tc>
        <w:tc>
          <w:tcPr>
            <w:tcW w:w="801" w:type="dxa"/>
            <w:vAlign w:val="center"/>
          </w:tcPr>
          <w:p w14:paraId="6C3EF735" w14:textId="77777777" w:rsidR="00B45351" w:rsidRPr="00576C8A" w:rsidRDefault="00B45351" w:rsidP="00842E93">
            <w:pPr>
              <w:jc w:val="center"/>
              <w:rPr>
                <w:sz w:val="20"/>
                <w:szCs w:val="20"/>
              </w:rPr>
            </w:pPr>
          </w:p>
        </w:tc>
      </w:tr>
      <w:tr w:rsidR="00B45351" w:rsidRPr="00576C8A" w14:paraId="5E1B8112" w14:textId="77777777" w:rsidTr="00842E93">
        <w:trPr>
          <w:trHeight w:val="227"/>
        </w:trPr>
        <w:tc>
          <w:tcPr>
            <w:tcW w:w="3671" w:type="dxa"/>
            <w:vAlign w:val="center"/>
          </w:tcPr>
          <w:p w14:paraId="509B52A1" w14:textId="77777777" w:rsidR="00B45351" w:rsidRDefault="00B45351" w:rsidP="00842E93">
            <w:pPr>
              <w:rPr>
                <w:sz w:val="20"/>
                <w:szCs w:val="20"/>
              </w:rPr>
            </w:pPr>
            <w:r>
              <w:rPr>
                <w:sz w:val="20"/>
                <w:szCs w:val="20"/>
              </w:rPr>
              <w:t xml:space="preserve">   AUDIT (Higher Risk Drinking)</w:t>
            </w:r>
          </w:p>
        </w:tc>
        <w:tc>
          <w:tcPr>
            <w:tcW w:w="766" w:type="dxa"/>
            <w:vAlign w:val="center"/>
          </w:tcPr>
          <w:p w14:paraId="71BDCA8B" w14:textId="77777777" w:rsidR="00B45351" w:rsidRPr="00576C8A" w:rsidRDefault="00B45351" w:rsidP="00842E93">
            <w:pPr>
              <w:jc w:val="center"/>
              <w:rPr>
                <w:sz w:val="20"/>
                <w:szCs w:val="20"/>
              </w:rPr>
            </w:pPr>
          </w:p>
        </w:tc>
        <w:tc>
          <w:tcPr>
            <w:tcW w:w="633" w:type="dxa"/>
            <w:vAlign w:val="center"/>
          </w:tcPr>
          <w:p w14:paraId="19103175" w14:textId="77777777" w:rsidR="00B45351" w:rsidRPr="00576C8A" w:rsidRDefault="00B45351" w:rsidP="00842E93">
            <w:pPr>
              <w:jc w:val="center"/>
              <w:rPr>
                <w:sz w:val="20"/>
                <w:szCs w:val="20"/>
              </w:rPr>
            </w:pPr>
          </w:p>
        </w:tc>
        <w:tc>
          <w:tcPr>
            <w:tcW w:w="733" w:type="dxa"/>
            <w:vAlign w:val="center"/>
          </w:tcPr>
          <w:p w14:paraId="1D460BD4" w14:textId="77777777" w:rsidR="00B45351" w:rsidRPr="00576C8A" w:rsidRDefault="00B45351" w:rsidP="00842E93">
            <w:pPr>
              <w:jc w:val="center"/>
              <w:rPr>
                <w:sz w:val="20"/>
                <w:szCs w:val="20"/>
              </w:rPr>
            </w:pPr>
          </w:p>
        </w:tc>
        <w:tc>
          <w:tcPr>
            <w:tcW w:w="781" w:type="dxa"/>
            <w:vAlign w:val="center"/>
          </w:tcPr>
          <w:p w14:paraId="234091F1" w14:textId="77777777" w:rsidR="00B45351" w:rsidRPr="00576C8A" w:rsidRDefault="00B45351" w:rsidP="00842E93">
            <w:pPr>
              <w:jc w:val="center"/>
              <w:rPr>
                <w:sz w:val="20"/>
                <w:szCs w:val="20"/>
              </w:rPr>
            </w:pPr>
          </w:p>
        </w:tc>
        <w:tc>
          <w:tcPr>
            <w:tcW w:w="733" w:type="dxa"/>
          </w:tcPr>
          <w:p w14:paraId="7F2BA0CA" w14:textId="77777777" w:rsidR="00B45351" w:rsidRPr="00576C8A" w:rsidRDefault="00B45351" w:rsidP="00842E93">
            <w:pPr>
              <w:jc w:val="center"/>
              <w:rPr>
                <w:sz w:val="20"/>
                <w:szCs w:val="20"/>
              </w:rPr>
            </w:pPr>
          </w:p>
        </w:tc>
        <w:tc>
          <w:tcPr>
            <w:tcW w:w="733" w:type="dxa"/>
          </w:tcPr>
          <w:p w14:paraId="47C46835" w14:textId="77777777" w:rsidR="00B45351" w:rsidRPr="00576C8A" w:rsidRDefault="00B45351" w:rsidP="00842E93">
            <w:pPr>
              <w:jc w:val="center"/>
              <w:rPr>
                <w:sz w:val="20"/>
                <w:szCs w:val="20"/>
              </w:rPr>
            </w:pPr>
          </w:p>
        </w:tc>
        <w:tc>
          <w:tcPr>
            <w:tcW w:w="833" w:type="dxa"/>
          </w:tcPr>
          <w:p w14:paraId="54DE98C9" w14:textId="77777777" w:rsidR="00B45351" w:rsidRPr="00576C8A" w:rsidRDefault="00B45351" w:rsidP="00842E93">
            <w:pPr>
              <w:jc w:val="center"/>
              <w:rPr>
                <w:sz w:val="20"/>
                <w:szCs w:val="20"/>
              </w:rPr>
            </w:pPr>
          </w:p>
        </w:tc>
        <w:tc>
          <w:tcPr>
            <w:tcW w:w="779" w:type="dxa"/>
          </w:tcPr>
          <w:p w14:paraId="7A98478F" w14:textId="77777777" w:rsidR="00B45351" w:rsidRPr="00576C8A" w:rsidRDefault="00B45351" w:rsidP="00842E93">
            <w:pPr>
              <w:jc w:val="center"/>
              <w:rPr>
                <w:sz w:val="20"/>
                <w:szCs w:val="20"/>
              </w:rPr>
            </w:pPr>
          </w:p>
        </w:tc>
        <w:tc>
          <w:tcPr>
            <w:tcW w:w="633" w:type="dxa"/>
            <w:vAlign w:val="center"/>
          </w:tcPr>
          <w:p w14:paraId="3EFE3269" w14:textId="77777777" w:rsidR="00B45351" w:rsidRDefault="00B45351" w:rsidP="00842E93">
            <w:pPr>
              <w:jc w:val="center"/>
              <w:rPr>
                <w:sz w:val="20"/>
                <w:szCs w:val="20"/>
              </w:rPr>
            </w:pPr>
            <w:r>
              <w:rPr>
                <w:sz w:val="20"/>
                <w:szCs w:val="20"/>
              </w:rPr>
              <w:t>2.08</w:t>
            </w:r>
          </w:p>
        </w:tc>
        <w:tc>
          <w:tcPr>
            <w:tcW w:w="533" w:type="dxa"/>
            <w:vAlign w:val="center"/>
          </w:tcPr>
          <w:p w14:paraId="38E0AA8E" w14:textId="77777777" w:rsidR="00B45351" w:rsidRDefault="00B45351" w:rsidP="00842E93">
            <w:pPr>
              <w:jc w:val="center"/>
              <w:rPr>
                <w:sz w:val="20"/>
                <w:szCs w:val="20"/>
              </w:rPr>
            </w:pPr>
            <w:r>
              <w:rPr>
                <w:sz w:val="20"/>
                <w:szCs w:val="20"/>
              </w:rPr>
              <w:t>.11</w:t>
            </w:r>
          </w:p>
        </w:tc>
        <w:tc>
          <w:tcPr>
            <w:tcW w:w="666" w:type="dxa"/>
            <w:vAlign w:val="center"/>
          </w:tcPr>
          <w:p w14:paraId="1DFBDD35" w14:textId="77777777" w:rsidR="00B45351" w:rsidRDefault="00B45351" w:rsidP="00842E93">
            <w:pPr>
              <w:jc w:val="center"/>
              <w:rPr>
                <w:sz w:val="20"/>
                <w:szCs w:val="20"/>
              </w:rPr>
            </w:pPr>
            <w:r>
              <w:rPr>
                <w:sz w:val="20"/>
                <w:szCs w:val="20"/>
              </w:rPr>
              <w:t>3.56</w:t>
            </w:r>
          </w:p>
        </w:tc>
        <w:tc>
          <w:tcPr>
            <w:tcW w:w="801" w:type="dxa"/>
            <w:vAlign w:val="center"/>
          </w:tcPr>
          <w:p w14:paraId="62620900" w14:textId="77777777" w:rsidR="00B45351" w:rsidRPr="00576C8A" w:rsidRDefault="00B45351" w:rsidP="00842E93">
            <w:pPr>
              <w:jc w:val="center"/>
              <w:rPr>
                <w:sz w:val="20"/>
                <w:szCs w:val="20"/>
              </w:rPr>
            </w:pPr>
            <w:r>
              <w:rPr>
                <w:sz w:val="20"/>
                <w:szCs w:val="20"/>
              </w:rPr>
              <w:t>&lt;.001</w:t>
            </w:r>
          </w:p>
        </w:tc>
        <w:tc>
          <w:tcPr>
            <w:tcW w:w="633" w:type="dxa"/>
            <w:vAlign w:val="center"/>
          </w:tcPr>
          <w:p w14:paraId="66004187" w14:textId="77777777" w:rsidR="00B45351" w:rsidRDefault="00B45351" w:rsidP="00842E93">
            <w:pPr>
              <w:jc w:val="center"/>
              <w:rPr>
                <w:sz w:val="20"/>
                <w:szCs w:val="20"/>
              </w:rPr>
            </w:pPr>
          </w:p>
        </w:tc>
        <w:tc>
          <w:tcPr>
            <w:tcW w:w="533" w:type="dxa"/>
            <w:vAlign w:val="center"/>
          </w:tcPr>
          <w:p w14:paraId="32DED3E7" w14:textId="77777777" w:rsidR="00B45351" w:rsidRDefault="00B45351" w:rsidP="00842E93">
            <w:pPr>
              <w:jc w:val="center"/>
              <w:rPr>
                <w:sz w:val="20"/>
                <w:szCs w:val="20"/>
              </w:rPr>
            </w:pPr>
          </w:p>
        </w:tc>
        <w:tc>
          <w:tcPr>
            <w:tcW w:w="666" w:type="dxa"/>
            <w:vAlign w:val="center"/>
          </w:tcPr>
          <w:p w14:paraId="29740210" w14:textId="77777777" w:rsidR="00B45351" w:rsidRDefault="00B45351" w:rsidP="00842E93">
            <w:pPr>
              <w:jc w:val="center"/>
              <w:rPr>
                <w:sz w:val="20"/>
                <w:szCs w:val="20"/>
              </w:rPr>
            </w:pPr>
          </w:p>
        </w:tc>
        <w:tc>
          <w:tcPr>
            <w:tcW w:w="801" w:type="dxa"/>
            <w:vAlign w:val="center"/>
          </w:tcPr>
          <w:p w14:paraId="627FDBAE" w14:textId="77777777" w:rsidR="00B45351" w:rsidRDefault="00B45351" w:rsidP="00842E93">
            <w:pPr>
              <w:jc w:val="center"/>
              <w:rPr>
                <w:sz w:val="20"/>
                <w:szCs w:val="20"/>
              </w:rPr>
            </w:pPr>
          </w:p>
        </w:tc>
      </w:tr>
      <w:tr w:rsidR="00B45351" w:rsidRPr="00576C8A" w14:paraId="6262D435" w14:textId="77777777" w:rsidTr="00842E93">
        <w:trPr>
          <w:trHeight w:val="227"/>
        </w:trPr>
        <w:tc>
          <w:tcPr>
            <w:tcW w:w="3671" w:type="dxa"/>
            <w:vAlign w:val="center"/>
          </w:tcPr>
          <w:p w14:paraId="603367BA" w14:textId="77777777" w:rsidR="00B45351" w:rsidRPr="00576C8A" w:rsidRDefault="00B45351" w:rsidP="00842E93">
            <w:pPr>
              <w:rPr>
                <w:sz w:val="20"/>
                <w:szCs w:val="20"/>
              </w:rPr>
            </w:pPr>
            <w:r>
              <w:rPr>
                <w:sz w:val="20"/>
                <w:szCs w:val="20"/>
              </w:rPr>
              <w:t xml:space="preserve">   AUDIT (Possible Alcohol Dependence)</w:t>
            </w:r>
          </w:p>
        </w:tc>
        <w:tc>
          <w:tcPr>
            <w:tcW w:w="766" w:type="dxa"/>
            <w:vAlign w:val="center"/>
          </w:tcPr>
          <w:p w14:paraId="2F1F42C2" w14:textId="77777777" w:rsidR="00B45351" w:rsidRPr="00576C8A" w:rsidRDefault="00B45351" w:rsidP="00842E93">
            <w:pPr>
              <w:jc w:val="center"/>
              <w:rPr>
                <w:sz w:val="20"/>
                <w:szCs w:val="20"/>
              </w:rPr>
            </w:pPr>
          </w:p>
        </w:tc>
        <w:tc>
          <w:tcPr>
            <w:tcW w:w="633" w:type="dxa"/>
            <w:vAlign w:val="center"/>
          </w:tcPr>
          <w:p w14:paraId="5D50CD70" w14:textId="77777777" w:rsidR="00B45351" w:rsidRPr="00576C8A" w:rsidRDefault="00B45351" w:rsidP="00842E93">
            <w:pPr>
              <w:jc w:val="center"/>
              <w:rPr>
                <w:sz w:val="20"/>
                <w:szCs w:val="20"/>
              </w:rPr>
            </w:pPr>
          </w:p>
        </w:tc>
        <w:tc>
          <w:tcPr>
            <w:tcW w:w="733" w:type="dxa"/>
            <w:vAlign w:val="center"/>
          </w:tcPr>
          <w:p w14:paraId="7FE62E08" w14:textId="77777777" w:rsidR="00B45351" w:rsidRPr="00576C8A" w:rsidRDefault="00B45351" w:rsidP="00842E93">
            <w:pPr>
              <w:jc w:val="center"/>
              <w:rPr>
                <w:sz w:val="20"/>
                <w:szCs w:val="20"/>
              </w:rPr>
            </w:pPr>
          </w:p>
        </w:tc>
        <w:tc>
          <w:tcPr>
            <w:tcW w:w="781" w:type="dxa"/>
            <w:vAlign w:val="center"/>
          </w:tcPr>
          <w:p w14:paraId="3C80DBC6" w14:textId="77777777" w:rsidR="00B45351" w:rsidRPr="00576C8A" w:rsidRDefault="00B45351" w:rsidP="00842E93">
            <w:pPr>
              <w:jc w:val="center"/>
              <w:rPr>
                <w:sz w:val="20"/>
                <w:szCs w:val="20"/>
              </w:rPr>
            </w:pPr>
          </w:p>
        </w:tc>
        <w:tc>
          <w:tcPr>
            <w:tcW w:w="733" w:type="dxa"/>
          </w:tcPr>
          <w:p w14:paraId="367BFFF1" w14:textId="77777777" w:rsidR="00B45351" w:rsidRPr="00576C8A" w:rsidRDefault="00B45351" w:rsidP="00842E93">
            <w:pPr>
              <w:jc w:val="center"/>
              <w:rPr>
                <w:sz w:val="20"/>
                <w:szCs w:val="20"/>
              </w:rPr>
            </w:pPr>
          </w:p>
        </w:tc>
        <w:tc>
          <w:tcPr>
            <w:tcW w:w="733" w:type="dxa"/>
          </w:tcPr>
          <w:p w14:paraId="4E167F31" w14:textId="77777777" w:rsidR="00B45351" w:rsidRPr="00576C8A" w:rsidRDefault="00B45351" w:rsidP="00842E93">
            <w:pPr>
              <w:jc w:val="center"/>
              <w:rPr>
                <w:sz w:val="20"/>
                <w:szCs w:val="20"/>
              </w:rPr>
            </w:pPr>
          </w:p>
        </w:tc>
        <w:tc>
          <w:tcPr>
            <w:tcW w:w="833" w:type="dxa"/>
          </w:tcPr>
          <w:p w14:paraId="501A4EF2" w14:textId="77777777" w:rsidR="00B45351" w:rsidRPr="00576C8A" w:rsidRDefault="00B45351" w:rsidP="00842E93">
            <w:pPr>
              <w:jc w:val="center"/>
              <w:rPr>
                <w:sz w:val="20"/>
                <w:szCs w:val="20"/>
              </w:rPr>
            </w:pPr>
          </w:p>
        </w:tc>
        <w:tc>
          <w:tcPr>
            <w:tcW w:w="779" w:type="dxa"/>
          </w:tcPr>
          <w:p w14:paraId="1C537315" w14:textId="77777777" w:rsidR="00B45351" w:rsidRPr="00576C8A" w:rsidRDefault="00B45351" w:rsidP="00842E93">
            <w:pPr>
              <w:jc w:val="center"/>
              <w:rPr>
                <w:sz w:val="20"/>
                <w:szCs w:val="20"/>
              </w:rPr>
            </w:pPr>
          </w:p>
        </w:tc>
        <w:tc>
          <w:tcPr>
            <w:tcW w:w="633" w:type="dxa"/>
            <w:vAlign w:val="center"/>
          </w:tcPr>
          <w:p w14:paraId="4872A5F3" w14:textId="77777777" w:rsidR="00B45351" w:rsidRPr="00576C8A" w:rsidRDefault="00B45351" w:rsidP="00842E93">
            <w:pPr>
              <w:jc w:val="center"/>
              <w:rPr>
                <w:sz w:val="20"/>
                <w:szCs w:val="20"/>
              </w:rPr>
            </w:pPr>
            <w:r>
              <w:rPr>
                <w:sz w:val="20"/>
                <w:szCs w:val="20"/>
              </w:rPr>
              <w:t>3.10</w:t>
            </w:r>
          </w:p>
        </w:tc>
        <w:tc>
          <w:tcPr>
            <w:tcW w:w="533" w:type="dxa"/>
            <w:vAlign w:val="center"/>
          </w:tcPr>
          <w:p w14:paraId="71553364" w14:textId="77777777" w:rsidR="00B45351" w:rsidRPr="00576C8A" w:rsidRDefault="00B45351" w:rsidP="00842E93">
            <w:pPr>
              <w:jc w:val="center"/>
              <w:rPr>
                <w:sz w:val="20"/>
                <w:szCs w:val="20"/>
              </w:rPr>
            </w:pPr>
            <w:r>
              <w:rPr>
                <w:sz w:val="20"/>
                <w:szCs w:val="20"/>
              </w:rPr>
              <w:t>.18</w:t>
            </w:r>
          </w:p>
        </w:tc>
        <w:tc>
          <w:tcPr>
            <w:tcW w:w="666" w:type="dxa"/>
            <w:vAlign w:val="center"/>
          </w:tcPr>
          <w:p w14:paraId="6CA1748B" w14:textId="77777777" w:rsidR="00B45351" w:rsidRPr="00576C8A" w:rsidRDefault="00B45351" w:rsidP="00842E93">
            <w:pPr>
              <w:jc w:val="center"/>
              <w:rPr>
                <w:sz w:val="20"/>
                <w:szCs w:val="20"/>
              </w:rPr>
            </w:pPr>
            <w:r>
              <w:rPr>
                <w:sz w:val="20"/>
                <w:szCs w:val="20"/>
              </w:rPr>
              <w:t>5.56</w:t>
            </w:r>
          </w:p>
        </w:tc>
        <w:tc>
          <w:tcPr>
            <w:tcW w:w="801" w:type="dxa"/>
            <w:vAlign w:val="center"/>
          </w:tcPr>
          <w:p w14:paraId="0900E406" w14:textId="77777777" w:rsidR="00B45351" w:rsidRPr="00576C8A" w:rsidRDefault="00B45351" w:rsidP="00842E93">
            <w:pPr>
              <w:jc w:val="center"/>
              <w:rPr>
                <w:sz w:val="20"/>
                <w:szCs w:val="20"/>
              </w:rPr>
            </w:pPr>
            <w:r>
              <w:rPr>
                <w:sz w:val="20"/>
                <w:szCs w:val="20"/>
              </w:rPr>
              <w:t>&lt;.001</w:t>
            </w:r>
          </w:p>
        </w:tc>
        <w:tc>
          <w:tcPr>
            <w:tcW w:w="633" w:type="dxa"/>
            <w:vAlign w:val="center"/>
          </w:tcPr>
          <w:p w14:paraId="02386079" w14:textId="77777777" w:rsidR="00B45351" w:rsidRPr="00576C8A" w:rsidRDefault="00B45351" w:rsidP="00842E93">
            <w:pPr>
              <w:jc w:val="center"/>
              <w:rPr>
                <w:sz w:val="20"/>
                <w:szCs w:val="20"/>
              </w:rPr>
            </w:pPr>
          </w:p>
        </w:tc>
        <w:tc>
          <w:tcPr>
            <w:tcW w:w="533" w:type="dxa"/>
            <w:vAlign w:val="center"/>
          </w:tcPr>
          <w:p w14:paraId="47D9AE77" w14:textId="77777777" w:rsidR="00B45351" w:rsidRPr="00576C8A" w:rsidRDefault="00B45351" w:rsidP="00842E93">
            <w:pPr>
              <w:jc w:val="center"/>
              <w:rPr>
                <w:sz w:val="20"/>
                <w:szCs w:val="20"/>
              </w:rPr>
            </w:pPr>
          </w:p>
        </w:tc>
        <w:tc>
          <w:tcPr>
            <w:tcW w:w="666" w:type="dxa"/>
            <w:vAlign w:val="center"/>
          </w:tcPr>
          <w:p w14:paraId="0506E108" w14:textId="77777777" w:rsidR="00B45351" w:rsidRPr="00576C8A" w:rsidRDefault="00B45351" w:rsidP="00842E93">
            <w:pPr>
              <w:jc w:val="center"/>
              <w:rPr>
                <w:sz w:val="20"/>
                <w:szCs w:val="20"/>
              </w:rPr>
            </w:pPr>
          </w:p>
        </w:tc>
        <w:tc>
          <w:tcPr>
            <w:tcW w:w="801" w:type="dxa"/>
            <w:vAlign w:val="center"/>
          </w:tcPr>
          <w:p w14:paraId="73F39332" w14:textId="77777777" w:rsidR="00B45351" w:rsidRPr="00576C8A" w:rsidRDefault="00B45351" w:rsidP="00842E93">
            <w:pPr>
              <w:jc w:val="center"/>
              <w:rPr>
                <w:sz w:val="20"/>
                <w:szCs w:val="20"/>
              </w:rPr>
            </w:pPr>
          </w:p>
        </w:tc>
      </w:tr>
      <w:tr w:rsidR="00B45351" w:rsidRPr="00576C8A" w14:paraId="63A0AB1A" w14:textId="77777777" w:rsidTr="00842E93">
        <w:trPr>
          <w:trHeight w:val="227"/>
        </w:trPr>
        <w:tc>
          <w:tcPr>
            <w:tcW w:w="3671" w:type="dxa"/>
            <w:vAlign w:val="center"/>
          </w:tcPr>
          <w:p w14:paraId="0473D697" w14:textId="77777777" w:rsidR="00B45351" w:rsidRDefault="00B45351" w:rsidP="00842E93">
            <w:pPr>
              <w:rPr>
                <w:sz w:val="20"/>
                <w:szCs w:val="20"/>
              </w:rPr>
            </w:pPr>
            <w:r>
              <w:rPr>
                <w:sz w:val="20"/>
                <w:szCs w:val="20"/>
              </w:rPr>
              <w:t xml:space="preserve">   ITQ PTSD (No PTSD)</w:t>
            </w:r>
          </w:p>
        </w:tc>
        <w:tc>
          <w:tcPr>
            <w:tcW w:w="766" w:type="dxa"/>
            <w:vAlign w:val="center"/>
          </w:tcPr>
          <w:p w14:paraId="6AFC1075" w14:textId="77777777" w:rsidR="00B45351" w:rsidRPr="00576C8A" w:rsidRDefault="00B45351" w:rsidP="00842E93">
            <w:pPr>
              <w:jc w:val="center"/>
              <w:rPr>
                <w:sz w:val="20"/>
                <w:szCs w:val="20"/>
              </w:rPr>
            </w:pPr>
          </w:p>
        </w:tc>
        <w:tc>
          <w:tcPr>
            <w:tcW w:w="633" w:type="dxa"/>
            <w:vAlign w:val="center"/>
          </w:tcPr>
          <w:p w14:paraId="63103BC8" w14:textId="77777777" w:rsidR="00B45351" w:rsidRPr="00576C8A" w:rsidRDefault="00B45351" w:rsidP="00842E93">
            <w:pPr>
              <w:jc w:val="center"/>
              <w:rPr>
                <w:sz w:val="20"/>
                <w:szCs w:val="20"/>
              </w:rPr>
            </w:pPr>
          </w:p>
        </w:tc>
        <w:tc>
          <w:tcPr>
            <w:tcW w:w="733" w:type="dxa"/>
            <w:vAlign w:val="center"/>
          </w:tcPr>
          <w:p w14:paraId="00D25B6D" w14:textId="77777777" w:rsidR="00B45351" w:rsidRPr="00576C8A" w:rsidRDefault="00B45351" w:rsidP="00842E93">
            <w:pPr>
              <w:jc w:val="center"/>
              <w:rPr>
                <w:sz w:val="20"/>
                <w:szCs w:val="20"/>
              </w:rPr>
            </w:pPr>
          </w:p>
        </w:tc>
        <w:tc>
          <w:tcPr>
            <w:tcW w:w="781" w:type="dxa"/>
            <w:vAlign w:val="center"/>
          </w:tcPr>
          <w:p w14:paraId="210A0A10" w14:textId="77777777" w:rsidR="00B45351" w:rsidRPr="00576C8A" w:rsidRDefault="00B45351" w:rsidP="00842E93">
            <w:pPr>
              <w:jc w:val="center"/>
              <w:rPr>
                <w:sz w:val="20"/>
                <w:szCs w:val="20"/>
              </w:rPr>
            </w:pPr>
          </w:p>
        </w:tc>
        <w:tc>
          <w:tcPr>
            <w:tcW w:w="733" w:type="dxa"/>
          </w:tcPr>
          <w:p w14:paraId="1930DAC3" w14:textId="77777777" w:rsidR="00B45351" w:rsidRPr="00576C8A" w:rsidRDefault="00B45351" w:rsidP="00842E93">
            <w:pPr>
              <w:jc w:val="center"/>
              <w:rPr>
                <w:sz w:val="20"/>
                <w:szCs w:val="20"/>
              </w:rPr>
            </w:pPr>
          </w:p>
        </w:tc>
        <w:tc>
          <w:tcPr>
            <w:tcW w:w="733" w:type="dxa"/>
          </w:tcPr>
          <w:p w14:paraId="02452CBE" w14:textId="77777777" w:rsidR="00B45351" w:rsidRPr="00576C8A" w:rsidRDefault="00B45351" w:rsidP="00842E93">
            <w:pPr>
              <w:jc w:val="center"/>
              <w:rPr>
                <w:sz w:val="20"/>
                <w:szCs w:val="20"/>
              </w:rPr>
            </w:pPr>
          </w:p>
        </w:tc>
        <w:tc>
          <w:tcPr>
            <w:tcW w:w="833" w:type="dxa"/>
          </w:tcPr>
          <w:p w14:paraId="32D23234" w14:textId="77777777" w:rsidR="00B45351" w:rsidRPr="00576C8A" w:rsidRDefault="00B45351" w:rsidP="00842E93">
            <w:pPr>
              <w:jc w:val="center"/>
              <w:rPr>
                <w:sz w:val="20"/>
                <w:szCs w:val="20"/>
              </w:rPr>
            </w:pPr>
          </w:p>
        </w:tc>
        <w:tc>
          <w:tcPr>
            <w:tcW w:w="779" w:type="dxa"/>
          </w:tcPr>
          <w:p w14:paraId="44DCC76D" w14:textId="77777777" w:rsidR="00B45351" w:rsidRPr="00576C8A" w:rsidRDefault="00B45351" w:rsidP="00842E93">
            <w:pPr>
              <w:jc w:val="center"/>
              <w:rPr>
                <w:sz w:val="20"/>
                <w:szCs w:val="20"/>
              </w:rPr>
            </w:pPr>
          </w:p>
        </w:tc>
        <w:tc>
          <w:tcPr>
            <w:tcW w:w="633" w:type="dxa"/>
            <w:vAlign w:val="center"/>
          </w:tcPr>
          <w:p w14:paraId="64DB8137" w14:textId="77777777" w:rsidR="00B45351" w:rsidRDefault="00B45351" w:rsidP="00842E93">
            <w:pPr>
              <w:jc w:val="center"/>
              <w:rPr>
                <w:sz w:val="20"/>
                <w:szCs w:val="20"/>
              </w:rPr>
            </w:pPr>
            <w:r>
              <w:rPr>
                <w:sz w:val="20"/>
                <w:szCs w:val="20"/>
              </w:rPr>
              <w:t>-3.85</w:t>
            </w:r>
          </w:p>
        </w:tc>
        <w:tc>
          <w:tcPr>
            <w:tcW w:w="533" w:type="dxa"/>
            <w:vAlign w:val="center"/>
          </w:tcPr>
          <w:p w14:paraId="53F9109E" w14:textId="77777777" w:rsidR="00B45351" w:rsidRDefault="00B45351" w:rsidP="00842E93">
            <w:pPr>
              <w:jc w:val="center"/>
              <w:rPr>
                <w:sz w:val="20"/>
                <w:szCs w:val="20"/>
              </w:rPr>
            </w:pPr>
            <w:r>
              <w:rPr>
                <w:sz w:val="20"/>
                <w:szCs w:val="20"/>
              </w:rPr>
              <w:t>-.29</w:t>
            </w:r>
          </w:p>
        </w:tc>
        <w:tc>
          <w:tcPr>
            <w:tcW w:w="666" w:type="dxa"/>
            <w:vAlign w:val="center"/>
          </w:tcPr>
          <w:p w14:paraId="14FF5DFC" w14:textId="77777777" w:rsidR="00B45351" w:rsidRDefault="00B45351" w:rsidP="00842E93">
            <w:pPr>
              <w:jc w:val="center"/>
              <w:rPr>
                <w:sz w:val="20"/>
                <w:szCs w:val="20"/>
              </w:rPr>
            </w:pPr>
            <w:r>
              <w:rPr>
                <w:sz w:val="20"/>
                <w:szCs w:val="20"/>
              </w:rPr>
              <w:t>-8.55</w:t>
            </w:r>
          </w:p>
        </w:tc>
        <w:tc>
          <w:tcPr>
            <w:tcW w:w="801" w:type="dxa"/>
            <w:vAlign w:val="center"/>
          </w:tcPr>
          <w:p w14:paraId="23C54532" w14:textId="77777777" w:rsidR="00B45351" w:rsidRDefault="00B45351" w:rsidP="00842E93">
            <w:pPr>
              <w:jc w:val="center"/>
              <w:rPr>
                <w:sz w:val="20"/>
                <w:szCs w:val="20"/>
              </w:rPr>
            </w:pPr>
            <w:r>
              <w:rPr>
                <w:sz w:val="20"/>
                <w:szCs w:val="20"/>
              </w:rPr>
              <w:t>&lt;.001</w:t>
            </w:r>
          </w:p>
        </w:tc>
        <w:tc>
          <w:tcPr>
            <w:tcW w:w="633" w:type="dxa"/>
            <w:vAlign w:val="center"/>
          </w:tcPr>
          <w:p w14:paraId="61FC4EED" w14:textId="77777777" w:rsidR="00B45351" w:rsidRDefault="00B45351" w:rsidP="00842E93">
            <w:pPr>
              <w:jc w:val="center"/>
              <w:rPr>
                <w:sz w:val="20"/>
                <w:szCs w:val="20"/>
              </w:rPr>
            </w:pPr>
          </w:p>
        </w:tc>
        <w:tc>
          <w:tcPr>
            <w:tcW w:w="533" w:type="dxa"/>
            <w:vAlign w:val="center"/>
          </w:tcPr>
          <w:p w14:paraId="276CCA0B" w14:textId="77777777" w:rsidR="00B45351" w:rsidRDefault="00B45351" w:rsidP="00842E93">
            <w:pPr>
              <w:jc w:val="center"/>
              <w:rPr>
                <w:sz w:val="20"/>
                <w:szCs w:val="20"/>
              </w:rPr>
            </w:pPr>
          </w:p>
        </w:tc>
        <w:tc>
          <w:tcPr>
            <w:tcW w:w="666" w:type="dxa"/>
            <w:vAlign w:val="center"/>
          </w:tcPr>
          <w:p w14:paraId="138FC9B6" w14:textId="77777777" w:rsidR="00B45351" w:rsidRDefault="00B45351" w:rsidP="00842E93">
            <w:pPr>
              <w:jc w:val="center"/>
              <w:rPr>
                <w:sz w:val="20"/>
                <w:szCs w:val="20"/>
              </w:rPr>
            </w:pPr>
          </w:p>
        </w:tc>
        <w:tc>
          <w:tcPr>
            <w:tcW w:w="801" w:type="dxa"/>
            <w:vAlign w:val="center"/>
          </w:tcPr>
          <w:p w14:paraId="0E3A0A0F" w14:textId="77777777" w:rsidR="00B45351" w:rsidRDefault="00B45351" w:rsidP="00842E93">
            <w:pPr>
              <w:jc w:val="center"/>
              <w:rPr>
                <w:sz w:val="20"/>
                <w:szCs w:val="20"/>
              </w:rPr>
            </w:pPr>
          </w:p>
        </w:tc>
      </w:tr>
      <w:tr w:rsidR="00B45351" w:rsidRPr="00576C8A" w14:paraId="26D601EB" w14:textId="77777777" w:rsidTr="00842E93">
        <w:trPr>
          <w:trHeight w:val="227"/>
        </w:trPr>
        <w:tc>
          <w:tcPr>
            <w:tcW w:w="3671" w:type="dxa"/>
            <w:vAlign w:val="center"/>
          </w:tcPr>
          <w:p w14:paraId="25D0F37E" w14:textId="77777777" w:rsidR="00B45351" w:rsidRPr="00576C8A" w:rsidRDefault="00B45351" w:rsidP="00842E93">
            <w:pPr>
              <w:rPr>
                <w:sz w:val="20"/>
                <w:szCs w:val="20"/>
              </w:rPr>
            </w:pPr>
            <w:r>
              <w:rPr>
                <w:sz w:val="20"/>
                <w:szCs w:val="20"/>
              </w:rPr>
              <w:t xml:space="preserve">   Number of Gambling Activities</w:t>
            </w:r>
          </w:p>
        </w:tc>
        <w:tc>
          <w:tcPr>
            <w:tcW w:w="766" w:type="dxa"/>
            <w:vAlign w:val="center"/>
          </w:tcPr>
          <w:p w14:paraId="5C19E397" w14:textId="77777777" w:rsidR="00B45351" w:rsidRPr="00576C8A" w:rsidRDefault="00B45351" w:rsidP="00842E93">
            <w:pPr>
              <w:jc w:val="center"/>
              <w:rPr>
                <w:sz w:val="20"/>
                <w:szCs w:val="20"/>
              </w:rPr>
            </w:pPr>
          </w:p>
        </w:tc>
        <w:tc>
          <w:tcPr>
            <w:tcW w:w="633" w:type="dxa"/>
            <w:vAlign w:val="center"/>
          </w:tcPr>
          <w:p w14:paraId="683D083F" w14:textId="77777777" w:rsidR="00B45351" w:rsidRPr="00576C8A" w:rsidRDefault="00B45351" w:rsidP="00842E93">
            <w:pPr>
              <w:jc w:val="center"/>
              <w:rPr>
                <w:sz w:val="20"/>
                <w:szCs w:val="20"/>
              </w:rPr>
            </w:pPr>
          </w:p>
        </w:tc>
        <w:tc>
          <w:tcPr>
            <w:tcW w:w="733" w:type="dxa"/>
            <w:vAlign w:val="center"/>
          </w:tcPr>
          <w:p w14:paraId="0872446A" w14:textId="77777777" w:rsidR="00B45351" w:rsidRPr="00576C8A" w:rsidRDefault="00B45351" w:rsidP="00842E93">
            <w:pPr>
              <w:jc w:val="center"/>
              <w:rPr>
                <w:sz w:val="20"/>
                <w:szCs w:val="20"/>
              </w:rPr>
            </w:pPr>
          </w:p>
        </w:tc>
        <w:tc>
          <w:tcPr>
            <w:tcW w:w="781" w:type="dxa"/>
            <w:vAlign w:val="center"/>
          </w:tcPr>
          <w:p w14:paraId="22B73CB9" w14:textId="77777777" w:rsidR="00B45351" w:rsidRPr="00576C8A" w:rsidRDefault="00B45351" w:rsidP="00842E93">
            <w:pPr>
              <w:jc w:val="center"/>
              <w:rPr>
                <w:sz w:val="20"/>
                <w:szCs w:val="20"/>
              </w:rPr>
            </w:pPr>
          </w:p>
        </w:tc>
        <w:tc>
          <w:tcPr>
            <w:tcW w:w="733" w:type="dxa"/>
          </w:tcPr>
          <w:p w14:paraId="6AA1511B" w14:textId="77777777" w:rsidR="00B45351" w:rsidRPr="00576C8A" w:rsidRDefault="00B45351" w:rsidP="00842E93">
            <w:pPr>
              <w:jc w:val="center"/>
              <w:rPr>
                <w:sz w:val="20"/>
                <w:szCs w:val="20"/>
              </w:rPr>
            </w:pPr>
          </w:p>
        </w:tc>
        <w:tc>
          <w:tcPr>
            <w:tcW w:w="733" w:type="dxa"/>
          </w:tcPr>
          <w:p w14:paraId="49B17916" w14:textId="77777777" w:rsidR="00B45351" w:rsidRPr="00576C8A" w:rsidRDefault="00B45351" w:rsidP="00842E93">
            <w:pPr>
              <w:jc w:val="center"/>
              <w:rPr>
                <w:sz w:val="20"/>
                <w:szCs w:val="20"/>
              </w:rPr>
            </w:pPr>
          </w:p>
        </w:tc>
        <w:tc>
          <w:tcPr>
            <w:tcW w:w="833" w:type="dxa"/>
          </w:tcPr>
          <w:p w14:paraId="387F19A2" w14:textId="77777777" w:rsidR="00B45351" w:rsidRPr="00576C8A" w:rsidRDefault="00B45351" w:rsidP="00842E93">
            <w:pPr>
              <w:jc w:val="center"/>
              <w:rPr>
                <w:sz w:val="20"/>
                <w:szCs w:val="20"/>
              </w:rPr>
            </w:pPr>
          </w:p>
        </w:tc>
        <w:tc>
          <w:tcPr>
            <w:tcW w:w="779" w:type="dxa"/>
          </w:tcPr>
          <w:p w14:paraId="7F07311E" w14:textId="77777777" w:rsidR="00B45351" w:rsidRPr="00576C8A" w:rsidRDefault="00B45351" w:rsidP="00842E93">
            <w:pPr>
              <w:jc w:val="center"/>
              <w:rPr>
                <w:sz w:val="20"/>
                <w:szCs w:val="20"/>
              </w:rPr>
            </w:pPr>
          </w:p>
        </w:tc>
        <w:tc>
          <w:tcPr>
            <w:tcW w:w="633" w:type="dxa"/>
            <w:vAlign w:val="center"/>
          </w:tcPr>
          <w:p w14:paraId="51F440DC" w14:textId="77777777" w:rsidR="00B45351" w:rsidRPr="00576C8A" w:rsidRDefault="00B45351" w:rsidP="00842E93">
            <w:pPr>
              <w:jc w:val="center"/>
              <w:rPr>
                <w:sz w:val="20"/>
                <w:szCs w:val="20"/>
              </w:rPr>
            </w:pPr>
          </w:p>
        </w:tc>
        <w:tc>
          <w:tcPr>
            <w:tcW w:w="533" w:type="dxa"/>
            <w:vAlign w:val="center"/>
          </w:tcPr>
          <w:p w14:paraId="22692698" w14:textId="77777777" w:rsidR="00B45351" w:rsidRPr="00576C8A" w:rsidRDefault="00B45351" w:rsidP="00842E93">
            <w:pPr>
              <w:jc w:val="center"/>
              <w:rPr>
                <w:sz w:val="20"/>
                <w:szCs w:val="20"/>
              </w:rPr>
            </w:pPr>
          </w:p>
        </w:tc>
        <w:tc>
          <w:tcPr>
            <w:tcW w:w="666" w:type="dxa"/>
            <w:vAlign w:val="center"/>
          </w:tcPr>
          <w:p w14:paraId="36FA538F" w14:textId="77777777" w:rsidR="00B45351" w:rsidRPr="00576C8A" w:rsidRDefault="00B45351" w:rsidP="00842E93">
            <w:pPr>
              <w:jc w:val="center"/>
              <w:rPr>
                <w:sz w:val="20"/>
                <w:szCs w:val="20"/>
              </w:rPr>
            </w:pPr>
          </w:p>
        </w:tc>
        <w:tc>
          <w:tcPr>
            <w:tcW w:w="801" w:type="dxa"/>
            <w:vAlign w:val="center"/>
          </w:tcPr>
          <w:p w14:paraId="3C647396" w14:textId="77777777" w:rsidR="00B45351" w:rsidRPr="00576C8A" w:rsidRDefault="00B45351" w:rsidP="00842E93">
            <w:pPr>
              <w:jc w:val="center"/>
              <w:rPr>
                <w:sz w:val="20"/>
                <w:szCs w:val="20"/>
              </w:rPr>
            </w:pPr>
          </w:p>
        </w:tc>
        <w:tc>
          <w:tcPr>
            <w:tcW w:w="633" w:type="dxa"/>
            <w:vAlign w:val="center"/>
          </w:tcPr>
          <w:p w14:paraId="74B304C6" w14:textId="77777777" w:rsidR="00B45351" w:rsidRPr="00576C8A" w:rsidRDefault="00B45351" w:rsidP="00842E93">
            <w:pPr>
              <w:jc w:val="center"/>
              <w:rPr>
                <w:sz w:val="20"/>
                <w:szCs w:val="20"/>
              </w:rPr>
            </w:pPr>
            <w:r>
              <w:rPr>
                <w:sz w:val="20"/>
                <w:szCs w:val="20"/>
              </w:rPr>
              <w:t>0.72</w:t>
            </w:r>
          </w:p>
        </w:tc>
        <w:tc>
          <w:tcPr>
            <w:tcW w:w="533" w:type="dxa"/>
            <w:vAlign w:val="center"/>
          </w:tcPr>
          <w:p w14:paraId="12CB247B" w14:textId="77777777" w:rsidR="00B45351" w:rsidRPr="00576C8A" w:rsidRDefault="00B45351" w:rsidP="00842E93">
            <w:pPr>
              <w:jc w:val="center"/>
              <w:rPr>
                <w:sz w:val="20"/>
                <w:szCs w:val="20"/>
              </w:rPr>
            </w:pPr>
            <w:r>
              <w:rPr>
                <w:sz w:val="20"/>
                <w:szCs w:val="20"/>
              </w:rPr>
              <w:t>.35</w:t>
            </w:r>
          </w:p>
        </w:tc>
        <w:tc>
          <w:tcPr>
            <w:tcW w:w="666" w:type="dxa"/>
            <w:vAlign w:val="center"/>
          </w:tcPr>
          <w:p w14:paraId="1643429A" w14:textId="77777777" w:rsidR="00B45351" w:rsidRPr="00576C8A" w:rsidRDefault="00B45351" w:rsidP="00842E93">
            <w:pPr>
              <w:jc w:val="center"/>
              <w:rPr>
                <w:sz w:val="20"/>
                <w:szCs w:val="20"/>
              </w:rPr>
            </w:pPr>
            <w:r>
              <w:rPr>
                <w:sz w:val="20"/>
                <w:szCs w:val="20"/>
              </w:rPr>
              <w:t>14.97</w:t>
            </w:r>
          </w:p>
        </w:tc>
        <w:tc>
          <w:tcPr>
            <w:tcW w:w="801" w:type="dxa"/>
            <w:vAlign w:val="center"/>
          </w:tcPr>
          <w:p w14:paraId="2D5EBF1A" w14:textId="77777777" w:rsidR="00B45351" w:rsidRPr="00576C8A" w:rsidRDefault="00B45351" w:rsidP="00842E93">
            <w:pPr>
              <w:jc w:val="center"/>
              <w:rPr>
                <w:sz w:val="20"/>
                <w:szCs w:val="20"/>
              </w:rPr>
            </w:pPr>
            <w:r>
              <w:rPr>
                <w:sz w:val="20"/>
                <w:szCs w:val="20"/>
              </w:rPr>
              <w:t>&lt;.001</w:t>
            </w:r>
          </w:p>
        </w:tc>
      </w:tr>
      <w:tr w:rsidR="00B45351" w:rsidRPr="00576C8A" w14:paraId="472BC295" w14:textId="77777777" w:rsidTr="00842E93">
        <w:trPr>
          <w:trHeight w:val="227"/>
        </w:trPr>
        <w:tc>
          <w:tcPr>
            <w:tcW w:w="3671" w:type="dxa"/>
            <w:vAlign w:val="center"/>
          </w:tcPr>
          <w:p w14:paraId="7B14540F" w14:textId="77777777" w:rsidR="00B45351" w:rsidRPr="00576C8A" w:rsidRDefault="00B45351" w:rsidP="00842E93">
            <w:pPr>
              <w:rPr>
                <w:sz w:val="20"/>
                <w:szCs w:val="20"/>
              </w:rPr>
            </w:pPr>
            <w:r>
              <w:rPr>
                <w:sz w:val="20"/>
                <w:szCs w:val="20"/>
              </w:rPr>
              <w:t xml:space="preserve">   GFA-R (Negative Reinforcement)</w:t>
            </w:r>
          </w:p>
        </w:tc>
        <w:tc>
          <w:tcPr>
            <w:tcW w:w="766" w:type="dxa"/>
            <w:vAlign w:val="center"/>
          </w:tcPr>
          <w:p w14:paraId="55E9AC6C" w14:textId="77777777" w:rsidR="00B45351" w:rsidRPr="00576C8A" w:rsidRDefault="00B45351" w:rsidP="00842E93">
            <w:pPr>
              <w:jc w:val="center"/>
              <w:rPr>
                <w:sz w:val="20"/>
                <w:szCs w:val="20"/>
              </w:rPr>
            </w:pPr>
          </w:p>
        </w:tc>
        <w:tc>
          <w:tcPr>
            <w:tcW w:w="633" w:type="dxa"/>
            <w:vAlign w:val="center"/>
          </w:tcPr>
          <w:p w14:paraId="00889783" w14:textId="77777777" w:rsidR="00B45351" w:rsidRPr="00576C8A" w:rsidRDefault="00B45351" w:rsidP="00842E93">
            <w:pPr>
              <w:jc w:val="center"/>
              <w:rPr>
                <w:sz w:val="20"/>
                <w:szCs w:val="20"/>
              </w:rPr>
            </w:pPr>
          </w:p>
        </w:tc>
        <w:tc>
          <w:tcPr>
            <w:tcW w:w="733" w:type="dxa"/>
            <w:vAlign w:val="center"/>
          </w:tcPr>
          <w:p w14:paraId="13291BC3" w14:textId="77777777" w:rsidR="00B45351" w:rsidRPr="00576C8A" w:rsidRDefault="00B45351" w:rsidP="00842E93">
            <w:pPr>
              <w:jc w:val="center"/>
              <w:rPr>
                <w:sz w:val="20"/>
                <w:szCs w:val="20"/>
              </w:rPr>
            </w:pPr>
          </w:p>
        </w:tc>
        <w:tc>
          <w:tcPr>
            <w:tcW w:w="781" w:type="dxa"/>
            <w:vAlign w:val="center"/>
          </w:tcPr>
          <w:p w14:paraId="2B1AD0E6" w14:textId="77777777" w:rsidR="00B45351" w:rsidRPr="00576C8A" w:rsidRDefault="00B45351" w:rsidP="00842E93">
            <w:pPr>
              <w:jc w:val="center"/>
              <w:rPr>
                <w:sz w:val="20"/>
                <w:szCs w:val="20"/>
              </w:rPr>
            </w:pPr>
          </w:p>
        </w:tc>
        <w:tc>
          <w:tcPr>
            <w:tcW w:w="733" w:type="dxa"/>
          </w:tcPr>
          <w:p w14:paraId="3ECCCA5B" w14:textId="77777777" w:rsidR="00B45351" w:rsidRPr="00576C8A" w:rsidRDefault="00B45351" w:rsidP="00842E93">
            <w:pPr>
              <w:jc w:val="center"/>
              <w:rPr>
                <w:sz w:val="20"/>
                <w:szCs w:val="20"/>
              </w:rPr>
            </w:pPr>
          </w:p>
        </w:tc>
        <w:tc>
          <w:tcPr>
            <w:tcW w:w="733" w:type="dxa"/>
          </w:tcPr>
          <w:p w14:paraId="517BC921" w14:textId="77777777" w:rsidR="00B45351" w:rsidRPr="00576C8A" w:rsidRDefault="00B45351" w:rsidP="00842E93">
            <w:pPr>
              <w:jc w:val="center"/>
              <w:rPr>
                <w:sz w:val="20"/>
                <w:szCs w:val="20"/>
              </w:rPr>
            </w:pPr>
          </w:p>
        </w:tc>
        <w:tc>
          <w:tcPr>
            <w:tcW w:w="833" w:type="dxa"/>
          </w:tcPr>
          <w:p w14:paraId="14DFE4D6" w14:textId="77777777" w:rsidR="00B45351" w:rsidRPr="00576C8A" w:rsidRDefault="00B45351" w:rsidP="00842E93">
            <w:pPr>
              <w:jc w:val="center"/>
              <w:rPr>
                <w:sz w:val="20"/>
                <w:szCs w:val="20"/>
              </w:rPr>
            </w:pPr>
          </w:p>
        </w:tc>
        <w:tc>
          <w:tcPr>
            <w:tcW w:w="779" w:type="dxa"/>
          </w:tcPr>
          <w:p w14:paraId="6C5AA428" w14:textId="77777777" w:rsidR="00B45351" w:rsidRPr="00576C8A" w:rsidRDefault="00B45351" w:rsidP="00842E93">
            <w:pPr>
              <w:jc w:val="center"/>
              <w:rPr>
                <w:sz w:val="20"/>
                <w:szCs w:val="20"/>
              </w:rPr>
            </w:pPr>
          </w:p>
        </w:tc>
        <w:tc>
          <w:tcPr>
            <w:tcW w:w="633" w:type="dxa"/>
            <w:vAlign w:val="center"/>
          </w:tcPr>
          <w:p w14:paraId="6C587822" w14:textId="77777777" w:rsidR="00B45351" w:rsidRPr="00576C8A" w:rsidRDefault="00B45351" w:rsidP="00842E93">
            <w:pPr>
              <w:jc w:val="center"/>
              <w:rPr>
                <w:sz w:val="20"/>
                <w:szCs w:val="20"/>
              </w:rPr>
            </w:pPr>
          </w:p>
        </w:tc>
        <w:tc>
          <w:tcPr>
            <w:tcW w:w="533" w:type="dxa"/>
            <w:vAlign w:val="center"/>
          </w:tcPr>
          <w:p w14:paraId="190595E2" w14:textId="77777777" w:rsidR="00B45351" w:rsidRPr="00576C8A" w:rsidRDefault="00B45351" w:rsidP="00842E93">
            <w:pPr>
              <w:jc w:val="center"/>
              <w:rPr>
                <w:sz w:val="20"/>
                <w:szCs w:val="20"/>
              </w:rPr>
            </w:pPr>
          </w:p>
        </w:tc>
        <w:tc>
          <w:tcPr>
            <w:tcW w:w="666" w:type="dxa"/>
            <w:vAlign w:val="center"/>
          </w:tcPr>
          <w:p w14:paraId="0653B760" w14:textId="77777777" w:rsidR="00B45351" w:rsidRPr="00576C8A" w:rsidRDefault="00B45351" w:rsidP="00842E93">
            <w:pPr>
              <w:jc w:val="center"/>
              <w:rPr>
                <w:sz w:val="20"/>
                <w:szCs w:val="20"/>
              </w:rPr>
            </w:pPr>
          </w:p>
        </w:tc>
        <w:tc>
          <w:tcPr>
            <w:tcW w:w="801" w:type="dxa"/>
            <w:vAlign w:val="center"/>
          </w:tcPr>
          <w:p w14:paraId="54AEA129" w14:textId="77777777" w:rsidR="00B45351" w:rsidRPr="00576C8A" w:rsidRDefault="00B45351" w:rsidP="00842E93">
            <w:pPr>
              <w:jc w:val="center"/>
              <w:rPr>
                <w:sz w:val="20"/>
                <w:szCs w:val="20"/>
              </w:rPr>
            </w:pPr>
          </w:p>
        </w:tc>
        <w:tc>
          <w:tcPr>
            <w:tcW w:w="633" w:type="dxa"/>
            <w:vAlign w:val="center"/>
          </w:tcPr>
          <w:p w14:paraId="4A698014" w14:textId="77777777" w:rsidR="00B45351" w:rsidRPr="00576C8A" w:rsidRDefault="00B45351" w:rsidP="00842E93">
            <w:pPr>
              <w:jc w:val="center"/>
              <w:rPr>
                <w:sz w:val="20"/>
                <w:szCs w:val="20"/>
              </w:rPr>
            </w:pPr>
            <w:r>
              <w:rPr>
                <w:sz w:val="20"/>
                <w:szCs w:val="20"/>
              </w:rPr>
              <w:t>7.86</w:t>
            </w:r>
          </w:p>
        </w:tc>
        <w:tc>
          <w:tcPr>
            <w:tcW w:w="533" w:type="dxa"/>
            <w:vAlign w:val="center"/>
          </w:tcPr>
          <w:p w14:paraId="4C636578" w14:textId="77777777" w:rsidR="00B45351" w:rsidRPr="00576C8A" w:rsidRDefault="00B45351" w:rsidP="00842E93">
            <w:pPr>
              <w:jc w:val="center"/>
              <w:rPr>
                <w:sz w:val="20"/>
                <w:szCs w:val="20"/>
              </w:rPr>
            </w:pPr>
            <w:r>
              <w:rPr>
                <w:sz w:val="20"/>
                <w:szCs w:val="20"/>
              </w:rPr>
              <w:t>.59</w:t>
            </w:r>
          </w:p>
        </w:tc>
        <w:tc>
          <w:tcPr>
            <w:tcW w:w="666" w:type="dxa"/>
            <w:vAlign w:val="center"/>
          </w:tcPr>
          <w:p w14:paraId="1C387D25" w14:textId="77777777" w:rsidR="00B45351" w:rsidRPr="00576C8A" w:rsidRDefault="00B45351" w:rsidP="00842E93">
            <w:pPr>
              <w:jc w:val="center"/>
              <w:rPr>
                <w:sz w:val="20"/>
                <w:szCs w:val="20"/>
              </w:rPr>
            </w:pPr>
            <w:r>
              <w:rPr>
                <w:sz w:val="20"/>
                <w:szCs w:val="20"/>
              </w:rPr>
              <w:t>20.00</w:t>
            </w:r>
          </w:p>
        </w:tc>
        <w:tc>
          <w:tcPr>
            <w:tcW w:w="801" w:type="dxa"/>
            <w:vAlign w:val="center"/>
          </w:tcPr>
          <w:p w14:paraId="3E25B208" w14:textId="77777777" w:rsidR="00B45351" w:rsidRPr="00576C8A" w:rsidRDefault="00B45351" w:rsidP="00842E93">
            <w:pPr>
              <w:jc w:val="center"/>
              <w:rPr>
                <w:sz w:val="20"/>
                <w:szCs w:val="20"/>
              </w:rPr>
            </w:pPr>
            <w:r>
              <w:rPr>
                <w:sz w:val="20"/>
                <w:szCs w:val="20"/>
              </w:rPr>
              <w:t>&lt;.001</w:t>
            </w:r>
          </w:p>
        </w:tc>
      </w:tr>
      <w:tr w:rsidR="00B45351" w:rsidRPr="00576C8A" w14:paraId="0A0D08CB" w14:textId="77777777" w:rsidTr="00842E93">
        <w:trPr>
          <w:trHeight w:val="227"/>
        </w:trPr>
        <w:tc>
          <w:tcPr>
            <w:tcW w:w="3671" w:type="dxa"/>
            <w:tcBorders>
              <w:bottom w:val="single" w:sz="4" w:space="0" w:color="auto"/>
            </w:tcBorders>
            <w:vAlign w:val="center"/>
          </w:tcPr>
          <w:p w14:paraId="74D4BA9F" w14:textId="77777777" w:rsidR="00B45351" w:rsidRPr="00576C8A" w:rsidRDefault="00B45351" w:rsidP="00842E93">
            <w:pPr>
              <w:rPr>
                <w:sz w:val="20"/>
                <w:szCs w:val="20"/>
              </w:rPr>
            </w:pPr>
            <w:r>
              <w:rPr>
                <w:sz w:val="20"/>
                <w:szCs w:val="20"/>
              </w:rPr>
              <w:t xml:space="preserve">   GFA-R (Positive Reinforcement)</w:t>
            </w:r>
          </w:p>
        </w:tc>
        <w:tc>
          <w:tcPr>
            <w:tcW w:w="766" w:type="dxa"/>
            <w:tcBorders>
              <w:bottom w:val="single" w:sz="4" w:space="0" w:color="auto"/>
            </w:tcBorders>
            <w:vAlign w:val="center"/>
          </w:tcPr>
          <w:p w14:paraId="20086691" w14:textId="77777777" w:rsidR="00B45351" w:rsidRPr="00576C8A" w:rsidRDefault="00B45351" w:rsidP="00842E93">
            <w:pPr>
              <w:jc w:val="center"/>
              <w:rPr>
                <w:sz w:val="20"/>
                <w:szCs w:val="20"/>
              </w:rPr>
            </w:pPr>
          </w:p>
        </w:tc>
        <w:tc>
          <w:tcPr>
            <w:tcW w:w="633" w:type="dxa"/>
            <w:tcBorders>
              <w:bottom w:val="single" w:sz="4" w:space="0" w:color="auto"/>
            </w:tcBorders>
            <w:vAlign w:val="center"/>
          </w:tcPr>
          <w:p w14:paraId="7D538570" w14:textId="77777777" w:rsidR="00B45351" w:rsidRPr="00576C8A" w:rsidRDefault="00B45351" w:rsidP="00842E93">
            <w:pPr>
              <w:jc w:val="center"/>
              <w:rPr>
                <w:sz w:val="20"/>
                <w:szCs w:val="20"/>
              </w:rPr>
            </w:pPr>
          </w:p>
        </w:tc>
        <w:tc>
          <w:tcPr>
            <w:tcW w:w="733" w:type="dxa"/>
            <w:tcBorders>
              <w:bottom w:val="single" w:sz="4" w:space="0" w:color="auto"/>
            </w:tcBorders>
            <w:vAlign w:val="center"/>
          </w:tcPr>
          <w:p w14:paraId="083325CF" w14:textId="77777777" w:rsidR="00B45351" w:rsidRPr="00576C8A" w:rsidRDefault="00B45351" w:rsidP="00842E93">
            <w:pPr>
              <w:jc w:val="center"/>
              <w:rPr>
                <w:sz w:val="20"/>
                <w:szCs w:val="20"/>
              </w:rPr>
            </w:pPr>
          </w:p>
        </w:tc>
        <w:tc>
          <w:tcPr>
            <w:tcW w:w="781" w:type="dxa"/>
            <w:tcBorders>
              <w:bottom w:val="single" w:sz="4" w:space="0" w:color="auto"/>
            </w:tcBorders>
            <w:vAlign w:val="center"/>
          </w:tcPr>
          <w:p w14:paraId="2D3E1D17" w14:textId="77777777" w:rsidR="00B45351" w:rsidRPr="00576C8A" w:rsidRDefault="00B45351" w:rsidP="00842E93">
            <w:pPr>
              <w:jc w:val="center"/>
              <w:rPr>
                <w:sz w:val="20"/>
                <w:szCs w:val="20"/>
              </w:rPr>
            </w:pPr>
          </w:p>
        </w:tc>
        <w:tc>
          <w:tcPr>
            <w:tcW w:w="733" w:type="dxa"/>
            <w:tcBorders>
              <w:bottom w:val="single" w:sz="4" w:space="0" w:color="auto"/>
            </w:tcBorders>
          </w:tcPr>
          <w:p w14:paraId="42EEB93F" w14:textId="77777777" w:rsidR="00B45351" w:rsidRPr="00576C8A" w:rsidRDefault="00B45351" w:rsidP="00842E93">
            <w:pPr>
              <w:jc w:val="center"/>
              <w:rPr>
                <w:sz w:val="20"/>
                <w:szCs w:val="20"/>
              </w:rPr>
            </w:pPr>
          </w:p>
        </w:tc>
        <w:tc>
          <w:tcPr>
            <w:tcW w:w="733" w:type="dxa"/>
            <w:tcBorders>
              <w:bottom w:val="single" w:sz="4" w:space="0" w:color="auto"/>
            </w:tcBorders>
          </w:tcPr>
          <w:p w14:paraId="5B458113" w14:textId="77777777" w:rsidR="00B45351" w:rsidRPr="00576C8A" w:rsidRDefault="00B45351" w:rsidP="00842E93">
            <w:pPr>
              <w:jc w:val="center"/>
              <w:rPr>
                <w:sz w:val="20"/>
                <w:szCs w:val="20"/>
              </w:rPr>
            </w:pPr>
          </w:p>
        </w:tc>
        <w:tc>
          <w:tcPr>
            <w:tcW w:w="833" w:type="dxa"/>
            <w:tcBorders>
              <w:bottom w:val="single" w:sz="4" w:space="0" w:color="auto"/>
            </w:tcBorders>
          </w:tcPr>
          <w:p w14:paraId="147591EB" w14:textId="77777777" w:rsidR="00B45351" w:rsidRPr="00576C8A" w:rsidRDefault="00B45351" w:rsidP="00842E93">
            <w:pPr>
              <w:jc w:val="center"/>
              <w:rPr>
                <w:sz w:val="20"/>
                <w:szCs w:val="20"/>
              </w:rPr>
            </w:pPr>
          </w:p>
        </w:tc>
        <w:tc>
          <w:tcPr>
            <w:tcW w:w="779" w:type="dxa"/>
            <w:tcBorders>
              <w:bottom w:val="single" w:sz="4" w:space="0" w:color="auto"/>
            </w:tcBorders>
          </w:tcPr>
          <w:p w14:paraId="7D6B99F1" w14:textId="77777777" w:rsidR="00B45351" w:rsidRPr="00576C8A" w:rsidRDefault="00B45351" w:rsidP="00842E93">
            <w:pPr>
              <w:jc w:val="center"/>
              <w:rPr>
                <w:sz w:val="20"/>
                <w:szCs w:val="20"/>
              </w:rPr>
            </w:pPr>
          </w:p>
        </w:tc>
        <w:tc>
          <w:tcPr>
            <w:tcW w:w="633" w:type="dxa"/>
            <w:tcBorders>
              <w:bottom w:val="single" w:sz="4" w:space="0" w:color="auto"/>
            </w:tcBorders>
            <w:vAlign w:val="center"/>
          </w:tcPr>
          <w:p w14:paraId="23FDADE3" w14:textId="77777777" w:rsidR="00B45351" w:rsidRPr="00576C8A" w:rsidRDefault="00B45351" w:rsidP="00842E93">
            <w:pPr>
              <w:jc w:val="center"/>
              <w:rPr>
                <w:sz w:val="20"/>
                <w:szCs w:val="20"/>
              </w:rPr>
            </w:pPr>
          </w:p>
        </w:tc>
        <w:tc>
          <w:tcPr>
            <w:tcW w:w="533" w:type="dxa"/>
            <w:tcBorders>
              <w:bottom w:val="single" w:sz="4" w:space="0" w:color="auto"/>
            </w:tcBorders>
            <w:vAlign w:val="center"/>
          </w:tcPr>
          <w:p w14:paraId="56049057" w14:textId="77777777" w:rsidR="00B45351" w:rsidRPr="00576C8A" w:rsidRDefault="00B45351" w:rsidP="00842E93">
            <w:pPr>
              <w:jc w:val="center"/>
              <w:rPr>
                <w:sz w:val="20"/>
                <w:szCs w:val="20"/>
              </w:rPr>
            </w:pPr>
          </w:p>
        </w:tc>
        <w:tc>
          <w:tcPr>
            <w:tcW w:w="666" w:type="dxa"/>
            <w:tcBorders>
              <w:bottom w:val="single" w:sz="4" w:space="0" w:color="auto"/>
            </w:tcBorders>
            <w:vAlign w:val="center"/>
          </w:tcPr>
          <w:p w14:paraId="08224043" w14:textId="77777777" w:rsidR="00B45351" w:rsidRPr="00576C8A" w:rsidRDefault="00B45351" w:rsidP="00842E93">
            <w:pPr>
              <w:jc w:val="center"/>
              <w:rPr>
                <w:sz w:val="20"/>
                <w:szCs w:val="20"/>
              </w:rPr>
            </w:pPr>
          </w:p>
        </w:tc>
        <w:tc>
          <w:tcPr>
            <w:tcW w:w="801" w:type="dxa"/>
            <w:tcBorders>
              <w:bottom w:val="single" w:sz="4" w:space="0" w:color="auto"/>
            </w:tcBorders>
            <w:vAlign w:val="center"/>
          </w:tcPr>
          <w:p w14:paraId="2507F7F9" w14:textId="77777777" w:rsidR="00B45351" w:rsidRPr="00576C8A" w:rsidRDefault="00B45351" w:rsidP="00842E93">
            <w:pPr>
              <w:jc w:val="center"/>
              <w:rPr>
                <w:sz w:val="20"/>
                <w:szCs w:val="20"/>
              </w:rPr>
            </w:pPr>
          </w:p>
        </w:tc>
        <w:tc>
          <w:tcPr>
            <w:tcW w:w="633" w:type="dxa"/>
            <w:tcBorders>
              <w:bottom w:val="single" w:sz="4" w:space="0" w:color="auto"/>
            </w:tcBorders>
            <w:vAlign w:val="center"/>
          </w:tcPr>
          <w:p w14:paraId="3DC0D6AF" w14:textId="77777777" w:rsidR="00B45351" w:rsidRPr="00576C8A" w:rsidRDefault="00B45351" w:rsidP="00842E93">
            <w:pPr>
              <w:jc w:val="center"/>
              <w:rPr>
                <w:sz w:val="20"/>
                <w:szCs w:val="20"/>
              </w:rPr>
            </w:pPr>
            <w:r>
              <w:rPr>
                <w:sz w:val="20"/>
                <w:szCs w:val="20"/>
              </w:rPr>
              <w:t>0.83</w:t>
            </w:r>
          </w:p>
        </w:tc>
        <w:tc>
          <w:tcPr>
            <w:tcW w:w="533" w:type="dxa"/>
            <w:tcBorders>
              <w:bottom w:val="single" w:sz="4" w:space="0" w:color="auto"/>
            </w:tcBorders>
            <w:vAlign w:val="center"/>
          </w:tcPr>
          <w:p w14:paraId="29F8DF80" w14:textId="77777777" w:rsidR="00B45351" w:rsidRPr="00576C8A" w:rsidRDefault="00B45351" w:rsidP="00842E93">
            <w:pPr>
              <w:jc w:val="center"/>
              <w:rPr>
                <w:sz w:val="20"/>
                <w:szCs w:val="20"/>
              </w:rPr>
            </w:pPr>
            <w:r>
              <w:rPr>
                <w:sz w:val="20"/>
                <w:szCs w:val="20"/>
              </w:rPr>
              <w:t>.06</w:t>
            </w:r>
          </w:p>
        </w:tc>
        <w:tc>
          <w:tcPr>
            <w:tcW w:w="666" w:type="dxa"/>
            <w:tcBorders>
              <w:bottom w:val="single" w:sz="4" w:space="0" w:color="auto"/>
            </w:tcBorders>
            <w:vAlign w:val="center"/>
          </w:tcPr>
          <w:p w14:paraId="4BA308DE" w14:textId="77777777" w:rsidR="00B45351" w:rsidRPr="00576C8A" w:rsidRDefault="00B45351" w:rsidP="00842E93">
            <w:pPr>
              <w:jc w:val="center"/>
              <w:rPr>
                <w:sz w:val="20"/>
                <w:szCs w:val="20"/>
              </w:rPr>
            </w:pPr>
            <w:r>
              <w:rPr>
                <w:sz w:val="20"/>
                <w:szCs w:val="20"/>
              </w:rPr>
              <w:t>2.25</w:t>
            </w:r>
          </w:p>
        </w:tc>
        <w:tc>
          <w:tcPr>
            <w:tcW w:w="801" w:type="dxa"/>
            <w:tcBorders>
              <w:bottom w:val="single" w:sz="4" w:space="0" w:color="auto"/>
            </w:tcBorders>
            <w:vAlign w:val="center"/>
          </w:tcPr>
          <w:p w14:paraId="4897FE8B" w14:textId="77777777" w:rsidR="00B45351" w:rsidRPr="00576C8A" w:rsidRDefault="00B45351" w:rsidP="00842E93">
            <w:pPr>
              <w:jc w:val="center"/>
              <w:rPr>
                <w:sz w:val="20"/>
                <w:szCs w:val="20"/>
              </w:rPr>
            </w:pPr>
            <w:r>
              <w:rPr>
                <w:sz w:val="20"/>
                <w:szCs w:val="20"/>
              </w:rPr>
              <w:t>.025</w:t>
            </w:r>
          </w:p>
        </w:tc>
      </w:tr>
    </w:tbl>
    <w:p w14:paraId="4C4AAA14" w14:textId="77777777" w:rsidR="00B45351" w:rsidRDefault="00B45351" w:rsidP="00CF18E2">
      <w:pPr>
        <w:spacing w:line="480" w:lineRule="auto"/>
        <w:sectPr w:rsidR="00B45351" w:rsidSect="00B45351">
          <w:pgSz w:w="16838" w:h="11906" w:orient="landscape"/>
          <w:pgMar w:top="1440" w:right="1440" w:bottom="1440" w:left="1440" w:header="708" w:footer="708" w:gutter="0"/>
          <w:cols w:space="708"/>
          <w:docGrid w:linePitch="360"/>
        </w:sectPr>
      </w:pPr>
    </w:p>
    <w:p w14:paraId="6E767195" w14:textId="77777777" w:rsidR="00B45351" w:rsidRPr="00025D0E" w:rsidRDefault="00B45351" w:rsidP="00025D0E">
      <w:pPr>
        <w:pStyle w:val="Heading1"/>
        <w:rPr>
          <w:u w:val="single"/>
        </w:rPr>
      </w:pPr>
      <w:r w:rsidRPr="00025D0E">
        <w:rPr>
          <w:u w:val="single"/>
        </w:rPr>
        <w:lastRenderedPageBreak/>
        <w:t xml:space="preserve">Supplemental Material </w:t>
      </w:r>
    </w:p>
    <w:p w14:paraId="50F04276" w14:textId="77777777" w:rsidR="00B45351" w:rsidRPr="00091497" w:rsidRDefault="00B45351" w:rsidP="00F1551F">
      <w:pPr>
        <w:jc w:val="center"/>
        <w:rPr>
          <w:b/>
          <w:bCs/>
          <w:u w:val="single"/>
        </w:rPr>
      </w:pPr>
    </w:p>
    <w:p w14:paraId="2C3280E9" w14:textId="77777777" w:rsidR="00B45351" w:rsidRPr="00552E15" w:rsidRDefault="00B45351" w:rsidP="00335140">
      <w:pPr>
        <w:jc w:val="center"/>
        <w:rPr>
          <w:b/>
          <w:bCs/>
        </w:rPr>
      </w:pPr>
    </w:p>
    <w:p w14:paraId="28882E88" w14:textId="77777777" w:rsidR="00B45351" w:rsidRPr="00552E15" w:rsidRDefault="00B45351" w:rsidP="00335140">
      <w:pPr>
        <w:jc w:val="center"/>
        <w:rPr>
          <w:b/>
          <w:bCs/>
        </w:rPr>
      </w:pPr>
      <w:r w:rsidRPr="00552E15">
        <w:rPr>
          <w:b/>
          <w:bCs/>
        </w:rPr>
        <w:t>Location of deployments for the veteran sample (</w:t>
      </w:r>
      <w:r w:rsidRPr="00552E15">
        <w:rPr>
          <w:b/>
          <w:bCs/>
          <w:i/>
          <w:iCs/>
        </w:rPr>
        <w:t>n</w:t>
      </w:r>
      <w:r w:rsidRPr="00552E15">
        <w:rPr>
          <w:b/>
          <w:bCs/>
        </w:rPr>
        <w:t>=1,037)</w:t>
      </w:r>
    </w:p>
    <w:p w14:paraId="0B6DE09D" w14:textId="77777777" w:rsidR="00B45351" w:rsidRPr="00552E15" w:rsidRDefault="00B45351" w:rsidP="00335140">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5"/>
        <w:gridCol w:w="3006"/>
      </w:tblGrid>
      <w:tr w:rsidR="00B45351" w:rsidRPr="00552E15" w14:paraId="210BD837" w14:textId="77777777" w:rsidTr="00842E93">
        <w:tc>
          <w:tcPr>
            <w:tcW w:w="3005" w:type="dxa"/>
            <w:tcBorders>
              <w:bottom w:val="single" w:sz="4" w:space="0" w:color="auto"/>
            </w:tcBorders>
          </w:tcPr>
          <w:p w14:paraId="114EAC46" w14:textId="77777777" w:rsidR="00B45351" w:rsidRPr="00552E15" w:rsidRDefault="00B45351" w:rsidP="00842E93">
            <w:pPr>
              <w:jc w:val="center"/>
              <w:rPr>
                <w:b/>
                <w:bCs/>
              </w:rPr>
            </w:pPr>
            <w:r w:rsidRPr="00552E15">
              <w:rPr>
                <w:b/>
                <w:bCs/>
              </w:rPr>
              <w:t>Deployment Location</w:t>
            </w:r>
          </w:p>
        </w:tc>
        <w:tc>
          <w:tcPr>
            <w:tcW w:w="3005" w:type="dxa"/>
            <w:tcBorders>
              <w:bottom w:val="single" w:sz="4" w:space="0" w:color="auto"/>
            </w:tcBorders>
          </w:tcPr>
          <w:p w14:paraId="1233A69D" w14:textId="77777777" w:rsidR="00B45351" w:rsidRPr="00552E15" w:rsidRDefault="00B45351" w:rsidP="00842E93">
            <w:pPr>
              <w:jc w:val="center"/>
              <w:rPr>
                <w:b/>
                <w:bCs/>
                <w:i/>
                <w:iCs/>
              </w:rPr>
            </w:pPr>
            <w:r w:rsidRPr="00552E15">
              <w:rPr>
                <w:b/>
                <w:bCs/>
                <w:i/>
                <w:iCs/>
              </w:rPr>
              <w:t>n</w:t>
            </w:r>
          </w:p>
        </w:tc>
        <w:tc>
          <w:tcPr>
            <w:tcW w:w="3006" w:type="dxa"/>
            <w:tcBorders>
              <w:bottom w:val="single" w:sz="4" w:space="0" w:color="auto"/>
            </w:tcBorders>
          </w:tcPr>
          <w:p w14:paraId="628B9CD1" w14:textId="77777777" w:rsidR="00B45351" w:rsidRPr="00552E15" w:rsidRDefault="00B45351" w:rsidP="00842E93">
            <w:pPr>
              <w:jc w:val="center"/>
              <w:rPr>
                <w:b/>
                <w:bCs/>
              </w:rPr>
            </w:pPr>
            <w:r w:rsidRPr="00552E15">
              <w:rPr>
                <w:b/>
                <w:bCs/>
              </w:rPr>
              <w:t>%</w:t>
            </w:r>
          </w:p>
        </w:tc>
      </w:tr>
      <w:tr w:rsidR="00B45351" w:rsidRPr="00552E15" w14:paraId="41145E14" w14:textId="77777777" w:rsidTr="00842E93">
        <w:tc>
          <w:tcPr>
            <w:tcW w:w="3005" w:type="dxa"/>
            <w:tcBorders>
              <w:top w:val="single" w:sz="4" w:space="0" w:color="auto"/>
            </w:tcBorders>
            <w:vAlign w:val="bottom"/>
          </w:tcPr>
          <w:p w14:paraId="5E728B19" w14:textId="77777777" w:rsidR="00B45351" w:rsidRPr="00552E15" w:rsidRDefault="00B45351" w:rsidP="00842E93">
            <w:r w:rsidRPr="00552E15">
              <w:rPr>
                <w:color w:val="000000"/>
              </w:rPr>
              <w:t>Northern Ireland</w:t>
            </w:r>
          </w:p>
        </w:tc>
        <w:tc>
          <w:tcPr>
            <w:tcW w:w="3005" w:type="dxa"/>
            <w:tcBorders>
              <w:top w:val="single" w:sz="4" w:space="0" w:color="auto"/>
            </w:tcBorders>
            <w:vAlign w:val="bottom"/>
          </w:tcPr>
          <w:p w14:paraId="6B4F251B" w14:textId="77777777" w:rsidR="00B45351" w:rsidRPr="00552E15" w:rsidRDefault="00B45351" w:rsidP="00842E93">
            <w:pPr>
              <w:jc w:val="center"/>
            </w:pPr>
            <w:r w:rsidRPr="00552E15">
              <w:rPr>
                <w:color w:val="000000"/>
              </w:rPr>
              <w:t>352</w:t>
            </w:r>
          </w:p>
        </w:tc>
        <w:tc>
          <w:tcPr>
            <w:tcW w:w="3006" w:type="dxa"/>
            <w:tcBorders>
              <w:top w:val="single" w:sz="4" w:space="0" w:color="auto"/>
            </w:tcBorders>
            <w:vAlign w:val="bottom"/>
          </w:tcPr>
          <w:p w14:paraId="564F73A5" w14:textId="77777777" w:rsidR="00B45351" w:rsidRPr="00552E15" w:rsidRDefault="00B45351" w:rsidP="00842E93">
            <w:pPr>
              <w:jc w:val="center"/>
            </w:pPr>
            <w:r w:rsidRPr="00552E15">
              <w:rPr>
                <w:color w:val="000000"/>
              </w:rPr>
              <w:t>33.9</w:t>
            </w:r>
          </w:p>
        </w:tc>
      </w:tr>
      <w:tr w:rsidR="00B45351" w:rsidRPr="00552E15" w14:paraId="131DE838" w14:textId="77777777" w:rsidTr="00842E93">
        <w:tc>
          <w:tcPr>
            <w:tcW w:w="3005" w:type="dxa"/>
            <w:vAlign w:val="bottom"/>
          </w:tcPr>
          <w:p w14:paraId="4569F6A3" w14:textId="77777777" w:rsidR="00B45351" w:rsidRPr="00552E15" w:rsidRDefault="00B45351" w:rsidP="00842E93">
            <w:r w:rsidRPr="00552E15">
              <w:rPr>
                <w:color w:val="000000"/>
              </w:rPr>
              <w:t>Falklands Islands</w:t>
            </w:r>
          </w:p>
        </w:tc>
        <w:tc>
          <w:tcPr>
            <w:tcW w:w="3005" w:type="dxa"/>
            <w:vAlign w:val="bottom"/>
          </w:tcPr>
          <w:p w14:paraId="0D27AF19" w14:textId="77777777" w:rsidR="00B45351" w:rsidRPr="00552E15" w:rsidRDefault="00B45351" w:rsidP="00842E93">
            <w:pPr>
              <w:jc w:val="center"/>
            </w:pPr>
            <w:r w:rsidRPr="00552E15">
              <w:rPr>
                <w:color w:val="000000"/>
              </w:rPr>
              <w:t>176</w:t>
            </w:r>
          </w:p>
        </w:tc>
        <w:tc>
          <w:tcPr>
            <w:tcW w:w="3006" w:type="dxa"/>
            <w:vAlign w:val="bottom"/>
          </w:tcPr>
          <w:p w14:paraId="46750A6E" w14:textId="77777777" w:rsidR="00B45351" w:rsidRPr="00552E15" w:rsidRDefault="00B45351" w:rsidP="00842E93">
            <w:pPr>
              <w:jc w:val="center"/>
            </w:pPr>
            <w:r w:rsidRPr="00552E15">
              <w:rPr>
                <w:color w:val="000000"/>
              </w:rPr>
              <w:t>17</w:t>
            </w:r>
          </w:p>
        </w:tc>
      </w:tr>
      <w:tr w:rsidR="00B45351" w:rsidRPr="00552E15" w14:paraId="7FF2FB2D" w14:textId="77777777" w:rsidTr="00842E93">
        <w:tc>
          <w:tcPr>
            <w:tcW w:w="3005" w:type="dxa"/>
            <w:vAlign w:val="bottom"/>
          </w:tcPr>
          <w:p w14:paraId="7D62600A" w14:textId="77777777" w:rsidR="00B45351" w:rsidRPr="00552E15" w:rsidRDefault="00B45351" w:rsidP="00842E93">
            <w:r w:rsidRPr="00552E15">
              <w:rPr>
                <w:color w:val="000000"/>
              </w:rPr>
              <w:t>Gulf War (1991)</w:t>
            </w:r>
          </w:p>
        </w:tc>
        <w:tc>
          <w:tcPr>
            <w:tcW w:w="3005" w:type="dxa"/>
            <w:vAlign w:val="bottom"/>
          </w:tcPr>
          <w:p w14:paraId="420B6C93" w14:textId="77777777" w:rsidR="00B45351" w:rsidRPr="00552E15" w:rsidRDefault="00B45351" w:rsidP="00842E93">
            <w:pPr>
              <w:jc w:val="center"/>
            </w:pPr>
            <w:r w:rsidRPr="00552E15">
              <w:rPr>
                <w:color w:val="000000"/>
              </w:rPr>
              <w:t>88</w:t>
            </w:r>
          </w:p>
        </w:tc>
        <w:tc>
          <w:tcPr>
            <w:tcW w:w="3006" w:type="dxa"/>
            <w:vAlign w:val="bottom"/>
          </w:tcPr>
          <w:p w14:paraId="4B511081" w14:textId="77777777" w:rsidR="00B45351" w:rsidRPr="00552E15" w:rsidRDefault="00B45351" w:rsidP="00842E93">
            <w:pPr>
              <w:jc w:val="center"/>
            </w:pPr>
            <w:r w:rsidRPr="00552E15">
              <w:rPr>
                <w:color w:val="000000"/>
              </w:rPr>
              <w:t>8.4</w:t>
            </w:r>
          </w:p>
        </w:tc>
      </w:tr>
      <w:tr w:rsidR="00B45351" w:rsidRPr="00552E15" w14:paraId="216F8B5A" w14:textId="77777777" w:rsidTr="00842E93">
        <w:tc>
          <w:tcPr>
            <w:tcW w:w="3005" w:type="dxa"/>
            <w:vAlign w:val="bottom"/>
          </w:tcPr>
          <w:p w14:paraId="279AF725" w14:textId="77777777" w:rsidR="00B45351" w:rsidRPr="00552E15" w:rsidRDefault="00B45351" w:rsidP="00842E93">
            <w:r w:rsidRPr="00552E15">
              <w:rPr>
                <w:color w:val="000000"/>
              </w:rPr>
              <w:t>Afghanistan (2001 to 2014)</w:t>
            </w:r>
          </w:p>
        </w:tc>
        <w:tc>
          <w:tcPr>
            <w:tcW w:w="3005" w:type="dxa"/>
            <w:vAlign w:val="bottom"/>
          </w:tcPr>
          <w:p w14:paraId="7F07FB6A" w14:textId="77777777" w:rsidR="00B45351" w:rsidRPr="00552E15" w:rsidRDefault="00B45351" w:rsidP="00842E93">
            <w:pPr>
              <w:jc w:val="center"/>
            </w:pPr>
            <w:r w:rsidRPr="00552E15">
              <w:rPr>
                <w:color w:val="000000"/>
              </w:rPr>
              <w:t>163</w:t>
            </w:r>
          </w:p>
        </w:tc>
        <w:tc>
          <w:tcPr>
            <w:tcW w:w="3006" w:type="dxa"/>
            <w:vAlign w:val="bottom"/>
          </w:tcPr>
          <w:p w14:paraId="7044FB74" w14:textId="77777777" w:rsidR="00B45351" w:rsidRPr="00552E15" w:rsidRDefault="00B45351" w:rsidP="00842E93">
            <w:pPr>
              <w:jc w:val="center"/>
            </w:pPr>
            <w:r w:rsidRPr="00552E15">
              <w:rPr>
                <w:color w:val="000000"/>
              </w:rPr>
              <w:t>15.7</w:t>
            </w:r>
          </w:p>
        </w:tc>
      </w:tr>
      <w:tr w:rsidR="00B45351" w:rsidRPr="00552E15" w14:paraId="57ED6239" w14:textId="77777777" w:rsidTr="00842E93">
        <w:tc>
          <w:tcPr>
            <w:tcW w:w="3005" w:type="dxa"/>
            <w:vAlign w:val="bottom"/>
          </w:tcPr>
          <w:p w14:paraId="4F41B910" w14:textId="77777777" w:rsidR="00B45351" w:rsidRPr="00552E15" w:rsidRDefault="00B45351" w:rsidP="00842E93">
            <w:r w:rsidRPr="00552E15">
              <w:rPr>
                <w:color w:val="000000"/>
              </w:rPr>
              <w:t>Iraq (2003-2011)</w:t>
            </w:r>
          </w:p>
        </w:tc>
        <w:tc>
          <w:tcPr>
            <w:tcW w:w="3005" w:type="dxa"/>
            <w:vAlign w:val="bottom"/>
          </w:tcPr>
          <w:p w14:paraId="27656B96" w14:textId="77777777" w:rsidR="00B45351" w:rsidRPr="00552E15" w:rsidRDefault="00B45351" w:rsidP="00842E93">
            <w:pPr>
              <w:jc w:val="center"/>
            </w:pPr>
            <w:r w:rsidRPr="00552E15">
              <w:rPr>
                <w:color w:val="000000"/>
              </w:rPr>
              <w:t>151</w:t>
            </w:r>
          </w:p>
        </w:tc>
        <w:tc>
          <w:tcPr>
            <w:tcW w:w="3006" w:type="dxa"/>
            <w:vAlign w:val="bottom"/>
          </w:tcPr>
          <w:p w14:paraId="78DD2BFC" w14:textId="77777777" w:rsidR="00B45351" w:rsidRPr="00552E15" w:rsidRDefault="00B45351" w:rsidP="00842E93">
            <w:pPr>
              <w:jc w:val="center"/>
            </w:pPr>
            <w:r w:rsidRPr="00552E15">
              <w:rPr>
                <w:color w:val="000000"/>
              </w:rPr>
              <w:t>14.5</w:t>
            </w:r>
          </w:p>
        </w:tc>
      </w:tr>
      <w:tr w:rsidR="00B45351" w:rsidRPr="00552E15" w14:paraId="757749DD" w14:textId="77777777" w:rsidTr="00842E93">
        <w:tc>
          <w:tcPr>
            <w:tcW w:w="3005" w:type="dxa"/>
            <w:vAlign w:val="bottom"/>
          </w:tcPr>
          <w:p w14:paraId="48DE1254" w14:textId="77777777" w:rsidR="00B45351" w:rsidRPr="00552E15" w:rsidRDefault="00B45351" w:rsidP="00842E93">
            <w:r w:rsidRPr="00552E15">
              <w:rPr>
                <w:color w:val="000000"/>
              </w:rPr>
              <w:t>Bosnia</w:t>
            </w:r>
          </w:p>
        </w:tc>
        <w:tc>
          <w:tcPr>
            <w:tcW w:w="3005" w:type="dxa"/>
            <w:vAlign w:val="bottom"/>
          </w:tcPr>
          <w:p w14:paraId="0A71F065" w14:textId="77777777" w:rsidR="00B45351" w:rsidRPr="00552E15" w:rsidRDefault="00B45351" w:rsidP="00842E93">
            <w:pPr>
              <w:jc w:val="center"/>
            </w:pPr>
            <w:r w:rsidRPr="00552E15">
              <w:rPr>
                <w:color w:val="000000"/>
              </w:rPr>
              <w:t>134</w:t>
            </w:r>
          </w:p>
        </w:tc>
        <w:tc>
          <w:tcPr>
            <w:tcW w:w="3006" w:type="dxa"/>
            <w:vAlign w:val="bottom"/>
          </w:tcPr>
          <w:p w14:paraId="501FF7EE" w14:textId="77777777" w:rsidR="00B45351" w:rsidRPr="00552E15" w:rsidRDefault="00B45351" w:rsidP="00842E93">
            <w:pPr>
              <w:jc w:val="center"/>
            </w:pPr>
            <w:r w:rsidRPr="00552E15">
              <w:rPr>
                <w:color w:val="000000"/>
              </w:rPr>
              <w:t>12.9</w:t>
            </w:r>
          </w:p>
        </w:tc>
      </w:tr>
      <w:tr w:rsidR="00B45351" w:rsidRPr="00552E15" w14:paraId="5E26E059" w14:textId="77777777" w:rsidTr="00842E93">
        <w:tc>
          <w:tcPr>
            <w:tcW w:w="3005" w:type="dxa"/>
            <w:vAlign w:val="bottom"/>
          </w:tcPr>
          <w:p w14:paraId="7C598C68" w14:textId="77777777" w:rsidR="00B45351" w:rsidRPr="00552E15" w:rsidRDefault="00B45351" w:rsidP="00842E93">
            <w:r w:rsidRPr="00552E15">
              <w:rPr>
                <w:color w:val="000000"/>
              </w:rPr>
              <w:t>Cyprus</w:t>
            </w:r>
          </w:p>
        </w:tc>
        <w:tc>
          <w:tcPr>
            <w:tcW w:w="3005" w:type="dxa"/>
            <w:vAlign w:val="bottom"/>
          </w:tcPr>
          <w:p w14:paraId="126C6BFE" w14:textId="77777777" w:rsidR="00B45351" w:rsidRPr="00552E15" w:rsidRDefault="00B45351" w:rsidP="00842E93">
            <w:pPr>
              <w:jc w:val="center"/>
            </w:pPr>
            <w:r w:rsidRPr="00552E15">
              <w:rPr>
                <w:color w:val="000000"/>
              </w:rPr>
              <w:t>99</w:t>
            </w:r>
          </w:p>
        </w:tc>
        <w:tc>
          <w:tcPr>
            <w:tcW w:w="3006" w:type="dxa"/>
            <w:vAlign w:val="bottom"/>
          </w:tcPr>
          <w:p w14:paraId="6477ACA3" w14:textId="77777777" w:rsidR="00B45351" w:rsidRPr="00552E15" w:rsidRDefault="00B45351" w:rsidP="00842E93">
            <w:pPr>
              <w:jc w:val="center"/>
            </w:pPr>
            <w:r w:rsidRPr="00552E15">
              <w:rPr>
                <w:color w:val="000000"/>
              </w:rPr>
              <w:t>9.5</w:t>
            </w:r>
          </w:p>
        </w:tc>
      </w:tr>
      <w:tr w:rsidR="00B45351" w:rsidRPr="00552E15" w14:paraId="6EDD2067" w14:textId="77777777" w:rsidTr="00842E93">
        <w:tc>
          <w:tcPr>
            <w:tcW w:w="3005" w:type="dxa"/>
            <w:vAlign w:val="bottom"/>
          </w:tcPr>
          <w:p w14:paraId="1479AF32" w14:textId="77777777" w:rsidR="00B45351" w:rsidRPr="00552E15" w:rsidRDefault="00B45351" w:rsidP="00842E93">
            <w:r w:rsidRPr="00552E15">
              <w:rPr>
                <w:color w:val="000000"/>
              </w:rPr>
              <w:t>Kosovo</w:t>
            </w:r>
          </w:p>
        </w:tc>
        <w:tc>
          <w:tcPr>
            <w:tcW w:w="3005" w:type="dxa"/>
            <w:vAlign w:val="bottom"/>
          </w:tcPr>
          <w:p w14:paraId="1B42C41E" w14:textId="77777777" w:rsidR="00B45351" w:rsidRPr="00552E15" w:rsidRDefault="00B45351" w:rsidP="00842E93">
            <w:pPr>
              <w:jc w:val="center"/>
            </w:pPr>
            <w:r w:rsidRPr="00552E15">
              <w:rPr>
                <w:color w:val="000000"/>
              </w:rPr>
              <w:t>70</w:t>
            </w:r>
          </w:p>
        </w:tc>
        <w:tc>
          <w:tcPr>
            <w:tcW w:w="3006" w:type="dxa"/>
            <w:vAlign w:val="bottom"/>
          </w:tcPr>
          <w:p w14:paraId="6B6A7A27" w14:textId="77777777" w:rsidR="00B45351" w:rsidRPr="00552E15" w:rsidRDefault="00B45351" w:rsidP="00842E93">
            <w:pPr>
              <w:jc w:val="center"/>
            </w:pPr>
            <w:r w:rsidRPr="00552E15">
              <w:rPr>
                <w:color w:val="000000"/>
              </w:rPr>
              <w:t>6.7</w:t>
            </w:r>
          </w:p>
        </w:tc>
      </w:tr>
      <w:tr w:rsidR="00B45351" w:rsidRPr="00552E15" w14:paraId="059F457B" w14:textId="77777777" w:rsidTr="00842E93">
        <w:tc>
          <w:tcPr>
            <w:tcW w:w="3005" w:type="dxa"/>
            <w:vAlign w:val="bottom"/>
          </w:tcPr>
          <w:p w14:paraId="34310189" w14:textId="77777777" w:rsidR="00B45351" w:rsidRPr="00552E15" w:rsidRDefault="00B45351" w:rsidP="00842E93">
            <w:r w:rsidRPr="00552E15">
              <w:rPr>
                <w:color w:val="000000"/>
              </w:rPr>
              <w:t>Kenya</w:t>
            </w:r>
          </w:p>
        </w:tc>
        <w:tc>
          <w:tcPr>
            <w:tcW w:w="3005" w:type="dxa"/>
            <w:vAlign w:val="bottom"/>
          </w:tcPr>
          <w:p w14:paraId="5714B0D2" w14:textId="77777777" w:rsidR="00B45351" w:rsidRPr="00552E15" w:rsidRDefault="00B45351" w:rsidP="00842E93">
            <w:pPr>
              <w:jc w:val="center"/>
            </w:pPr>
            <w:r w:rsidRPr="00552E15">
              <w:rPr>
                <w:color w:val="000000"/>
              </w:rPr>
              <w:t>75</w:t>
            </w:r>
          </w:p>
        </w:tc>
        <w:tc>
          <w:tcPr>
            <w:tcW w:w="3006" w:type="dxa"/>
            <w:vAlign w:val="bottom"/>
          </w:tcPr>
          <w:p w14:paraId="4FD05024" w14:textId="77777777" w:rsidR="00B45351" w:rsidRPr="00552E15" w:rsidRDefault="00B45351" w:rsidP="00842E93">
            <w:pPr>
              <w:jc w:val="center"/>
            </w:pPr>
            <w:r w:rsidRPr="00552E15">
              <w:rPr>
                <w:color w:val="000000"/>
              </w:rPr>
              <w:t>7.2</w:t>
            </w:r>
          </w:p>
        </w:tc>
      </w:tr>
      <w:tr w:rsidR="00B45351" w:rsidRPr="00552E15" w14:paraId="67DA490F" w14:textId="77777777" w:rsidTr="00842E93">
        <w:tc>
          <w:tcPr>
            <w:tcW w:w="3005" w:type="dxa"/>
            <w:vAlign w:val="bottom"/>
          </w:tcPr>
          <w:p w14:paraId="4A392F56" w14:textId="77777777" w:rsidR="00B45351" w:rsidRPr="00552E15" w:rsidRDefault="00B45351" w:rsidP="00842E93">
            <w:r w:rsidRPr="00552E15">
              <w:rPr>
                <w:color w:val="000000"/>
              </w:rPr>
              <w:t>Rwanda</w:t>
            </w:r>
          </w:p>
        </w:tc>
        <w:tc>
          <w:tcPr>
            <w:tcW w:w="3005" w:type="dxa"/>
            <w:vAlign w:val="bottom"/>
          </w:tcPr>
          <w:p w14:paraId="0ED9E42A" w14:textId="77777777" w:rsidR="00B45351" w:rsidRPr="00552E15" w:rsidRDefault="00B45351" w:rsidP="00842E93">
            <w:pPr>
              <w:jc w:val="center"/>
            </w:pPr>
            <w:r w:rsidRPr="00552E15">
              <w:rPr>
                <w:color w:val="000000"/>
              </w:rPr>
              <w:t>8</w:t>
            </w:r>
          </w:p>
        </w:tc>
        <w:tc>
          <w:tcPr>
            <w:tcW w:w="3006" w:type="dxa"/>
            <w:vAlign w:val="bottom"/>
          </w:tcPr>
          <w:p w14:paraId="5812E4A4" w14:textId="77777777" w:rsidR="00B45351" w:rsidRPr="00552E15" w:rsidRDefault="00B45351" w:rsidP="00842E93">
            <w:pPr>
              <w:jc w:val="center"/>
            </w:pPr>
            <w:r w:rsidRPr="00552E15">
              <w:rPr>
                <w:color w:val="000000"/>
              </w:rPr>
              <w:t>0.8</w:t>
            </w:r>
          </w:p>
        </w:tc>
      </w:tr>
      <w:tr w:rsidR="00B45351" w:rsidRPr="00552E15" w14:paraId="48CB93B1" w14:textId="77777777" w:rsidTr="00842E93">
        <w:tc>
          <w:tcPr>
            <w:tcW w:w="3005" w:type="dxa"/>
            <w:vAlign w:val="bottom"/>
          </w:tcPr>
          <w:p w14:paraId="3C31AA5A" w14:textId="77777777" w:rsidR="00B45351" w:rsidRPr="00552E15" w:rsidRDefault="00B45351" w:rsidP="00842E93">
            <w:r w:rsidRPr="00552E15">
              <w:rPr>
                <w:color w:val="000000"/>
              </w:rPr>
              <w:t>Belize</w:t>
            </w:r>
          </w:p>
        </w:tc>
        <w:tc>
          <w:tcPr>
            <w:tcW w:w="3005" w:type="dxa"/>
            <w:vAlign w:val="bottom"/>
          </w:tcPr>
          <w:p w14:paraId="586119BB" w14:textId="77777777" w:rsidR="00B45351" w:rsidRPr="00552E15" w:rsidRDefault="00B45351" w:rsidP="00842E93">
            <w:pPr>
              <w:jc w:val="center"/>
            </w:pPr>
            <w:r w:rsidRPr="00552E15">
              <w:rPr>
                <w:color w:val="000000"/>
              </w:rPr>
              <w:t>69</w:t>
            </w:r>
          </w:p>
        </w:tc>
        <w:tc>
          <w:tcPr>
            <w:tcW w:w="3006" w:type="dxa"/>
            <w:vAlign w:val="bottom"/>
          </w:tcPr>
          <w:p w14:paraId="20250F60" w14:textId="77777777" w:rsidR="00B45351" w:rsidRPr="00552E15" w:rsidRDefault="00B45351" w:rsidP="00842E93">
            <w:pPr>
              <w:jc w:val="center"/>
            </w:pPr>
            <w:r w:rsidRPr="00552E15">
              <w:rPr>
                <w:color w:val="000000"/>
              </w:rPr>
              <w:t>6.7</w:t>
            </w:r>
          </w:p>
        </w:tc>
      </w:tr>
      <w:tr w:rsidR="00B45351" w:rsidRPr="00552E15" w14:paraId="4DB6C03F" w14:textId="77777777" w:rsidTr="00842E93">
        <w:tc>
          <w:tcPr>
            <w:tcW w:w="3005" w:type="dxa"/>
            <w:vAlign w:val="bottom"/>
          </w:tcPr>
          <w:p w14:paraId="44EDC185" w14:textId="77777777" w:rsidR="00B45351" w:rsidRPr="00552E15" w:rsidRDefault="00B45351" w:rsidP="00842E93">
            <w:r w:rsidRPr="00552E15">
              <w:rPr>
                <w:color w:val="000000"/>
              </w:rPr>
              <w:t>Sierra Leone</w:t>
            </w:r>
          </w:p>
        </w:tc>
        <w:tc>
          <w:tcPr>
            <w:tcW w:w="3005" w:type="dxa"/>
            <w:vAlign w:val="bottom"/>
          </w:tcPr>
          <w:p w14:paraId="7025EB72" w14:textId="77777777" w:rsidR="00B45351" w:rsidRPr="00552E15" w:rsidRDefault="00B45351" w:rsidP="00842E93">
            <w:pPr>
              <w:jc w:val="center"/>
            </w:pPr>
            <w:r w:rsidRPr="00552E15">
              <w:rPr>
                <w:color w:val="000000"/>
              </w:rPr>
              <w:t>19</w:t>
            </w:r>
          </w:p>
        </w:tc>
        <w:tc>
          <w:tcPr>
            <w:tcW w:w="3006" w:type="dxa"/>
            <w:vAlign w:val="bottom"/>
          </w:tcPr>
          <w:p w14:paraId="79C67656" w14:textId="77777777" w:rsidR="00B45351" w:rsidRPr="00552E15" w:rsidRDefault="00B45351" w:rsidP="00842E93">
            <w:pPr>
              <w:jc w:val="center"/>
            </w:pPr>
            <w:r w:rsidRPr="00552E15">
              <w:rPr>
                <w:color w:val="000000"/>
              </w:rPr>
              <w:t>1.8</w:t>
            </w:r>
          </w:p>
        </w:tc>
      </w:tr>
      <w:tr w:rsidR="00B45351" w:rsidRPr="00552E15" w14:paraId="4AE1B4E2" w14:textId="77777777" w:rsidTr="00842E93">
        <w:tc>
          <w:tcPr>
            <w:tcW w:w="3005" w:type="dxa"/>
            <w:vAlign w:val="bottom"/>
          </w:tcPr>
          <w:p w14:paraId="76FA063A" w14:textId="77777777" w:rsidR="00B45351" w:rsidRPr="00552E15" w:rsidRDefault="00B45351" w:rsidP="00842E93">
            <w:r w:rsidRPr="00552E15">
              <w:rPr>
                <w:color w:val="000000"/>
              </w:rPr>
              <w:t>Lebanon</w:t>
            </w:r>
          </w:p>
        </w:tc>
        <w:tc>
          <w:tcPr>
            <w:tcW w:w="3005" w:type="dxa"/>
            <w:vAlign w:val="bottom"/>
          </w:tcPr>
          <w:p w14:paraId="70CDDB00" w14:textId="77777777" w:rsidR="00B45351" w:rsidRPr="00552E15" w:rsidRDefault="00B45351" w:rsidP="00842E93">
            <w:pPr>
              <w:jc w:val="center"/>
            </w:pPr>
            <w:r w:rsidRPr="00552E15">
              <w:rPr>
                <w:color w:val="000000"/>
              </w:rPr>
              <w:t>8</w:t>
            </w:r>
          </w:p>
        </w:tc>
        <w:tc>
          <w:tcPr>
            <w:tcW w:w="3006" w:type="dxa"/>
            <w:vAlign w:val="bottom"/>
          </w:tcPr>
          <w:p w14:paraId="245779A0" w14:textId="77777777" w:rsidR="00B45351" w:rsidRPr="00552E15" w:rsidRDefault="00B45351" w:rsidP="00842E93">
            <w:pPr>
              <w:jc w:val="center"/>
            </w:pPr>
            <w:r w:rsidRPr="00552E15">
              <w:rPr>
                <w:color w:val="000000"/>
              </w:rPr>
              <w:t>0.8</w:t>
            </w:r>
          </w:p>
        </w:tc>
      </w:tr>
      <w:tr w:rsidR="00B45351" w:rsidRPr="00552E15" w14:paraId="6C834A75" w14:textId="77777777" w:rsidTr="00842E93">
        <w:tc>
          <w:tcPr>
            <w:tcW w:w="3005" w:type="dxa"/>
            <w:vAlign w:val="bottom"/>
          </w:tcPr>
          <w:p w14:paraId="4FE52010" w14:textId="77777777" w:rsidR="00B45351" w:rsidRPr="00552E15" w:rsidRDefault="00B45351" w:rsidP="00842E93">
            <w:r w:rsidRPr="00552E15">
              <w:rPr>
                <w:color w:val="000000"/>
              </w:rPr>
              <w:t>World War II</w:t>
            </w:r>
          </w:p>
        </w:tc>
        <w:tc>
          <w:tcPr>
            <w:tcW w:w="3005" w:type="dxa"/>
            <w:vAlign w:val="bottom"/>
          </w:tcPr>
          <w:p w14:paraId="240BD71D" w14:textId="77777777" w:rsidR="00B45351" w:rsidRPr="00552E15" w:rsidRDefault="00B45351" w:rsidP="00842E93">
            <w:pPr>
              <w:jc w:val="center"/>
            </w:pPr>
            <w:r w:rsidRPr="00552E15">
              <w:rPr>
                <w:color w:val="000000"/>
              </w:rPr>
              <w:t>0</w:t>
            </w:r>
          </w:p>
        </w:tc>
        <w:tc>
          <w:tcPr>
            <w:tcW w:w="3006" w:type="dxa"/>
            <w:vAlign w:val="bottom"/>
          </w:tcPr>
          <w:p w14:paraId="75482A14" w14:textId="77777777" w:rsidR="00B45351" w:rsidRPr="00552E15" w:rsidRDefault="00B45351" w:rsidP="00842E93">
            <w:pPr>
              <w:jc w:val="center"/>
            </w:pPr>
            <w:r w:rsidRPr="00552E15">
              <w:rPr>
                <w:color w:val="000000"/>
              </w:rPr>
              <w:t>0.0</w:t>
            </w:r>
          </w:p>
        </w:tc>
      </w:tr>
      <w:tr w:rsidR="00B45351" w:rsidRPr="00552E15" w14:paraId="3ECBB80A" w14:textId="77777777" w:rsidTr="00842E93">
        <w:tc>
          <w:tcPr>
            <w:tcW w:w="3005" w:type="dxa"/>
            <w:vAlign w:val="bottom"/>
          </w:tcPr>
          <w:p w14:paraId="03CC5AD3" w14:textId="77777777" w:rsidR="00B45351" w:rsidRPr="00552E15" w:rsidRDefault="00B45351" w:rsidP="00842E93">
            <w:r w:rsidRPr="00552E15">
              <w:rPr>
                <w:color w:val="000000"/>
              </w:rPr>
              <w:t>Cuban Crisis</w:t>
            </w:r>
          </w:p>
        </w:tc>
        <w:tc>
          <w:tcPr>
            <w:tcW w:w="3005" w:type="dxa"/>
            <w:vAlign w:val="bottom"/>
          </w:tcPr>
          <w:p w14:paraId="51C50EEB" w14:textId="77777777" w:rsidR="00B45351" w:rsidRPr="00552E15" w:rsidRDefault="00B45351" w:rsidP="00842E93">
            <w:pPr>
              <w:jc w:val="center"/>
            </w:pPr>
            <w:r w:rsidRPr="00552E15">
              <w:rPr>
                <w:color w:val="000000"/>
              </w:rPr>
              <w:t>1</w:t>
            </w:r>
          </w:p>
        </w:tc>
        <w:tc>
          <w:tcPr>
            <w:tcW w:w="3006" w:type="dxa"/>
            <w:vAlign w:val="bottom"/>
          </w:tcPr>
          <w:p w14:paraId="0FDA250A" w14:textId="77777777" w:rsidR="00B45351" w:rsidRPr="00552E15" w:rsidRDefault="00B45351" w:rsidP="00842E93">
            <w:pPr>
              <w:jc w:val="center"/>
            </w:pPr>
            <w:r w:rsidRPr="00552E15">
              <w:rPr>
                <w:color w:val="000000"/>
              </w:rPr>
              <w:t>0.1</w:t>
            </w:r>
          </w:p>
        </w:tc>
      </w:tr>
      <w:tr w:rsidR="00B45351" w:rsidRPr="00552E15" w14:paraId="683C55B5" w14:textId="77777777" w:rsidTr="00842E93">
        <w:tc>
          <w:tcPr>
            <w:tcW w:w="3005" w:type="dxa"/>
            <w:vAlign w:val="bottom"/>
          </w:tcPr>
          <w:p w14:paraId="28603572" w14:textId="77777777" w:rsidR="00B45351" w:rsidRPr="00552E15" w:rsidRDefault="00B45351" w:rsidP="00842E93">
            <w:r w:rsidRPr="00552E15">
              <w:rPr>
                <w:color w:val="000000"/>
              </w:rPr>
              <w:t>Macedonia</w:t>
            </w:r>
          </w:p>
        </w:tc>
        <w:tc>
          <w:tcPr>
            <w:tcW w:w="3005" w:type="dxa"/>
            <w:vAlign w:val="bottom"/>
          </w:tcPr>
          <w:p w14:paraId="0DEF19C7" w14:textId="77777777" w:rsidR="00B45351" w:rsidRPr="00552E15" w:rsidRDefault="00B45351" w:rsidP="00842E93">
            <w:pPr>
              <w:jc w:val="center"/>
            </w:pPr>
            <w:r w:rsidRPr="00552E15">
              <w:rPr>
                <w:color w:val="000000"/>
              </w:rPr>
              <w:t>13</w:t>
            </w:r>
          </w:p>
        </w:tc>
        <w:tc>
          <w:tcPr>
            <w:tcW w:w="3006" w:type="dxa"/>
            <w:vAlign w:val="bottom"/>
          </w:tcPr>
          <w:p w14:paraId="28BCA616" w14:textId="77777777" w:rsidR="00B45351" w:rsidRPr="00552E15" w:rsidRDefault="00B45351" w:rsidP="00842E93">
            <w:pPr>
              <w:jc w:val="center"/>
            </w:pPr>
            <w:r w:rsidRPr="00552E15">
              <w:rPr>
                <w:color w:val="000000"/>
              </w:rPr>
              <w:t>1.3</w:t>
            </w:r>
          </w:p>
        </w:tc>
      </w:tr>
      <w:tr w:rsidR="00B45351" w:rsidRPr="00552E15" w14:paraId="00DA4022" w14:textId="77777777" w:rsidTr="00842E93">
        <w:tc>
          <w:tcPr>
            <w:tcW w:w="3005" w:type="dxa"/>
            <w:vAlign w:val="bottom"/>
          </w:tcPr>
          <w:p w14:paraId="6DB0F80A" w14:textId="77777777" w:rsidR="00B45351" w:rsidRPr="00552E15" w:rsidRDefault="00B45351" w:rsidP="00842E93">
            <w:r w:rsidRPr="00552E15">
              <w:rPr>
                <w:color w:val="000000"/>
              </w:rPr>
              <w:t>Pakistan</w:t>
            </w:r>
          </w:p>
        </w:tc>
        <w:tc>
          <w:tcPr>
            <w:tcW w:w="3005" w:type="dxa"/>
            <w:vAlign w:val="bottom"/>
          </w:tcPr>
          <w:p w14:paraId="39287811" w14:textId="77777777" w:rsidR="00B45351" w:rsidRPr="00552E15" w:rsidRDefault="00B45351" w:rsidP="00842E93">
            <w:pPr>
              <w:jc w:val="center"/>
            </w:pPr>
            <w:r w:rsidRPr="00552E15">
              <w:rPr>
                <w:color w:val="000000"/>
              </w:rPr>
              <w:t>8</w:t>
            </w:r>
          </w:p>
        </w:tc>
        <w:tc>
          <w:tcPr>
            <w:tcW w:w="3006" w:type="dxa"/>
            <w:vAlign w:val="bottom"/>
          </w:tcPr>
          <w:p w14:paraId="6092F552" w14:textId="77777777" w:rsidR="00B45351" w:rsidRPr="00552E15" w:rsidRDefault="00B45351" w:rsidP="00842E93">
            <w:pPr>
              <w:jc w:val="center"/>
            </w:pPr>
            <w:r w:rsidRPr="00552E15">
              <w:rPr>
                <w:color w:val="000000"/>
              </w:rPr>
              <w:t>0.8</w:t>
            </w:r>
          </w:p>
        </w:tc>
      </w:tr>
      <w:tr w:rsidR="00B45351" w:rsidRPr="00552E15" w14:paraId="161589C7" w14:textId="77777777" w:rsidTr="00842E93">
        <w:tc>
          <w:tcPr>
            <w:tcW w:w="3005" w:type="dxa"/>
            <w:vAlign w:val="bottom"/>
          </w:tcPr>
          <w:p w14:paraId="4FDAF6B2" w14:textId="77777777" w:rsidR="00B45351" w:rsidRPr="00552E15" w:rsidRDefault="00B45351" w:rsidP="00842E93">
            <w:r w:rsidRPr="00552E15">
              <w:rPr>
                <w:color w:val="000000"/>
              </w:rPr>
              <w:t>Iraq/Iran conflict (1977)</w:t>
            </w:r>
          </w:p>
        </w:tc>
        <w:tc>
          <w:tcPr>
            <w:tcW w:w="3005" w:type="dxa"/>
            <w:vAlign w:val="bottom"/>
          </w:tcPr>
          <w:p w14:paraId="1E36FA29" w14:textId="77777777" w:rsidR="00B45351" w:rsidRPr="00552E15" w:rsidRDefault="00B45351" w:rsidP="00842E93">
            <w:pPr>
              <w:jc w:val="center"/>
            </w:pPr>
            <w:r w:rsidRPr="00552E15">
              <w:rPr>
                <w:color w:val="000000"/>
              </w:rPr>
              <w:t>13</w:t>
            </w:r>
          </w:p>
        </w:tc>
        <w:tc>
          <w:tcPr>
            <w:tcW w:w="3006" w:type="dxa"/>
            <w:vAlign w:val="bottom"/>
          </w:tcPr>
          <w:p w14:paraId="3E27C0A0" w14:textId="77777777" w:rsidR="00B45351" w:rsidRPr="00552E15" w:rsidRDefault="00B45351" w:rsidP="00842E93">
            <w:pPr>
              <w:jc w:val="center"/>
            </w:pPr>
            <w:r w:rsidRPr="00552E15">
              <w:rPr>
                <w:color w:val="000000"/>
              </w:rPr>
              <w:t>1.3</w:t>
            </w:r>
          </w:p>
        </w:tc>
      </w:tr>
      <w:tr w:rsidR="00B45351" w:rsidRPr="00552E15" w14:paraId="7368122A" w14:textId="77777777" w:rsidTr="00842E93">
        <w:tc>
          <w:tcPr>
            <w:tcW w:w="3005" w:type="dxa"/>
            <w:vAlign w:val="bottom"/>
          </w:tcPr>
          <w:p w14:paraId="53534DFD" w14:textId="77777777" w:rsidR="00B45351" w:rsidRPr="00552E15" w:rsidRDefault="00B45351" w:rsidP="00842E93">
            <w:r w:rsidRPr="00552E15">
              <w:rPr>
                <w:color w:val="000000"/>
              </w:rPr>
              <w:t>Hong Kong</w:t>
            </w:r>
          </w:p>
        </w:tc>
        <w:tc>
          <w:tcPr>
            <w:tcW w:w="3005" w:type="dxa"/>
            <w:vAlign w:val="bottom"/>
          </w:tcPr>
          <w:p w14:paraId="3DE3D3AD" w14:textId="77777777" w:rsidR="00B45351" w:rsidRPr="00552E15" w:rsidRDefault="00B45351" w:rsidP="00842E93">
            <w:pPr>
              <w:jc w:val="center"/>
            </w:pPr>
            <w:r w:rsidRPr="00552E15">
              <w:rPr>
                <w:color w:val="000000"/>
              </w:rPr>
              <w:t>46</w:t>
            </w:r>
          </w:p>
        </w:tc>
        <w:tc>
          <w:tcPr>
            <w:tcW w:w="3006" w:type="dxa"/>
            <w:vAlign w:val="bottom"/>
          </w:tcPr>
          <w:p w14:paraId="683C7BD9" w14:textId="77777777" w:rsidR="00B45351" w:rsidRPr="00552E15" w:rsidRDefault="00B45351" w:rsidP="00842E93">
            <w:pPr>
              <w:jc w:val="center"/>
            </w:pPr>
            <w:r w:rsidRPr="00552E15">
              <w:rPr>
                <w:color w:val="000000"/>
              </w:rPr>
              <w:t>4.4</w:t>
            </w:r>
          </w:p>
        </w:tc>
      </w:tr>
      <w:tr w:rsidR="00B45351" w:rsidRPr="00552E15" w14:paraId="4B89D9E9" w14:textId="77777777" w:rsidTr="00842E93">
        <w:tc>
          <w:tcPr>
            <w:tcW w:w="3005" w:type="dxa"/>
            <w:vAlign w:val="bottom"/>
          </w:tcPr>
          <w:p w14:paraId="7A8DC965" w14:textId="77777777" w:rsidR="00B45351" w:rsidRPr="00552E15" w:rsidRDefault="00B45351" w:rsidP="00842E93">
            <w:r w:rsidRPr="00552E15">
              <w:rPr>
                <w:color w:val="000000"/>
              </w:rPr>
              <w:t>Singapore</w:t>
            </w:r>
          </w:p>
        </w:tc>
        <w:tc>
          <w:tcPr>
            <w:tcW w:w="3005" w:type="dxa"/>
            <w:vAlign w:val="bottom"/>
          </w:tcPr>
          <w:p w14:paraId="2C741683" w14:textId="77777777" w:rsidR="00B45351" w:rsidRPr="00552E15" w:rsidRDefault="00B45351" w:rsidP="00842E93">
            <w:pPr>
              <w:jc w:val="center"/>
            </w:pPr>
            <w:r w:rsidRPr="00552E15">
              <w:rPr>
                <w:color w:val="000000"/>
              </w:rPr>
              <w:t>36</w:t>
            </w:r>
          </w:p>
        </w:tc>
        <w:tc>
          <w:tcPr>
            <w:tcW w:w="3006" w:type="dxa"/>
            <w:vAlign w:val="bottom"/>
          </w:tcPr>
          <w:p w14:paraId="7C906BF0" w14:textId="77777777" w:rsidR="00B45351" w:rsidRPr="00552E15" w:rsidRDefault="00B45351" w:rsidP="00842E93">
            <w:pPr>
              <w:jc w:val="center"/>
            </w:pPr>
            <w:r w:rsidRPr="00552E15">
              <w:rPr>
                <w:color w:val="000000"/>
              </w:rPr>
              <w:t>3.5</w:t>
            </w:r>
          </w:p>
        </w:tc>
      </w:tr>
      <w:tr w:rsidR="00B45351" w:rsidRPr="00552E15" w14:paraId="5DBED417" w14:textId="77777777" w:rsidTr="00842E93">
        <w:tc>
          <w:tcPr>
            <w:tcW w:w="3005" w:type="dxa"/>
            <w:vAlign w:val="bottom"/>
          </w:tcPr>
          <w:p w14:paraId="0279A613" w14:textId="77777777" w:rsidR="00B45351" w:rsidRPr="00552E15" w:rsidRDefault="00B45351" w:rsidP="00842E93">
            <w:r w:rsidRPr="00552E15">
              <w:rPr>
                <w:color w:val="000000"/>
              </w:rPr>
              <w:t>Da</w:t>
            </w:r>
            <w:r>
              <w:rPr>
                <w:color w:val="000000"/>
              </w:rPr>
              <w:t>rfur</w:t>
            </w:r>
          </w:p>
        </w:tc>
        <w:tc>
          <w:tcPr>
            <w:tcW w:w="3005" w:type="dxa"/>
            <w:vAlign w:val="bottom"/>
          </w:tcPr>
          <w:p w14:paraId="0FE4E5FF" w14:textId="77777777" w:rsidR="00B45351" w:rsidRPr="00552E15" w:rsidRDefault="00B45351" w:rsidP="00842E93">
            <w:pPr>
              <w:jc w:val="center"/>
            </w:pPr>
            <w:r w:rsidRPr="00552E15">
              <w:rPr>
                <w:color w:val="000000"/>
              </w:rPr>
              <w:t>10</w:t>
            </w:r>
          </w:p>
        </w:tc>
        <w:tc>
          <w:tcPr>
            <w:tcW w:w="3006" w:type="dxa"/>
            <w:vAlign w:val="bottom"/>
          </w:tcPr>
          <w:p w14:paraId="5B5818DE" w14:textId="77777777" w:rsidR="00B45351" w:rsidRPr="00552E15" w:rsidRDefault="00B45351" w:rsidP="00842E93">
            <w:pPr>
              <w:jc w:val="center"/>
            </w:pPr>
            <w:r w:rsidRPr="00552E15">
              <w:rPr>
                <w:color w:val="000000"/>
              </w:rPr>
              <w:t>1.0</w:t>
            </w:r>
          </w:p>
        </w:tc>
      </w:tr>
      <w:tr w:rsidR="00B45351" w:rsidRPr="00552E15" w14:paraId="6375A9CF" w14:textId="77777777" w:rsidTr="00842E93">
        <w:tc>
          <w:tcPr>
            <w:tcW w:w="3005" w:type="dxa"/>
            <w:vAlign w:val="bottom"/>
          </w:tcPr>
          <w:p w14:paraId="7CDB4F38" w14:textId="77777777" w:rsidR="00B45351" w:rsidRPr="00552E15" w:rsidRDefault="00B45351" w:rsidP="00842E93">
            <w:r w:rsidRPr="00552E15">
              <w:rPr>
                <w:color w:val="000000"/>
              </w:rPr>
              <w:t>Aden</w:t>
            </w:r>
          </w:p>
        </w:tc>
        <w:tc>
          <w:tcPr>
            <w:tcW w:w="3005" w:type="dxa"/>
            <w:vAlign w:val="bottom"/>
          </w:tcPr>
          <w:p w14:paraId="047B0185" w14:textId="77777777" w:rsidR="00B45351" w:rsidRPr="00552E15" w:rsidRDefault="00B45351" w:rsidP="00842E93">
            <w:pPr>
              <w:jc w:val="center"/>
            </w:pPr>
            <w:r w:rsidRPr="00552E15">
              <w:rPr>
                <w:color w:val="000000"/>
              </w:rPr>
              <w:t>24</w:t>
            </w:r>
          </w:p>
        </w:tc>
        <w:tc>
          <w:tcPr>
            <w:tcW w:w="3006" w:type="dxa"/>
            <w:vAlign w:val="bottom"/>
          </w:tcPr>
          <w:p w14:paraId="7DF60DA0" w14:textId="77777777" w:rsidR="00B45351" w:rsidRPr="00552E15" w:rsidRDefault="00B45351" w:rsidP="00842E93">
            <w:pPr>
              <w:jc w:val="center"/>
            </w:pPr>
            <w:r w:rsidRPr="00552E15">
              <w:rPr>
                <w:color w:val="000000"/>
              </w:rPr>
              <w:t>2.3</w:t>
            </w:r>
          </w:p>
        </w:tc>
      </w:tr>
      <w:tr w:rsidR="00B45351" w:rsidRPr="00552E15" w14:paraId="5947AA6A" w14:textId="77777777" w:rsidTr="00842E93">
        <w:tc>
          <w:tcPr>
            <w:tcW w:w="3005" w:type="dxa"/>
            <w:vAlign w:val="bottom"/>
          </w:tcPr>
          <w:p w14:paraId="34005F9D" w14:textId="77777777" w:rsidR="00B45351" w:rsidRPr="00552E15" w:rsidRDefault="00B45351" w:rsidP="00842E93">
            <w:r w:rsidRPr="00552E15">
              <w:rPr>
                <w:color w:val="000000"/>
              </w:rPr>
              <w:t>Columbia</w:t>
            </w:r>
          </w:p>
        </w:tc>
        <w:tc>
          <w:tcPr>
            <w:tcW w:w="3005" w:type="dxa"/>
            <w:vAlign w:val="bottom"/>
          </w:tcPr>
          <w:p w14:paraId="0D60D5B7" w14:textId="77777777" w:rsidR="00B45351" w:rsidRPr="00552E15" w:rsidRDefault="00B45351" w:rsidP="00842E93">
            <w:pPr>
              <w:jc w:val="center"/>
            </w:pPr>
            <w:r w:rsidRPr="00552E15">
              <w:rPr>
                <w:color w:val="000000"/>
              </w:rPr>
              <w:t>21</w:t>
            </w:r>
          </w:p>
        </w:tc>
        <w:tc>
          <w:tcPr>
            <w:tcW w:w="3006" w:type="dxa"/>
            <w:vAlign w:val="bottom"/>
          </w:tcPr>
          <w:p w14:paraId="56F3927D" w14:textId="77777777" w:rsidR="00B45351" w:rsidRPr="00552E15" w:rsidRDefault="00B45351" w:rsidP="00842E93">
            <w:pPr>
              <w:jc w:val="center"/>
            </w:pPr>
            <w:r w:rsidRPr="00552E15">
              <w:rPr>
                <w:color w:val="000000"/>
              </w:rPr>
              <w:t>2.0</w:t>
            </w:r>
          </w:p>
        </w:tc>
      </w:tr>
      <w:tr w:rsidR="00B45351" w:rsidRPr="00552E15" w14:paraId="387D6BEE" w14:textId="77777777" w:rsidTr="00842E93">
        <w:tc>
          <w:tcPr>
            <w:tcW w:w="3005" w:type="dxa"/>
            <w:vAlign w:val="bottom"/>
          </w:tcPr>
          <w:p w14:paraId="2D6178A7" w14:textId="77777777" w:rsidR="00B45351" w:rsidRPr="00552E15" w:rsidRDefault="00B45351" w:rsidP="00842E93">
            <w:r w:rsidRPr="00552E15">
              <w:rPr>
                <w:color w:val="000000"/>
              </w:rPr>
              <w:t>Chile</w:t>
            </w:r>
          </w:p>
        </w:tc>
        <w:tc>
          <w:tcPr>
            <w:tcW w:w="3005" w:type="dxa"/>
            <w:vAlign w:val="bottom"/>
          </w:tcPr>
          <w:p w14:paraId="0F5E77D6" w14:textId="77777777" w:rsidR="00B45351" w:rsidRPr="00552E15" w:rsidRDefault="00B45351" w:rsidP="00842E93">
            <w:pPr>
              <w:jc w:val="center"/>
            </w:pPr>
            <w:r w:rsidRPr="00552E15">
              <w:rPr>
                <w:color w:val="000000"/>
              </w:rPr>
              <w:t>15</w:t>
            </w:r>
          </w:p>
        </w:tc>
        <w:tc>
          <w:tcPr>
            <w:tcW w:w="3006" w:type="dxa"/>
            <w:vAlign w:val="bottom"/>
          </w:tcPr>
          <w:p w14:paraId="36280610" w14:textId="77777777" w:rsidR="00B45351" w:rsidRPr="00552E15" w:rsidRDefault="00B45351" w:rsidP="00842E93">
            <w:pPr>
              <w:jc w:val="center"/>
            </w:pPr>
            <w:r w:rsidRPr="00552E15">
              <w:rPr>
                <w:color w:val="000000"/>
              </w:rPr>
              <w:t>1.4</w:t>
            </w:r>
          </w:p>
        </w:tc>
      </w:tr>
      <w:tr w:rsidR="00B45351" w:rsidRPr="00552E15" w14:paraId="4DC5ABA0" w14:textId="77777777" w:rsidTr="00842E93">
        <w:tc>
          <w:tcPr>
            <w:tcW w:w="3005" w:type="dxa"/>
            <w:vAlign w:val="bottom"/>
          </w:tcPr>
          <w:p w14:paraId="3EA25451" w14:textId="77777777" w:rsidR="00B45351" w:rsidRPr="00552E15" w:rsidRDefault="00B45351" w:rsidP="00842E93">
            <w:r w:rsidRPr="00552E15">
              <w:rPr>
                <w:color w:val="000000"/>
              </w:rPr>
              <w:t>Somalia</w:t>
            </w:r>
          </w:p>
        </w:tc>
        <w:tc>
          <w:tcPr>
            <w:tcW w:w="3005" w:type="dxa"/>
            <w:vAlign w:val="bottom"/>
          </w:tcPr>
          <w:p w14:paraId="74896C82" w14:textId="77777777" w:rsidR="00B45351" w:rsidRPr="00552E15" w:rsidRDefault="00B45351" w:rsidP="00842E93">
            <w:pPr>
              <w:jc w:val="center"/>
            </w:pPr>
            <w:r w:rsidRPr="00552E15">
              <w:rPr>
                <w:color w:val="000000"/>
              </w:rPr>
              <w:t>23</w:t>
            </w:r>
          </w:p>
        </w:tc>
        <w:tc>
          <w:tcPr>
            <w:tcW w:w="3006" w:type="dxa"/>
            <w:vAlign w:val="bottom"/>
          </w:tcPr>
          <w:p w14:paraId="5714A332" w14:textId="77777777" w:rsidR="00B45351" w:rsidRPr="00552E15" w:rsidRDefault="00B45351" w:rsidP="00842E93">
            <w:pPr>
              <w:jc w:val="center"/>
            </w:pPr>
            <w:r w:rsidRPr="00552E15">
              <w:rPr>
                <w:color w:val="000000"/>
              </w:rPr>
              <w:t>2.2</w:t>
            </w:r>
          </w:p>
        </w:tc>
      </w:tr>
      <w:tr w:rsidR="00B45351" w:rsidRPr="00552E15" w14:paraId="77C8D478" w14:textId="77777777" w:rsidTr="00842E93">
        <w:tc>
          <w:tcPr>
            <w:tcW w:w="3005" w:type="dxa"/>
            <w:vAlign w:val="bottom"/>
          </w:tcPr>
          <w:p w14:paraId="3355F9A2" w14:textId="77777777" w:rsidR="00B45351" w:rsidRPr="00552E15" w:rsidRDefault="00B45351" w:rsidP="00842E93">
            <w:r w:rsidRPr="00552E15">
              <w:rPr>
                <w:color w:val="000000"/>
              </w:rPr>
              <w:t>South Africa</w:t>
            </w:r>
          </w:p>
        </w:tc>
        <w:tc>
          <w:tcPr>
            <w:tcW w:w="3005" w:type="dxa"/>
            <w:vAlign w:val="bottom"/>
          </w:tcPr>
          <w:p w14:paraId="045693E5" w14:textId="77777777" w:rsidR="00B45351" w:rsidRPr="00552E15" w:rsidRDefault="00B45351" w:rsidP="00842E93">
            <w:pPr>
              <w:jc w:val="center"/>
            </w:pPr>
            <w:r w:rsidRPr="00552E15">
              <w:rPr>
                <w:color w:val="000000"/>
              </w:rPr>
              <w:t>19</w:t>
            </w:r>
          </w:p>
        </w:tc>
        <w:tc>
          <w:tcPr>
            <w:tcW w:w="3006" w:type="dxa"/>
            <w:vAlign w:val="bottom"/>
          </w:tcPr>
          <w:p w14:paraId="08747C15" w14:textId="77777777" w:rsidR="00B45351" w:rsidRPr="00552E15" w:rsidRDefault="00B45351" w:rsidP="00842E93">
            <w:pPr>
              <w:jc w:val="center"/>
            </w:pPr>
            <w:r w:rsidRPr="00552E15">
              <w:rPr>
                <w:color w:val="000000"/>
              </w:rPr>
              <w:t>1.8</w:t>
            </w:r>
          </w:p>
        </w:tc>
      </w:tr>
      <w:tr w:rsidR="00B45351" w:rsidRPr="00552E15" w14:paraId="38ED52B2" w14:textId="77777777" w:rsidTr="00842E93">
        <w:tc>
          <w:tcPr>
            <w:tcW w:w="3005" w:type="dxa"/>
            <w:vAlign w:val="bottom"/>
          </w:tcPr>
          <w:p w14:paraId="6E8BEB30" w14:textId="77777777" w:rsidR="00B45351" w:rsidRPr="00552E15" w:rsidRDefault="00B45351" w:rsidP="00842E93">
            <w:r w:rsidRPr="00552E15">
              <w:rPr>
                <w:color w:val="000000"/>
              </w:rPr>
              <w:t>Rhodesia</w:t>
            </w:r>
          </w:p>
        </w:tc>
        <w:tc>
          <w:tcPr>
            <w:tcW w:w="3005" w:type="dxa"/>
            <w:vAlign w:val="bottom"/>
          </w:tcPr>
          <w:p w14:paraId="08CA8A59" w14:textId="77777777" w:rsidR="00B45351" w:rsidRPr="00552E15" w:rsidRDefault="00B45351" w:rsidP="00842E93">
            <w:pPr>
              <w:jc w:val="center"/>
            </w:pPr>
            <w:r w:rsidRPr="00552E15">
              <w:rPr>
                <w:color w:val="000000"/>
              </w:rPr>
              <w:t>8</w:t>
            </w:r>
          </w:p>
        </w:tc>
        <w:tc>
          <w:tcPr>
            <w:tcW w:w="3006" w:type="dxa"/>
            <w:vAlign w:val="bottom"/>
          </w:tcPr>
          <w:p w14:paraId="5D2A4030" w14:textId="77777777" w:rsidR="00B45351" w:rsidRPr="00552E15" w:rsidRDefault="00B45351" w:rsidP="00842E93">
            <w:pPr>
              <w:jc w:val="center"/>
            </w:pPr>
            <w:r w:rsidRPr="00552E15">
              <w:rPr>
                <w:color w:val="000000"/>
              </w:rPr>
              <w:t>0.8</w:t>
            </w:r>
          </w:p>
        </w:tc>
      </w:tr>
      <w:tr w:rsidR="00B45351" w:rsidRPr="00552E15" w14:paraId="57EB9E44" w14:textId="77777777" w:rsidTr="00842E93">
        <w:tc>
          <w:tcPr>
            <w:tcW w:w="3005" w:type="dxa"/>
            <w:vAlign w:val="bottom"/>
          </w:tcPr>
          <w:p w14:paraId="038A47AA" w14:textId="77777777" w:rsidR="00B45351" w:rsidRPr="00552E15" w:rsidRDefault="00B45351" w:rsidP="00842E93">
            <w:r w:rsidRPr="00552E15">
              <w:rPr>
                <w:color w:val="000000"/>
              </w:rPr>
              <w:t>Egypt</w:t>
            </w:r>
          </w:p>
        </w:tc>
        <w:tc>
          <w:tcPr>
            <w:tcW w:w="3005" w:type="dxa"/>
            <w:vAlign w:val="bottom"/>
          </w:tcPr>
          <w:p w14:paraId="6AEC05CB" w14:textId="77777777" w:rsidR="00B45351" w:rsidRPr="00552E15" w:rsidRDefault="00B45351" w:rsidP="00842E93">
            <w:pPr>
              <w:jc w:val="center"/>
            </w:pPr>
            <w:r w:rsidRPr="00552E15">
              <w:rPr>
                <w:color w:val="000000"/>
              </w:rPr>
              <w:t>9</w:t>
            </w:r>
          </w:p>
        </w:tc>
        <w:tc>
          <w:tcPr>
            <w:tcW w:w="3006" w:type="dxa"/>
            <w:vAlign w:val="bottom"/>
          </w:tcPr>
          <w:p w14:paraId="7BA7300F" w14:textId="77777777" w:rsidR="00B45351" w:rsidRPr="00552E15" w:rsidRDefault="00B45351" w:rsidP="00842E93">
            <w:pPr>
              <w:jc w:val="center"/>
            </w:pPr>
            <w:r w:rsidRPr="00552E15">
              <w:rPr>
                <w:color w:val="000000"/>
              </w:rPr>
              <w:t>0.9</w:t>
            </w:r>
          </w:p>
        </w:tc>
      </w:tr>
      <w:tr w:rsidR="00B45351" w:rsidRPr="00552E15" w14:paraId="2D5409A3" w14:textId="77777777" w:rsidTr="00842E93">
        <w:tc>
          <w:tcPr>
            <w:tcW w:w="3005" w:type="dxa"/>
            <w:vAlign w:val="bottom"/>
          </w:tcPr>
          <w:p w14:paraId="0523896C" w14:textId="77777777" w:rsidR="00B45351" w:rsidRPr="00552E15" w:rsidRDefault="00B45351" w:rsidP="00842E93">
            <w:r w:rsidRPr="00552E15">
              <w:rPr>
                <w:color w:val="000000"/>
              </w:rPr>
              <w:t>Libya</w:t>
            </w:r>
          </w:p>
        </w:tc>
        <w:tc>
          <w:tcPr>
            <w:tcW w:w="3005" w:type="dxa"/>
            <w:vAlign w:val="bottom"/>
          </w:tcPr>
          <w:p w14:paraId="3F5BAB3B" w14:textId="77777777" w:rsidR="00B45351" w:rsidRPr="00552E15" w:rsidRDefault="00B45351" w:rsidP="00842E93">
            <w:pPr>
              <w:jc w:val="center"/>
            </w:pPr>
            <w:r w:rsidRPr="00552E15">
              <w:rPr>
                <w:color w:val="000000"/>
              </w:rPr>
              <w:t>16</w:t>
            </w:r>
          </w:p>
        </w:tc>
        <w:tc>
          <w:tcPr>
            <w:tcW w:w="3006" w:type="dxa"/>
            <w:vAlign w:val="bottom"/>
          </w:tcPr>
          <w:p w14:paraId="3AC4DCB6" w14:textId="77777777" w:rsidR="00B45351" w:rsidRPr="00552E15" w:rsidRDefault="00B45351" w:rsidP="00842E93">
            <w:pPr>
              <w:jc w:val="center"/>
            </w:pPr>
            <w:r w:rsidRPr="00552E15">
              <w:rPr>
                <w:color w:val="000000"/>
              </w:rPr>
              <w:t>1.5</w:t>
            </w:r>
          </w:p>
        </w:tc>
      </w:tr>
      <w:tr w:rsidR="00B45351" w:rsidRPr="00552E15" w14:paraId="16679048" w14:textId="77777777" w:rsidTr="00842E93">
        <w:tc>
          <w:tcPr>
            <w:tcW w:w="3005" w:type="dxa"/>
            <w:vAlign w:val="bottom"/>
          </w:tcPr>
          <w:p w14:paraId="0C026BB0" w14:textId="77777777" w:rsidR="00B45351" w:rsidRPr="00552E15" w:rsidRDefault="00B45351" w:rsidP="00842E93">
            <w:r w:rsidRPr="00552E15">
              <w:rPr>
                <w:color w:val="000000"/>
              </w:rPr>
              <w:t>Russia</w:t>
            </w:r>
          </w:p>
        </w:tc>
        <w:tc>
          <w:tcPr>
            <w:tcW w:w="3005" w:type="dxa"/>
            <w:vAlign w:val="bottom"/>
          </w:tcPr>
          <w:p w14:paraId="53E9FEA0" w14:textId="77777777" w:rsidR="00B45351" w:rsidRPr="00552E15" w:rsidRDefault="00B45351" w:rsidP="00842E93">
            <w:pPr>
              <w:jc w:val="center"/>
            </w:pPr>
            <w:r w:rsidRPr="00552E15">
              <w:rPr>
                <w:color w:val="000000"/>
              </w:rPr>
              <w:t>2</w:t>
            </w:r>
          </w:p>
        </w:tc>
        <w:tc>
          <w:tcPr>
            <w:tcW w:w="3006" w:type="dxa"/>
            <w:vAlign w:val="bottom"/>
          </w:tcPr>
          <w:p w14:paraId="52DA2919" w14:textId="77777777" w:rsidR="00B45351" w:rsidRPr="00552E15" w:rsidRDefault="00B45351" w:rsidP="00842E93">
            <w:pPr>
              <w:jc w:val="center"/>
            </w:pPr>
            <w:r w:rsidRPr="00552E15">
              <w:rPr>
                <w:color w:val="000000"/>
              </w:rPr>
              <w:t>0.2</w:t>
            </w:r>
          </w:p>
        </w:tc>
      </w:tr>
      <w:tr w:rsidR="00B45351" w:rsidRPr="00552E15" w14:paraId="39EA2DD9" w14:textId="77777777" w:rsidTr="00842E93">
        <w:tc>
          <w:tcPr>
            <w:tcW w:w="3005" w:type="dxa"/>
            <w:vAlign w:val="bottom"/>
          </w:tcPr>
          <w:p w14:paraId="1E16D8B9" w14:textId="77777777" w:rsidR="00B45351" w:rsidRPr="00552E15" w:rsidRDefault="00B45351" w:rsidP="00842E93">
            <w:r w:rsidRPr="00552E15">
              <w:rPr>
                <w:color w:val="000000"/>
              </w:rPr>
              <w:t>Grenada</w:t>
            </w:r>
          </w:p>
        </w:tc>
        <w:tc>
          <w:tcPr>
            <w:tcW w:w="3005" w:type="dxa"/>
            <w:vAlign w:val="bottom"/>
          </w:tcPr>
          <w:p w14:paraId="6D84FE61" w14:textId="77777777" w:rsidR="00B45351" w:rsidRPr="00552E15" w:rsidRDefault="00B45351" w:rsidP="00842E93">
            <w:pPr>
              <w:jc w:val="center"/>
            </w:pPr>
            <w:r w:rsidRPr="00552E15">
              <w:rPr>
                <w:color w:val="000000"/>
              </w:rPr>
              <w:t>6</w:t>
            </w:r>
          </w:p>
        </w:tc>
        <w:tc>
          <w:tcPr>
            <w:tcW w:w="3006" w:type="dxa"/>
            <w:vAlign w:val="bottom"/>
          </w:tcPr>
          <w:p w14:paraId="221FD2E4" w14:textId="77777777" w:rsidR="00B45351" w:rsidRPr="00552E15" w:rsidRDefault="00B45351" w:rsidP="00842E93">
            <w:pPr>
              <w:jc w:val="center"/>
            </w:pPr>
            <w:r w:rsidRPr="00552E15">
              <w:rPr>
                <w:color w:val="000000"/>
              </w:rPr>
              <w:t>0.6</w:t>
            </w:r>
          </w:p>
        </w:tc>
      </w:tr>
      <w:tr w:rsidR="00B45351" w:rsidRPr="00552E15" w14:paraId="09F4D9B0" w14:textId="77777777" w:rsidTr="00842E93">
        <w:tc>
          <w:tcPr>
            <w:tcW w:w="3005" w:type="dxa"/>
            <w:vAlign w:val="bottom"/>
          </w:tcPr>
          <w:p w14:paraId="67EDC070" w14:textId="77777777" w:rsidR="00B45351" w:rsidRPr="00552E15" w:rsidRDefault="00B45351" w:rsidP="00842E93">
            <w:r w:rsidRPr="00552E15">
              <w:rPr>
                <w:color w:val="000000"/>
              </w:rPr>
              <w:t>Ivory Coast</w:t>
            </w:r>
          </w:p>
        </w:tc>
        <w:tc>
          <w:tcPr>
            <w:tcW w:w="3005" w:type="dxa"/>
            <w:vAlign w:val="bottom"/>
          </w:tcPr>
          <w:p w14:paraId="26FC6407" w14:textId="77777777" w:rsidR="00B45351" w:rsidRPr="00552E15" w:rsidRDefault="00B45351" w:rsidP="00842E93">
            <w:pPr>
              <w:jc w:val="center"/>
            </w:pPr>
            <w:r w:rsidRPr="00552E15">
              <w:rPr>
                <w:color w:val="000000"/>
              </w:rPr>
              <w:t>7</w:t>
            </w:r>
          </w:p>
        </w:tc>
        <w:tc>
          <w:tcPr>
            <w:tcW w:w="3006" w:type="dxa"/>
            <w:vAlign w:val="bottom"/>
          </w:tcPr>
          <w:p w14:paraId="3B962421" w14:textId="77777777" w:rsidR="00B45351" w:rsidRPr="00552E15" w:rsidRDefault="00B45351" w:rsidP="00842E93">
            <w:pPr>
              <w:jc w:val="center"/>
            </w:pPr>
            <w:r w:rsidRPr="00552E15">
              <w:rPr>
                <w:color w:val="000000"/>
              </w:rPr>
              <w:t>0.7</w:t>
            </w:r>
          </w:p>
        </w:tc>
      </w:tr>
      <w:tr w:rsidR="00B45351" w:rsidRPr="00552E15" w14:paraId="6C485A84" w14:textId="77777777" w:rsidTr="00842E93">
        <w:tc>
          <w:tcPr>
            <w:tcW w:w="3005" w:type="dxa"/>
            <w:vAlign w:val="bottom"/>
          </w:tcPr>
          <w:p w14:paraId="114FE44C" w14:textId="77777777" w:rsidR="00B45351" w:rsidRPr="00552E15" w:rsidRDefault="00B45351" w:rsidP="00842E93">
            <w:r w:rsidRPr="00552E15">
              <w:rPr>
                <w:color w:val="000000"/>
              </w:rPr>
              <w:t>Guyana</w:t>
            </w:r>
          </w:p>
        </w:tc>
        <w:tc>
          <w:tcPr>
            <w:tcW w:w="3005" w:type="dxa"/>
            <w:vAlign w:val="bottom"/>
          </w:tcPr>
          <w:p w14:paraId="40F5E34B" w14:textId="77777777" w:rsidR="00B45351" w:rsidRPr="00552E15" w:rsidRDefault="00B45351" w:rsidP="00842E93">
            <w:pPr>
              <w:jc w:val="center"/>
            </w:pPr>
            <w:r w:rsidRPr="00552E15">
              <w:rPr>
                <w:color w:val="000000"/>
              </w:rPr>
              <w:t>1</w:t>
            </w:r>
          </w:p>
        </w:tc>
        <w:tc>
          <w:tcPr>
            <w:tcW w:w="3006" w:type="dxa"/>
            <w:vAlign w:val="bottom"/>
          </w:tcPr>
          <w:p w14:paraId="341D8A1D" w14:textId="77777777" w:rsidR="00B45351" w:rsidRPr="00552E15" w:rsidRDefault="00B45351" w:rsidP="00842E93">
            <w:pPr>
              <w:jc w:val="center"/>
            </w:pPr>
            <w:r w:rsidRPr="00552E15">
              <w:rPr>
                <w:color w:val="000000"/>
              </w:rPr>
              <w:t>0.1</w:t>
            </w:r>
          </w:p>
        </w:tc>
      </w:tr>
      <w:tr w:rsidR="00B45351" w:rsidRPr="00552E15" w14:paraId="7CD8CD54" w14:textId="77777777" w:rsidTr="00842E93">
        <w:tc>
          <w:tcPr>
            <w:tcW w:w="3005" w:type="dxa"/>
            <w:vAlign w:val="bottom"/>
          </w:tcPr>
          <w:p w14:paraId="2EC56DF2" w14:textId="77777777" w:rsidR="00B45351" w:rsidRPr="00552E15" w:rsidRDefault="00B45351" w:rsidP="00842E93">
            <w:r w:rsidRPr="00552E15">
              <w:rPr>
                <w:color w:val="000000"/>
              </w:rPr>
              <w:t>Oman</w:t>
            </w:r>
          </w:p>
        </w:tc>
        <w:tc>
          <w:tcPr>
            <w:tcW w:w="3005" w:type="dxa"/>
            <w:vAlign w:val="bottom"/>
          </w:tcPr>
          <w:p w14:paraId="67179748" w14:textId="77777777" w:rsidR="00B45351" w:rsidRPr="00552E15" w:rsidRDefault="00B45351" w:rsidP="00842E93">
            <w:pPr>
              <w:jc w:val="center"/>
            </w:pPr>
            <w:r w:rsidRPr="00552E15">
              <w:rPr>
                <w:color w:val="000000"/>
              </w:rPr>
              <w:t>37</w:t>
            </w:r>
          </w:p>
        </w:tc>
        <w:tc>
          <w:tcPr>
            <w:tcW w:w="3006" w:type="dxa"/>
            <w:vAlign w:val="bottom"/>
          </w:tcPr>
          <w:p w14:paraId="0F13921B" w14:textId="77777777" w:rsidR="00B45351" w:rsidRPr="00552E15" w:rsidRDefault="00B45351" w:rsidP="00842E93">
            <w:pPr>
              <w:jc w:val="center"/>
            </w:pPr>
            <w:r w:rsidRPr="00552E15">
              <w:rPr>
                <w:color w:val="000000"/>
              </w:rPr>
              <w:t>3.6</w:t>
            </w:r>
          </w:p>
        </w:tc>
      </w:tr>
      <w:tr w:rsidR="00B45351" w:rsidRPr="00552E15" w14:paraId="51DA7038" w14:textId="77777777" w:rsidTr="00842E93">
        <w:tc>
          <w:tcPr>
            <w:tcW w:w="3005" w:type="dxa"/>
            <w:vAlign w:val="bottom"/>
          </w:tcPr>
          <w:p w14:paraId="244A0036" w14:textId="77777777" w:rsidR="00B45351" w:rsidRPr="00552E15" w:rsidRDefault="00B45351" w:rsidP="00842E93">
            <w:r w:rsidRPr="00552E15">
              <w:rPr>
                <w:color w:val="000000"/>
              </w:rPr>
              <w:t>Yemen</w:t>
            </w:r>
          </w:p>
        </w:tc>
        <w:tc>
          <w:tcPr>
            <w:tcW w:w="3005" w:type="dxa"/>
            <w:vAlign w:val="bottom"/>
          </w:tcPr>
          <w:p w14:paraId="45F6D249" w14:textId="77777777" w:rsidR="00B45351" w:rsidRPr="00552E15" w:rsidRDefault="00B45351" w:rsidP="00842E93">
            <w:pPr>
              <w:jc w:val="center"/>
            </w:pPr>
            <w:r w:rsidRPr="00552E15">
              <w:rPr>
                <w:color w:val="000000"/>
              </w:rPr>
              <w:t>11</w:t>
            </w:r>
          </w:p>
        </w:tc>
        <w:tc>
          <w:tcPr>
            <w:tcW w:w="3006" w:type="dxa"/>
            <w:vAlign w:val="bottom"/>
          </w:tcPr>
          <w:p w14:paraId="28EE1CFA" w14:textId="77777777" w:rsidR="00B45351" w:rsidRPr="00552E15" w:rsidRDefault="00B45351" w:rsidP="00842E93">
            <w:pPr>
              <w:jc w:val="center"/>
            </w:pPr>
            <w:r w:rsidRPr="00552E15">
              <w:rPr>
                <w:color w:val="000000"/>
              </w:rPr>
              <w:t>1.1</w:t>
            </w:r>
          </w:p>
        </w:tc>
      </w:tr>
      <w:tr w:rsidR="00B45351" w:rsidRPr="00552E15" w14:paraId="51306C6B" w14:textId="77777777" w:rsidTr="00842E93">
        <w:tc>
          <w:tcPr>
            <w:tcW w:w="3005" w:type="dxa"/>
            <w:vAlign w:val="bottom"/>
          </w:tcPr>
          <w:p w14:paraId="44100689" w14:textId="77777777" w:rsidR="00B45351" w:rsidRPr="00552E15" w:rsidRDefault="00B45351" w:rsidP="00842E93">
            <w:r w:rsidRPr="00552E15">
              <w:rPr>
                <w:color w:val="000000"/>
              </w:rPr>
              <w:t>Vietnam</w:t>
            </w:r>
          </w:p>
        </w:tc>
        <w:tc>
          <w:tcPr>
            <w:tcW w:w="3005" w:type="dxa"/>
            <w:vAlign w:val="bottom"/>
          </w:tcPr>
          <w:p w14:paraId="35D788B7" w14:textId="77777777" w:rsidR="00B45351" w:rsidRPr="00552E15" w:rsidRDefault="00B45351" w:rsidP="00842E93">
            <w:pPr>
              <w:jc w:val="center"/>
            </w:pPr>
            <w:r w:rsidRPr="00552E15">
              <w:rPr>
                <w:color w:val="000000"/>
              </w:rPr>
              <w:t>5</w:t>
            </w:r>
          </w:p>
        </w:tc>
        <w:tc>
          <w:tcPr>
            <w:tcW w:w="3006" w:type="dxa"/>
            <w:vAlign w:val="bottom"/>
          </w:tcPr>
          <w:p w14:paraId="28A4B13E" w14:textId="77777777" w:rsidR="00B45351" w:rsidRPr="00552E15" w:rsidRDefault="00B45351" w:rsidP="00842E93">
            <w:pPr>
              <w:jc w:val="center"/>
            </w:pPr>
            <w:r w:rsidRPr="00552E15">
              <w:rPr>
                <w:color w:val="000000"/>
              </w:rPr>
              <w:t>0.5</w:t>
            </w:r>
          </w:p>
        </w:tc>
      </w:tr>
      <w:tr w:rsidR="00B45351" w:rsidRPr="00552E15" w14:paraId="4325C045" w14:textId="77777777" w:rsidTr="00842E93">
        <w:tc>
          <w:tcPr>
            <w:tcW w:w="3005" w:type="dxa"/>
            <w:vAlign w:val="bottom"/>
          </w:tcPr>
          <w:p w14:paraId="49BC16FE" w14:textId="77777777" w:rsidR="00B45351" w:rsidRPr="00552E15" w:rsidRDefault="00B45351" w:rsidP="00842E93">
            <w:r w:rsidRPr="00552E15">
              <w:rPr>
                <w:color w:val="000000"/>
              </w:rPr>
              <w:t>East Timor</w:t>
            </w:r>
          </w:p>
        </w:tc>
        <w:tc>
          <w:tcPr>
            <w:tcW w:w="3005" w:type="dxa"/>
            <w:vAlign w:val="bottom"/>
          </w:tcPr>
          <w:p w14:paraId="4FCAEB1C" w14:textId="77777777" w:rsidR="00B45351" w:rsidRPr="00552E15" w:rsidRDefault="00B45351" w:rsidP="00842E93">
            <w:pPr>
              <w:jc w:val="center"/>
            </w:pPr>
            <w:r w:rsidRPr="00552E15">
              <w:rPr>
                <w:color w:val="000000"/>
              </w:rPr>
              <w:t>4</w:t>
            </w:r>
          </w:p>
        </w:tc>
        <w:tc>
          <w:tcPr>
            <w:tcW w:w="3006" w:type="dxa"/>
            <w:vAlign w:val="bottom"/>
          </w:tcPr>
          <w:p w14:paraId="36AA6D09" w14:textId="77777777" w:rsidR="00B45351" w:rsidRPr="00552E15" w:rsidRDefault="00B45351" w:rsidP="00842E93">
            <w:pPr>
              <w:jc w:val="center"/>
            </w:pPr>
            <w:r w:rsidRPr="00552E15">
              <w:rPr>
                <w:color w:val="000000"/>
              </w:rPr>
              <w:t>0.4</w:t>
            </w:r>
          </w:p>
        </w:tc>
      </w:tr>
      <w:tr w:rsidR="00B45351" w:rsidRPr="00552E15" w14:paraId="418A4942" w14:textId="77777777" w:rsidTr="00842E93">
        <w:tc>
          <w:tcPr>
            <w:tcW w:w="3005" w:type="dxa"/>
            <w:vAlign w:val="bottom"/>
          </w:tcPr>
          <w:p w14:paraId="1A4DF448" w14:textId="77777777" w:rsidR="00B45351" w:rsidRPr="00552E15" w:rsidRDefault="00B45351" w:rsidP="00842E93">
            <w:r w:rsidRPr="00552E15">
              <w:rPr>
                <w:color w:val="000000"/>
              </w:rPr>
              <w:t>Other (self-derived)</w:t>
            </w:r>
          </w:p>
        </w:tc>
        <w:tc>
          <w:tcPr>
            <w:tcW w:w="3005" w:type="dxa"/>
            <w:vAlign w:val="bottom"/>
          </w:tcPr>
          <w:p w14:paraId="3BA12022" w14:textId="77777777" w:rsidR="00B45351" w:rsidRPr="00552E15" w:rsidRDefault="00B45351" w:rsidP="00842E93">
            <w:pPr>
              <w:jc w:val="center"/>
            </w:pPr>
            <w:r w:rsidRPr="00552E15">
              <w:rPr>
                <w:color w:val="000000"/>
              </w:rPr>
              <w:t>99</w:t>
            </w:r>
          </w:p>
        </w:tc>
        <w:tc>
          <w:tcPr>
            <w:tcW w:w="3006" w:type="dxa"/>
            <w:vAlign w:val="bottom"/>
          </w:tcPr>
          <w:p w14:paraId="2F5A981C" w14:textId="77777777" w:rsidR="00B45351" w:rsidRPr="00552E15" w:rsidRDefault="00B45351" w:rsidP="00842E93">
            <w:pPr>
              <w:jc w:val="center"/>
            </w:pPr>
            <w:r w:rsidRPr="00552E15">
              <w:rPr>
                <w:color w:val="000000"/>
              </w:rPr>
              <w:t>9.5</w:t>
            </w:r>
          </w:p>
        </w:tc>
      </w:tr>
      <w:tr w:rsidR="00B45351" w:rsidRPr="00552E15" w14:paraId="5D70CDD9" w14:textId="77777777" w:rsidTr="00842E93">
        <w:tc>
          <w:tcPr>
            <w:tcW w:w="3005" w:type="dxa"/>
            <w:vAlign w:val="bottom"/>
          </w:tcPr>
          <w:p w14:paraId="71292FB5" w14:textId="77777777" w:rsidR="00B45351" w:rsidRPr="00552E15" w:rsidRDefault="00B45351" w:rsidP="00842E93">
            <w:r w:rsidRPr="00552E15">
              <w:t>None</w:t>
            </w:r>
          </w:p>
        </w:tc>
        <w:tc>
          <w:tcPr>
            <w:tcW w:w="3005" w:type="dxa"/>
            <w:vAlign w:val="bottom"/>
          </w:tcPr>
          <w:p w14:paraId="54181E93" w14:textId="77777777" w:rsidR="00B45351" w:rsidRPr="00552E15" w:rsidRDefault="00B45351" w:rsidP="00842E93">
            <w:pPr>
              <w:jc w:val="center"/>
            </w:pPr>
            <w:r w:rsidRPr="00552E15">
              <w:rPr>
                <w:color w:val="000000"/>
              </w:rPr>
              <w:t>164</w:t>
            </w:r>
          </w:p>
        </w:tc>
        <w:tc>
          <w:tcPr>
            <w:tcW w:w="3006" w:type="dxa"/>
            <w:vAlign w:val="bottom"/>
          </w:tcPr>
          <w:p w14:paraId="3C59D5EE" w14:textId="77777777" w:rsidR="00B45351" w:rsidRPr="00552E15" w:rsidRDefault="00B45351" w:rsidP="00842E93">
            <w:pPr>
              <w:jc w:val="center"/>
            </w:pPr>
            <w:r w:rsidRPr="00552E15">
              <w:rPr>
                <w:color w:val="000000"/>
              </w:rPr>
              <w:t>15.8</w:t>
            </w:r>
          </w:p>
        </w:tc>
      </w:tr>
    </w:tbl>
    <w:p w14:paraId="4B95D520" w14:textId="77777777" w:rsidR="00B45351" w:rsidRPr="00552E15" w:rsidRDefault="00B45351" w:rsidP="00335140">
      <w:pPr>
        <w:jc w:val="center"/>
      </w:pPr>
    </w:p>
    <w:p w14:paraId="4E1DF78E" w14:textId="77777777" w:rsidR="00B45351" w:rsidRDefault="00B45351"/>
    <w:p w14:paraId="6EAECEA3" w14:textId="77777777" w:rsidR="00B45351" w:rsidRDefault="00B45351"/>
    <w:p w14:paraId="433A2B11" w14:textId="77777777" w:rsidR="00B45351" w:rsidRDefault="00B45351"/>
    <w:p w14:paraId="2992FBBA" w14:textId="77777777" w:rsidR="00B45351" w:rsidRDefault="00B45351"/>
    <w:p w14:paraId="06CFCC2A" w14:textId="77777777" w:rsidR="00B45351" w:rsidRDefault="00B45351"/>
    <w:p w14:paraId="6CD82692" w14:textId="77777777" w:rsidR="00B45351" w:rsidRPr="00F1551F" w:rsidRDefault="00B45351" w:rsidP="00F1551F">
      <w:pPr>
        <w:jc w:val="center"/>
        <w:rPr>
          <w:b/>
          <w:bCs/>
        </w:rPr>
      </w:pPr>
      <w:r w:rsidRPr="00F1551F">
        <w:rPr>
          <w:b/>
          <w:bCs/>
        </w:rPr>
        <w:t>Gambling Activities</w:t>
      </w:r>
    </w:p>
    <w:p w14:paraId="3B4C9B89" w14:textId="77777777" w:rsidR="00B45351" w:rsidRPr="006E12A8" w:rsidRDefault="00B45351" w:rsidP="00F1551F">
      <w:r w:rsidRPr="006E12A8">
        <w:t xml:space="preserve">Have you spent any money on any of the following activities in the last </w:t>
      </w:r>
      <w:r w:rsidRPr="006E12A8">
        <w:rPr>
          <w:b/>
        </w:rPr>
        <w:t>12 months?</w:t>
      </w:r>
      <w:r w:rsidRPr="006E12A8">
        <w:t> (Please tick </w:t>
      </w:r>
      <w:r w:rsidRPr="006E12A8">
        <w:rPr>
          <w:b/>
        </w:rPr>
        <w:t>one </w:t>
      </w:r>
      <w:r w:rsidRPr="006E12A8">
        <w:t>box for each activity)</w:t>
      </w:r>
    </w:p>
    <w:p w14:paraId="04F7B136" w14:textId="77777777" w:rsidR="00B45351" w:rsidRPr="006E12A8" w:rsidRDefault="00B45351" w:rsidP="00F1551F"/>
    <w:tbl>
      <w:tblPr>
        <w:tblStyle w:val="TableGridLight"/>
        <w:tblW w:w="0" w:type="auto"/>
        <w:tblLook w:val="04A0" w:firstRow="1" w:lastRow="0" w:firstColumn="1" w:lastColumn="0" w:noHBand="0" w:noVBand="1"/>
      </w:tblPr>
      <w:tblGrid>
        <w:gridCol w:w="5665"/>
        <w:gridCol w:w="1701"/>
        <w:gridCol w:w="1650"/>
      </w:tblGrid>
      <w:tr w:rsidR="00B45351" w:rsidRPr="006E12A8" w14:paraId="0D20FD03" w14:textId="77777777" w:rsidTr="00842E93">
        <w:tc>
          <w:tcPr>
            <w:tcW w:w="5665" w:type="dxa"/>
          </w:tcPr>
          <w:p w14:paraId="2D562150" w14:textId="77777777" w:rsidR="00B45351" w:rsidRPr="006E12A8" w:rsidRDefault="00B45351" w:rsidP="00842E93"/>
        </w:tc>
        <w:tc>
          <w:tcPr>
            <w:tcW w:w="1701" w:type="dxa"/>
          </w:tcPr>
          <w:p w14:paraId="5C48B27B" w14:textId="77777777" w:rsidR="00B45351" w:rsidRPr="006E12A8" w:rsidRDefault="00B45351" w:rsidP="00842E93">
            <w:r w:rsidRPr="006E12A8">
              <w:t>YES</w:t>
            </w:r>
          </w:p>
        </w:tc>
        <w:tc>
          <w:tcPr>
            <w:tcW w:w="1650" w:type="dxa"/>
          </w:tcPr>
          <w:p w14:paraId="6BF41044" w14:textId="77777777" w:rsidR="00B45351" w:rsidRPr="006E12A8" w:rsidRDefault="00B45351" w:rsidP="00842E93">
            <w:r w:rsidRPr="006E12A8">
              <w:t>NO</w:t>
            </w:r>
          </w:p>
        </w:tc>
      </w:tr>
      <w:tr w:rsidR="00B45351" w:rsidRPr="006E12A8" w14:paraId="1B43F51F" w14:textId="77777777" w:rsidTr="00842E93">
        <w:tc>
          <w:tcPr>
            <w:tcW w:w="5665" w:type="dxa"/>
          </w:tcPr>
          <w:p w14:paraId="45971CC1" w14:textId="77777777" w:rsidR="00B45351" w:rsidRPr="006E12A8" w:rsidRDefault="00B45351" w:rsidP="00842E93">
            <w:r w:rsidRPr="006E12A8">
              <w:t xml:space="preserve">Tickets for the National Lottery Draw (including Thunderball and Euromillions and tickets bought online) </w:t>
            </w:r>
          </w:p>
        </w:tc>
        <w:tc>
          <w:tcPr>
            <w:tcW w:w="1701" w:type="dxa"/>
          </w:tcPr>
          <w:p w14:paraId="5136E896" w14:textId="77777777" w:rsidR="00B45351" w:rsidRPr="006E12A8" w:rsidRDefault="00B45351" w:rsidP="00842E93"/>
        </w:tc>
        <w:tc>
          <w:tcPr>
            <w:tcW w:w="1650" w:type="dxa"/>
          </w:tcPr>
          <w:p w14:paraId="42859F7A" w14:textId="77777777" w:rsidR="00B45351" w:rsidRPr="006E12A8" w:rsidRDefault="00B45351" w:rsidP="00842E93"/>
        </w:tc>
      </w:tr>
      <w:tr w:rsidR="00B45351" w:rsidRPr="006E12A8" w14:paraId="496915C4" w14:textId="77777777" w:rsidTr="00842E93">
        <w:tc>
          <w:tcPr>
            <w:tcW w:w="5665" w:type="dxa"/>
          </w:tcPr>
          <w:p w14:paraId="191F6C06" w14:textId="77777777" w:rsidR="00B45351" w:rsidRPr="006E12A8" w:rsidRDefault="00B45351" w:rsidP="00842E93">
            <w:r w:rsidRPr="006E12A8">
              <w:t xml:space="preserve">Scratchcards (but not online or newspaper or magazine scratchcards) </w:t>
            </w:r>
          </w:p>
        </w:tc>
        <w:tc>
          <w:tcPr>
            <w:tcW w:w="1701" w:type="dxa"/>
          </w:tcPr>
          <w:p w14:paraId="657FD9C6" w14:textId="77777777" w:rsidR="00B45351" w:rsidRPr="006E12A8" w:rsidRDefault="00B45351" w:rsidP="00842E93"/>
        </w:tc>
        <w:tc>
          <w:tcPr>
            <w:tcW w:w="1650" w:type="dxa"/>
          </w:tcPr>
          <w:p w14:paraId="74D27896" w14:textId="77777777" w:rsidR="00B45351" w:rsidRPr="006E12A8" w:rsidRDefault="00B45351" w:rsidP="00842E93"/>
        </w:tc>
      </w:tr>
      <w:tr w:rsidR="00B45351" w:rsidRPr="006E12A8" w14:paraId="44A4AE26" w14:textId="77777777" w:rsidTr="00842E93">
        <w:tc>
          <w:tcPr>
            <w:tcW w:w="5665" w:type="dxa"/>
          </w:tcPr>
          <w:p w14:paraId="5F74E308" w14:textId="77777777" w:rsidR="00B45351" w:rsidRPr="006E12A8" w:rsidRDefault="00B45351" w:rsidP="00842E93">
            <w:r w:rsidRPr="006E12A8">
              <w:t xml:space="preserve">Tickets for any other lottery (including charity lotteries) </w:t>
            </w:r>
          </w:p>
        </w:tc>
        <w:tc>
          <w:tcPr>
            <w:tcW w:w="1701" w:type="dxa"/>
          </w:tcPr>
          <w:p w14:paraId="22369A27" w14:textId="77777777" w:rsidR="00B45351" w:rsidRPr="006E12A8" w:rsidRDefault="00B45351" w:rsidP="00842E93"/>
        </w:tc>
        <w:tc>
          <w:tcPr>
            <w:tcW w:w="1650" w:type="dxa"/>
          </w:tcPr>
          <w:p w14:paraId="23C48164" w14:textId="77777777" w:rsidR="00B45351" w:rsidRPr="006E12A8" w:rsidRDefault="00B45351" w:rsidP="00842E93"/>
        </w:tc>
      </w:tr>
      <w:tr w:rsidR="00B45351" w:rsidRPr="006E12A8" w14:paraId="35AE43E6" w14:textId="77777777" w:rsidTr="00842E93">
        <w:tc>
          <w:tcPr>
            <w:tcW w:w="5665" w:type="dxa"/>
          </w:tcPr>
          <w:p w14:paraId="7CB9B2F4" w14:textId="77777777" w:rsidR="00B45351" w:rsidRPr="006E12A8" w:rsidRDefault="00B45351" w:rsidP="00842E93">
            <w:r w:rsidRPr="006E12A8">
              <w:t xml:space="preserve">Football pools </w:t>
            </w:r>
          </w:p>
        </w:tc>
        <w:tc>
          <w:tcPr>
            <w:tcW w:w="1701" w:type="dxa"/>
          </w:tcPr>
          <w:p w14:paraId="7B1341F5" w14:textId="77777777" w:rsidR="00B45351" w:rsidRPr="006E12A8" w:rsidRDefault="00B45351" w:rsidP="00842E93"/>
        </w:tc>
        <w:tc>
          <w:tcPr>
            <w:tcW w:w="1650" w:type="dxa"/>
          </w:tcPr>
          <w:p w14:paraId="2CD65602" w14:textId="77777777" w:rsidR="00B45351" w:rsidRPr="006E12A8" w:rsidRDefault="00B45351" w:rsidP="00842E93"/>
        </w:tc>
      </w:tr>
      <w:tr w:rsidR="00B45351" w:rsidRPr="006E12A8" w14:paraId="46DED311" w14:textId="77777777" w:rsidTr="00842E93">
        <w:tc>
          <w:tcPr>
            <w:tcW w:w="5665" w:type="dxa"/>
          </w:tcPr>
          <w:p w14:paraId="796F98BB" w14:textId="77777777" w:rsidR="00B45351" w:rsidRPr="006E12A8" w:rsidRDefault="00B45351" w:rsidP="00842E93">
            <w:r w:rsidRPr="006E12A8">
              <w:t xml:space="preserve">Bingo cards or tickets (including playing at a bingo hall but not online) </w:t>
            </w:r>
          </w:p>
        </w:tc>
        <w:tc>
          <w:tcPr>
            <w:tcW w:w="1701" w:type="dxa"/>
          </w:tcPr>
          <w:p w14:paraId="49433764" w14:textId="77777777" w:rsidR="00B45351" w:rsidRPr="006E12A8" w:rsidRDefault="00B45351" w:rsidP="00842E93"/>
        </w:tc>
        <w:tc>
          <w:tcPr>
            <w:tcW w:w="1650" w:type="dxa"/>
          </w:tcPr>
          <w:p w14:paraId="32B0E21A" w14:textId="77777777" w:rsidR="00B45351" w:rsidRPr="006E12A8" w:rsidRDefault="00B45351" w:rsidP="00842E93"/>
        </w:tc>
      </w:tr>
      <w:tr w:rsidR="00B45351" w:rsidRPr="006E12A8" w14:paraId="252FFE6A" w14:textId="77777777" w:rsidTr="00842E93">
        <w:tc>
          <w:tcPr>
            <w:tcW w:w="5665" w:type="dxa"/>
          </w:tcPr>
          <w:p w14:paraId="6D5401EC" w14:textId="77777777" w:rsidR="00B45351" w:rsidRPr="006E12A8" w:rsidRDefault="00B45351" w:rsidP="00842E93">
            <w:r w:rsidRPr="006E12A8">
              <w:t xml:space="preserve">Fruit or slot machines </w:t>
            </w:r>
          </w:p>
        </w:tc>
        <w:tc>
          <w:tcPr>
            <w:tcW w:w="1701" w:type="dxa"/>
          </w:tcPr>
          <w:p w14:paraId="4ADAB744" w14:textId="77777777" w:rsidR="00B45351" w:rsidRPr="006E12A8" w:rsidRDefault="00B45351" w:rsidP="00842E93"/>
        </w:tc>
        <w:tc>
          <w:tcPr>
            <w:tcW w:w="1650" w:type="dxa"/>
          </w:tcPr>
          <w:p w14:paraId="43B58159" w14:textId="77777777" w:rsidR="00B45351" w:rsidRPr="006E12A8" w:rsidRDefault="00B45351" w:rsidP="00842E93"/>
        </w:tc>
      </w:tr>
      <w:tr w:rsidR="00B45351" w:rsidRPr="006E12A8" w14:paraId="139607EE" w14:textId="77777777" w:rsidTr="00842E93">
        <w:tc>
          <w:tcPr>
            <w:tcW w:w="5665" w:type="dxa"/>
          </w:tcPr>
          <w:p w14:paraId="3D3FDC22" w14:textId="77777777" w:rsidR="00B45351" w:rsidRPr="006E12A8" w:rsidRDefault="00B45351" w:rsidP="00842E93">
            <w:r w:rsidRPr="006E12A8">
              <w:t xml:space="preserve">Virtual gambling machines in a bookmakers (to bet on virtual roulette, poker, blackjack or other games) </w:t>
            </w:r>
          </w:p>
        </w:tc>
        <w:tc>
          <w:tcPr>
            <w:tcW w:w="1701" w:type="dxa"/>
          </w:tcPr>
          <w:p w14:paraId="55ECE3F6" w14:textId="77777777" w:rsidR="00B45351" w:rsidRPr="006E12A8" w:rsidRDefault="00B45351" w:rsidP="00842E93"/>
        </w:tc>
        <w:tc>
          <w:tcPr>
            <w:tcW w:w="1650" w:type="dxa"/>
          </w:tcPr>
          <w:p w14:paraId="7BF22583" w14:textId="77777777" w:rsidR="00B45351" w:rsidRPr="006E12A8" w:rsidRDefault="00B45351" w:rsidP="00842E93"/>
        </w:tc>
      </w:tr>
      <w:tr w:rsidR="00B45351" w:rsidRPr="006E12A8" w14:paraId="0BCDB713" w14:textId="77777777" w:rsidTr="00842E93">
        <w:tc>
          <w:tcPr>
            <w:tcW w:w="5665" w:type="dxa"/>
          </w:tcPr>
          <w:p w14:paraId="7DBAFA51" w14:textId="77777777" w:rsidR="00B45351" w:rsidRPr="006E12A8" w:rsidRDefault="00B45351" w:rsidP="00842E93">
            <w:r w:rsidRPr="006E12A8">
              <w:t xml:space="preserve">Table games in a casino (roulette, cards or dice) </w:t>
            </w:r>
          </w:p>
        </w:tc>
        <w:tc>
          <w:tcPr>
            <w:tcW w:w="1701" w:type="dxa"/>
          </w:tcPr>
          <w:p w14:paraId="0921F2DC" w14:textId="77777777" w:rsidR="00B45351" w:rsidRPr="006E12A8" w:rsidRDefault="00B45351" w:rsidP="00842E93"/>
        </w:tc>
        <w:tc>
          <w:tcPr>
            <w:tcW w:w="1650" w:type="dxa"/>
          </w:tcPr>
          <w:p w14:paraId="766E9818" w14:textId="77777777" w:rsidR="00B45351" w:rsidRPr="006E12A8" w:rsidRDefault="00B45351" w:rsidP="00842E93"/>
        </w:tc>
      </w:tr>
      <w:tr w:rsidR="00B45351" w:rsidRPr="006E12A8" w14:paraId="5DC6F549" w14:textId="77777777" w:rsidTr="00842E93">
        <w:tc>
          <w:tcPr>
            <w:tcW w:w="5665" w:type="dxa"/>
          </w:tcPr>
          <w:p w14:paraId="6DF50C2C" w14:textId="77777777" w:rsidR="00B45351" w:rsidRPr="006E12A8" w:rsidRDefault="00B45351" w:rsidP="00842E93">
            <w:r w:rsidRPr="006E12A8">
              <w:t xml:space="preserve">Poker in pub tournament/league or at a club </w:t>
            </w:r>
          </w:p>
        </w:tc>
        <w:tc>
          <w:tcPr>
            <w:tcW w:w="1701" w:type="dxa"/>
          </w:tcPr>
          <w:p w14:paraId="6CE0DDA2" w14:textId="77777777" w:rsidR="00B45351" w:rsidRPr="006E12A8" w:rsidRDefault="00B45351" w:rsidP="00842E93"/>
        </w:tc>
        <w:tc>
          <w:tcPr>
            <w:tcW w:w="1650" w:type="dxa"/>
          </w:tcPr>
          <w:p w14:paraId="09A36E31" w14:textId="77777777" w:rsidR="00B45351" w:rsidRPr="006E12A8" w:rsidRDefault="00B45351" w:rsidP="00842E93"/>
        </w:tc>
      </w:tr>
      <w:tr w:rsidR="00B45351" w:rsidRPr="006E12A8" w14:paraId="11294FA0" w14:textId="77777777" w:rsidTr="00842E93">
        <w:tc>
          <w:tcPr>
            <w:tcW w:w="5665" w:type="dxa"/>
          </w:tcPr>
          <w:p w14:paraId="34BCE728" w14:textId="77777777" w:rsidR="00B45351" w:rsidRPr="006E12A8" w:rsidRDefault="00B45351" w:rsidP="00842E93">
            <w:r w:rsidRPr="006E12A8">
              <w:t xml:space="preserve">Online gambling for money (poker, bingo, instant win/scratchcard games, slot machine style games or casino games) </w:t>
            </w:r>
          </w:p>
        </w:tc>
        <w:tc>
          <w:tcPr>
            <w:tcW w:w="1701" w:type="dxa"/>
          </w:tcPr>
          <w:p w14:paraId="4DFCCA1D" w14:textId="77777777" w:rsidR="00B45351" w:rsidRPr="006E12A8" w:rsidRDefault="00B45351" w:rsidP="00842E93"/>
        </w:tc>
        <w:tc>
          <w:tcPr>
            <w:tcW w:w="1650" w:type="dxa"/>
          </w:tcPr>
          <w:p w14:paraId="75E2998B" w14:textId="77777777" w:rsidR="00B45351" w:rsidRPr="006E12A8" w:rsidRDefault="00B45351" w:rsidP="00842E93"/>
        </w:tc>
      </w:tr>
      <w:tr w:rsidR="00B45351" w:rsidRPr="006E12A8" w14:paraId="2537EA5F" w14:textId="77777777" w:rsidTr="00842E93">
        <w:tc>
          <w:tcPr>
            <w:tcW w:w="5665" w:type="dxa"/>
          </w:tcPr>
          <w:p w14:paraId="78E076C7" w14:textId="77777777" w:rsidR="00B45351" w:rsidRPr="006E12A8" w:rsidRDefault="00B45351" w:rsidP="00842E93">
            <w:r w:rsidRPr="006E12A8">
              <w:t xml:space="preserve">Online betting with a bookmaker on any event or sport </w:t>
            </w:r>
          </w:p>
        </w:tc>
        <w:tc>
          <w:tcPr>
            <w:tcW w:w="1701" w:type="dxa"/>
          </w:tcPr>
          <w:p w14:paraId="56399F56" w14:textId="77777777" w:rsidR="00B45351" w:rsidRPr="006E12A8" w:rsidRDefault="00B45351" w:rsidP="00842E93"/>
        </w:tc>
        <w:tc>
          <w:tcPr>
            <w:tcW w:w="1650" w:type="dxa"/>
          </w:tcPr>
          <w:p w14:paraId="7BA28792" w14:textId="77777777" w:rsidR="00B45351" w:rsidRPr="006E12A8" w:rsidRDefault="00B45351" w:rsidP="00842E93"/>
        </w:tc>
      </w:tr>
      <w:tr w:rsidR="00B45351" w:rsidRPr="006E12A8" w14:paraId="5AB2773C" w14:textId="77777777" w:rsidTr="00842E93">
        <w:tc>
          <w:tcPr>
            <w:tcW w:w="5665" w:type="dxa"/>
          </w:tcPr>
          <w:p w14:paraId="6D26FB93" w14:textId="77777777" w:rsidR="00B45351" w:rsidRPr="006E12A8" w:rsidRDefault="00B45351" w:rsidP="00842E93">
            <w:r w:rsidRPr="006E12A8">
              <w:t xml:space="preserve">Betting Exchange (this is where you lay or back bets against other people using a betting exchange. There is no bookmaker to determine the odds. This is sometimes called 'peer to peer' betting) </w:t>
            </w:r>
          </w:p>
        </w:tc>
        <w:tc>
          <w:tcPr>
            <w:tcW w:w="1701" w:type="dxa"/>
          </w:tcPr>
          <w:p w14:paraId="0B8E3808" w14:textId="77777777" w:rsidR="00B45351" w:rsidRPr="006E12A8" w:rsidRDefault="00B45351" w:rsidP="00842E93"/>
        </w:tc>
        <w:tc>
          <w:tcPr>
            <w:tcW w:w="1650" w:type="dxa"/>
          </w:tcPr>
          <w:p w14:paraId="6A0847AC" w14:textId="77777777" w:rsidR="00B45351" w:rsidRPr="006E12A8" w:rsidRDefault="00B45351" w:rsidP="00842E93"/>
        </w:tc>
      </w:tr>
      <w:tr w:rsidR="00B45351" w:rsidRPr="006E12A8" w14:paraId="6EF21634" w14:textId="77777777" w:rsidTr="00842E93">
        <w:tc>
          <w:tcPr>
            <w:tcW w:w="5665" w:type="dxa"/>
          </w:tcPr>
          <w:p w14:paraId="0B952C44" w14:textId="77777777" w:rsidR="00B45351" w:rsidRPr="006E12A8" w:rsidRDefault="00B45351" w:rsidP="00842E93">
            <w:r w:rsidRPr="006E12A8">
              <w:t xml:space="preserve">Betting on horse races (in a bookmakers, by phone or at the track) </w:t>
            </w:r>
          </w:p>
        </w:tc>
        <w:tc>
          <w:tcPr>
            <w:tcW w:w="1701" w:type="dxa"/>
          </w:tcPr>
          <w:p w14:paraId="74CFDCA8" w14:textId="77777777" w:rsidR="00B45351" w:rsidRPr="006E12A8" w:rsidRDefault="00B45351" w:rsidP="00842E93"/>
        </w:tc>
        <w:tc>
          <w:tcPr>
            <w:tcW w:w="1650" w:type="dxa"/>
          </w:tcPr>
          <w:p w14:paraId="6550FC76" w14:textId="77777777" w:rsidR="00B45351" w:rsidRPr="006E12A8" w:rsidRDefault="00B45351" w:rsidP="00842E93"/>
        </w:tc>
      </w:tr>
      <w:tr w:rsidR="00B45351" w:rsidRPr="006E12A8" w14:paraId="6489B0A0" w14:textId="77777777" w:rsidTr="00842E93">
        <w:tc>
          <w:tcPr>
            <w:tcW w:w="5665" w:type="dxa"/>
          </w:tcPr>
          <w:p w14:paraId="584AB2D7" w14:textId="77777777" w:rsidR="00B45351" w:rsidRPr="006E12A8" w:rsidRDefault="00B45351" w:rsidP="00842E93">
            <w:r w:rsidRPr="006E12A8">
              <w:t xml:space="preserve">Betting on dog races (in a bookmakers, by phone or at the track) </w:t>
            </w:r>
          </w:p>
        </w:tc>
        <w:tc>
          <w:tcPr>
            <w:tcW w:w="1701" w:type="dxa"/>
          </w:tcPr>
          <w:p w14:paraId="44BBB5F3" w14:textId="77777777" w:rsidR="00B45351" w:rsidRPr="006E12A8" w:rsidRDefault="00B45351" w:rsidP="00842E93"/>
        </w:tc>
        <w:tc>
          <w:tcPr>
            <w:tcW w:w="1650" w:type="dxa"/>
          </w:tcPr>
          <w:p w14:paraId="70400EEE" w14:textId="77777777" w:rsidR="00B45351" w:rsidRPr="006E12A8" w:rsidRDefault="00B45351" w:rsidP="00842E93"/>
        </w:tc>
      </w:tr>
      <w:tr w:rsidR="00B45351" w:rsidRPr="006E12A8" w14:paraId="746746B9" w14:textId="77777777" w:rsidTr="00842E93">
        <w:tc>
          <w:tcPr>
            <w:tcW w:w="5665" w:type="dxa"/>
          </w:tcPr>
          <w:p w14:paraId="1149E72F" w14:textId="77777777" w:rsidR="00B45351" w:rsidRPr="006E12A8" w:rsidRDefault="00B45351" w:rsidP="00842E93">
            <w:r w:rsidRPr="006E12A8">
              <w:t xml:space="preserve">Betting on sports events (in a bookmakers, by phone or at the venue) </w:t>
            </w:r>
          </w:p>
        </w:tc>
        <w:tc>
          <w:tcPr>
            <w:tcW w:w="1701" w:type="dxa"/>
          </w:tcPr>
          <w:p w14:paraId="5B36AF9E" w14:textId="77777777" w:rsidR="00B45351" w:rsidRPr="006E12A8" w:rsidRDefault="00B45351" w:rsidP="00842E93"/>
        </w:tc>
        <w:tc>
          <w:tcPr>
            <w:tcW w:w="1650" w:type="dxa"/>
          </w:tcPr>
          <w:p w14:paraId="5BFC2D6B" w14:textId="77777777" w:rsidR="00B45351" w:rsidRPr="006E12A8" w:rsidRDefault="00B45351" w:rsidP="00842E93"/>
        </w:tc>
      </w:tr>
      <w:tr w:rsidR="00B45351" w:rsidRPr="006E12A8" w14:paraId="50045D6B" w14:textId="77777777" w:rsidTr="00842E93">
        <w:tc>
          <w:tcPr>
            <w:tcW w:w="5665" w:type="dxa"/>
          </w:tcPr>
          <w:p w14:paraId="391113C7" w14:textId="77777777" w:rsidR="00B45351" w:rsidRPr="006E12A8" w:rsidRDefault="00B45351" w:rsidP="00842E93">
            <w:r w:rsidRPr="006E12A8">
              <w:t xml:space="preserve">Betting on other events/races  (in a bookmakers, by phone or at the venue) </w:t>
            </w:r>
          </w:p>
        </w:tc>
        <w:tc>
          <w:tcPr>
            <w:tcW w:w="1701" w:type="dxa"/>
          </w:tcPr>
          <w:p w14:paraId="5F309AC6" w14:textId="77777777" w:rsidR="00B45351" w:rsidRPr="006E12A8" w:rsidRDefault="00B45351" w:rsidP="00842E93"/>
        </w:tc>
        <w:tc>
          <w:tcPr>
            <w:tcW w:w="1650" w:type="dxa"/>
          </w:tcPr>
          <w:p w14:paraId="66AE83D5" w14:textId="77777777" w:rsidR="00B45351" w:rsidRPr="006E12A8" w:rsidRDefault="00B45351" w:rsidP="00842E93"/>
        </w:tc>
      </w:tr>
      <w:tr w:rsidR="00B45351" w:rsidRPr="006E12A8" w14:paraId="020B9653" w14:textId="77777777" w:rsidTr="00842E93">
        <w:tc>
          <w:tcPr>
            <w:tcW w:w="5665" w:type="dxa"/>
          </w:tcPr>
          <w:p w14:paraId="52809FF2" w14:textId="77777777" w:rsidR="00B45351" w:rsidRPr="006E12A8" w:rsidRDefault="00B45351" w:rsidP="00842E93">
            <w:r w:rsidRPr="006E12A8">
              <w:t xml:space="preserve">Spread Betting (in spread betting, you bet that the outcome of an event will be higher or lower than the bookmakers' prediction. The amount you win or lose depends on how right or wrong you are.) </w:t>
            </w:r>
          </w:p>
        </w:tc>
        <w:tc>
          <w:tcPr>
            <w:tcW w:w="1701" w:type="dxa"/>
          </w:tcPr>
          <w:p w14:paraId="2B84EB18" w14:textId="77777777" w:rsidR="00B45351" w:rsidRPr="006E12A8" w:rsidRDefault="00B45351" w:rsidP="00842E93"/>
        </w:tc>
        <w:tc>
          <w:tcPr>
            <w:tcW w:w="1650" w:type="dxa"/>
          </w:tcPr>
          <w:p w14:paraId="253BCBF1" w14:textId="77777777" w:rsidR="00B45351" w:rsidRPr="006E12A8" w:rsidRDefault="00B45351" w:rsidP="00842E93"/>
        </w:tc>
      </w:tr>
      <w:tr w:rsidR="00B45351" w:rsidRPr="006E12A8" w14:paraId="4F50D8B4" w14:textId="77777777" w:rsidTr="00842E93">
        <w:tc>
          <w:tcPr>
            <w:tcW w:w="5665" w:type="dxa"/>
          </w:tcPr>
          <w:p w14:paraId="1192A35B" w14:textId="77777777" w:rsidR="00B45351" w:rsidRPr="006E12A8" w:rsidRDefault="00B45351" w:rsidP="00842E93">
            <w:r w:rsidRPr="006E12A8">
              <w:t xml:space="preserve">Private betting (playing cards or games for money with friends, family or colleagues) </w:t>
            </w:r>
          </w:p>
        </w:tc>
        <w:tc>
          <w:tcPr>
            <w:tcW w:w="1701" w:type="dxa"/>
          </w:tcPr>
          <w:p w14:paraId="41918C30" w14:textId="77777777" w:rsidR="00B45351" w:rsidRPr="006E12A8" w:rsidRDefault="00B45351" w:rsidP="00842E93"/>
        </w:tc>
        <w:tc>
          <w:tcPr>
            <w:tcW w:w="1650" w:type="dxa"/>
          </w:tcPr>
          <w:p w14:paraId="07BBEBC7" w14:textId="77777777" w:rsidR="00B45351" w:rsidRPr="006E12A8" w:rsidRDefault="00B45351" w:rsidP="00842E93"/>
        </w:tc>
      </w:tr>
      <w:tr w:rsidR="00B45351" w:rsidRPr="006E12A8" w14:paraId="16580EEB" w14:textId="77777777" w:rsidTr="00842E93">
        <w:tc>
          <w:tcPr>
            <w:tcW w:w="5665" w:type="dxa"/>
          </w:tcPr>
          <w:tbl>
            <w:tblPr>
              <w:tblStyle w:val="QTable"/>
              <w:tblW w:w="9576" w:type="auto"/>
              <w:tblBorders>
                <w:top w:val="none" w:sz="0" w:space="0" w:color="auto"/>
                <w:left w:val="none" w:sz="0" w:space="0" w:color="auto"/>
                <w:bottom w:val="none" w:sz="0" w:space="0" w:color="auto"/>
                <w:right w:val="none" w:sz="0" w:space="0" w:color="auto"/>
                <w:insideV w:val="none" w:sz="0" w:space="0" w:color="auto"/>
              </w:tblBorders>
              <w:tblCellMar>
                <w:top w:w="43" w:type="dxa"/>
                <w:bottom w:w="115" w:type="dxa"/>
              </w:tblCellMar>
              <w:tblLook w:val="07E0" w:firstRow="1" w:lastRow="1" w:firstColumn="1" w:lastColumn="1" w:noHBand="1" w:noVBand="1"/>
            </w:tblPr>
            <w:tblGrid>
              <w:gridCol w:w="3192"/>
            </w:tblGrid>
            <w:tr w:rsidR="00B45351" w:rsidRPr="006E12A8" w14:paraId="02F00428" w14:textId="77777777" w:rsidTr="00842E93">
              <w:tc>
                <w:tcPr>
                  <w:tcW w:w="3192" w:type="dxa"/>
                </w:tcPr>
                <w:p w14:paraId="6B96600F" w14:textId="77777777" w:rsidR="00B45351" w:rsidRPr="006E12A8" w:rsidRDefault="00B45351" w:rsidP="00842E93">
                  <w:r w:rsidRPr="006E12A8">
                    <w:t>Another form of gambling in the last 12 months. Please specify:</w:t>
                  </w:r>
                </w:p>
              </w:tc>
            </w:tr>
          </w:tbl>
          <w:p w14:paraId="4CDC2ACD" w14:textId="77777777" w:rsidR="00B45351" w:rsidRPr="006E12A8" w:rsidRDefault="00B45351" w:rsidP="00842E93"/>
        </w:tc>
        <w:tc>
          <w:tcPr>
            <w:tcW w:w="1701" w:type="dxa"/>
          </w:tcPr>
          <w:p w14:paraId="3562E420" w14:textId="77777777" w:rsidR="00B45351" w:rsidRPr="006E12A8" w:rsidRDefault="00B45351" w:rsidP="00842E93"/>
        </w:tc>
        <w:tc>
          <w:tcPr>
            <w:tcW w:w="1650" w:type="dxa"/>
          </w:tcPr>
          <w:p w14:paraId="2DD66E73" w14:textId="77777777" w:rsidR="00B45351" w:rsidRPr="006E12A8" w:rsidRDefault="00B45351" w:rsidP="00842E93"/>
        </w:tc>
      </w:tr>
    </w:tbl>
    <w:p w14:paraId="3329E446" w14:textId="77777777" w:rsidR="007B4096" w:rsidRDefault="007B4096" w:rsidP="00CF18E2">
      <w:pPr>
        <w:spacing w:line="480" w:lineRule="auto"/>
        <w:sectPr w:rsidR="007B4096">
          <w:footerReference w:type="even" r:id="rId16"/>
          <w:footerReference w:type="default" r:id="rId17"/>
          <w:pgSz w:w="11906" w:h="16838"/>
          <w:pgMar w:top="1440" w:right="1440" w:bottom="1440" w:left="1440" w:header="708" w:footer="708" w:gutter="0"/>
          <w:cols w:space="708"/>
          <w:docGrid w:linePitch="360"/>
        </w:sectPr>
      </w:pPr>
    </w:p>
    <w:p w14:paraId="7890E9B5" w14:textId="3863C316" w:rsidR="00A46EDB" w:rsidRPr="00CF18E2" w:rsidRDefault="007B4096" w:rsidP="00CF18E2">
      <w:pPr>
        <w:spacing w:line="480" w:lineRule="auto"/>
      </w:pPr>
      <w:r>
        <w:rPr>
          <w:noProof/>
        </w:rPr>
        <w:lastRenderedPageBreak/>
        <w:drawing>
          <wp:inline distT="0" distB="0" distL="0" distR="0" wp14:anchorId="64B4FEA8" wp14:editId="07468B89">
            <wp:extent cx="2381250" cy="17125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1250" cy="1712595"/>
                    </a:xfrm>
                    <a:prstGeom prst="rect">
                      <a:avLst/>
                    </a:prstGeom>
                    <a:noFill/>
                    <a:ln>
                      <a:noFill/>
                    </a:ln>
                  </pic:spPr>
                </pic:pic>
              </a:graphicData>
            </a:graphic>
          </wp:inline>
        </w:drawing>
      </w:r>
    </w:p>
    <w:sectPr w:rsidR="00A46EDB" w:rsidRPr="00CF18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801FD" w14:textId="77777777" w:rsidR="002E1051" w:rsidRDefault="002E1051" w:rsidP="00EE2C42">
      <w:r>
        <w:separator/>
      </w:r>
    </w:p>
  </w:endnote>
  <w:endnote w:type="continuationSeparator" w:id="0">
    <w:p w14:paraId="10FBAA70" w14:textId="77777777" w:rsidR="002E1051" w:rsidRDefault="002E1051" w:rsidP="00EE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4064" w14:textId="77777777" w:rsidR="004C4457" w:rsidRDefault="004C4457" w:rsidP="00C814AA">
    <w:pPr>
      <w:pStyle w:val="Footer"/>
      <w:tabs>
        <w:tab w:val="left" w:pos="14340"/>
        <w:tab w:val="right" w:pos="15136"/>
      </w:tabs>
      <w:rPr>
        <w:rFonts w:ascii="Times New Roman" w:hAnsi="Times New Roman" w:cs="Times New Roman"/>
        <w:sz w:val="24"/>
      </w:rPr>
    </w:pPr>
  </w:p>
  <w:p w14:paraId="3D991C63" w14:textId="6C4E1A01" w:rsidR="004C4457" w:rsidRPr="00D83955" w:rsidRDefault="004C4457" w:rsidP="00C814AA">
    <w:pPr>
      <w:pStyle w:val="Footer"/>
      <w:tabs>
        <w:tab w:val="left" w:pos="14340"/>
        <w:tab w:val="right" w:pos="15136"/>
      </w:tabs>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88066668"/>
      <w:docPartObj>
        <w:docPartGallery w:val="Page Numbers (Bottom of Page)"/>
        <w:docPartUnique/>
      </w:docPartObj>
    </w:sdtPr>
    <w:sdtEndPr>
      <w:rPr>
        <w:rStyle w:val="PageNumber"/>
      </w:rPr>
    </w:sdtEndPr>
    <w:sdtContent>
      <w:p w14:paraId="014760EE" w14:textId="77777777" w:rsidR="00335140" w:rsidRDefault="006F481C" w:rsidP="002163F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5E3E2A" w14:textId="77777777" w:rsidR="00335140" w:rsidRDefault="002E1051" w:rsidP="0033514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5591209"/>
      <w:docPartObj>
        <w:docPartGallery w:val="Page Numbers (Bottom of Page)"/>
        <w:docPartUnique/>
      </w:docPartObj>
    </w:sdtPr>
    <w:sdtEndPr>
      <w:rPr>
        <w:rStyle w:val="PageNumber"/>
      </w:rPr>
    </w:sdtEndPr>
    <w:sdtContent>
      <w:p w14:paraId="5E70A77C" w14:textId="77777777" w:rsidR="00335140" w:rsidRDefault="006F481C" w:rsidP="002163F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2D61E16" w14:textId="77777777" w:rsidR="00335140" w:rsidRDefault="002E1051" w:rsidP="0033514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0FA31" w14:textId="77777777" w:rsidR="002E1051" w:rsidRDefault="002E1051" w:rsidP="00EE2C42">
      <w:r>
        <w:separator/>
      </w:r>
    </w:p>
  </w:footnote>
  <w:footnote w:type="continuationSeparator" w:id="0">
    <w:p w14:paraId="57678266" w14:textId="77777777" w:rsidR="002E1051" w:rsidRDefault="002E1051" w:rsidP="00EE2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2498463"/>
      <w:docPartObj>
        <w:docPartGallery w:val="Page Numbers (Top of Page)"/>
        <w:docPartUnique/>
      </w:docPartObj>
    </w:sdtPr>
    <w:sdtEndPr>
      <w:rPr>
        <w:rStyle w:val="PageNumber"/>
      </w:rPr>
    </w:sdtEndPr>
    <w:sdtContent>
      <w:p w14:paraId="4B5FC1E0" w14:textId="3DEF9E13" w:rsidR="004C4457" w:rsidRDefault="004C4457" w:rsidP="00C814A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D01FC7" w14:textId="77777777" w:rsidR="004C4457" w:rsidRDefault="004C4457" w:rsidP="0048376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4"/>
        <w:szCs w:val="24"/>
      </w:rPr>
      <w:id w:val="304130274"/>
      <w:docPartObj>
        <w:docPartGallery w:val="Page Numbers (Top of Page)"/>
        <w:docPartUnique/>
      </w:docPartObj>
    </w:sdtPr>
    <w:sdtEndPr>
      <w:rPr>
        <w:rStyle w:val="PageNumber"/>
      </w:rPr>
    </w:sdtEndPr>
    <w:sdtContent>
      <w:p w14:paraId="6D7AF837" w14:textId="3F677527" w:rsidR="004C4457" w:rsidRPr="00483766" w:rsidRDefault="004C4457" w:rsidP="00C814AA">
        <w:pPr>
          <w:pStyle w:val="Header"/>
          <w:framePr w:wrap="none" w:vAnchor="text" w:hAnchor="margin" w:xAlign="right" w:y="1"/>
          <w:rPr>
            <w:rStyle w:val="PageNumber"/>
            <w:rFonts w:ascii="Times New Roman" w:hAnsi="Times New Roman" w:cs="Times New Roman"/>
            <w:sz w:val="24"/>
            <w:szCs w:val="24"/>
          </w:rPr>
        </w:pPr>
        <w:r w:rsidRPr="00483766">
          <w:rPr>
            <w:rStyle w:val="PageNumber"/>
            <w:rFonts w:ascii="Times New Roman" w:hAnsi="Times New Roman" w:cs="Times New Roman"/>
            <w:sz w:val="24"/>
            <w:szCs w:val="24"/>
          </w:rPr>
          <w:fldChar w:fldCharType="begin"/>
        </w:r>
        <w:r w:rsidRPr="00483766">
          <w:rPr>
            <w:rStyle w:val="PageNumber"/>
            <w:rFonts w:ascii="Times New Roman" w:hAnsi="Times New Roman" w:cs="Times New Roman"/>
            <w:sz w:val="24"/>
            <w:szCs w:val="24"/>
          </w:rPr>
          <w:instrText xml:space="preserve"> PAGE </w:instrText>
        </w:r>
        <w:r w:rsidRPr="00483766">
          <w:rPr>
            <w:rStyle w:val="PageNumber"/>
            <w:rFonts w:ascii="Times New Roman" w:hAnsi="Times New Roman" w:cs="Times New Roman"/>
            <w:sz w:val="24"/>
            <w:szCs w:val="24"/>
          </w:rPr>
          <w:fldChar w:fldCharType="separate"/>
        </w:r>
        <w:r w:rsidRPr="00483766">
          <w:rPr>
            <w:rStyle w:val="PageNumber"/>
            <w:rFonts w:ascii="Times New Roman" w:hAnsi="Times New Roman" w:cs="Times New Roman"/>
            <w:noProof/>
            <w:sz w:val="24"/>
            <w:szCs w:val="24"/>
          </w:rPr>
          <w:t>1</w:t>
        </w:r>
        <w:r w:rsidRPr="00483766">
          <w:rPr>
            <w:rStyle w:val="PageNumber"/>
            <w:rFonts w:ascii="Times New Roman" w:hAnsi="Times New Roman" w:cs="Times New Roman"/>
            <w:sz w:val="24"/>
            <w:szCs w:val="24"/>
          </w:rPr>
          <w:fldChar w:fldCharType="end"/>
        </w:r>
      </w:p>
    </w:sdtContent>
  </w:sdt>
  <w:p w14:paraId="569D5962" w14:textId="2029A3BD" w:rsidR="004C4457" w:rsidRPr="00483766" w:rsidRDefault="004C4457" w:rsidP="00B101B8">
    <w:pPr>
      <w:pStyle w:val="Header"/>
      <w:ind w:right="360"/>
      <w:rPr>
        <w:rFonts w:ascii="Times New Roman" w:hAnsi="Times New Roman" w:cs="Times New Roman"/>
        <w:sz w:val="24"/>
        <w:szCs w:val="24"/>
      </w:rPr>
    </w:pPr>
    <w:r w:rsidRPr="00483766">
      <w:rPr>
        <w:rFonts w:ascii="Times New Roman" w:hAnsi="Times New Roman" w:cs="Times New Roman"/>
        <w:sz w:val="24"/>
        <w:szCs w:val="24"/>
      </w:rPr>
      <w:t xml:space="preserve">UK Veterans’ Health and Gambling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D66F0"/>
    <w:multiLevelType w:val="hybridMultilevel"/>
    <w:tmpl w:val="40F45B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C4A786B"/>
    <w:multiLevelType w:val="hybridMultilevel"/>
    <w:tmpl w:val="F05221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D58"/>
    <w:rsid w:val="0000005E"/>
    <w:rsid w:val="00001544"/>
    <w:rsid w:val="00001E1C"/>
    <w:rsid w:val="00002B91"/>
    <w:rsid w:val="00003BBD"/>
    <w:rsid w:val="000042D3"/>
    <w:rsid w:val="00005FE7"/>
    <w:rsid w:val="00006788"/>
    <w:rsid w:val="0000751B"/>
    <w:rsid w:val="00010A0F"/>
    <w:rsid w:val="00011D8B"/>
    <w:rsid w:val="00013CA3"/>
    <w:rsid w:val="00013E09"/>
    <w:rsid w:val="00013E0B"/>
    <w:rsid w:val="00015D49"/>
    <w:rsid w:val="0001628E"/>
    <w:rsid w:val="0001776E"/>
    <w:rsid w:val="000178D4"/>
    <w:rsid w:val="00020F52"/>
    <w:rsid w:val="000215AD"/>
    <w:rsid w:val="000239FC"/>
    <w:rsid w:val="00024CF7"/>
    <w:rsid w:val="00025854"/>
    <w:rsid w:val="000258D6"/>
    <w:rsid w:val="00025D0E"/>
    <w:rsid w:val="00026AAF"/>
    <w:rsid w:val="000275B5"/>
    <w:rsid w:val="00030BEC"/>
    <w:rsid w:val="00031CC9"/>
    <w:rsid w:val="00031CD5"/>
    <w:rsid w:val="00032702"/>
    <w:rsid w:val="000337A1"/>
    <w:rsid w:val="00036DC5"/>
    <w:rsid w:val="000375E4"/>
    <w:rsid w:val="00040DD2"/>
    <w:rsid w:val="00040F91"/>
    <w:rsid w:val="0004145E"/>
    <w:rsid w:val="000467A0"/>
    <w:rsid w:val="00046C9E"/>
    <w:rsid w:val="00052670"/>
    <w:rsid w:val="000558F0"/>
    <w:rsid w:val="00055929"/>
    <w:rsid w:val="00055A56"/>
    <w:rsid w:val="000563B4"/>
    <w:rsid w:val="000614C7"/>
    <w:rsid w:val="000617FB"/>
    <w:rsid w:val="00061A98"/>
    <w:rsid w:val="00062617"/>
    <w:rsid w:val="000635D5"/>
    <w:rsid w:val="00065168"/>
    <w:rsid w:val="00065BC8"/>
    <w:rsid w:val="000661E3"/>
    <w:rsid w:val="00067085"/>
    <w:rsid w:val="000758F8"/>
    <w:rsid w:val="000764C7"/>
    <w:rsid w:val="00076A00"/>
    <w:rsid w:val="0007718F"/>
    <w:rsid w:val="00077919"/>
    <w:rsid w:val="00077BAD"/>
    <w:rsid w:val="00081C77"/>
    <w:rsid w:val="000821BD"/>
    <w:rsid w:val="0008360D"/>
    <w:rsid w:val="000841E0"/>
    <w:rsid w:val="0008446C"/>
    <w:rsid w:val="00084C55"/>
    <w:rsid w:val="00084D5C"/>
    <w:rsid w:val="00084DA3"/>
    <w:rsid w:val="000867D9"/>
    <w:rsid w:val="00087248"/>
    <w:rsid w:val="00090452"/>
    <w:rsid w:val="00091540"/>
    <w:rsid w:val="00091ADD"/>
    <w:rsid w:val="0009366E"/>
    <w:rsid w:val="0009422D"/>
    <w:rsid w:val="000944B7"/>
    <w:rsid w:val="000957FD"/>
    <w:rsid w:val="00096C9D"/>
    <w:rsid w:val="00096DB8"/>
    <w:rsid w:val="000A07CA"/>
    <w:rsid w:val="000A100A"/>
    <w:rsid w:val="000A31A3"/>
    <w:rsid w:val="000A4D55"/>
    <w:rsid w:val="000A650F"/>
    <w:rsid w:val="000A6836"/>
    <w:rsid w:val="000B1B94"/>
    <w:rsid w:val="000B2A7D"/>
    <w:rsid w:val="000B36D4"/>
    <w:rsid w:val="000B3CE3"/>
    <w:rsid w:val="000B3EEC"/>
    <w:rsid w:val="000B42A1"/>
    <w:rsid w:val="000B589E"/>
    <w:rsid w:val="000B6E3F"/>
    <w:rsid w:val="000B7557"/>
    <w:rsid w:val="000B7CF0"/>
    <w:rsid w:val="000C0107"/>
    <w:rsid w:val="000C0741"/>
    <w:rsid w:val="000C0B4B"/>
    <w:rsid w:val="000C1B39"/>
    <w:rsid w:val="000C2CF6"/>
    <w:rsid w:val="000C339A"/>
    <w:rsid w:val="000C4448"/>
    <w:rsid w:val="000C4958"/>
    <w:rsid w:val="000C54D1"/>
    <w:rsid w:val="000D1FDE"/>
    <w:rsid w:val="000D28E5"/>
    <w:rsid w:val="000D3BA6"/>
    <w:rsid w:val="000D41CE"/>
    <w:rsid w:val="000E06B6"/>
    <w:rsid w:val="000E162D"/>
    <w:rsid w:val="000E1A05"/>
    <w:rsid w:val="000E1D35"/>
    <w:rsid w:val="000E4193"/>
    <w:rsid w:val="000E45FB"/>
    <w:rsid w:val="000E4958"/>
    <w:rsid w:val="000E4BE0"/>
    <w:rsid w:val="000E59BB"/>
    <w:rsid w:val="000E693D"/>
    <w:rsid w:val="000E7B14"/>
    <w:rsid w:val="000F0C4F"/>
    <w:rsid w:val="000F115F"/>
    <w:rsid w:val="000F1A10"/>
    <w:rsid w:val="000F2EC5"/>
    <w:rsid w:val="000F30BC"/>
    <w:rsid w:val="000F35A5"/>
    <w:rsid w:val="000F49D5"/>
    <w:rsid w:val="000F4BD4"/>
    <w:rsid w:val="000F6CBE"/>
    <w:rsid w:val="001031CB"/>
    <w:rsid w:val="00104A25"/>
    <w:rsid w:val="0010542F"/>
    <w:rsid w:val="00106AF3"/>
    <w:rsid w:val="0010726A"/>
    <w:rsid w:val="0010763E"/>
    <w:rsid w:val="00107820"/>
    <w:rsid w:val="0011012C"/>
    <w:rsid w:val="001104BB"/>
    <w:rsid w:val="0011269B"/>
    <w:rsid w:val="00112817"/>
    <w:rsid w:val="0011304F"/>
    <w:rsid w:val="00114255"/>
    <w:rsid w:val="00114626"/>
    <w:rsid w:val="00114DC7"/>
    <w:rsid w:val="0011700E"/>
    <w:rsid w:val="00122938"/>
    <w:rsid w:val="00123C3C"/>
    <w:rsid w:val="00124176"/>
    <w:rsid w:val="001248B1"/>
    <w:rsid w:val="0012567C"/>
    <w:rsid w:val="001308AD"/>
    <w:rsid w:val="0013099E"/>
    <w:rsid w:val="00132049"/>
    <w:rsid w:val="001356A4"/>
    <w:rsid w:val="0013601F"/>
    <w:rsid w:val="001378C3"/>
    <w:rsid w:val="00141567"/>
    <w:rsid w:val="001425D3"/>
    <w:rsid w:val="00143B70"/>
    <w:rsid w:val="0014467C"/>
    <w:rsid w:val="00144E21"/>
    <w:rsid w:val="00145B08"/>
    <w:rsid w:val="00146283"/>
    <w:rsid w:val="00146757"/>
    <w:rsid w:val="001478BE"/>
    <w:rsid w:val="00150849"/>
    <w:rsid w:val="0015092F"/>
    <w:rsid w:val="001509E0"/>
    <w:rsid w:val="001522CD"/>
    <w:rsid w:val="001524C1"/>
    <w:rsid w:val="001525AF"/>
    <w:rsid w:val="001542B0"/>
    <w:rsid w:val="00155B5A"/>
    <w:rsid w:val="00156A92"/>
    <w:rsid w:val="00160759"/>
    <w:rsid w:val="00161180"/>
    <w:rsid w:val="001650B5"/>
    <w:rsid w:val="001654C6"/>
    <w:rsid w:val="00171966"/>
    <w:rsid w:val="001720FB"/>
    <w:rsid w:val="00173722"/>
    <w:rsid w:val="00174067"/>
    <w:rsid w:val="00175DB5"/>
    <w:rsid w:val="00182973"/>
    <w:rsid w:val="00182DD2"/>
    <w:rsid w:val="00183729"/>
    <w:rsid w:val="00183730"/>
    <w:rsid w:val="001874B6"/>
    <w:rsid w:val="00190139"/>
    <w:rsid w:val="00191490"/>
    <w:rsid w:val="00191DDC"/>
    <w:rsid w:val="00192F0E"/>
    <w:rsid w:val="00194C2F"/>
    <w:rsid w:val="001957B6"/>
    <w:rsid w:val="001974A5"/>
    <w:rsid w:val="0019751B"/>
    <w:rsid w:val="001A157C"/>
    <w:rsid w:val="001A2583"/>
    <w:rsid w:val="001A3CC7"/>
    <w:rsid w:val="001A401B"/>
    <w:rsid w:val="001A4961"/>
    <w:rsid w:val="001A4E5C"/>
    <w:rsid w:val="001A4FCE"/>
    <w:rsid w:val="001A5140"/>
    <w:rsid w:val="001B04E7"/>
    <w:rsid w:val="001B0850"/>
    <w:rsid w:val="001B17DC"/>
    <w:rsid w:val="001B28E8"/>
    <w:rsid w:val="001B35E8"/>
    <w:rsid w:val="001B3A7D"/>
    <w:rsid w:val="001B4F23"/>
    <w:rsid w:val="001B5D90"/>
    <w:rsid w:val="001B5DAD"/>
    <w:rsid w:val="001B6F28"/>
    <w:rsid w:val="001B758D"/>
    <w:rsid w:val="001C127B"/>
    <w:rsid w:val="001C34F3"/>
    <w:rsid w:val="001C46D6"/>
    <w:rsid w:val="001C48A0"/>
    <w:rsid w:val="001C4B83"/>
    <w:rsid w:val="001C5063"/>
    <w:rsid w:val="001D05C9"/>
    <w:rsid w:val="001D0C73"/>
    <w:rsid w:val="001D3671"/>
    <w:rsid w:val="001D3AEE"/>
    <w:rsid w:val="001D4319"/>
    <w:rsid w:val="001D788C"/>
    <w:rsid w:val="001D7B21"/>
    <w:rsid w:val="001D7C6A"/>
    <w:rsid w:val="001E3574"/>
    <w:rsid w:val="001E4404"/>
    <w:rsid w:val="001E4654"/>
    <w:rsid w:val="001E4E46"/>
    <w:rsid w:val="001E5E6D"/>
    <w:rsid w:val="001E63C2"/>
    <w:rsid w:val="001E7476"/>
    <w:rsid w:val="001E74FB"/>
    <w:rsid w:val="001E7B1D"/>
    <w:rsid w:val="001F01F6"/>
    <w:rsid w:val="001F06B6"/>
    <w:rsid w:val="001F0DEC"/>
    <w:rsid w:val="001F4BFD"/>
    <w:rsid w:val="001F7036"/>
    <w:rsid w:val="001F7AAE"/>
    <w:rsid w:val="0020151D"/>
    <w:rsid w:val="00202D71"/>
    <w:rsid w:val="00204BEA"/>
    <w:rsid w:val="0021226E"/>
    <w:rsid w:val="0021230B"/>
    <w:rsid w:val="00212428"/>
    <w:rsid w:val="0021445B"/>
    <w:rsid w:val="00214C12"/>
    <w:rsid w:val="002160D2"/>
    <w:rsid w:val="00216A22"/>
    <w:rsid w:val="00221738"/>
    <w:rsid w:val="002222BF"/>
    <w:rsid w:val="00222328"/>
    <w:rsid w:val="002223D3"/>
    <w:rsid w:val="00222BB2"/>
    <w:rsid w:val="00222ECA"/>
    <w:rsid w:val="0022488B"/>
    <w:rsid w:val="002259D2"/>
    <w:rsid w:val="00226FF0"/>
    <w:rsid w:val="00230E6B"/>
    <w:rsid w:val="00231274"/>
    <w:rsid w:val="00231811"/>
    <w:rsid w:val="00232136"/>
    <w:rsid w:val="00232F0E"/>
    <w:rsid w:val="002330FD"/>
    <w:rsid w:val="0023488C"/>
    <w:rsid w:val="00235A2A"/>
    <w:rsid w:val="00235FEE"/>
    <w:rsid w:val="00236CA3"/>
    <w:rsid w:val="002409DC"/>
    <w:rsid w:val="00240A3B"/>
    <w:rsid w:val="00240A45"/>
    <w:rsid w:val="002415A6"/>
    <w:rsid w:val="0024301B"/>
    <w:rsid w:val="00243DE9"/>
    <w:rsid w:val="00245531"/>
    <w:rsid w:val="00246C07"/>
    <w:rsid w:val="00246C74"/>
    <w:rsid w:val="00251028"/>
    <w:rsid w:val="002510DC"/>
    <w:rsid w:val="00251DB5"/>
    <w:rsid w:val="00252960"/>
    <w:rsid w:val="00255965"/>
    <w:rsid w:val="00255BDD"/>
    <w:rsid w:val="00255C17"/>
    <w:rsid w:val="0025788D"/>
    <w:rsid w:val="0026043C"/>
    <w:rsid w:val="002620A1"/>
    <w:rsid w:val="00262C8D"/>
    <w:rsid w:val="00262DB1"/>
    <w:rsid w:val="0027376E"/>
    <w:rsid w:val="0027428E"/>
    <w:rsid w:val="002765AC"/>
    <w:rsid w:val="002776CD"/>
    <w:rsid w:val="00280528"/>
    <w:rsid w:val="002806EC"/>
    <w:rsid w:val="002829D0"/>
    <w:rsid w:val="00282DC1"/>
    <w:rsid w:val="0028329A"/>
    <w:rsid w:val="002836BC"/>
    <w:rsid w:val="002864AF"/>
    <w:rsid w:val="00286AFC"/>
    <w:rsid w:val="00287AC8"/>
    <w:rsid w:val="00287D47"/>
    <w:rsid w:val="0029124A"/>
    <w:rsid w:val="002925C3"/>
    <w:rsid w:val="00292658"/>
    <w:rsid w:val="002941AD"/>
    <w:rsid w:val="002952E8"/>
    <w:rsid w:val="002953A1"/>
    <w:rsid w:val="00296261"/>
    <w:rsid w:val="002A02EF"/>
    <w:rsid w:val="002A0F27"/>
    <w:rsid w:val="002A1072"/>
    <w:rsid w:val="002A14C7"/>
    <w:rsid w:val="002A3864"/>
    <w:rsid w:val="002A427A"/>
    <w:rsid w:val="002A5466"/>
    <w:rsid w:val="002A7274"/>
    <w:rsid w:val="002B0B68"/>
    <w:rsid w:val="002B2CEE"/>
    <w:rsid w:val="002B30C8"/>
    <w:rsid w:val="002B5349"/>
    <w:rsid w:val="002B5487"/>
    <w:rsid w:val="002B7C77"/>
    <w:rsid w:val="002B7C83"/>
    <w:rsid w:val="002C1C66"/>
    <w:rsid w:val="002C2088"/>
    <w:rsid w:val="002C252F"/>
    <w:rsid w:val="002D4305"/>
    <w:rsid w:val="002D751F"/>
    <w:rsid w:val="002E1051"/>
    <w:rsid w:val="002E1BA5"/>
    <w:rsid w:val="002E284D"/>
    <w:rsid w:val="002E3056"/>
    <w:rsid w:val="002E577D"/>
    <w:rsid w:val="002E5ACB"/>
    <w:rsid w:val="002F070D"/>
    <w:rsid w:val="002F22FC"/>
    <w:rsid w:val="002F5773"/>
    <w:rsid w:val="002F5952"/>
    <w:rsid w:val="002F6316"/>
    <w:rsid w:val="002F79C6"/>
    <w:rsid w:val="00300157"/>
    <w:rsid w:val="00301B78"/>
    <w:rsid w:val="00302D3D"/>
    <w:rsid w:val="00303A9D"/>
    <w:rsid w:val="00306129"/>
    <w:rsid w:val="00307411"/>
    <w:rsid w:val="00307E83"/>
    <w:rsid w:val="003108F5"/>
    <w:rsid w:val="00312237"/>
    <w:rsid w:val="00312E67"/>
    <w:rsid w:val="003153C6"/>
    <w:rsid w:val="00316CF8"/>
    <w:rsid w:val="0031712E"/>
    <w:rsid w:val="00320B24"/>
    <w:rsid w:val="00321271"/>
    <w:rsid w:val="00321938"/>
    <w:rsid w:val="00324701"/>
    <w:rsid w:val="00326333"/>
    <w:rsid w:val="003267FA"/>
    <w:rsid w:val="00326A83"/>
    <w:rsid w:val="00326EE3"/>
    <w:rsid w:val="003310D6"/>
    <w:rsid w:val="0033166F"/>
    <w:rsid w:val="00331F31"/>
    <w:rsid w:val="003325CB"/>
    <w:rsid w:val="00332F33"/>
    <w:rsid w:val="003334E6"/>
    <w:rsid w:val="00335A46"/>
    <w:rsid w:val="00337AB3"/>
    <w:rsid w:val="003422E5"/>
    <w:rsid w:val="003424D2"/>
    <w:rsid w:val="00342705"/>
    <w:rsid w:val="00342BDB"/>
    <w:rsid w:val="0034304A"/>
    <w:rsid w:val="003437E8"/>
    <w:rsid w:val="003447BB"/>
    <w:rsid w:val="00345749"/>
    <w:rsid w:val="00351C51"/>
    <w:rsid w:val="003534CE"/>
    <w:rsid w:val="00355F97"/>
    <w:rsid w:val="00356653"/>
    <w:rsid w:val="00356EB3"/>
    <w:rsid w:val="00360637"/>
    <w:rsid w:val="00360EBE"/>
    <w:rsid w:val="00361984"/>
    <w:rsid w:val="00362AE1"/>
    <w:rsid w:val="003634A9"/>
    <w:rsid w:val="00364602"/>
    <w:rsid w:val="00365732"/>
    <w:rsid w:val="00366227"/>
    <w:rsid w:val="00367463"/>
    <w:rsid w:val="003675F1"/>
    <w:rsid w:val="00370002"/>
    <w:rsid w:val="0037017A"/>
    <w:rsid w:val="00372F82"/>
    <w:rsid w:val="00374DF8"/>
    <w:rsid w:val="00375518"/>
    <w:rsid w:val="003779D4"/>
    <w:rsid w:val="00377E97"/>
    <w:rsid w:val="00380CCC"/>
    <w:rsid w:val="00380F7C"/>
    <w:rsid w:val="00382A19"/>
    <w:rsid w:val="00382E44"/>
    <w:rsid w:val="00383B30"/>
    <w:rsid w:val="003844D8"/>
    <w:rsid w:val="00385B58"/>
    <w:rsid w:val="00387843"/>
    <w:rsid w:val="003910BB"/>
    <w:rsid w:val="00392515"/>
    <w:rsid w:val="00393480"/>
    <w:rsid w:val="00394E41"/>
    <w:rsid w:val="00396451"/>
    <w:rsid w:val="003A03A1"/>
    <w:rsid w:val="003A1388"/>
    <w:rsid w:val="003A1678"/>
    <w:rsid w:val="003A25AA"/>
    <w:rsid w:val="003A7C5B"/>
    <w:rsid w:val="003B0455"/>
    <w:rsid w:val="003B0685"/>
    <w:rsid w:val="003B13E7"/>
    <w:rsid w:val="003B18E7"/>
    <w:rsid w:val="003B3AC7"/>
    <w:rsid w:val="003B429E"/>
    <w:rsid w:val="003B6AB3"/>
    <w:rsid w:val="003B71D5"/>
    <w:rsid w:val="003B7D8A"/>
    <w:rsid w:val="003C047F"/>
    <w:rsid w:val="003C0A2B"/>
    <w:rsid w:val="003C0C57"/>
    <w:rsid w:val="003C1CBD"/>
    <w:rsid w:val="003C1FB2"/>
    <w:rsid w:val="003C322D"/>
    <w:rsid w:val="003C3A43"/>
    <w:rsid w:val="003C3B33"/>
    <w:rsid w:val="003C4B95"/>
    <w:rsid w:val="003C6077"/>
    <w:rsid w:val="003D0394"/>
    <w:rsid w:val="003D3809"/>
    <w:rsid w:val="003D579B"/>
    <w:rsid w:val="003D5BD9"/>
    <w:rsid w:val="003D5E18"/>
    <w:rsid w:val="003D697E"/>
    <w:rsid w:val="003D791A"/>
    <w:rsid w:val="003E214F"/>
    <w:rsid w:val="003E371A"/>
    <w:rsid w:val="003E5FC4"/>
    <w:rsid w:val="003E7492"/>
    <w:rsid w:val="003E762F"/>
    <w:rsid w:val="003F0367"/>
    <w:rsid w:val="003F3D89"/>
    <w:rsid w:val="003F42FF"/>
    <w:rsid w:val="003F5027"/>
    <w:rsid w:val="004006B0"/>
    <w:rsid w:val="004008EE"/>
    <w:rsid w:val="00401133"/>
    <w:rsid w:val="00404BEF"/>
    <w:rsid w:val="004065D8"/>
    <w:rsid w:val="004073C2"/>
    <w:rsid w:val="004100AA"/>
    <w:rsid w:val="00411B8A"/>
    <w:rsid w:val="004138D1"/>
    <w:rsid w:val="00414E34"/>
    <w:rsid w:val="0041544A"/>
    <w:rsid w:val="00422B6A"/>
    <w:rsid w:val="004232CD"/>
    <w:rsid w:val="0042389C"/>
    <w:rsid w:val="00423AA0"/>
    <w:rsid w:val="00424F3D"/>
    <w:rsid w:val="00426427"/>
    <w:rsid w:val="004300FE"/>
    <w:rsid w:val="00430170"/>
    <w:rsid w:val="00431B96"/>
    <w:rsid w:val="00432CBD"/>
    <w:rsid w:val="00433C80"/>
    <w:rsid w:val="004401B3"/>
    <w:rsid w:val="004416BB"/>
    <w:rsid w:val="00443B5D"/>
    <w:rsid w:val="004465BA"/>
    <w:rsid w:val="00446E74"/>
    <w:rsid w:val="00450E04"/>
    <w:rsid w:val="004514D7"/>
    <w:rsid w:val="004549BC"/>
    <w:rsid w:val="00455485"/>
    <w:rsid w:val="00457115"/>
    <w:rsid w:val="00457152"/>
    <w:rsid w:val="00460C85"/>
    <w:rsid w:val="00464041"/>
    <w:rsid w:val="00464A7A"/>
    <w:rsid w:val="00465D47"/>
    <w:rsid w:val="004664C3"/>
    <w:rsid w:val="004712F9"/>
    <w:rsid w:val="0047178A"/>
    <w:rsid w:val="00472DF6"/>
    <w:rsid w:val="00476ED8"/>
    <w:rsid w:val="0047765C"/>
    <w:rsid w:val="0048021A"/>
    <w:rsid w:val="00481DE5"/>
    <w:rsid w:val="00482023"/>
    <w:rsid w:val="00482CAD"/>
    <w:rsid w:val="00483766"/>
    <w:rsid w:val="00484683"/>
    <w:rsid w:val="004848F5"/>
    <w:rsid w:val="00485191"/>
    <w:rsid w:val="00486340"/>
    <w:rsid w:val="00486E46"/>
    <w:rsid w:val="00491040"/>
    <w:rsid w:val="0049377F"/>
    <w:rsid w:val="00494527"/>
    <w:rsid w:val="00494C29"/>
    <w:rsid w:val="00494CFC"/>
    <w:rsid w:val="004960D5"/>
    <w:rsid w:val="004966C0"/>
    <w:rsid w:val="004A0E9A"/>
    <w:rsid w:val="004A15DD"/>
    <w:rsid w:val="004A42D6"/>
    <w:rsid w:val="004A573A"/>
    <w:rsid w:val="004B0AC2"/>
    <w:rsid w:val="004B2654"/>
    <w:rsid w:val="004B37EB"/>
    <w:rsid w:val="004B3EFB"/>
    <w:rsid w:val="004B775F"/>
    <w:rsid w:val="004B7798"/>
    <w:rsid w:val="004C2448"/>
    <w:rsid w:val="004C36B8"/>
    <w:rsid w:val="004C3E2F"/>
    <w:rsid w:val="004C4457"/>
    <w:rsid w:val="004C5079"/>
    <w:rsid w:val="004C51FA"/>
    <w:rsid w:val="004C53D3"/>
    <w:rsid w:val="004C65C2"/>
    <w:rsid w:val="004D05B1"/>
    <w:rsid w:val="004D096C"/>
    <w:rsid w:val="004D13CF"/>
    <w:rsid w:val="004D205D"/>
    <w:rsid w:val="004D4265"/>
    <w:rsid w:val="004D5073"/>
    <w:rsid w:val="004D6088"/>
    <w:rsid w:val="004D681B"/>
    <w:rsid w:val="004E2396"/>
    <w:rsid w:val="004E4EFE"/>
    <w:rsid w:val="004E62AA"/>
    <w:rsid w:val="004E642E"/>
    <w:rsid w:val="004E6E32"/>
    <w:rsid w:val="004E70AE"/>
    <w:rsid w:val="004F001F"/>
    <w:rsid w:val="004F0899"/>
    <w:rsid w:val="004F1BA6"/>
    <w:rsid w:val="004F245F"/>
    <w:rsid w:val="004F46EF"/>
    <w:rsid w:val="004F4E9B"/>
    <w:rsid w:val="004F5F0C"/>
    <w:rsid w:val="004F629D"/>
    <w:rsid w:val="004F7F77"/>
    <w:rsid w:val="005003EE"/>
    <w:rsid w:val="0050238A"/>
    <w:rsid w:val="00502FE2"/>
    <w:rsid w:val="0050434E"/>
    <w:rsid w:val="0050522F"/>
    <w:rsid w:val="0050535E"/>
    <w:rsid w:val="00505F07"/>
    <w:rsid w:val="0050636D"/>
    <w:rsid w:val="00511360"/>
    <w:rsid w:val="0051159F"/>
    <w:rsid w:val="005139FB"/>
    <w:rsid w:val="0051409F"/>
    <w:rsid w:val="00514593"/>
    <w:rsid w:val="005148B0"/>
    <w:rsid w:val="0051552A"/>
    <w:rsid w:val="00515790"/>
    <w:rsid w:val="0051654E"/>
    <w:rsid w:val="00516557"/>
    <w:rsid w:val="005167DF"/>
    <w:rsid w:val="00516B76"/>
    <w:rsid w:val="00516DF9"/>
    <w:rsid w:val="00521B72"/>
    <w:rsid w:val="0052366C"/>
    <w:rsid w:val="005243D9"/>
    <w:rsid w:val="0052487A"/>
    <w:rsid w:val="00525938"/>
    <w:rsid w:val="00526287"/>
    <w:rsid w:val="005263D8"/>
    <w:rsid w:val="00527324"/>
    <w:rsid w:val="005275A6"/>
    <w:rsid w:val="005279C4"/>
    <w:rsid w:val="0053187F"/>
    <w:rsid w:val="005340B2"/>
    <w:rsid w:val="0053562A"/>
    <w:rsid w:val="00535645"/>
    <w:rsid w:val="00535CC7"/>
    <w:rsid w:val="005368F7"/>
    <w:rsid w:val="00536B8B"/>
    <w:rsid w:val="0054124D"/>
    <w:rsid w:val="005416EF"/>
    <w:rsid w:val="005429A9"/>
    <w:rsid w:val="00543012"/>
    <w:rsid w:val="00545594"/>
    <w:rsid w:val="0054748C"/>
    <w:rsid w:val="00547BD5"/>
    <w:rsid w:val="005508E4"/>
    <w:rsid w:val="00553E90"/>
    <w:rsid w:val="00555DFC"/>
    <w:rsid w:val="00557A76"/>
    <w:rsid w:val="005608B4"/>
    <w:rsid w:val="00561387"/>
    <w:rsid w:val="005624E5"/>
    <w:rsid w:val="00562FA8"/>
    <w:rsid w:val="00564A45"/>
    <w:rsid w:val="0056505E"/>
    <w:rsid w:val="00567E30"/>
    <w:rsid w:val="005700EB"/>
    <w:rsid w:val="005719B6"/>
    <w:rsid w:val="00572CB4"/>
    <w:rsid w:val="00574404"/>
    <w:rsid w:val="005755BC"/>
    <w:rsid w:val="005769F0"/>
    <w:rsid w:val="005778D5"/>
    <w:rsid w:val="00580059"/>
    <w:rsid w:val="005800EA"/>
    <w:rsid w:val="0058183A"/>
    <w:rsid w:val="00582040"/>
    <w:rsid w:val="00582255"/>
    <w:rsid w:val="005828A4"/>
    <w:rsid w:val="00583942"/>
    <w:rsid w:val="00585BCB"/>
    <w:rsid w:val="0058659E"/>
    <w:rsid w:val="00586841"/>
    <w:rsid w:val="005869FC"/>
    <w:rsid w:val="005872F6"/>
    <w:rsid w:val="005908F4"/>
    <w:rsid w:val="00592E4E"/>
    <w:rsid w:val="00594185"/>
    <w:rsid w:val="00594BA4"/>
    <w:rsid w:val="00594E2E"/>
    <w:rsid w:val="00597211"/>
    <w:rsid w:val="0059757B"/>
    <w:rsid w:val="00597E89"/>
    <w:rsid w:val="005A14C9"/>
    <w:rsid w:val="005A5349"/>
    <w:rsid w:val="005A5A75"/>
    <w:rsid w:val="005A71A2"/>
    <w:rsid w:val="005A76F1"/>
    <w:rsid w:val="005B04FC"/>
    <w:rsid w:val="005B2304"/>
    <w:rsid w:val="005B245C"/>
    <w:rsid w:val="005B256A"/>
    <w:rsid w:val="005B2E88"/>
    <w:rsid w:val="005B3494"/>
    <w:rsid w:val="005B496A"/>
    <w:rsid w:val="005B539B"/>
    <w:rsid w:val="005B6BF7"/>
    <w:rsid w:val="005B6CF9"/>
    <w:rsid w:val="005B7233"/>
    <w:rsid w:val="005B7242"/>
    <w:rsid w:val="005C010D"/>
    <w:rsid w:val="005C02F6"/>
    <w:rsid w:val="005C08E6"/>
    <w:rsid w:val="005C22AA"/>
    <w:rsid w:val="005C24DD"/>
    <w:rsid w:val="005C3F1B"/>
    <w:rsid w:val="005C56DF"/>
    <w:rsid w:val="005C70CF"/>
    <w:rsid w:val="005D0A9A"/>
    <w:rsid w:val="005D2C2E"/>
    <w:rsid w:val="005D2CCB"/>
    <w:rsid w:val="005D592C"/>
    <w:rsid w:val="005D61D1"/>
    <w:rsid w:val="005D74F0"/>
    <w:rsid w:val="005E04CE"/>
    <w:rsid w:val="005E3B70"/>
    <w:rsid w:val="005E4258"/>
    <w:rsid w:val="005E5E5F"/>
    <w:rsid w:val="005F0207"/>
    <w:rsid w:val="005F04E4"/>
    <w:rsid w:val="005F3971"/>
    <w:rsid w:val="005F4763"/>
    <w:rsid w:val="005F5C57"/>
    <w:rsid w:val="006007DA"/>
    <w:rsid w:val="00601A8A"/>
    <w:rsid w:val="00601AEC"/>
    <w:rsid w:val="006027FC"/>
    <w:rsid w:val="0060372F"/>
    <w:rsid w:val="00603D4A"/>
    <w:rsid w:val="00604789"/>
    <w:rsid w:val="00604821"/>
    <w:rsid w:val="00604CE4"/>
    <w:rsid w:val="00605BF3"/>
    <w:rsid w:val="00605C43"/>
    <w:rsid w:val="00606D2E"/>
    <w:rsid w:val="006101D1"/>
    <w:rsid w:val="006107C8"/>
    <w:rsid w:val="006113E2"/>
    <w:rsid w:val="006136C7"/>
    <w:rsid w:val="00613EF5"/>
    <w:rsid w:val="006140BB"/>
    <w:rsid w:val="00614CC2"/>
    <w:rsid w:val="00617C24"/>
    <w:rsid w:val="00621B39"/>
    <w:rsid w:val="00621FA4"/>
    <w:rsid w:val="0062513D"/>
    <w:rsid w:val="006300CF"/>
    <w:rsid w:val="00630A18"/>
    <w:rsid w:val="006312AC"/>
    <w:rsid w:val="00632E0C"/>
    <w:rsid w:val="0063391E"/>
    <w:rsid w:val="00634F0C"/>
    <w:rsid w:val="00635215"/>
    <w:rsid w:val="0063628C"/>
    <w:rsid w:val="006379A6"/>
    <w:rsid w:val="006402CC"/>
    <w:rsid w:val="00642E37"/>
    <w:rsid w:val="0064317E"/>
    <w:rsid w:val="00650272"/>
    <w:rsid w:val="006508EF"/>
    <w:rsid w:val="00650CC4"/>
    <w:rsid w:val="0066030C"/>
    <w:rsid w:val="00660BA2"/>
    <w:rsid w:val="00661C32"/>
    <w:rsid w:val="006620ED"/>
    <w:rsid w:val="00663691"/>
    <w:rsid w:val="006653B6"/>
    <w:rsid w:val="006654F2"/>
    <w:rsid w:val="00667703"/>
    <w:rsid w:val="00667F73"/>
    <w:rsid w:val="00670AA3"/>
    <w:rsid w:val="00674F01"/>
    <w:rsid w:val="0067553F"/>
    <w:rsid w:val="00675750"/>
    <w:rsid w:val="00677D68"/>
    <w:rsid w:val="006802E8"/>
    <w:rsid w:val="00682628"/>
    <w:rsid w:val="0068337C"/>
    <w:rsid w:val="00683A5A"/>
    <w:rsid w:val="00683D7A"/>
    <w:rsid w:val="00683F60"/>
    <w:rsid w:val="00684493"/>
    <w:rsid w:val="006845B0"/>
    <w:rsid w:val="006858F1"/>
    <w:rsid w:val="00690136"/>
    <w:rsid w:val="006906D7"/>
    <w:rsid w:val="00693020"/>
    <w:rsid w:val="00693414"/>
    <w:rsid w:val="00695BA7"/>
    <w:rsid w:val="00695CE2"/>
    <w:rsid w:val="00696794"/>
    <w:rsid w:val="0069724C"/>
    <w:rsid w:val="006A0A7D"/>
    <w:rsid w:val="006A173A"/>
    <w:rsid w:val="006A1CEE"/>
    <w:rsid w:val="006A2536"/>
    <w:rsid w:val="006A440C"/>
    <w:rsid w:val="006A44E0"/>
    <w:rsid w:val="006A77AB"/>
    <w:rsid w:val="006B0AED"/>
    <w:rsid w:val="006B0EB3"/>
    <w:rsid w:val="006B264D"/>
    <w:rsid w:val="006B3763"/>
    <w:rsid w:val="006B3F1C"/>
    <w:rsid w:val="006B5454"/>
    <w:rsid w:val="006B5A27"/>
    <w:rsid w:val="006B5F1D"/>
    <w:rsid w:val="006B7973"/>
    <w:rsid w:val="006B7C5E"/>
    <w:rsid w:val="006C04A0"/>
    <w:rsid w:val="006C1DC3"/>
    <w:rsid w:val="006C6109"/>
    <w:rsid w:val="006C7C07"/>
    <w:rsid w:val="006D1DEB"/>
    <w:rsid w:val="006D32ED"/>
    <w:rsid w:val="006D3F6E"/>
    <w:rsid w:val="006D6FA1"/>
    <w:rsid w:val="006D7E18"/>
    <w:rsid w:val="006E0969"/>
    <w:rsid w:val="006E1B70"/>
    <w:rsid w:val="006E28EC"/>
    <w:rsid w:val="006E5C77"/>
    <w:rsid w:val="006E645A"/>
    <w:rsid w:val="006E7724"/>
    <w:rsid w:val="006F07E9"/>
    <w:rsid w:val="006F0881"/>
    <w:rsid w:val="006F0B08"/>
    <w:rsid w:val="006F481C"/>
    <w:rsid w:val="006F4FE4"/>
    <w:rsid w:val="006F561E"/>
    <w:rsid w:val="006F5A63"/>
    <w:rsid w:val="006F614F"/>
    <w:rsid w:val="00701325"/>
    <w:rsid w:val="007027BD"/>
    <w:rsid w:val="00705432"/>
    <w:rsid w:val="00706442"/>
    <w:rsid w:val="007068C2"/>
    <w:rsid w:val="00706E4C"/>
    <w:rsid w:val="00707577"/>
    <w:rsid w:val="00711140"/>
    <w:rsid w:val="00711EA5"/>
    <w:rsid w:val="0071243D"/>
    <w:rsid w:val="0071259E"/>
    <w:rsid w:val="0071291A"/>
    <w:rsid w:val="007140F7"/>
    <w:rsid w:val="00714506"/>
    <w:rsid w:val="00715B92"/>
    <w:rsid w:val="007166AC"/>
    <w:rsid w:val="007211E4"/>
    <w:rsid w:val="0072390A"/>
    <w:rsid w:val="00723FBB"/>
    <w:rsid w:val="0072400E"/>
    <w:rsid w:val="00725C24"/>
    <w:rsid w:val="00725C2F"/>
    <w:rsid w:val="00725D7E"/>
    <w:rsid w:val="007261BE"/>
    <w:rsid w:val="00726310"/>
    <w:rsid w:val="00727848"/>
    <w:rsid w:val="00727C6E"/>
    <w:rsid w:val="0073304C"/>
    <w:rsid w:val="00733578"/>
    <w:rsid w:val="007377F4"/>
    <w:rsid w:val="0073795B"/>
    <w:rsid w:val="007379F6"/>
    <w:rsid w:val="00741316"/>
    <w:rsid w:val="00741918"/>
    <w:rsid w:val="00742177"/>
    <w:rsid w:val="007439D7"/>
    <w:rsid w:val="00750A8D"/>
    <w:rsid w:val="00750B4A"/>
    <w:rsid w:val="0075125F"/>
    <w:rsid w:val="007522D7"/>
    <w:rsid w:val="00752A3C"/>
    <w:rsid w:val="00754A96"/>
    <w:rsid w:val="00756EDD"/>
    <w:rsid w:val="00760B80"/>
    <w:rsid w:val="007624FE"/>
    <w:rsid w:val="00764472"/>
    <w:rsid w:val="00764713"/>
    <w:rsid w:val="00765479"/>
    <w:rsid w:val="00766FA2"/>
    <w:rsid w:val="00767155"/>
    <w:rsid w:val="007671D6"/>
    <w:rsid w:val="007705DE"/>
    <w:rsid w:val="007709A6"/>
    <w:rsid w:val="00772445"/>
    <w:rsid w:val="0077274C"/>
    <w:rsid w:val="00773E8D"/>
    <w:rsid w:val="00776635"/>
    <w:rsid w:val="0077780D"/>
    <w:rsid w:val="00780C7F"/>
    <w:rsid w:val="0078268F"/>
    <w:rsid w:val="00782DE7"/>
    <w:rsid w:val="00783BBB"/>
    <w:rsid w:val="00785A6A"/>
    <w:rsid w:val="00786D27"/>
    <w:rsid w:val="007871D8"/>
    <w:rsid w:val="0078768B"/>
    <w:rsid w:val="007900A1"/>
    <w:rsid w:val="007936E2"/>
    <w:rsid w:val="00794371"/>
    <w:rsid w:val="00794B32"/>
    <w:rsid w:val="00794C60"/>
    <w:rsid w:val="00794E4D"/>
    <w:rsid w:val="00797012"/>
    <w:rsid w:val="007A03B5"/>
    <w:rsid w:val="007A05EE"/>
    <w:rsid w:val="007A2594"/>
    <w:rsid w:val="007A2E76"/>
    <w:rsid w:val="007A5311"/>
    <w:rsid w:val="007A58D2"/>
    <w:rsid w:val="007A6399"/>
    <w:rsid w:val="007A65B6"/>
    <w:rsid w:val="007A6E6B"/>
    <w:rsid w:val="007B0DAA"/>
    <w:rsid w:val="007B4096"/>
    <w:rsid w:val="007B551D"/>
    <w:rsid w:val="007B5663"/>
    <w:rsid w:val="007B64CE"/>
    <w:rsid w:val="007C02C1"/>
    <w:rsid w:val="007C3296"/>
    <w:rsid w:val="007C55B0"/>
    <w:rsid w:val="007C5719"/>
    <w:rsid w:val="007C6002"/>
    <w:rsid w:val="007C65C7"/>
    <w:rsid w:val="007C7049"/>
    <w:rsid w:val="007C7252"/>
    <w:rsid w:val="007D13CD"/>
    <w:rsid w:val="007D2AB7"/>
    <w:rsid w:val="007D311F"/>
    <w:rsid w:val="007D3375"/>
    <w:rsid w:val="007D34EC"/>
    <w:rsid w:val="007D351F"/>
    <w:rsid w:val="007D4371"/>
    <w:rsid w:val="007D4D33"/>
    <w:rsid w:val="007D5173"/>
    <w:rsid w:val="007D7001"/>
    <w:rsid w:val="007D733E"/>
    <w:rsid w:val="007D7631"/>
    <w:rsid w:val="007E00EA"/>
    <w:rsid w:val="007E18EA"/>
    <w:rsid w:val="007E353A"/>
    <w:rsid w:val="007E4A06"/>
    <w:rsid w:val="007E4B9E"/>
    <w:rsid w:val="007E667E"/>
    <w:rsid w:val="007E73B7"/>
    <w:rsid w:val="007E7AC6"/>
    <w:rsid w:val="007F00AA"/>
    <w:rsid w:val="007F0464"/>
    <w:rsid w:val="007F0973"/>
    <w:rsid w:val="007F20AD"/>
    <w:rsid w:val="007F2A7E"/>
    <w:rsid w:val="007F35B9"/>
    <w:rsid w:val="007F3FC1"/>
    <w:rsid w:val="007F50E1"/>
    <w:rsid w:val="007F56A8"/>
    <w:rsid w:val="007F573A"/>
    <w:rsid w:val="007F6396"/>
    <w:rsid w:val="007F6686"/>
    <w:rsid w:val="007F7A91"/>
    <w:rsid w:val="008000FB"/>
    <w:rsid w:val="00800322"/>
    <w:rsid w:val="00801142"/>
    <w:rsid w:val="00802B46"/>
    <w:rsid w:val="00804015"/>
    <w:rsid w:val="00805448"/>
    <w:rsid w:val="00805532"/>
    <w:rsid w:val="008112A6"/>
    <w:rsid w:val="008115E6"/>
    <w:rsid w:val="00812324"/>
    <w:rsid w:val="00812E72"/>
    <w:rsid w:val="00813023"/>
    <w:rsid w:val="00815143"/>
    <w:rsid w:val="0081609A"/>
    <w:rsid w:val="0081661C"/>
    <w:rsid w:val="00824844"/>
    <w:rsid w:val="00824949"/>
    <w:rsid w:val="0082498B"/>
    <w:rsid w:val="00824ADA"/>
    <w:rsid w:val="00825231"/>
    <w:rsid w:val="008265E8"/>
    <w:rsid w:val="008267F6"/>
    <w:rsid w:val="00826CCB"/>
    <w:rsid w:val="008305F1"/>
    <w:rsid w:val="00831C84"/>
    <w:rsid w:val="00832030"/>
    <w:rsid w:val="00832FDE"/>
    <w:rsid w:val="00833968"/>
    <w:rsid w:val="008344D2"/>
    <w:rsid w:val="008363CF"/>
    <w:rsid w:val="00841705"/>
    <w:rsid w:val="00843AE4"/>
    <w:rsid w:val="00843D79"/>
    <w:rsid w:val="00843DBC"/>
    <w:rsid w:val="00846564"/>
    <w:rsid w:val="00852053"/>
    <w:rsid w:val="00852A6A"/>
    <w:rsid w:val="0085326E"/>
    <w:rsid w:val="00854BDD"/>
    <w:rsid w:val="00855857"/>
    <w:rsid w:val="00855CED"/>
    <w:rsid w:val="00856C61"/>
    <w:rsid w:val="008572D9"/>
    <w:rsid w:val="008578F8"/>
    <w:rsid w:val="008606F3"/>
    <w:rsid w:val="00861BEB"/>
    <w:rsid w:val="00861D4C"/>
    <w:rsid w:val="00861DED"/>
    <w:rsid w:val="0086212D"/>
    <w:rsid w:val="00864F46"/>
    <w:rsid w:val="00865145"/>
    <w:rsid w:val="008651E5"/>
    <w:rsid w:val="00866C05"/>
    <w:rsid w:val="00866CEE"/>
    <w:rsid w:val="0086742C"/>
    <w:rsid w:val="0087018F"/>
    <w:rsid w:val="00871D7F"/>
    <w:rsid w:val="0087416F"/>
    <w:rsid w:val="00874A6E"/>
    <w:rsid w:val="0087604E"/>
    <w:rsid w:val="008760D1"/>
    <w:rsid w:val="00876CA8"/>
    <w:rsid w:val="00877849"/>
    <w:rsid w:val="00880BA7"/>
    <w:rsid w:val="0088123B"/>
    <w:rsid w:val="00882954"/>
    <w:rsid w:val="00884336"/>
    <w:rsid w:val="008864D1"/>
    <w:rsid w:val="00887662"/>
    <w:rsid w:val="00887B48"/>
    <w:rsid w:val="00893571"/>
    <w:rsid w:val="008936B6"/>
    <w:rsid w:val="0089429D"/>
    <w:rsid w:val="008961BC"/>
    <w:rsid w:val="00896F71"/>
    <w:rsid w:val="00897951"/>
    <w:rsid w:val="008A2600"/>
    <w:rsid w:val="008A44A9"/>
    <w:rsid w:val="008A4D1C"/>
    <w:rsid w:val="008A51F4"/>
    <w:rsid w:val="008A5E99"/>
    <w:rsid w:val="008A67FF"/>
    <w:rsid w:val="008A6A15"/>
    <w:rsid w:val="008A78F5"/>
    <w:rsid w:val="008A7E85"/>
    <w:rsid w:val="008B17F0"/>
    <w:rsid w:val="008B1E47"/>
    <w:rsid w:val="008B55AA"/>
    <w:rsid w:val="008B58D4"/>
    <w:rsid w:val="008B63F4"/>
    <w:rsid w:val="008C0918"/>
    <w:rsid w:val="008C1FBC"/>
    <w:rsid w:val="008C47BC"/>
    <w:rsid w:val="008D0D03"/>
    <w:rsid w:val="008D58E0"/>
    <w:rsid w:val="008E2F81"/>
    <w:rsid w:val="008E467A"/>
    <w:rsid w:val="008E70DA"/>
    <w:rsid w:val="008F006B"/>
    <w:rsid w:val="008F0ADC"/>
    <w:rsid w:val="008F1904"/>
    <w:rsid w:val="008F1B7B"/>
    <w:rsid w:val="008F37A3"/>
    <w:rsid w:val="008F3ED9"/>
    <w:rsid w:val="008F4283"/>
    <w:rsid w:val="008F4334"/>
    <w:rsid w:val="008F5854"/>
    <w:rsid w:val="00901B90"/>
    <w:rsid w:val="009032B6"/>
    <w:rsid w:val="00905066"/>
    <w:rsid w:val="009053F8"/>
    <w:rsid w:val="009069E4"/>
    <w:rsid w:val="00906CEF"/>
    <w:rsid w:val="00907B8D"/>
    <w:rsid w:val="00907F55"/>
    <w:rsid w:val="00912C79"/>
    <w:rsid w:val="009133A8"/>
    <w:rsid w:val="009134C5"/>
    <w:rsid w:val="0091403C"/>
    <w:rsid w:val="00914713"/>
    <w:rsid w:val="00914D09"/>
    <w:rsid w:val="00914EC9"/>
    <w:rsid w:val="009150E3"/>
    <w:rsid w:val="0091642D"/>
    <w:rsid w:val="009175CF"/>
    <w:rsid w:val="009234D5"/>
    <w:rsid w:val="0092438C"/>
    <w:rsid w:val="009275F4"/>
    <w:rsid w:val="009315BA"/>
    <w:rsid w:val="00931698"/>
    <w:rsid w:val="00932415"/>
    <w:rsid w:val="00941038"/>
    <w:rsid w:val="009414F6"/>
    <w:rsid w:val="00941D8F"/>
    <w:rsid w:val="009420C8"/>
    <w:rsid w:val="00942CED"/>
    <w:rsid w:val="00942D6E"/>
    <w:rsid w:val="009441A6"/>
    <w:rsid w:val="00945FEB"/>
    <w:rsid w:val="009463DE"/>
    <w:rsid w:val="00946441"/>
    <w:rsid w:val="00946742"/>
    <w:rsid w:val="00946DAC"/>
    <w:rsid w:val="009472D9"/>
    <w:rsid w:val="009475CF"/>
    <w:rsid w:val="009477D8"/>
    <w:rsid w:val="00947E17"/>
    <w:rsid w:val="009513E6"/>
    <w:rsid w:val="0095364D"/>
    <w:rsid w:val="00955414"/>
    <w:rsid w:val="00957FE3"/>
    <w:rsid w:val="00961686"/>
    <w:rsid w:val="00962526"/>
    <w:rsid w:val="00965ED3"/>
    <w:rsid w:val="00967850"/>
    <w:rsid w:val="00972976"/>
    <w:rsid w:val="00972CB1"/>
    <w:rsid w:val="009735AD"/>
    <w:rsid w:val="009741F8"/>
    <w:rsid w:val="009764A7"/>
    <w:rsid w:val="00981A05"/>
    <w:rsid w:val="0098256C"/>
    <w:rsid w:val="00982996"/>
    <w:rsid w:val="009858F1"/>
    <w:rsid w:val="009904C5"/>
    <w:rsid w:val="009910E2"/>
    <w:rsid w:val="009911EA"/>
    <w:rsid w:val="009931C3"/>
    <w:rsid w:val="0099340C"/>
    <w:rsid w:val="00994942"/>
    <w:rsid w:val="00995518"/>
    <w:rsid w:val="0099576E"/>
    <w:rsid w:val="00996C38"/>
    <w:rsid w:val="009975CA"/>
    <w:rsid w:val="00997B1A"/>
    <w:rsid w:val="00997DE7"/>
    <w:rsid w:val="009A02CC"/>
    <w:rsid w:val="009A09C7"/>
    <w:rsid w:val="009A1288"/>
    <w:rsid w:val="009A2ABF"/>
    <w:rsid w:val="009A419C"/>
    <w:rsid w:val="009A4DBA"/>
    <w:rsid w:val="009A7654"/>
    <w:rsid w:val="009B0357"/>
    <w:rsid w:val="009B0B0F"/>
    <w:rsid w:val="009B10DF"/>
    <w:rsid w:val="009B1A12"/>
    <w:rsid w:val="009B3881"/>
    <w:rsid w:val="009B3F72"/>
    <w:rsid w:val="009B4A6E"/>
    <w:rsid w:val="009B691C"/>
    <w:rsid w:val="009C158C"/>
    <w:rsid w:val="009C1A05"/>
    <w:rsid w:val="009C22C1"/>
    <w:rsid w:val="009C241E"/>
    <w:rsid w:val="009C29C9"/>
    <w:rsid w:val="009C2E84"/>
    <w:rsid w:val="009C3F62"/>
    <w:rsid w:val="009C464F"/>
    <w:rsid w:val="009D0D65"/>
    <w:rsid w:val="009D1C64"/>
    <w:rsid w:val="009D206F"/>
    <w:rsid w:val="009D2419"/>
    <w:rsid w:val="009D2BB9"/>
    <w:rsid w:val="009D2C80"/>
    <w:rsid w:val="009D2C8B"/>
    <w:rsid w:val="009D358B"/>
    <w:rsid w:val="009D3D54"/>
    <w:rsid w:val="009D468A"/>
    <w:rsid w:val="009D543F"/>
    <w:rsid w:val="009D5D7C"/>
    <w:rsid w:val="009D621E"/>
    <w:rsid w:val="009D66E5"/>
    <w:rsid w:val="009E1565"/>
    <w:rsid w:val="009E2ADC"/>
    <w:rsid w:val="009E2C5F"/>
    <w:rsid w:val="009E3B8C"/>
    <w:rsid w:val="009E51C6"/>
    <w:rsid w:val="009E7E86"/>
    <w:rsid w:val="009E7EAF"/>
    <w:rsid w:val="009F25ED"/>
    <w:rsid w:val="009F29F4"/>
    <w:rsid w:val="009F475F"/>
    <w:rsid w:val="009F7A87"/>
    <w:rsid w:val="009F7B3D"/>
    <w:rsid w:val="00A000D8"/>
    <w:rsid w:val="00A03F0F"/>
    <w:rsid w:val="00A04B9B"/>
    <w:rsid w:val="00A05710"/>
    <w:rsid w:val="00A058F1"/>
    <w:rsid w:val="00A068B1"/>
    <w:rsid w:val="00A07341"/>
    <w:rsid w:val="00A108E0"/>
    <w:rsid w:val="00A11385"/>
    <w:rsid w:val="00A22278"/>
    <w:rsid w:val="00A2300A"/>
    <w:rsid w:val="00A2425F"/>
    <w:rsid w:val="00A2430F"/>
    <w:rsid w:val="00A25376"/>
    <w:rsid w:val="00A255EB"/>
    <w:rsid w:val="00A257DA"/>
    <w:rsid w:val="00A2650C"/>
    <w:rsid w:val="00A27B9F"/>
    <w:rsid w:val="00A31070"/>
    <w:rsid w:val="00A315E8"/>
    <w:rsid w:val="00A3234F"/>
    <w:rsid w:val="00A32584"/>
    <w:rsid w:val="00A3304E"/>
    <w:rsid w:val="00A333B1"/>
    <w:rsid w:val="00A343E8"/>
    <w:rsid w:val="00A40161"/>
    <w:rsid w:val="00A41280"/>
    <w:rsid w:val="00A42A4B"/>
    <w:rsid w:val="00A44507"/>
    <w:rsid w:val="00A46EDB"/>
    <w:rsid w:val="00A5132D"/>
    <w:rsid w:val="00A525A9"/>
    <w:rsid w:val="00A53A1F"/>
    <w:rsid w:val="00A548F8"/>
    <w:rsid w:val="00A56E60"/>
    <w:rsid w:val="00A60566"/>
    <w:rsid w:val="00A60E20"/>
    <w:rsid w:val="00A61837"/>
    <w:rsid w:val="00A62B71"/>
    <w:rsid w:val="00A62DA5"/>
    <w:rsid w:val="00A64A63"/>
    <w:rsid w:val="00A65196"/>
    <w:rsid w:val="00A65376"/>
    <w:rsid w:val="00A66528"/>
    <w:rsid w:val="00A66E7A"/>
    <w:rsid w:val="00A673ED"/>
    <w:rsid w:val="00A67997"/>
    <w:rsid w:val="00A71E55"/>
    <w:rsid w:val="00A73842"/>
    <w:rsid w:val="00A75B2D"/>
    <w:rsid w:val="00A75B67"/>
    <w:rsid w:val="00A761D4"/>
    <w:rsid w:val="00A76F56"/>
    <w:rsid w:val="00A77440"/>
    <w:rsid w:val="00A77D71"/>
    <w:rsid w:val="00A82079"/>
    <w:rsid w:val="00A83409"/>
    <w:rsid w:val="00A83DB2"/>
    <w:rsid w:val="00A84294"/>
    <w:rsid w:val="00A8516F"/>
    <w:rsid w:val="00A859B7"/>
    <w:rsid w:val="00A85B0C"/>
    <w:rsid w:val="00A90B91"/>
    <w:rsid w:val="00A90BE9"/>
    <w:rsid w:val="00A90F95"/>
    <w:rsid w:val="00A919B6"/>
    <w:rsid w:val="00A91F2B"/>
    <w:rsid w:val="00A952C0"/>
    <w:rsid w:val="00A963D7"/>
    <w:rsid w:val="00AA088F"/>
    <w:rsid w:val="00AA1909"/>
    <w:rsid w:val="00AA327B"/>
    <w:rsid w:val="00AA529C"/>
    <w:rsid w:val="00AA64CC"/>
    <w:rsid w:val="00AA6798"/>
    <w:rsid w:val="00AA6C9E"/>
    <w:rsid w:val="00AA7744"/>
    <w:rsid w:val="00AA7E5A"/>
    <w:rsid w:val="00AB0BEE"/>
    <w:rsid w:val="00AB288D"/>
    <w:rsid w:val="00AB46EC"/>
    <w:rsid w:val="00AB4CA5"/>
    <w:rsid w:val="00AB4CC8"/>
    <w:rsid w:val="00AB505A"/>
    <w:rsid w:val="00AB7E62"/>
    <w:rsid w:val="00AC0D49"/>
    <w:rsid w:val="00AC21C7"/>
    <w:rsid w:val="00AC222F"/>
    <w:rsid w:val="00AC3A34"/>
    <w:rsid w:val="00AC71FD"/>
    <w:rsid w:val="00AD04FA"/>
    <w:rsid w:val="00AD0872"/>
    <w:rsid w:val="00AD0941"/>
    <w:rsid w:val="00AD0A26"/>
    <w:rsid w:val="00AD1B03"/>
    <w:rsid w:val="00AD1BB3"/>
    <w:rsid w:val="00AD3198"/>
    <w:rsid w:val="00AD3A0D"/>
    <w:rsid w:val="00AD459B"/>
    <w:rsid w:val="00AD46BD"/>
    <w:rsid w:val="00AE1587"/>
    <w:rsid w:val="00AE376F"/>
    <w:rsid w:val="00AE3F3C"/>
    <w:rsid w:val="00AE564D"/>
    <w:rsid w:val="00AE7C86"/>
    <w:rsid w:val="00AF3E70"/>
    <w:rsid w:val="00AF5CDE"/>
    <w:rsid w:val="00AF5DB7"/>
    <w:rsid w:val="00AF71C5"/>
    <w:rsid w:val="00B00BF7"/>
    <w:rsid w:val="00B01110"/>
    <w:rsid w:val="00B0346C"/>
    <w:rsid w:val="00B0450D"/>
    <w:rsid w:val="00B04CB8"/>
    <w:rsid w:val="00B061A1"/>
    <w:rsid w:val="00B101B8"/>
    <w:rsid w:val="00B10AD8"/>
    <w:rsid w:val="00B115EA"/>
    <w:rsid w:val="00B134C2"/>
    <w:rsid w:val="00B1373A"/>
    <w:rsid w:val="00B13916"/>
    <w:rsid w:val="00B1528B"/>
    <w:rsid w:val="00B157AA"/>
    <w:rsid w:val="00B162FF"/>
    <w:rsid w:val="00B1693F"/>
    <w:rsid w:val="00B20C04"/>
    <w:rsid w:val="00B24396"/>
    <w:rsid w:val="00B2489F"/>
    <w:rsid w:val="00B24991"/>
    <w:rsid w:val="00B24D8F"/>
    <w:rsid w:val="00B250DF"/>
    <w:rsid w:val="00B274A0"/>
    <w:rsid w:val="00B30343"/>
    <w:rsid w:val="00B344AF"/>
    <w:rsid w:val="00B35748"/>
    <w:rsid w:val="00B35AD3"/>
    <w:rsid w:val="00B37F28"/>
    <w:rsid w:val="00B406F3"/>
    <w:rsid w:val="00B42200"/>
    <w:rsid w:val="00B422CA"/>
    <w:rsid w:val="00B4291E"/>
    <w:rsid w:val="00B429C4"/>
    <w:rsid w:val="00B448B9"/>
    <w:rsid w:val="00B45351"/>
    <w:rsid w:val="00B45691"/>
    <w:rsid w:val="00B4585D"/>
    <w:rsid w:val="00B4589E"/>
    <w:rsid w:val="00B45EE8"/>
    <w:rsid w:val="00B46A47"/>
    <w:rsid w:val="00B47902"/>
    <w:rsid w:val="00B50228"/>
    <w:rsid w:val="00B50400"/>
    <w:rsid w:val="00B508C1"/>
    <w:rsid w:val="00B532EC"/>
    <w:rsid w:val="00B53C86"/>
    <w:rsid w:val="00B53ECA"/>
    <w:rsid w:val="00B53FCC"/>
    <w:rsid w:val="00B54BC4"/>
    <w:rsid w:val="00B61825"/>
    <w:rsid w:val="00B6239B"/>
    <w:rsid w:val="00B63A35"/>
    <w:rsid w:val="00B64039"/>
    <w:rsid w:val="00B6465B"/>
    <w:rsid w:val="00B64864"/>
    <w:rsid w:val="00B66D61"/>
    <w:rsid w:val="00B676CA"/>
    <w:rsid w:val="00B70296"/>
    <w:rsid w:val="00B70370"/>
    <w:rsid w:val="00B70C64"/>
    <w:rsid w:val="00B71E65"/>
    <w:rsid w:val="00B7268D"/>
    <w:rsid w:val="00B729EC"/>
    <w:rsid w:val="00B73267"/>
    <w:rsid w:val="00B737A7"/>
    <w:rsid w:val="00B7387F"/>
    <w:rsid w:val="00B7434A"/>
    <w:rsid w:val="00B744CE"/>
    <w:rsid w:val="00B745BD"/>
    <w:rsid w:val="00B74BA7"/>
    <w:rsid w:val="00B753FE"/>
    <w:rsid w:val="00B756E2"/>
    <w:rsid w:val="00B75720"/>
    <w:rsid w:val="00B75DC9"/>
    <w:rsid w:val="00B76C28"/>
    <w:rsid w:val="00B80B33"/>
    <w:rsid w:val="00B824B4"/>
    <w:rsid w:val="00B82C40"/>
    <w:rsid w:val="00B86F4F"/>
    <w:rsid w:val="00B87851"/>
    <w:rsid w:val="00B879FF"/>
    <w:rsid w:val="00B915D6"/>
    <w:rsid w:val="00B91B1B"/>
    <w:rsid w:val="00B92777"/>
    <w:rsid w:val="00B94B8B"/>
    <w:rsid w:val="00B94CD5"/>
    <w:rsid w:val="00B94FDD"/>
    <w:rsid w:val="00B96742"/>
    <w:rsid w:val="00BA09BC"/>
    <w:rsid w:val="00BA0A99"/>
    <w:rsid w:val="00BA1AB1"/>
    <w:rsid w:val="00BA2284"/>
    <w:rsid w:val="00BA3787"/>
    <w:rsid w:val="00BA37FD"/>
    <w:rsid w:val="00BA50BD"/>
    <w:rsid w:val="00BA62DA"/>
    <w:rsid w:val="00BA792E"/>
    <w:rsid w:val="00BB27F9"/>
    <w:rsid w:val="00BB4E13"/>
    <w:rsid w:val="00BB6711"/>
    <w:rsid w:val="00BB6ABC"/>
    <w:rsid w:val="00BB7480"/>
    <w:rsid w:val="00BC0E2A"/>
    <w:rsid w:val="00BC13C1"/>
    <w:rsid w:val="00BC3873"/>
    <w:rsid w:val="00BC3B7A"/>
    <w:rsid w:val="00BC41FB"/>
    <w:rsid w:val="00BD0869"/>
    <w:rsid w:val="00BD1650"/>
    <w:rsid w:val="00BD2C79"/>
    <w:rsid w:val="00BD3720"/>
    <w:rsid w:val="00BD479E"/>
    <w:rsid w:val="00BD493F"/>
    <w:rsid w:val="00BD4E29"/>
    <w:rsid w:val="00BD5047"/>
    <w:rsid w:val="00BD7036"/>
    <w:rsid w:val="00BD7105"/>
    <w:rsid w:val="00BD79F7"/>
    <w:rsid w:val="00BE3226"/>
    <w:rsid w:val="00BE6973"/>
    <w:rsid w:val="00BE7011"/>
    <w:rsid w:val="00BF2FDA"/>
    <w:rsid w:val="00BF3207"/>
    <w:rsid w:val="00BF4484"/>
    <w:rsid w:val="00BF4B2F"/>
    <w:rsid w:val="00BF4F20"/>
    <w:rsid w:val="00BF6E1E"/>
    <w:rsid w:val="00C02797"/>
    <w:rsid w:val="00C03891"/>
    <w:rsid w:val="00C03DF8"/>
    <w:rsid w:val="00C03F05"/>
    <w:rsid w:val="00C07BAE"/>
    <w:rsid w:val="00C11720"/>
    <w:rsid w:val="00C12051"/>
    <w:rsid w:val="00C122AA"/>
    <w:rsid w:val="00C127D3"/>
    <w:rsid w:val="00C12811"/>
    <w:rsid w:val="00C13CEB"/>
    <w:rsid w:val="00C15A62"/>
    <w:rsid w:val="00C2072E"/>
    <w:rsid w:val="00C20EA1"/>
    <w:rsid w:val="00C2547A"/>
    <w:rsid w:val="00C30589"/>
    <w:rsid w:val="00C31D94"/>
    <w:rsid w:val="00C31DC9"/>
    <w:rsid w:val="00C32952"/>
    <w:rsid w:val="00C32C8C"/>
    <w:rsid w:val="00C33B6B"/>
    <w:rsid w:val="00C33F61"/>
    <w:rsid w:val="00C3497F"/>
    <w:rsid w:val="00C34AA4"/>
    <w:rsid w:val="00C36970"/>
    <w:rsid w:val="00C36EE2"/>
    <w:rsid w:val="00C3794B"/>
    <w:rsid w:val="00C41DD5"/>
    <w:rsid w:val="00C42BFA"/>
    <w:rsid w:val="00C4319C"/>
    <w:rsid w:val="00C4395E"/>
    <w:rsid w:val="00C44F62"/>
    <w:rsid w:val="00C4562E"/>
    <w:rsid w:val="00C45D5D"/>
    <w:rsid w:val="00C47307"/>
    <w:rsid w:val="00C51FE0"/>
    <w:rsid w:val="00C52513"/>
    <w:rsid w:val="00C52C29"/>
    <w:rsid w:val="00C52E89"/>
    <w:rsid w:val="00C54BFF"/>
    <w:rsid w:val="00C55142"/>
    <w:rsid w:val="00C5532E"/>
    <w:rsid w:val="00C5612D"/>
    <w:rsid w:val="00C56222"/>
    <w:rsid w:val="00C57635"/>
    <w:rsid w:val="00C6030C"/>
    <w:rsid w:val="00C62CE3"/>
    <w:rsid w:val="00C63AD4"/>
    <w:rsid w:val="00C64A36"/>
    <w:rsid w:val="00C66526"/>
    <w:rsid w:val="00C674E6"/>
    <w:rsid w:val="00C70340"/>
    <w:rsid w:val="00C71D84"/>
    <w:rsid w:val="00C72315"/>
    <w:rsid w:val="00C73605"/>
    <w:rsid w:val="00C805CD"/>
    <w:rsid w:val="00C8080C"/>
    <w:rsid w:val="00C814AA"/>
    <w:rsid w:val="00C8178A"/>
    <w:rsid w:val="00C8270B"/>
    <w:rsid w:val="00C83671"/>
    <w:rsid w:val="00C8367D"/>
    <w:rsid w:val="00C8788E"/>
    <w:rsid w:val="00C90136"/>
    <w:rsid w:val="00C91465"/>
    <w:rsid w:val="00C91CFA"/>
    <w:rsid w:val="00C91FF7"/>
    <w:rsid w:val="00C94EE3"/>
    <w:rsid w:val="00C95B09"/>
    <w:rsid w:val="00C96C8F"/>
    <w:rsid w:val="00CA4F1B"/>
    <w:rsid w:val="00CA504A"/>
    <w:rsid w:val="00CA5792"/>
    <w:rsid w:val="00CA611F"/>
    <w:rsid w:val="00CA663A"/>
    <w:rsid w:val="00CA6998"/>
    <w:rsid w:val="00CA6C20"/>
    <w:rsid w:val="00CA6CCE"/>
    <w:rsid w:val="00CA7353"/>
    <w:rsid w:val="00CB1D01"/>
    <w:rsid w:val="00CB28B8"/>
    <w:rsid w:val="00CB3367"/>
    <w:rsid w:val="00CB33FB"/>
    <w:rsid w:val="00CB3C5D"/>
    <w:rsid w:val="00CB4A26"/>
    <w:rsid w:val="00CB4A37"/>
    <w:rsid w:val="00CB515E"/>
    <w:rsid w:val="00CC01FE"/>
    <w:rsid w:val="00CD3BF3"/>
    <w:rsid w:val="00CD4BFF"/>
    <w:rsid w:val="00CD4EF4"/>
    <w:rsid w:val="00CE042B"/>
    <w:rsid w:val="00CE13D0"/>
    <w:rsid w:val="00CE390B"/>
    <w:rsid w:val="00CE5527"/>
    <w:rsid w:val="00CE702D"/>
    <w:rsid w:val="00CE726B"/>
    <w:rsid w:val="00CF0136"/>
    <w:rsid w:val="00CF18E2"/>
    <w:rsid w:val="00CF1DA1"/>
    <w:rsid w:val="00CF2386"/>
    <w:rsid w:val="00CF25C0"/>
    <w:rsid w:val="00CF3111"/>
    <w:rsid w:val="00CF4C5A"/>
    <w:rsid w:val="00CF7FC4"/>
    <w:rsid w:val="00D01B5B"/>
    <w:rsid w:val="00D027D9"/>
    <w:rsid w:val="00D03423"/>
    <w:rsid w:val="00D03914"/>
    <w:rsid w:val="00D0484A"/>
    <w:rsid w:val="00D04C71"/>
    <w:rsid w:val="00D0532B"/>
    <w:rsid w:val="00D05469"/>
    <w:rsid w:val="00D07866"/>
    <w:rsid w:val="00D07CAC"/>
    <w:rsid w:val="00D10999"/>
    <w:rsid w:val="00D14A05"/>
    <w:rsid w:val="00D14A99"/>
    <w:rsid w:val="00D162FC"/>
    <w:rsid w:val="00D16B98"/>
    <w:rsid w:val="00D16C50"/>
    <w:rsid w:val="00D17048"/>
    <w:rsid w:val="00D17ADF"/>
    <w:rsid w:val="00D2032A"/>
    <w:rsid w:val="00D20DDE"/>
    <w:rsid w:val="00D23AA4"/>
    <w:rsid w:val="00D256AA"/>
    <w:rsid w:val="00D2624B"/>
    <w:rsid w:val="00D26D3E"/>
    <w:rsid w:val="00D31BCB"/>
    <w:rsid w:val="00D34CDA"/>
    <w:rsid w:val="00D401C7"/>
    <w:rsid w:val="00D40446"/>
    <w:rsid w:val="00D40F81"/>
    <w:rsid w:val="00D42F39"/>
    <w:rsid w:val="00D437E1"/>
    <w:rsid w:val="00D43B30"/>
    <w:rsid w:val="00D45B15"/>
    <w:rsid w:val="00D4611B"/>
    <w:rsid w:val="00D47112"/>
    <w:rsid w:val="00D475B5"/>
    <w:rsid w:val="00D50F98"/>
    <w:rsid w:val="00D511B5"/>
    <w:rsid w:val="00D53590"/>
    <w:rsid w:val="00D54B1E"/>
    <w:rsid w:val="00D56193"/>
    <w:rsid w:val="00D61121"/>
    <w:rsid w:val="00D62373"/>
    <w:rsid w:val="00D63B44"/>
    <w:rsid w:val="00D6453C"/>
    <w:rsid w:val="00D6597A"/>
    <w:rsid w:val="00D66676"/>
    <w:rsid w:val="00D703FE"/>
    <w:rsid w:val="00D72122"/>
    <w:rsid w:val="00D738EF"/>
    <w:rsid w:val="00D73CEE"/>
    <w:rsid w:val="00D7406B"/>
    <w:rsid w:val="00D74FA9"/>
    <w:rsid w:val="00D7706A"/>
    <w:rsid w:val="00D7707A"/>
    <w:rsid w:val="00D775F2"/>
    <w:rsid w:val="00D80C43"/>
    <w:rsid w:val="00D81466"/>
    <w:rsid w:val="00D8216E"/>
    <w:rsid w:val="00D82229"/>
    <w:rsid w:val="00D82C31"/>
    <w:rsid w:val="00D831E7"/>
    <w:rsid w:val="00D84A16"/>
    <w:rsid w:val="00D85189"/>
    <w:rsid w:val="00D85514"/>
    <w:rsid w:val="00D86517"/>
    <w:rsid w:val="00D87853"/>
    <w:rsid w:val="00D9221B"/>
    <w:rsid w:val="00D92D57"/>
    <w:rsid w:val="00D93078"/>
    <w:rsid w:val="00D948CD"/>
    <w:rsid w:val="00D95683"/>
    <w:rsid w:val="00D97DDA"/>
    <w:rsid w:val="00DA0102"/>
    <w:rsid w:val="00DA035D"/>
    <w:rsid w:val="00DA2758"/>
    <w:rsid w:val="00DA347F"/>
    <w:rsid w:val="00DA669C"/>
    <w:rsid w:val="00DA70EA"/>
    <w:rsid w:val="00DA7643"/>
    <w:rsid w:val="00DB0946"/>
    <w:rsid w:val="00DB0BB0"/>
    <w:rsid w:val="00DB14D6"/>
    <w:rsid w:val="00DB3336"/>
    <w:rsid w:val="00DB56F6"/>
    <w:rsid w:val="00DC04F3"/>
    <w:rsid w:val="00DC5702"/>
    <w:rsid w:val="00DC5FDA"/>
    <w:rsid w:val="00DC6122"/>
    <w:rsid w:val="00DC6DAD"/>
    <w:rsid w:val="00DC7B32"/>
    <w:rsid w:val="00DD0ABB"/>
    <w:rsid w:val="00DD1C50"/>
    <w:rsid w:val="00DD1F1D"/>
    <w:rsid w:val="00DD26B1"/>
    <w:rsid w:val="00DD3B46"/>
    <w:rsid w:val="00DD43BB"/>
    <w:rsid w:val="00DE22E9"/>
    <w:rsid w:val="00DE3D95"/>
    <w:rsid w:val="00DE41A2"/>
    <w:rsid w:val="00DE4350"/>
    <w:rsid w:val="00DE47D7"/>
    <w:rsid w:val="00DE559A"/>
    <w:rsid w:val="00DE7655"/>
    <w:rsid w:val="00DF088F"/>
    <w:rsid w:val="00DF1AA6"/>
    <w:rsid w:val="00DF2019"/>
    <w:rsid w:val="00DF22BE"/>
    <w:rsid w:val="00DF2D58"/>
    <w:rsid w:val="00DF3CD9"/>
    <w:rsid w:val="00DF46EC"/>
    <w:rsid w:val="00DF495D"/>
    <w:rsid w:val="00DF4FFC"/>
    <w:rsid w:val="00E0156C"/>
    <w:rsid w:val="00E0170B"/>
    <w:rsid w:val="00E04267"/>
    <w:rsid w:val="00E10BB9"/>
    <w:rsid w:val="00E117EF"/>
    <w:rsid w:val="00E12CA7"/>
    <w:rsid w:val="00E13E55"/>
    <w:rsid w:val="00E17B13"/>
    <w:rsid w:val="00E202F8"/>
    <w:rsid w:val="00E207A8"/>
    <w:rsid w:val="00E22F88"/>
    <w:rsid w:val="00E23193"/>
    <w:rsid w:val="00E23E50"/>
    <w:rsid w:val="00E23EC0"/>
    <w:rsid w:val="00E24172"/>
    <w:rsid w:val="00E24535"/>
    <w:rsid w:val="00E24EDB"/>
    <w:rsid w:val="00E26089"/>
    <w:rsid w:val="00E27578"/>
    <w:rsid w:val="00E27579"/>
    <w:rsid w:val="00E27FEB"/>
    <w:rsid w:val="00E30A80"/>
    <w:rsid w:val="00E33D0F"/>
    <w:rsid w:val="00E3412D"/>
    <w:rsid w:val="00E341E8"/>
    <w:rsid w:val="00E344E8"/>
    <w:rsid w:val="00E3534B"/>
    <w:rsid w:val="00E35574"/>
    <w:rsid w:val="00E35A7C"/>
    <w:rsid w:val="00E36031"/>
    <w:rsid w:val="00E364F0"/>
    <w:rsid w:val="00E3678E"/>
    <w:rsid w:val="00E3714D"/>
    <w:rsid w:val="00E406BC"/>
    <w:rsid w:val="00E4132A"/>
    <w:rsid w:val="00E41D09"/>
    <w:rsid w:val="00E432CF"/>
    <w:rsid w:val="00E43C29"/>
    <w:rsid w:val="00E44B5B"/>
    <w:rsid w:val="00E44BAB"/>
    <w:rsid w:val="00E474CD"/>
    <w:rsid w:val="00E50C5F"/>
    <w:rsid w:val="00E519AA"/>
    <w:rsid w:val="00E51F6C"/>
    <w:rsid w:val="00E530F0"/>
    <w:rsid w:val="00E53857"/>
    <w:rsid w:val="00E5423B"/>
    <w:rsid w:val="00E54C20"/>
    <w:rsid w:val="00E57AE5"/>
    <w:rsid w:val="00E57D8E"/>
    <w:rsid w:val="00E605CF"/>
    <w:rsid w:val="00E616D8"/>
    <w:rsid w:val="00E62A5D"/>
    <w:rsid w:val="00E65190"/>
    <w:rsid w:val="00E65302"/>
    <w:rsid w:val="00E6536D"/>
    <w:rsid w:val="00E66B58"/>
    <w:rsid w:val="00E66E0E"/>
    <w:rsid w:val="00E7011A"/>
    <w:rsid w:val="00E705AD"/>
    <w:rsid w:val="00E710AA"/>
    <w:rsid w:val="00E71E7C"/>
    <w:rsid w:val="00E743D3"/>
    <w:rsid w:val="00E758F2"/>
    <w:rsid w:val="00E7610D"/>
    <w:rsid w:val="00E76E20"/>
    <w:rsid w:val="00E76E6A"/>
    <w:rsid w:val="00E80054"/>
    <w:rsid w:val="00E833C4"/>
    <w:rsid w:val="00E84C5E"/>
    <w:rsid w:val="00E85282"/>
    <w:rsid w:val="00E861C8"/>
    <w:rsid w:val="00E867D1"/>
    <w:rsid w:val="00E86EA9"/>
    <w:rsid w:val="00E87FBF"/>
    <w:rsid w:val="00E90619"/>
    <w:rsid w:val="00E90C64"/>
    <w:rsid w:val="00E917ED"/>
    <w:rsid w:val="00E92344"/>
    <w:rsid w:val="00E9489A"/>
    <w:rsid w:val="00E94ADB"/>
    <w:rsid w:val="00E965C2"/>
    <w:rsid w:val="00EA1776"/>
    <w:rsid w:val="00EA271E"/>
    <w:rsid w:val="00EA3B5E"/>
    <w:rsid w:val="00EA67F0"/>
    <w:rsid w:val="00EA6E44"/>
    <w:rsid w:val="00EB08A4"/>
    <w:rsid w:val="00EB4442"/>
    <w:rsid w:val="00EB5B84"/>
    <w:rsid w:val="00EB612C"/>
    <w:rsid w:val="00EB6792"/>
    <w:rsid w:val="00EB7740"/>
    <w:rsid w:val="00EC286A"/>
    <w:rsid w:val="00EC2AB8"/>
    <w:rsid w:val="00EC2BCD"/>
    <w:rsid w:val="00EC32D3"/>
    <w:rsid w:val="00EC47C3"/>
    <w:rsid w:val="00EC485D"/>
    <w:rsid w:val="00EC550E"/>
    <w:rsid w:val="00EC60B3"/>
    <w:rsid w:val="00EC664C"/>
    <w:rsid w:val="00EC6B6D"/>
    <w:rsid w:val="00ED1C0C"/>
    <w:rsid w:val="00ED1D31"/>
    <w:rsid w:val="00ED1E25"/>
    <w:rsid w:val="00ED332D"/>
    <w:rsid w:val="00ED39E4"/>
    <w:rsid w:val="00ED4170"/>
    <w:rsid w:val="00ED62D7"/>
    <w:rsid w:val="00ED64B3"/>
    <w:rsid w:val="00EE18AD"/>
    <w:rsid w:val="00EE215E"/>
    <w:rsid w:val="00EE2C42"/>
    <w:rsid w:val="00EE30C6"/>
    <w:rsid w:val="00EE3DC0"/>
    <w:rsid w:val="00EE5267"/>
    <w:rsid w:val="00EE61F3"/>
    <w:rsid w:val="00EE6811"/>
    <w:rsid w:val="00EF13D5"/>
    <w:rsid w:val="00EF1939"/>
    <w:rsid w:val="00EF59A0"/>
    <w:rsid w:val="00EF7FF0"/>
    <w:rsid w:val="00F00119"/>
    <w:rsid w:val="00F03DDC"/>
    <w:rsid w:val="00F04947"/>
    <w:rsid w:val="00F04B73"/>
    <w:rsid w:val="00F10DEB"/>
    <w:rsid w:val="00F110C8"/>
    <w:rsid w:val="00F123A4"/>
    <w:rsid w:val="00F13903"/>
    <w:rsid w:val="00F13C42"/>
    <w:rsid w:val="00F153EB"/>
    <w:rsid w:val="00F15980"/>
    <w:rsid w:val="00F20EDE"/>
    <w:rsid w:val="00F21292"/>
    <w:rsid w:val="00F21A5D"/>
    <w:rsid w:val="00F228A1"/>
    <w:rsid w:val="00F22DC3"/>
    <w:rsid w:val="00F2337C"/>
    <w:rsid w:val="00F23701"/>
    <w:rsid w:val="00F24180"/>
    <w:rsid w:val="00F2529A"/>
    <w:rsid w:val="00F2662D"/>
    <w:rsid w:val="00F27C64"/>
    <w:rsid w:val="00F3162C"/>
    <w:rsid w:val="00F370D8"/>
    <w:rsid w:val="00F407D4"/>
    <w:rsid w:val="00F41871"/>
    <w:rsid w:val="00F41902"/>
    <w:rsid w:val="00F4194C"/>
    <w:rsid w:val="00F42E95"/>
    <w:rsid w:val="00F436E2"/>
    <w:rsid w:val="00F43AE5"/>
    <w:rsid w:val="00F443F3"/>
    <w:rsid w:val="00F5244D"/>
    <w:rsid w:val="00F5341F"/>
    <w:rsid w:val="00F53539"/>
    <w:rsid w:val="00F56316"/>
    <w:rsid w:val="00F563F1"/>
    <w:rsid w:val="00F56D21"/>
    <w:rsid w:val="00F56ED8"/>
    <w:rsid w:val="00F5769A"/>
    <w:rsid w:val="00F576F8"/>
    <w:rsid w:val="00F578CE"/>
    <w:rsid w:val="00F61442"/>
    <w:rsid w:val="00F6213F"/>
    <w:rsid w:val="00F6457F"/>
    <w:rsid w:val="00F647C6"/>
    <w:rsid w:val="00F64C42"/>
    <w:rsid w:val="00F658BA"/>
    <w:rsid w:val="00F6634F"/>
    <w:rsid w:val="00F67452"/>
    <w:rsid w:val="00F675CB"/>
    <w:rsid w:val="00F707F8"/>
    <w:rsid w:val="00F70831"/>
    <w:rsid w:val="00F70D80"/>
    <w:rsid w:val="00F71150"/>
    <w:rsid w:val="00F7150C"/>
    <w:rsid w:val="00F735C2"/>
    <w:rsid w:val="00F74A6D"/>
    <w:rsid w:val="00F75FB2"/>
    <w:rsid w:val="00F80270"/>
    <w:rsid w:val="00F8060F"/>
    <w:rsid w:val="00F80C2B"/>
    <w:rsid w:val="00F81916"/>
    <w:rsid w:val="00F82641"/>
    <w:rsid w:val="00F83405"/>
    <w:rsid w:val="00F834BE"/>
    <w:rsid w:val="00F842D7"/>
    <w:rsid w:val="00F848D4"/>
    <w:rsid w:val="00F84BD7"/>
    <w:rsid w:val="00F86761"/>
    <w:rsid w:val="00F903C8"/>
    <w:rsid w:val="00F91E36"/>
    <w:rsid w:val="00F929B3"/>
    <w:rsid w:val="00F9384B"/>
    <w:rsid w:val="00F94DDE"/>
    <w:rsid w:val="00F95F78"/>
    <w:rsid w:val="00F96970"/>
    <w:rsid w:val="00F972E3"/>
    <w:rsid w:val="00F97F40"/>
    <w:rsid w:val="00FA13AC"/>
    <w:rsid w:val="00FA15EA"/>
    <w:rsid w:val="00FA1F7B"/>
    <w:rsid w:val="00FA38FD"/>
    <w:rsid w:val="00FA5A37"/>
    <w:rsid w:val="00FA6FCF"/>
    <w:rsid w:val="00FA70A6"/>
    <w:rsid w:val="00FB08BE"/>
    <w:rsid w:val="00FB0A2A"/>
    <w:rsid w:val="00FB10D0"/>
    <w:rsid w:val="00FB56D6"/>
    <w:rsid w:val="00FB61CF"/>
    <w:rsid w:val="00FB6480"/>
    <w:rsid w:val="00FB771C"/>
    <w:rsid w:val="00FB77B2"/>
    <w:rsid w:val="00FC33E3"/>
    <w:rsid w:val="00FC4943"/>
    <w:rsid w:val="00FC5955"/>
    <w:rsid w:val="00FC667B"/>
    <w:rsid w:val="00FC7D61"/>
    <w:rsid w:val="00FC7EE7"/>
    <w:rsid w:val="00FD0379"/>
    <w:rsid w:val="00FD0E77"/>
    <w:rsid w:val="00FD2C59"/>
    <w:rsid w:val="00FD4BDE"/>
    <w:rsid w:val="00FD54ED"/>
    <w:rsid w:val="00FD5E07"/>
    <w:rsid w:val="00FD6CFF"/>
    <w:rsid w:val="00FD75C3"/>
    <w:rsid w:val="00FD7666"/>
    <w:rsid w:val="00FE0C8D"/>
    <w:rsid w:val="00FE279B"/>
    <w:rsid w:val="00FE2E77"/>
    <w:rsid w:val="00FE32A9"/>
    <w:rsid w:val="00FE46CB"/>
    <w:rsid w:val="00FE47B5"/>
    <w:rsid w:val="00FE52EB"/>
    <w:rsid w:val="00FE681D"/>
    <w:rsid w:val="00FF03E4"/>
    <w:rsid w:val="00FF0C70"/>
    <w:rsid w:val="00FF3353"/>
    <w:rsid w:val="00FF5376"/>
    <w:rsid w:val="019918B0"/>
    <w:rsid w:val="081D6877"/>
    <w:rsid w:val="27EDAABB"/>
    <w:rsid w:val="3639E350"/>
    <w:rsid w:val="3AD61A6F"/>
    <w:rsid w:val="5957DEB4"/>
    <w:rsid w:val="7D6D020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AF2DF"/>
  <w15:chartTrackingRefBased/>
  <w15:docId w15:val="{88DBAE57-3630-4E84-85B9-8405B08D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404"/>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025D0E"/>
    <w:pPr>
      <w:spacing w:line="480" w:lineRule="auto"/>
      <w:jc w:val="center"/>
      <w:outlineLvl w:val="0"/>
    </w:pPr>
    <w:rPr>
      <w:b/>
      <w:bCs/>
      <w:color w:val="000000"/>
    </w:rPr>
  </w:style>
  <w:style w:type="paragraph" w:styleId="Heading2">
    <w:name w:val="heading 2"/>
    <w:basedOn w:val="Normal"/>
    <w:next w:val="Normal"/>
    <w:link w:val="Heading2Char"/>
    <w:uiPriority w:val="9"/>
    <w:unhideWhenUsed/>
    <w:qFormat/>
    <w:rsid w:val="00025D0E"/>
    <w:pPr>
      <w:spacing w:before="240" w:line="480" w:lineRule="auto"/>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5908F4"/>
  </w:style>
  <w:style w:type="paragraph" w:styleId="Header">
    <w:name w:val="header"/>
    <w:basedOn w:val="Normal"/>
    <w:link w:val="HeaderChar"/>
    <w:uiPriority w:val="99"/>
    <w:unhideWhenUsed/>
    <w:rsid w:val="005908F4"/>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1">
    <w:name w:val="Header Char1"/>
    <w:basedOn w:val="DefaultParagraphFont"/>
    <w:uiPriority w:val="99"/>
    <w:semiHidden/>
    <w:rsid w:val="005908F4"/>
  </w:style>
  <w:style w:type="character" w:customStyle="1" w:styleId="FooterChar">
    <w:name w:val="Footer Char"/>
    <w:basedOn w:val="DefaultParagraphFont"/>
    <w:link w:val="Footer"/>
    <w:uiPriority w:val="99"/>
    <w:rsid w:val="005908F4"/>
  </w:style>
  <w:style w:type="paragraph" w:styleId="Footer">
    <w:name w:val="footer"/>
    <w:basedOn w:val="Normal"/>
    <w:link w:val="FooterChar"/>
    <w:uiPriority w:val="99"/>
    <w:unhideWhenUsed/>
    <w:rsid w:val="005908F4"/>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1">
    <w:name w:val="Footer Char1"/>
    <w:basedOn w:val="DefaultParagraphFont"/>
    <w:uiPriority w:val="99"/>
    <w:semiHidden/>
    <w:rsid w:val="005908F4"/>
  </w:style>
  <w:style w:type="character" w:styleId="CommentReference">
    <w:name w:val="annotation reference"/>
    <w:basedOn w:val="DefaultParagraphFont"/>
    <w:uiPriority w:val="99"/>
    <w:semiHidden/>
    <w:unhideWhenUsed/>
    <w:rsid w:val="003D5BD9"/>
    <w:rPr>
      <w:sz w:val="16"/>
      <w:szCs w:val="16"/>
    </w:rPr>
  </w:style>
  <w:style w:type="paragraph" w:styleId="CommentText">
    <w:name w:val="annotation text"/>
    <w:basedOn w:val="Normal"/>
    <w:link w:val="CommentTextChar"/>
    <w:uiPriority w:val="99"/>
    <w:unhideWhenUsed/>
    <w:rsid w:val="003D5BD9"/>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3D5BD9"/>
    <w:rPr>
      <w:sz w:val="20"/>
      <w:szCs w:val="20"/>
    </w:rPr>
  </w:style>
  <w:style w:type="paragraph" w:styleId="CommentSubject">
    <w:name w:val="annotation subject"/>
    <w:basedOn w:val="CommentText"/>
    <w:next w:val="CommentText"/>
    <w:link w:val="CommentSubjectChar"/>
    <w:uiPriority w:val="99"/>
    <w:semiHidden/>
    <w:unhideWhenUsed/>
    <w:rsid w:val="003D5BD9"/>
    <w:rPr>
      <w:b/>
      <w:bCs/>
    </w:rPr>
  </w:style>
  <w:style w:type="character" w:customStyle="1" w:styleId="CommentSubjectChar">
    <w:name w:val="Comment Subject Char"/>
    <w:basedOn w:val="CommentTextChar"/>
    <w:link w:val="CommentSubject"/>
    <w:uiPriority w:val="99"/>
    <w:semiHidden/>
    <w:rsid w:val="003D5BD9"/>
    <w:rPr>
      <w:b/>
      <w:bCs/>
      <w:sz w:val="20"/>
      <w:szCs w:val="20"/>
    </w:rPr>
  </w:style>
  <w:style w:type="paragraph" w:styleId="BalloonText">
    <w:name w:val="Balloon Text"/>
    <w:basedOn w:val="Normal"/>
    <w:link w:val="BalloonTextChar"/>
    <w:uiPriority w:val="99"/>
    <w:semiHidden/>
    <w:unhideWhenUsed/>
    <w:rsid w:val="003D5BD9"/>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3D5BD9"/>
    <w:rPr>
      <w:rFonts w:ascii="Times New Roman" w:hAnsi="Times New Roman" w:cs="Times New Roman"/>
      <w:sz w:val="18"/>
      <w:szCs w:val="18"/>
    </w:rPr>
  </w:style>
  <w:style w:type="character" w:styleId="Hyperlink">
    <w:name w:val="Hyperlink"/>
    <w:basedOn w:val="DefaultParagraphFont"/>
    <w:uiPriority w:val="99"/>
    <w:unhideWhenUsed/>
    <w:rsid w:val="00316CF8"/>
    <w:rPr>
      <w:color w:val="0563C1" w:themeColor="hyperlink"/>
      <w:u w:val="single"/>
    </w:rPr>
  </w:style>
  <w:style w:type="character" w:styleId="PageNumber">
    <w:name w:val="page number"/>
    <w:basedOn w:val="DefaultParagraphFont"/>
    <w:uiPriority w:val="99"/>
    <w:semiHidden/>
    <w:unhideWhenUsed/>
    <w:rsid w:val="00483766"/>
  </w:style>
  <w:style w:type="paragraph" w:styleId="Revision">
    <w:name w:val="Revision"/>
    <w:hidden/>
    <w:uiPriority w:val="99"/>
    <w:semiHidden/>
    <w:rsid w:val="008344D2"/>
    <w:pPr>
      <w:spacing w:after="0" w:line="240" w:lineRule="auto"/>
    </w:pPr>
  </w:style>
  <w:style w:type="character" w:styleId="UnresolvedMention">
    <w:name w:val="Unresolved Mention"/>
    <w:basedOn w:val="DefaultParagraphFont"/>
    <w:uiPriority w:val="99"/>
    <w:semiHidden/>
    <w:unhideWhenUsed/>
    <w:rsid w:val="00F24180"/>
    <w:rPr>
      <w:color w:val="605E5C"/>
      <w:shd w:val="clear" w:color="auto" w:fill="E1DFDD"/>
    </w:rPr>
  </w:style>
  <w:style w:type="character" w:styleId="FollowedHyperlink">
    <w:name w:val="FollowedHyperlink"/>
    <w:basedOn w:val="DefaultParagraphFont"/>
    <w:uiPriority w:val="99"/>
    <w:semiHidden/>
    <w:unhideWhenUsed/>
    <w:rsid w:val="00F94DDE"/>
    <w:rPr>
      <w:color w:val="954F72" w:themeColor="followedHyperlink"/>
      <w:u w:val="single"/>
    </w:rPr>
  </w:style>
  <w:style w:type="character" w:styleId="Emphasis">
    <w:name w:val="Emphasis"/>
    <w:basedOn w:val="DefaultParagraphFont"/>
    <w:uiPriority w:val="20"/>
    <w:qFormat/>
    <w:rsid w:val="00280528"/>
    <w:rPr>
      <w:i/>
      <w:iCs/>
    </w:rPr>
  </w:style>
  <w:style w:type="paragraph" w:customStyle="1" w:styleId="Default">
    <w:name w:val="Default"/>
    <w:rsid w:val="00B75720"/>
    <w:pPr>
      <w:autoSpaceDE w:val="0"/>
      <w:autoSpaceDN w:val="0"/>
      <w:adjustRightInd w:val="0"/>
      <w:spacing w:after="0" w:line="240" w:lineRule="auto"/>
    </w:pPr>
    <w:rPr>
      <w:rFonts w:ascii="Calibri" w:eastAsia="Calibri" w:hAnsi="Calibri" w:cs="Calibri"/>
      <w:color w:val="000000"/>
      <w:sz w:val="24"/>
      <w:szCs w:val="24"/>
      <w:lang w:eastAsia="en-GB"/>
    </w:rPr>
  </w:style>
  <w:style w:type="character" w:styleId="LineNumber">
    <w:name w:val="line number"/>
    <w:basedOn w:val="DefaultParagraphFont"/>
    <w:uiPriority w:val="99"/>
    <w:semiHidden/>
    <w:unhideWhenUsed/>
    <w:rsid w:val="002D751F"/>
  </w:style>
  <w:style w:type="table" w:styleId="TableGrid">
    <w:name w:val="Table Grid"/>
    <w:basedOn w:val="TableNormal"/>
    <w:uiPriority w:val="39"/>
    <w:rsid w:val="003E5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25D0E"/>
    <w:rPr>
      <w:rFonts w:ascii="Times New Roman" w:eastAsia="Times New Roman" w:hAnsi="Times New Roman" w:cs="Times New Roman"/>
      <w:b/>
      <w:bCs/>
      <w:color w:val="000000"/>
      <w:sz w:val="24"/>
      <w:szCs w:val="24"/>
      <w:lang w:eastAsia="en-GB"/>
    </w:rPr>
  </w:style>
  <w:style w:type="paragraph" w:styleId="ListParagraph">
    <w:name w:val="List Paragraph"/>
    <w:basedOn w:val="Normal"/>
    <w:uiPriority w:val="34"/>
    <w:qFormat/>
    <w:rsid w:val="00CF18E2"/>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uiPriority w:val="99"/>
    <w:semiHidden/>
    <w:unhideWhenUsed/>
    <w:rsid w:val="00CF18E2"/>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CF18E2"/>
    <w:rPr>
      <w:sz w:val="20"/>
      <w:szCs w:val="20"/>
    </w:rPr>
  </w:style>
  <w:style w:type="character" w:styleId="FootnoteReference">
    <w:name w:val="footnote reference"/>
    <w:basedOn w:val="DefaultParagraphFont"/>
    <w:uiPriority w:val="99"/>
    <w:semiHidden/>
    <w:unhideWhenUsed/>
    <w:rsid w:val="00CF18E2"/>
    <w:rPr>
      <w:vertAlign w:val="superscript"/>
    </w:rPr>
  </w:style>
  <w:style w:type="table" w:customStyle="1" w:styleId="QTable">
    <w:name w:val="QTable"/>
    <w:uiPriority w:val="99"/>
    <w:qFormat/>
    <w:rsid w:val="00B45351"/>
    <w:pPr>
      <w:spacing w:after="0" w:line="240" w:lineRule="auto"/>
    </w:pPr>
    <w:rPr>
      <w:rFonts w:eastAsiaTheme="minorEastAsia"/>
      <w:lang w:val="en-US"/>
    </w:r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styleId="TableGridLight">
    <w:name w:val="Grid Table Light"/>
    <w:basedOn w:val="TableNormal"/>
    <w:uiPriority w:val="40"/>
    <w:rsid w:val="00B45351"/>
    <w:pPr>
      <w:spacing w:after="0" w:line="240" w:lineRule="auto"/>
    </w:pPr>
    <w:rPr>
      <w:rFonts w:eastAsiaTheme="minorEastAsia"/>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le">
    <w:name w:val="Title"/>
    <w:basedOn w:val="Normal"/>
    <w:next w:val="Normal"/>
    <w:link w:val="TitleChar"/>
    <w:uiPriority w:val="10"/>
    <w:qFormat/>
    <w:rsid w:val="00025D0E"/>
    <w:pPr>
      <w:spacing w:line="480" w:lineRule="auto"/>
      <w:jc w:val="center"/>
    </w:pPr>
    <w:rPr>
      <w:iCs/>
    </w:rPr>
  </w:style>
  <w:style w:type="character" w:customStyle="1" w:styleId="TitleChar">
    <w:name w:val="Title Char"/>
    <w:basedOn w:val="DefaultParagraphFont"/>
    <w:link w:val="Title"/>
    <w:uiPriority w:val="10"/>
    <w:rsid w:val="00025D0E"/>
    <w:rPr>
      <w:rFonts w:ascii="Times New Roman" w:eastAsia="Times New Roman" w:hAnsi="Times New Roman" w:cs="Times New Roman"/>
      <w:iCs/>
      <w:sz w:val="24"/>
      <w:szCs w:val="24"/>
      <w:lang w:eastAsia="en-GB"/>
    </w:rPr>
  </w:style>
  <w:style w:type="character" w:customStyle="1" w:styleId="Heading2Char">
    <w:name w:val="Heading 2 Char"/>
    <w:basedOn w:val="DefaultParagraphFont"/>
    <w:link w:val="Heading2"/>
    <w:uiPriority w:val="9"/>
    <w:rsid w:val="00025D0E"/>
    <w:rPr>
      <w:rFonts w:ascii="Times New Roman" w:eastAsia="Times New Roman" w:hAnsi="Times New Roman" w:cs="Times New Roman"/>
      <w:b/>
      <w:b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94714">
      <w:bodyDiv w:val="1"/>
      <w:marLeft w:val="0"/>
      <w:marRight w:val="0"/>
      <w:marTop w:val="0"/>
      <w:marBottom w:val="0"/>
      <w:divBdr>
        <w:top w:val="none" w:sz="0" w:space="0" w:color="auto"/>
        <w:left w:val="none" w:sz="0" w:space="0" w:color="auto"/>
        <w:bottom w:val="none" w:sz="0" w:space="0" w:color="auto"/>
        <w:right w:val="none" w:sz="0" w:space="0" w:color="auto"/>
      </w:divBdr>
    </w:div>
    <w:div w:id="281424644">
      <w:bodyDiv w:val="1"/>
      <w:marLeft w:val="0"/>
      <w:marRight w:val="0"/>
      <w:marTop w:val="0"/>
      <w:marBottom w:val="0"/>
      <w:divBdr>
        <w:top w:val="none" w:sz="0" w:space="0" w:color="auto"/>
        <w:left w:val="none" w:sz="0" w:space="0" w:color="auto"/>
        <w:bottom w:val="none" w:sz="0" w:space="0" w:color="auto"/>
        <w:right w:val="none" w:sz="0" w:space="0" w:color="auto"/>
      </w:divBdr>
    </w:div>
    <w:div w:id="673917856">
      <w:bodyDiv w:val="1"/>
      <w:marLeft w:val="0"/>
      <w:marRight w:val="0"/>
      <w:marTop w:val="0"/>
      <w:marBottom w:val="0"/>
      <w:divBdr>
        <w:top w:val="none" w:sz="0" w:space="0" w:color="auto"/>
        <w:left w:val="none" w:sz="0" w:space="0" w:color="auto"/>
        <w:bottom w:val="none" w:sz="0" w:space="0" w:color="auto"/>
        <w:right w:val="none" w:sz="0" w:space="0" w:color="auto"/>
      </w:divBdr>
    </w:div>
    <w:div w:id="764764951">
      <w:bodyDiv w:val="1"/>
      <w:marLeft w:val="0"/>
      <w:marRight w:val="0"/>
      <w:marTop w:val="0"/>
      <w:marBottom w:val="0"/>
      <w:divBdr>
        <w:top w:val="none" w:sz="0" w:space="0" w:color="auto"/>
        <w:left w:val="none" w:sz="0" w:space="0" w:color="auto"/>
        <w:bottom w:val="none" w:sz="0" w:space="0" w:color="auto"/>
        <w:right w:val="none" w:sz="0" w:space="0" w:color="auto"/>
      </w:divBdr>
    </w:div>
    <w:div w:id="869336648">
      <w:bodyDiv w:val="1"/>
      <w:marLeft w:val="0"/>
      <w:marRight w:val="0"/>
      <w:marTop w:val="0"/>
      <w:marBottom w:val="0"/>
      <w:divBdr>
        <w:top w:val="none" w:sz="0" w:space="0" w:color="auto"/>
        <w:left w:val="none" w:sz="0" w:space="0" w:color="auto"/>
        <w:bottom w:val="none" w:sz="0" w:space="0" w:color="auto"/>
        <w:right w:val="none" w:sz="0" w:space="0" w:color="auto"/>
      </w:divBdr>
    </w:div>
    <w:div w:id="1150560160">
      <w:bodyDiv w:val="1"/>
      <w:marLeft w:val="0"/>
      <w:marRight w:val="0"/>
      <w:marTop w:val="0"/>
      <w:marBottom w:val="0"/>
      <w:divBdr>
        <w:top w:val="none" w:sz="0" w:space="0" w:color="auto"/>
        <w:left w:val="none" w:sz="0" w:space="0" w:color="auto"/>
        <w:bottom w:val="none" w:sz="0" w:space="0" w:color="auto"/>
        <w:right w:val="none" w:sz="0" w:space="0" w:color="auto"/>
      </w:divBdr>
    </w:div>
    <w:div w:id="1384063174">
      <w:bodyDiv w:val="1"/>
      <w:marLeft w:val="0"/>
      <w:marRight w:val="0"/>
      <w:marTop w:val="0"/>
      <w:marBottom w:val="0"/>
      <w:divBdr>
        <w:top w:val="none" w:sz="0" w:space="0" w:color="auto"/>
        <w:left w:val="none" w:sz="0" w:space="0" w:color="auto"/>
        <w:bottom w:val="none" w:sz="0" w:space="0" w:color="auto"/>
        <w:right w:val="none" w:sz="0" w:space="0" w:color="auto"/>
      </w:divBdr>
    </w:div>
    <w:div w:id="1400400783">
      <w:bodyDiv w:val="1"/>
      <w:marLeft w:val="0"/>
      <w:marRight w:val="0"/>
      <w:marTop w:val="0"/>
      <w:marBottom w:val="0"/>
      <w:divBdr>
        <w:top w:val="none" w:sz="0" w:space="0" w:color="auto"/>
        <w:left w:val="none" w:sz="0" w:space="0" w:color="auto"/>
        <w:bottom w:val="none" w:sz="0" w:space="0" w:color="auto"/>
        <w:right w:val="none" w:sz="0" w:space="0" w:color="auto"/>
      </w:divBdr>
    </w:div>
    <w:div w:id="1402026034">
      <w:bodyDiv w:val="1"/>
      <w:marLeft w:val="0"/>
      <w:marRight w:val="0"/>
      <w:marTop w:val="0"/>
      <w:marBottom w:val="0"/>
      <w:divBdr>
        <w:top w:val="none" w:sz="0" w:space="0" w:color="auto"/>
        <w:left w:val="none" w:sz="0" w:space="0" w:color="auto"/>
        <w:bottom w:val="none" w:sz="0" w:space="0" w:color="auto"/>
        <w:right w:val="none" w:sz="0" w:space="0" w:color="auto"/>
      </w:divBdr>
    </w:div>
    <w:div w:id="1465587977">
      <w:bodyDiv w:val="1"/>
      <w:marLeft w:val="0"/>
      <w:marRight w:val="0"/>
      <w:marTop w:val="0"/>
      <w:marBottom w:val="0"/>
      <w:divBdr>
        <w:top w:val="none" w:sz="0" w:space="0" w:color="auto"/>
        <w:left w:val="none" w:sz="0" w:space="0" w:color="auto"/>
        <w:bottom w:val="none" w:sz="0" w:space="0" w:color="auto"/>
        <w:right w:val="none" w:sz="0" w:space="0" w:color="auto"/>
      </w:divBdr>
    </w:div>
    <w:div w:id="1699505547">
      <w:bodyDiv w:val="1"/>
      <w:marLeft w:val="0"/>
      <w:marRight w:val="0"/>
      <w:marTop w:val="0"/>
      <w:marBottom w:val="0"/>
      <w:divBdr>
        <w:top w:val="none" w:sz="0" w:space="0" w:color="auto"/>
        <w:left w:val="none" w:sz="0" w:space="0" w:color="auto"/>
        <w:bottom w:val="none" w:sz="0" w:space="0" w:color="auto"/>
        <w:right w:val="none" w:sz="0" w:space="0" w:color="auto"/>
      </w:divBdr>
    </w:div>
    <w:div w:id="2022470297">
      <w:bodyDiv w:val="1"/>
      <w:marLeft w:val="0"/>
      <w:marRight w:val="0"/>
      <w:marTop w:val="0"/>
      <w:marBottom w:val="0"/>
      <w:divBdr>
        <w:top w:val="none" w:sz="0" w:space="0" w:color="auto"/>
        <w:left w:val="none" w:sz="0" w:space="0" w:color="auto"/>
        <w:bottom w:val="none" w:sz="0" w:space="0" w:color="auto"/>
        <w:right w:val="none" w:sz="0" w:space="0" w:color="auto"/>
      </w:divBdr>
    </w:div>
    <w:div w:id="206767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Word_Document.docx"/><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sets.publishing.service.gov.uk/government/uploads/system/uploads/attachment_data/file/775151/20190107_Enclosure_1_Population_Projections_-_UK_Armed_Forces_Veterans_residing_in_Great_Britain_-_2016_to_2028.pdf" TargetMode="External"/><Relationship Id="rId5" Type="http://schemas.openxmlformats.org/officeDocument/2006/relationships/webSettings" Target="webSettings.xml"/><Relationship Id="rId15" Type="http://schemas.openxmlformats.org/officeDocument/2006/relationships/package" Target="embeddings/Microsoft_Word_Document1.docx"/><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0B7B5-7323-4D3F-B43B-CAEEED1F9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9958</Words>
  <Characters>56767</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Dighton</dc:creator>
  <cp:keywords/>
  <dc:description/>
  <cp:lastModifiedBy>Blanshard, Lisa</cp:lastModifiedBy>
  <cp:revision>7</cp:revision>
  <cp:lastPrinted>2021-04-15T18:10:00Z</cp:lastPrinted>
  <dcterms:created xsi:type="dcterms:W3CDTF">2022-02-23T11:44:00Z</dcterms:created>
  <dcterms:modified xsi:type="dcterms:W3CDTF">2022-02-24T10:03:00Z</dcterms:modified>
</cp:coreProperties>
</file>