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DC8F8" w14:textId="77777777" w:rsidR="00766376" w:rsidRPr="008B63A3" w:rsidRDefault="00766376" w:rsidP="001634BD">
      <w:pPr>
        <w:pStyle w:val="Title"/>
      </w:pPr>
      <w:bookmarkStart w:id="0" w:name="_Toc151734077"/>
      <w:bookmarkStart w:id="1" w:name="_Toc350501418"/>
      <w:bookmarkStart w:id="2" w:name="_Toc432415454"/>
      <w:r w:rsidRPr="008B63A3">
        <w:t xml:space="preserve">ASSOCIATIONS BETWEEN LEVELS OF PHYSICAL ACTIVITY AND MORTALITY IN OLDER ADULTS: A PROSPECTIVE COHORT STUDY </w:t>
      </w:r>
    </w:p>
    <w:bookmarkEnd w:id="2"/>
    <w:p w14:paraId="0D83844D" w14:textId="77777777" w:rsidR="00766376" w:rsidRPr="008B63A3" w:rsidRDefault="00766376" w:rsidP="00766376">
      <w:pPr>
        <w:spacing w:line="360" w:lineRule="auto"/>
        <w:rPr>
          <w:sz w:val="24"/>
          <w:szCs w:val="24"/>
        </w:rPr>
      </w:pPr>
      <w:r w:rsidRPr="008B63A3">
        <w:rPr>
          <w:b/>
          <w:sz w:val="24"/>
          <w:szCs w:val="24"/>
        </w:rPr>
        <w:t>PhD</w:t>
      </w:r>
      <w:r w:rsidRPr="008B63A3">
        <w:rPr>
          <w:sz w:val="24"/>
          <w:szCs w:val="24"/>
        </w:rPr>
        <w:t>, Igor Conterato Gomes</w:t>
      </w:r>
      <w:r w:rsidRPr="008B63A3">
        <w:rPr>
          <w:sz w:val="24"/>
          <w:szCs w:val="24"/>
          <w:vertAlign w:val="superscript"/>
        </w:rPr>
        <w:t>1</w:t>
      </w:r>
      <w:r w:rsidRPr="008B63A3">
        <w:rPr>
          <w:sz w:val="24"/>
          <w:szCs w:val="24"/>
        </w:rPr>
        <w:t xml:space="preserve">, </w:t>
      </w:r>
      <w:r w:rsidRPr="008B63A3">
        <w:rPr>
          <w:b/>
          <w:sz w:val="24"/>
          <w:szCs w:val="24"/>
        </w:rPr>
        <w:t>MSc</w:t>
      </w:r>
      <w:r w:rsidRPr="008B63A3">
        <w:rPr>
          <w:sz w:val="24"/>
          <w:szCs w:val="24"/>
        </w:rPr>
        <w:t xml:space="preserve">, Vagner Deuel de </w:t>
      </w:r>
      <w:r w:rsidR="008954C6" w:rsidRPr="008B63A3">
        <w:rPr>
          <w:sz w:val="24"/>
          <w:szCs w:val="24"/>
        </w:rPr>
        <w:t>O.</w:t>
      </w:r>
      <w:r w:rsidRPr="008B63A3">
        <w:rPr>
          <w:sz w:val="24"/>
          <w:szCs w:val="24"/>
        </w:rPr>
        <w:t xml:space="preserve"> Tavares</w:t>
      </w:r>
      <w:r w:rsidRPr="008B63A3">
        <w:rPr>
          <w:sz w:val="24"/>
          <w:szCs w:val="24"/>
          <w:vertAlign w:val="superscript"/>
        </w:rPr>
        <w:t>2</w:t>
      </w:r>
      <w:r w:rsidRPr="008B63A3">
        <w:rPr>
          <w:sz w:val="24"/>
          <w:szCs w:val="24"/>
        </w:rPr>
        <w:t xml:space="preserve">, </w:t>
      </w:r>
      <w:r w:rsidRPr="008B63A3">
        <w:rPr>
          <w:b/>
          <w:sz w:val="24"/>
          <w:szCs w:val="24"/>
        </w:rPr>
        <w:t>PhD</w:t>
      </w:r>
      <w:r w:rsidRPr="008B63A3">
        <w:rPr>
          <w:sz w:val="24"/>
          <w:szCs w:val="24"/>
        </w:rPr>
        <w:t>, Leônidas de Oliveira Neto</w:t>
      </w:r>
      <w:r w:rsidRPr="008B63A3">
        <w:rPr>
          <w:sz w:val="24"/>
          <w:szCs w:val="24"/>
          <w:vertAlign w:val="superscript"/>
        </w:rPr>
        <w:t>3</w:t>
      </w:r>
      <w:r w:rsidRPr="008B63A3">
        <w:rPr>
          <w:sz w:val="24"/>
          <w:szCs w:val="24"/>
        </w:rPr>
        <w:t xml:space="preserve">, </w:t>
      </w:r>
      <w:r w:rsidRPr="008B63A3">
        <w:rPr>
          <w:b/>
          <w:sz w:val="24"/>
          <w:szCs w:val="24"/>
        </w:rPr>
        <w:t>MSc</w:t>
      </w:r>
      <w:r w:rsidRPr="008B63A3">
        <w:rPr>
          <w:sz w:val="24"/>
          <w:szCs w:val="24"/>
        </w:rPr>
        <w:t>, Pedro de Moraes Dutra Agrícola</w:t>
      </w:r>
      <w:r w:rsidRPr="008B63A3">
        <w:rPr>
          <w:sz w:val="24"/>
          <w:szCs w:val="24"/>
          <w:vertAlign w:val="superscript"/>
        </w:rPr>
        <w:t>4</w:t>
      </w:r>
      <w:r w:rsidRPr="008B63A3">
        <w:rPr>
          <w:sz w:val="24"/>
          <w:szCs w:val="24"/>
        </w:rPr>
        <w:t xml:space="preserve">, </w:t>
      </w:r>
      <w:r w:rsidRPr="008B63A3">
        <w:rPr>
          <w:b/>
          <w:sz w:val="24"/>
          <w:szCs w:val="24"/>
        </w:rPr>
        <w:t>PhD</w:t>
      </w:r>
      <w:r w:rsidRPr="008B63A3">
        <w:rPr>
          <w:sz w:val="24"/>
          <w:szCs w:val="24"/>
        </w:rPr>
        <w:t>, Matthew Jenkins</w:t>
      </w:r>
      <w:r w:rsidRPr="008B63A3">
        <w:rPr>
          <w:sz w:val="24"/>
          <w:szCs w:val="24"/>
          <w:vertAlign w:val="superscript"/>
        </w:rPr>
        <w:t>5</w:t>
      </w:r>
      <w:r w:rsidRPr="008B63A3">
        <w:rPr>
          <w:sz w:val="24"/>
          <w:szCs w:val="24"/>
        </w:rPr>
        <w:t xml:space="preserve">, </w:t>
      </w:r>
      <w:r w:rsidRPr="008B63A3">
        <w:rPr>
          <w:b/>
          <w:sz w:val="24"/>
          <w:szCs w:val="24"/>
        </w:rPr>
        <w:t>PhD</w:t>
      </w:r>
      <w:r w:rsidRPr="008B63A3">
        <w:rPr>
          <w:sz w:val="24"/>
          <w:szCs w:val="24"/>
        </w:rPr>
        <w:t xml:space="preserve">, Lee Smith </w:t>
      </w:r>
      <w:r w:rsidRPr="008B63A3">
        <w:rPr>
          <w:sz w:val="24"/>
          <w:szCs w:val="24"/>
          <w:vertAlign w:val="superscript"/>
        </w:rPr>
        <w:t>6</w:t>
      </w:r>
      <w:r w:rsidRPr="008B63A3">
        <w:rPr>
          <w:sz w:val="24"/>
          <w:szCs w:val="24"/>
        </w:rPr>
        <w:t xml:space="preserve">, </w:t>
      </w:r>
      <w:r w:rsidRPr="008B63A3">
        <w:rPr>
          <w:b/>
          <w:sz w:val="24"/>
          <w:szCs w:val="24"/>
        </w:rPr>
        <w:t>PhD</w:t>
      </w:r>
      <w:r w:rsidRPr="008B63A3">
        <w:rPr>
          <w:sz w:val="24"/>
          <w:szCs w:val="24"/>
        </w:rPr>
        <w:t>, Yeda Aparecida de Oliveira Duarte</w:t>
      </w:r>
      <w:r w:rsidRPr="008B63A3">
        <w:rPr>
          <w:sz w:val="24"/>
          <w:szCs w:val="24"/>
          <w:vertAlign w:val="superscript"/>
        </w:rPr>
        <w:t>7</w:t>
      </w:r>
    </w:p>
    <w:p w14:paraId="097725EA" w14:textId="77777777" w:rsidR="00766376" w:rsidRPr="008B63A3" w:rsidRDefault="00766376" w:rsidP="00766376">
      <w:pPr>
        <w:autoSpaceDE w:val="0"/>
        <w:autoSpaceDN w:val="0"/>
        <w:adjustRightInd w:val="0"/>
        <w:jc w:val="both"/>
        <w:rPr>
          <w:sz w:val="24"/>
          <w:szCs w:val="24"/>
        </w:rPr>
      </w:pPr>
    </w:p>
    <w:p w14:paraId="3AF62E5E"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1</w:t>
      </w:r>
      <w:r w:rsidRPr="008B63A3">
        <w:rPr>
          <w:sz w:val="24"/>
          <w:szCs w:val="24"/>
          <w:lang w:val="en-US"/>
        </w:rPr>
        <w:t xml:space="preserve"> Department of Epidemiology, School of Public Health, University of São Paulo, </w:t>
      </w:r>
      <w:proofErr w:type="gramStart"/>
      <w:r w:rsidRPr="008B63A3">
        <w:rPr>
          <w:sz w:val="24"/>
          <w:szCs w:val="24"/>
          <w:lang w:val="en-US"/>
        </w:rPr>
        <w:t>Brazil;</w:t>
      </w:r>
      <w:proofErr w:type="gramEnd"/>
      <w:r w:rsidRPr="008B63A3">
        <w:rPr>
          <w:sz w:val="24"/>
          <w:szCs w:val="24"/>
          <w:lang w:val="en-US"/>
        </w:rPr>
        <w:t xml:space="preserve"> </w:t>
      </w:r>
    </w:p>
    <w:p w14:paraId="115D9402"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2</w:t>
      </w:r>
      <w:r w:rsidRPr="008B63A3">
        <w:rPr>
          <w:sz w:val="24"/>
          <w:szCs w:val="24"/>
          <w:lang w:val="en-US"/>
        </w:rPr>
        <w:t xml:space="preserve"> Laboratory of Hormone Measurement, Department of Physiology and Behavior, Federal University of Rio Grande do Norte, Natal, </w:t>
      </w:r>
      <w:proofErr w:type="gramStart"/>
      <w:r w:rsidRPr="008B63A3">
        <w:rPr>
          <w:sz w:val="24"/>
          <w:szCs w:val="24"/>
          <w:lang w:val="en-US"/>
        </w:rPr>
        <w:t>Brazil;</w:t>
      </w:r>
      <w:proofErr w:type="gramEnd"/>
      <w:r w:rsidRPr="008B63A3">
        <w:rPr>
          <w:sz w:val="24"/>
          <w:szCs w:val="24"/>
          <w:lang w:val="en-US"/>
        </w:rPr>
        <w:t xml:space="preserve"> </w:t>
      </w:r>
    </w:p>
    <w:p w14:paraId="4E03CB9F"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3</w:t>
      </w:r>
      <w:r w:rsidRPr="008B63A3">
        <w:rPr>
          <w:sz w:val="24"/>
          <w:szCs w:val="24"/>
          <w:lang w:val="en-US"/>
        </w:rPr>
        <w:t xml:space="preserve"> Research Group in Biomechanics (GEBIO), Department of Physical Education, Federal University of Rio Grande do Norte, Natal-RN, </w:t>
      </w:r>
      <w:proofErr w:type="gramStart"/>
      <w:r w:rsidRPr="008B63A3">
        <w:rPr>
          <w:sz w:val="24"/>
          <w:szCs w:val="24"/>
          <w:lang w:val="en-US"/>
        </w:rPr>
        <w:t>Brazil;</w:t>
      </w:r>
      <w:proofErr w:type="gramEnd"/>
      <w:r w:rsidRPr="008B63A3">
        <w:rPr>
          <w:sz w:val="24"/>
          <w:szCs w:val="24"/>
          <w:lang w:val="en-US"/>
        </w:rPr>
        <w:t xml:space="preserve"> </w:t>
      </w:r>
    </w:p>
    <w:p w14:paraId="02A763C3"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4</w:t>
      </w:r>
      <w:r w:rsidRPr="008B63A3">
        <w:rPr>
          <w:sz w:val="24"/>
          <w:szCs w:val="24"/>
          <w:lang w:val="en-US"/>
        </w:rPr>
        <w:t xml:space="preserve"> Department of Physical Education, University </w:t>
      </w:r>
      <w:proofErr w:type="spellStart"/>
      <w:r w:rsidRPr="008B63A3">
        <w:rPr>
          <w:sz w:val="24"/>
          <w:szCs w:val="24"/>
          <w:lang w:val="en-US"/>
        </w:rPr>
        <w:t>Maurício</w:t>
      </w:r>
      <w:proofErr w:type="spellEnd"/>
      <w:r w:rsidRPr="008B63A3">
        <w:rPr>
          <w:sz w:val="24"/>
          <w:szCs w:val="24"/>
          <w:lang w:val="en-US"/>
        </w:rPr>
        <w:t xml:space="preserve"> de </w:t>
      </w:r>
      <w:proofErr w:type="gramStart"/>
      <w:r w:rsidRPr="008B63A3">
        <w:rPr>
          <w:sz w:val="24"/>
          <w:szCs w:val="24"/>
          <w:lang w:val="en-US"/>
        </w:rPr>
        <w:t>Nassau;</w:t>
      </w:r>
      <w:proofErr w:type="gramEnd"/>
      <w:r w:rsidRPr="008B63A3">
        <w:rPr>
          <w:sz w:val="24"/>
          <w:szCs w:val="24"/>
          <w:lang w:val="en-US"/>
        </w:rPr>
        <w:t xml:space="preserve"> </w:t>
      </w:r>
    </w:p>
    <w:p w14:paraId="6AAAF0E0"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5</w:t>
      </w:r>
      <w:r w:rsidRPr="008B63A3">
        <w:rPr>
          <w:sz w:val="24"/>
          <w:szCs w:val="24"/>
          <w:lang w:val="en-US"/>
        </w:rPr>
        <w:t xml:space="preserve"> Department of Psychological Medicine, University of Otago, Wellington, New Zealand</w:t>
      </w:r>
    </w:p>
    <w:p w14:paraId="3AE7B4B1"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6</w:t>
      </w:r>
      <w:r w:rsidRPr="008B63A3">
        <w:rPr>
          <w:sz w:val="24"/>
          <w:szCs w:val="24"/>
          <w:lang w:val="en-US"/>
        </w:rPr>
        <w:t xml:space="preserve"> The Cambridge Centre for Sport and Exercise Sciences, Anglia Ruskin University, Cambridge, UK, CB1 1PT</w:t>
      </w:r>
    </w:p>
    <w:p w14:paraId="660BC9AF" w14:textId="77777777" w:rsidR="00766376" w:rsidRPr="008B63A3" w:rsidRDefault="00766376" w:rsidP="00766376">
      <w:pPr>
        <w:autoSpaceDE w:val="0"/>
        <w:autoSpaceDN w:val="0"/>
        <w:adjustRightInd w:val="0"/>
        <w:spacing w:line="360" w:lineRule="auto"/>
        <w:jc w:val="both"/>
        <w:rPr>
          <w:sz w:val="24"/>
          <w:szCs w:val="24"/>
          <w:lang w:val="en-US"/>
        </w:rPr>
      </w:pPr>
      <w:r w:rsidRPr="008B63A3">
        <w:rPr>
          <w:sz w:val="24"/>
          <w:szCs w:val="24"/>
          <w:vertAlign w:val="superscript"/>
          <w:lang w:val="en-US"/>
        </w:rPr>
        <w:t>7</w:t>
      </w:r>
      <w:r w:rsidRPr="008B63A3">
        <w:rPr>
          <w:sz w:val="24"/>
          <w:szCs w:val="24"/>
          <w:lang w:val="en-US"/>
        </w:rPr>
        <w:t xml:space="preserve"> Department of Medical Surgical Nursing, Nursing School, University of São Paulo, Brazil.</w:t>
      </w:r>
    </w:p>
    <w:p w14:paraId="6D45212D" w14:textId="77777777" w:rsidR="00766376" w:rsidRPr="008B63A3" w:rsidRDefault="00766376" w:rsidP="00766376">
      <w:pPr>
        <w:autoSpaceDE w:val="0"/>
        <w:autoSpaceDN w:val="0"/>
        <w:adjustRightInd w:val="0"/>
        <w:spacing w:line="360" w:lineRule="auto"/>
        <w:jc w:val="both"/>
        <w:rPr>
          <w:sz w:val="24"/>
          <w:szCs w:val="24"/>
          <w:lang w:val="en-US"/>
        </w:rPr>
      </w:pPr>
    </w:p>
    <w:p w14:paraId="1016BD0D" w14:textId="77777777" w:rsidR="00766376" w:rsidRPr="008B63A3" w:rsidRDefault="00766376" w:rsidP="00766376">
      <w:pPr>
        <w:autoSpaceDE w:val="0"/>
        <w:autoSpaceDN w:val="0"/>
        <w:adjustRightInd w:val="0"/>
        <w:rPr>
          <w:sz w:val="24"/>
          <w:szCs w:val="24"/>
          <w:lang w:val="en-US"/>
        </w:rPr>
      </w:pPr>
    </w:p>
    <w:p w14:paraId="535F5F62" w14:textId="77777777" w:rsidR="00766376" w:rsidRPr="008B63A3" w:rsidRDefault="00766376" w:rsidP="00766376">
      <w:pPr>
        <w:tabs>
          <w:tab w:val="left" w:pos="2192"/>
        </w:tabs>
        <w:spacing w:line="480" w:lineRule="auto"/>
        <w:jc w:val="both"/>
        <w:rPr>
          <w:sz w:val="24"/>
          <w:szCs w:val="24"/>
        </w:rPr>
      </w:pPr>
      <w:r w:rsidRPr="008B63A3">
        <w:rPr>
          <w:sz w:val="24"/>
          <w:szCs w:val="24"/>
        </w:rPr>
        <w:t>Address:</w:t>
      </w:r>
      <w:r w:rsidRPr="008B63A3">
        <w:t xml:space="preserve"> </w:t>
      </w:r>
      <w:r w:rsidRPr="008B63A3">
        <w:rPr>
          <w:sz w:val="24"/>
          <w:szCs w:val="24"/>
        </w:rPr>
        <w:t>Campus Universitário UFRN - Lagoa Nova, CEP 59.072-970 | Natal - RN, Brasil</w:t>
      </w:r>
    </w:p>
    <w:p w14:paraId="0CDB0D45" w14:textId="77777777" w:rsidR="00766376" w:rsidRPr="008B63A3" w:rsidRDefault="00766376" w:rsidP="00766376">
      <w:pPr>
        <w:spacing w:line="480" w:lineRule="auto"/>
        <w:jc w:val="both"/>
        <w:rPr>
          <w:rStyle w:val="Hyperlink"/>
          <w:color w:val="auto"/>
          <w:sz w:val="24"/>
          <w:szCs w:val="24"/>
          <w:lang w:val="en-CA"/>
        </w:rPr>
      </w:pPr>
      <w:r w:rsidRPr="008B63A3">
        <w:rPr>
          <w:sz w:val="24"/>
          <w:szCs w:val="24"/>
          <w:lang w:val="en-CA"/>
        </w:rPr>
        <w:t xml:space="preserve">Corresponding author: Email: </w:t>
      </w:r>
      <w:hyperlink r:id="rId8" w:history="1">
        <w:r w:rsidRPr="008B63A3">
          <w:rPr>
            <w:rStyle w:val="Hyperlink"/>
            <w:color w:val="auto"/>
            <w:sz w:val="24"/>
            <w:szCs w:val="24"/>
            <w:lang w:val="en-CA"/>
          </w:rPr>
          <w:t>deueltavares@gmail.com</w:t>
        </w:r>
      </w:hyperlink>
      <w:r w:rsidRPr="008B63A3">
        <w:rPr>
          <w:rStyle w:val="Hyperlink"/>
          <w:color w:val="auto"/>
          <w:sz w:val="24"/>
          <w:szCs w:val="24"/>
          <w:lang w:val="en-CA"/>
        </w:rPr>
        <w:t xml:space="preserve"> </w:t>
      </w:r>
    </w:p>
    <w:p w14:paraId="4A98BB4D" w14:textId="77777777" w:rsidR="00766376" w:rsidRPr="008B63A3" w:rsidRDefault="00766376" w:rsidP="00766376">
      <w:pPr>
        <w:spacing w:line="480" w:lineRule="auto"/>
        <w:jc w:val="both"/>
        <w:rPr>
          <w:sz w:val="24"/>
          <w:szCs w:val="24"/>
          <w:lang w:val="en-US"/>
        </w:rPr>
      </w:pPr>
      <w:proofErr w:type="spellStart"/>
      <w:r w:rsidRPr="008B63A3">
        <w:rPr>
          <w:b/>
          <w:sz w:val="24"/>
          <w:szCs w:val="24"/>
          <w:lang w:val="en-CA"/>
        </w:rPr>
        <w:t>Orcid</w:t>
      </w:r>
      <w:proofErr w:type="spellEnd"/>
      <w:r w:rsidRPr="008B63A3">
        <w:rPr>
          <w:b/>
          <w:sz w:val="24"/>
          <w:szCs w:val="24"/>
          <w:lang w:val="en-CA"/>
        </w:rPr>
        <w:t xml:space="preserve"> </w:t>
      </w:r>
      <w:proofErr w:type="spellStart"/>
      <w:r w:rsidRPr="008B63A3">
        <w:rPr>
          <w:b/>
          <w:sz w:val="24"/>
          <w:szCs w:val="24"/>
          <w:lang w:val="en-CA"/>
        </w:rPr>
        <w:t>iD</w:t>
      </w:r>
      <w:proofErr w:type="spellEnd"/>
      <w:r w:rsidRPr="008B63A3">
        <w:rPr>
          <w:b/>
          <w:sz w:val="24"/>
          <w:szCs w:val="24"/>
          <w:lang w:val="en-CA"/>
        </w:rPr>
        <w:t xml:space="preserve">: </w:t>
      </w:r>
      <w:r w:rsidRPr="008B63A3">
        <w:rPr>
          <w:sz w:val="24"/>
          <w:szCs w:val="24"/>
          <w:lang w:val="en-CA"/>
        </w:rPr>
        <w:t>0000-0003-3025-9825</w:t>
      </w:r>
      <w:r w:rsidRPr="008B63A3">
        <w:rPr>
          <w:sz w:val="24"/>
          <w:szCs w:val="24"/>
          <w:lang w:val="en-US"/>
        </w:rPr>
        <w:t xml:space="preserve"> </w:t>
      </w:r>
    </w:p>
    <w:p w14:paraId="79DE0900" w14:textId="738E297B" w:rsidR="001B6561" w:rsidRPr="008B63A3" w:rsidRDefault="00766376" w:rsidP="001634BD">
      <w:pPr>
        <w:spacing w:line="480" w:lineRule="auto"/>
        <w:jc w:val="both"/>
        <w:rPr>
          <w:sz w:val="24"/>
          <w:lang w:val="en-US"/>
        </w:rPr>
      </w:pPr>
      <w:r w:rsidRPr="008B63A3">
        <w:rPr>
          <w:b/>
          <w:sz w:val="24"/>
          <w:lang w:val="en-US"/>
        </w:rPr>
        <w:t xml:space="preserve">Short title: </w:t>
      </w:r>
      <w:r w:rsidRPr="008B63A3">
        <w:rPr>
          <w:sz w:val="24"/>
          <w:lang w:val="en-US"/>
        </w:rPr>
        <w:t>LEVEL OF PHYSICAL ACTIVITY AND MORTALITY</w:t>
      </w:r>
    </w:p>
    <w:p w14:paraId="3EFE9066" w14:textId="77777777" w:rsidR="001634BD" w:rsidRPr="008B63A3" w:rsidRDefault="001634BD">
      <w:pPr>
        <w:rPr>
          <w:b/>
          <w:sz w:val="24"/>
          <w:szCs w:val="24"/>
          <w:lang w:val="en-US"/>
        </w:rPr>
      </w:pPr>
      <w:r w:rsidRPr="008B63A3">
        <w:rPr>
          <w:b/>
          <w:sz w:val="24"/>
          <w:szCs w:val="24"/>
          <w:lang w:val="en-US"/>
        </w:rPr>
        <w:br w:type="page"/>
      </w:r>
    </w:p>
    <w:p w14:paraId="560C4248" w14:textId="0057AFC4" w:rsidR="00316FE4" w:rsidRPr="008B63A3" w:rsidRDefault="00DA2B1D" w:rsidP="001634BD">
      <w:pPr>
        <w:pStyle w:val="Heading1"/>
      </w:pPr>
      <w:r w:rsidRPr="008B63A3">
        <w:lastRenderedPageBreak/>
        <w:t>Abstract</w:t>
      </w:r>
    </w:p>
    <w:p w14:paraId="2F57A9AF" w14:textId="77777777" w:rsidR="00E458BD" w:rsidRPr="008B63A3" w:rsidRDefault="004B6E4D" w:rsidP="00E458BD">
      <w:pPr>
        <w:spacing w:line="360" w:lineRule="auto"/>
        <w:jc w:val="both"/>
        <w:rPr>
          <w:sz w:val="24"/>
          <w:szCs w:val="24"/>
          <w:lang w:val="en-US"/>
        </w:rPr>
      </w:pPr>
      <w:r w:rsidRPr="008B63A3">
        <w:rPr>
          <w:b/>
          <w:sz w:val="24"/>
          <w:szCs w:val="24"/>
          <w:lang w:val="en-US"/>
        </w:rPr>
        <w:t xml:space="preserve">Background: </w:t>
      </w:r>
      <w:r w:rsidR="00A6730C" w:rsidRPr="008B63A3">
        <w:rPr>
          <w:sz w:val="24"/>
          <w:szCs w:val="24"/>
          <w:lang w:val="en-US"/>
        </w:rPr>
        <w:t>Research using</w:t>
      </w:r>
      <w:r w:rsidR="00A6730C" w:rsidRPr="008B63A3">
        <w:rPr>
          <w:b/>
          <w:sz w:val="24"/>
          <w:szCs w:val="24"/>
          <w:lang w:val="en-US"/>
        </w:rPr>
        <w:t xml:space="preserve"> </w:t>
      </w:r>
      <w:r w:rsidR="00A6730C" w:rsidRPr="008B63A3">
        <w:rPr>
          <w:sz w:val="24"/>
          <w:szCs w:val="24"/>
          <w:lang w:val="en-US"/>
        </w:rPr>
        <w:t>o</w:t>
      </w:r>
      <w:r w:rsidRPr="008B63A3">
        <w:rPr>
          <w:sz w:val="24"/>
          <w:szCs w:val="24"/>
          <w:lang w:val="en-US"/>
        </w:rPr>
        <w:t>bjectively measured physical activity (PA) in older adults to assess relationship between PA levels and mortality is scarce.</w:t>
      </w:r>
      <w:r w:rsidRPr="008B63A3">
        <w:rPr>
          <w:b/>
          <w:sz w:val="24"/>
          <w:szCs w:val="24"/>
          <w:lang w:val="en-US"/>
        </w:rPr>
        <w:t xml:space="preserve"> Objective: </w:t>
      </w:r>
      <w:r w:rsidR="006F2B87" w:rsidRPr="008B63A3">
        <w:rPr>
          <w:sz w:val="24"/>
          <w:szCs w:val="24"/>
          <w:lang w:val="en-US"/>
        </w:rPr>
        <w:t xml:space="preserve">To </w:t>
      </w:r>
      <w:r w:rsidR="003B0F8C" w:rsidRPr="008B63A3">
        <w:rPr>
          <w:sz w:val="24"/>
          <w:szCs w:val="24"/>
          <w:lang w:val="en-US"/>
        </w:rPr>
        <w:t>investigate</w:t>
      </w:r>
      <w:r w:rsidR="006F2B87" w:rsidRPr="008B63A3">
        <w:rPr>
          <w:sz w:val="24"/>
          <w:szCs w:val="24"/>
          <w:lang w:val="en-US"/>
        </w:rPr>
        <w:t xml:space="preserve"> association</w:t>
      </w:r>
      <w:r w:rsidR="003B0F8C" w:rsidRPr="008B63A3">
        <w:rPr>
          <w:sz w:val="24"/>
          <w:szCs w:val="24"/>
          <w:lang w:val="en-US"/>
        </w:rPr>
        <w:t>s</w:t>
      </w:r>
      <w:r w:rsidR="006F2B87" w:rsidRPr="008B63A3">
        <w:rPr>
          <w:sz w:val="24"/>
          <w:szCs w:val="24"/>
          <w:lang w:val="en-US"/>
        </w:rPr>
        <w:t xml:space="preserve"> between </w:t>
      </w:r>
      <w:r w:rsidR="00EB3E18" w:rsidRPr="008B63A3">
        <w:rPr>
          <w:sz w:val="24"/>
          <w:szCs w:val="24"/>
          <w:lang w:val="en-US"/>
        </w:rPr>
        <w:t>level</w:t>
      </w:r>
      <w:r w:rsidR="006F2B87" w:rsidRPr="008B63A3">
        <w:rPr>
          <w:sz w:val="24"/>
          <w:szCs w:val="24"/>
          <w:lang w:val="en-US"/>
        </w:rPr>
        <w:t xml:space="preserve"> of physical activity and mortality in </w:t>
      </w:r>
      <w:r w:rsidR="003B0F8C" w:rsidRPr="008B63A3">
        <w:rPr>
          <w:sz w:val="24"/>
          <w:szCs w:val="24"/>
          <w:lang w:val="en-US"/>
        </w:rPr>
        <w:t xml:space="preserve">older adults </w:t>
      </w:r>
      <w:r w:rsidR="006F2B87" w:rsidRPr="008B63A3">
        <w:rPr>
          <w:sz w:val="24"/>
          <w:szCs w:val="24"/>
          <w:lang w:val="en-US"/>
        </w:rPr>
        <w:t xml:space="preserve">over </w:t>
      </w:r>
      <w:r w:rsidR="00EB3E18" w:rsidRPr="008B63A3">
        <w:rPr>
          <w:sz w:val="24"/>
          <w:szCs w:val="24"/>
          <w:lang w:val="en-US"/>
        </w:rPr>
        <w:t xml:space="preserve">a </w:t>
      </w:r>
      <w:r w:rsidR="006F2B87" w:rsidRPr="008B63A3">
        <w:rPr>
          <w:sz w:val="24"/>
          <w:szCs w:val="24"/>
          <w:lang w:val="en-US"/>
        </w:rPr>
        <w:t>four</w:t>
      </w:r>
      <w:r w:rsidR="00EB3E18" w:rsidRPr="008B63A3">
        <w:rPr>
          <w:sz w:val="24"/>
          <w:szCs w:val="24"/>
          <w:lang w:val="en-US"/>
        </w:rPr>
        <w:t>-</w:t>
      </w:r>
      <w:r w:rsidR="006F2B87" w:rsidRPr="008B63A3">
        <w:rPr>
          <w:sz w:val="24"/>
          <w:szCs w:val="24"/>
          <w:lang w:val="en-US"/>
        </w:rPr>
        <w:t>year</w:t>
      </w:r>
      <w:r w:rsidR="00EB3E18" w:rsidRPr="008B63A3">
        <w:rPr>
          <w:sz w:val="24"/>
          <w:szCs w:val="24"/>
          <w:lang w:val="en-US"/>
        </w:rPr>
        <w:t xml:space="preserve"> period</w:t>
      </w:r>
      <w:r w:rsidR="006F2B87" w:rsidRPr="008B63A3">
        <w:rPr>
          <w:sz w:val="24"/>
          <w:szCs w:val="24"/>
          <w:lang w:val="en-US"/>
        </w:rPr>
        <w:t xml:space="preserve">. </w:t>
      </w:r>
      <w:r w:rsidRPr="008B63A3">
        <w:rPr>
          <w:b/>
          <w:sz w:val="24"/>
          <w:szCs w:val="24"/>
          <w:lang w:val="en-US"/>
        </w:rPr>
        <w:t xml:space="preserve">Methods: </w:t>
      </w:r>
      <w:r w:rsidR="00467E0F" w:rsidRPr="008B63A3">
        <w:rPr>
          <w:sz w:val="24"/>
          <w:szCs w:val="24"/>
          <w:lang w:val="en-US"/>
        </w:rPr>
        <w:t>The</w:t>
      </w:r>
      <w:r w:rsidR="00EB3E18" w:rsidRPr="008B63A3">
        <w:rPr>
          <w:sz w:val="24"/>
          <w:szCs w:val="24"/>
          <w:lang w:val="en-US"/>
        </w:rPr>
        <w:t xml:space="preserve"> p</w:t>
      </w:r>
      <w:r w:rsidR="006F2B87" w:rsidRPr="008B63A3">
        <w:rPr>
          <w:sz w:val="24"/>
          <w:szCs w:val="24"/>
          <w:lang w:val="en-US"/>
        </w:rPr>
        <w:t xml:space="preserve">opulation-based cohort study </w:t>
      </w:r>
      <w:r w:rsidR="003B0F8C" w:rsidRPr="008B63A3">
        <w:rPr>
          <w:sz w:val="24"/>
          <w:szCs w:val="24"/>
          <w:lang w:val="en-US"/>
        </w:rPr>
        <w:t xml:space="preserve">was carried out including </w:t>
      </w:r>
      <w:r w:rsidR="006F2B87" w:rsidRPr="008B63A3">
        <w:rPr>
          <w:sz w:val="24"/>
          <w:szCs w:val="24"/>
          <w:lang w:val="en-US"/>
        </w:rPr>
        <w:t xml:space="preserve">554 </w:t>
      </w:r>
      <w:r w:rsidR="003B0F8C" w:rsidRPr="008B63A3">
        <w:rPr>
          <w:sz w:val="24"/>
          <w:szCs w:val="24"/>
          <w:lang w:val="en-US"/>
        </w:rPr>
        <w:t xml:space="preserve">older </w:t>
      </w:r>
      <w:r w:rsidR="006E3D38" w:rsidRPr="008B63A3">
        <w:rPr>
          <w:sz w:val="24"/>
          <w:szCs w:val="24"/>
          <w:lang w:val="en-US"/>
        </w:rPr>
        <w:t>p</w:t>
      </w:r>
      <w:r w:rsidR="00EB3E18" w:rsidRPr="008B63A3">
        <w:rPr>
          <w:sz w:val="24"/>
          <w:szCs w:val="24"/>
          <w:lang w:val="en-US"/>
        </w:rPr>
        <w:t xml:space="preserve">articipants </w:t>
      </w:r>
      <w:r w:rsidR="006F2B87" w:rsidRPr="008B63A3">
        <w:rPr>
          <w:sz w:val="24"/>
          <w:szCs w:val="24"/>
          <w:lang w:val="en-US"/>
        </w:rPr>
        <w:t>(mean</w:t>
      </w:r>
      <w:r w:rsidR="003B0F8C" w:rsidRPr="008B63A3">
        <w:rPr>
          <w:sz w:val="24"/>
          <w:szCs w:val="24"/>
          <w:lang w:val="en-US"/>
        </w:rPr>
        <w:t xml:space="preserve"> age</w:t>
      </w:r>
      <w:r w:rsidR="006F2B87" w:rsidRPr="008B63A3">
        <w:rPr>
          <w:sz w:val="24"/>
          <w:szCs w:val="24"/>
          <w:lang w:val="en-US"/>
        </w:rPr>
        <w:t xml:space="preserve">: </w:t>
      </w:r>
      <w:r w:rsidR="00694465" w:rsidRPr="008B63A3">
        <w:rPr>
          <w:sz w:val="24"/>
          <w:szCs w:val="24"/>
          <w:lang w:val="en-US"/>
        </w:rPr>
        <w:t xml:space="preserve">76.2 </w:t>
      </w:r>
      <w:r w:rsidR="00694465" w:rsidRPr="008B63A3">
        <w:rPr>
          <w:sz w:val="24"/>
          <w:szCs w:val="24"/>
          <w:u w:val="single"/>
          <w:lang w:val="en-US"/>
        </w:rPr>
        <w:t>+</w:t>
      </w:r>
      <w:r w:rsidR="00694465" w:rsidRPr="008B63A3">
        <w:rPr>
          <w:sz w:val="24"/>
          <w:szCs w:val="24"/>
          <w:lang w:val="en-US"/>
        </w:rPr>
        <w:t xml:space="preserve"> 8.05 years</w:t>
      </w:r>
      <w:r w:rsidR="006F2B87" w:rsidRPr="008B63A3">
        <w:rPr>
          <w:sz w:val="24"/>
          <w:szCs w:val="24"/>
          <w:lang w:val="en-US"/>
        </w:rPr>
        <w:t xml:space="preserve">) using data from the SABE study (Health, </w:t>
      </w:r>
      <w:proofErr w:type="gramStart"/>
      <w:r w:rsidR="006F2B87" w:rsidRPr="008B63A3">
        <w:rPr>
          <w:sz w:val="24"/>
          <w:szCs w:val="24"/>
          <w:lang w:val="en-US"/>
        </w:rPr>
        <w:t>well-being</w:t>
      </w:r>
      <w:proofErr w:type="gramEnd"/>
      <w:r w:rsidR="006F2B87" w:rsidRPr="008B63A3">
        <w:rPr>
          <w:sz w:val="24"/>
          <w:szCs w:val="24"/>
          <w:lang w:val="en-US"/>
        </w:rPr>
        <w:t xml:space="preserve"> and aging). </w:t>
      </w:r>
      <w:r w:rsidR="003B0F8C" w:rsidRPr="008B63A3">
        <w:rPr>
          <w:sz w:val="24"/>
          <w:szCs w:val="24"/>
          <w:lang w:val="en-US"/>
        </w:rPr>
        <w:t>L</w:t>
      </w:r>
      <w:r w:rsidR="006F2B87" w:rsidRPr="008B63A3">
        <w:rPr>
          <w:sz w:val="24"/>
          <w:szCs w:val="24"/>
          <w:lang w:val="en-US"/>
        </w:rPr>
        <w:t>evel</w:t>
      </w:r>
      <w:r w:rsidR="003B0F8C" w:rsidRPr="008B63A3">
        <w:rPr>
          <w:sz w:val="24"/>
          <w:szCs w:val="24"/>
          <w:lang w:val="en-US"/>
        </w:rPr>
        <w:t>s</w:t>
      </w:r>
      <w:r w:rsidR="006F2B87" w:rsidRPr="008B63A3">
        <w:rPr>
          <w:sz w:val="24"/>
          <w:szCs w:val="24"/>
          <w:lang w:val="en-US"/>
        </w:rPr>
        <w:t xml:space="preserve"> of physical activity w</w:t>
      </w:r>
      <w:r w:rsidR="003B0F8C" w:rsidRPr="008B63A3">
        <w:rPr>
          <w:sz w:val="24"/>
          <w:szCs w:val="24"/>
          <w:lang w:val="en-US"/>
        </w:rPr>
        <w:t>ere</w:t>
      </w:r>
      <w:r w:rsidR="006F2B87" w:rsidRPr="008B63A3">
        <w:rPr>
          <w:sz w:val="24"/>
          <w:szCs w:val="24"/>
          <w:lang w:val="en-US"/>
        </w:rPr>
        <w:t xml:space="preserve"> measured using accelerometer</w:t>
      </w:r>
      <w:r w:rsidR="00EB3E18" w:rsidRPr="008B63A3">
        <w:rPr>
          <w:sz w:val="24"/>
          <w:szCs w:val="24"/>
          <w:lang w:val="en-US"/>
        </w:rPr>
        <w:t>s</w:t>
      </w:r>
      <w:r w:rsidR="006F2B87" w:rsidRPr="008B63A3">
        <w:rPr>
          <w:sz w:val="24"/>
          <w:szCs w:val="24"/>
          <w:lang w:val="en-US"/>
        </w:rPr>
        <w:t xml:space="preserve"> and participants were divided into </w:t>
      </w:r>
      <w:proofErr w:type="spellStart"/>
      <w:r w:rsidR="006F2B87" w:rsidRPr="008B63A3">
        <w:rPr>
          <w:sz w:val="24"/>
          <w:szCs w:val="24"/>
          <w:lang w:val="en-US"/>
        </w:rPr>
        <w:t>tertile</w:t>
      </w:r>
      <w:r w:rsidR="00EB3E18" w:rsidRPr="008B63A3">
        <w:rPr>
          <w:sz w:val="24"/>
          <w:szCs w:val="24"/>
          <w:lang w:val="en-US"/>
        </w:rPr>
        <w:t>s</w:t>
      </w:r>
      <w:proofErr w:type="spellEnd"/>
      <w:r w:rsidR="006F2B87" w:rsidRPr="008B63A3">
        <w:rPr>
          <w:sz w:val="24"/>
          <w:szCs w:val="24"/>
          <w:lang w:val="en-US"/>
        </w:rPr>
        <w:t xml:space="preserve"> and </w:t>
      </w:r>
      <w:r w:rsidR="003B0F8C" w:rsidRPr="008B63A3">
        <w:rPr>
          <w:sz w:val="24"/>
          <w:szCs w:val="24"/>
          <w:lang w:val="en-US"/>
        </w:rPr>
        <w:t xml:space="preserve">then </w:t>
      </w:r>
      <w:r w:rsidR="006F2B87" w:rsidRPr="008B63A3">
        <w:rPr>
          <w:sz w:val="24"/>
          <w:szCs w:val="24"/>
          <w:lang w:val="en-US"/>
        </w:rPr>
        <w:t>categorized into two groups</w:t>
      </w:r>
      <w:r w:rsidR="005B5A3E" w:rsidRPr="008B63A3">
        <w:rPr>
          <w:sz w:val="24"/>
          <w:szCs w:val="24"/>
          <w:lang w:val="en-US"/>
        </w:rPr>
        <w:t>: (I) low level of physical activity and (II) intermediate/high level of physical activity.</w:t>
      </w:r>
      <w:r w:rsidR="006F2B87" w:rsidRPr="008B63A3">
        <w:rPr>
          <w:sz w:val="24"/>
          <w:szCs w:val="24"/>
          <w:lang w:val="en-US"/>
        </w:rPr>
        <w:t xml:space="preserve"> The dependent variable was mortality </w:t>
      </w:r>
      <w:r w:rsidR="003B0F8C" w:rsidRPr="008B63A3">
        <w:rPr>
          <w:sz w:val="24"/>
          <w:szCs w:val="24"/>
          <w:lang w:val="en-US"/>
        </w:rPr>
        <w:t>between</w:t>
      </w:r>
      <w:r w:rsidR="006F2B87" w:rsidRPr="008B63A3">
        <w:rPr>
          <w:sz w:val="24"/>
          <w:szCs w:val="24"/>
          <w:lang w:val="en-US"/>
        </w:rPr>
        <w:t xml:space="preserve"> 2010 </w:t>
      </w:r>
      <w:r w:rsidR="003B0F8C" w:rsidRPr="008B63A3">
        <w:rPr>
          <w:sz w:val="24"/>
          <w:szCs w:val="24"/>
          <w:lang w:val="en-US"/>
        </w:rPr>
        <w:t>and</w:t>
      </w:r>
      <w:r w:rsidR="006F2B87" w:rsidRPr="008B63A3">
        <w:rPr>
          <w:sz w:val="24"/>
          <w:szCs w:val="24"/>
          <w:lang w:val="en-US"/>
        </w:rPr>
        <w:t xml:space="preserve"> 2014. </w:t>
      </w:r>
      <w:r w:rsidR="00E63B6B" w:rsidRPr="008B63A3">
        <w:rPr>
          <w:sz w:val="24"/>
          <w:szCs w:val="24"/>
          <w:lang w:val="en-US"/>
        </w:rPr>
        <w:t xml:space="preserve">Control variables included </w:t>
      </w:r>
      <w:r w:rsidR="006F2B87" w:rsidRPr="008B63A3">
        <w:rPr>
          <w:sz w:val="24"/>
          <w:szCs w:val="24"/>
          <w:lang w:val="en-US"/>
        </w:rPr>
        <w:t xml:space="preserve">socio-demographic and clinical factors. Multiple regression analysis was used from a hierarchical model, grouping the variables into two blocks ordered according to the </w:t>
      </w:r>
      <w:r w:rsidR="00EB3E18" w:rsidRPr="008B63A3">
        <w:rPr>
          <w:sz w:val="24"/>
          <w:szCs w:val="24"/>
          <w:lang w:val="en-US"/>
        </w:rPr>
        <w:t>magnitude of their</w:t>
      </w:r>
      <w:r w:rsidR="006F2B87" w:rsidRPr="008B63A3">
        <w:rPr>
          <w:sz w:val="24"/>
          <w:szCs w:val="24"/>
          <w:lang w:val="en-US"/>
        </w:rPr>
        <w:t xml:space="preserve"> effect.</w:t>
      </w:r>
      <w:r w:rsidRPr="008B63A3">
        <w:rPr>
          <w:sz w:val="24"/>
          <w:szCs w:val="24"/>
          <w:lang w:val="en-US"/>
        </w:rPr>
        <w:t xml:space="preserve"> </w:t>
      </w:r>
      <w:r w:rsidRPr="008B63A3">
        <w:rPr>
          <w:b/>
          <w:sz w:val="24"/>
          <w:szCs w:val="24"/>
          <w:lang w:val="en-US"/>
        </w:rPr>
        <w:t>Results:</w:t>
      </w:r>
      <w:r w:rsidR="006F2B87" w:rsidRPr="008B63A3">
        <w:rPr>
          <w:sz w:val="24"/>
          <w:szCs w:val="24"/>
          <w:lang w:val="en-US"/>
        </w:rPr>
        <w:t xml:space="preserve"> </w:t>
      </w:r>
      <w:r w:rsidR="00A6730C" w:rsidRPr="008B63A3">
        <w:rPr>
          <w:sz w:val="24"/>
          <w:szCs w:val="24"/>
          <w:lang w:val="en-US"/>
        </w:rPr>
        <w:t xml:space="preserve">Our </w:t>
      </w:r>
      <w:r w:rsidR="00467E0F" w:rsidRPr="008B63A3">
        <w:rPr>
          <w:sz w:val="24"/>
          <w:szCs w:val="24"/>
          <w:lang w:val="en-US"/>
        </w:rPr>
        <w:t xml:space="preserve">results </w:t>
      </w:r>
      <w:r w:rsidRPr="008B63A3">
        <w:rPr>
          <w:sz w:val="24"/>
          <w:szCs w:val="24"/>
          <w:lang w:val="en-US"/>
        </w:rPr>
        <w:t>showed that</w:t>
      </w:r>
      <w:r w:rsidR="006F2B87" w:rsidRPr="008B63A3">
        <w:rPr>
          <w:sz w:val="24"/>
          <w:szCs w:val="24"/>
          <w:lang w:val="en-US"/>
        </w:rPr>
        <w:t xml:space="preserve"> mortality rate in </w:t>
      </w:r>
      <w:r w:rsidR="00EB3E18" w:rsidRPr="008B63A3">
        <w:rPr>
          <w:sz w:val="24"/>
          <w:szCs w:val="24"/>
          <w:lang w:val="en-US"/>
        </w:rPr>
        <w:t xml:space="preserve">participants </w:t>
      </w:r>
      <w:r w:rsidR="006F2B87" w:rsidRPr="008B63A3">
        <w:rPr>
          <w:sz w:val="24"/>
          <w:szCs w:val="24"/>
          <w:lang w:val="en-US"/>
        </w:rPr>
        <w:t xml:space="preserve">with low level of physical activity was 20/1000 person/year and </w:t>
      </w:r>
      <w:r w:rsidR="00EB3E18" w:rsidRPr="008B63A3">
        <w:rPr>
          <w:sz w:val="24"/>
          <w:szCs w:val="24"/>
          <w:lang w:val="en-US"/>
        </w:rPr>
        <w:t xml:space="preserve">for </w:t>
      </w:r>
      <w:r w:rsidR="006F2B87" w:rsidRPr="008B63A3">
        <w:rPr>
          <w:sz w:val="24"/>
          <w:szCs w:val="24"/>
          <w:lang w:val="en-US"/>
        </w:rPr>
        <w:t>those with intermediate/high level</w:t>
      </w:r>
      <w:r w:rsidR="00EB3E18" w:rsidRPr="008B63A3">
        <w:rPr>
          <w:sz w:val="24"/>
          <w:szCs w:val="24"/>
          <w:lang w:val="en-US"/>
        </w:rPr>
        <w:t>s</w:t>
      </w:r>
      <w:r w:rsidR="006F2B87" w:rsidRPr="008B63A3">
        <w:rPr>
          <w:sz w:val="24"/>
          <w:szCs w:val="24"/>
          <w:lang w:val="en-US"/>
        </w:rPr>
        <w:t xml:space="preserve"> of physical activity was 14/1000 person/year. In the adjusted model, by sociodemographic and clinical variables, th</w:t>
      </w:r>
      <w:r w:rsidR="00E63B6B" w:rsidRPr="008B63A3">
        <w:rPr>
          <w:sz w:val="24"/>
          <w:szCs w:val="24"/>
          <w:lang w:val="en-US"/>
        </w:rPr>
        <w:t xml:space="preserve">ose </w:t>
      </w:r>
      <w:r w:rsidR="006F2B87" w:rsidRPr="008B63A3">
        <w:rPr>
          <w:sz w:val="24"/>
          <w:szCs w:val="24"/>
          <w:lang w:val="en-US"/>
        </w:rPr>
        <w:t>with low level</w:t>
      </w:r>
      <w:r w:rsidR="00E63B6B" w:rsidRPr="008B63A3">
        <w:rPr>
          <w:sz w:val="24"/>
          <w:szCs w:val="24"/>
          <w:lang w:val="en-US"/>
        </w:rPr>
        <w:t>s</w:t>
      </w:r>
      <w:r w:rsidR="006F2B87" w:rsidRPr="008B63A3">
        <w:rPr>
          <w:sz w:val="24"/>
          <w:szCs w:val="24"/>
          <w:lang w:val="en-US"/>
        </w:rPr>
        <w:t xml:space="preserve"> of physical activity presented a higher risk for </w:t>
      </w:r>
      <w:r w:rsidR="00E63B6B" w:rsidRPr="008B63A3">
        <w:rPr>
          <w:sz w:val="24"/>
          <w:szCs w:val="24"/>
          <w:lang w:val="en-US"/>
        </w:rPr>
        <w:t>mortality</w:t>
      </w:r>
      <w:r w:rsidR="006F2B87" w:rsidRPr="008B63A3">
        <w:rPr>
          <w:sz w:val="24"/>
          <w:szCs w:val="24"/>
          <w:lang w:val="en-US"/>
        </w:rPr>
        <w:t xml:space="preserve"> (</w:t>
      </w:r>
      <w:r w:rsidR="000A2FB0" w:rsidRPr="008B63A3">
        <w:rPr>
          <w:sz w:val="24"/>
          <w:szCs w:val="24"/>
          <w:lang w:val="en-US"/>
        </w:rPr>
        <w:t>O</w:t>
      </w:r>
      <w:r w:rsidR="006F2B87" w:rsidRPr="008B63A3">
        <w:rPr>
          <w:sz w:val="24"/>
          <w:szCs w:val="24"/>
          <w:lang w:val="en-US"/>
        </w:rPr>
        <w:t>R=2.79, 95%CI= 1.71 – 4.57) when compared to individuals with intermediate/high level</w:t>
      </w:r>
      <w:r w:rsidR="00EB3E18" w:rsidRPr="008B63A3">
        <w:rPr>
          <w:sz w:val="24"/>
          <w:szCs w:val="24"/>
          <w:lang w:val="en-US"/>
        </w:rPr>
        <w:t>s</w:t>
      </w:r>
      <w:r w:rsidR="006F2B87" w:rsidRPr="008B63A3">
        <w:rPr>
          <w:sz w:val="24"/>
          <w:szCs w:val="24"/>
          <w:lang w:val="en-US"/>
        </w:rPr>
        <w:t xml:space="preserve"> of physical activity. </w:t>
      </w:r>
      <w:r w:rsidRPr="008B63A3">
        <w:rPr>
          <w:b/>
          <w:sz w:val="24"/>
          <w:szCs w:val="24"/>
          <w:lang w:val="en-US"/>
        </w:rPr>
        <w:t>Conclusion:</w:t>
      </w:r>
      <w:r w:rsidRPr="008B63A3">
        <w:rPr>
          <w:sz w:val="24"/>
          <w:szCs w:val="24"/>
          <w:lang w:val="en-US"/>
        </w:rPr>
        <w:t xml:space="preserve"> Older</w:t>
      </w:r>
      <w:r w:rsidR="00E63B6B" w:rsidRPr="008B63A3">
        <w:rPr>
          <w:sz w:val="24"/>
          <w:szCs w:val="24"/>
          <w:lang w:val="en-US"/>
        </w:rPr>
        <w:t xml:space="preserve"> adults </w:t>
      </w:r>
      <w:r w:rsidR="006F2B87" w:rsidRPr="008B63A3">
        <w:rPr>
          <w:sz w:val="24"/>
          <w:szCs w:val="24"/>
          <w:lang w:val="en-US"/>
        </w:rPr>
        <w:t>with low level</w:t>
      </w:r>
      <w:r w:rsidR="00EB3E18" w:rsidRPr="008B63A3">
        <w:rPr>
          <w:sz w:val="24"/>
          <w:szCs w:val="24"/>
          <w:lang w:val="en-US"/>
        </w:rPr>
        <w:t>s</w:t>
      </w:r>
      <w:r w:rsidR="006F2B87" w:rsidRPr="008B63A3">
        <w:rPr>
          <w:sz w:val="24"/>
          <w:szCs w:val="24"/>
          <w:lang w:val="en-US"/>
        </w:rPr>
        <w:t xml:space="preserve"> of physical activity have a higher chance of mortality</w:t>
      </w:r>
      <w:r w:rsidR="00EB3E18" w:rsidRPr="008B63A3">
        <w:rPr>
          <w:sz w:val="24"/>
          <w:szCs w:val="24"/>
          <w:lang w:val="en-US"/>
        </w:rPr>
        <w:t xml:space="preserve"> as compared to those with intermediate/high levels of physical activity</w:t>
      </w:r>
      <w:r w:rsidR="006F2B87" w:rsidRPr="008B63A3">
        <w:rPr>
          <w:sz w:val="24"/>
          <w:szCs w:val="24"/>
          <w:lang w:val="en-US"/>
        </w:rPr>
        <w:t>, regardless of sociodemographic and clinical variables.</w:t>
      </w:r>
    </w:p>
    <w:p w14:paraId="51157D22" w14:textId="77777777" w:rsidR="00E458BD" w:rsidRPr="008B63A3" w:rsidRDefault="00A04665" w:rsidP="007B7D05">
      <w:pPr>
        <w:spacing w:line="360" w:lineRule="auto"/>
        <w:rPr>
          <w:sz w:val="24"/>
          <w:szCs w:val="24"/>
          <w:lang w:val="en-US"/>
        </w:rPr>
      </w:pPr>
      <w:proofErr w:type="gramStart"/>
      <w:r w:rsidRPr="008B63A3">
        <w:rPr>
          <w:b/>
          <w:sz w:val="24"/>
          <w:szCs w:val="24"/>
          <w:lang w:val="en-US"/>
        </w:rPr>
        <w:t>Key-words</w:t>
      </w:r>
      <w:proofErr w:type="gramEnd"/>
      <w:r w:rsidRPr="008B63A3">
        <w:rPr>
          <w:b/>
          <w:sz w:val="24"/>
          <w:szCs w:val="24"/>
          <w:lang w:val="en-US"/>
        </w:rPr>
        <w:t>:</w:t>
      </w:r>
      <w:r w:rsidRPr="008B63A3">
        <w:rPr>
          <w:sz w:val="24"/>
          <w:szCs w:val="24"/>
          <w:lang w:val="en-US"/>
        </w:rPr>
        <w:t xml:space="preserve"> </w:t>
      </w:r>
      <w:r w:rsidR="003A3447" w:rsidRPr="008B63A3">
        <w:rPr>
          <w:sz w:val="24"/>
          <w:szCs w:val="24"/>
          <w:lang w:val="en-US"/>
        </w:rPr>
        <w:t xml:space="preserve">Physical activity; mortality; longitudinal study; older adults </w:t>
      </w:r>
    </w:p>
    <w:p w14:paraId="65719311" w14:textId="77777777" w:rsidR="001634BD" w:rsidRPr="008B63A3" w:rsidRDefault="001634BD">
      <w:pPr>
        <w:rPr>
          <w:sz w:val="24"/>
          <w:szCs w:val="24"/>
          <w:lang w:val="en-US"/>
        </w:rPr>
      </w:pPr>
      <w:r w:rsidRPr="008B63A3">
        <w:rPr>
          <w:sz w:val="24"/>
          <w:szCs w:val="24"/>
          <w:lang w:val="en-US"/>
        </w:rPr>
        <w:br w:type="page"/>
      </w:r>
    </w:p>
    <w:p w14:paraId="6ECB4405" w14:textId="159A8F21" w:rsidR="00316FE4" w:rsidRPr="008B63A3" w:rsidRDefault="0029673C" w:rsidP="001634BD">
      <w:pPr>
        <w:pStyle w:val="Heading1"/>
        <w:numPr>
          <w:ilvl w:val="0"/>
          <w:numId w:val="29"/>
        </w:numPr>
      </w:pPr>
      <w:r w:rsidRPr="008B63A3">
        <w:lastRenderedPageBreak/>
        <w:t>Introduction</w:t>
      </w:r>
    </w:p>
    <w:p w14:paraId="06FD7752" w14:textId="77777777" w:rsidR="00AB3BA2" w:rsidRPr="008B63A3" w:rsidRDefault="00B77CDD" w:rsidP="001544AC">
      <w:pPr>
        <w:spacing w:line="360" w:lineRule="auto"/>
        <w:ind w:firstLine="709"/>
        <w:jc w:val="both"/>
        <w:rPr>
          <w:sz w:val="24"/>
          <w:szCs w:val="24"/>
          <w:lang w:val="en-US"/>
        </w:rPr>
      </w:pPr>
      <w:r w:rsidRPr="008B63A3">
        <w:rPr>
          <w:sz w:val="24"/>
          <w:szCs w:val="24"/>
          <w:lang w:val="en-US"/>
        </w:rPr>
        <w:t xml:space="preserve">Higher levels of physical activity </w:t>
      </w:r>
      <w:r w:rsidR="00B52C98" w:rsidRPr="008B63A3">
        <w:rPr>
          <w:sz w:val="24"/>
          <w:szCs w:val="24"/>
          <w:lang w:val="en-US"/>
        </w:rPr>
        <w:t xml:space="preserve">(PA) </w:t>
      </w:r>
      <w:r w:rsidR="00A83C2A" w:rsidRPr="008B63A3">
        <w:rPr>
          <w:sz w:val="24"/>
          <w:szCs w:val="24"/>
          <w:lang w:val="en-US"/>
        </w:rPr>
        <w:t>are</w:t>
      </w:r>
      <w:r w:rsidRPr="008B63A3">
        <w:rPr>
          <w:sz w:val="24"/>
          <w:szCs w:val="24"/>
          <w:lang w:val="en-US"/>
        </w:rPr>
        <w:t xml:space="preserve"> associated with lower risk of all-cause mortality</w:t>
      </w:r>
      <w:r w:rsidR="008C2687" w:rsidRPr="008B63A3">
        <w:rPr>
          <w:sz w:val="24"/>
          <w:szCs w:val="24"/>
          <w:lang w:val="en-US"/>
        </w:rPr>
        <w:t xml:space="preserve"> </w:t>
      </w:r>
      <w:r w:rsidR="008C2687" w:rsidRPr="008B63A3">
        <w:rPr>
          <w:sz w:val="24"/>
          <w:szCs w:val="24"/>
          <w:lang w:val="en-US"/>
        </w:rPr>
        <w:fldChar w:fldCharType="begin" w:fldLock="1"/>
      </w:r>
      <w:r w:rsidR="00766376" w:rsidRPr="008B63A3">
        <w:rPr>
          <w:sz w:val="24"/>
          <w:szCs w:val="24"/>
          <w:lang w:val="en-US"/>
        </w:rPr>
        <w:instrText>ADDIN CSL_CITATION {"citationItems":[{"id":"ITEM-1","itemData":{"DOI":"10.1093/ije/dyr112","ISSN":"03005771","PMID":"22039197","abstract":"Background: The dose-response relation between physical activity and all-cause mortality is not well defined at present. We conducted a systematic review and meta-analysis to determine the association with all-cause mortality of different domains of physical activity and of defined increases in physical activity and energy expenditure. Methods: MEDLINE, Embase and the Cochrane Library were searched up to September 2010 for cohort studies examining all-cause mortality across different domains and levels of physical activity in adult general populations. We estimated combined risk ratios (RRs) associated with defined increments and recommended levels, using random-effects meta-analysis and dose-response meta-regression models. Results: Data from 80 studies with 1 338 143 participants (118 121 deaths) were included. Combined RRs comparing highest with lowest activity levels were 0.65 [95% confidence interval (95% CI) 0.60-0.71] for total activity, 0.74 (95% CI 0.70-0.77) for leisure activity, 0.64 (95% CI 0.55-0.75) for activities of daily living and 0.83 (95% CI 0.71-0.97) for occupational activity. RRs per 1-h increment per week were 0.91 (95% CI 0.87-0.94) for vigorous exercise and 0.96 (95% CI 0.93-0.98) for moderate-intensity activities of daily living. RRs corresponding to 150 and 300 min/week of moderate to vigorous activity were 0.86 (95% CI 0.80-0.92) and 0.74 (95% CI 0.65-0.85), respectively. Mortality reductions were more pronounced in women. Conclusion: Higher levels of total and domain-specific physical activity were associated with reduced all-cause mortality. Risk reduction per unit of time increase was largest for vigorous exercise. Moderate-intensity activities of daily living were to a lesser extent beneficial in reducing mortality. © The Author 2011; all rights reserved.","author":[{"dropping-particle":"","family":"Samitz","given":"Guenther","non-dropping-particle":"","parse-names":false,"suffix":""},{"dropping-particle":"","family":"Egger","given":"Matthias","non-dropping-particle":"","parse-names":false,"suffix":""},{"dropping-particle":"","family":"Zwahlen","given":"Marcel","non-dropping-particle":"","parse-names":false,"suffix":""}],"container-title":"International Journal of Epidemiology","id":"ITEM-1","issue":"5","issued":{"date-parts":[["2011"]]},"page":"1382-1400","title":"Domains of physical activity and all-cause mortality: Systematic review and dose-response meta-analysis of cohort studies","type":"article-journal","volume":"40"},"uris":["http://www.mendeley.com/documents/?uuid=6daa42c1-4b08-477a-9653-1b8e80c9ab9d"]}],"mendeley":{"formattedCitation":"[1]","plainTextFormattedCitation":"[1]","previouslyFormattedCitation":"[1]"},"properties":{"noteIndex":0},"schema":"https://github.com/citation-style-language/schema/raw/master/csl-citation.json"}</w:instrText>
      </w:r>
      <w:r w:rsidR="008C2687" w:rsidRPr="008B63A3">
        <w:rPr>
          <w:sz w:val="24"/>
          <w:szCs w:val="24"/>
          <w:lang w:val="en-US"/>
        </w:rPr>
        <w:fldChar w:fldCharType="separate"/>
      </w:r>
      <w:r w:rsidR="00766376" w:rsidRPr="008B63A3">
        <w:rPr>
          <w:noProof/>
          <w:sz w:val="24"/>
          <w:szCs w:val="24"/>
          <w:lang w:val="en-US"/>
        </w:rPr>
        <w:t>[1]</w:t>
      </w:r>
      <w:r w:rsidR="008C2687" w:rsidRPr="008B63A3">
        <w:rPr>
          <w:sz w:val="24"/>
          <w:szCs w:val="24"/>
          <w:lang w:val="en-US"/>
        </w:rPr>
        <w:fldChar w:fldCharType="end"/>
      </w:r>
      <w:r w:rsidRPr="008B63A3">
        <w:rPr>
          <w:sz w:val="24"/>
          <w:szCs w:val="24"/>
          <w:lang w:val="en-US"/>
        </w:rPr>
        <w:t xml:space="preserve">. </w:t>
      </w:r>
      <w:r w:rsidR="00E63B6B" w:rsidRPr="008B63A3">
        <w:rPr>
          <w:sz w:val="24"/>
          <w:szCs w:val="24"/>
          <w:lang w:val="en-US"/>
        </w:rPr>
        <w:t>Physical inactivity (i.e. not meeting government PA recommendations)</w:t>
      </w:r>
      <w:r w:rsidR="0055680E" w:rsidRPr="008B63A3">
        <w:rPr>
          <w:sz w:val="24"/>
          <w:szCs w:val="24"/>
          <w:lang w:val="en-US"/>
        </w:rPr>
        <w:t xml:space="preserve"> </w:t>
      </w:r>
      <w:r w:rsidRPr="008B63A3">
        <w:rPr>
          <w:sz w:val="24"/>
          <w:szCs w:val="24"/>
          <w:lang w:val="en-US"/>
        </w:rPr>
        <w:t xml:space="preserve">is </w:t>
      </w:r>
      <w:r w:rsidR="00E63B6B" w:rsidRPr="008B63A3">
        <w:rPr>
          <w:sz w:val="24"/>
          <w:szCs w:val="24"/>
          <w:lang w:val="en-US"/>
        </w:rPr>
        <w:t>an important contribution  towards early</w:t>
      </w:r>
      <w:r w:rsidRPr="008B63A3">
        <w:rPr>
          <w:sz w:val="24"/>
          <w:szCs w:val="24"/>
          <w:lang w:val="en-US"/>
        </w:rPr>
        <w:t xml:space="preserve"> </w:t>
      </w:r>
      <w:r w:rsidR="00E63B6B" w:rsidRPr="008B63A3">
        <w:rPr>
          <w:sz w:val="24"/>
          <w:szCs w:val="24"/>
          <w:lang w:val="en-US"/>
        </w:rPr>
        <w:t>mortality</w:t>
      </w:r>
      <w:r w:rsidRPr="008B63A3">
        <w:rPr>
          <w:sz w:val="24"/>
          <w:szCs w:val="24"/>
          <w:lang w:val="en-US"/>
        </w:rPr>
        <w:t xml:space="preserve"> worldwide</w:t>
      </w:r>
      <w:r w:rsidR="00EB3E18" w:rsidRPr="008B63A3">
        <w:rPr>
          <w:sz w:val="24"/>
          <w:szCs w:val="24"/>
          <w:lang w:val="en-US"/>
        </w:rPr>
        <w:t xml:space="preserve"> and </w:t>
      </w:r>
      <w:r w:rsidR="00E63B6B" w:rsidRPr="008B63A3">
        <w:rPr>
          <w:sz w:val="24"/>
          <w:szCs w:val="24"/>
          <w:lang w:val="en-US"/>
        </w:rPr>
        <w:t xml:space="preserve">has been shown to be strongly associated with </w:t>
      </w:r>
      <w:r w:rsidRPr="008B63A3">
        <w:rPr>
          <w:sz w:val="24"/>
          <w:szCs w:val="24"/>
          <w:lang w:val="en-US"/>
        </w:rPr>
        <w:t>functional decline</w:t>
      </w:r>
      <w:r w:rsidR="004A4E07" w:rsidRPr="008B63A3">
        <w:rPr>
          <w:sz w:val="24"/>
          <w:szCs w:val="24"/>
          <w:lang w:val="en-US"/>
        </w:rPr>
        <w:t xml:space="preserve"> and</w:t>
      </w:r>
      <w:r w:rsidRPr="008B63A3">
        <w:rPr>
          <w:sz w:val="24"/>
          <w:szCs w:val="24"/>
          <w:lang w:val="en-US"/>
        </w:rPr>
        <w:t xml:space="preserve"> comorbidity in </w:t>
      </w:r>
      <w:r w:rsidR="00E63B6B" w:rsidRPr="008B63A3">
        <w:rPr>
          <w:sz w:val="24"/>
          <w:szCs w:val="24"/>
          <w:lang w:val="en-US"/>
        </w:rPr>
        <w:t>older adults</w:t>
      </w:r>
      <w:r w:rsidR="00F30BC7" w:rsidRPr="008B63A3">
        <w:rPr>
          <w:sz w:val="24"/>
          <w:szCs w:val="24"/>
          <w:lang w:val="en-US"/>
        </w:rPr>
        <w:t xml:space="preserve"> </w:t>
      </w:r>
      <w:r w:rsidR="007A3A08" w:rsidRPr="008B63A3">
        <w:rPr>
          <w:sz w:val="24"/>
          <w:szCs w:val="24"/>
          <w:lang w:val="en-US"/>
        </w:rPr>
        <w:fldChar w:fldCharType="begin" w:fldLock="1"/>
      </w:r>
      <w:r w:rsidR="00766376" w:rsidRPr="008B63A3">
        <w:rPr>
          <w:sz w:val="24"/>
          <w:szCs w:val="24"/>
          <w:lang w:val="en-US"/>
        </w:rPr>
        <w:instrText>ADDIN CSL_CITATION {"citationItems":[{"id":"ITEM-1","itemData":{"DOI":"10.1111/j.1447-0594.2011.00815.x","ISSN":"14441586","PMID":"22435943","abstract":"Aim: It is well known that a decline in physical activity is associated with lifestyle-related diseases including cardiovascular (CV) events. However, little is known about the association between physical activity and CV events in elderly patients, because recent accumulating reports have mainly dealt with middle-aged populations. In this study, we investigated the correlation between physical activity and CV events in Japanese elderly patients with type2 diabetes mellitus (T2DM). Methods: A total of 938 Japanese elderly patients with T2DM (447 men and 491 women, mean age 71.9years) enrolled (2000-2002) in the Japanese Elderly Diabetes Intervention Trial (J-EDIT) were used in this study. Physical activity consisting of three components, work, sports and leisure-time, of their lifestyle was evaluated using the Baecke questionnaire at baseline. Total activity score (TAS) as a sum of each activity score was divided into four quartiles (Q1 to Q4). Results: During a follow-up period of 65.2months, 165 events and 71 deaths in total occurred. Higher TAS grade was associated with reduced risk of all events (hazard ratios: 0.82, 0.77 and 0.54 in Q2, Q3 and Q4, respectively) with statistical significance. Even after multivariate adjustment for covariates, higher TAS grade was a strong predictor of all events, and the prediction by TAS of cerebrovascular events was more effective than that of cardiac events. In contrast, all-cause mortality gradually decreased according to TAS grade; however, no statistical significance was found. Among the four grades of TAS, no significant change in several parameters, such as profiles of lipid and glucose metabolism, blood pressure, physical measurements, cognitive function and depression scale, was found throughout the follow-up period, suggesting that the higher level of physical activity itself was associated with the risk reduction of primary events. Conclusion: Lower physical activity is a strong and independent predictor of all CV events in the elderly with T2DM beyond traditional risk factors. In addition to strict management of each atherosclerotic risk factor, engagement with patients to augment and maintain the level of physical activity in their lifestyle is also essential in clinical practice. © 2012 Japan Geriatrics Society.","author":[{"dropping-particle":"","family":"Iijima","given":"Katsuya","non-dropping-particle":"","parse-names":false,"suffix":""},{"dropping-particle":"","family":"Iimuro","given":"Satoshi","non-dropping-particle":"","parse-names":false,"suffix":""},{"dropping-particle":"","family":"Shinozaki","given":"Tomohiro","non-dropping-particle":"","parse-names":false,"suffix":""},{"dropping-particle":"","family":"Ohashi","given":"Yasuo","non-dropping-particle":"","parse-names":false,"suffix":""},{"dropping-particle":"","family":"Sakurai","given":"Takashi","non-dropping-particle":"","parse-names":false,"suffix":""},{"dropping-particle":"","family":"Umegaki","given":"Hiroyuki","non-dropping-particle":"","parse-names":false,"suffix":""},{"dropping-particle":"","family":"Araki","given":"Atsushi","non-dropping-particle":"","parse-names":false,"suffix":""},{"dropping-particle":"","family":"Ouchi","given":"Yasuyoshi","non-dropping-particle":"","parse-names":false,"suffix":""},{"dropping-particle":"","family":"Ito","given":"Hideki","non-dropping-particle":"","parse-names":false,"suffix":""}],"container-title":"Geriatrics and Gerontology International","id":"ITEM-1","issue":"SUPPL.1","issued":{"date-parts":[["2012"]]},"page":"77-87","title":"Lower physical activity is a strong predictor of cardiovascular events in elderly patients with type2 diabetes mellitus beyond traditional risk factors: The Japanese elderly diabetes intervention trial","type":"article-journal","volume":"12"},"uris":["http://www.mendeley.com/documents/?uuid=27c60795-eee9-4894-8a15-133bdec932fc"]},{"id":"ITEM-2","itemData":{"DOI":"10.1371/journal.pone.0119591","ISSN":"19326203","PMID":"25768112","abstract":"Background: Sedentary behavior is related to increased mortality risk. Whether such elevated risk can be offset by enhanced physical activity has not been examined using accelerometry data. Materials and Methods: We examined the relations of sedentary time and physical activity to mortality from any cause using accelerometry data among 1,677 women and men aged 50 years or older from the National Health and Nutrition Examination Survey (NHANES) 2003-2004 cycle with follow-up through December 31, 2006. Results: During an average follow-up of 34.67 months and 4,845.42 person-years, 112 deaths occurred. In multivariate Cox proportional hazard models, greater sedentary time (≥ median of 8.60 hours/day) was associated with increased risk of mortality from any cause (relative risk (RR) = 2.03; 95% confidence interval (CI) = 1.09-3.81). Low level of moderate to vigorous physical activity (&lt; median of 6.60 minutes/day) was also related to enhanced allcause mortality risk (RR = 3.30; 95% CI = 1.33-8.17). In combined analyses, greater time spent sedentary and low levels of moderate to vigorous physical activity predicted a substantially elevated all-cause mortality risk. As compared with the combination of a low sedentary level and a high level of moderate to vigorous physical activity, the risks of mortality from all causes were 4.38 (95% CI = 1.26-15.16) for low levels of both sedentary time and physical activity, 2.79 (95% CI = 0.77-10.12) for greater time spent sedentary and high physical activity level, and 7.79 (95% CI = 2.26-26.82) for greater time spent sedentary and low physical activity level. The interaction term between sedentary time and moderate to vigorous physical activity was not statistically significant (p = 0.508). Conclusions: Both high levels of sedentary time and low levels of moderate to vigorous physical activity are strong and independent predictors of early death from any cause. Whether a high physical activity level removes the increased risk of all-cause mortality related to sedentariness requires further investigation.","author":[{"dropping-particle":"","family":"Schmid","given":"Daniela","non-dropping-particle":"","parse-names":false,"suffix":""},{"dropping-particle":"","family":"Ricci","given":"Cristian","non-dropping-particle":"","parse-names":false,"suffix":""},{"dropping-particle":"","family":"Leitzmann","given":"Michael F.","non-dropping-particle":"","parse-names":false,"suffix":""}],"container-title":"PLoS ONE","id":"ITEM-2","issue":"3","issued":{"date-parts":[["2015"]]},"page":"1-14","title":"Associations of objectively assessed physical activity and sedentary time with all-cause mortality in US adults: The NHANES study","type":"article-journal","volume":"10"},"uris":["http://www.mendeley.com/documents/?uuid=823beff1-c047-40b5-8066-2c3568236c53"]},{"id":"ITEM-3","itemData":{"DOI":"10.1590/s0066-782x2011005000083","ISSN":"0066-782X","abstract":"BACKGROUND: The prevalence of dyslipidemia is increasing in many parts of Brazil, but it is yet unclear how much exercise is needed to attain beneficial effects on plasma lipoprotein levels. OBJECTIVE: The study analyzed eight cities of the state of Sao Paulo, the association between the continued practice of physical exercise throughout life and the occurrence of dyslipidemia in adulthood. METHODS: Cross-sectional study involving 2,720 adults, of both sexes, living in eight cities of the state of Sao Paulo. Through household interviews, the presence of dyslipidemia was self-reported and physical exercise practice was assessed in childhood (7-10 years), adolescence (11-17 years) and adulthood (leisure activities). In the statistical analysis, multivariate models were created using binary logistic regression. RESULTS: The prevalence of dyslipidemia was 12.2% (95%CI: 11.1% -13.5%) and there was no difference between cities (p = 0.443). Women (p = 0.001) and obese individuals (p = 0.001) had a higher rate of dyslipidemia. Current practice of physical exercise was not associated with the presence of dyslipidemia ([&gt;/= 180 minutes per week] p = 0.165); however, physical exercise, both in childhood (p = 0.001) and adolescence (p = 0.001) was associated with a lower incidence of the disease. Physically active adults in all three stages of life were 65% less likely to report dyslipidemia (OR = 0.35 [0.15 to 0.78]). CONCLUSION: The continued practice of physical exercise throughout life was associated with a lower incidence of dyslipidemia in adults in the State of Sao Paulo.","author":[{"dropping-particle":"","family":"Fernandes","given":"Rômulo Araújo","non-dropping-particle":"","parse-names":false,"suffix":""},{"dropping-particle":"","family":"Christofaro","given":"Diego Giulliano Destro","non-dropping-particle":"","parse-names":false,"suffix":""},{"dropping-particle":"","family":"Casonatto","given":"Juliano","non-dropping-particle":"","parse-names":false,"suffix":""},{"dropping-particle":"","family":"Codogno","given":"Jamile Sanches","non-dropping-particle":"","parse-names":false,"suffix":""},{"dropping-particle":"","family":"Rodrigues","given":"Eduardo Quieroti","non-dropping-particle":"","parse-names":false,"suffix":""},{"dropping-particle":"","family":"Cardoso","given":"Mauro Leandro","non-dropping-particle":"","parse-names":false,"suffix":""},{"dropping-particle":"","family":"Kawaguti","given":"Sandra Satie","non-dropping-particle":"","parse-names":false,"suffix":""},{"dropping-particle":"","family":"Zanesco","given":"Angelina","non-dropping-particle":"","parse-names":false,"suffix":""}],"container-title":"Arquivos Brasileiros de Cardiologia","id":"ITEM-3","issue":"4","issued":{"date-parts":[["2011"]]},"page":"317-323","title":"Prevalência de dislipidemia em indivíduos fisicamente ativos durante a infância, adolescência e idade adulta","type":"article-journal","volume":"97"},"uris":["http://www.mendeley.com/documents/?uuid=57b415c7-a09e-42f6-8337-0b1303ffc0f8"]},{"id":"ITEM-4","itemData":{"DOI":"10.1136/bjsm.2008.048033","ISSN":"03063674","PMID":"18487253","abstract":"Objectives: To assess physical activity (PA) levels measured objectively using accelerometers in community-dwelling older people and to examine the associations with health, disability, anthropometric measures and psychosocial factors. Design: Cross-sectional survey. Setting: Single general practice (primary care centre), United Kingdom. Participants: Random selection of 560 community-dwelling older people at least 65 years old, registered with the practice. 43% (238/560) participated. Assessment of risk factors: Participants completed a questionnaire assessing health, disability, psychosocial factors and PA levels; underwent anthropometric assessment; and wore an accelerometer (Actigraph) for 7 days. Main outcome measures: Average daily accelerometer step-counts and time spent in different PA levels. Associations between step-counts and other factors were examined using linear regression. Results: Average daily step-count was 6443 (95% CI 6032 to 6853). Men achieved 754 (84 to 1424) more steps daily than women. Step-count declined steadily with age. Independent predictors of average daily step-count were: age; general health; disability; diabetes; body mass index; exercise self-efficacy; and perceived exercise control. Activities associated independently with higher step-counts included number of long walks and dog-walking. Only 2.5% (6/238) of participants achieved the recommended 150 minutes weekly of at least moderate-intensity activity in ≥10 minute bouts; 62% (147/238) achieved none. Conclusions: This is the first population-based sample of older people with objective PA and anthropometric measures. PA levels in older people are well below recommended levels, emphasising the need to increase PA in this age group, particularly in those who are overweight/obese or have diabetes. The independent effects of exercise self-efficacy and exercise control on PA levels highlight their role as potential mediators for intervention studies.","author":[{"dropping-particle":"","family":"Harris","given":"Tess J.","non-dropping-particle":"","parse-names":false,"suffix":""},{"dropping-particle":"","family":"Owen","given":"C. G.","non-dropping-particle":"","parse-names":false,"suffix":""},{"dropping-particle":"","family":"Victor","given":"C. R.","non-dropping-particle":"","parse-names":false,"suffix":""},{"dropping-particle":"","family":"Adams","given":"R.","non-dropping-particle":"","parse-names":false,"suffix":""},{"dropping-particle":"","family":"Cook","given":"D. G.","non-dropping-particle":"","parse-names":false,"suffix":""}],"container-title":"British Journal of Sports Medicine","id":"ITEM-4","issue":"6","issued":{"date-parts":[["2009"]]},"page":"442-450","title":"What factors are associated with physical activity in older people, assessed objectively by accelerometry?","type":"article-journal","volume":"43"},"uris":["http://www.mendeley.com/documents/?uuid=38312281-0fe2-40bf-bfbb-7b303d3f5b93"]}],"mendeley":{"formattedCitation":"[2–5]","plainTextFormattedCitation":"[2–5]","previouslyFormattedCitation":"[2–5]"},"properties":{"noteIndex":0},"schema":"https://github.com/citation-style-language/schema/raw/master/csl-citation.json"}</w:instrText>
      </w:r>
      <w:r w:rsidR="007A3A08" w:rsidRPr="008B63A3">
        <w:rPr>
          <w:sz w:val="24"/>
          <w:szCs w:val="24"/>
          <w:lang w:val="en-US"/>
        </w:rPr>
        <w:fldChar w:fldCharType="separate"/>
      </w:r>
      <w:r w:rsidR="00766376" w:rsidRPr="008B63A3">
        <w:rPr>
          <w:noProof/>
          <w:sz w:val="24"/>
          <w:szCs w:val="24"/>
          <w:lang w:val="en-US"/>
        </w:rPr>
        <w:t>[2–5]</w:t>
      </w:r>
      <w:r w:rsidR="007A3A08" w:rsidRPr="008B63A3">
        <w:rPr>
          <w:sz w:val="24"/>
          <w:szCs w:val="24"/>
          <w:lang w:val="en-US"/>
        </w:rPr>
        <w:fldChar w:fldCharType="end"/>
      </w:r>
      <w:r w:rsidR="008256BD" w:rsidRPr="008B63A3">
        <w:rPr>
          <w:sz w:val="24"/>
          <w:szCs w:val="24"/>
          <w:lang w:val="en-US"/>
        </w:rPr>
        <w:t>.</w:t>
      </w:r>
      <w:r w:rsidR="002D7DD9" w:rsidRPr="008B63A3">
        <w:rPr>
          <w:sz w:val="24"/>
          <w:szCs w:val="24"/>
          <w:lang w:val="en-US"/>
        </w:rPr>
        <w:t xml:space="preserve"> </w:t>
      </w:r>
    </w:p>
    <w:p w14:paraId="44D72FDF" w14:textId="77777777" w:rsidR="00DA2B1D" w:rsidRPr="008B63A3" w:rsidRDefault="00E63B6B" w:rsidP="00954898">
      <w:pPr>
        <w:spacing w:line="360" w:lineRule="auto"/>
        <w:ind w:firstLine="709"/>
        <w:jc w:val="both"/>
        <w:rPr>
          <w:sz w:val="24"/>
          <w:szCs w:val="24"/>
          <w:lang w:val="en-US"/>
        </w:rPr>
      </w:pPr>
      <w:r w:rsidRPr="008B63A3">
        <w:rPr>
          <w:sz w:val="24"/>
          <w:szCs w:val="24"/>
          <w:lang w:val="en-US"/>
        </w:rPr>
        <w:t>E</w:t>
      </w:r>
      <w:r w:rsidR="00B762A4" w:rsidRPr="008B63A3">
        <w:rPr>
          <w:sz w:val="24"/>
          <w:szCs w:val="24"/>
          <w:lang w:val="en-US"/>
        </w:rPr>
        <w:t>vidence</w:t>
      </w:r>
      <w:r w:rsidR="006F21F6" w:rsidRPr="008B63A3">
        <w:rPr>
          <w:sz w:val="24"/>
          <w:szCs w:val="24"/>
          <w:lang w:val="en-US"/>
        </w:rPr>
        <w:t xml:space="preserve"> </w:t>
      </w:r>
      <w:r w:rsidR="00EB3E18" w:rsidRPr="008B63A3">
        <w:rPr>
          <w:sz w:val="24"/>
          <w:szCs w:val="24"/>
          <w:lang w:val="en-US"/>
        </w:rPr>
        <w:t>s</w:t>
      </w:r>
      <w:r w:rsidRPr="008B63A3">
        <w:rPr>
          <w:sz w:val="24"/>
          <w:szCs w:val="24"/>
          <w:lang w:val="en-US"/>
        </w:rPr>
        <w:t>uggests</w:t>
      </w:r>
      <w:r w:rsidR="00B762A4" w:rsidRPr="008B63A3">
        <w:rPr>
          <w:sz w:val="24"/>
          <w:szCs w:val="24"/>
          <w:lang w:val="en-US"/>
        </w:rPr>
        <w:t xml:space="preserve"> that </w:t>
      </w:r>
      <w:r w:rsidRPr="008B63A3">
        <w:rPr>
          <w:sz w:val="24"/>
          <w:szCs w:val="24"/>
          <w:lang w:val="en-US"/>
        </w:rPr>
        <w:t>older adults should participate in at</w:t>
      </w:r>
      <w:r w:rsidR="00735BF8" w:rsidRPr="008B63A3">
        <w:rPr>
          <w:sz w:val="24"/>
          <w:szCs w:val="24"/>
          <w:lang w:val="en-US"/>
        </w:rPr>
        <w:t xml:space="preserve"> </w:t>
      </w:r>
      <w:r w:rsidRPr="008B63A3">
        <w:rPr>
          <w:sz w:val="24"/>
          <w:szCs w:val="24"/>
          <w:lang w:val="en-US"/>
        </w:rPr>
        <w:t>least</w:t>
      </w:r>
      <w:r w:rsidR="00735BF8" w:rsidRPr="008B63A3">
        <w:rPr>
          <w:sz w:val="24"/>
          <w:szCs w:val="24"/>
          <w:lang w:val="en-US"/>
        </w:rPr>
        <w:t xml:space="preserve"> </w:t>
      </w:r>
      <w:r w:rsidR="006F21F6" w:rsidRPr="008B63A3">
        <w:rPr>
          <w:sz w:val="24"/>
          <w:szCs w:val="24"/>
          <w:lang w:val="en-US"/>
        </w:rPr>
        <w:t>300 min</w:t>
      </w:r>
      <w:r w:rsidRPr="008B63A3">
        <w:rPr>
          <w:sz w:val="24"/>
          <w:szCs w:val="24"/>
          <w:lang w:val="en-US"/>
        </w:rPr>
        <w:t>utes</w:t>
      </w:r>
      <w:r w:rsidR="006F21F6" w:rsidRPr="008B63A3">
        <w:rPr>
          <w:sz w:val="24"/>
          <w:szCs w:val="24"/>
          <w:lang w:val="en-US"/>
        </w:rPr>
        <w:t xml:space="preserve"> of moderate-intensity </w:t>
      </w:r>
      <w:r w:rsidR="00741B8A" w:rsidRPr="008B63A3">
        <w:rPr>
          <w:sz w:val="24"/>
          <w:szCs w:val="24"/>
          <w:lang w:val="en-US"/>
        </w:rPr>
        <w:t xml:space="preserve">PA </w:t>
      </w:r>
      <w:r w:rsidR="006F21F6" w:rsidRPr="008B63A3">
        <w:rPr>
          <w:sz w:val="24"/>
          <w:szCs w:val="24"/>
          <w:lang w:val="en-US"/>
        </w:rPr>
        <w:t>per week, or 150 min</w:t>
      </w:r>
      <w:r w:rsidRPr="008B63A3">
        <w:rPr>
          <w:sz w:val="24"/>
          <w:szCs w:val="24"/>
          <w:lang w:val="en-US"/>
        </w:rPr>
        <w:t>utes</w:t>
      </w:r>
      <w:r w:rsidR="006F21F6" w:rsidRPr="008B63A3">
        <w:rPr>
          <w:sz w:val="24"/>
          <w:szCs w:val="24"/>
          <w:lang w:val="en-US"/>
        </w:rPr>
        <w:t xml:space="preserve"> of vigorous-intensity </w:t>
      </w:r>
      <w:r w:rsidR="00741B8A" w:rsidRPr="008B63A3">
        <w:rPr>
          <w:sz w:val="24"/>
          <w:szCs w:val="24"/>
          <w:lang w:val="en-US"/>
        </w:rPr>
        <w:t xml:space="preserve">PA </w:t>
      </w:r>
      <w:r w:rsidR="006F21F6" w:rsidRPr="008B63A3">
        <w:rPr>
          <w:sz w:val="24"/>
          <w:szCs w:val="24"/>
          <w:lang w:val="en-US"/>
        </w:rPr>
        <w:t>per week.</w:t>
      </w:r>
      <w:r w:rsidR="00741B8A" w:rsidRPr="008B63A3">
        <w:rPr>
          <w:sz w:val="24"/>
          <w:szCs w:val="24"/>
          <w:lang w:val="en-US"/>
        </w:rPr>
        <w:t xml:space="preserve"> Moreover</w:t>
      </w:r>
      <w:r w:rsidR="006F21F6" w:rsidRPr="008B63A3">
        <w:rPr>
          <w:sz w:val="24"/>
          <w:szCs w:val="24"/>
          <w:lang w:val="en-US"/>
        </w:rPr>
        <w:t xml:space="preserve">, </w:t>
      </w:r>
      <w:r w:rsidR="00741B8A" w:rsidRPr="008B63A3">
        <w:rPr>
          <w:sz w:val="24"/>
          <w:szCs w:val="24"/>
          <w:lang w:val="en-US"/>
        </w:rPr>
        <w:t xml:space="preserve">PA </w:t>
      </w:r>
      <w:r w:rsidR="006F21F6" w:rsidRPr="008B63A3">
        <w:rPr>
          <w:sz w:val="24"/>
          <w:szCs w:val="24"/>
          <w:lang w:val="en-US"/>
        </w:rPr>
        <w:t>at</w:t>
      </w:r>
      <w:r w:rsidR="00741B8A" w:rsidRPr="008B63A3">
        <w:rPr>
          <w:sz w:val="24"/>
          <w:szCs w:val="24"/>
          <w:lang w:val="en-US"/>
        </w:rPr>
        <w:t xml:space="preserve"> a</w:t>
      </w:r>
      <w:r w:rsidR="006F21F6" w:rsidRPr="008B63A3">
        <w:rPr>
          <w:sz w:val="24"/>
          <w:szCs w:val="24"/>
          <w:lang w:val="en-US"/>
        </w:rPr>
        <w:t xml:space="preserve"> moderate or greater intensity on 3</w:t>
      </w:r>
      <w:r w:rsidR="00CD22AE" w:rsidRPr="008B63A3">
        <w:rPr>
          <w:sz w:val="24"/>
          <w:szCs w:val="24"/>
          <w:lang w:val="en-US"/>
        </w:rPr>
        <w:t xml:space="preserve"> </w:t>
      </w:r>
      <w:r w:rsidR="00741B8A" w:rsidRPr="008B63A3">
        <w:rPr>
          <w:sz w:val="24"/>
          <w:szCs w:val="24"/>
          <w:lang w:val="en-US"/>
        </w:rPr>
        <w:t>or more days of the week</w:t>
      </w:r>
      <w:r w:rsidR="006F21F6" w:rsidRPr="008B63A3">
        <w:rPr>
          <w:sz w:val="24"/>
          <w:szCs w:val="24"/>
          <w:lang w:val="en-US"/>
        </w:rPr>
        <w:t>, have additional health benefits, such as prevent</w:t>
      </w:r>
      <w:r w:rsidR="00F52435" w:rsidRPr="008B63A3">
        <w:rPr>
          <w:sz w:val="24"/>
          <w:szCs w:val="24"/>
          <w:lang w:val="en-US"/>
        </w:rPr>
        <w:t>ing</w:t>
      </w:r>
      <w:r w:rsidR="006F21F6" w:rsidRPr="008B63A3">
        <w:rPr>
          <w:sz w:val="24"/>
          <w:szCs w:val="24"/>
          <w:lang w:val="en-US"/>
        </w:rPr>
        <w:t xml:space="preserve"> falls, frailty, poor physical function</w:t>
      </w:r>
      <w:r w:rsidR="00F52435" w:rsidRPr="008B63A3">
        <w:rPr>
          <w:sz w:val="24"/>
          <w:szCs w:val="24"/>
          <w:lang w:val="en-US"/>
        </w:rPr>
        <w:t xml:space="preserve">, </w:t>
      </w:r>
      <w:r w:rsidR="00741B8A" w:rsidRPr="008B63A3">
        <w:rPr>
          <w:sz w:val="24"/>
          <w:szCs w:val="24"/>
          <w:lang w:val="en-US"/>
        </w:rPr>
        <w:t xml:space="preserve">as well as a reduction in </w:t>
      </w:r>
      <w:r w:rsidR="00F52435" w:rsidRPr="008B63A3">
        <w:rPr>
          <w:sz w:val="24"/>
          <w:szCs w:val="24"/>
          <w:lang w:val="en-US"/>
        </w:rPr>
        <w:t xml:space="preserve">overall </w:t>
      </w:r>
      <w:r w:rsidR="006F21F6" w:rsidRPr="008B63A3">
        <w:rPr>
          <w:sz w:val="24"/>
          <w:szCs w:val="24"/>
          <w:lang w:val="en-US"/>
        </w:rPr>
        <w:t>risk of</w:t>
      </w:r>
      <w:r w:rsidR="00476B1B" w:rsidRPr="008B63A3">
        <w:rPr>
          <w:sz w:val="24"/>
          <w:szCs w:val="24"/>
          <w:lang w:val="en-US"/>
        </w:rPr>
        <w:t xml:space="preserve"> mortality</w:t>
      </w:r>
      <w:r w:rsidR="00B77CDD" w:rsidRPr="008B63A3">
        <w:rPr>
          <w:sz w:val="24"/>
          <w:szCs w:val="24"/>
          <w:lang w:val="en-US"/>
        </w:rPr>
        <w:t xml:space="preserve"> </w:t>
      </w:r>
      <w:r w:rsidR="006F2B87" w:rsidRPr="008B63A3">
        <w:rPr>
          <w:sz w:val="24"/>
          <w:szCs w:val="24"/>
          <w:lang w:val="en-US"/>
        </w:rPr>
        <w:fldChar w:fldCharType="begin" w:fldLock="1"/>
      </w:r>
      <w:r w:rsidR="00766376" w:rsidRPr="008B63A3">
        <w:rPr>
          <w:sz w:val="24"/>
          <w:szCs w:val="24"/>
          <w:lang w:val="en-US"/>
        </w:rPr>
        <w:instrText>ADDIN CSL_CITATION {"citationItems":[{"id":"ITEM-1","itemData":{"DOI":"10.3945/ajcn.114.100065","ISSN":"19383207","PMID":"25733647","abstract":"Background: The higher risk of death resulting from excess adiposity may be attenuated by physical activity (PA). However, the theoretical number of deaths reduced by eliminating physical inactivity compared with overall and abdominal obesity remains unclear. Objective: We examined whether overall and abdominal adiposity modified the association between PA and all-cause mortality and estimated the population attributable fraction (PAF) and the years of life gained for these exposures. Design: This was a cohort study in 334,161 European men and women. The mean follow-up time was 12.4 y, corresponding to 4,154,915 person-years. Height, weight, and waist circumference (WC) were measured in the clinic. PA was assessed with a validated self-report instrument. The combined associations between PA, BMI, and WC with mortality were examined with Cox proportional hazards models, stratified by center and age group, and adjusted for sex, education, smoking, and alcohol intake. Centerspecific PAF associated with inactivity, body mass index (BMI; in kg/m&lt;sup&gt;2&lt;/sup&gt;) (&gt;30), and WC (≥102 cm for men, ≥88 cm for women) were calculated and combined in random-effects meta-analysis. Life-tables analyses were used to estimate gains in life expectancy for the exposures. Results: Significant interactions (PA × BMI and PA × WC) were observed, so HRs were estimated within BMI and WC strata. The hazards of all-cause mortality were reduced by 16-30% in moderately inactive individuals compared with those categorized as inactive in different strata of BMI and WC. Avoiding all inactivity would theoretically reduce all-cause mortality by 7.35% (95% CI: 5.88%, 8.83%). Corresponding estimates for avoiding obesity (BMI &gt;30) were 3.66% (95% CI: 2.30%, 5.01%). The estimates for avoiding high WC were similar to those for physical inactivity. Conclusion: The greatest reductions in mortality risk were observed between the 2 lowest activity groups across levels of general and abdominal adiposity, which suggests that efforts to encourage even small increases in activity in inactive individuals may be beneficial to public health.","author":[{"dropping-particle":"","family":"Ekelund","given":"Ulf","non-dropping-particle":"","parse-names":false,"suffix":""},{"dropping-particle":"","family":"Ward","given":"Heather A.","non-dropping-particle":"","parse-names":false,"suffix":""},{"dropping-particle":"","family":"Norat","given":"Teresa","non-dropping-particle":"","parse-names":false,"suffix":""},{"dropping-particle":"","family":"Luan","given":"Jian'an","non-dropping-particle":"","parse-names":false,"suffix":""},{"dropping-particle":"","family":"May","given":"Anne M.","non-dropping-particle":"","parse-names":false,"suffix":""},{"dropping-particle":"","family":"Weiderpass","given":"Elisabete","non-dropping-particle":"","parse-names":false,"suffix":""},{"dropping-particle":"","family":"Sharp","given":"Stephen J.","non-dropping-particle":"","parse-names":false,"suffix":""},{"dropping-particle":"","family":"Overvad","given":"Kim","non-dropping-particle":"","parse-names":false,"suffix":""},{"dropping-particle":"","family":"Østergaard","given":"Jane Nautrup","non-dropping-particle":"","parse-names":false,"suffix":""},{"dropping-particle":"","family":"Tjønneland","given":"Anne","non-dropping-particle":"","parse-names":false,"suffix":""},{"dropping-particle":"","family":"Johnsen","given":"Nina Føns","non-dropping-particle":"","parse-names":false,"suffix":""},{"dropping-particle":"","family":"Mesrine","given":"Sylvie","non-dropping-particle":"","parse-names":false,"suffix":""},{"dropping-particle":"","family":"Fournier","given":"Agnès","non-dropping-particle":"","parse-names":false,"suffix":""},{"dropping-particle":"","family":"Fagherazzi","given":"Guy","non-dropping-particle":"","parse-names":false,"suffix":""},{"dropping-particle":"","family":"Trichopoulou","given":"Antonia","non-dropping-particle":"","parse-names":false,"suffix":""},{"dropping-particle":"","family":"Lagiou","given":"Pagona","non-dropping-particle":"","parse-names":false,"suffix":""},{"dropping-particle":"","family":"Trichopoulos","given":"Dimitrios","non-dropping-particle":"","parse-names":false,"suffix":""},{"dropping-particle":"","family":"Li","given":"Kuanrong","non-dropping-particle":"","parse-names":false,"suffix":""},{"dropping-particle":"","family":"Kaaks","given":"Rudolf","non-dropping-particle":"","parse-names":false,"suffix":""},{"dropping-particle":"","family":"Ferrari","given":"Pietro","non-dropping-particle":"","parse-names":false,"suffix":""},{"dropping-particle":"","family":"Licaj","given":"Idlir","non-dropping-particle":"","parse-names":false,"suffix":""},{"dropping-particle":"","family":"Jenab","given":"Mazda","non-dropping-particle":"","parse-names":false,"suffix":""},{"dropping-particle":"","family":"Bergmann","given":"Manuela","non-dropping-particle":"","parse-names":false,"suffix":""},{"dropping-particle":"","family":"Boeing","given":"Heiner","non-dropping-particle":"","parse-names":false,"suffix":""},{"dropping-particle":"","family":"Palli","given":"Domenico","non-dropping-particle":"","parse-names":false,"suffix":""},{"dropping-particle":"","family":"Sieri","given":"Sabina","non-dropping-particle":"","parse-names":false,"suffix":""},{"dropping-particle":"","family":"Panico","given":"Salvatore","non-dropping-particle":"","parse-names":false,"suffix":""},{"dropping-particle":"","family":"Tumino","given":"Rosario","non-dropping-particle":"","parse-names":false,"suffix":""},{"dropping-particle":"","family":"Vineis","given":"Paolo","non-dropping-particle":"","parse-names":false,"suffix":""},{"dropping-particle":"","family":"Peeters","given":"Petra H.","non-dropping-particle":"","parse-names":false,"suffix":""},{"dropping-particle":"","family":"Monnikhof","given":"Evelyn","non-dropping-particle":"","parse-names":false,"suffix":""},{"dropping-particle":"","family":"Bueno-De-Mesquita","given":"H. Bas","non-dropping-particle":"","parse-names":false,"suffix":""},{"dropping-particle":"","family":"Quirós","given":"J. Ramón","non-dropping-particle":"","parse-names":false,"suffix":""},{"dropping-particle":"","family":"Agudo","given":"Antonio","non-dropping-particle":"","parse-names":false,"suffix":""},{"dropping-particle":"","family":"Sánchez","given":"María José","non-dropping-particle":"","parse-names":false,"suffix":""},{"dropping-particle":"","family":"Huerta","given":"José María","non-dropping-particle":"","parse-names":false,"suffix":""},{"dropping-particle":"","family":"Ardanaz","given":"Eva","non-dropping-particle":"","parse-names":false,"suffix":""},{"dropping-particle":"","family":"Arriola","given":"Larraitz","non-dropping-particle":"","parse-names":false,"suffix":""},{"dropping-particle":"","family":"Hedblad","given":"Bo","non-dropping-particle":"","parse-names":false,"suffix":""},{"dropping-particle":"","family":"Wirfält","given":"Elisabet","non-dropping-particle":"","parse-names":false,"suffix":""},{"dropping-particle":"","family":"Sund","given":"Malin","non-dropping-particle":"","parse-names":false,"suffix":""},{"dropping-particle":"","family":"Johansson","given":"Mattias","non-dropping-particle":"","parse-names":false,"suffix":""},{"dropping-particle":"","family":"Key","given":"Timothy J.","non-dropping-particle":"","parse-names":false,"suffix":""},{"dropping-particle":"","family":"Travis","given":"Ruth C.","non-dropping-particle":"","parse-names":false,"suffix":""},{"dropping-particle":"","family":"Khaw","given":"Kay Tee","non-dropping-particle":"","parse-names":false,"suffix":""},{"dropping-particle":"","family":"Brage","given":"Søren","non-dropping-particle":"","parse-names":false,"suffix":""},{"dropping-particle":"","family":"Wareham","given":"Nicholas J.","non-dropping-particle":"","parse-names":false,"suffix":""},{"dropping-particle":"","family":"Riboli","given":"Elio","non-dropping-particle":"","parse-names":false,"suffix":""}],"container-title":"American Journal of Clinical Nutrition","id":"ITEM-1","issue":"3","issued":{"date-parts":[["2015"]]},"page":"613-621","title":"Physical activity and all-cause mortality across levels of overall and abdominal adiposity in European men and women: The European prospective investigation into cancer and nutrition study (EPIC)","type":"article-journal","volume":"101"},"uris":["http://www.mendeley.com/documents/?uuid=74c16328-2a2e-4570-b840-1b51878aeeeb"]},{"id":"ITEM-2","itemData":{"DOI":"10.1016/S0140-6736(17)31634-3","ISSN":"1474547X","PMID":"28943267","abstract":"Background Physical activity has a protective effect against cardiovascular disease (CVD) in high-income countries, where physical activity is mainly recreational, but it is not known if this is also observed in lower-income countries, where physical activity is mainly non-recreational. We examined whether different amounts and types of physical activity are associated with lower mortality and CVD in countries at different economic levels. Methods In this prospective cohort study, we recruited participants from 17 countries (Canada, Sweden, United Arab Emirates, Argentina, Brazil, Chile, Poland, Turkey, Malaysia, South Africa, China, Colombia, Iran, Bangladesh, India, Pakistan, and Zimbabwe). Within each country, urban and rural areas in and around selected cities and towns were identified to reflect the geographical diversity. Within these communities, we invited individuals aged between 35 and 70 years who intended to live at their current address for at least another 4 years. Total physical activity was assessed using the International Physical Activity Questionnaire (IPQA). Participants with pre-existing CVD were excluded from the analyses. Mortality and CVD were recorded during a mean of 6·9 years of follow-up. Primary clinical outcomes during follow-up were mortality plus major CVD (CVD mortality, incident myocardial infarction, stroke, or heart failure), either as a composite or separately. The effects of physical activity on mortality and CVD were adjusted for sociodemographic factors and other risk factors taking into account household, community, and country clustering. Findings Between Jan 1, 2003, and Dec 31, 2010, 168 916 participants were enrolled, of whom 141 945 completed the IPAQ. Analyses were limited to the 130 843 participants without pre-existing CVD. Compared with low physical activity (&lt;600 metabolic equivalents [MET] × minutes per week or &lt;150 minutes per week of moderate intensity physical activity), moderate (600–3000 MET × minutes or 150–750 minutes per week) and high physical activity (&gt;3000 MET × minutes or &gt;750 minutes per week) were associated with graded reduction in mortality (hazard ratio 0·80, 95% CI 0·74–0·87 and 0·65, 0·60–0·71; p&lt;0·0001 for trend), and major CVD (0·86, 0·78–0·93; p&lt;0·001 for trend). Higher physical activity was associated with lower risk of CVD and mortality in high-income, middle-income, and low-income countries. The adjusted population attributable fraction for not meeting the physical activity gu…","author":[{"dropping-particle":"","family":"Lear","given":"Scott A.","non-dropping-particle":"","parse-names":false,"suffix":""},{"dropping-particle":"","family":"Hu","given":"Weihong","non-dropping-particle":"","parse-names":false,"suffix":""},{"dropping-particle":"","family":"Rangarajan","given":"Sumathy","non-dropping-particle":"","parse-names":false,"suffix":""},{"dropping-particle":"","family":"Gasevic","given":"Danijela","non-dropping-particle":"","parse-names":false,"suffix":""},{"dropping-particle":"","family":"Leong","given":"Darryl","non-dropping-particle":"","parse-names":false,"suffix":""},{"dropping-particle":"","family":"Iqbal","given":"Romaina","non-dropping-particle":"","parse-names":false,"suffix":""},{"dropping-particle":"","family":"Casanova","given":"Amparo","non-dropping-particle":"","parse-names":false,"suffix":""},{"dropping-particle":"","family":"Swaminathan","given":"Sumathi","non-dropping-particle":"","parse-names":false,"suffix":""},{"dropping-particle":"","family":"Anjana","given":"R. M.","non-dropping-particle":"","parse-names":false,"suffix":""},{"dropping-particle":"","family":"Kumar","given":"Rajesh","non-dropping-particle":"","parse-names":false,"suffix":""},{"dropping-particle":"","family":"Rosengren","given":"Annika","non-dropping-particle":"","parse-names":false,"suffix":""},{"dropping-particle":"","family":"Wei","given":"Li","non-dropping-particle":"","parse-names":false,"suffix":""},{"dropping-particle":"","family":"Yang","given":"Wang","non-dropping-particle":"","parse-names":false,"suffix":""},{"dropping-particle":"","family":"Chuangshi","given":"Wang","non-dropping-particle":"","parse-names":false,"suffix":""},{"dropping-particle":"","family":"Huaxing","given":"Liu","non-dropping-particle":"","parse-names":false,"suffix":""},{"dropping-particle":"","family":"Nair","given":"Sanjeev","non-dropping-particle":"","parse-names":false,"suffix":""},{"dropping-particle":"","family":"Diaz","given":"Rafael","non-dropping-particle":"","parse-names":false,"suffix":""},{"dropping-particle":"","family":"Swidon","given":"Hany","non-dropping-particle":"","parse-names":false,"suffix":""},{"dropping-particle":"","family":"Gupta","given":"Rajeev","non-dropping-particle":"","parse-names":false,"suffix":""},{"dropping-particle":"","family":"Mohammadifard","given":"Noushin","non-dropping-particle":"","parse-names":false,"suffix":""},{"dropping-particle":"","family":"Lopez-Jaramillo","given":"Patricio","non-dropping-particle":"","parse-names":false,"suffix":""},{"dropping-particle":"","family":"Oguz","given":"Aytekin","non-dropping-particle":"","parse-names":false,"suffix":""},{"dropping-particle":"","family":"Zatonska","given":"Katarzyna","non-dropping-particle":"","parse-names":false,"suffix":""},{"dropping-particle":"","family":"Seron","given":"Pamela","non-dropping-particle":"","parse-names":false,"suffix":""},{"dropping-particle":"","family":"Avezum","given":"Alvaro","non-dropping-particle":"","parse-names":false,"suffix":""},{"dropping-particle":"","family":"Poirier","given":"Paul","non-dropping-particle":"","parse-names":false,"suffix":""},{"dropping-particle":"","family":"Teo","given":"Koon","non-dropping-particle":"","parse-names":false,"suffix":""},{"dropping-particle":"","family":"Yusuf","given":"Salim","non-dropping-particle":"","parse-names":false,"suffix":""}],"container-title":"The Lancet","id":"ITEM-2","issue":"10113","issued":{"date-parts":[["2017"]]},"page":"2643-2654","publisher":"Elsevier Ltd","title":"The effect of physical activity on mortality and cardiovascular disease in 130 000 people from 17 high-income, middle-income, and low-income countries: the PURE study","type":"article-journal","volume":"390"},"uris":["http://www.mendeley.com/documents/?uuid=8066770b-a0ed-4f24-ba97-e1f7f81a4985"]},{"id":"ITEM-3","itemData":{"DOI":"10.1136/bmjsem-2019-000596","ISSN":"20557647","abstract":"Background Physical activity recommendations state that for the same energy expenditure, moderate-to-vigorous physical activities (MVPAs) produce similar health benefits. However, few epidemiological studies have tested this hypothesis. Design We examined whether, compared with moderate, vigorous activity was associated with larger mortality risk reductions. Methods Data from 11 cohorts of the Health Survey for England and the Scottish Health Survey, collected from 1994 to 2011 (mean (SD) follow-up, 9.0 (3.6) years). Adults aged ≥30 years reported MVPA and linkage to mortality records. Exposure was the proportion of self-reported weighted MVPA through vigorous activity. Outcomes were all-cause, cardiovascular disease (CVD) and cancer mortality. Results Among 64 913 adult respondents (44% men, 56% women, mean (SD) age, 49.8 (13.6) years), there were 5064 deaths from all-causes, 1393 from CVD and 1602 from cancer during 435 743 person-years of follow-up. Compared with those who reported no vigorous physical activity, and holding constant the volume of weighted MVPA, vigorous activity was associated with additional reductions in mortality risk. For all-cause mortality, the adjusted HR was HR=0.84 (95% CI 0.71, 0.99) and HR=0.84 (95% CI 0.76, 0.94) among those who reported between &gt;0% and&lt;30%, or ≥30% of their activity as vigorous, respectively. For CVD and cancer mortality, point estimates showed similar beneficial associations yet CIs were wider and crossed unity. Conclusion Vigorous activities were associated with larger reductions in mortality risk than activities of moderate intensity, but no evidence of dose-response effects was found.","author":[{"dropping-particle":"","family":"Rey Lopez","given":"Juan Pablo","non-dropping-particle":"","parse-names":false,"suffix":""},{"dropping-particle":"","family":"Gebel","given":"Klaus","non-dropping-particle":"","parse-names":false,"suffix":""},{"dropping-particle":"","family":"Chia","given":"Debbie","non-dropping-particle":"","parse-names":false,"suffix":""},{"dropping-particle":"","family":"Stamatakis","given":"Emmanuel","non-dropping-particle":"","parse-names":false,"suffix":""}],"container-title":"BMJ Open Sport and Exercise Medicine","id":"ITEM-3","issue":"1","issued":{"date-parts":[["2019"]]},"page":"1-8","title":"Associations of vigorous physical activity with all-cause, cardiovascular and cancer mortality among 64 913 adults","type":"article-journal","volume":"5"},"uris":["http://www.mendeley.com/documents/?uuid=570756fa-89d7-426b-a6ef-3fb797c4d365"]},{"id":"ITEM-4","itemData":{"DOI":"10.1001/archinte.167.22.2453","ISSN":"00039926","PMID":"18071167","abstract":"Background: Whether national physical activity recommendations are related to mortality benefit is incompletely understood. Methods: We prospectively examined physical activity guidelines in relation to mortality among 252 925 women and men aged 50 to 71 years in the National Institutes of Health-American Association of Retired Persons (NIH-AARP) Diet and Health Study. Physical activity was assessed using 2 self-administered baseline questionnaires. Results: During 1 265 347 person-years of follow-up, 7900 participants died. Compared with being inactive, achievement of activity levels that approximate the recommendations for moderate activity (at least 30 minutes on most days of the week) or vigorous exercise (at least 20 minutes 3 times per week) was associated with a 27% (relative risk [RR], 0.73; 95% confidence interval [CI], 0.68-0.78) and 32% (RR, 0.68; 95% CI, 0.64-0.73) decreased mortality risk, respectively. Physical activity reflective of meeting both recommendations was related to substantially decreased mortality risk overall (RR, 0.50; 95% CI, 0.46-0.54) and in subgroups, including smokers (RR, 0.48; 95% CI, 0.44-0.53) and nonsmokers (RR, 0.54; 95% CI, 0.45-0.64), normal weight (RR, 0.45; 95% CI, 0.39-0.52) and overweight or obese individuals (RR, 0.48; 95% CI, 0.44-0.54), and those with 2 h/d (RR, 0.53; 95% CI, 0.44-0.63) and more than 2 h/d of television or video watching (RR, 0.50; 95% CI, 0.45-0.55). Engaging in physical activity at less than recommended levels was also related to reduced mortality risk (RR, 0.81; 95% CI, 0.76-0.86). Conclusions: Following physical activity guidelines is associated with lower risk of death. Mortality benefit may also be achieved by engaging in less than recommended activity levels. ©2007 American Medical Association. All rights reserved.","author":[{"dropping-particle":"","family":"Leitzmann","given":"Michael F.","non-dropping-particle":"","parse-names":false,"suffix":""},{"dropping-particle":"","family":"Park","given":"Yikyung","non-dropping-particle":"","parse-names":false,"suffix":""},{"dropping-particle":"","family":"Blair","given":"Aaron","non-dropping-particle":"","parse-names":false,"suffix":""},{"dropping-particle":"","family":"Ballard-Barbash","given":"Rachel","non-dropping-particle":"","parse-names":false,"suffix":""},{"dropping-particle":"","family":"Mouw","given":"Traci","non-dropping-particle":"","parse-names":false,"suffix":""},{"dropping-particle":"","family":"Hollenbeck","given":"Albert R.","non-dropping-particle":"","parse-names":false,"suffix":""},{"dropping-particle":"","family":"Schatzkin","given":"Arthur","non-dropping-particle":"","parse-names":false,"suffix":""}],"container-title":"Archives of Internal Medicine","id":"ITEM-4","issue":"22","issued":{"date-parts":[["2007"]]},"page":"2453-2460","title":"Physical activity recommendations and decreased risk of mortality","type":"article-journal","volume":"167"},"uris":["http://www.mendeley.com/documents/?uuid=ab273d6f-c5ff-4b61-95ed-4296ae56a267"]},{"id":"ITEM-5","itemData":{"DOI":"10.1136/bjsports-2020-102955","ISSN":"14730480","PMID":"33239350","abstract":"Objectives To describe new WHO 2020 guidelines on physical activity and sedentary behaviour. Methods The guidelines were developed in accordance with WHO protocols. An expert Guideline Development Group reviewed evidence to assess associations between physical activity and sedentary behaviour for an agreed set of health outcomes and population groups. The assessment used and systematically updated recent relevant systematic reviews; new primary reviews addressed additional health outcomes or subpopulations. Results The new guidelines address children, adolescents, adults, older adults and include new specific recommendations for pregnant and postpartum women and people living with chronic conditions or disability. All adults should undertake 150-300 min of moderate-intensity, or 75-150 min of vigorous-intensity physical activity, or some equivalent combination of moderate-intensity and vigorous-intensity aerobic physical activity, per week. Among children and adolescents, an average of 60 min/day of moderate-to-vigorous intensity aerobic physical activity across the week provides health benefits. The guidelines recommend regular muscle-strengthening activity for all age groups. Additionally, reducing sedentary behaviours is recommended across all age groups and abilities, although evidence was insufficient to quantify a sedentary behaviour threshold. Conclusion These 2020 WHO guidelines update previous WHO recommendations released in 2010. They reaffirm messages that some physical activity is better than none, that more physical activity is better for optimal health outcomes and provide a new recommendation on reducing sedentary behaviours. These guidelines highlight the importance of regularly undertaking both aerobic and muscle strengthening activities and for the first time, there are specific recommendations for specific populations including for pregnant and postpartum women and people living with chronic conditions or disability. These guidelines should be used to inform national health policies aligned with the WHO Global Action Plan on Physical Activity 2018-2030 and to strengthen surveillance systems that track progress towards national and global targets.","author":[{"dropping-particle":"","family":"Bull","given":"Fiona C.","non-dropping-particle":"","parse-names":false,"suffix":""},{"dropping-particle":"","family":"Al-Ansari","given":"Salih S.","non-dropping-particle":"","parse-names":false,"suffix":""},{"dropping-particle":"","family":"Biddle","given":"Stuart","non-dropping-particle":"","parse-names":false,"suffix":""},{"dropping-particle":"","family":"Borodulin","given":"Katja","non-dropping-particle":"","parse-names":false,"suffix":""},{"dropping-particle":"","family":"Buman","given":"Matthew P.","non-dropping-particle":"","parse-names":false,"suffix":""},{"dropping-particle":"","family":"Cardon","given":"Greet","non-dropping-particle":"","parse-names":false,"suffix":""},{"dropping-particle":"","family":"Carty","given":"Catherine","non-dropping-particle":"","parse-names":false,"suffix":""},{"dropping-particle":"","family":"Chaput","given":"Jean Philippe","non-dropping-particle":"","parse-names":false,"suffix":""},{"dropping-particle":"","family":"Chastin","given":"Sebastien","non-dropping-particle":"","parse-names":false,"suffix":""},{"dropping-particle":"","family":"Chou","given":"Roger","non-dropping-particle":"","parse-names":false,"suffix":""},{"dropping-particle":"","family":"Dempsey","given":"Paddy C.","non-dropping-particle":"","parse-names":false,"suffix":""},{"dropping-particle":"","family":"Dipietro","given":"Loretta","non-dropping-particle":"","parse-names":false,"suffix":""},{"dropping-particle":"","family":"Ekelund","given":"Ulf","non-dropping-particle":"","parse-names":false,"suffix":""},{"dropping-particle":"","family":"Firth","given":"Joseph","non-dropping-particle":"","parse-names":false,"suffix":""},{"dropping-particle":"","family":"Friedenreich","given":"Christine M.","non-dropping-particle":"","parse-names":false,"suffix":""},{"dropping-particle":"","family":"Garcia","given":"Leandro","non-dropping-particle":"","parse-names":false,"suffix":""},{"dropping-particle":"","family":"Gichu","given":"Muthoni","non-dropping-particle":"","parse-names":false,"suffix":""},{"dropping-particle":"","family":"Jago","given":"Russell","non-dropping-particle":"","parse-names":false,"suffix":""},{"dropping-particle":"","family":"Katzmarzyk","given":"Peter T.","non-dropping-particle":"","parse-names":false,"suffix":""},{"dropping-particle":"","family":"Lambert","given":"Estelle","non-dropping-particle":"","parse-names":false,"suffix":""},{"dropping-particle":"","family":"Leitzmann","given":"Michael","non-dropping-particle":"","parse-names":false,"suffix":""},{"dropping-particle":"","family":"Milton","given":"Karen","non-dropping-particle":"","parse-names":false,"suffix":""},{"dropping-particle":"","family":"Ortega","given":"Francisco B.","non-dropping-particle":"","parse-names":false,"suffix":""},{"dropping-particle":"","family":"Ranasinghe","given":"Chathuranga","non-dropping-particle":"","parse-names":false,"suffix":""},{"dropping-particle":"","family":"Stamatakis","given":"Emmanuel","non-dropping-particle":"","parse-names":false,"suffix":""},{"dropping-particle":"","family":"Tiedemann","given":"Anne","non-dropping-particle":"","parse-names":false,"suffix":""},{"dropping-particle":"","family":"Troiano","given":"Richard P.","non-dropping-particle":"","parse-names":false,"suffix":""},{"dropping-particle":"","family":"Ploeg","given":"Hidde P.","non-dropping-particle":"Van Der","parse-names":false,"suffix":""},{"dropping-particle":"","family":"Wari","given":"Vicky","non-dropping-particle":"","parse-names":false,"suffix":""},{"dropping-particle":"","family":"Willumsen","given":"Juana F.","non-dropping-particle":"","parse-names":false,"suffix":""}],"container-title":"British Journal of Sports Medicine","id":"ITEM-5","issue":"24","issued":{"date-parts":[["2020"]]},"page":"1451-1462","title":"World Health Organization 2020 guidelines on physical activity and sedentary behaviour","type":"article-journal","volume":"54"},"uris":["http://www.mendeley.com/documents/?uuid=88fd38a2-6edc-4038-bccc-e4da77c6906b"]}],"mendeley":{"formattedCitation":"[6–10]","plainTextFormattedCitation":"[6–10]","previouslyFormattedCitation":"[6–10]"},"properties":{"noteIndex":0},"schema":"https://github.com/citation-style-language/schema/raw/master/csl-citation.json"}</w:instrText>
      </w:r>
      <w:r w:rsidR="006F2B87" w:rsidRPr="008B63A3">
        <w:rPr>
          <w:sz w:val="24"/>
          <w:szCs w:val="24"/>
          <w:lang w:val="en-US"/>
        </w:rPr>
        <w:fldChar w:fldCharType="separate"/>
      </w:r>
      <w:r w:rsidR="00766376" w:rsidRPr="008B63A3">
        <w:rPr>
          <w:noProof/>
          <w:sz w:val="24"/>
          <w:szCs w:val="24"/>
          <w:lang w:val="en-US"/>
        </w:rPr>
        <w:t>[6–10]</w:t>
      </w:r>
      <w:r w:rsidR="006F2B87" w:rsidRPr="008B63A3">
        <w:rPr>
          <w:sz w:val="24"/>
          <w:szCs w:val="24"/>
          <w:lang w:val="en-US"/>
        </w:rPr>
        <w:fldChar w:fldCharType="end"/>
      </w:r>
      <w:r w:rsidR="00490431" w:rsidRPr="008B63A3">
        <w:rPr>
          <w:sz w:val="24"/>
          <w:szCs w:val="24"/>
          <w:lang w:val="en-US"/>
        </w:rPr>
        <w:t>.</w:t>
      </w:r>
      <w:r w:rsidR="00B77CDD" w:rsidRPr="008B63A3">
        <w:rPr>
          <w:sz w:val="24"/>
          <w:szCs w:val="24"/>
          <w:lang w:val="en-US"/>
        </w:rPr>
        <w:t xml:space="preserve"> </w:t>
      </w:r>
      <w:r w:rsidR="00DA2B1D" w:rsidRPr="008B63A3">
        <w:rPr>
          <w:sz w:val="24"/>
          <w:szCs w:val="24"/>
          <w:lang w:val="en-US"/>
        </w:rPr>
        <w:t>In addition, low level</w:t>
      </w:r>
      <w:r w:rsidR="00D57B3A" w:rsidRPr="008B63A3">
        <w:rPr>
          <w:sz w:val="24"/>
          <w:szCs w:val="24"/>
          <w:lang w:val="en-US"/>
        </w:rPr>
        <w:t>s</w:t>
      </w:r>
      <w:r w:rsidR="00DA2B1D" w:rsidRPr="008B63A3">
        <w:rPr>
          <w:sz w:val="24"/>
          <w:szCs w:val="24"/>
          <w:lang w:val="en-US"/>
        </w:rPr>
        <w:t xml:space="preserve"> of </w:t>
      </w:r>
      <w:r w:rsidR="00D57B3A" w:rsidRPr="008B63A3">
        <w:rPr>
          <w:sz w:val="24"/>
          <w:szCs w:val="24"/>
          <w:lang w:val="en-US"/>
        </w:rPr>
        <w:t>PA</w:t>
      </w:r>
      <w:r w:rsidR="00DA2B1D" w:rsidRPr="008B63A3">
        <w:rPr>
          <w:sz w:val="24"/>
          <w:szCs w:val="24"/>
          <w:lang w:val="en-US"/>
        </w:rPr>
        <w:t xml:space="preserve"> in  </w:t>
      </w:r>
      <w:r w:rsidR="00741B8A" w:rsidRPr="008B63A3">
        <w:rPr>
          <w:sz w:val="24"/>
          <w:szCs w:val="24"/>
          <w:lang w:val="en-US"/>
        </w:rPr>
        <w:t>older adults</w:t>
      </w:r>
      <w:r w:rsidR="00DA2B1D" w:rsidRPr="008B63A3">
        <w:rPr>
          <w:sz w:val="24"/>
          <w:szCs w:val="24"/>
          <w:lang w:val="en-US"/>
        </w:rPr>
        <w:t xml:space="preserve"> </w:t>
      </w:r>
      <w:r w:rsidR="00741B8A" w:rsidRPr="008B63A3">
        <w:rPr>
          <w:sz w:val="24"/>
          <w:szCs w:val="24"/>
          <w:lang w:val="en-US"/>
        </w:rPr>
        <w:t xml:space="preserve">are associated with a higher risk of developing multiple </w:t>
      </w:r>
      <w:r w:rsidR="006C5F2D" w:rsidRPr="008B63A3">
        <w:rPr>
          <w:sz w:val="24"/>
          <w:szCs w:val="24"/>
          <w:lang w:val="en-US"/>
        </w:rPr>
        <w:t>c</w:t>
      </w:r>
      <w:r w:rsidR="0066138E" w:rsidRPr="008B63A3">
        <w:rPr>
          <w:sz w:val="24"/>
          <w:szCs w:val="24"/>
          <w:lang w:val="en-US"/>
        </w:rPr>
        <w:t>h</w:t>
      </w:r>
      <w:r w:rsidR="006C5F2D" w:rsidRPr="008B63A3">
        <w:rPr>
          <w:sz w:val="24"/>
          <w:szCs w:val="24"/>
          <w:lang w:val="en-US"/>
        </w:rPr>
        <w:t>ronic</w:t>
      </w:r>
      <w:r w:rsidR="00DA2B1D" w:rsidRPr="008B63A3">
        <w:rPr>
          <w:sz w:val="24"/>
          <w:szCs w:val="24"/>
          <w:lang w:val="en-US"/>
        </w:rPr>
        <w:t xml:space="preserve"> diseases (e.g., cardiovascular diseases, diabetes)</w:t>
      </w:r>
      <w:r w:rsidR="00EE10D0" w:rsidRPr="008B63A3">
        <w:rPr>
          <w:sz w:val="24"/>
          <w:szCs w:val="24"/>
          <w:lang w:val="en-US"/>
        </w:rPr>
        <w:t xml:space="preserve"> </w:t>
      </w:r>
      <w:r w:rsidR="00EE10D0" w:rsidRPr="008B63A3">
        <w:rPr>
          <w:sz w:val="24"/>
          <w:szCs w:val="24"/>
          <w:lang w:val="en-US"/>
        </w:rPr>
        <w:fldChar w:fldCharType="begin" w:fldLock="1"/>
      </w:r>
      <w:r w:rsidR="00766376" w:rsidRPr="008B63A3">
        <w:rPr>
          <w:sz w:val="24"/>
          <w:szCs w:val="24"/>
          <w:lang w:val="en-US"/>
        </w:rPr>
        <w:instrText>ADDIN CSL_CITATION {"citationItems":[{"id":"ITEM-1","itemData":{"DOI":"10.1111/j.1447-0594.2011.00815.x","ISSN":"14441586","PMID":"22435943","abstract":"Aim: It is well known that a decline in physical activity is associated with lifestyle-related diseases including cardiovascular (CV) events. However, little is known about the association between physical activity and CV events in elderly patients, because recent accumulating reports have mainly dealt with middle-aged populations. In this study, we investigated the correlation between physical activity and CV events in Japanese elderly patients with type2 diabetes mellitus (T2DM). Methods: A total of 938 Japanese elderly patients with T2DM (447 men and 491 women, mean age 71.9years) enrolled (2000-2002) in the Japanese Elderly Diabetes Intervention Trial (J-EDIT) were used in this study. Physical activity consisting of three components, work, sports and leisure-time, of their lifestyle was evaluated using the Baecke questionnaire at baseline. Total activity score (TAS) as a sum of each activity score was divided into four quartiles (Q1 to Q4). Results: During a follow-up period of 65.2months, 165 events and 71 deaths in total occurred. Higher TAS grade was associated with reduced risk of all events (hazard ratios: 0.82, 0.77 and 0.54 in Q2, Q3 and Q4, respectively) with statistical significance. Even after multivariate adjustment for covariates, higher TAS grade was a strong predictor of all events, and the prediction by TAS of cerebrovascular events was more effective than that of cardiac events. In contrast, all-cause mortality gradually decreased according to TAS grade; however, no statistical significance was found. Among the four grades of TAS, no significant change in several parameters, such as profiles of lipid and glucose metabolism, blood pressure, physical measurements, cognitive function and depression scale, was found throughout the follow-up period, suggesting that the higher level of physical activity itself was associated with the risk reduction of primary events. Conclusion: Lower physical activity is a strong and independent predictor of all CV events in the elderly with T2DM beyond traditional risk factors. In addition to strict management of each atherosclerotic risk factor, engagement with patients to augment and maintain the level of physical activity in their lifestyle is also essential in clinical practice. © 2012 Japan Geriatrics Society.","author":[{"dropping-particle":"","family":"Iijima","given":"Katsuya","non-dropping-particle":"","parse-names":false,"suffix":""},{"dropping-particle":"","family":"Iimuro","given":"Satoshi","non-dropping-particle":"","parse-names":false,"suffix":""},{"dropping-particle":"","family":"Shinozaki","given":"Tomohiro","non-dropping-particle":"","parse-names":false,"suffix":""},{"dropping-particle":"","family":"Ohashi","given":"Yasuo","non-dropping-particle":"","parse-names":false,"suffix":""},{"dropping-particle":"","family":"Sakurai","given":"Takashi","non-dropping-particle":"","parse-names":false,"suffix":""},{"dropping-particle":"","family":"Umegaki","given":"Hiroyuki","non-dropping-particle":"","parse-names":false,"suffix":""},{"dropping-particle":"","family":"Araki","given":"Atsushi","non-dropping-particle":"","parse-names":false,"suffix":""},{"dropping-particle":"","family":"Ouchi","given":"Yasuyoshi","non-dropping-particle":"","parse-names":false,"suffix":""},{"dropping-particle":"","family":"Ito","given":"Hideki","non-dropping-particle":"","parse-names":false,"suffix":""}],"container-title":"Geriatrics and Gerontology International","id":"ITEM-1","issue":"SUPPL.1","issued":{"date-parts":[["2012"]]},"page":"77-87","title":"Lower physical activity is a strong predictor of cardiovascular events in elderly patients with type2 diabetes mellitus beyond traditional risk factors: The Japanese elderly diabetes intervention trial","type":"article-journal","volume":"12"},"uris":["http://www.mendeley.com/documents/?uuid=27c60795-eee9-4894-8a15-133bdec932fc"]}],"mendeley":{"formattedCitation":"[2]","plainTextFormattedCitation":"[2]","previouslyFormattedCitation":"[2]"},"properties":{"noteIndex":0},"schema":"https://github.com/citation-style-language/schema/raw/master/csl-citation.json"}</w:instrText>
      </w:r>
      <w:r w:rsidR="00EE10D0" w:rsidRPr="008B63A3">
        <w:rPr>
          <w:sz w:val="24"/>
          <w:szCs w:val="24"/>
          <w:lang w:val="en-US"/>
        </w:rPr>
        <w:fldChar w:fldCharType="separate"/>
      </w:r>
      <w:r w:rsidR="00766376" w:rsidRPr="008B63A3">
        <w:rPr>
          <w:noProof/>
          <w:sz w:val="24"/>
          <w:szCs w:val="24"/>
          <w:lang w:val="en-US"/>
        </w:rPr>
        <w:t>[2]</w:t>
      </w:r>
      <w:r w:rsidR="00EE10D0" w:rsidRPr="008B63A3">
        <w:rPr>
          <w:sz w:val="24"/>
          <w:szCs w:val="24"/>
          <w:lang w:val="en-US"/>
        </w:rPr>
        <w:fldChar w:fldCharType="end"/>
      </w:r>
      <w:r w:rsidR="002B6D03" w:rsidRPr="008B63A3">
        <w:rPr>
          <w:sz w:val="24"/>
          <w:szCs w:val="24"/>
          <w:lang w:val="en-US"/>
        </w:rPr>
        <w:t>.</w:t>
      </w:r>
      <w:r w:rsidR="00D459DE" w:rsidRPr="008B63A3">
        <w:rPr>
          <w:sz w:val="24"/>
          <w:szCs w:val="24"/>
          <w:lang w:val="en-US"/>
        </w:rPr>
        <w:t xml:space="preserve"> </w:t>
      </w:r>
      <w:r w:rsidR="00741B8A" w:rsidRPr="008B63A3">
        <w:rPr>
          <w:sz w:val="24"/>
          <w:szCs w:val="24"/>
          <w:lang w:val="en-US"/>
        </w:rPr>
        <w:t>Importantly</w:t>
      </w:r>
      <w:r w:rsidR="002B6D03" w:rsidRPr="008B63A3">
        <w:rPr>
          <w:sz w:val="24"/>
          <w:szCs w:val="24"/>
          <w:lang w:val="en-US"/>
        </w:rPr>
        <w:t>,</w:t>
      </w:r>
      <w:r w:rsidR="00DA2B1D" w:rsidRPr="008B63A3">
        <w:rPr>
          <w:sz w:val="24"/>
          <w:szCs w:val="24"/>
          <w:lang w:val="en-US"/>
        </w:rPr>
        <w:t xml:space="preserve"> </w:t>
      </w:r>
      <w:r w:rsidR="002B6D03" w:rsidRPr="008B63A3">
        <w:rPr>
          <w:sz w:val="24"/>
          <w:szCs w:val="24"/>
          <w:lang w:val="en-US"/>
        </w:rPr>
        <w:t xml:space="preserve">low </w:t>
      </w:r>
      <w:r w:rsidR="00741B8A" w:rsidRPr="008B63A3">
        <w:rPr>
          <w:sz w:val="24"/>
          <w:szCs w:val="24"/>
          <w:lang w:val="en-US"/>
        </w:rPr>
        <w:t xml:space="preserve">levels of </w:t>
      </w:r>
      <w:r w:rsidR="002B6D03" w:rsidRPr="008B63A3">
        <w:rPr>
          <w:sz w:val="24"/>
          <w:szCs w:val="24"/>
          <w:lang w:val="en-US"/>
        </w:rPr>
        <w:t xml:space="preserve">PA </w:t>
      </w:r>
      <w:r w:rsidR="00741B8A" w:rsidRPr="008B63A3">
        <w:rPr>
          <w:sz w:val="24"/>
          <w:szCs w:val="24"/>
          <w:lang w:val="en-US"/>
        </w:rPr>
        <w:t>are</w:t>
      </w:r>
      <w:r w:rsidR="00D57B3A" w:rsidRPr="008B63A3">
        <w:rPr>
          <w:sz w:val="24"/>
          <w:szCs w:val="24"/>
          <w:lang w:val="en-US"/>
        </w:rPr>
        <w:t xml:space="preserve"> </w:t>
      </w:r>
      <w:r w:rsidR="00DA2B1D" w:rsidRPr="008B63A3">
        <w:rPr>
          <w:sz w:val="24"/>
          <w:szCs w:val="24"/>
          <w:lang w:val="en-US"/>
        </w:rPr>
        <w:t xml:space="preserve">associated with a higher </w:t>
      </w:r>
      <w:r w:rsidR="00741B8A" w:rsidRPr="008B63A3">
        <w:rPr>
          <w:sz w:val="24"/>
          <w:szCs w:val="24"/>
          <w:lang w:val="en-US"/>
        </w:rPr>
        <w:t>risk of early mortality across all socio-economic settings</w:t>
      </w:r>
      <w:r w:rsidR="00F30BC7" w:rsidRPr="008B63A3">
        <w:rPr>
          <w:sz w:val="24"/>
          <w:szCs w:val="24"/>
          <w:lang w:val="en-US"/>
        </w:rPr>
        <w:t xml:space="preserve"> </w:t>
      </w:r>
      <w:r w:rsidR="005951F0" w:rsidRPr="008B63A3">
        <w:rPr>
          <w:sz w:val="24"/>
          <w:szCs w:val="24"/>
        </w:rPr>
        <w:fldChar w:fldCharType="begin" w:fldLock="1"/>
      </w:r>
      <w:r w:rsidR="00766376" w:rsidRPr="008B63A3">
        <w:rPr>
          <w:sz w:val="24"/>
          <w:szCs w:val="24"/>
          <w:lang w:val="en-US"/>
        </w:rPr>
        <w:instrText>ADDIN CSL_CITATION {"citationItems":[{"id":"ITEM-1","itemData":{"DOI":"10.1016/S0140-6736(12)61031-9","ISSN":"1474547X","PMID":"22818936","abstract":"Background Strong evidence shows that physical inactivity increases the risk of many adverse health conditions, including major non-communicable diseases such as coronary heart disease, type 2 diabetes, and breast and colon cancers, and shortens life expectancy. Because much of the world's population is inactive, this link presents a major public health issue. We aimed to quantify the effect of physical inactivity on these major non-communicable diseases by estimating how much disease could be averted if inactive people were to become active and to estimate gain in life expectancy at the population level. Methods For our analysis of burden of disease, we calculated population attributable fractions (PAFs) associated with physical inactivity using conservative assumptions for each of the major non-communicable diseases, by country, to estimate how much disease could be averted if physical inactivity were eliminated. We used life-table analysis to estimate gains in life expectancy of the population. Findings Worldwide, we estimate that physical inactivity causes 6% (ranging from 3.2% in southeast Asia to 7.8% in the eastern Mediterranean region) of the burden of disease from coronary heart disease, 7% (3.9-9.6) of type 2 diabetes, 10% (5.6-14.1) of breast cancer, and 10% (5.7-13.8) of colon cancer. Inactivity causes 9% (range 5.1-12.5) of premature mortality, or more than 5.3 million of the 57 million deaths that occurred worldwide in 2008. If inactivity were not eliminated, but decreased instead by 10% or 25%, more than 533 000 and more than 1.3 million deaths, respectively, could be averted every year. We estimated that elimination of physical inactivity would increase the life expectancy of the world's population by 0.68 (range 0.41-0.95) years. Interpretation Physical inactivity has a major health effect worldwide. Decrease in or removal of this unhealthy behaviour could improve health substantially. Funding None.","author":[{"dropping-particle":"","family":"Lee","given":"I. Min","non-dropping-particle":"","parse-names":false,"suffix":""},{"dropping-particle":"","family":"Shiroma","given":"Eric J.","non-dropping-particle":"","parse-names":false,"suffix":""},{"dropping-particle":"","family":"Lobelo","given":"Felipe","non-dropping-particle":"","parse-names":false,"suffix":""},{"dropping-particle":"","family":"Puska","given":"Pekka","non-dropping-particle":"","parse-names":false,"suffix":""},{"dropping-particle":"","family":"Blair","given":"Steven N.","non-dropping-particle":"","parse-names":false,"suffix":""},{"dropping-particle":"","family":"Katzmarzyk","given":"Peter T.","non-dropping-particle":"","parse-names":false,"suffix":""},{"dropping-particle":"","family":"Alkandari","given":"Jasem R.","non-dropping-particle":"","parse-names":false,"suffix":""},{"dropping-particle":"","family":"Andersen","given":"Lars Bo","non-dropping-particle":"","parse-names":false,"suffix":""},{"dropping-particle":"","family":"Bauman","given":"Adrian E.","non-dropping-particle":"","parse-names":false,"suffix":""},{"dropping-particle":"","family":"Brownson","given":"Ross C.","non-dropping-particle":"","parse-names":false,"suffix":""},{"dropping-particle":"","family":"Bull","given":"Fiona C.","non-dropping-particle":"","parse-names":false,"suffix":""},{"dropping-particle":"","family":"Craig","given":"Cora L.","non-dropping-particle":"","parse-names":false,"suffix":""},{"dropping-particle":"","family":"Ekelund","given":"Ulf","non-dropping-particle":"","parse-names":false,"suffix":""},{"dropping-particle":"","family":"Goenka","given":"Shifalika","non-dropping-particle":"","parse-names":false,"suffix":""},{"dropping-particle":"","family":"Guthold","given":"Regina","non-dropping-particle":"","parse-names":false,"suffix":""},{"dropping-particle":"","family":"Hallal","given":"Pedro C.","non-dropping-particle":"","parse-names":false,"suffix":""},{"dropping-particle":"","family":"Haskell","given":"William L.","non-dropping-particle":"","parse-names":false,"suffix":""},{"dropping-particle":"","family":"Heath","given":"Gregory W.","non-dropping-particle":"","parse-names":false,"suffix":""},{"dropping-particle":"","family":"Inoue","given":"Shigeru","non-dropping-particle":"","parse-names":false,"suffix":""},{"dropping-particle":"","family":"Kahlmeier","given":"Sonja","non-dropping-particle":"","parse-names":false,"suffix":""},{"dropping-particle":"","family":"Kohl","given":"Harold W.","non-dropping-particle":"","parse-names":false,"suffix":""},{"dropping-particle":"","family":"Lambert","given":"Estelle Victoria","non-dropping-particle":"","parse-names":false,"suffix":""},{"dropping-particle":"","family":"Leetongin","given":"Grit","non-dropping-particle":"","parse-names":false,"suffix":""},{"dropping-particle":"","family":"Loos","given":"Ruth J.F.","non-dropping-particle":"","parse-names":false,"suffix":""},{"dropping-particle":"","family":"Marcus","given":"Bess","non-dropping-particle":"","parse-names":false,"suffix":""},{"dropping-particle":"","family":"Martin","given":"Brian W.","non-dropping-particle":"","parse-names":false,"suffix":""},{"dropping-particle":"","family":"Owen","given":"Neville","non-dropping-particle":"","parse-names":false,"suffix":""},{"dropping-particle":"","family":"Parra","given":"Diana C.","non-dropping-particle":"","parse-names":false,"suffix":""},{"dropping-particle":"","family":"Pratt","given":"Michael","non-dropping-particle":"","parse-names":false,"suffix":""},{"dropping-particle":"","family":"Ogilvie","given":"David","non-dropping-particle":"","parse-names":false,"suffix":""},{"dropping-particle":"","family":"Reis","given":"Rodrigo S.","non-dropping-particle":"","parse-names":false,"suffix":""},{"dropping-particle":"","family":"Sallis","given":"James F.","non-dropping-particle":"","parse-names":false,"suffix":""},{"dropping-particle":"","family":"Sarmiento","given":"Olga Lucia","non-dropping-particle":"","parse-names":false,"suffix":""},{"dropping-particle":"","family":"Wells","given":"Jonathan C.","non-dropping-particle":"","parse-names":false,"suffix":""}],"container-title":"The Lancet","id":"ITEM-1","issue":"9838","issued":{"date-parts":[["2012"]]},"page":"219-229","publisher":"Elsevier Ltd","title":"Effect of physical inactivity on major non-communicable diseases worldwide: An analysis of burden of disease and life expectancy","type":"article-journal","volume":"380"},"uris":["http://www.mendeley.com/documents/?uuid=1a6bb7f0-10c0-4e2e-90e9-186f67dc4c88"]},{"id":"ITEM-2","itemData":{"DOI":"10.1016/S0140-6736(17)31634-3","ISSN":"1474547X","PMID":"28943267","abstract":"Background Physical activity has a protective effect against cardiovascular disease (CVD) in high-income countries, where physical activity is mainly recreational, but it is not known if this is also observed in lower-income countries, where physical activity is mainly non-recreational. We examined whether different amounts and types of physical activity are associated with lower mortality and CVD in countries at different economic levels. Methods In this prospective cohort study, we recruited participants from 17 countries (Canada, Sweden, United Arab Emirates, Argentina, Brazil, Chile, Poland, Turkey, Malaysia, South Africa, China, Colombia, Iran, Bangladesh, India, Pakistan, and Zimbabwe). Within each country, urban and rural areas in and around selected cities and towns were identified to reflect the geographical diversity. Within these communities, we invited individuals aged between 35 and 70 years who intended to live at their current address for at least another 4 years. Total physical activity was assessed using the International Physical Activity Questionnaire (IPQA). Participants with pre-existing CVD were excluded from the analyses. Mortality and CVD were recorded during a mean of 6·9 years of follow-up. Primary clinical outcomes during follow-up were mortality plus major CVD (CVD mortality, incident myocardial infarction, stroke, or heart failure), either as a composite or separately. The effects of physical activity on mortality and CVD were adjusted for sociodemographic factors and other risk factors taking into account household, community, and country clustering. Findings Between Jan 1, 2003, and Dec 31, 2010, 168 916 participants were enrolled, of whom 141 945 completed the IPAQ. Analyses were limited to the 130 843 participants without pre-existing CVD. Compared with low physical activity (&lt;600 metabolic equivalents [MET] × minutes per week or &lt;150 minutes per week of moderate intensity physical activity), moderate (600–3000 MET × minutes or 150–750 minutes per week) and high physical activity (&gt;3000 MET × minutes or &gt;750 minutes per week) were associated with graded reduction in mortality (hazard ratio 0·80, 95% CI 0·74–0·87 and 0·65, 0·60–0·71; p&lt;0·0001 for trend), and major CVD (0·86, 0·78–0·93; p&lt;0·001 for trend). Higher physical activity was associated with lower risk of CVD and mortality in high-income, middle-income, and low-income countries. The adjusted population attributable fraction for not meeting the physical activity gu…","author":[{"dropping-particle":"","family":"Lear","given":"Scott A.","non-dropping-particle":"","parse-names":false,"suffix":""},{"dropping-particle":"","family":"Hu","given":"Weihong","non-dropping-particle":"","parse-names":false,"suffix":""},{"dropping-particle":"","family":"Rangarajan","given":"Sumathy","non-dropping-particle":"","parse-names":false,"suffix":""},{"dropping-particle":"","family":"Gasevic","given":"Danijela","non-dropping-particle":"","parse-names":false,"suffix":""},{"dropping-particle":"","family":"Leong","given":"Darryl","non-dropping-particle":"","parse-names":false,"suffix":""},{"dropping-particle":"","family":"Iqbal","given":"Romaina","non-dropping-particle":"","parse-names":false,"suffix":""},{"dropping-particle":"","family":"Casanova","given":"Amparo","non-dropping-particle":"","parse-names":false,"suffix":""},{"dropping-particle":"","family":"Swaminathan","given":"Sumathi","non-dropping-particle":"","parse-names":false,"suffix":""},{"dropping-particle":"","family":"Anjana","given":"R. M.","non-dropping-particle":"","parse-names":false,"suffix":""},{"dropping-particle":"","family":"Kumar","given":"Rajesh","non-dropping-particle":"","parse-names":false,"suffix":""},{"dropping-particle":"","family":"Rosengren","given":"Annika","non-dropping-particle":"","parse-names":false,"suffix":""},{"dropping-particle":"","family":"Wei","given":"Li","non-dropping-particle":"","parse-names":false,"suffix":""},{"dropping-particle":"","family":"Yang","given":"Wang","non-dropping-particle":"","parse-names":false,"suffix":""},{"dropping-particle":"","family":"Chuangshi","given":"Wang","non-dropping-particle":"","parse-names":false,"suffix":""},{"dropping-particle":"","family":"Huaxing","given":"Liu","non-dropping-particle":"","parse-names":false,"suffix":""},{"dropping-particle":"","family":"Nair","given":"Sanjeev","non-dropping-particle":"","parse-names":false,"suffix":""},{"dropping-particle":"","family":"Diaz","given":"Rafael","non-dropping-particle":"","parse-names":false,"suffix":""},{"dropping-particle":"","family":"Swidon","given":"Hany","non-dropping-particle":"","parse-names":false,"suffix":""},{"dropping-particle":"","family":"Gupta","given":"Rajeev","non-dropping-particle":"","parse-names":false,"suffix":""},{"dropping-particle":"","family":"Mohammadifard","given":"Noushin","non-dropping-particle":"","parse-names":false,"suffix":""},{"dropping-particle":"","family":"Lopez-Jaramillo","given":"Patricio","non-dropping-particle":"","parse-names":false,"suffix":""},{"dropping-particle":"","family":"Oguz","given":"Aytekin","non-dropping-particle":"","parse-names":false,"suffix":""},{"dropping-particle":"","family":"Zatonska","given":"Katarzyna","non-dropping-particle":"","parse-names":false,"suffix":""},{"dropping-particle":"","family":"Seron","given":"Pamela","non-dropping-particle":"","parse-names":false,"suffix":""},{"dropping-particle":"","family":"Avezum","given":"Alvaro","non-dropping-particle":"","parse-names":false,"suffix":""},{"dropping-particle":"","family":"Poirier","given":"Paul","non-dropping-particle":"","parse-names":false,"suffix":""},{"dropping-particle":"","family":"Teo","given":"Koon","non-dropping-particle":"","parse-names":false,"suffix":""},{"dropping-particle":"","family":"Yusuf","given":"Salim","non-dropping-particle":"","parse-names":false,"suffix":""}],"container-title":"The Lancet","id":"ITEM-2","issue":"10113","issued":{"date-parts":[["2017"]]},"page":"2643-2654","publisher":"Elsevier Ltd","title":"The effect of physical activity on mortality and cardiovascular disease in 130 000 people from 17 high-income, middle-income, and low-income countries: the PURE study","type":"article-journal","volume":"390"},"uris":["http://www.mendeley.com/documents/?uuid=8066770b-a0ed-4f24-ba97-e1f7f81a4985"]}],"mendeley":{"formattedCitation":"[7,11]","plainTextFormattedCitation":"[7,11]","previouslyFormattedCitation":"[7,11]"},"properties":{"noteIndex":0},"schema":"https://github.com/citation-style-language/schema/raw/master/csl-citation.json"}</w:instrText>
      </w:r>
      <w:r w:rsidR="005951F0" w:rsidRPr="008B63A3">
        <w:rPr>
          <w:sz w:val="24"/>
          <w:szCs w:val="24"/>
        </w:rPr>
        <w:fldChar w:fldCharType="separate"/>
      </w:r>
      <w:r w:rsidR="00766376" w:rsidRPr="008B63A3">
        <w:rPr>
          <w:noProof/>
          <w:sz w:val="24"/>
          <w:szCs w:val="24"/>
          <w:lang w:val="en-US"/>
        </w:rPr>
        <w:t>[7,11]</w:t>
      </w:r>
      <w:r w:rsidR="005951F0" w:rsidRPr="008B63A3">
        <w:rPr>
          <w:sz w:val="24"/>
          <w:szCs w:val="24"/>
        </w:rPr>
        <w:fldChar w:fldCharType="end"/>
      </w:r>
      <w:r w:rsidR="00DA2B1D" w:rsidRPr="008B63A3">
        <w:rPr>
          <w:sz w:val="24"/>
          <w:szCs w:val="24"/>
          <w:lang w:val="en-US"/>
        </w:rPr>
        <w:t>.</w:t>
      </w:r>
    </w:p>
    <w:p w14:paraId="0E5468DD" w14:textId="77777777" w:rsidR="00716C87" w:rsidRPr="008B63A3" w:rsidRDefault="00741B8A" w:rsidP="00716C87">
      <w:pPr>
        <w:spacing w:line="360" w:lineRule="auto"/>
        <w:ind w:firstLine="709"/>
        <w:jc w:val="both"/>
        <w:rPr>
          <w:lang w:val="en-US"/>
        </w:rPr>
      </w:pPr>
      <w:r w:rsidRPr="008B63A3">
        <w:rPr>
          <w:sz w:val="24"/>
          <w:szCs w:val="24"/>
          <w:lang w:val="en-US"/>
        </w:rPr>
        <w:t>O</w:t>
      </w:r>
      <w:r w:rsidR="00D57B3A" w:rsidRPr="008B63A3">
        <w:rPr>
          <w:sz w:val="24"/>
          <w:szCs w:val="24"/>
          <w:lang w:val="en-US"/>
        </w:rPr>
        <w:t>bjective</w:t>
      </w:r>
      <w:r w:rsidRPr="008B63A3">
        <w:rPr>
          <w:sz w:val="24"/>
          <w:szCs w:val="24"/>
          <w:lang w:val="en-US"/>
        </w:rPr>
        <w:t xml:space="preserve"> measured PA using an</w:t>
      </w:r>
      <w:r w:rsidR="00D57B3A" w:rsidRPr="008B63A3">
        <w:rPr>
          <w:sz w:val="24"/>
          <w:szCs w:val="24"/>
          <w:lang w:val="en-US"/>
        </w:rPr>
        <w:t xml:space="preserve"> </w:t>
      </w:r>
      <w:r w:rsidRPr="008B63A3">
        <w:rPr>
          <w:sz w:val="24"/>
          <w:szCs w:val="24"/>
          <w:lang w:val="en-US"/>
        </w:rPr>
        <w:t>accelerometer</w:t>
      </w:r>
      <w:r w:rsidR="00266A3C" w:rsidRPr="008B63A3">
        <w:rPr>
          <w:sz w:val="24"/>
          <w:szCs w:val="24"/>
          <w:lang w:val="en-US"/>
        </w:rPr>
        <w:t xml:space="preserve"> </w:t>
      </w:r>
      <w:r w:rsidRPr="008B63A3">
        <w:rPr>
          <w:sz w:val="24"/>
          <w:szCs w:val="24"/>
          <w:lang w:val="en-US"/>
        </w:rPr>
        <w:t xml:space="preserve">is </w:t>
      </w:r>
      <w:r w:rsidR="00642989" w:rsidRPr="008B63A3">
        <w:rPr>
          <w:sz w:val="24"/>
          <w:szCs w:val="24"/>
          <w:lang w:val="en-US"/>
        </w:rPr>
        <w:t xml:space="preserve">considered the </w:t>
      </w:r>
      <w:r w:rsidR="00046610" w:rsidRPr="008B63A3">
        <w:rPr>
          <w:sz w:val="24"/>
          <w:szCs w:val="24"/>
          <w:lang w:val="en-US"/>
        </w:rPr>
        <w:t xml:space="preserve">reliable and </w:t>
      </w:r>
      <w:r w:rsidR="00266A3C" w:rsidRPr="008B63A3">
        <w:rPr>
          <w:sz w:val="24"/>
          <w:szCs w:val="24"/>
          <w:lang w:val="en-US"/>
        </w:rPr>
        <w:t>preferred</w:t>
      </w:r>
      <w:r w:rsidR="00D57B3A" w:rsidRPr="008B63A3">
        <w:rPr>
          <w:sz w:val="24"/>
          <w:szCs w:val="24"/>
          <w:lang w:val="en-US"/>
        </w:rPr>
        <w:t xml:space="preserve"> </w:t>
      </w:r>
      <w:r w:rsidR="00F52435" w:rsidRPr="008B63A3">
        <w:rPr>
          <w:sz w:val="24"/>
          <w:szCs w:val="24"/>
          <w:lang w:val="en-US"/>
        </w:rPr>
        <w:t xml:space="preserve">method </w:t>
      </w:r>
      <w:r w:rsidRPr="008B63A3">
        <w:rPr>
          <w:sz w:val="24"/>
          <w:szCs w:val="24"/>
          <w:lang w:val="en-US"/>
        </w:rPr>
        <w:t>of free-living PA evaluation in epidemiological research</w:t>
      </w:r>
      <w:r w:rsidR="00266A3C" w:rsidRPr="008B63A3">
        <w:rPr>
          <w:sz w:val="24"/>
          <w:szCs w:val="24"/>
          <w:lang w:val="en-US"/>
        </w:rPr>
        <w:fldChar w:fldCharType="begin" w:fldLock="1"/>
      </w:r>
      <w:r w:rsidR="00766376" w:rsidRPr="008B63A3">
        <w:rPr>
          <w:sz w:val="24"/>
          <w:szCs w:val="24"/>
          <w:lang w:val="en-US"/>
        </w:rPr>
        <w:instrText>ADDIN CSL_CITATION {"citationItems":[{"id":"ITEM-1","itemData":{"DOI":"10.1001/jamanetworkopen.2019.0419","ISSN":"25743805","PMID":"30874775","abstract":"Importance: To our knowledge, no studies have examined light physical activity (PA) measured by accelerometry and heart disease in older women. Objective: To investigate whether higher levels of light PA were associated with reduced risks of coronary heart disease (CHD) or cardiovascular disease (CVD) in older women. Design, Setting, and Participants: Prospective cohort study of older women from baseline (March 2012 to April 2014) through February 28, 2017, for up to 4.91 years. The setting was community-dwelling participants from the Women's Health Initiative. Participants were ambulatory women with no history of myocardial infarction or stroke. Exposures: Data from accelerometers worn for a requested 7 days were used to measure light PA. Main Outcomes and Measures: Cox proportional hazards regression models estimated hazard ratios (HRs) and 95% CIs for physician-adjudicated CHD and CVD events across light PA quartiles adjusting for possible confounders. Light PA was also analyzed as a continuous variable with and without adjustment for moderate to vigorous PA (MVPA). Results: Among 5861 women (mean [SD] age, 78.5 [6.7] years), 143 CHD events and 570 CVD events were observed. The HRs for CHD in the highest vs lowest quartiles of light PA were 0.42 (95% CI, 0.25-0.70; P for trend &lt;.001) adjusted for age and race/ethnicity and 0.58 (95% CI, 0.34-0.99; P for trend = .004) after additional adjustment for education, current smoking, alcohol consumption, physical functioning, comorbidity, and self-rated health. Corresponding HRs for CVD in the highest vs lowest quartiles of light PA were 0.63 (95% CI, 0.49-0.81; P for trend &lt;.001) and 0.78 (95% CI, 0.60-1.00; P for trend = .004). The HRs for a 1-hour/day increment in light PA after additional adjustment for MVPA were 0.86 (95% CI, 0.73-1.00; P for trend = .05) for CHD and 0.92 (95% CI, 0.85-0.99; P for trend = .03) for CVD. Conclusions and Relevance: The present findings support the conclusion that all movement counts for the prevention of CHD and CVD in older women. Large, pragmatic randomized trials are needed to test whether increasing light PA among older women reduces cardiovascular risk.","author":[{"dropping-particle":"","family":"LaCroix","given":"Andrea Z.","non-dropping-particle":"","parse-names":false,"suffix":""},{"dropping-particle":"","family":"Bellettiere","given":"John","non-dropping-particle":"","parse-names":false,"suffix":""},{"dropping-particle":"","family":"Rillamas-Sun","given":"Eileen","non-dropping-particle":"","parse-names":false,"suffix":""},{"dropping-particle":"","family":"Di","given":"Chongzhi","non-dropping-particle":"","parse-names":false,"suffix":""},{"dropping-particle":"","family":"Evenson","given":"Kelly R.","non-dropping-particle":"","parse-names":false,"suffix":""},{"dropping-particle":"","family":"Lewis","given":"Cora E.","non-dropping-particle":"","parse-names":false,"suffix":""},{"dropping-particle":"","family":"Buchner","given":"David M.","non-dropping-particle":"","parse-names":false,"suffix":""},{"dropping-particle":"","family":"Stefanick","given":"Marcia L.","non-dropping-particle":"","parse-names":false,"suffix":""},{"dropping-particle":"","family":"Lee","given":"I. Min","non-dropping-particle":"","parse-names":false,"suffix":""},{"dropping-particle":"","family":"Rosenberg","given":"Dori E.","non-dropping-particle":"","parse-names":false,"suffix":""},{"dropping-particle":"","family":"LaMonte","given":"Michael J.","non-dropping-particle":"","parse-names":false,"suffix":""}],"container-title":"JAMA network open","id":"ITEM-1","issue":"3","issued":{"date-parts":[["2019"]]},"page":"e190419","title":"Association of Light Physical Activity Measured by Accelerometry and Incidence of Coronary Heart Disease and Cardiovascular Disease in Older Women","type":"article-journal","volume":"2"},"uris":["http://www.mendeley.com/documents/?uuid=cfe18755-041a-4136-8a18-4ce3f6c59d3a"]},{"id":"ITEM-2","itemData":{"DOI":"10.1016/j.ypmed.2008.12.001","ISSN":"00917435","PMID":"19111780","abstract":"Objective: Accelerometers are being increasingly used in studies of physical activity (PA) among older adults, however the use of these monitors requires some specialized knowledge and up-to-date information on technological innovations. The purpose of this review article is to provide researchers with a guide to some commonly-used accelerometers in order to better design and conduct PA research with older adults. Methods: A literature search was conducted to obtain all available literature on commonly-used accelerometers in older adult samples with specific attention to articles discussing research design. Results: The use of accelerometers in older adults requires a basic understanding of the type being used, rationale for their placement, and attention to calibration when needed. The updated technology in some monitors should make study conduct less difficult, however comparison studies of the newer versus the older generation models will be needed. Conclusions: Careful considerations for design and conduct of accelerometer research as outlined in this review should help to enhance the quality and comparability of future research studies.","author":[{"dropping-particle":"","family":"Murphy","given":"Susan L.","non-dropping-particle":"","parse-names":false,"suffix":""}],"container-title":"Preventive Medicine","id":"ITEM-2","issue":"2","issued":{"date-parts":[["2009"]]},"page":"108-114","publisher":"Elsevier B.V.","title":"Review of physical activity measurement using accelerometers in older adults: Considerations for research design and conduct","type":"article-journal","volume":"48"},"uris":["http://www.mendeley.com/documents/?uuid=ef92fbf6-6dac-4f92-94ed-47072d44d7f3"]},{"id":"ITEM-3","itemData":{"DOI":"10.1097/HJH.0000000000000869","ISBN":"0000000000000","ISSN":"14735598","PMID":"26828782","abstract":"Objective: Research in the general population suggests an inverse association between physical activity and all-cause mortality. Less research on this topic has been conducted among hypertensive adults, but the limited studies also suggest an inverse association between physical activity and all-cause mortality among hypertensive adults. At this point, sex-specific differences are not well understood, and all of the physical activity-mortality studies among hypertensive adults have employed a self-report measure of physical activity. Therefore, the purpose of this study was to examine the sex-specific association between objectively measured physical activity and all-cause mortality among a national sample of hypertensive adults. Methods: Data from the 2003 to 2006 National Health and Nutrition Examination Survey, with follow-up through 2011, were employed. Hypertension status was defined using measured blood pressure and use of blood pressurelowering medication. Physical activity was assessed via accelerometry. Results: After adjustments, for every 60-min increase in physical activity, hypertensive adults had a 19% (hazard rate = 0.81; 95% confidence interval: 0.72-0.91) reduced risk of all-cause mortality. There was also evidence of a dose-response relationship. Compared with those in the lowest tertile, those in the middle and upper tertiles had a 31 and 42% reduced all-cause mortality risk, respectively. There was no evidence of a sex-specific interaction effect. Conclusion: : Among hypertensive adults, objectively measured physical activity is associated with all-cause mortality risk in a dose-response manner.","author":[{"dropping-particle":"","family":"Loprinzi","given":"Paul D.","non-dropping-particle":"","parse-names":false,"suffix":""}],"container-title":"Journal of Hypertension","id":"ITEM-3","issue":"5","issued":{"date-parts":[["2016"]]},"page":"848-852","title":"Accelerometer-determined physical activity and allcause mortality in a national prospective cohort study of hypertensive adults","type":"article-journal","volume":"34"},"uris":["http://www.mendeley.com/documents/?uuid=21bc1c64-567b-4920-ad18-0ce32e62287b"]}],"mendeley":{"formattedCitation":"[12–14]","plainTextFormattedCitation":"[12–14]","previouslyFormattedCitation":"[12–14]"},"properties":{"noteIndex":0},"schema":"https://github.com/citation-style-language/schema/raw/master/csl-citation.json"}</w:instrText>
      </w:r>
      <w:r w:rsidR="00266A3C" w:rsidRPr="008B63A3">
        <w:rPr>
          <w:sz w:val="24"/>
          <w:szCs w:val="24"/>
          <w:lang w:val="en-US"/>
        </w:rPr>
        <w:fldChar w:fldCharType="separate"/>
      </w:r>
      <w:r w:rsidR="00766376" w:rsidRPr="008B63A3">
        <w:rPr>
          <w:noProof/>
          <w:sz w:val="24"/>
          <w:szCs w:val="24"/>
          <w:lang w:val="en-US"/>
        </w:rPr>
        <w:t>[12–14]</w:t>
      </w:r>
      <w:r w:rsidR="00266A3C" w:rsidRPr="008B63A3">
        <w:rPr>
          <w:sz w:val="24"/>
          <w:szCs w:val="24"/>
          <w:lang w:val="en-US"/>
        </w:rPr>
        <w:fldChar w:fldCharType="end"/>
      </w:r>
      <w:r w:rsidRPr="008B63A3">
        <w:rPr>
          <w:sz w:val="24"/>
          <w:szCs w:val="24"/>
          <w:lang w:val="en-US"/>
        </w:rPr>
        <w:t>. However,</w:t>
      </w:r>
      <w:r w:rsidR="00266A3C" w:rsidRPr="008B63A3">
        <w:rPr>
          <w:sz w:val="24"/>
          <w:szCs w:val="24"/>
          <w:lang w:val="en-US"/>
        </w:rPr>
        <w:t xml:space="preserve"> </w:t>
      </w:r>
      <w:r w:rsidR="00DA2B1D" w:rsidRPr="008B63A3">
        <w:rPr>
          <w:sz w:val="24"/>
          <w:szCs w:val="24"/>
          <w:lang w:val="en-US"/>
        </w:rPr>
        <w:t xml:space="preserve">are </w:t>
      </w:r>
      <w:r w:rsidR="00D57B3A" w:rsidRPr="008B63A3">
        <w:rPr>
          <w:sz w:val="24"/>
          <w:szCs w:val="24"/>
          <w:lang w:val="en-US"/>
        </w:rPr>
        <w:t xml:space="preserve">scarce </w:t>
      </w:r>
      <w:r w:rsidR="00DA2B1D" w:rsidRPr="008B63A3">
        <w:rPr>
          <w:sz w:val="24"/>
          <w:szCs w:val="24"/>
          <w:lang w:val="en-US"/>
        </w:rPr>
        <w:t>in countries with medium and low income</w:t>
      </w:r>
      <w:r w:rsidR="00D57B3A" w:rsidRPr="008B63A3">
        <w:rPr>
          <w:sz w:val="24"/>
          <w:szCs w:val="24"/>
          <w:lang w:val="en-US"/>
        </w:rPr>
        <w:t>s</w:t>
      </w:r>
      <w:r w:rsidR="00DA2B1D" w:rsidRPr="008B63A3">
        <w:rPr>
          <w:sz w:val="24"/>
          <w:szCs w:val="24"/>
          <w:lang w:val="en-US"/>
        </w:rPr>
        <w:t xml:space="preserve">. </w:t>
      </w:r>
      <w:r w:rsidR="00D57B3A" w:rsidRPr="008B63A3">
        <w:rPr>
          <w:sz w:val="24"/>
          <w:szCs w:val="24"/>
          <w:lang w:val="en-US"/>
        </w:rPr>
        <w:t>As far as we are aware</w:t>
      </w:r>
      <w:r w:rsidR="00DA2B1D" w:rsidRPr="008B63A3">
        <w:rPr>
          <w:sz w:val="24"/>
          <w:szCs w:val="24"/>
          <w:lang w:val="en-US"/>
        </w:rPr>
        <w:t xml:space="preserve">, </w:t>
      </w:r>
      <w:r w:rsidR="00051482" w:rsidRPr="008B63A3">
        <w:rPr>
          <w:sz w:val="24"/>
          <w:szCs w:val="24"/>
          <w:lang w:val="en-US"/>
        </w:rPr>
        <w:t xml:space="preserve">several </w:t>
      </w:r>
      <w:r w:rsidR="00DA2B1D" w:rsidRPr="008B63A3">
        <w:rPr>
          <w:sz w:val="24"/>
          <w:szCs w:val="24"/>
          <w:lang w:val="en-US"/>
        </w:rPr>
        <w:t>stud</w:t>
      </w:r>
      <w:r w:rsidR="00051482" w:rsidRPr="008B63A3">
        <w:rPr>
          <w:sz w:val="24"/>
          <w:szCs w:val="24"/>
          <w:lang w:val="en-US"/>
        </w:rPr>
        <w:t xml:space="preserve">ies </w:t>
      </w:r>
      <w:r w:rsidR="001D44D2" w:rsidRPr="008B63A3">
        <w:rPr>
          <w:sz w:val="24"/>
          <w:szCs w:val="24"/>
          <w:lang w:val="en-US"/>
        </w:rPr>
        <w:t>have</w:t>
      </w:r>
      <w:r w:rsidR="00051482" w:rsidRPr="008B63A3">
        <w:rPr>
          <w:sz w:val="24"/>
          <w:szCs w:val="24"/>
          <w:lang w:val="en-US"/>
        </w:rPr>
        <w:t xml:space="preserve"> been</w:t>
      </w:r>
      <w:r w:rsidR="00DA2B1D" w:rsidRPr="008B63A3">
        <w:rPr>
          <w:sz w:val="24"/>
          <w:szCs w:val="24"/>
          <w:lang w:val="en-US"/>
        </w:rPr>
        <w:t xml:space="preserve"> conducted in Brazil</w:t>
      </w:r>
      <w:r w:rsidR="00D57B3A" w:rsidRPr="008B63A3">
        <w:rPr>
          <w:sz w:val="24"/>
          <w:szCs w:val="24"/>
          <w:lang w:val="en-US"/>
        </w:rPr>
        <w:t xml:space="preserve"> - </w:t>
      </w:r>
      <w:r w:rsidR="00DA2B1D" w:rsidRPr="008B63A3">
        <w:rPr>
          <w:sz w:val="24"/>
          <w:szCs w:val="24"/>
          <w:lang w:val="en-US"/>
        </w:rPr>
        <w:t xml:space="preserve">a country </w:t>
      </w:r>
      <w:r w:rsidR="00D57B3A" w:rsidRPr="008B63A3">
        <w:rPr>
          <w:sz w:val="24"/>
          <w:szCs w:val="24"/>
          <w:lang w:val="en-US"/>
        </w:rPr>
        <w:t>classified as an</w:t>
      </w:r>
      <w:r w:rsidR="00DA2B1D" w:rsidRPr="008B63A3">
        <w:rPr>
          <w:sz w:val="24"/>
          <w:szCs w:val="24"/>
          <w:lang w:val="en-US"/>
        </w:rPr>
        <w:t xml:space="preserve"> upper-middle-income country</w:t>
      </w:r>
      <w:r w:rsidR="00051482" w:rsidRPr="008B63A3">
        <w:rPr>
          <w:sz w:val="24"/>
          <w:szCs w:val="24"/>
          <w:lang w:val="en-US"/>
        </w:rPr>
        <w:t xml:space="preserve">. </w:t>
      </w:r>
      <w:bookmarkStart w:id="3" w:name="_Hlk86146454"/>
      <w:r w:rsidR="000C67AB" w:rsidRPr="008B63A3">
        <w:rPr>
          <w:sz w:val="24"/>
          <w:szCs w:val="24"/>
          <w:lang w:val="en-US"/>
        </w:rPr>
        <w:t xml:space="preserve">In addition, a study has shown that higher levels of PA in different domains (particularly sport participation) is associated with a  lower mortality rate among adults </w:t>
      </w:r>
      <w:r w:rsidR="000C67AB" w:rsidRPr="008B63A3">
        <w:rPr>
          <w:sz w:val="24"/>
          <w:szCs w:val="24"/>
        </w:rPr>
        <w:fldChar w:fldCharType="begin" w:fldLock="1"/>
      </w:r>
      <w:r w:rsidR="000C67AB" w:rsidRPr="008B63A3">
        <w:rPr>
          <w:sz w:val="24"/>
          <w:szCs w:val="24"/>
          <w:lang w:val="en-US"/>
        </w:rPr>
        <w:instrText>ADDIN CSL_CITATION {"citationItems":[{"id":"ITEM-1","itemData":{"DOI":"10.1123/jpah.2016-0067","abstract":"count: 250 words Abstract Distance events in Athletics include cross country, the 10,000 m track race, half marathon and","author":[{"dropping-particle":"","family":"Turi","given":"Bruna C","non-dropping-particle":"","parse-names":false,"suffix":""},{"dropping-particle":"","family":"Codogno","given":"Jamile S","non-dropping-particle":"","parse-names":false,"suffix":""},{"dropping-particle":"","family":"Fernandes","given":"Romulo A","non-dropping-particle":"","parse-names":false,"suffix":""},{"dropping-particle":"","family":"Sui","given":"Xuemei","non-dropping-particle":"","parse-names":false,"suffix":""},{"dropping-particle":"","family":"Lavie","given":"Carl J","non-dropping-particle":"","parse-names":false,"suffix":""},{"dropping-particle":"","family":"Blair","given":"Steven N","non-dropping-particle":"","parse-names":false,"suffix":""},{"dropping-particle":"","family":"Monteiro","given":"Henrique L","non-dropping-particle":"","parse-names":false,"suffix":""}],"container-title":"Journal of Physical Activity &amp; Health","id":"ITEM-1","issue":"1","issued":{"date-parts":[["2017"]]},"page":"45-51","title":"Association of Different Physical Activity Domains on All-Cause Mortality in Adults Participating in Primary Care in The Brazilian National Health System: 4-Year Follow-up","type":"article-journal","volume":"14"},"uris":["http://www.mendeley.com/documents/?uuid=1f5560d2-6afb-4fd3-b3f8-48cb60e0be4a"]}],"mendeley":{"formattedCitation":"[15]","plainTextFormattedCitation":"[15]","previouslyFormattedCitation":"[15]"},"properties":{"noteIndex":0},"schema":"https://github.com/citation-style-language/schema/raw/master/csl-citation.json"}</w:instrText>
      </w:r>
      <w:r w:rsidR="000C67AB" w:rsidRPr="008B63A3">
        <w:rPr>
          <w:sz w:val="24"/>
          <w:szCs w:val="24"/>
        </w:rPr>
        <w:fldChar w:fldCharType="separate"/>
      </w:r>
      <w:r w:rsidR="000C67AB" w:rsidRPr="008B63A3">
        <w:rPr>
          <w:noProof/>
          <w:sz w:val="24"/>
          <w:szCs w:val="24"/>
          <w:lang w:val="en-US"/>
        </w:rPr>
        <w:t>[15]</w:t>
      </w:r>
      <w:r w:rsidR="000C67AB" w:rsidRPr="008B63A3">
        <w:rPr>
          <w:sz w:val="24"/>
          <w:szCs w:val="24"/>
        </w:rPr>
        <w:fldChar w:fldCharType="end"/>
      </w:r>
      <w:r w:rsidR="000C67AB" w:rsidRPr="008B63A3">
        <w:rPr>
          <w:sz w:val="24"/>
          <w:szCs w:val="24"/>
          <w:lang w:val="en-US"/>
        </w:rPr>
        <w:t xml:space="preserve">. Moreover, another study reported that physical inactivity contributed to a substantial number of deaths in Brazil </w:t>
      </w:r>
      <w:r w:rsidR="000C67AB" w:rsidRPr="008B63A3">
        <w:rPr>
          <w:sz w:val="24"/>
          <w:szCs w:val="24"/>
        </w:rPr>
        <w:fldChar w:fldCharType="begin" w:fldLock="1"/>
      </w:r>
      <w:r w:rsidR="008F460F" w:rsidRPr="008B63A3">
        <w:rPr>
          <w:sz w:val="24"/>
          <w:szCs w:val="24"/>
          <w:lang w:val="en-US"/>
        </w:rPr>
        <w:instrText>ADDIN CSL_CITATION {"citationItems":[{"id":"ITEM-1","itemData":{"DOI":"10.1186/s12963-020-00214-3","ISSN":"14787954","PMID":"32993642","abstract":"Background: The aim of this study was to estimate the mortality from all causes as a result of physical inactivity in Brazil and in Brazilian states over 28 years (1990-2017). Methods: Data from the Global Burden of Disease (GBD) study for Brazil and states were used. The metrics used were the summary exposure value (SEV), the number of deaths, age-standardized mortality rates, and the fraction of population risk attributable to physical inactivity. Results: The Brazilian population presented risk of exposure to physical inactivity of (age-standardized SEV) of 59% (95% U.I. 22-97) in 1990 and 59% in 2017 (95% U.I. 25-99). Physical inactivity contributed a significant number of deaths (1990, 22,537, 95% U.I. 12,157-34,745; 2017, 32,410, 95% U.I. 17,976-49,657) in the analyzed period. These values represented mortality rates standardized by age (per 100,000 inhabitants) of 31 (95% U.I. 17-48) in 1990 and 15 (95% U.I. 8-23) in 2017. From 1990 to 2017, a decrease in standardized death rate from all causes attributable to physical inactivity was observed in Brazil (-52%, 95% U.I.-54 to-49). The Brazilian states with better socioeconomic conditions presented greater reductions in age-standardized mortality (male: rho = 0.80; female: rho 0.84) over the period of 28 years. Conclusions: These findings support the promotion of physical activity in the Brazilian population for the prevention of early mortality.","author":[{"dropping-particle":"","family":"Silva","given":"Diego Augusto Santos","non-dropping-particle":"","parse-names":false,"suffix":""},{"dropping-particle":"","family":"Tremblay","given":"Mark Stephen","non-dropping-particle":"","parse-names":false,"suffix":""},{"dropping-particle":"","family":"Marinho","given":"Fatima","non-dropping-particle":"","parse-names":false,"suffix":""},{"dropping-particle":"","family":"Ribeiro","given":"Antonio Luiz Pinho","non-dropping-particle":"","parse-names":false,"suffix":""},{"dropping-particle":"","family":"Cousin","given":"Ewerton","non-dropping-particle":"","parse-names":false,"suffix":""},{"dropping-particle":"","family":"Nascimento","given":"Bruno Ramos","non-dropping-particle":"","parse-names":false,"suffix":""},{"dropping-particle":"","family":"Valença Neto","given":"Paulo Da Fonseca","non-dropping-particle":"","parse-names":false,"suffix":""},{"dropping-particle":"","family":"Naghavi","given":"Mohsen","non-dropping-particle":"","parse-names":false,"suffix":""},{"dropping-particle":"","family":"Malta","given":"Deborah Carvalho","non-dropping-particle":"","parse-names":false,"suffix":""}],"container-title":"Population Health Metrics","id":"ITEM-1","issue":"Suppl 1","issued":{"date-parts":[["2020"]]},"page":"1-9","publisher":"Population Health Metrics","title":"Physical inactivity as a risk factor for all-cause mortality in Brazil (1990-2017)","type":"article-journal","volume":"18"},"uris":["http://www.mendeley.com/documents/?uuid=bbf8ac26-7eff-4f98-816b-64169488f5af"]}],"mendeley":{"formattedCitation":"[16]","plainTextFormattedCitation":"[16]","previouslyFormattedCitation":"[16]"},"properties":{"noteIndex":0},"schema":"https://github.com/citation-style-language/schema/raw/master/csl-citation.json"}</w:instrText>
      </w:r>
      <w:r w:rsidR="000C67AB" w:rsidRPr="008B63A3">
        <w:rPr>
          <w:sz w:val="24"/>
          <w:szCs w:val="24"/>
        </w:rPr>
        <w:fldChar w:fldCharType="separate"/>
      </w:r>
      <w:r w:rsidR="000C67AB" w:rsidRPr="008B63A3">
        <w:rPr>
          <w:noProof/>
          <w:sz w:val="24"/>
          <w:szCs w:val="24"/>
          <w:lang w:val="en-US"/>
        </w:rPr>
        <w:t>[16]</w:t>
      </w:r>
      <w:r w:rsidR="000C67AB" w:rsidRPr="008B63A3">
        <w:rPr>
          <w:sz w:val="24"/>
          <w:szCs w:val="24"/>
        </w:rPr>
        <w:fldChar w:fldCharType="end"/>
      </w:r>
      <w:r w:rsidR="000C67AB" w:rsidRPr="008B63A3">
        <w:rPr>
          <w:sz w:val="24"/>
          <w:szCs w:val="24"/>
          <w:lang w:val="en-US"/>
        </w:rPr>
        <w:t xml:space="preserve">. Although both studies used self-reported questionnaires of PA levels, that are prone to social desirability and recall bias, the present study differentiates by utilizing an objective measurement (accelerometers) of PA. </w:t>
      </w:r>
      <w:bookmarkEnd w:id="3"/>
    </w:p>
    <w:p w14:paraId="57479A82" w14:textId="77777777" w:rsidR="004D054F" w:rsidRPr="008B63A3" w:rsidRDefault="00882664" w:rsidP="00051482">
      <w:pPr>
        <w:spacing w:line="360" w:lineRule="auto"/>
        <w:ind w:firstLine="709"/>
        <w:jc w:val="both"/>
        <w:rPr>
          <w:sz w:val="24"/>
          <w:szCs w:val="24"/>
          <w:shd w:val="clear" w:color="auto" w:fill="FFFFFF"/>
          <w:lang w:val="en-US"/>
        </w:rPr>
      </w:pPr>
      <w:r w:rsidRPr="008B63A3">
        <w:rPr>
          <w:sz w:val="24"/>
          <w:szCs w:val="24"/>
          <w:lang w:val="en-US"/>
        </w:rPr>
        <w:t xml:space="preserve">There is only one study that </w:t>
      </w:r>
      <w:r w:rsidR="00D57B3A" w:rsidRPr="008B63A3">
        <w:rPr>
          <w:sz w:val="24"/>
          <w:szCs w:val="24"/>
          <w:lang w:val="en-US"/>
        </w:rPr>
        <w:t xml:space="preserve">has </w:t>
      </w:r>
      <w:r w:rsidR="00DA2B1D" w:rsidRPr="008B63A3">
        <w:rPr>
          <w:sz w:val="24"/>
          <w:szCs w:val="24"/>
          <w:lang w:val="en-US"/>
        </w:rPr>
        <w:t>measur</w:t>
      </w:r>
      <w:r w:rsidR="00D57B3A" w:rsidRPr="008B63A3">
        <w:rPr>
          <w:sz w:val="24"/>
          <w:szCs w:val="24"/>
          <w:lang w:val="en-US"/>
        </w:rPr>
        <w:t>ed</w:t>
      </w:r>
      <w:r w:rsidR="00DA2B1D" w:rsidRPr="008B63A3">
        <w:rPr>
          <w:sz w:val="24"/>
          <w:szCs w:val="24"/>
          <w:lang w:val="en-US"/>
        </w:rPr>
        <w:t xml:space="preserve"> PA level and mortality in </w:t>
      </w:r>
      <w:r w:rsidR="00741B8A" w:rsidRPr="008B63A3">
        <w:rPr>
          <w:sz w:val="24"/>
          <w:szCs w:val="24"/>
          <w:lang w:val="en-US"/>
        </w:rPr>
        <w:t xml:space="preserve">older adults </w:t>
      </w:r>
      <w:r w:rsidR="00DA2B1D" w:rsidRPr="008B63A3">
        <w:rPr>
          <w:sz w:val="24"/>
          <w:szCs w:val="24"/>
          <w:lang w:val="en-US"/>
        </w:rPr>
        <w:t>with accelerometry</w:t>
      </w:r>
      <w:r w:rsidR="006F2B87" w:rsidRPr="008B63A3">
        <w:rPr>
          <w:sz w:val="24"/>
          <w:szCs w:val="24"/>
          <w:lang w:val="en-US"/>
        </w:rPr>
        <w:t xml:space="preserve"> </w:t>
      </w:r>
      <w:r w:rsidR="006F2B87" w:rsidRPr="008B63A3">
        <w:rPr>
          <w:sz w:val="24"/>
          <w:szCs w:val="24"/>
          <w:lang w:val="en-US"/>
        </w:rPr>
        <w:fldChar w:fldCharType="begin" w:fldLock="1"/>
      </w:r>
      <w:r w:rsidR="00A260C0" w:rsidRPr="008B63A3">
        <w:rPr>
          <w:sz w:val="24"/>
          <w:szCs w:val="24"/>
          <w:lang w:val="en-US"/>
        </w:rPr>
        <w:instrText>ADDIN CSL_CITATION {"citationItems":[{"id":"ITEM-1","itemData":{"DOI":"10.1111/jgs.16180","ISSN":"15325415","PMID":"31592540","abstract":"OBJECTIVES: Use of objectively measured physical activity (PA) in older adults to assess relationship between PA and risk of all-causes mortality is scarce. This study evaluated the associations of PA based on accelerometry and a questionnaire with the risk of mortality among older adults from a city in Southern Brazil. DESIGN: A cohort study. SETTING: Urban area of Pelotas, Southern Brazil. PARTICIPANTS: A representative sample of older adults (≥60 y) from Pelotas, enrolled in 2014. MEASUREMENTS: Overall physical activity (mg), light physical activity (LPA), and moderate to vigorous physical activity (MVPA) were estimated by raw accelerometer data. The International Physical Activity Questionnaire estimated leisure time and commuting PA. Hazard ratios (excluding deaths in the first 6 mo) stratified by sex were estimated by Cox regression analysis considering adjustment for confounders. RESULTS: From the 1451 older adults interviewed in 2014, 145 died (10%) after a follow-up of an average 2.6 years. Men and women in the highest tertile of overall PA had on average a 77% and 92% lower risk of mortality than their less active counterparts (95% confidence interval [CI] =.06-.84 and 95% CI =.01-.65, respectively). The highest tertile of LPA was also related to a lower risk of mortality in individuals of both sexes (74% and 91% lower risk among men and women, respectively). MVPA statistically reduced the risk of mortality only among women (hazard ratio [HR] =.30 and HR =.07 in the second and third tertiles). Self-reported leisure-time PA was statistically associated with a lower risk of mortality only among men. Women in the highest tertiles of commuting PA showed a lower risk of mortality than those in the reference group. CONCLUSION: Accelerometry-based PA was associated with a lower risk of mortality among Brazilian older adults. Older individuals should practice any type of PA. J Am Geriatr Soc 68:137–146, 2019.","author":[{"dropping-particle":"","family":"Bielemann","given":"Renata M.","non-dropping-particle":"","parse-names":false,"suffix":""},{"dropping-particle":"","family":"LaCroix","given":"Andrea Z.","non-dropping-particle":"","parse-names":false,"suffix":""},{"dropping-particle":"","family":"Bertoldi","given":"Andréa D.","non-dropping-particle":"","parse-names":false,"suffix":""},{"dropping-particle":"","family":"Tomasi","given":"Elaine","non-dropping-particle":"","parse-names":false,"suffix":""},{"dropping-particle":"","family":"Demarco","given":"Flávio F.","non-dropping-particle":"","parse-names":false,"suffix":""},{"dropping-particle":"","family":"Gonzalez","given":"Maria Cristina","non-dropping-particle":"","parse-names":false,"suffix":""},{"dropping-particle":"","family":"Crespo da Silva","given":"Pedro Augusto","non-dropping-particle":"","parse-names":false,"suffix":""},{"dropping-particle":"","family":"Wendt","given":"Andrea","non-dropping-particle":"","parse-names":false,"suffix":""},{"dropping-particle":"","family":"Mohnsam da Silva","given":"Inácio Crochemore","non-dropping-particle":"","parse-names":false,"suffix":""},{"dropping-particle":"","family":"Brage","given":"Soren","non-dropping-particle":"","parse-names":false,"suffix":""},{"dropping-particle":"","family":"Ekelund","given":"Ulf","non-dropping-particle":"","parse-names":false,"suffix":""},{"dropping-particle":"","family":"Pratt","given":"Michael","non-dropping-particle":"","parse-names":false,"suffix":""}],"container-title":"Journal of the American Geriatrics Society","id":"ITEM-1","issue":"1","issued":{"date-parts":[["2020"]]},"page":"137-146","title":"Objectively Measured Physical Activity Reduces the Risk of Mortality among Brazilian Older Adults","type":"article-journal","volume":"68"},"uris":["http://www.mendeley.com/documents/?uuid=2a1d2b39-8b50-4f6d-b314-aee187c69319"]}],"mendeley":{"formattedCitation":"[17]","plainTextFormattedCitation":"[17]","previouslyFormattedCitation":"[17]"},"properties":{"noteIndex":0},"schema":"https://github.com/citation-style-language/schema/raw/master/csl-citation.json"}</w:instrText>
      </w:r>
      <w:r w:rsidR="006F2B87" w:rsidRPr="008B63A3">
        <w:rPr>
          <w:sz w:val="24"/>
          <w:szCs w:val="24"/>
          <w:lang w:val="en-US"/>
        </w:rPr>
        <w:fldChar w:fldCharType="separate"/>
      </w:r>
      <w:r w:rsidRPr="008B63A3">
        <w:rPr>
          <w:noProof/>
          <w:sz w:val="24"/>
          <w:szCs w:val="24"/>
          <w:lang w:val="en-US"/>
        </w:rPr>
        <w:t>[17]</w:t>
      </w:r>
      <w:r w:rsidR="006F2B87" w:rsidRPr="008B63A3">
        <w:rPr>
          <w:sz w:val="24"/>
          <w:szCs w:val="24"/>
          <w:lang w:val="en-US"/>
        </w:rPr>
        <w:fldChar w:fldCharType="end"/>
      </w:r>
      <w:r w:rsidR="00DA2B1D" w:rsidRPr="008B63A3">
        <w:rPr>
          <w:sz w:val="24"/>
          <w:szCs w:val="24"/>
          <w:lang w:val="en-US"/>
        </w:rPr>
        <w:t>.</w:t>
      </w:r>
      <w:r w:rsidR="004D054F" w:rsidRPr="008B63A3">
        <w:rPr>
          <w:sz w:val="24"/>
          <w:szCs w:val="24"/>
          <w:lang w:val="en-US"/>
        </w:rPr>
        <w:t xml:space="preserve"> </w:t>
      </w:r>
      <w:proofErr w:type="gramStart"/>
      <w:r w:rsidR="00D57B3A" w:rsidRPr="008B63A3">
        <w:rPr>
          <w:sz w:val="24"/>
          <w:szCs w:val="24"/>
          <w:lang w:val="en-US"/>
        </w:rPr>
        <w:t xml:space="preserve">This </w:t>
      </w:r>
      <w:r w:rsidR="007D4C24" w:rsidRPr="008B63A3">
        <w:rPr>
          <w:sz w:val="24"/>
          <w:szCs w:val="24"/>
          <w:lang w:val="en-US"/>
        </w:rPr>
        <w:t>three</w:t>
      </w:r>
      <w:r w:rsidR="00D57B3A" w:rsidRPr="008B63A3">
        <w:rPr>
          <w:sz w:val="24"/>
          <w:szCs w:val="24"/>
          <w:lang w:val="en-US"/>
        </w:rPr>
        <w:t>-</w:t>
      </w:r>
      <w:r w:rsidR="007D4C24" w:rsidRPr="008B63A3">
        <w:rPr>
          <w:sz w:val="24"/>
          <w:szCs w:val="24"/>
          <w:lang w:val="en-US"/>
        </w:rPr>
        <w:t>year</w:t>
      </w:r>
      <w:r w:rsidR="00DA2B1D" w:rsidRPr="008B63A3">
        <w:rPr>
          <w:sz w:val="24"/>
          <w:szCs w:val="24"/>
          <w:lang w:val="en-US"/>
        </w:rPr>
        <w:t xml:space="preserve"> </w:t>
      </w:r>
      <w:r w:rsidR="006C5F2D" w:rsidRPr="008B63A3">
        <w:rPr>
          <w:sz w:val="24"/>
          <w:szCs w:val="24"/>
          <w:lang w:val="en-US"/>
        </w:rPr>
        <w:t xml:space="preserve">prospective </w:t>
      </w:r>
      <w:r w:rsidR="00DA2B1D" w:rsidRPr="008B63A3">
        <w:rPr>
          <w:sz w:val="24"/>
          <w:szCs w:val="24"/>
          <w:lang w:val="en-US"/>
        </w:rPr>
        <w:t>cohort</w:t>
      </w:r>
      <w:r w:rsidR="006C5F2D" w:rsidRPr="008B63A3">
        <w:rPr>
          <w:sz w:val="24"/>
          <w:szCs w:val="24"/>
          <w:lang w:val="en-US"/>
        </w:rPr>
        <w:t xml:space="preserve"> </w:t>
      </w:r>
      <w:r w:rsidR="00A621BC" w:rsidRPr="008B63A3">
        <w:rPr>
          <w:sz w:val="24"/>
          <w:szCs w:val="24"/>
          <w:lang w:val="en-US"/>
        </w:rPr>
        <w:t>study</w:t>
      </w:r>
      <w:r w:rsidR="00DA2B1D" w:rsidRPr="008B63A3">
        <w:rPr>
          <w:sz w:val="24"/>
          <w:szCs w:val="24"/>
          <w:lang w:val="en-US"/>
        </w:rPr>
        <w:t>,</w:t>
      </w:r>
      <w:proofErr w:type="gramEnd"/>
      <w:r w:rsidR="00DA2B1D" w:rsidRPr="008B63A3">
        <w:rPr>
          <w:sz w:val="24"/>
          <w:szCs w:val="24"/>
          <w:lang w:val="en-US"/>
        </w:rPr>
        <w:t xml:space="preserve"> </w:t>
      </w:r>
      <w:r w:rsidR="00735BF8" w:rsidRPr="008B63A3">
        <w:rPr>
          <w:sz w:val="24"/>
          <w:szCs w:val="24"/>
          <w:lang w:val="en-US"/>
        </w:rPr>
        <w:t>contributes to Latin America</w:t>
      </w:r>
      <w:r w:rsidR="00A6730C" w:rsidRPr="008B63A3">
        <w:rPr>
          <w:sz w:val="24"/>
          <w:szCs w:val="24"/>
          <w:lang w:val="en-US"/>
        </w:rPr>
        <w:t>n</w:t>
      </w:r>
      <w:r w:rsidR="00735BF8" w:rsidRPr="008B63A3">
        <w:rPr>
          <w:sz w:val="24"/>
          <w:szCs w:val="24"/>
          <w:lang w:val="en-US"/>
        </w:rPr>
        <w:t xml:space="preserve"> literature by showing</w:t>
      </w:r>
      <w:r w:rsidR="00DA2B1D" w:rsidRPr="008B63A3">
        <w:rPr>
          <w:sz w:val="24"/>
          <w:szCs w:val="24"/>
          <w:lang w:val="en-US"/>
        </w:rPr>
        <w:t xml:space="preserve"> that </w:t>
      </w:r>
      <w:r w:rsidR="00D57B3A" w:rsidRPr="008B63A3">
        <w:rPr>
          <w:sz w:val="24"/>
          <w:szCs w:val="24"/>
          <w:lang w:val="en-US"/>
        </w:rPr>
        <w:t>both</w:t>
      </w:r>
      <w:r w:rsidR="00A621BC" w:rsidRPr="008B63A3">
        <w:rPr>
          <w:sz w:val="24"/>
          <w:szCs w:val="24"/>
          <w:lang w:val="en-US"/>
        </w:rPr>
        <w:t xml:space="preserve"> total</w:t>
      </w:r>
      <w:r w:rsidR="00D57B3A" w:rsidRPr="008B63A3">
        <w:rPr>
          <w:sz w:val="24"/>
          <w:szCs w:val="24"/>
          <w:lang w:val="en-US"/>
        </w:rPr>
        <w:t xml:space="preserve"> PA </w:t>
      </w:r>
      <w:r w:rsidR="00DA2B1D" w:rsidRPr="008B63A3">
        <w:rPr>
          <w:sz w:val="24"/>
          <w:szCs w:val="24"/>
          <w:lang w:val="en-US"/>
        </w:rPr>
        <w:t>and m</w:t>
      </w:r>
      <w:r w:rsidR="00A30256" w:rsidRPr="008B63A3">
        <w:rPr>
          <w:sz w:val="24"/>
          <w:szCs w:val="24"/>
          <w:lang w:val="en-US"/>
        </w:rPr>
        <w:t>oderate</w:t>
      </w:r>
      <w:r w:rsidR="00DA2B1D" w:rsidRPr="008B63A3">
        <w:rPr>
          <w:sz w:val="24"/>
          <w:szCs w:val="24"/>
          <w:lang w:val="en-US"/>
        </w:rPr>
        <w:t xml:space="preserve"> </w:t>
      </w:r>
      <w:r w:rsidR="00D57B3A" w:rsidRPr="008B63A3">
        <w:rPr>
          <w:sz w:val="24"/>
          <w:szCs w:val="24"/>
          <w:lang w:val="en-US"/>
        </w:rPr>
        <w:t>levels of PA</w:t>
      </w:r>
      <w:r w:rsidR="00DA2B1D" w:rsidRPr="008B63A3">
        <w:rPr>
          <w:sz w:val="24"/>
          <w:szCs w:val="24"/>
          <w:lang w:val="en-US"/>
        </w:rPr>
        <w:t xml:space="preserve"> </w:t>
      </w:r>
      <w:r w:rsidR="00D57B3A" w:rsidRPr="008B63A3">
        <w:rPr>
          <w:sz w:val="24"/>
          <w:szCs w:val="24"/>
          <w:lang w:val="en-US"/>
        </w:rPr>
        <w:t xml:space="preserve">were </w:t>
      </w:r>
      <w:r w:rsidR="00A621BC" w:rsidRPr="008B63A3">
        <w:rPr>
          <w:sz w:val="24"/>
          <w:szCs w:val="24"/>
          <w:lang w:val="en-US"/>
        </w:rPr>
        <w:t xml:space="preserve">associated with </w:t>
      </w:r>
      <w:r w:rsidR="00DA2B1D" w:rsidRPr="008B63A3">
        <w:rPr>
          <w:sz w:val="24"/>
          <w:szCs w:val="24"/>
          <w:lang w:val="en-US"/>
        </w:rPr>
        <w:t xml:space="preserve">survival. In addition, </w:t>
      </w:r>
      <w:r w:rsidR="00D57B3A" w:rsidRPr="008B63A3">
        <w:rPr>
          <w:sz w:val="24"/>
          <w:szCs w:val="24"/>
          <w:lang w:val="en-US"/>
        </w:rPr>
        <w:t xml:space="preserve">it </w:t>
      </w:r>
      <w:r w:rsidR="006F2B87" w:rsidRPr="008B63A3">
        <w:rPr>
          <w:sz w:val="24"/>
          <w:szCs w:val="24"/>
          <w:lang w:val="en-US"/>
        </w:rPr>
        <w:t xml:space="preserve">was </w:t>
      </w:r>
      <w:r w:rsidR="00DA2B1D" w:rsidRPr="008B63A3">
        <w:rPr>
          <w:sz w:val="24"/>
          <w:szCs w:val="24"/>
          <w:lang w:val="en-US"/>
        </w:rPr>
        <w:t xml:space="preserve">found that low levels of PA </w:t>
      </w:r>
      <w:r w:rsidR="00A621BC" w:rsidRPr="008B63A3">
        <w:rPr>
          <w:sz w:val="24"/>
          <w:szCs w:val="24"/>
          <w:lang w:val="en-US"/>
        </w:rPr>
        <w:t>were</w:t>
      </w:r>
      <w:r w:rsidR="00DA2B1D" w:rsidRPr="008B63A3">
        <w:rPr>
          <w:sz w:val="24"/>
          <w:szCs w:val="24"/>
          <w:lang w:val="en-US"/>
        </w:rPr>
        <w:t xml:space="preserve"> associated with higher risk of </w:t>
      </w:r>
      <w:r w:rsidR="00A621BC" w:rsidRPr="008B63A3">
        <w:rPr>
          <w:sz w:val="24"/>
          <w:szCs w:val="24"/>
          <w:lang w:val="en-US"/>
        </w:rPr>
        <w:t>mortality,</w:t>
      </w:r>
      <w:r w:rsidR="00DA2B1D" w:rsidRPr="008B63A3">
        <w:rPr>
          <w:sz w:val="24"/>
          <w:szCs w:val="24"/>
          <w:lang w:val="en-US"/>
        </w:rPr>
        <w:t xml:space="preserve"> regardless of previous health </w:t>
      </w:r>
      <w:r w:rsidR="00A30256" w:rsidRPr="008B63A3">
        <w:rPr>
          <w:sz w:val="24"/>
          <w:szCs w:val="24"/>
          <w:lang w:val="en-US"/>
        </w:rPr>
        <w:t xml:space="preserve">and </w:t>
      </w:r>
      <w:r w:rsidR="00DA2B1D" w:rsidRPr="008B63A3">
        <w:rPr>
          <w:sz w:val="24"/>
          <w:szCs w:val="24"/>
          <w:lang w:val="en-US"/>
        </w:rPr>
        <w:t>functional conditions</w:t>
      </w:r>
      <w:r w:rsidR="00A30256" w:rsidRPr="008B63A3">
        <w:rPr>
          <w:sz w:val="24"/>
          <w:szCs w:val="24"/>
          <w:lang w:val="en-US"/>
        </w:rPr>
        <w:t xml:space="preserve">, including </w:t>
      </w:r>
      <w:r w:rsidR="00DA2B1D" w:rsidRPr="008B63A3">
        <w:rPr>
          <w:sz w:val="24"/>
          <w:szCs w:val="24"/>
          <w:lang w:val="en-US"/>
        </w:rPr>
        <w:t xml:space="preserve">other factors related to higher mortality among the </w:t>
      </w:r>
      <w:r w:rsidR="00A621BC" w:rsidRPr="008B63A3">
        <w:rPr>
          <w:sz w:val="24"/>
          <w:szCs w:val="24"/>
          <w:lang w:val="en-US"/>
        </w:rPr>
        <w:t>older population</w:t>
      </w:r>
      <w:r w:rsidR="00DA2B1D" w:rsidRPr="008B63A3">
        <w:rPr>
          <w:sz w:val="24"/>
          <w:szCs w:val="24"/>
          <w:lang w:val="en-US"/>
        </w:rPr>
        <w:t>.</w:t>
      </w:r>
      <w:r w:rsidR="00642989" w:rsidRPr="008B63A3">
        <w:rPr>
          <w:sz w:val="24"/>
          <w:szCs w:val="24"/>
          <w:lang w:val="en-US"/>
        </w:rPr>
        <w:t xml:space="preserve"> </w:t>
      </w:r>
      <w:r w:rsidR="00954898" w:rsidRPr="008B63A3">
        <w:rPr>
          <w:sz w:val="24"/>
          <w:szCs w:val="24"/>
          <w:lang w:val="en-US"/>
        </w:rPr>
        <w:t xml:space="preserve">Furthermore, </w:t>
      </w:r>
      <w:r w:rsidR="00694465" w:rsidRPr="008B63A3">
        <w:rPr>
          <w:sz w:val="24"/>
          <w:szCs w:val="24"/>
          <w:lang w:val="en-US"/>
        </w:rPr>
        <w:t xml:space="preserve">this </w:t>
      </w:r>
      <w:r w:rsidR="00954898" w:rsidRPr="008B63A3">
        <w:rPr>
          <w:sz w:val="24"/>
          <w:szCs w:val="24"/>
          <w:lang w:val="en-US"/>
        </w:rPr>
        <w:t>study</w:t>
      </w:r>
      <w:r w:rsidR="00694465" w:rsidRPr="008B63A3">
        <w:rPr>
          <w:sz w:val="24"/>
          <w:szCs w:val="24"/>
          <w:lang w:val="en-US"/>
        </w:rPr>
        <w:t xml:space="preserve">  </w:t>
      </w:r>
      <w:r w:rsidR="00694465" w:rsidRPr="008B63A3">
        <w:rPr>
          <w:sz w:val="24"/>
          <w:szCs w:val="24"/>
          <w:lang w:val="en-US"/>
        </w:rPr>
        <w:fldChar w:fldCharType="begin" w:fldLock="1"/>
      </w:r>
      <w:r w:rsidR="00A260C0" w:rsidRPr="008B63A3">
        <w:rPr>
          <w:sz w:val="24"/>
          <w:szCs w:val="24"/>
          <w:lang w:val="en-US"/>
        </w:rPr>
        <w:instrText>ADDIN CSL_CITATION {"citationItems":[{"id":"ITEM-1","itemData":{"DOI":"10.1111/jgs.16180","ISSN":"15325415","PMID":"31592540","abstract":"OBJECTIVES: Use of objectively measured physical activity (PA) in older adults to assess relationship between PA and risk of all-causes mortality is scarce. This study evaluated the associations of PA based on accelerometry and a questionnaire with the risk of mortality among older adults from a city in Southern Brazil. DESIGN: A cohort study. SETTING: Urban area of Pelotas, Southern Brazil. PARTICIPANTS: A representative sample of older adults (≥60 y) from Pelotas, enrolled in 2014. MEASUREMENTS: Overall physical activity (mg), light physical activity (LPA), and moderate to vigorous physical activity (MVPA) were estimated by raw accelerometer data. The International Physical Activity Questionnaire estimated leisure time and commuting PA. Hazard ratios (excluding deaths in the first 6 mo) stratified by sex were estimated by Cox regression analysis considering adjustment for confounders. RESULTS: From the 1451 older adults interviewed in 2014, 145 died (10%) after a follow-up of an average 2.6 years. Men and women in the highest tertile of overall PA had on average a 77% and 92% lower risk of mortality than their less active counterparts (95% confidence interval [CI] =.06-.84 and 95% CI =.01-.65, respectively). The highest tertile of LPA was also related to a lower risk of mortality in individuals of both sexes (74% and 91% lower risk among men and women, respectively). MVPA statistically reduced the risk of mortality only among women (hazard ratio [HR] =.30 and HR =.07 in the second and third tertiles). Self-reported leisure-time PA was statistically associated with a lower risk of mortality only among men. Women in the highest tertiles of commuting PA showed a lower risk of mortality than those in the reference group. CONCLUSION: Accelerometry-based PA was associated with a lower risk of mortality among Brazilian older adults. Older individuals should practice any type of PA. J Am Geriatr Soc 68:137–146, 2019.","author":[{"dropping-particle":"","family":"Bielemann","given":"Renata M.","non-dropping-particle":"","parse-names":false,"suffix":""},{"dropping-particle":"","family":"LaCroix","given":"Andrea Z.","non-dropping-particle":"","parse-names":false,"suffix":""},{"dropping-particle":"","family":"Bertoldi","given":"Andréa D.","non-dropping-particle":"","parse-names":false,"suffix":""},{"dropping-particle":"","family":"Tomasi","given":"Elaine","non-dropping-particle":"","parse-names":false,"suffix":""},{"dropping-particle":"","family":"Demarco","given":"Flávio F.","non-dropping-particle":"","parse-names":false,"suffix":""},{"dropping-particle":"","family":"Gonzalez","given":"Maria Cristina","non-dropping-particle":"","parse-names":false,"suffix":""},{"dropping-particle":"","family":"Crespo da Silva","given":"Pedro Augusto","non-dropping-particle":"","parse-names":false,"suffix":""},{"dropping-particle":"","family":"Wendt","given":"Andrea","non-dropping-particle":"","parse-names":false,"suffix":""},{"dropping-particle":"","family":"Mohnsam da Silva","given":"Inácio Crochemore","non-dropping-particle":"","parse-names":false,"suffix":""},{"dropping-particle":"","family":"Brage","given":"Soren","non-dropping-particle":"","parse-names":false,"suffix":""},{"dropping-particle":"","family":"Ekelund","given":"Ulf","non-dropping-particle":"","parse-names":false,"suffix":""},{"dropping-particle":"","family":"Pratt","given":"Michael","non-dropping-particle":"","parse-names":false,"suffix":""}],"container-title":"Journal of the American Geriatrics Society","id":"ITEM-1","issue":"1","issued":{"date-parts":[["2020"]]},"page":"137-146","title":"Objectively Measured Physical Activity Reduces the Risk of Mortality among Brazilian Older Adults","type":"article-journal","volume":"68"},"uris":["http://www.mendeley.com/documents/?uuid=2a1d2b39-8b50-4f6d-b314-aee187c69319"]}],"mendeley":{"formattedCitation":"[17]","plainTextFormattedCitation":"[17]","previouslyFormattedCitation":"[17]"},"properties":{"noteIndex":0},"schema":"https://github.com/citation-style-language/schema/raw/master/csl-citation.json"}</w:instrText>
      </w:r>
      <w:r w:rsidR="00694465" w:rsidRPr="008B63A3">
        <w:rPr>
          <w:sz w:val="24"/>
          <w:szCs w:val="24"/>
          <w:lang w:val="en-US"/>
        </w:rPr>
        <w:fldChar w:fldCharType="separate"/>
      </w:r>
      <w:r w:rsidR="00694465" w:rsidRPr="008B63A3">
        <w:rPr>
          <w:noProof/>
          <w:sz w:val="24"/>
          <w:szCs w:val="24"/>
          <w:lang w:val="en-US"/>
        </w:rPr>
        <w:t>[17]</w:t>
      </w:r>
      <w:r w:rsidR="00694465" w:rsidRPr="008B63A3">
        <w:rPr>
          <w:sz w:val="24"/>
          <w:szCs w:val="24"/>
          <w:lang w:val="en-US"/>
        </w:rPr>
        <w:fldChar w:fldCharType="end"/>
      </w:r>
      <w:r w:rsidR="00954898" w:rsidRPr="008B63A3">
        <w:rPr>
          <w:sz w:val="24"/>
          <w:szCs w:val="24"/>
          <w:lang w:val="en-US"/>
        </w:rPr>
        <w:t xml:space="preserve"> was conducted in a specific geographical area that was three times </w:t>
      </w:r>
      <w:r w:rsidR="00BD20DE" w:rsidRPr="008B63A3">
        <w:rPr>
          <w:sz w:val="24"/>
          <w:szCs w:val="24"/>
          <w:lang w:val="en-US"/>
        </w:rPr>
        <w:t xml:space="preserve">smaller </w:t>
      </w:r>
      <w:r w:rsidR="00954898" w:rsidRPr="008B63A3">
        <w:rPr>
          <w:sz w:val="24"/>
          <w:szCs w:val="24"/>
          <w:lang w:val="en-US"/>
        </w:rPr>
        <w:t xml:space="preserve">than that observed in </w:t>
      </w:r>
      <w:r w:rsidR="00BD20DE" w:rsidRPr="008B63A3">
        <w:rPr>
          <w:sz w:val="24"/>
          <w:szCs w:val="24"/>
          <w:lang w:val="en-US"/>
        </w:rPr>
        <w:t>our</w:t>
      </w:r>
      <w:r w:rsidR="00954898" w:rsidRPr="008B63A3">
        <w:rPr>
          <w:sz w:val="24"/>
          <w:szCs w:val="24"/>
          <w:lang w:val="en-US"/>
        </w:rPr>
        <w:t xml:space="preserve"> cohort study. </w:t>
      </w:r>
      <w:r w:rsidR="00642989" w:rsidRPr="008B63A3">
        <w:rPr>
          <w:sz w:val="24"/>
          <w:szCs w:val="24"/>
          <w:lang w:val="en-US"/>
        </w:rPr>
        <w:t>Nonetheless, it's important to consider that only one study</w:t>
      </w:r>
      <w:r w:rsidR="008727F8" w:rsidRPr="008B63A3">
        <w:rPr>
          <w:sz w:val="24"/>
          <w:szCs w:val="24"/>
          <w:lang w:val="en-US"/>
        </w:rPr>
        <w:t xml:space="preserve"> </w:t>
      </w:r>
      <w:r w:rsidR="00A621BC" w:rsidRPr="008B63A3">
        <w:rPr>
          <w:sz w:val="24"/>
          <w:szCs w:val="24"/>
          <w:lang w:val="en-US"/>
        </w:rPr>
        <w:t xml:space="preserve">with a small </w:t>
      </w:r>
      <w:r w:rsidR="00AD271E" w:rsidRPr="008B63A3">
        <w:rPr>
          <w:sz w:val="24"/>
          <w:szCs w:val="24"/>
          <w:lang w:val="en-US"/>
        </w:rPr>
        <w:t>sample (n= 324) may not</w:t>
      </w:r>
      <w:r w:rsidR="00A621BC" w:rsidRPr="008B63A3">
        <w:rPr>
          <w:sz w:val="24"/>
          <w:szCs w:val="24"/>
          <w:lang w:val="en-US"/>
        </w:rPr>
        <w:t xml:space="preserve"> be</w:t>
      </w:r>
      <w:r w:rsidR="008727F8" w:rsidRPr="008B63A3">
        <w:rPr>
          <w:sz w:val="24"/>
          <w:szCs w:val="24"/>
          <w:lang w:val="en-US"/>
        </w:rPr>
        <w:t xml:space="preserve"> </w:t>
      </w:r>
      <w:r w:rsidR="00642989" w:rsidRPr="008B63A3">
        <w:rPr>
          <w:sz w:val="24"/>
          <w:szCs w:val="24"/>
          <w:lang w:val="en-US"/>
        </w:rPr>
        <w:t>sufficient to</w:t>
      </w:r>
      <w:r w:rsidR="00645851" w:rsidRPr="008B63A3">
        <w:rPr>
          <w:sz w:val="24"/>
          <w:szCs w:val="24"/>
          <w:lang w:val="en-US"/>
        </w:rPr>
        <w:t xml:space="preserve"> accurately</w:t>
      </w:r>
      <w:r w:rsidR="00642989" w:rsidRPr="008B63A3">
        <w:rPr>
          <w:sz w:val="24"/>
          <w:szCs w:val="24"/>
          <w:lang w:val="en-US"/>
        </w:rPr>
        <w:t xml:space="preserve"> determine</w:t>
      </w:r>
      <w:r w:rsidR="00645851" w:rsidRPr="008B63A3">
        <w:rPr>
          <w:sz w:val="24"/>
          <w:szCs w:val="24"/>
          <w:lang w:val="en-US"/>
        </w:rPr>
        <w:t xml:space="preserve"> </w:t>
      </w:r>
      <w:r w:rsidR="00642989" w:rsidRPr="008B63A3">
        <w:rPr>
          <w:sz w:val="24"/>
          <w:szCs w:val="24"/>
          <w:lang w:val="en-US"/>
        </w:rPr>
        <w:t xml:space="preserve">the relationship between </w:t>
      </w:r>
      <w:r w:rsidR="00A621BC" w:rsidRPr="008B63A3">
        <w:rPr>
          <w:sz w:val="24"/>
          <w:szCs w:val="24"/>
          <w:lang w:val="en-US"/>
        </w:rPr>
        <w:t xml:space="preserve">PA </w:t>
      </w:r>
      <w:r w:rsidR="00642989" w:rsidRPr="008B63A3">
        <w:rPr>
          <w:sz w:val="24"/>
          <w:szCs w:val="24"/>
          <w:lang w:val="en-US"/>
        </w:rPr>
        <w:t xml:space="preserve">and mortality in a continental country, with </w:t>
      </w:r>
      <w:r w:rsidR="00645851" w:rsidRPr="008B63A3">
        <w:rPr>
          <w:sz w:val="24"/>
          <w:szCs w:val="24"/>
          <w:lang w:val="en-US"/>
        </w:rPr>
        <w:t>28</w:t>
      </w:r>
      <w:r w:rsidR="00642989" w:rsidRPr="008B63A3">
        <w:rPr>
          <w:sz w:val="24"/>
          <w:szCs w:val="24"/>
          <w:lang w:val="en-US"/>
        </w:rPr>
        <w:t xml:space="preserve"> million </w:t>
      </w:r>
      <w:r w:rsidR="00A621BC" w:rsidRPr="008B63A3">
        <w:rPr>
          <w:sz w:val="24"/>
          <w:szCs w:val="24"/>
          <w:lang w:val="en-US"/>
        </w:rPr>
        <w:t xml:space="preserve">older adults </w:t>
      </w:r>
      <w:r w:rsidR="00645851" w:rsidRPr="008B63A3">
        <w:rPr>
          <w:sz w:val="24"/>
          <w:szCs w:val="24"/>
          <w:lang w:val="en-US"/>
        </w:rPr>
        <w:t>(WHO, 2019)</w:t>
      </w:r>
      <w:r w:rsidR="00642989" w:rsidRPr="008B63A3">
        <w:rPr>
          <w:sz w:val="24"/>
          <w:szCs w:val="24"/>
          <w:lang w:val="en-US"/>
        </w:rPr>
        <w:t>.</w:t>
      </w:r>
      <w:r w:rsidR="008727F8" w:rsidRPr="008B63A3">
        <w:rPr>
          <w:sz w:val="24"/>
          <w:szCs w:val="24"/>
          <w:lang w:val="en-US"/>
        </w:rPr>
        <w:t xml:space="preserve"> </w:t>
      </w:r>
    </w:p>
    <w:p w14:paraId="70FF5E37" w14:textId="77777777" w:rsidR="009B26DF" w:rsidRPr="008B63A3" w:rsidRDefault="000C67AB" w:rsidP="000C67AB">
      <w:pPr>
        <w:spacing w:line="360" w:lineRule="auto"/>
        <w:ind w:firstLine="360"/>
        <w:jc w:val="both"/>
        <w:rPr>
          <w:sz w:val="24"/>
          <w:szCs w:val="24"/>
          <w:lang w:val="en-US"/>
        </w:rPr>
      </w:pPr>
      <w:bookmarkStart w:id="4" w:name="_Toc151734078"/>
      <w:bookmarkStart w:id="5" w:name="_Hlk86143428"/>
      <w:bookmarkEnd w:id="0"/>
      <w:bookmarkEnd w:id="1"/>
      <w:r w:rsidRPr="008B63A3">
        <w:rPr>
          <w:sz w:val="24"/>
          <w:szCs w:val="24"/>
          <w:lang w:val="en-US"/>
        </w:rPr>
        <w:lastRenderedPageBreak/>
        <w:t xml:space="preserve">To date, several studies have investigated the relationship between PA level and mortality </w:t>
      </w:r>
      <w:r w:rsidRPr="008B63A3">
        <w:rPr>
          <w:sz w:val="24"/>
          <w:szCs w:val="24"/>
        </w:rPr>
        <w:fldChar w:fldCharType="begin" w:fldLock="1"/>
      </w:r>
      <w:r w:rsidR="008F460F" w:rsidRPr="008B63A3">
        <w:rPr>
          <w:sz w:val="24"/>
          <w:szCs w:val="24"/>
          <w:lang w:val="en-US"/>
        </w:rPr>
        <w:instrText>ADDIN CSL_CITATION {"citationItems":[{"id":"ITEM-1","itemData":{"DOI":"10.1136/bjsports-2011-090529","ISSN":"03063674","PMID":"22219216","abstract":"Background: Regular physical activity is associated with reduced risk of mortality in middle-aged adults; however, associations between physical activity and mortality in older people have been less well studied. The objective of this study was to compare relationships between physical activity and mortality in older women and men. Methods: The prospective cohort design involved 7080 women aged 70-75 years and 11 668 men aged 65-83 years at baseline, from two Australian cohorts - the Australian Longitudinal Study on Women's Health and the Health in Men Study. Self-reported low, moderate and vigorous intensity physical activity, sociodemographic, behavioural and health characteristics were assessed in relation to all-cause mortality from the National Death Index from 1996 to 2009; the median follow-up of 10.4 (women) and 11.5 (men) years. Results: There were 1807 (25.5%) and 4705 (40.3%) deaths in women and men, respectively. After adjustment for behavioural risk factors, demographic variables and self-reported health at baseline, there was an inverse dose - response relationship between physical activity and all-cause mortality. Compared with women and men who reported no activity, there were statistically signifi cant lower hazard ratios for women who reported any activity and for men who reported activities equivalent to at least 300 metabolic equivalent. min/week. Risk reductions were 30-50% greater in women than in men in every physical activity category. Conclusions: Physical activity is inversely associated with all-cause mortality in older men and women. The relationship is stronger in women than in men, and there are benefi ts from even low levels of activity.","author":[{"dropping-particle":"","family":"Brown","given":"Wendy J.","non-dropping-particle":"","parse-names":false,"suffix":""},{"dropping-particle":"","family":"McLaughlin","given":"Deirdre","non-dropping-particle":"","parse-names":false,"suffix":""},{"dropping-particle":"","family":"Leung","given":"Janni","non-dropping-particle":"","parse-names":false,"suffix":""},{"dropping-particle":"","family":"McCaul","given":"Kieran A.","non-dropping-particle":"","parse-names":false,"suffix":""},{"dropping-particle":"","family":"Flicker","given":"Leon","non-dropping-particle":"","parse-names":false,"suffix":""},{"dropping-particle":"","family":"Almeida","given":"Osvaldo P.","non-dropping-particle":"","parse-names":false,"suffix":""},{"dropping-particle":"","family":"Hankey","given":"Graeme J.","non-dropping-particle":"","parse-names":false,"suffix":""},{"dropping-particle":"","family":"Lopez","given":"Derrick","non-dropping-particle":"","parse-names":false,"suffix":""},{"dropping-particle":"","family":"Dobson","given":"Annette J.","non-dropping-particle":"","parse-names":false,"suffix":""}],"container-title":"British Journal of Sports Medicine","id":"ITEM-1","issue":"9","issued":{"date-parts":[["2012"]]},"page":"664-668","title":"Physical activity and all-cause mortality in older women and men","type":"article-journal","volume":"46"},"uris":["http://www.mendeley.com/documents/?uuid=2d2394af-4f53-46a7-9e30-9a5ff45137c6"]},{"id":"ITEM-2","itemData":{"DOI":"10.1001/jama.289.18.2379","ISSN":"00987484","PMID":"12746361","abstract":"Context: Physical activity has been related to reduced mortality, but it is not clear whether changes in physical activity affect mortality among older women. Objective: To examine the relationship of changes in physical activity and mortality among older women. Design, Setting, and Participants: Prospective cohort study conducted at 4 US research centers (Baltimore, Md; Portland, Ore; Minneapolis, Minn; and Monongahela Valley, Pa) among 9518 community-dwelling white women aged 65 years or older who were assessed at baseline (1986-1988), 7553 of whom were reassessed at a follow-up visit (1992-1994; median, 5.7 years later). Main Outcome Measures: Walking and other physical activities at baseline and follow-up; vital status, with cause of death confirmed by death certificates/discharge summaries, tracked for up to 12.5 years after baseline (up to 6.7 years after the follow-up visit). Results: Compared with continually sedentary women, those who increased physical activity levels between baseline and follow-up had lower mortality from all causes (hazard rate ratio [HRR], 0.52; 95% confidence interval [CI], 0.40-0.69), cardiovascular disease (HRR, 0.64; 95% CI, 0.42-0.97), and cancer (HRR, 0.49; 95% CI, 0.29-0.84), independent of age, smoking, body mass index, comorbid conditions, and baseline physical activity level. Associations between changes in physical activity and reduced mortality were similar in women with and without chronic diseases but tended to be weaker among women aged at least 75 years and among those with poor health status. Women who were physically active at both visits also had lower all-cause mortality (HRR, 0.68; 95% CI, 0.56-0.82) and cardiovascular mortality (HRR, 0.62; 95% CI, 0.44-0.88) than sedentary women. Conclusion: Increasing and maintaining physical activity levels could lengthen life for older women but appears to provide less benefit for women aged at least 75 years and those with poor health status.","author":[{"dropping-particle":"","family":"Gregg","given":"Edward W.","non-dropping-particle":"","parse-names":false,"suffix":""},{"dropping-particle":"","family":"Cauley","given":"Jane A.","non-dropping-particle":"","parse-names":false,"suffix":""},{"dropping-particle":"","family":"Stone","given":"Katie","non-dropping-particle":"","parse-names":false,"suffix":""},{"dropping-particle":"","family":"Thompson","given":"Theodore J.","non-dropping-particle":"","parse-names":false,"suffix":""},{"dropping-particle":"","family":"Bauer","given":"Douglas C.","non-dropping-particle":"","parse-names":false,"suffix":""},{"dropping-particle":"","family":"Cummings","given":"Steven R.","non-dropping-particle":"","parse-names":false,"suffix":""},{"dropping-particle":"","family":"Ensrud","given":"Kristine E.","non-dropping-particle":"","parse-names":false,"suffix":""}],"container-title":"Journal of the American Medical Association","id":"ITEM-2","issue":"18","issued":{"date-parts":[["2003"]]},"page":"2379-2386","title":"Relationship of Changes in Physical Activity and Mortality among Older Women","type":"article-journal","volume":"289"},"uris":["http://www.mendeley.com/documents/?uuid=9583d226-df36-4fff-b78b-9284b373acef"]}],"mendeley":{"formattedCitation":"[18,19]","plainTextFormattedCitation":"[18,19]","previouslyFormattedCitation":"[16,17]"},"properties":{"noteIndex":0},"schema":"https://github.com/citation-style-language/schema/raw/master/csl-citation.json"}</w:instrText>
      </w:r>
      <w:r w:rsidRPr="008B63A3">
        <w:rPr>
          <w:sz w:val="24"/>
          <w:szCs w:val="24"/>
        </w:rPr>
        <w:fldChar w:fldCharType="separate"/>
      </w:r>
      <w:r w:rsidR="008F460F" w:rsidRPr="008B63A3">
        <w:rPr>
          <w:noProof/>
          <w:sz w:val="24"/>
          <w:szCs w:val="24"/>
          <w:lang w:val="en-US"/>
        </w:rPr>
        <w:t>[18,19]</w:t>
      </w:r>
      <w:r w:rsidRPr="008B63A3">
        <w:rPr>
          <w:sz w:val="24"/>
          <w:szCs w:val="24"/>
        </w:rPr>
        <w:fldChar w:fldCharType="end"/>
      </w:r>
      <w:r w:rsidRPr="008B63A3">
        <w:rPr>
          <w:sz w:val="24"/>
          <w:szCs w:val="24"/>
          <w:lang w:val="en-US"/>
        </w:rPr>
        <w:t>, nonetheless, to the best of our knowledge, there is just one  study in Brazil that describes such an association utilizing  objective measures of PA. More longitudinal research is clearly needed in different regions of Latin America, to confirm or refute findings in the single study carried out in Brazil, and including a quantitative method of PA to help further determine mortality rate for older people with low and intermediate/high levels of PA.</w:t>
      </w:r>
      <w:bookmarkEnd w:id="5"/>
      <w:r w:rsidRPr="008B63A3">
        <w:rPr>
          <w:sz w:val="24"/>
          <w:szCs w:val="24"/>
          <w:lang w:val="en-US"/>
        </w:rPr>
        <w:t xml:space="preserve"> G</w:t>
      </w:r>
      <w:r w:rsidR="00A621BC" w:rsidRPr="008B63A3">
        <w:rPr>
          <w:sz w:val="24"/>
          <w:szCs w:val="24"/>
          <w:lang w:val="en-US"/>
        </w:rPr>
        <w:t xml:space="preserve">iven this background the </w:t>
      </w:r>
      <w:r w:rsidR="00DA2B1D" w:rsidRPr="008B63A3">
        <w:rPr>
          <w:sz w:val="24"/>
          <w:szCs w:val="24"/>
          <w:lang w:val="en-US"/>
        </w:rPr>
        <w:t>aim of th</w:t>
      </w:r>
      <w:r w:rsidR="00A621BC" w:rsidRPr="008B63A3">
        <w:rPr>
          <w:sz w:val="24"/>
          <w:szCs w:val="24"/>
          <w:lang w:val="en-US"/>
        </w:rPr>
        <w:t xml:space="preserve">e present </w:t>
      </w:r>
      <w:r w:rsidR="00DA2B1D" w:rsidRPr="008B63A3">
        <w:rPr>
          <w:sz w:val="24"/>
          <w:szCs w:val="24"/>
          <w:lang w:val="en-US"/>
        </w:rPr>
        <w:t>study</w:t>
      </w:r>
      <w:r w:rsidR="00A621BC" w:rsidRPr="008B63A3">
        <w:rPr>
          <w:sz w:val="24"/>
          <w:szCs w:val="24"/>
          <w:lang w:val="en-US"/>
        </w:rPr>
        <w:t xml:space="preserve"> is</w:t>
      </w:r>
      <w:r w:rsidR="00DA2B1D" w:rsidRPr="008B63A3">
        <w:rPr>
          <w:sz w:val="24"/>
          <w:szCs w:val="24"/>
          <w:lang w:val="en-US"/>
        </w:rPr>
        <w:t xml:space="preserve"> to</w:t>
      </w:r>
      <w:r w:rsidR="00A621BC" w:rsidRPr="008B63A3">
        <w:rPr>
          <w:sz w:val="24"/>
          <w:szCs w:val="24"/>
          <w:lang w:val="en-US"/>
        </w:rPr>
        <w:t xml:space="preserve"> investigate</w:t>
      </w:r>
      <w:r w:rsidR="00DA2B1D" w:rsidRPr="008B63A3">
        <w:rPr>
          <w:sz w:val="24"/>
          <w:szCs w:val="24"/>
          <w:lang w:val="en-US"/>
        </w:rPr>
        <w:t xml:space="preserve"> association</w:t>
      </w:r>
      <w:r w:rsidR="00A621BC" w:rsidRPr="008B63A3">
        <w:rPr>
          <w:sz w:val="24"/>
          <w:szCs w:val="24"/>
          <w:lang w:val="en-US"/>
        </w:rPr>
        <w:t>s</w:t>
      </w:r>
      <w:r w:rsidR="00DA2B1D" w:rsidRPr="008B63A3">
        <w:rPr>
          <w:sz w:val="24"/>
          <w:szCs w:val="24"/>
          <w:lang w:val="en-US"/>
        </w:rPr>
        <w:t xml:space="preserve"> between </w:t>
      </w:r>
      <w:r w:rsidR="00274A52" w:rsidRPr="008B63A3">
        <w:rPr>
          <w:sz w:val="24"/>
          <w:szCs w:val="24"/>
          <w:lang w:val="en-US"/>
        </w:rPr>
        <w:t>l</w:t>
      </w:r>
      <w:r w:rsidR="00DA2B1D" w:rsidRPr="008B63A3">
        <w:rPr>
          <w:sz w:val="24"/>
          <w:szCs w:val="24"/>
          <w:lang w:val="en-US"/>
        </w:rPr>
        <w:t>evel</w:t>
      </w:r>
      <w:r w:rsidR="00A621BC" w:rsidRPr="008B63A3">
        <w:rPr>
          <w:sz w:val="24"/>
          <w:szCs w:val="24"/>
          <w:lang w:val="en-US"/>
        </w:rPr>
        <w:t>s</w:t>
      </w:r>
      <w:r w:rsidR="00274A52" w:rsidRPr="008B63A3">
        <w:rPr>
          <w:sz w:val="24"/>
          <w:szCs w:val="24"/>
          <w:lang w:val="en-US"/>
        </w:rPr>
        <w:t xml:space="preserve"> </w:t>
      </w:r>
      <w:r w:rsidR="00DA2B1D" w:rsidRPr="008B63A3">
        <w:rPr>
          <w:sz w:val="24"/>
          <w:szCs w:val="24"/>
          <w:lang w:val="en-US"/>
        </w:rPr>
        <w:t xml:space="preserve">of </w:t>
      </w:r>
      <w:r w:rsidR="00A621BC" w:rsidRPr="008B63A3">
        <w:rPr>
          <w:sz w:val="24"/>
          <w:szCs w:val="24"/>
          <w:lang w:val="en-US"/>
        </w:rPr>
        <w:t xml:space="preserve">objectively measured </w:t>
      </w:r>
      <w:r w:rsidR="00274A52" w:rsidRPr="008B63A3">
        <w:rPr>
          <w:sz w:val="24"/>
          <w:szCs w:val="24"/>
          <w:lang w:val="en-US"/>
        </w:rPr>
        <w:t>PA</w:t>
      </w:r>
      <w:r w:rsidR="00DA2B1D" w:rsidRPr="008B63A3">
        <w:rPr>
          <w:sz w:val="24"/>
          <w:szCs w:val="24"/>
          <w:lang w:val="en-US"/>
        </w:rPr>
        <w:t xml:space="preserve"> </w:t>
      </w:r>
      <w:r w:rsidR="00A621BC" w:rsidRPr="008B63A3">
        <w:rPr>
          <w:sz w:val="24"/>
          <w:szCs w:val="24"/>
          <w:lang w:val="en-US"/>
        </w:rPr>
        <w:t xml:space="preserve">(accelerometer) </w:t>
      </w:r>
      <w:r w:rsidR="00DA2B1D" w:rsidRPr="008B63A3">
        <w:rPr>
          <w:sz w:val="24"/>
          <w:szCs w:val="24"/>
          <w:lang w:val="en-US"/>
        </w:rPr>
        <w:t xml:space="preserve">and mortality </w:t>
      </w:r>
      <w:r w:rsidR="004A1874" w:rsidRPr="008B63A3">
        <w:rPr>
          <w:sz w:val="24"/>
          <w:szCs w:val="24"/>
          <w:lang w:val="en-US"/>
        </w:rPr>
        <w:t xml:space="preserve">in a sample of older </w:t>
      </w:r>
      <w:r w:rsidR="00A621BC" w:rsidRPr="008B63A3">
        <w:rPr>
          <w:sz w:val="24"/>
          <w:szCs w:val="24"/>
          <w:lang w:val="en-US"/>
        </w:rPr>
        <w:t xml:space="preserve">Brazilian adults, </w:t>
      </w:r>
      <w:r w:rsidR="00DA2B1D" w:rsidRPr="008B63A3">
        <w:rPr>
          <w:sz w:val="24"/>
          <w:szCs w:val="24"/>
          <w:lang w:val="en-US"/>
        </w:rPr>
        <w:t>over a period of four years.</w:t>
      </w:r>
    </w:p>
    <w:p w14:paraId="0FCE60E4" w14:textId="77777777" w:rsidR="006A349F" w:rsidRPr="008B63A3" w:rsidRDefault="006A349F" w:rsidP="001544AC">
      <w:pPr>
        <w:spacing w:line="360" w:lineRule="auto"/>
        <w:jc w:val="both"/>
        <w:rPr>
          <w:sz w:val="24"/>
          <w:szCs w:val="24"/>
          <w:lang w:val="en-US"/>
        </w:rPr>
      </w:pPr>
    </w:p>
    <w:p w14:paraId="7B67B682" w14:textId="77777777" w:rsidR="00A776D7" w:rsidRPr="008B63A3" w:rsidRDefault="0029673C" w:rsidP="001634BD">
      <w:pPr>
        <w:pStyle w:val="Heading1"/>
        <w:numPr>
          <w:ilvl w:val="0"/>
          <w:numId w:val="29"/>
        </w:numPr>
      </w:pPr>
      <w:bookmarkStart w:id="6" w:name="_Toc151734080"/>
      <w:bookmarkEnd w:id="4"/>
      <w:r w:rsidRPr="008B63A3">
        <w:t>Materials and m</w:t>
      </w:r>
      <w:r w:rsidR="00A776D7" w:rsidRPr="008B63A3">
        <w:t>ethods</w:t>
      </w:r>
    </w:p>
    <w:p w14:paraId="54D19575" w14:textId="77777777" w:rsidR="00A776D7" w:rsidRPr="008B63A3" w:rsidRDefault="0029673C" w:rsidP="001634BD">
      <w:pPr>
        <w:pStyle w:val="Heading2"/>
      </w:pPr>
      <w:r w:rsidRPr="008B63A3">
        <w:t xml:space="preserve">2.1 </w:t>
      </w:r>
      <w:r w:rsidR="00A776D7" w:rsidRPr="008B63A3">
        <w:t>Study Population</w:t>
      </w:r>
    </w:p>
    <w:p w14:paraId="075F89A4" w14:textId="77777777" w:rsidR="00A776D7" w:rsidRPr="008B63A3" w:rsidRDefault="00A776D7" w:rsidP="001544AC">
      <w:pPr>
        <w:spacing w:line="360" w:lineRule="auto"/>
        <w:ind w:firstLine="708"/>
        <w:jc w:val="both"/>
        <w:rPr>
          <w:sz w:val="24"/>
          <w:szCs w:val="24"/>
          <w:lang w:val="en-US"/>
        </w:rPr>
      </w:pPr>
    </w:p>
    <w:p w14:paraId="77300DC6" w14:textId="77777777" w:rsidR="001B6561" w:rsidRPr="008B63A3" w:rsidRDefault="000531F9" w:rsidP="0055680E">
      <w:pPr>
        <w:spacing w:line="360" w:lineRule="auto"/>
        <w:ind w:firstLine="708"/>
        <w:jc w:val="both"/>
        <w:rPr>
          <w:sz w:val="24"/>
          <w:szCs w:val="24"/>
          <w:lang w:val="en-US"/>
        </w:rPr>
      </w:pPr>
      <w:r w:rsidRPr="008B63A3">
        <w:rPr>
          <w:sz w:val="24"/>
          <w:szCs w:val="24"/>
          <w:lang w:val="en-US"/>
        </w:rPr>
        <w:t xml:space="preserve">This is a </w:t>
      </w:r>
      <w:r w:rsidR="000E6A47" w:rsidRPr="008B63A3">
        <w:rPr>
          <w:sz w:val="24"/>
          <w:szCs w:val="24"/>
          <w:lang w:val="en-US"/>
        </w:rPr>
        <w:t xml:space="preserve">prospective </w:t>
      </w:r>
      <w:r w:rsidRPr="008B63A3">
        <w:rPr>
          <w:sz w:val="24"/>
          <w:szCs w:val="24"/>
          <w:lang w:val="en-US"/>
        </w:rPr>
        <w:t>cohort</w:t>
      </w:r>
      <w:r w:rsidR="00A776D7" w:rsidRPr="008B63A3">
        <w:rPr>
          <w:sz w:val="24"/>
          <w:szCs w:val="24"/>
          <w:lang w:val="en-US"/>
        </w:rPr>
        <w:t xml:space="preserve"> study with a probabilistic sample of </w:t>
      </w:r>
      <w:r w:rsidR="00A621BC" w:rsidRPr="008B63A3">
        <w:rPr>
          <w:sz w:val="24"/>
          <w:szCs w:val="24"/>
          <w:lang w:val="en-US"/>
        </w:rPr>
        <w:t>older adults (</w:t>
      </w:r>
      <w:r w:rsidR="00975090" w:rsidRPr="008B63A3">
        <w:rPr>
          <w:sz w:val="24"/>
          <w:szCs w:val="24"/>
          <w:lang w:val="en-US"/>
        </w:rPr>
        <w:t xml:space="preserve">aged </w:t>
      </w:r>
      <w:r w:rsidR="00A621BC" w:rsidRPr="008B63A3">
        <w:rPr>
          <w:sz w:val="24"/>
          <w:szCs w:val="24"/>
          <w:lang w:val="en-US"/>
        </w:rPr>
        <w:t>≥</w:t>
      </w:r>
      <w:r w:rsidR="00975090" w:rsidRPr="008B63A3">
        <w:rPr>
          <w:sz w:val="24"/>
          <w:szCs w:val="24"/>
          <w:lang w:val="en-US"/>
        </w:rPr>
        <w:t>60 years</w:t>
      </w:r>
      <w:r w:rsidR="00A621BC" w:rsidRPr="008B63A3">
        <w:rPr>
          <w:sz w:val="24"/>
          <w:szCs w:val="24"/>
          <w:lang w:val="en-US"/>
        </w:rPr>
        <w:t>)</w:t>
      </w:r>
      <w:r w:rsidR="00975090" w:rsidRPr="008B63A3">
        <w:rPr>
          <w:sz w:val="24"/>
          <w:szCs w:val="24"/>
          <w:lang w:val="en-US"/>
        </w:rPr>
        <w:t xml:space="preserve"> </w:t>
      </w:r>
      <w:r w:rsidR="00A776D7" w:rsidRPr="008B63A3">
        <w:rPr>
          <w:sz w:val="24"/>
          <w:szCs w:val="24"/>
          <w:lang w:val="en-US"/>
        </w:rPr>
        <w:t xml:space="preserve">living in São Paulo, Brazil </w:t>
      </w:r>
      <w:r w:rsidR="00230C56" w:rsidRPr="008B63A3">
        <w:rPr>
          <w:sz w:val="24"/>
          <w:szCs w:val="24"/>
          <w:lang w:val="en-US"/>
        </w:rPr>
        <w:t>between</w:t>
      </w:r>
      <w:r w:rsidR="00A776D7" w:rsidRPr="008B63A3">
        <w:rPr>
          <w:sz w:val="24"/>
          <w:szCs w:val="24"/>
          <w:lang w:val="en-US"/>
        </w:rPr>
        <w:t xml:space="preserve"> 2010</w:t>
      </w:r>
      <w:r w:rsidR="00F42D04" w:rsidRPr="008B63A3">
        <w:rPr>
          <w:sz w:val="24"/>
          <w:szCs w:val="24"/>
          <w:lang w:val="en-US"/>
        </w:rPr>
        <w:t xml:space="preserve"> and 2014</w:t>
      </w:r>
      <w:r w:rsidR="00A776D7" w:rsidRPr="008B63A3">
        <w:rPr>
          <w:sz w:val="24"/>
          <w:szCs w:val="24"/>
          <w:lang w:val="en-US"/>
        </w:rPr>
        <w:t xml:space="preserve">, </w:t>
      </w:r>
      <w:r w:rsidR="00230C56" w:rsidRPr="008B63A3">
        <w:rPr>
          <w:sz w:val="24"/>
          <w:szCs w:val="24"/>
          <w:lang w:val="en-US"/>
        </w:rPr>
        <w:t xml:space="preserve">and took </w:t>
      </w:r>
      <w:r w:rsidR="00A776D7" w:rsidRPr="008B63A3">
        <w:rPr>
          <w:sz w:val="24"/>
          <w:szCs w:val="24"/>
          <w:lang w:val="en-US"/>
        </w:rPr>
        <w:t xml:space="preserve">part </w:t>
      </w:r>
      <w:r w:rsidR="00230C56" w:rsidRPr="008B63A3">
        <w:rPr>
          <w:sz w:val="24"/>
          <w:szCs w:val="24"/>
          <w:lang w:val="en-US"/>
        </w:rPr>
        <w:t>in</w:t>
      </w:r>
      <w:r w:rsidR="00A776D7" w:rsidRPr="008B63A3">
        <w:rPr>
          <w:sz w:val="24"/>
          <w:szCs w:val="24"/>
          <w:lang w:val="en-US"/>
        </w:rPr>
        <w:t xml:space="preserve"> the SABE Study - Health, Welfare, and Aging. The SABE Study is a longitudinal study of multiple cohorts which started in 2000 with a random sample of 2,143 individuals </w:t>
      </w:r>
      <w:r w:rsidR="00230C56" w:rsidRPr="008B63A3">
        <w:rPr>
          <w:sz w:val="24"/>
          <w:szCs w:val="24"/>
          <w:lang w:val="en-US"/>
        </w:rPr>
        <w:t>(aged ≥60 years)</w:t>
      </w:r>
      <w:r w:rsidR="00954898" w:rsidRPr="008B63A3">
        <w:rPr>
          <w:sz w:val="24"/>
          <w:szCs w:val="24"/>
          <w:lang w:val="en-US"/>
        </w:rPr>
        <w:t xml:space="preserve"> </w:t>
      </w:r>
      <w:r w:rsidR="00A776D7" w:rsidRPr="008B63A3">
        <w:rPr>
          <w:sz w:val="24"/>
          <w:szCs w:val="24"/>
          <w:lang w:val="en-US"/>
        </w:rPr>
        <w:t xml:space="preserve">in the city of </w:t>
      </w:r>
      <w:r w:rsidR="00274A52" w:rsidRPr="008B63A3">
        <w:rPr>
          <w:sz w:val="24"/>
          <w:szCs w:val="24"/>
          <w:lang w:val="en-US"/>
        </w:rPr>
        <w:t>São Paulo</w:t>
      </w:r>
      <w:r w:rsidR="000D1DD4" w:rsidRPr="008B63A3">
        <w:rPr>
          <w:sz w:val="24"/>
          <w:szCs w:val="24"/>
          <w:lang w:val="en-US"/>
        </w:rPr>
        <w:t xml:space="preserve"> (Brazil)</w:t>
      </w:r>
      <w:r w:rsidR="00274A52" w:rsidRPr="008B63A3" w:rsidDel="00274A52">
        <w:rPr>
          <w:sz w:val="24"/>
          <w:szCs w:val="24"/>
          <w:lang w:val="en-US"/>
        </w:rPr>
        <w:t xml:space="preserve"> </w:t>
      </w:r>
      <w:r w:rsidR="00A776D7" w:rsidRPr="008B63A3">
        <w:rPr>
          <w:sz w:val="24"/>
          <w:szCs w:val="24"/>
          <w:lang w:val="en-US"/>
        </w:rPr>
        <w:t xml:space="preserve">(cohort A). In 2006, 1,115 individuals from the first cohort were located and re-interviewed. </w:t>
      </w:r>
      <w:r w:rsidR="00274A52" w:rsidRPr="008B63A3">
        <w:rPr>
          <w:sz w:val="24"/>
          <w:szCs w:val="24"/>
          <w:lang w:val="en-US"/>
        </w:rPr>
        <w:t>Attrition</w:t>
      </w:r>
      <w:r w:rsidR="00230C56" w:rsidRPr="008B63A3">
        <w:rPr>
          <w:sz w:val="24"/>
          <w:szCs w:val="24"/>
          <w:lang w:val="en-US"/>
        </w:rPr>
        <w:t xml:space="preserve"> was owing </w:t>
      </w:r>
      <w:proofErr w:type="gramStart"/>
      <w:r w:rsidR="00230C56" w:rsidRPr="008B63A3">
        <w:rPr>
          <w:sz w:val="24"/>
          <w:szCs w:val="24"/>
          <w:lang w:val="en-US"/>
        </w:rPr>
        <w:t>to:</w:t>
      </w:r>
      <w:proofErr w:type="gramEnd"/>
      <w:r w:rsidR="00230C56" w:rsidRPr="008B63A3">
        <w:rPr>
          <w:sz w:val="24"/>
          <w:szCs w:val="24"/>
          <w:lang w:val="en-US"/>
        </w:rPr>
        <w:t xml:space="preserve"> </w:t>
      </w:r>
      <w:r w:rsidR="00A776D7" w:rsidRPr="008B63A3">
        <w:rPr>
          <w:sz w:val="24"/>
          <w:szCs w:val="24"/>
          <w:lang w:val="en-US"/>
        </w:rPr>
        <w:t xml:space="preserve"> </w:t>
      </w:r>
      <w:r w:rsidR="00274A52" w:rsidRPr="008B63A3">
        <w:rPr>
          <w:sz w:val="24"/>
          <w:szCs w:val="24"/>
          <w:lang w:val="en-US"/>
        </w:rPr>
        <w:t xml:space="preserve">participant </w:t>
      </w:r>
      <w:r w:rsidR="00A776D7" w:rsidRPr="008B63A3">
        <w:rPr>
          <w:sz w:val="24"/>
          <w:szCs w:val="24"/>
          <w:lang w:val="en-US"/>
        </w:rPr>
        <w:t xml:space="preserve">deaths (649), refusals (177), </w:t>
      </w:r>
      <w:r w:rsidR="00975090" w:rsidRPr="008B63A3">
        <w:rPr>
          <w:sz w:val="24"/>
          <w:szCs w:val="24"/>
          <w:lang w:val="en-US"/>
        </w:rPr>
        <w:t>relocation</w:t>
      </w:r>
      <w:r w:rsidR="00A776D7" w:rsidRPr="008B63A3">
        <w:rPr>
          <w:sz w:val="24"/>
          <w:szCs w:val="24"/>
          <w:lang w:val="en-US"/>
        </w:rPr>
        <w:t xml:space="preserve"> (51), institutionalization</w:t>
      </w:r>
      <w:r w:rsidR="000D1DD4" w:rsidRPr="008B63A3">
        <w:rPr>
          <w:sz w:val="24"/>
          <w:szCs w:val="24"/>
          <w:lang w:val="en-US"/>
        </w:rPr>
        <w:t xml:space="preserve"> (</w:t>
      </w:r>
      <w:r w:rsidR="00230C56" w:rsidRPr="008B63A3">
        <w:rPr>
          <w:sz w:val="24"/>
          <w:szCs w:val="24"/>
          <w:lang w:val="en-US"/>
        </w:rPr>
        <w:t>older adults</w:t>
      </w:r>
      <w:r w:rsidR="000D1DD4" w:rsidRPr="008B63A3">
        <w:rPr>
          <w:sz w:val="24"/>
          <w:szCs w:val="24"/>
          <w:lang w:val="en-US"/>
        </w:rPr>
        <w:t xml:space="preserve"> residing in long-stay institution</w:t>
      </w:r>
      <w:r w:rsidR="00F52435" w:rsidRPr="008B63A3">
        <w:rPr>
          <w:sz w:val="24"/>
          <w:szCs w:val="24"/>
          <w:lang w:val="en-US"/>
        </w:rPr>
        <w:t>s</w:t>
      </w:r>
      <w:r w:rsidR="000D1DD4" w:rsidRPr="008B63A3">
        <w:rPr>
          <w:sz w:val="24"/>
          <w:szCs w:val="24"/>
          <w:lang w:val="en-US"/>
        </w:rPr>
        <w:t xml:space="preserve">) </w:t>
      </w:r>
      <w:r w:rsidR="00A776D7" w:rsidRPr="008B63A3">
        <w:rPr>
          <w:sz w:val="24"/>
          <w:szCs w:val="24"/>
          <w:lang w:val="en-US"/>
        </w:rPr>
        <w:t>(11), and not being located (140). At that time a new random sample of 298 individuals aged 60 to 64</w:t>
      </w:r>
      <w:r w:rsidR="00230C56" w:rsidRPr="008B63A3">
        <w:rPr>
          <w:sz w:val="24"/>
          <w:szCs w:val="24"/>
          <w:lang w:val="en-US"/>
        </w:rPr>
        <w:t xml:space="preserve"> years</w:t>
      </w:r>
      <w:r w:rsidR="00A776D7" w:rsidRPr="008B63A3">
        <w:rPr>
          <w:sz w:val="24"/>
          <w:szCs w:val="24"/>
          <w:lang w:val="en-US"/>
        </w:rPr>
        <w:t xml:space="preserve"> (cohort B) was introduced. In 2010, 990 individuals were located and interviewed and, as in 2006, a new cohort of </w:t>
      </w:r>
      <w:r w:rsidR="00230C56" w:rsidRPr="008B63A3">
        <w:rPr>
          <w:sz w:val="24"/>
          <w:szCs w:val="24"/>
          <w:lang w:val="en-US"/>
        </w:rPr>
        <w:t xml:space="preserve">older adults </w:t>
      </w:r>
      <w:r w:rsidR="00A776D7" w:rsidRPr="008B63A3">
        <w:rPr>
          <w:sz w:val="24"/>
          <w:szCs w:val="24"/>
          <w:lang w:val="en-US"/>
        </w:rPr>
        <w:t>(n = 355)</w:t>
      </w:r>
      <w:r w:rsidR="00230C56" w:rsidRPr="008B63A3">
        <w:rPr>
          <w:sz w:val="24"/>
          <w:szCs w:val="24"/>
          <w:lang w:val="en-US"/>
        </w:rPr>
        <w:t xml:space="preserve"> aged</w:t>
      </w:r>
      <w:r w:rsidR="00A776D7" w:rsidRPr="008B63A3">
        <w:rPr>
          <w:sz w:val="24"/>
          <w:szCs w:val="24"/>
          <w:lang w:val="en-US"/>
        </w:rPr>
        <w:t xml:space="preserve"> 60-64 years (cohort C)</w:t>
      </w:r>
      <w:r w:rsidR="00230C56" w:rsidRPr="008B63A3">
        <w:rPr>
          <w:sz w:val="24"/>
          <w:szCs w:val="24"/>
          <w:lang w:val="en-US"/>
        </w:rPr>
        <w:t xml:space="preserve"> were</w:t>
      </w:r>
      <w:r w:rsidR="00A776D7" w:rsidRPr="008B63A3">
        <w:rPr>
          <w:sz w:val="24"/>
          <w:szCs w:val="24"/>
          <w:lang w:val="en-US"/>
        </w:rPr>
        <w:t xml:space="preserve"> introduced. The </w:t>
      </w:r>
      <w:r w:rsidR="000D1DD4" w:rsidRPr="008B63A3">
        <w:rPr>
          <w:sz w:val="24"/>
          <w:szCs w:val="24"/>
          <w:lang w:val="en-US"/>
        </w:rPr>
        <w:t>attrition</w:t>
      </w:r>
      <w:r w:rsidR="00A776D7" w:rsidRPr="008B63A3">
        <w:rPr>
          <w:sz w:val="24"/>
          <w:szCs w:val="24"/>
          <w:lang w:val="en-US"/>
        </w:rPr>
        <w:t xml:space="preserve"> corresponded to deaths</w:t>
      </w:r>
      <w:r w:rsidR="00F436DA" w:rsidRPr="008B63A3">
        <w:rPr>
          <w:sz w:val="24"/>
          <w:szCs w:val="24"/>
          <w:lang w:val="en-US"/>
        </w:rPr>
        <w:t xml:space="preserve"> (Cohort A and B)</w:t>
      </w:r>
      <w:r w:rsidR="00A776D7" w:rsidRPr="008B63A3">
        <w:rPr>
          <w:sz w:val="24"/>
          <w:szCs w:val="24"/>
          <w:lang w:val="en-US"/>
        </w:rPr>
        <w:t xml:space="preserve"> (280), refusals (109), </w:t>
      </w:r>
      <w:r w:rsidR="00975090" w:rsidRPr="008B63A3">
        <w:rPr>
          <w:sz w:val="24"/>
          <w:szCs w:val="24"/>
          <w:lang w:val="en-US"/>
        </w:rPr>
        <w:t>relocation</w:t>
      </w:r>
      <w:r w:rsidR="00A776D7" w:rsidRPr="008B63A3">
        <w:rPr>
          <w:sz w:val="24"/>
          <w:szCs w:val="24"/>
          <w:lang w:val="en-US"/>
        </w:rPr>
        <w:t xml:space="preserve"> (49), institutionalization (10), and not being located (63). For the present study, in 2010, all located and re-interviewed </w:t>
      </w:r>
      <w:r w:rsidR="00274A52" w:rsidRPr="008B63A3">
        <w:rPr>
          <w:sz w:val="24"/>
          <w:szCs w:val="24"/>
          <w:lang w:val="en-US"/>
        </w:rPr>
        <w:t>participants</w:t>
      </w:r>
      <w:r w:rsidR="00A776D7" w:rsidRPr="008B63A3">
        <w:rPr>
          <w:sz w:val="24"/>
          <w:szCs w:val="24"/>
          <w:lang w:val="en-US"/>
        </w:rPr>
        <w:t xml:space="preserve"> (cohorts A and B, n = 990) were asked to use an accelerometer for three consecutive days; of these, 599 agreed to participate. Participants who presented less than two days valid use of the </w:t>
      </w:r>
      <w:r w:rsidR="00274A52" w:rsidRPr="008B63A3">
        <w:rPr>
          <w:sz w:val="24"/>
          <w:szCs w:val="24"/>
          <w:lang w:val="en-US"/>
        </w:rPr>
        <w:t xml:space="preserve">accelerometer </w:t>
      </w:r>
      <w:r w:rsidR="00A776D7" w:rsidRPr="008B63A3">
        <w:rPr>
          <w:sz w:val="24"/>
          <w:szCs w:val="24"/>
          <w:lang w:val="en-US"/>
        </w:rPr>
        <w:t>device</w:t>
      </w:r>
      <w:r w:rsidR="00274A52" w:rsidRPr="008B63A3">
        <w:rPr>
          <w:sz w:val="24"/>
          <w:szCs w:val="24"/>
          <w:lang w:val="en-US"/>
        </w:rPr>
        <w:t xml:space="preserve"> (described below)</w:t>
      </w:r>
      <w:r w:rsidR="00A776D7" w:rsidRPr="008B63A3">
        <w:rPr>
          <w:sz w:val="24"/>
          <w:szCs w:val="24"/>
          <w:lang w:val="en-US"/>
        </w:rPr>
        <w:t xml:space="preserve"> (31) were excluded. </w:t>
      </w:r>
      <w:r w:rsidR="00274A52" w:rsidRPr="008B63A3">
        <w:rPr>
          <w:sz w:val="24"/>
          <w:szCs w:val="24"/>
          <w:lang w:val="en-US"/>
        </w:rPr>
        <w:t>In total</w:t>
      </w:r>
      <w:r w:rsidR="00A776D7" w:rsidRPr="008B63A3">
        <w:rPr>
          <w:sz w:val="24"/>
          <w:szCs w:val="24"/>
          <w:lang w:val="en-US"/>
        </w:rPr>
        <w:t xml:space="preserve"> 568 </w:t>
      </w:r>
      <w:r w:rsidR="00230C56" w:rsidRPr="008B63A3">
        <w:rPr>
          <w:sz w:val="24"/>
          <w:szCs w:val="24"/>
          <w:lang w:val="en-US"/>
        </w:rPr>
        <w:t xml:space="preserve">older adults </w:t>
      </w:r>
      <w:r w:rsidR="00A776D7" w:rsidRPr="008B63A3">
        <w:rPr>
          <w:sz w:val="24"/>
          <w:szCs w:val="24"/>
          <w:lang w:val="en-US"/>
        </w:rPr>
        <w:t>(mean</w:t>
      </w:r>
      <w:r w:rsidR="00230C56" w:rsidRPr="008B63A3">
        <w:rPr>
          <w:sz w:val="24"/>
          <w:szCs w:val="24"/>
          <w:lang w:val="en-US"/>
        </w:rPr>
        <w:t xml:space="preserve"> age</w:t>
      </w:r>
      <w:r w:rsidR="00A776D7" w:rsidRPr="008B63A3">
        <w:rPr>
          <w:sz w:val="24"/>
          <w:szCs w:val="24"/>
          <w:lang w:val="en-US"/>
        </w:rPr>
        <w:t xml:space="preserve"> 76.2 </w:t>
      </w:r>
      <w:r w:rsidR="00A776D7" w:rsidRPr="008B63A3">
        <w:rPr>
          <w:sz w:val="24"/>
          <w:szCs w:val="24"/>
          <w:u w:val="single"/>
          <w:lang w:val="en-US"/>
        </w:rPr>
        <w:t>+</w:t>
      </w:r>
      <w:r w:rsidR="00A776D7" w:rsidRPr="008B63A3">
        <w:rPr>
          <w:sz w:val="24"/>
          <w:szCs w:val="24"/>
          <w:lang w:val="en-US"/>
        </w:rPr>
        <w:t xml:space="preserve"> 8.05 years), living in the city of São Paulo, took part in this study.</w:t>
      </w:r>
      <w:r w:rsidR="001B6561" w:rsidRPr="008B63A3">
        <w:rPr>
          <w:b/>
          <w:sz w:val="24"/>
          <w:szCs w:val="24"/>
          <w:lang w:val="en-CA"/>
        </w:rPr>
        <w:t xml:space="preserve"> </w:t>
      </w:r>
      <w:r w:rsidR="001B6561" w:rsidRPr="008B63A3">
        <w:rPr>
          <w:sz w:val="24"/>
          <w:szCs w:val="24"/>
          <w:lang w:val="en-CA"/>
        </w:rPr>
        <w:t>Ethics Committee: Public Health College of the University of São Paulo - COEP/FSP (Protocol no. 2044/2010).</w:t>
      </w:r>
    </w:p>
    <w:p w14:paraId="098D63C9" w14:textId="77777777" w:rsidR="00A776D7" w:rsidRPr="008B63A3" w:rsidRDefault="00A776D7" w:rsidP="001544AC">
      <w:pPr>
        <w:spacing w:line="360" w:lineRule="auto"/>
        <w:ind w:firstLine="720"/>
        <w:jc w:val="both"/>
        <w:rPr>
          <w:sz w:val="24"/>
          <w:szCs w:val="24"/>
          <w:lang w:val="en-CA"/>
        </w:rPr>
      </w:pPr>
    </w:p>
    <w:p w14:paraId="1039DD6E" w14:textId="1708B82F" w:rsidR="00A776D7" w:rsidRPr="008B63A3" w:rsidRDefault="00A776D7" w:rsidP="001544AC">
      <w:pPr>
        <w:spacing w:line="360" w:lineRule="auto"/>
        <w:jc w:val="both"/>
        <w:rPr>
          <w:b/>
          <w:sz w:val="24"/>
          <w:szCs w:val="24"/>
          <w:lang w:val="en-US"/>
        </w:rPr>
      </w:pPr>
    </w:p>
    <w:p w14:paraId="448E8EFB" w14:textId="77777777" w:rsidR="001634BD" w:rsidRPr="008B63A3" w:rsidRDefault="001634BD" w:rsidP="001544AC">
      <w:pPr>
        <w:spacing w:line="360" w:lineRule="auto"/>
        <w:jc w:val="both"/>
        <w:rPr>
          <w:b/>
          <w:sz w:val="24"/>
          <w:szCs w:val="24"/>
          <w:lang w:val="en-US"/>
        </w:rPr>
      </w:pPr>
    </w:p>
    <w:p w14:paraId="16F07C69" w14:textId="77777777" w:rsidR="00A776D7" w:rsidRPr="008B63A3" w:rsidRDefault="0029673C" w:rsidP="001634BD">
      <w:pPr>
        <w:pStyle w:val="Heading2"/>
      </w:pPr>
      <w:r w:rsidRPr="008B63A3">
        <w:lastRenderedPageBreak/>
        <w:t xml:space="preserve">2.2 </w:t>
      </w:r>
      <w:r w:rsidR="00A776D7" w:rsidRPr="008B63A3">
        <w:t>Measures</w:t>
      </w:r>
    </w:p>
    <w:p w14:paraId="22E18B82" w14:textId="77777777" w:rsidR="00A776D7" w:rsidRPr="008B63A3" w:rsidRDefault="00A776D7" w:rsidP="001544AC">
      <w:pPr>
        <w:spacing w:line="360" w:lineRule="auto"/>
        <w:jc w:val="both"/>
        <w:rPr>
          <w:b/>
          <w:sz w:val="24"/>
          <w:szCs w:val="24"/>
          <w:lang w:val="en-US"/>
        </w:rPr>
      </w:pPr>
      <w:r w:rsidRPr="008B63A3">
        <w:rPr>
          <w:b/>
          <w:sz w:val="24"/>
          <w:szCs w:val="24"/>
          <w:lang w:val="en-US"/>
        </w:rPr>
        <w:t xml:space="preserve">Dependent variable: </w:t>
      </w:r>
      <w:r w:rsidR="0055049C" w:rsidRPr="008B63A3">
        <w:rPr>
          <w:b/>
          <w:sz w:val="24"/>
          <w:szCs w:val="24"/>
          <w:lang w:val="en-US"/>
        </w:rPr>
        <w:t>M</w:t>
      </w:r>
      <w:r w:rsidRPr="008B63A3">
        <w:rPr>
          <w:b/>
          <w:sz w:val="24"/>
          <w:szCs w:val="24"/>
          <w:lang w:val="en-US"/>
        </w:rPr>
        <w:t>ortality</w:t>
      </w:r>
    </w:p>
    <w:p w14:paraId="41B1B904" w14:textId="77777777" w:rsidR="00B077EB" w:rsidRPr="008B63A3" w:rsidRDefault="00D80A29" w:rsidP="00694465">
      <w:pPr>
        <w:spacing w:line="360" w:lineRule="auto"/>
        <w:ind w:firstLine="709"/>
        <w:jc w:val="both"/>
        <w:rPr>
          <w:sz w:val="24"/>
          <w:szCs w:val="24"/>
          <w:lang w:val="en-US"/>
        </w:rPr>
      </w:pPr>
      <w:r w:rsidRPr="008B63A3">
        <w:rPr>
          <w:sz w:val="24"/>
          <w:szCs w:val="24"/>
          <w:lang w:val="en-US"/>
        </w:rPr>
        <w:t>A</w:t>
      </w:r>
      <w:r w:rsidR="00B077EB" w:rsidRPr="008B63A3">
        <w:rPr>
          <w:sz w:val="24"/>
          <w:szCs w:val="24"/>
          <w:lang w:val="en-US"/>
        </w:rPr>
        <w:t xml:space="preserve">ll participants of the </w:t>
      </w:r>
      <w:r w:rsidRPr="008B63A3">
        <w:rPr>
          <w:sz w:val="24"/>
          <w:szCs w:val="24"/>
          <w:lang w:val="en-US"/>
        </w:rPr>
        <w:t xml:space="preserve">initial </w:t>
      </w:r>
      <w:r w:rsidR="00B077EB" w:rsidRPr="008B63A3">
        <w:rPr>
          <w:sz w:val="24"/>
          <w:szCs w:val="24"/>
          <w:lang w:val="en-US"/>
        </w:rPr>
        <w:t xml:space="preserve">2010 </w:t>
      </w:r>
      <w:r w:rsidRPr="008B63A3">
        <w:rPr>
          <w:sz w:val="24"/>
          <w:szCs w:val="24"/>
          <w:lang w:val="en-US"/>
        </w:rPr>
        <w:t xml:space="preserve">intake </w:t>
      </w:r>
      <w:r w:rsidR="00B077EB" w:rsidRPr="008B63A3">
        <w:rPr>
          <w:sz w:val="24"/>
          <w:szCs w:val="24"/>
          <w:lang w:val="en-US"/>
        </w:rPr>
        <w:t xml:space="preserve">were searched </w:t>
      </w:r>
      <w:r w:rsidRPr="008B63A3">
        <w:rPr>
          <w:sz w:val="24"/>
          <w:szCs w:val="24"/>
          <w:lang w:val="en-US"/>
        </w:rPr>
        <w:t xml:space="preserve">for </w:t>
      </w:r>
      <w:r w:rsidR="00B077EB" w:rsidRPr="008B63A3">
        <w:rPr>
          <w:sz w:val="24"/>
          <w:szCs w:val="24"/>
          <w:lang w:val="en-US"/>
        </w:rPr>
        <w:t xml:space="preserve">and among the 568 who were submitted to identification of </w:t>
      </w:r>
      <w:r w:rsidRPr="008B63A3">
        <w:rPr>
          <w:sz w:val="24"/>
          <w:szCs w:val="24"/>
          <w:lang w:val="en-US"/>
        </w:rPr>
        <w:t>PA</w:t>
      </w:r>
      <w:r w:rsidR="00B077EB" w:rsidRPr="008B63A3">
        <w:rPr>
          <w:sz w:val="24"/>
          <w:szCs w:val="24"/>
          <w:lang w:val="en-US"/>
        </w:rPr>
        <w:t xml:space="preserve"> by means of accelerometry in 2010, 426 were found. Individuals not found in 2014 (n= 142) were classified into the following categories: deaths, institutionalizations, </w:t>
      </w:r>
      <w:r w:rsidR="00975090" w:rsidRPr="008B63A3">
        <w:rPr>
          <w:sz w:val="24"/>
          <w:szCs w:val="24"/>
          <w:lang w:val="en-US"/>
        </w:rPr>
        <w:t>relocation</w:t>
      </w:r>
      <w:r w:rsidR="00B077EB" w:rsidRPr="008B63A3">
        <w:rPr>
          <w:sz w:val="24"/>
          <w:szCs w:val="24"/>
          <w:lang w:val="en-US"/>
        </w:rPr>
        <w:t xml:space="preserve">, refusals and not located. Based on this classification, it was possible to determine the survival condition of each </w:t>
      </w:r>
      <w:r w:rsidR="00230C56" w:rsidRPr="008B63A3">
        <w:rPr>
          <w:sz w:val="24"/>
          <w:szCs w:val="24"/>
          <w:lang w:val="en-US"/>
        </w:rPr>
        <w:t xml:space="preserve">older adult </w:t>
      </w:r>
      <w:r w:rsidR="00B077EB" w:rsidRPr="008B63A3">
        <w:rPr>
          <w:sz w:val="24"/>
          <w:szCs w:val="24"/>
          <w:lang w:val="en-US"/>
        </w:rPr>
        <w:t xml:space="preserve">at the end of the observation period (Table 1). The sample analyzed in this study included 460 survivors and 94 deaths, totaling 554. </w:t>
      </w:r>
      <w:r w:rsidR="00274A52" w:rsidRPr="008B63A3">
        <w:rPr>
          <w:sz w:val="24"/>
          <w:szCs w:val="24"/>
          <w:lang w:val="en-US"/>
        </w:rPr>
        <w:t xml:space="preserve">For fourteen participants </w:t>
      </w:r>
      <w:r w:rsidR="00B077EB" w:rsidRPr="008B63A3">
        <w:rPr>
          <w:sz w:val="24"/>
          <w:szCs w:val="24"/>
          <w:lang w:val="en-US"/>
        </w:rPr>
        <w:t>(2.5%</w:t>
      </w:r>
      <w:r w:rsidR="00274A52" w:rsidRPr="008B63A3">
        <w:rPr>
          <w:sz w:val="24"/>
          <w:szCs w:val="24"/>
          <w:lang w:val="en-US"/>
        </w:rPr>
        <w:t xml:space="preserve"> of the initial sample</w:t>
      </w:r>
      <w:r w:rsidR="00B077EB" w:rsidRPr="008B63A3">
        <w:rPr>
          <w:sz w:val="24"/>
          <w:szCs w:val="24"/>
          <w:lang w:val="en-US"/>
        </w:rPr>
        <w:t>), it was not possible to determine their survival status in 2014.</w:t>
      </w:r>
    </w:p>
    <w:p w14:paraId="5A13B088" w14:textId="77777777" w:rsidR="001A57B6" w:rsidRPr="008B63A3" w:rsidRDefault="001A57B6" w:rsidP="001A57B6">
      <w:pPr>
        <w:spacing w:line="360" w:lineRule="auto"/>
        <w:jc w:val="both"/>
        <w:rPr>
          <w:b/>
          <w:sz w:val="24"/>
          <w:szCs w:val="24"/>
          <w:lang w:val="en-US"/>
        </w:rPr>
      </w:pPr>
      <w:bookmarkStart w:id="7" w:name="_Toc350501432"/>
      <w:bookmarkStart w:id="8" w:name="_Toc432415469"/>
      <w:bookmarkStart w:id="9" w:name="_Toc442002069"/>
    </w:p>
    <w:p w14:paraId="406848B1" w14:textId="77777777" w:rsidR="001A57B6" w:rsidRPr="008B63A3" w:rsidRDefault="001A57B6" w:rsidP="00F40069">
      <w:pPr>
        <w:spacing w:line="360" w:lineRule="auto"/>
        <w:jc w:val="both"/>
        <w:rPr>
          <w:sz w:val="24"/>
          <w:szCs w:val="24"/>
          <w:lang w:val="en-US"/>
        </w:rPr>
      </w:pPr>
      <w:r w:rsidRPr="008B63A3">
        <w:rPr>
          <w:b/>
          <w:sz w:val="24"/>
          <w:szCs w:val="24"/>
          <w:lang w:val="en-US"/>
        </w:rPr>
        <w:t>Table 1.</w:t>
      </w:r>
      <w:r w:rsidRPr="008B63A3">
        <w:rPr>
          <w:sz w:val="24"/>
          <w:szCs w:val="24"/>
          <w:lang w:val="en-US"/>
        </w:rPr>
        <w:t xml:space="preserve"> Distribution of older adults, according to survival conditions, from 2010. SABE Study: City of São Paulo, Brazil, 2014.</w:t>
      </w:r>
    </w:p>
    <w:p w14:paraId="7BB98EBB" w14:textId="77777777" w:rsidR="00F40069" w:rsidRPr="008B63A3" w:rsidRDefault="00F40069" w:rsidP="00F40069">
      <w:pPr>
        <w:spacing w:line="360" w:lineRule="auto"/>
        <w:jc w:val="both"/>
        <w:rPr>
          <w:b/>
          <w:sz w:val="24"/>
          <w:szCs w:val="24"/>
          <w:lang w:val="en-US"/>
        </w:rPr>
      </w:pPr>
      <w:r w:rsidRPr="008B63A3">
        <w:rPr>
          <w:b/>
          <w:sz w:val="24"/>
          <w:szCs w:val="24"/>
          <w:lang w:val="en-US"/>
        </w:rPr>
        <w:t>Insert table 1 here…</w:t>
      </w:r>
    </w:p>
    <w:p w14:paraId="18A5935F" w14:textId="77777777" w:rsidR="00801188" w:rsidRPr="008B63A3" w:rsidRDefault="00801188" w:rsidP="001544AC">
      <w:pPr>
        <w:spacing w:line="360" w:lineRule="auto"/>
        <w:jc w:val="both"/>
        <w:rPr>
          <w:sz w:val="24"/>
          <w:szCs w:val="24"/>
          <w:lang w:val="en-US"/>
        </w:rPr>
      </w:pPr>
    </w:p>
    <w:p w14:paraId="23136BAB" w14:textId="77777777" w:rsidR="00A776D7" w:rsidRPr="008B63A3" w:rsidRDefault="00A776D7" w:rsidP="001544AC">
      <w:pPr>
        <w:spacing w:line="360" w:lineRule="auto"/>
        <w:jc w:val="both"/>
        <w:rPr>
          <w:b/>
          <w:sz w:val="24"/>
          <w:szCs w:val="24"/>
          <w:lang w:val="en-US"/>
        </w:rPr>
      </w:pPr>
      <w:r w:rsidRPr="008B63A3">
        <w:rPr>
          <w:b/>
          <w:sz w:val="24"/>
          <w:szCs w:val="24"/>
          <w:lang w:val="en-US"/>
        </w:rPr>
        <w:t>Independent variable</w:t>
      </w:r>
    </w:p>
    <w:p w14:paraId="3B1655E4"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 xml:space="preserve">For the analysis of PA level, </w:t>
      </w:r>
      <w:r w:rsidR="003F7ECE" w:rsidRPr="008B63A3">
        <w:rPr>
          <w:sz w:val="24"/>
          <w:szCs w:val="24"/>
          <w:lang w:val="en-US"/>
        </w:rPr>
        <w:t xml:space="preserve">the </w:t>
      </w:r>
      <w:proofErr w:type="spellStart"/>
      <w:r w:rsidRPr="008B63A3">
        <w:rPr>
          <w:sz w:val="24"/>
          <w:szCs w:val="24"/>
          <w:lang w:val="en-US"/>
        </w:rPr>
        <w:t>Actigraph</w:t>
      </w:r>
      <w:proofErr w:type="spellEnd"/>
      <w:r w:rsidRPr="008B63A3">
        <w:rPr>
          <w:sz w:val="24"/>
          <w:szCs w:val="24"/>
          <w:lang w:val="en-US"/>
        </w:rPr>
        <w:t>, model GT3X (</w:t>
      </w:r>
      <w:proofErr w:type="spellStart"/>
      <w:r w:rsidRPr="008B63A3">
        <w:rPr>
          <w:sz w:val="24"/>
          <w:szCs w:val="24"/>
          <w:lang w:val="en-US"/>
        </w:rPr>
        <w:t>Actigraph</w:t>
      </w:r>
      <w:proofErr w:type="spellEnd"/>
      <w:r w:rsidRPr="008B63A3">
        <w:rPr>
          <w:sz w:val="24"/>
          <w:szCs w:val="24"/>
          <w:lang w:val="en-US"/>
        </w:rPr>
        <w:t xml:space="preserve"> LLC, Pensacola, FL) was used, delivered by a trained technician to </w:t>
      </w:r>
      <w:r w:rsidR="00975090" w:rsidRPr="008B63A3">
        <w:rPr>
          <w:sz w:val="24"/>
          <w:szCs w:val="24"/>
          <w:lang w:val="en-US"/>
        </w:rPr>
        <w:t>participants, who each received instructions in its use</w:t>
      </w:r>
      <w:r w:rsidRPr="008B63A3">
        <w:rPr>
          <w:sz w:val="24"/>
          <w:szCs w:val="24"/>
          <w:lang w:val="en-US"/>
        </w:rPr>
        <w:t xml:space="preserve">. </w:t>
      </w:r>
      <w:r w:rsidR="00D80A29" w:rsidRPr="008B63A3">
        <w:rPr>
          <w:sz w:val="24"/>
          <w:szCs w:val="24"/>
          <w:lang w:val="en-US"/>
        </w:rPr>
        <w:t>P</w:t>
      </w:r>
      <w:r w:rsidRPr="008B63A3">
        <w:rPr>
          <w:sz w:val="24"/>
          <w:szCs w:val="24"/>
          <w:lang w:val="en-US"/>
        </w:rPr>
        <w:t>articipants were instructed to wear the accelerometer on their waist on the right side of the body, held in place with the aid of an</w:t>
      </w:r>
      <w:r w:rsidR="00D80A29" w:rsidRPr="008B63A3">
        <w:rPr>
          <w:sz w:val="24"/>
          <w:szCs w:val="24"/>
          <w:lang w:val="en-US"/>
        </w:rPr>
        <w:t xml:space="preserve"> individually-tailored </w:t>
      </w:r>
      <w:r w:rsidRPr="008B63A3">
        <w:rPr>
          <w:sz w:val="24"/>
          <w:szCs w:val="24"/>
          <w:lang w:val="en-US"/>
        </w:rPr>
        <w:t xml:space="preserve">elastic waistband, for 24 hours for three consecutive days, removing it only for swimming or water </w:t>
      </w:r>
      <w:r w:rsidR="006A349F" w:rsidRPr="008B63A3">
        <w:rPr>
          <w:sz w:val="24"/>
          <w:szCs w:val="24"/>
          <w:lang w:val="en-US"/>
        </w:rPr>
        <w:t xml:space="preserve">activities </w:t>
      </w:r>
      <w:r w:rsidR="006A349F" w:rsidRPr="008B63A3">
        <w:rPr>
          <w:sz w:val="24"/>
          <w:szCs w:val="24"/>
          <w:lang w:val="en-US"/>
        </w:rPr>
        <w:fldChar w:fldCharType="begin" w:fldLock="1"/>
      </w:r>
      <w:r w:rsidR="00A260C0" w:rsidRPr="008B63A3">
        <w:rPr>
          <w:sz w:val="24"/>
          <w:szCs w:val="24"/>
          <w:lang w:val="en-US"/>
        </w:rPr>
        <w:instrText>ADDIN CSL_CITATION {"citationItems":[{"id":"ITEM-1","itemData":{"DOI":"10.1093/geront/gns071","ISSN":"00169013","PMID":"22613940","abstract":"Purpose: To develop and validate criterion-referenced fitness standards for older adults that predict the level of capacity needed for maintaining physical independence into later life. The proposed standards were developed for use with a previously validated test battery for older adults -the Senior Fitness Test (Rikli, R. E., &amp; Jones, C. J. (2001). Development and validation of a functional fitness test for community-residing older adults. Journal of Aging and Physical Activity, 6, 127-159; Rikli, R. E., &amp; Jones, C. J. (1999a). Senior fitness test manual. Champaign, IL: Human Kinetics.). Methods: A criterion measure to assess physical independence was identified. Next, scores from a subset of 2,140 \"moderate-functioning\" older adults from a larger cross-sectional database, together with findings from longitudinal research on physical capacity and aging, were used as the basis for proposing fitness standards (performance cut points) associated with having the ability to function independently. Validity and reliability analyses were conducted to test the standards for their accuracy and consistency as predictors of physical independence. Results: Performance standards are presented for men and women ages 60-94 indicating the level of fitness associated with remaining physically independent until late in life. Reliability and validity indicators for the standards ranged between. 79 and. 97. Implications: The proposed standards provide easy-to-use, previously unavailable methods for evaluating physical capacity in older adults relative to that associated with physical independence. Most importantly, the standards can be used in planning interventions that target specific areas of weakness, thus reducing risk for premature loss of mobility and independence. © The Author 2012. Published by Oxford University Press on behalf of The Gerontological Society of America. All rights reserved.","author":[{"dropping-particle":"","family":"Rikli","given":"Roberta E.","non-dropping-particle":"","parse-names":false,"suffix":""},{"dropping-particle":"","family":"Jones","given":"C. Jessie","non-dropping-particle":"","parse-names":false,"suffix":""}],"container-title":"Gerontologist","id":"ITEM-1","issue":"2","issued":{"date-parts":[["2013"]]},"page":"255-267","title":"Development and validation of criterion-referenced clinically relevant fitness standards for maintaining physical independence in later years","type":"article-journal","volume":"53"},"uris":["http://www.mendeley.com/documents/?uuid=35808780-809f-4523-8feb-6f97a4b1a8da"]}],"mendeley":{"formattedCitation":"[20]","plainTextFormattedCitation":"[20]","previouslyFormattedCitation":"[20]"},"properties":{"noteIndex":0},"schema":"https://github.com/citation-style-language/schema/raw/master/csl-citation.json"}</w:instrText>
      </w:r>
      <w:r w:rsidR="006A349F" w:rsidRPr="008B63A3">
        <w:rPr>
          <w:sz w:val="24"/>
          <w:szCs w:val="24"/>
          <w:lang w:val="en-US"/>
        </w:rPr>
        <w:fldChar w:fldCharType="separate"/>
      </w:r>
      <w:r w:rsidR="00882664" w:rsidRPr="008B63A3">
        <w:rPr>
          <w:noProof/>
          <w:sz w:val="24"/>
          <w:szCs w:val="24"/>
          <w:lang w:val="en-US"/>
        </w:rPr>
        <w:t>[20]</w:t>
      </w:r>
      <w:r w:rsidR="006A349F" w:rsidRPr="008B63A3">
        <w:rPr>
          <w:sz w:val="24"/>
          <w:szCs w:val="24"/>
          <w:lang w:val="en-US"/>
        </w:rPr>
        <w:fldChar w:fldCharType="end"/>
      </w:r>
      <w:r w:rsidR="006A349F" w:rsidRPr="008B63A3">
        <w:rPr>
          <w:sz w:val="24"/>
          <w:szCs w:val="24"/>
          <w:lang w:val="en-US"/>
        </w:rPr>
        <w:t>.</w:t>
      </w:r>
    </w:p>
    <w:p w14:paraId="62E9CC57" w14:textId="77777777" w:rsidR="000C67AB" w:rsidRPr="008B63A3" w:rsidRDefault="00A776D7" w:rsidP="000C67AB">
      <w:pPr>
        <w:spacing w:line="360" w:lineRule="auto"/>
        <w:jc w:val="both"/>
        <w:rPr>
          <w:sz w:val="24"/>
          <w:lang w:val="en-US"/>
        </w:rPr>
      </w:pPr>
      <w:r w:rsidRPr="008B63A3">
        <w:rPr>
          <w:sz w:val="24"/>
          <w:szCs w:val="24"/>
          <w:lang w:val="en-US"/>
        </w:rPr>
        <w:t xml:space="preserve">The monitor was prepared the day before use (Monday) with the name and number of the questionnaire and monitor. </w:t>
      </w:r>
      <w:r w:rsidR="00D80A29" w:rsidRPr="008B63A3">
        <w:rPr>
          <w:sz w:val="24"/>
          <w:szCs w:val="24"/>
          <w:lang w:val="en-US"/>
        </w:rPr>
        <w:t>T</w:t>
      </w:r>
      <w:r w:rsidRPr="008B63A3">
        <w:rPr>
          <w:sz w:val="24"/>
          <w:szCs w:val="24"/>
          <w:lang w:val="en-US"/>
        </w:rPr>
        <w:t xml:space="preserve">he device </w:t>
      </w:r>
      <w:r w:rsidR="00975090" w:rsidRPr="008B63A3">
        <w:rPr>
          <w:sz w:val="24"/>
          <w:szCs w:val="24"/>
          <w:lang w:val="en-US"/>
        </w:rPr>
        <w:t xml:space="preserve">was </w:t>
      </w:r>
      <w:r w:rsidRPr="008B63A3">
        <w:rPr>
          <w:sz w:val="24"/>
          <w:szCs w:val="24"/>
          <w:lang w:val="en-US"/>
        </w:rPr>
        <w:t xml:space="preserve">programmed to start the count from </w:t>
      </w:r>
      <w:r w:rsidR="00975090" w:rsidRPr="008B63A3">
        <w:rPr>
          <w:sz w:val="24"/>
          <w:szCs w:val="24"/>
          <w:lang w:val="en-US"/>
        </w:rPr>
        <w:t>9:00am</w:t>
      </w:r>
      <w:r w:rsidRPr="008B63A3">
        <w:rPr>
          <w:sz w:val="24"/>
          <w:szCs w:val="24"/>
          <w:lang w:val="en-US"/>
        </w:rPr>
        <w:t xml:space="preserve"> on Tuesday </w:t>
      </w:r>
      <w:r w:rsidR="003F7ECE" w:rsidRPr="008B63A3">
        <w:rPr>
          <w:sz w:val="24"/>
          <w:szCs w:val="24"/>
          <w:lang w:val="en-US"/>
        </w:rPr>
        <w:t xml:space="preserve">and to </w:t>
      </w:r>
      <w:r w:rsidR="00975090" w:rsidRPr="008B63A3">
        <w:rPr>
          <w:sz w:val="24"/>
          <w:szCs w:val="24"/>
          <w:lang w:val="en-US"/>
        </w:rPr>
        <w:t>finish at</w:t>
      </w:r>
      <w:r w:rsidRPr="008B63A3">
        <w:rPr>
          <w:sz w:val="24"/>
          <w:szCs w:val="24"/>
          <w:lang w:val="en-US"/>
        </w:rPr>
        <w:t xml:space="preserve"> </w:t>
      </w:r>
      <w:r w:rsidR="00975090" w:rsidRPr="008B63A3">
        <w:rPr>
          <w:sz w:val="24"/>
          <w:szCs w:val="24"/>
          <w:lang w:val="en-US"/>
        </w:rPr>
        <w:t xml:space="preserve">9:00am </w:t>
      </w:r>
      <w:r w:rsidRPr="008B63A3">
        <w:rPr>
          <w:sz w:val="24"/>
          <w:szCs w:val="24"/>
          <w:lang w:val="en-US"/>
        </w:rPr>
        <w:t>on Friday morning</w:t>
      </w:r>
      <w:r w:rsidR="00FD55D7" w:rsidRPr="008B63A3">
        <w:rPr>
          <w:sz w:val="24"/>
          <w:szCs w:val="24"/>
          <w:lang w:val="en-US"/>
        </w:rPr>
        <w:t xml:space="preserve">. </w:t>
      </w:r>
      <w:bookmarkStart w:id="10" w:name="_Hlk86043406"/>
      <w:r w:rsidR="000C67AB" w:rsidRPr="008B63A3">
        <w:rPr>
          <w:sz w:val="24"/>
          <w:lang w:val="en-US"/>
        </w:rPr>
        <w:t xml:space="preserve">The use of accelerometer data from three weekdays of wear has previously been shown to be reliable demonstrating an intraclass correlation coefficient (ICC) of 0.80 </w:t>
      </w:r>
      <w:r w:rsidR="000C67AB" w:rsidRPr="008B63A3">
        <w:rPr>
          <w:sz w:val="24"/>
        </w:rPr>
        <w:fldChar w:fldCharType="begin" w:fldLock="1"/>
      </w:r>
      <w:r w:rsidR="008F460F" w:rsidRPr="008B63A3">
        <w:rPr>
          <w:sz w:val="24"/>
          <w:lang w:val="en-US"/>
        </w:rPr>
        <w:instrText>ADDIN CSL_CITATION {"citationItems":[{"id":"ITEM-1","itemData":{"DOI":"10.1080/02640414.2017.1403527","ISSN":"1466447X","PMID":"29125022","abstract":"The purpose of the study was to examine the minimum number of monitoring days for reliably estimating physical activity (PA) and sedentary behaviour (SB) from accelerometer data in older adults. Forty-two older adults from a local senior centre participated in this study. Participants wore an ActiGraph wGT3X-BT on the right hip for 7 consecutive days. Accelerometer data were downloaded to a computer and converted to activity count data in 60s epochs. Time spent in SB and different PA intensity categories were estimated with commonly used activity count cut-points. Participants with at least 7 valid days of monitoring (≥10 h.day−1) were included in the analysis. Intraclass correlation coefficients (ICC) were calculated for determining single-day monitoring reliability. The Spearman-Brown prophecy formula was used to estimate the minimum number of monitoring days required for achieving an ICC of 0.80. Single-day ICC values for time spent in SB and PA intensity categories ranged from 0.45 to 0.61. Minimum number of monitoring days required for achieving an ICC of 0.80 ranged from 2.5 to 4.9 days. In this study, a minimum of 5 consecutive days of monitoring was required for reliably estimating SB and PA from accelerometer data in older adults.","author":[{"dropping-particle":"","family":"Sasaki","given":"Jeffer Eidi","non-dropping-particle":"","parse-names":false,"suffix":""},{"dropping-particle":"","family":"Júnior","given":"Jairo Hélio","non-dropping-particle":"","parse-names":false,"suffix":""},{"dropping-particle":"","family":"Meneguci","given":"Joilson","non-dropping-particle":"","parse-names":false,"suffix":""},{"dropping-particle":"","family":"Tribess","given":"Sheilla","non-dropping-particle":"","parse-names":false,"suffix":""},{"dropping-particle":"","family":"Marocolo Júnior","given":"Moacir","non-dropping-particle":"","parse-names":false,"suffix":""},{"dropping-particle":"","family":"Stabelini Neto","given":"Antonio","non-dropping-particle":"","parse-names":false,"suffix":""},{"dropping-particle":"","family":"Virtuoso Júnior","given":"Jair Sindra","non-dropping-particle":"","parse-names":false,"suffix":""}],"container-title":"Journal of Sports Sciences","id":"ITEM-1","issue":"14","issued":{"date-parts":[["2018"]]},"page":"1572-1577","publisher":"Routledge","title":"Number of days required for reliably estimating physical activity and sedentary behaviour from accelerometer data in older adults","type":"article-journal","volume":"36"},"uris":["http://www.mendeley.com/documents/?uuid=401887cd-ca07-431b-a66d-e5d067410787"]}],"mendeley":{"formattedCitation":"[21]","plainTextFormattedCitation":"[21]","previouslyFormattedCitation":"[21]"},"properties":{"noteIndex":0},"schema":"https://github.com/citation-style-language/schema/raw/master/csl-citation.json"}</w:instrText>
      </w:r>
      <w:r w:rsidR="000C67AB" w:rsidRPr="008B63A3">
        <w:rPr>
          <w:sz w:val="24"/>
        </w:rPr>
        <w:fldChar w:fldCharType="separate"/>
      </w:r>
      <w:r w:rsidR="000C67AB" w:rsidRPr="008B63A3">
        <w:rPr>
          <w:noProof/>
          <w:sz w:val="24"/>
          <w:lang w:val="en-US"/>
        </w:rPr>
        <w:t>[21]</w:t>
      </w:r>
      <w:r w:rsidR="000C67AB" w:rsidRPr="008B63A3">
        <w:rPr>
          <w:sz w:val="24"/>
        </w:rPr>
        <w:fldChar w:fldCharType="end"/>
      </w:r>
      <w:r w:rsidR="000C67AB" w:rsidRPr="008B63A3">
        <w:rPr>
          <w:sz w:val="24"/>
          <w:lang w:val="en-US"/>
        </w:rPr>
        <w:t>.</w:t>
      </w:r>
      <w:bookmarkEnd w:id="10"/>
    </w:p>
    <w:p w14:paraId="3E510E81"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 xml:space="preserve">On completion of the trial period, the monitors were collected for </w:t>
      </w:r>
      <w:r w:rsidRPr="008B63A3">
        <w:rPr>
          <w:iCs/>
          <w:sz w:val="24"/>
          <w:szCs w:val="24"/>
          <w:lang w:val="en-US"/>
        </w:rPr>
        <w:t>downloading</w:t>
      </w:r>
      <w:r w:rsidRPr="008B63A3">
        <w:rPr>
          <w:sz w:val="24"/>
          <w:szCs w:val="24"/>
          <w:lang w:val="en-US"/>
        </w:rPr>
        <w:t xml:space="preserve"> the recorded data</w:t>
      </w:r>
      <w:r w:rsidR="00D80A29" w:rsidRPr="008B63A3">
        <w:rPr>
          <w:sz w:val="24"/>
          <w:szCs w:val="24"/>
          <w:lang w:val="en-US"/>
        </w:rPr>
        <w:t>, u</w:t>
      </w:r>
      <w:r w:rsidRPr="008B63A3">
        <w:rPr>
          <w:sz w:val="24"/>
          <w:szCs w:val="24"/>
          <w:lang w:val="en-US"/>
        </w:rPr>
        <w:t xml:space="preserve">sing </w:t>
      </w:r>
      <w:proofErr w:type="spellStart"/>
      <w:r w:rsidRPr="008B63A3">
        <w:rPr>
          <w:sz w:val="24"/>
          <w:szCs w:val="24"/>
          <w:lang w:val="en-US"/>
        </w:rPr>
        <w:t>Actlife</w:t>
      </w:r>
      <w:proofErr w:type="spellEnd"/>
      <w:r w:rsidRPr="008B63A3">
        <w:rPr>
          <w:sz w:val="24"/>
          <w:szCs w:val="24"/>
          <w:lang w:val="en-US"/>
        </w:rPr>
        <w:t xml:space="preserve"> software</w:t>
      </w:r>
      <w:r w:rsidR="00D80A29" w:rsidRPr="008B63A3">
        <w:rPr>
          <w:sz w:val="24"/>
          <w:szCs w:val="24"/>
          <w:lang w:val="en-US"/>
        </w:rPr>
        <w:t xml:space="preserve"> (</w:t>
      </w:r>
      <w:r w:rsidRPr="008B63A3">
        <w:rPr>
          <w:sz w:val="24"/>
          <w:szCs w:val="24"/>
          <w:lang w:val="en-US"/>
        </w:rPr>
        <w:t>version 5.0</w:t>
      </w:r>
      <w:r w:rsidR="00D80A29" w:rsidRPr="008B63A3">
        <w:rPr>
          <w:sz w:val="24"/>
          <w:szCs w:val="24"/>
          <w:lang w:val="en-US"/>
        </w:rPr>
        <w:t>)</w:t>
      </w:r>
      <w:r w:rsidRPr="008B63A3">
        <w:rPr>
          <w:sz w:val="24"/>
          <w:szCs w:val="24"/>
          <w:lang w:val="en-US"/>
        </w:rPr>
        <w:t xml:space="preserve">. Only full days of monitoring were included in the </w:t>
      </w:r>
      <w:r w:rsidR="00975090" w:rsidRPr="008B63A3">
        <w:rPr>
          <w:sz w:val="24"/>
          <w:szCs w:val="24"/>
          <w:lang w:val="en-US"/>
        </w:rPr>
        <w:t>data analysis</w:t>
      </w:r>
      <w:r w:rsidRPr="008B63A3">
        <w:rPr>
          <w:sz w:val="24"/>
          <w:szCs w:val="24"/>
          <w:lang w:val="en-US"/>
        </w:rPr>
        <w:t>. Consecutive time periods with zero counts were considered as</w:t>
      </w:r>
      <w:r w:rsidR="003F7ECE" w:rsidRPr="008B63A3">
        <w:rPr>
          <w:sz w:val="24"/>
          <w:szCs w:val="24"/>
          <w:lang w:val="en-US"/>
        </w:rPr>
        <w:t xml:space="preserve"> non-wear time</w:t>
      </w:r>
      <w:r w:rsidR="00975090" w:rsidRPr="008B63A3">
        <w:rPr>
          <w:sz w:val="24"/>
          <w:szCs w:val="24"/>
          <w:lang w:val="en-US"/>
        </w:rPr>
        <w:t xml:space="preserve">. Following the recommendations of </w:t>
      </w:r>
      <w:r w:rsidR="00975090" w:rsidRPr="008B63A3">
        <w:rPr>
          <w:noProof/>
          <w:sz w:val="24"/>
          <w:szCs w:val="24"/>
          <w:lang w:val="en-US"/>
        </w:rPr>
        <w:t>Rikli and Jones (2013),</w:t>
      </w:r>
      <w:r w:rsidRPr="008B63A3">
        <w:rPr>
          <w:sz w:val="24"/>
          <w:szCs w:val="24"/>
          <w:lang w:val="en-US"/>
        </w:rPr>
        <w:t xml:space="preserve"> days with less than ten hours of use of the device were excluded </w:t>
      </w:r>
      <w:r w:rsidR="00975090" w:rsidRPr="008B63A3">
        <w:rPr>
          <w:sz w:val="24"/>
          <w:szCs w:val="24"/>
          <w:lang w:val="en-US"/>
        </w:rPr>
        <w:t xml:space="preserve">because their inclusion in the analysis </w:t>
      </w:r>
      <w:r w:rsidRPr="008B63A3">
        <w:rPr>
          <w:sz w:val="24"/>
          <w:szCs w:val="24"/>
          <w:lang w:val="en-US"/>
        </w:rPr>
        <w:t>could have increased the variability</w:t>
      </w:r>
      <w:r w:rsidR="00975090" w:rsidRPr="008B63A3">
        <w:rPr>
          <w:sz w:val="24"/>
          <w:szCs w:val="24"/>
          <w:lang w:val="en-US"/>
        </w:rPr>
        <w:t xml:space="preserve"> in data.</w:t>
      </w:r>
    </w:p>
    <w:p w14:paraId="46A65017"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 xml:space="preserve">For the present study participants were divided into two levels of PA, from the percentile distribution of counts per minute (CPM). The study sample was divided into </w:t>
      </w:r>
      <w:proofErr w:type="spellStart"/>
      <w:r w:rsidRPr="008B63A3">
        <w:rPr>
          <w:sz w:val="24"/>
          <w:szCs w:val="24"/>
          <w:lang w:val="en-US"/>
        </w:rPr>
        <w:t>tertiles</w:t>
      </w:r>
      <w:proofErr w:type="spellEnd"/>
      <w:r w:rsidRPr="008B63A3">
        <w:rPr>
          <w:sz w:val="24"/>
          <w:szCs w:val="24"/>
          <w:lang w:val="en-US"/>
        </w:rPr>
        <w:t xml:space="preserve"> and </w:t>
      </w:r>
      <w:r w:rsidR="003F7ECE" w:rsidRPr="008B63A3">
        <w:rPr>
          <w:sz w:val="24"/>
          <w:szCs w:val="24"/>
          <w:lang w:val="en-US"/>
        </w:rPr>
        <w:t xml:space="preserve">then </w:t>
      </w:r>
      <w:r w:rsidRPr="008B63A3">
        <w:rPr>
          <w:sz w:val="24"/>
          <w:szCs w:val="24"/>
          <w:lang w:val="en-US"/>
        </w:rPr>
        <w:lastRenderedPageBreak/>
        <w:t xml:space="preserve">categorized into two groups, using the 33rd percentile as the criterion for classification. </w:t>
      </w:r>
      <w:r w:rsidR="00694465" w:rsidRPr="008B63A3">
        <w:rPr>
          <w:sz w:val="24"/>
          <w:szCs w:val="24"/>
          <w:lang w:val="en-US"/>
        </w:rPr>
        <w:t>Participants in</w:t>
      </w:r>
      <w:r w:rsidRPr="008B63A3">
        <w:rPr>
          <w:sz w:val="24"/>
          <w:szCs w:val="24"/>
          <w:lang w:val="en-US"/>
        </w:rPr>
        <w:t xml:space="preserve"> the lowest </w:t>
      </w:r>
      <w:proofErr w:type="spellStart"/>
      <w:r w:rsidRPr="008B63A3">
        <w:rPr>
          <w:sz w:val="24"/>
          <w:szCs w:val="24"/>
          <w:lang w:val="en-US"/>
        </w:rPr>
        <w:t>tertile</w:t>
      </w:r>
      <w:proofErr w:type="spellEnd"/>
      <w:r w:rsidRPr="008B63A3">
        <w:rPr>
          <w:sz w:val="24"/>
          <w:szCs w:val="24"/>
          <w:lang w:val="en-US"/>
        </w:rPr>
        <w:t xml:space="preserve"> were classified as having a low level of </w:t>
      </w:r>
      <w:r w:rsidR="00975090" w:rsidRPr="008B63A3">
        <w:rPr>
          <w:sz w:val="24"/>
          <w:szCs w:val="24"/>
          <w:lang w:val="en-US"/>
        </w:rPr>
        <w:t>PA</w:t>
      </w:r>
      <w:r w:rsidRPr="008B63A3">
        <w:rPr>
          <w:sz w:val="24"/>
          <w:szCs w:val="24"/>
          <w:lang w:val="en-US"/>
        </w:rPr>
        <w:t xml:space="preserve"> and </w:t>
      </w:r>
      <w:r w:rsidR="00975090" w:rsidRPr="008B63A3">
        <w:rPr>
          <w:sz w:val="24"/>
          <w:szCs w:val="24"/>
          <w:lang w:val="en-US"/>
        </w:rPr>
        <w:t>participants</w:t>
      </w:r>
      <w:r w:rsidRPr="008B63A3">
        <w:rPr>
          <w:sz w:val="24"/>
          <w:szCs w:val="24"/>
          <w:lang w:val="en-US"/>
        </w:rPr>
        <w:t xml:space="preserve"> in the other two </w:t>
      </w:r>
      <w:proofErr w:type="spellStart"/>
      <w:r w:rsidRPr="008B63A3">
        <w:rPr>
          <w:sz w:val="24"/>
          <w:szCs w:val="24"/>
          <w:lang w:val="en-US"/>
        </w:rPr>
        <w:t>tertiles</w:t>
      </w:r>
      <w:proofErr w:type="spellEnd"/>
      <w:r w:rsidRPr="008B63A3">
        <w:rPr>
          <w:sz w:val="24"/>
          <w:szCs w:val="24"/>
          <w:lang w:val="en-US"/>
        </w:rPr>
        <w:t xml:space="preserve"> were classified as having an intermediate/high level of </w:t>
      </w:r>
      <w:r w:rsidR="00975090" w:rsidRPr="008B63A3">
        <w:rPr>
          <w:sz w:val="24"/>
          <w:szCs w:val="24"/>
          <w:lang w:val="en-US"/>
        </w:rPr>
        <w:t>PA</w:t>
      </w:r>
      <w:r w:rsidRPr="008B63A3">
        <w:rPr>
          <w:sz w:val="24"/>
          <w:szCs w:val="24"/>
          <w:lang w:val="en-US"/>
        </w:rPr>
        <w:t xml:space="preserve">. </w:t>
      </w:r>
      <w:r w:rsidR="00975090" w:rsidRPr="008B63A3">
        <w:rPr>
          <w:sz w:val="24"/>
          <w:szCs w:val="24"/>
          <w:lang w:val="en-US"/>
        </w:rPr>
        <w:t>Such</w:t>
      </w:r>
      <w:r w:rsidRPr="008B63A3">
        <w:rPr>
          <w:sz w:val="24"/>
          <w:szCs w:val="24"/>
          <w:lang w:val="en-US"/>
        </w:rPr>
        <w:t xml:space="preserve"> </w:t>
      </w:r>
      <w:r w:rsidR="00975090" w:rsidRPr="008B63A3">
        <w:rPr>
          <w:sz w:val="24"/>
          <w:szCs w:val="24"/>
          <w:lang w:val="en-US"/>
        </w:rPr>
        <w:t xml:space="preserve">classification was based on the fact that there </w:t>
      </w:r>
      <w:r w:rsidRPr="008B63A3">
        <w:rPr>
          <w:sz w:val="24"/>
          <w:szCs w:val="24"/>
          <w:lang w:val="en-US"/>
        </w:rPr>
        <w:t>is no consensus among</w:t>
      </w:r>
      <w:r w:rsidR="00975090" w:rsidRPr="008B63A3">
        <w:rPr>
          <w:sz w:val="24"/>
          <w:szCs w:val="24"/>
          <w:lang w:val="en-US"/>
        </w:rPr>
        <w:t>st</w:t>
      </w:r>
      <w:r w:rsidRPr="008B63A3">
        <w:rPr>
          <w:sz w:val="24"/>
          <w:szCs w:val="24"/>
          <w:lang w:val="en-US"/>
        </w:rPr>
        <w:t xml:space="preserve"> researchers in the area regarding the classification used to designate effort intensity from the CPM in Brazilian older adults</w:t>
      </w:r>
      <w:r w:rsidR="008F460F" w:rsidRPr="008B63A3">
        <w:rPr>
          <w:sz w:val="24"/>
          <w:szCs w:val="24"/>
          <w:lang w:val="en-US"/>
        </w:rPr>
        <w:t xml:space="preserve"> </w:t>
      </w:r>
      <w:r w:rsidR="008F460F" w:rsidRPr="008B63A3">
        <w:rPr>
          <w:sz w:val="24"/>
          <w:szCs w:val="24"/>
          <w:lang w:val="en-US"/>
        </w:rPr>
        <w:fldChar w:fldCharType="begin" w:fldLock="1"/>
      </w:r>
      <w:r w:rsidR="008F460F" w:rsidRPr="008B63A3">
        <w:rPr>
          <w:sz w:val="24"/>
          <w:szCs w:val="24"/>
          <w:lang w:val="en-US"/>
        </w:rPr>
        <w:instrText>ADDIN CSL_CITATION {"citationItems":[{"id":"ITEM-1","itemData":{"DOI":"10.1590/1517-869220192502185134","ISSN":"15178692","abstract":"Objective: To assess the physical activity level (PAL) and the total daily energy expenditure (EE-TDEE) in a sample of ≥60y subjects from Niterói, Rio de Janeiro, Brazil. Methods: A convenience sample of 88 subjects recruited from recreational physical activity programs wore an accelerometer around the waist for seven consecutive days for at least 10h/day. Minute-by-minute EE was estimated from the counts per minute (CPM) data, and the daily sum yielded the TDEE. PAL (TDEE/BMR) with BMR calculated with the FAO/WHO predictive equation and a population-specific equation. Body composition was assessed by DXA. Results: Mean age (SD) was 69.2 (5.8) years, the prevalence of overweight and obesity was 36.4 and 25.0%, respectively, and excess body fat was 39.8%. The subjects spent 600min/day engaged in sedentary activities (CPM&lt;100). Men engaged in 30min of moderate-to-vigorous physical activity (CPM≥1,952) daily, on average. The subjects were active on 34.5 and 18.0% of the weekdays and weekend days with a 1,400 steps/day difference between these days. TDEE was 1,731.5 (348.7) and 1,356.3 (223.7) kcal/day depending on the BMR prediction equation used. Mean PAL was lower than the maintenance level. Conclusions: The high prevalence of sedentary activities and the low percentage of subjects who met the physical activity recommendations indicate that physical activity programs must be adjusted so that the enrolled subjects can meet the physical activity recommendations, preferably with the activities objectively monitored. Population-specific equations improve the final estimation of TDEE and PAL. Level of Evidence I; Diagnostic studies - Investigating a diagnostic test.","author":[{"dropping-particle":"","family":"Anjos","given":"Luiz Antonio","non-dropping-particle":"dos","parse-names":false,"suffix":""},{"dropping-particle":"","family":"Silva","given":"Bruna de Andrade Messias","non-dropping-particle":"da","parse-names":false,"suffix":""},{"dropping-particle":"","family":"Wahrlich","given":"Vivian","non-dropping-particle":"","parse-names":false,"suffix":""}],"container-title":"Revista Brasileira de Medicina do Esporte","id":"ITEM-1","issue":"2","issued":{"date-parts":[["2019"]]},"page":"116-120","title":"Physical activity level and energy expenditure assessed by accelerometry in 60y+ brazilian subjects","type":"article-journal","volume":"25"},"uris":["http://www.mendeley.com/documents/?uuid=cfc39eef-a576-4d45-a031-b67094f7e2d9"]}],"mendeley":{"formattedCitation":"[22]","plainTextFormattedCitation":"[22]"},"properties":{"noteIndex":0},"schema":"https://github.com/citation-style-language/schema/raw/master/csl-citation.json"}</w:instrText>
      </w:r>
      <w:r w:rsidR="008F460F" w:rsidRPr="008B63A3">
        <w:rPr>
          <w:sz w:val="24"/>
          <w:szCs w:val="24"/>
          <w:lang w:val="en-US"/>
        </w:rPr>
        <w:fldChar w:fldCharType="separate"/>
      </w:r>
      <w:r w:rsidR="008F460F" w:rsidRPr="008B63A3">
        <w:rPr>
          <w:noProof/>
          <w:sz w:val="24"/>
          <w:szCs w:val="24"/>
          <w:lang w:val="en-US"/>
        </w:rPr>
        <w:t>[22]</w:t>
      </w:r>
      <w:r w:rsidR="008F460F" w:rsidRPr="008B63A3">
        <w:rPr>
          <w:sz w:val="24"/>
          <w:szCs w:val="24"/>
          <w:lang w:val="en-US"/>
        </w:rPr>
        <w:fldChar w:fldCharType="end"/>
      </w:r>
      <w:r w:rsidRPr="008B63A3">
        <w:rPr>
          <w:sz w:val="24"/>
          <w:szCs w:val="24"/>
          <w:lang w:val="en-US"/>
        </w:rPr>
        <w:t>.</w:t>
      </w:r>
    </w:p>
    <w:p w14:paraId="755B6B67" w14:textId="77777777" w:rsidR="00A776D7" w:rsidRPr="008B63A3" w:rsidRDefault="00A776D7" w:rsidP="001544AC">
      <w:pPr>
        <w:spacing w:line="360" w:lineRule="auto"/>
        <w:jc w:val="both"/>
        <w:rPr>
          <w:sz w:val="24"/>
          <w:szCs w:val="24"/>
          <w:lang w:val="en-US"/>
        </w:rPr>
      </w:pPr>
    </w:p>
    <w:p w14:paraId="4F344195" w14:textId="77777777" w:rsidR="00A776D7" w:rsidRPr="008B63A3" w:rsidRDefault="0029673C" w:rsidP="001634BD">
      <w:pPr>
        <w:pStyle w:val="Heading2"/>
      </w:pPr>
      <w:r w:rsidRPr="008B63A3">
        <w:t xml:space="preserve">2.3 </w:t>
      </w:r>
      <w:r w:rsidR="00A776D7" w:rsidRPr="008B63A3">
        <w:t>Covariates</w:t>
      </w:r>
    </w:p>
    <w:p w14:paraId="22C4D203" w14:textId="77777777" w:rsidR="00A776D7" w:rsidRPr="008B63A3" w:rsidRDefault="00A776D7" w:rsidP="001544AC">
      <w:pPr>
        <w:spacing w:line="360" w:lineRule="auto"/>
        <w:ind w:firstLine="708"/>
        <w:jc w:val="both"/>
        <w:rPr>
          <w:sz w:val="24"/>
          <w:szCs w:val="24"/>
          <w:lang w:val="en-US"/>
        </w:rPr>
      </w:pPr>
      <w:r w:rsidRPr="008B63A3">
        <w:rPr>
          <w:b/>
          <w:sz w:val="24"/>
          <w:szCs w:val="24"/>
          <w:lang w:val="en-US"/>
        </w:rPr>
        <w:t xml:space="preserve">Socio-demographic characteristics </w:t>
      </w:r>
      <w:r w:rsidRPr="008B63A3">
        <w:rPr>
          <w:sz w:val="24"/>
          <w:szCs w:val="24"/>
          <w:lang w:val="en-US"/>
        </w:rPr>
        <w:t xml:space="preserve">include sex, age, years of </w:t>
      </w:r>
      <w:r w:rsidR="00D80A29" w:rsidRPr="008B63A3">
        <w:rPr>
          <w:sz w:val="24"/>
          <w:szCs w:val="24"/>
          <w:lang w:val="en-US"/>
        </w:rPr>
        <w:t>education</w:t>
      </w:r>
      <w:r w:rsidRPr="008B63A3">
        <w:rPr>
          <w:sz w:val="24"/>
          <w:szCs w:val="24"/>
          <w:lang w:val="en-US"/>
        </w:rPr>
        <w:t xml:space="preserve">, marital status, and </w:t>
      </w:r>
      <w:r w:rsidRPr="008B63A3">
        <w:rPr>
          <w:b/>
          <w:sz w:val="24"/>
          <w:szCs w:val="24"/>
          <w:lang w:val="en-US"/>
        </w:rPr>
        <w:t>work activity</w:t>
      </w:r>
      <w:r w:rsidRPr="008B63A3">
        <w:rPr>
          <w:sz w:val="24"/>
          <w:szCs w:val="24"/>
          <w:lang w:val="en-US"/>
        </w:rPr>
        <w:t>. Age was grouped into two 10-year categories</w:t>
      </w:r>
      <w:r w:rsidR="00975090" w:rsidRPr="008B63A3">
        <w:rPr>
          <w:sz w:val="24"/>
          <w:szCs w:val="24"/>
          <w:lang w:val="en-US"/>
        </w:rPr>
        <w:t xml:space="preserve"> (specify)</w:t>
      </w:r>
      <w:r w:rsidRPr="008B63A3">
        <w:rPr>
          <w:sz w:val="24"/>
          <w:szCs w:val="24"/>
          <w:lang w:val="en-US"/>
        </w:rPr>
        <w:t xml:space="preserve">, with individuals aged 75 years or older combined into a single group. Educational level was analyzed from the number of years of schooling and categorized as &lt;3 years and&gt; 4 years. Marital status was classified as married (married or in a stable relationship) or not married (single, widowed, divorced, or separated). </w:t>
      </w:r>
      <w:r w:rsidRPr="008B63A3">
        <w:rPr>
          <w:b/>
          <w:sz w:val="24"/>
          <w:szCs w:val="24"/>
          <w:lang w:val="en-US"/>
        </w:rPr>
        <w:t>Work activity was defined by the question: “Do you currently work</w:t>
      </w:r>
      <w:r w:rsidRPr="008B63A3">
        <w:rPr>
          <w:b/>
          <w:i/>
          <w:sz w:val="24"/>
          <w:szCs w:val="24"/>
          <w:lang w:val="en-US"/>
        </w:rPr>
        <w:t>?</w:t>
      </w:r>
      <w:r w:rsidR="00D80A29" w:rsidRPr="008B63A3">
        <w:rPr>
          <w:sz w:val="24"/>
          <w:szCs w:val="24"/>
          <w:lang w:val="en-US"/>
        </w:rPr>
        <w:t>”</w:t>
      </w:r>
    </w:p>
    <w:p w14:paraId="73B9919B" w14:textId="77777777" w:rsidR="00A776D7" w:rsidRPr="008B63A3" w:rsidRDefault="00A776D7" w:rsidP="001544AC">
      <w:pPr>
        <w:spacing w:line="360" w:lineRule="auto"/>
        <w:ind w:firstLine="708"/>
        <w:jc w:val="both"/>
        <w:rPr>
          <w:sz w:val="24"/>
          <w:szCs w:val="24"/>
          <w:lang w:val="en-US"/>
        </w:rPr>
      </w:pPr>
      <w:r w:rsidRPr="008B63A3">
        <w:rPr>
          <w:b/>
          <w:sz w:val="24"/>
          <w:szCs w:val="24"/>
          <w:lang w:val="en-US"/>
        </w:rPr>
        <w:t>Chronic pain</w:t>
      </w:r>
      <w:r w:rsidRPr="008B63A3">
        <w:rPr>
          <w:sz w:val="24"/>
          <w:szCs w:val="24"/>
          <w:lang w:val="en-US"/>
        </w:rPr>
        <w:t xml:space="preserve"> was classified from two questions. </w:t>
      </w:r>
      <w:r w:rsidRPr="008B63A3">
        <w:rPr>
          <w:i/>
          <w:sz w:val="24"/>
          <w:szCs w:val="24"/>
          <w:lang w:val="en-US"/>
        </w:rPr>
        <w:t xml:space="preserve">“Do you feel pain or discomfort when you make some physical efforts or movements such as standing up or walking” </w:t>
      </w:r>
      <w:r w:rsidRPr="008B63A3">
        <w:rPr>
          <w:sz w:val="24"/>
          <w:szCs w:val="24"/>
          <w:lang w:val="en-US"/>
        </w:rPr>
        <w:t xml:space="preserve">and </w:t>
      </w:r>
      <w:r w:rsidRPr="008B63A3">
        <w:rPr>
          <w:i/>
          <w:sz w:val="24"/>
          <w:szCs w:val="24"/>
          <w:lang w:val="en-US"/>
        </w:rPr>
        <w:t>“Have you experienced any pain for more than three months, which hurts continuously or comes and goes at least once a month?”</w:t>
      </w:r>
      <w:r w:rsidRPr="008B63A3">
        <w:rPr>
          <w:sz w:val="24"/>
          <w:szCs w:val="24"/>
          <w:lang w:val="en-US"/>
        </w:rPr>
        <w:t xml:space="preserve"> If the participant answered ‘yes’ to either of the two questions they were classified as having chronic pain.</w:t>
      </w:r>
    </w:p>
    <w:p w14:paraId="3113E351"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 xml:space="preserve">For </w:t>
      </w:r>
      <w:r w:rsidRPr="008B63A3">
        <w:rPr>
          <w:b/>
          <w:sz w:val="24"/>
          <w:szCs w:val="24"/>
          <w:lang w:val="en-US"/>
        </w:rPr>
        <w:t>falls,</w:t>
      </w:r>
      <w:r w:rsidRPr="008B63A3">
        <w:rPr>
          <w:sz w:val="24"/>
          <w:szCs w:val="24"/>
          <w:lang w:val="en-US"/>
        </w:rPr>
        <w:t xml:space="preserve"> the older adults were classified as faller or non-faller according to the question “</w:t>
      </w:r>
      <w:r w:rsidRPr="008B63A3">
        <w:rPr>
          <w:i/>
          <w:sz w:val="24"/>
          <w:szCs w:val="24"/>
          <w:lang w:val="en-US"/>
        </w:rPr>
        <w:t>Have you had a fall in the 12 months prior to the interview??”</w:t>
      </w:r>
    </w:p>
    <w:p w14:paraId="63046594" w14:textId="77777777" w:rsidR="00A776D7" w:rsidRPr="008B63A3" w:rsidRDefault="00A776D7" w:rsidP="001544AC">
      <w:pPr>
        <w:spacing w:line="360" w:lineRule="auto"/>
        <w:ind w:firstLine="709"/>
        <w:jc w:val="both"/>
        <w:rPr>
          <w:sz w:val="24"/>
          <w:szCs w:val="24"/>
          <w:lang w:val="en-US"/>
        </w:rPr>
      </w:pPr>
      <w:r w:rsidRPr="008B63A3">
        <w:rPr>
          <w:b/>
          <w:sz w:val="24"/>
          <w:szCs w:val="24"/>
          <w:lang w:val="en-US"/>
        </w:rPr>
        <w:t>Multimorbidity</w:t>
      </w:r>
      <w:r w:rsidRPr="008B63A3">
        <w:rPr>
          <w:sz w:val="24"/>
          <w:szCs w:val="24"/>
          <w:lang w:val="en-US"/>
        </w:rPr>
        <w:t xml:space="preserve"> was classified and analyzed from the presence of two or more chronic diseases </w:t>
      </w:r>
      <w:r w:rsidR="00223AE6" w:rsidRPr="008B63A3">
        <w:rPr>
          <w:sz w:val="24"/>
          <w:szCs w:val="24"/>
          <w:lang w:val="en-US"/>
        </w:rPr>
        <w:fldChar w:fldCharType="begin" w:fldLock="1"/>
      </w:r>
      <w:r w:rsidR="008F460F" w:rsidRPr="008B63A3">
        <w:rPr>
          <w:sz w:val="24"/>
          <w:szCs w:val="24"/>
          <w:lang w:val="en-US"/>
        </w:rPr>
        <w:instrText>ADDIN CSL_CITATION {"citationItems":[{"id":"ITEM-1","itemData":{"DOI":"10.2105/AJPH.2007.121137","ISSN":"00900036","PMID":"18511722","abstract":"We explored the role of age, gender, and socioeconomic status in the occurrence of chronic diseases and multimorbidity in 1099 elderly participants in the Kungsholmen Project. Cardiovascular and mental diseases were the most common chronic disorders. Of the participants, 55% had multimorbidity. Advanced age, female gender, and lower education were independently associated with a more than 50% increased risk for multimorbidity. Multimorbidity is the most common clinical picture of the elderly and may be increased by unhealthy behaviors linked to education.","author":[{"dropping-particle":"","family":"Marengoni","given":"Alessandra","non-dropping-particle":"","parse-names":false,"suffix":""},{"dropping-particle":"","family":"Winblad","given":"Bengt","non-dropping-particle":"","parse-names":false,"suffix":""},{"dropping-particle":"","family":"Karp","given":"Anita","non-dropping-particle":"","parse-names":false,"suffix":""},{"dropping-particle":"","family":"Fratiglioni","given":"Laura","non-dropping-particle":"","parse-names":false,"suffix":""}],"container-title":"American Journal of Public Health","id":"ITEM-1","issue":"7","issued":{"date-parts":[["2008"]]},"page":"1198-1200","title":"Prevalence of chronic diseases and multimorbidity among the elderly population in Sweden","type":"article-journal","volume":"98"},"uris":["http://www.mendeley.com/documents/?uuid=fa67155a-c724-4256-b1c2-769d920897ab"]}],"mendeley":{"formattedCitation":"[23]","plainTextFormattedCitation":"[23]","previouslyFormattedCitation":"[22]"},"properties":{"noteIndex":0},"schema":"https://github.com/citation-style-language/schema/raw/master/csl-citation.json"}</w:instrText>
      </w:r>
      <w:r w:rsidR="00223AE6" w:rsidRPr="008B63A3">
        <w:rPr>
          <w:sz w:val="24"/>
          <w:szCs w:val="24"/>
          <w:lang w:val="en-US"/>
        </w:rPr>
        <w:fldChar w:fldCharType="separate"/>
      </w:r>
      <w:r w:rsidR="008F460F" w:rsidRPr="008B63A3">
        <w:rPr>
          <w:noProof/>
          <w:sz w:val="24"/>
          <w:szCs w:val="24"/>
          <w:lang w:val="en-US"/>
        </w:rPr>
        <w:t>[23]</w:t>
      </w:r>
      <w:r w:rsidR="00223AE6" w:rsidRPr="008B63A3">
        <w:rPr>
          <w:sz w:val="24"/>
          <w:szCs w:val="24"/>
          <w:lang w:val="en-US"/>
        </w:rPr>
        <w:fldChar w:fldCharType="end"/>
      </w:r>
      <w:r w:rsidR="006E6CCF" w:rsidRPr="008B63A3">
        <w:rPr>
          <w:sz w:val="24"/>
          <w:szCs w:val="24"/>
          <w:lang w:val="en-US"/>
        </w:rPr>
        <w:t>.</w:t>
      </w:r>
      <w:r w:rsidRPr="008B63A3">
        <w:rPr>
          <w:sz w:val="24"/>
          <w:szCs w:val="24"/>
          <w:lang w:val="en-US"/>
        </w:rPr>
        <w:t xml:space="preserve"> Number of chronic diseases reported was obtained from the question "</w:t>
      </w:r>
      <w:r w:rsidRPr="008B63A3">
        <w:rPr>
          <w:i/>
          <w:sz w:val="24"/>
          <w:szCs w:val="24"/>
          <w:lang w:val="en-US"/>
        </w:rPr>
        <w:t xml:space="preserve">Have you ever been told by a doctor or nurse that you have or have had </w:t>
      </w:r>
      <w:r w:rsidRPr="008B63A3">
        <w:rPr>
          <w:sz w:val="24"/>
          <w:szCs w:val="24"/>
          <w:lang w:val="en-US"/>
        </w:rPr>
        <w:t xml:space="preserve">...?" including the following diseases: hypertension, diabetes, joint disease, heart disease, chronic lung disease, osteoporosis, </w:t>
      </w:r>
      <w:proofErr w:type="gramStart"/>
      <w:r w:rsidRPr="008B63A3">
        <w:rPr>
          <w:sz w:val="24"/>
          <w:szCs w:val="24"/>
          <w:lang w:val="en-US"/>
        </w:rPr>
        <w:t>stroke</w:t>
      </w:r>
      <w:proofErr w:type="gramEnd"/>
      <w:r w:rsidRPr="008B63A3">
        <w:rPr>
          <w:sz w:val="24"/>
          <w:szCs w:val="24"/>
          <w:lang w:val="en-US"/>
        </w:rPr>
        <w:t xml:space="preserve"> and cancer. </w:t>
      </w:r>
    </w:p>
    <w:p w14:paraId="3AB9BFB9" w14:textId="77777777" w:rsidR="006A349F" w:rsidRPr="008B63A3" w:rsidRDefault="00A776D7" w:rsidP="001544AC">
      <w:pPr>
        <w:spacing w:line="360" w:lineRule="auto"/>
        <w:ind w:firstLine="709"/>
        <w:jc w:val="both"/>
        <w:rPr>
          <w:sz w:val="24"/>
          <w:szCs w:val="24"/>
          <w:lang w:val="en-US"/>
        </w:rPr>
      </w:pPr>
      <w:r w:rsidRPr="008B63A3">
        <w:rPr>
          <w:b/>
          <w:sz w:val="24"/>
          <w:szCs w:val="24"/>
          <w:lang w:val="en-US"/>
        </w:rPr>
        <w:t>Sarcopenia</w:t>
      </w:r>
      <w:r w:rsidRPr="008B63A3">
        <w:rPr>
          <w:sz w:val="24"/>
          <w:szCs w:val="24"/>
          <w:lang w:val="en-US"/>
        </w:rPr>
        <w:t xml:space="preserve"> was identified according to the criteria established by the </w:t>
      </w:r>
      <w:r w:rsidRPr="008B63A3">
        <w:rPr>
          <w:i/>
          <w:sz w:val="24"/>
          <w:szCs w:val="24"/>
          <w:lang w:val="en-US"/>
        </w:rPr>
        <w:t>European Working Group on Sarcopenia in Older People</w:t>
      </w:r>
      <w:r w:rsidRPr="008B63A3">
        <w:rPr>
          <w:sz w:val="24"/>
          <w:szCs w:val="24"/>
          <w:lang w:val="en-US"/>
        </w:rPr>
        <w:t xml:space="preserve"> (EWGSOP). Participants with lower mass (20th percentile) and muscle strength (30 kg for men and 20 kg for women) or walking velocity (&lt;0.8 m/s in normal walking) were considered sarcopenic </w:t>
      </w:r>
      <w:r w:rsidR="006A349F" w:rsidRPr="008B63A3">
        <w:rPr>
          <w:sz w:val="24"/>
          <w:szCs w:val="24"/>
          <w:lang w:val="en-US"/>
        </w:rPr>
        <w:fldChar w:fldCharType="begin" w:fldLock="1"/>
      </w:r>
      <w:r w:rsidR="008F460F" w:rsidRPr="008B63A3">
        <w:rPr>
          <w:sz w:val="24"/>
          <w:szCs w:val="24"/>
          <w:lang w:val="en-US"/>
        </w:rPr>
        <w:instrText>ADDIN CSL_CITATION {"citationItems":[{"id":"ITEM-1","itemData":{"DOI":"10.1093/ageing/afq034","ISBN":"1468-2834 (Electronic)\\n0002-0729 (Linking)","ISSN":"00020729","PMID":"20392703","abstract":"The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treatment.","author":[{"dropping-particle":"","family":"Cruz-Jentoft","given":"Alfonso J.","non-dropping-particle":"","parse-names":false,"suffix":""},{"dropping-particle":"","family":"Baeyens","given":"Jean Pierre","non-dropping-particle":"","parse-names":false,"suffix":""},{"dropping-particle":"","family":"Bauer","given":"J??rgen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Pierre","non-dropping-particle":"","parse-names":false,"suffix":""},{"dropping-particle":"","family":"Rolland","given":"Yves","non-dropping-particle":"","parse-names":false,"suffix":""},{"dropping-particle":"","family":"Schneider","given":"St??phane M.","non-dropping-particle":"","parse-names":false,"suffix":""},{"dropping-particle":"","family":"Topinkov??","given":"Eva","non-dropping-particle":"","parse-names":false,"suffix":""},{"dropping-particle":"","family":"Vandewoude","given":"Maurits","non-dropping-particle":"","parse-names":false,"suffix":""},{"dropping-particle":"","family":"Zamboni","given":"Mauro","non-dropping-particle":"","parse-names":false,"suffix":""}],"container-title":"Age and Ageing","id":"ITEM-1","issue":"4","issued":{"date-parts":[["2010"]]},"page":"412-423","title":"Sarcopenia: European consensus on definition and diagnosis","type":"article-journal","volume":"39"},"uris":["http://www.mendeley.com/documents/?uuid=d9a4cd2e-0f75-4151-a402-e70b196e8774"]}],"mendeley":{"formattedCitation":"[24]","plainTextFormattedCitation":"[24]","previouslyFormattedCitation":"[23]"},"properties":{"noteIndex":0},"schema":"https://github.com/citation-style-language/schema/raw/master/csl-citation.json"}</w:instrText>
      </w:r>
      <w:r w:rsidR="006A349F" w:rsidRPr="008B63A3">
        <w:rPr>
          <w:sz w:val="24"/>
          <w:szCs w:val="24"/>
          <w:lang w:val="en-US"/>
        </w:rPr>
        <w:fldChar w:fldCharType="separate"/>
      </w:r>
      <w:r w:rsidR="008F460F" w:rsidRPr="008B63A3">
        <w:rPr>
          <w:noProof/>
          <w:sz w:val="24"/>
          <w:szCs w:val="24"/>
          <w:lang w:val="en-US"/>
        </w:rPr>
        <w:t>[24]</w:t>
      </w:r>
      <w:r w:rsidR="006A349F" w:rsidRPr="008B63A3">
        <w:rPr>
          <w:sz w:val="24"/>
          <w:szCs w:val="24"/>
          <w:lang w:val="en-US"/>
        </w:rPr>
        <w:fldChar w:fldCharType="end"/>
      </w:r>
      <w:r w:rsidR="006A349F" w:rsidRPr="008B63A3">
        <w:rPr>
          <w:sz w:val="24"/>
          <w:szCs w:val="24"/>
          <w:lang w:val="en-US"/>
        </w:rPr>
        <w:t>.</w:t>
      </w:r>
    </w:p>
    <w:p w14:paraId="02FCF7B3"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Difficulty in performing</w:t>
      </w:r>
      <w:r w:rsidRPr="008B63A3">
        <w:rPr>
          <w:b/>
          <w:sz w:val="24"/>
          <w:szCs w:val="24"/>
          <w:lang w:val="en-US"/>
        </w:rPr>
        <w:t xml:space="preserve"> basic activities of daily living (BADLs)</w:t>
      </w:r>
      <w:r w:rsidRPr="008B63A3">
        <w:rPr>
          <w:sz w:val="24"/>
          <w:szCs w:val="24"/>
          <w:lang w:val="en-US"/>
        </w:rPr>
        <w:t xml:space="preserve"> was identified if the participant answered yes to one or more </w:t>
      </w:r>
      <w:r w:rsidR="003F7ECE" w:rsidRPr="008B63A3">
        <w:rPr>
          <w:sz w:val="24"/>
          <w:szCs w:val="24"/>
          <w:lang w:val="en-US"/>
        </w:rPr>
        <w:t>of the f</w:t>
      </w:r>
      <w:r w:rsidR="00ED474C" w:rsidRPr="008B63A3">
        <w:rPr>
          <w:sz w:val="24"/>
          <w:szCs w:val="24"/>
          <w:lang w:val="en-US"/>
        </w:rPr>
        <w:t>ollowing questions:</w:t>
      </w:r>
      <w:r w:rsidRPr="008B63A3">
        <w:rPr>
          <w:sz w:val="24"/>
          <w:szCs w:val="24"/>
          <w:lang w:val="en-US"/>
        </w:rPr>
        <w:t xml:space="preserve"> Do you have difficulty 1) dressing your upper body (above your waist</w:t>
      </w:r>
      <w:proofErr w:type="gramStart"/>
      <w:r w:rsidRPr="008B63A3">
        <w:rPr>
          <w:sz w:val="24"/>
          <w:szCs w:val="24"/>
          <w:lang w:val="en-US"/>
        </w:rPr>
        <w:t>)?;</w:t>
      </w:r>
      <w:proofErr w:type="gramEnd"/>
      <w:r w:rsidRPr="008B63A3">
        <w:rPr>
          <w:sz w:val="24"/>
          <w:szCs w:val="24"/>
          <w:lang w:val="en-US"/>
        </w:rPr>
        <w:t xml:space="preserve"> 2) dressing your lower body (below the waist)?; </w:t>
      </w:r>
      <w:r w:rsidRPr="008B63A3">
        <w:rPr>
          <w:sz w:val="24"/>
          <w:szCs w:val="24"/>
          <w:lang w:val="en-US"/>
        </w:rPr>
        <w:lastRenderedPageBreak/>
        <w:t>3) taking a shower?; 4) performing personal hygiene</w:t>
      </w:r>
      <w:r w:rsidR="00F224C1" w:rsidRPr="008B63A3">
        <w:rPr>
          <w:sz w:val="24"/>
          <w:szCs w:val="24"/>
          <w:lang w:val="en-US"/>
        </w:rPr>
        <w:t xml:space="preserve"> routines</w:t>
      </w:r>
      <w:r w:rsidRPr="008B63A3">
        <w:rPr>
          <w:sz w:val="24"/>
          <w:szCs w:val="24"/>
          <w:lang w:val="en-US"/>
        </w:rPr>
        <w:t xml:space="preserve">? (wash and dry hands, wash and dry face, comb hair, shave, or apply </w:t>
      </w:r>
      <w:r w:rsidR="003F7ECE" w:rsidRPr="008B63A3">
        <w:rPr>
          <w:sz w:val="24"/>
          <w:szCs w:val="24"/>
          <w:lang w:val="en-US"/>
        </w:rPr>
        <w:t>makeup</w:t>
      </w:r>
      <w:r w:rsidRPr="008B63A3">
        <w:rPr>
          <w:sz w:val="24"/>
          <w:szCs w:val="24"/>
          <w:lang w:val="en-US"/>
        </w:rPr>
        <w:t>); 5) eating?; 6) walking across the room?; 7) lying down or getting up from the bed or sitting and getting up from a chair?; and 8) going to the bathroom alone?</w:t>
      </w:r>
      <w:r w:rsidR="00ED474C" w:rsidRPr="008B63A3">
        <w:rPr>
          <w:sz w:val="24"/>
          <w:szCs w:val="24"/>
          <w:lang w:val="en-US"/>
        </w:rPr>
        <w:t xml:space="preserve"> </w:t>
      </w:r>
      <w:r w:rsidR="00ED474C" w:rsidRPr="008B63A3">
        <w:rPr>
          <w:sz w:val="24"/>
          <w:szCs w:val="24"/>
          <w:lang w:val="en-US"/>
        </w:rPr>
        <w:fldChar w:fldCharType="begin" w:fldLock="1"/>
      </w:r>
      <w:r w:rsidR="008F460F" w:rsidRPr="008B63A3">
        <w:rPr>
          <w:sz w:val="24"/>
          <w:szCs w:val="24"/>
          <w:lang w:val="en-US"/>
        </w:rPr>
        <w:instrText>ADDIN CSL_CITATION {"citationItems":[{"id":"ITEM-1","itemData":{"DOI":"10.1001/jama.1963.03060120024016","abstract":"The Index of ADL was developed to study results of treatment and prognosis in the elderly and chronically ill. Grades of the Index summarize over-all per-formance in bathing, dressing, going to toilet, transferring, continence, and feed-ing. More than 2,000 evaluations of 1,001 individuals demonstrated use of the Index as a survey instrument, as an objec-tive guide to the course of chronic illness, as a tool for studying the aging process, and as an aid in rehabilitation teaching. Of theoretical interest is the observation that the order of recovery of Index func-tions in disabled patients is remarkably similar to the order of development of primary functions in children. This par-allelism, and similarity to the behavior of primitive peoples, suggests that the Index is based on primary biological and psychosocial function, reflecting the ad-equacy of organized neurological and locomotor response. THE NEED FOR improved measures of func¬ tion has long been evident to those who are concerned with the increasing problems of the aged and chronically ill. Investigators and those who care for patients need means to evaluate the re¬ sults of treatment, as well as quantitative informa¬ tion about the natural changes of function in the ill and well. Administrators could use measures of function to assess the needs for care in such com¬ munity facilities as hospitals, rehabilitation centers, nursing homes, and home care programs. In response to these needs, the staff of the Ben¬ jamin Rose Hospital, a hospital for patients with prolonged illness, undertook 8 years ago to develop measures of function. One measure was cast in terms of the activities of daily living, activities which people perform habitually and universally. The studies led to the development of a graded scale, termed the \"Index of Independence in Ac¬ tivities of Daily Living\" ' (Index of ADL). Applica¬ tions of the Index were later demonstrated in studies of the natural course of illness and results of treatment.2, a The purpose of this paper is to compare patterns of function revealed in the Index of ADL with pat¬ terns of function described in the fields of child¬ hood development and anthropology. The compari¬ son reveals remarkable similarities which offer evidence of related physiological mechanisms and which tend to validate the Index as a true measure of primary biological and psychosocial function. In order to accomplish the above purpose, material will be presented as follows: first, a sum…","author":[{"dropping-particle":"","family":"Katz","given":"Sidney","non-dropping-particle":"","parse-names":false,"suffix":""},{"dropping-particle":"","family":"Ford","given":"Amasa B","non-dropping-particle":"","parse-names":false,"suffix":""},{"dropping-particle":"","family":"Moskowitz","given":"Roland W","non-dropping-particle":"","parse-names":false,"suffix":""},{"dropping-particle":"","family":"Jackson","given":"Beverly A","non-dropping-particle":"","parse-names":false,"suffix":""},{"dropping-particle":"","family":"Jaffe","given":"Marjorie W","non-dropping-particle":"","parse-names":false,"suffix":""}],"container-title":"Jama","id":"ITEM-1","issue":"12","issued":{"date-parts":[["1963"]]},"page":"914-919","title":"Studies of Illness in the Aged The Index of ADL: A Standardized Measure of Biological and Psychosocial Function","type":"article-journal","volume":"185"},"uris":["http://www.mendeley.com/documents/?uuid=3b25e704-726a-4a0d-9864-7c2f68a4ff6e"]}],"mendeley":{"formattedCitation":"[25]","plainTextFormattedCitation":"[25]","previouslyFormattedCitation":"[24]"},"properties":{"noteIndex":0},"schema":"https://github.com/citation-style-language/schema/raw/master/csl-citation.json"}</w:instrText>
      </w:r>
      <w:r w:rsidR="00ED474C" w:rsidRPr="008B63A3">
        <w:rPr>
          <w:sz w:val="24"/>
          <w:szCs w:val="24"/>
          <w:lang w:val="en-US"/>
        </w:rPr>
        <w:fldChar w:fldCharType="separate"/>
      </w:r>
      <w:r w:rsidR="008F460F" w:rsidRPr="008B63A3">
        <w:rPr>
          <w:noProof/>
          <w:sz w:val="24"/>
          <w:szCs w:val="24"/>
          <w:lang w:val="en-US"/>
        </w:rPr>
        <w:t>[25]</w:t>
      </w:r>
      <w:r w:rsidR="00ED474C" w:rsidRPr="008B63A3">
        <w:rPr>
          <w:sz w:val="24"/>
          <w:szCs w:val="24"/>
          <w:lang w:val="en-US"/>
        </w:rPr>
        <w:fldChar w:fldCharType="end"/>
      </w:r>
      <w:r w:rsidR="00ED474C" w:rsidRPr="008B63A3">
        <w:rPr>
          <w:sz w:val="24"/>
          <w:szCs w:val="24"/>
          <w:lang w:val="en-US"/>
        </w:rPr>
        <w:t>.</w:t>
      </w:r>
    </w:p>
    <w:p w14:paraId="3DB73930" w14:textId="77777777" w:rsidR="00A776D7" w:rsidRPr="008B63A3" w:rsidRDefault="00A776D7" w:rsidP="001544AC">
      <w:pPr>
        <w:spacing w:line="360" w:lineRule="auto"/>
        <w:ind w:firstLine="709"/>
        <w:jc w:val="both"/>
        <w:rPr>
          <w:sz w:val="24"/>
          <w:szCs w:val="24"/>
          <w:lang w:val="en-US"/>
        </w:rPr>
      </w:pPr>
      <w:r w:rsidRPr="008B63A3">
        <w:rPr>
          <w:sz w:val="24"/>
          <w:szCs w:val="24"/>
          <w:lang w:val="en-US"/>
        </w:rPr>
        <w:t>Difficulty in performing</w:t>
      </w:r>
      <w:r w:rsidRPr="008B63A3">
        <w:rPr>
          <w:b/>
          <w:sz w:val="24"/>
          <w:szCs w:val="24"/>
          <w:lang w:val="en-US"/>
        </w:rPr>
        <w:t xml:space="preserve"> instrumental activities of daily living (IADLs)</w:t>
      </w:r>
      <w:r w:rsidRPr="008B63A3">
        <w:rPr>
          <w:sz w:val="24"/>
          <w:szCs w:val="24"/>
          <w:lang w:val="en-US"/>
        </w:rPr>
        <w:t xml:space="preserve"> was identified from the presence of difficulty in performing eight activities (using the telephone, shopping, preparing meals, performing light or heavy household chores, taking medication, managing money, and using transportation). </w:t>
      </w:r>
      <w:r w:rsidR="00F224C1" w:rsidRPr="008B63A3">
        <w:rPr>
          <w:sz w:val="24"/>
          <w:szCs w:val="24"/>
          <w:lang w:val="en-US"/>
        </w:rPr>
        <w:t>Participants</w:t>
      </w:r>
      <w:r w:rsidRPr="008B63A3">
        <w:rPr>
          <w:sz w:val="24"/>
          <w:szCs w:val="24"/>
          <w:lang w:val="en-US"/>
        </w:rPr>
        <w:t xml:space="preserve"> who reported difficulty or inability to perform one or more of the activities was classified as having difficulty in performing IADLs</w:t>
      </w:r>
      <w:r w:rsidR="00ED474C" w:rsidRPr="008B63A3">
        <w:rPr>
          <w:sz w:val="24"/>
          <w:szCs w:val="24"/>
          <w:lang w:val="en-US"/>
        </w:rPr>
        <w:t xml:space="preserve"> </w:t>
      </w:r>
      <w:r w:rsidR="00ED474C" w:rsidRPr="008B63A3">
        <w:rPr>
          <w:sz w:val="24"/>
          <w:szCs w:val="24"/>
          <w:lang w:val="en-US"/>
        </w:rPr>
        <w:fldChar w:fldCharType="begin" w:fldLock="1"/>
      </w:r>
      <w:r w:rsidR="008F460F" w:rsidRPr="008B63A3">
        <w:rPr>
          <w:sz w:val="24"/>
          <w:szCs w:val="24"/>
          <w:lang w:val="en-US"/>
        </w:rPr>
        <w:instrText>ADDIN CSL_CITATION {"citationItems":[{"id":"ITEM-1","itemData":{"DOI":"10.1001/jama.1963.03060120024016","abstract":"The Index of ADL was developed to study results of treatment and prognosis in the elderly and chronically ill. Grades of the Index summarize over-all per-formance in bathing, dressing, going to toilet, transferring, continence, and feed-ing. More than 2,000 evaluations of 1,001 individuals demonstrated use of the Index as a survey instrument, as an objec-tive guide to the course of chronic illness, as a tool for studying the aging process, and as an aid in rehabilitation teaching. Of theoretical interest is the observation that the order of recovery of Index func-tions in disabled patients is remarkably similar to the order of development of primary functions in children. This par-allelism, and similarity to the behavior of primitive peoples, suggests that the Index is based on primary biological and psychosocial function, reflecting the ad-equacy of organized neurological and locomotor response. THE NEED FOR improved measures of func¬ tion has long been evident to those who are concerned with the increasing problems of the aged and chronically ill. Investigators and those who care for patients need means to evaluate the re¬ sults of treatment, as well as quantitative informa¬ tion about the natural changes of function in the ill and well. Administrators could use measures of function to assess the needs for care in such com¬ munity facilities as hospitals, rehabilitation centers, nursing homes, and home care programs. In response to these needs, the staff of the Ben¬ jamin Rose Hospital, a hospital for patients with prolonged illness, undertook 8 years ago to develop measures of function. One measure was cast in terms of the activities of daily living, activities which people perform habitually and universally. The studies led to the development of a graded scale, termed the \"Index of Independence in Ac¬ tivities of Daily Living\" ' (Index of ADL). Applica¬ tions of the Index were later demonstrated in studies of the natural course of illness and results of treatment.2, a The purpose of this paper is to compare patterns of function revealed in the Index of ADL with pat¬ terns of function described in the fields of child¬ hood development and anthropology. The compari¬ son reveals remarkable similarities which offer evidence of related physiological mechanisms and which tend to validate the Index as a true measure of primary biological and psychosocial function. In order to accomplish the above purpose, material will be presented as follows: first, a sum…","author":[{"dropping-particle":"","family":"Katz","given":"Sidney","non-dropping-particle":"","parse-names":false,"suffix":""},{"dropping-particle":"","family":"Ford","given":"Amasa B","non-dropping-particle":"","parse-names":false,"suffix":""},{"dropping-particle":"","family":"Moskowitz","given":"Roland W","non-dropping-particle":"","parse-names":false,"suffix":""},{"dropping-particle":"","family":"Jackson","given":"Beverly A","non-dropping-particle":"","parse-names":false,"suffix":""},{"dropping-particle":"","family":"Jaffe","given":"Marjorie W","non-dropping-particle":"","parse-names":false,"suffix":""}],"container-title":"Jama","id":"ITEM-1","issue":"12","issued":{"date-parts":[["1963"]]},"page":"914-919","title":"Studies of Illness in the Aged The Index of ADL: A Standardized Measure of Biological and Psychosocial Function","type":"article-journal","volume":"185"},"uris":["http://www.mendeley.com/documents/?uuid=3b25e704-726a-4a0d-9864-7c2f68a4ff6e"]}],"mendeley":{"formattedCitation":"[25]","plainTextFormattedCitation":"[25]","previouslyFormattedCitation":"[24]"},"properties":{"noteIndex":0},"schema":"https://github.com/citation-style-language/schema/raw/master/csl-citation.json"}</w:instrText>
      </w:r>
      <w:r w:rsidR="00ED474C" w:rsidRPr="008B63A3">
        <w:rPr>
          <w:sz w:val="24"/>
          <w:szCs w:val="24"/>
          <w:lang w:val="en-US"/>
        </w:rPr>
        <w:fldChar w:fldCharType="separate"/>
      </w:r>
      <w:r w:rsidR="008F460F" w:rsidRPr="008B63A3">
        <w:rPr>
          <w:noProof/>
          <w:sz w:val="24"/>
          <w:szCs w:val="24"/>
          <w:lang w:val="en-US"/>
        </w:rPr>
        <w:t>[25]</w:t>
      </w:r>
      <w:r w:rsidR="00ED474C" w:rsidRPr="008B63A3">
        <w:rPr>
          <w:sz w:val="24"/>
          <w:szCs w:val="24"/>
          <w:lang w:val="en-US"/>
        </w:rPr>
        <w:fldChar w:fldCharType="end"/>
      </w:r>
      <w:r w:rsidRPr="008B63A3">
        <w:rPr>
          <w:sz w:val="24"/>
          <w:szCs w:val="24"/>
          <w:lang w:val="en-US"/>
        </w:rPr>
        <w:t>.</w:t>
      </w:r>
    </w:p>
    <w:p w14:paraId="3919B1E5" w14:textId="77777777" w:rsidR="00A776D7" w:rsidRPr="008B63A3" w:rsidRDefault="00A776D7" w:rsidP="001544AC">
      <w:pPr>
        <w:spacing w:line="360" w:lineRule="auto"/>
        <w:ind w:firstLine="709"/>
        <w:jc w:val="both"/>
        <w:rPr>
          <w:sz w:val="24"/>
          <w:szCs w:val="24"/>
          <w:lang w:val="en-US"/>
        </w:rPr>
      </w:pPr>
      <w:r w:rsidRPr="008B63A3">
        <w:rPr>
          <w:b/>
          <w:sz w:val="24"/>
          <w:szCs w:val="24"/>
          <w:lang w:val="en-US"/>
        </w:rPr>
        <w:t>Cognitive decline</w:t>
      </w:r>
      <w:r w:rsidRPr="008B63A3">
        <w:rPr>
          <w:sz w:val="24"/>
          <w:szCs w:val="24"/>
          <w:lang w:val="en-US"/>
        </w:rPr>
        <w:t xml:space="preserve"> was identified using a modified version of the Mini-Mental State Examination (MMSE)</w:t>
      </w:r>
      <w:r w:rsidR="006A349F" w:rsidRPr="008B63A3">
        <w:rPr>
          <w:sz w:val="24"/>
          <w:szCs w:val="24"/>
          <w:lang w:val="en-US"/>
        </w:rPr>
        <w:t xml:space="preserve"> </w:t>
      </w:r>
      <w:r w:rsidR="006A349F" w:rsidRPr="008B63A3">
        <w:rPr>
          <w:sz w:val="24"/>
          <w:szCs w:val="24"/>
          <w:lang w:val="en-US"/>
        </w:rPr>
        <w:fldChar w:fldCharType="begin" w:fldLock="1"/>
      </w:r>
      <w:r w:rsidR="008F460F" w:rsidRPr="008B63A3">
        <w:rPr>
          <w:sz w:val="24"/>
          <w:szCs w:val="24"/>
          <w:lang w:val="en-US"/>
        </w:rPr>
        <w:instrText>ADDIN CSL_CITATION {"citationItems":[{"id":"ITEM-1","itemData":{"DOI":"10.1017/s0033291700034826","ISSN":"0033-2917","abstract":"One hundred and fifty unselected elderly community subjects were assessed by Mini Mental State Examination (MMSE), Abbreviated Mental Test (AMT) and Mental Status Questionnaire (MSQ). The effects on cognitive test scores of potential confounding (non-cognitive) variables were evaluated. Sensitivities and specificities were: MMSE 80% and 98%; AMT 77% and 90%; and MSQ 70% and 89%. The MMSE identified significantly fewer false positives than the AMT and MSQ. The major effect of intelligence on cognitive test scores has previously been underestimated. Age, social class, sensitivity of hearing and history of stroke were also significantly correlated with cognitive test scores. Years of full time education and depression only affected the longer MMSE and CAMCOG. The MMSE (cut-off 20/21) can be recommended for routine screening. However, as scores are affected by variables other than cognitive function, particularly intelligence, further assessment of identified cases may fail to reveal significant functional impairment.","author":[{"dropping-particle":"","family":"MacKenzie","given":"D. M.","non-dropping-particle":"","parse-names":false,"suffix":""},{"dropping-particle":"","family":"Copp","given":"P.","non-dropping-particle":"","parse-names":false,"suffix":""},{"dropping-particle":"","family":"Shaw","given":"R. J.","non-dropping-particle":"","parse-names":false,"suffix":""},{"dropping-particle":"","family":"Goodwin","given":"G. M.","non-dropping-particle":"","parse-names":false,"suffix":""}],"container-title":"Psychological Medicine","id":"ITEM-1","issue":"2","issued":{"date-parts":[["1996"]]},"page":"427-430","title":"Brief cognitive screening of the elderly: a comparison of the Mini-Mental State Examination (MMSE), Abbreviated Mental Test (AMT) and Mental Status Questionnaire (MSQ)","type":"article-journal","volume":"26"},"uris":["http://www.mendeley.com/documents/?uuid=b12065a6-7234-4ea7-8a66-49bff8c7c4e0"]}],"mendeley":{"formattedCitation":"[26]","plainTextFormattedCitation":"[26]","previouslyFormattedCitation":"[25]"},"properties":{"noteIndex":0},"schema":"https://github.com/citation-style-language/schema/raw/master/csl-citation.json"}</w:instrText>
      </w:r>
      <w:r w:rsidR="006A349F" w:rsidRPr="008B63A3">
        <w:rPr>
          <w:sz w:val="24"/>
          <w:szCs w:val="24"/>
          <w:lang w:val="en-US"/>
        </w:rPr>
        <w:fldChar w:fldCharType="separate"/>
      </w:r>
      <w:r w:rsidR="008F460F" w:rsidRPr="008B63A3">
        <w:rPr>
          <w:noProof/>
          <w:sz w:val="24"/>
          <w:szCs w:val="24"/>
          <w:lang w:val="en-US"/>
        </w:rPr>
        <w:t>[26]</w:t>
      </w:r>
      <w:r w:rsidR="006A349F" w:rsidRPr="008B63A3">
        <w:rPr>
          <w:sz w:val="24"/>
          <w:szCs w:val="24"/>
          <w:lang w:val="en-US"/>
        </w:rPr>
        <w:fldChar w:fldCharType="end"/>
      </w:r>
      <w:r w:rsidR="006A349F" w:rsidRPr="008B63A3">
        <w:rPr>
          <w:sz w:val="24"/>
          <w:szCs w:val="24"/>
          <w:lang w:val="en-US"/>
        </w:rPr>
        <w:t>.</w:t>
      </w:r>
      <w:r w:rsidRPr="008B63A3">
        <w:rPr>
          <w:sz w:val="24"/>
          <w:szCs w:val="24"/>
          <w:lang w:val="en-US"/>
        </w:rPr>
        <w:t xml:space="preserve"> </w:t>
      </w:r>
      <w:r w:rsidR="00F224C1" w:rsidRPr="008B63A3">
        <w:rPr>
          <w:sz w:val="24"/>
          <w:szCs w:val="24"/>
          <w:lang w:val="en-US"/>
        </w:rPr>
        <w:t xml:space="preserve">Example items include: </w:t>
      </w:r>
      <w:r w:rsidR="00DF72AE" w:rsidRPr="008B63A3">
        <w:rPr>
          <w:sz w:val="24"/>
          <w:szCs w:val="24"/>
          <w:lang w:val="en-US"/>
        </w:rPr>
        <w:t xml:space="preserve">the time and place of the test, repeating lists of words, </w:t>
      </w:r>
      <w:r w:rsidR="00F52435" w:rsidRPr="008B63A3">
        <w:rPr>
          <w:sz w:val="24"/>
          <w:szCs w:val="24"/>
          <w:lang w:val="en-US"/>
        </w:rPr>
        <w:t xml:space="preserve">basic </w:t>
      </w:r>
      <w:r w:rsidR="00DF72AE" w:rsidRPr="008B63A3">
        <w:rPr>
          <w:sz w:val="24"/>
          <w:szCs w:val="24"/>
          <w:lang w:val="en-US"/>
        </w:rPr>
        <w:t>arithmetic, language use and comprehension, and basic motor skills.</w:t>
      </w:r>
      <w:r w:rsidR="00F224C1" w:rsidRPr="008B63A3">
        <w:rPr>
          <w:sz w:val="24"/>
          <w:szCs w:val="24"/>
          <w:lang w:val="en-US"/>
        </w:rPr>
        <w:t xml:space="preserve"> </w:t>
      </w:r>
      <w:r w:rsidRPr="008B63A3">
        <w:rPr>
          <w:sz w:val="24"/>
          <w:szCs w:val="24"/>
          <w:lang w:val="en-US"/>
        </w:rPr>
        <w:t xml:space="preserve">This instrument contains 13 items (maximum score of 19 points), </w:t>
      </w:r>
      <w:r w:rsidR="00AE5AD8" w:rsidRPr="008B63A3">
        <w:rPr>
          <w:sz w:val="24"/>
          <w:szCs w:val="24"/>
          <w:lang w:val="en-US"/>
        </w:rPr>
        <w:t>not depende</w:t>
      </w:r>
      <w:r w:rsidRPr="008B63A3">
        <w:rPr>
          <w:sz w:val="24"/>
          <w:szCs w:val="24"/>
          <w:lang w:val="en-US"/>
        </w:rPr>
        <w:t xml:space="preserve">nt on level of education, and the cut-off point used for positive screening for cognitive decline is 12 or less </w:t>
      </w:r>
      <w:r w:rsidR="006A349F" w:rsidRPr="008B63A3">
        <w:rPr>
          <w:sz w:val="24"/>
          <w:szCs w:val="24"/>
          <w:lang w:val="en-US"/>
        </w:rPr>
        <w:fldChar w:fldCharType="begin" w:fldLock="1"/>
      </w:r>
      <w:r w:rsidR="008F460F" w:rsidRPr="008B63A3">
        <w:rPr>
          <w:sz w:val="24"/>
          <w:szCs w:val="24"/>
          <w:lang w:val="en-US"/>
        </w:rPr>
        <w:instrText>ADDIN CSL_CITATION {"citationItems":[{"id":"ITEM-1","itemData":{"author":[{"dropping-particle":"","family":"Icaza","given":"M C","non-dropping-particle":"","parse-names":false,"suffix":""},{"dropping-particle":"","family":"Albala","given":"C","non-dropping-particle":"","parse-names":false,"suffix":""}],"container-title":"Washington: OPAS;","id":"ITEM-1","issued":{"date-parts":[["1999"]]},"title":"Projeto SABE. Minimental State Examination (MMSE) del estudio de demência en Chile: análisis estatístico","type":"article-journal"},"uris":["http://www.mendeley.com/documents/?uuid=0a44a432-78a1-4ca9-973c-3aed3c959fae"]}],"mendeley":{"formattedCitation":"[27]","plainTextFormattedCitation":"[27]","previouslyFormattedCitation":"[26]"},"properties":{"noteIndex":0},"schema":"https://github.com/citation-style-language/schema/raw/master/csl-citation.json"}</w:instrText>
      </w:r>
      <w:r w:rsidR="006A349F" w:rsidRPr="008B63A3">
        <w:rPr>
          <w:sz w:val="24"/>
          <w:szCs w:val="24"/>
          <w:lang w:val="en-US"/>
        </w:rPr>
        <w:fldChar w:fldCharType="separate"/>
      </w:r>
      <w:r w:rsidR="008F460F" w:rsidRPr="008B63A3">
        <w:rPr>
          <w:noProof/>
          <w:sz w:val="24"/>
          <w:szCs w:val="24"/>
          <w:lang w:val="en-US"/>
        </w:rPr>
        <w:t>[27]</w:t>
      </w:r>
      <w:r w:rsidR="006A349F" w:rsidRPr="008B63A3">
        <w:rPr>
          <w:sz w:val="24"/>
          <w:szCs w:val="24"/>
          <w:lang w:val="en-US"/>
        </w:rPr>
        <w:fldChar w:fldCharType="end"/>
      </w:r>
      <w:r w:rsidRPr="008B63A3">
        <w:rPr>
          <w:sz w:val="24"/>
          <w:szCs w:val="24"/>
          <w:lang w:val="en-US"/>
        </w:rPr>
        <w:t>.</w:t>
      </w:r>
    </w:p>
    <w:p w14:paraId="29CA654D" w14:textId="77777777" w:rsidR="00A776D7" w:rsidRPr="008B63A3" w:rsidRDefault="00A776D7" w:rsidP="001544AC">
      <w:pPr>
        <w:spacing w:line="360" w:lineRule="auto"/>
        <w:ind w:firstLine="708"/>
        <w:jc w:val="both"/>
        <w:rPr>
          <w:sz w:val="24"/>
          <w:szCs w:val="24"/>
          <w:lang w:val="en-US"/>
        </w:rPr>
      </w:pPr>
      <w:r w:rsidRPr="008B63A3">
        <w:rPr>
          <w:b/>
          <w:sz w:val="24"/>
          <w:szCs w:val="24"/>
          <w:lang w:val="en-US"/>
        </w:rPr>
        <w:t>Nutritional status</w:t>
      </w:r>
      <w:r w:rsidRPr="008B63A3">
        <w:rPr>
          <w:sz w:val="24"/>
          <w:szCs w:val="24"/>
          <w:lang w:val="en-US"/>
        </w:rPr>
        <w:t xml:space="preserve"> was verified from body mass index (BMI); </w:t>
      </w:r>
      <w:r w:rsidR="003F7ECE" w:rsidRPr="008B63A3">
        <w:rPr>
          <w:sz w:val="24"/>
          <w:szCs w:val="24"/>
          <w:lang w:val="en-US"/>
        </w:rPr>
        <w:t xml:space="preserve">participants </w:t>
      </w:r>
      <w:r w:rsidRPr="008B63A3">
        <w:rPr>
          <w:sz w:val="24"/>
          <w:szCs w:val="24"/>
          <w:lang w:val="en-US"/>
        </w:rPr>
        <w:t>were classified as normal weight (&lt; 28 kg/m²) or overweight (</w:t>
      </w:r>
      <w:r w:rsidRPr="008B63A3">
        <w:rPr>
          <w:sz w:val="24"/>
          <w:szCs w:val="24"/>
          <w:u w:val="single"/>
          <w:lang w:val="en-US"/>
        </w:rPr>
        <w:t>&gt;</w:t>
      </w:r>
      <w:r w:rsidRPr="008B63A3">
        <w:rPr>
          <w:sz w:val="24"/>
          <w:szCs w:val="24"/>
          <w:lang w:val="en-US"/>
        </w:rPr>
        <w:t xml:space="preserve"> 28 kg/m²) </w:t>
      </w:r>
      <w:r w:rsidR="00D9709F" w:rsidRPr="008B63A3">
        <w:rPr>
          <w:sz w:val="24"/>
          <w:szCs w:val="24"/>
          <w:lang w:val="en-US"/>
        </w:rPr>
        <w:fldChar w:fldCharType="begin" w:fldLock="1"/>
      </w:r>
      <w:r w:rsidR="008F460F" w:rsidRPr="008B63A3">
        <w:rPr>
          <w:sz w:val="24"/>
          <w:szCs w:val="24"/>
          <w:lang w:val="en-US"/>
        </w:rPr>
        <w:instrText>ADDIN CSL_CITATION {"citationItems":[{"id":"ITEM-1","itemData":{"author":[{"dropping-particle":"","family":"OPAS","given":"","non-dropping-particle":"","parse-names":false,"suffix":""}],"id":"ITEM-1","issued":{"date-parts":[["2003"]]},"title":"Doenças crónico-degenerativas e obesidade: estratégia mundial sobre alimentação saudável, actividade fisíca e saúde.","type":"article-journal"},"uris":["http://www.mendeley.com/documents/?uuid=62670513-5a38-4785-b957-0d3b6d6ba031"]}],"mendeley":{"formattedCitation":"[28]","manualFormatting":"(OPAS, 2003)","plainTextFormattedCitation":"[28]","previouslyFormattedCitation":"[27]"},"properties":{"noteIndex":0},"schema":"https://github.com/citation-style-language/schema/raw/master/csl-citation.json"}</w:instrText>
      </w:r>
      <w:r w:rsidR="00D9709F" w:rsidRPr="008B63A3">
        <w:rPr>
          <w:sz w:val="24"/>
          <w:szCs w:val="24"/>
          <w:lang w:val="en-US"/>
        </w:rPr>
        <w:fldChar w:fldCharType="separate"/>
      </w:r>
      <w:r w:rsidR="00D9709F" w:rsidRPr="008B63A3">
        <w:rPr>
          <w:noProof/>
          <w:sz w:val="24"/>
          <w:szCs w:val="24"/>
          <w:lang w:val="en-US"/>
        </w:rPr>
        <w:t>(OPAS</w:t>
      </w:r>
      <w:r w:rsidR="006E6CCF" w:rsidRPr="008B63A3">
        <w:rPr>
          <w:noProof/>
          <w:sz w:val="24"/>
          <w:szCs w:val="24"/>
          <w:lang w:val="en-US"/>
        </w:rPr>
        <w:t>,</w:t>
      </w:r>
      <w:r w:rsidR="00D9709F" w:rsidRPr="008B63A3">
        <w:rPr>
          <w:noProof/>
          <w:sz w:val="24"/>
          <w:szCs w:val="24"/>
          <w:lang w:val="en-US"/>
        </w:rPr>
        <w:t xml:space="preserve"> 2003)</w:t>
      </w:r>
      <w:r w:rsidR="00D9709F" w:rsidRPr="008B63A3">
        <w:rPr>
          <w:sz w:val="24"/>
          <w:szCs w:val="24"/>
          <w:lang w:val="en-US"/>
        </w:rPr>
        <w:fldChar w:fldCharType="end"/>
      </w:r>
      <w:r w:rsidR="00D9709F" w:rsidRPr="008B63A3">
        <w:rPr>
          <w:sz w:val="24"/>
          <w:szCs w:val="24"/>
          <w:lang w:val="en-US"/>
        </w:rPr>
        <w:t xml:space="preserve">. </w:t>
      </w:r>
      <w:r w:rsidRPr="008B63A3">
        <w:rPr>
          <w:sz w:val="24"/>
          <w:szCs w:val="24"/>
          <w:lang w:val="en-US"/>
        </w:rPr>
        <w:t xml:space="preserve">Body weight was measured using a digital scale, </w:t>
      </w:r>
      <w:proofErr w:type="spellStart"/>
      <w:r w:rsidRPr="008B63A3">
        <w:rPr>
          <w:sz w:val="24"/>
          <w:szCs w:val="24"/>
          <w:lang w:val="en-US"/>
        </w:rPr>
        <w:t>Filizola</w:t>
      </w:r>
      <w:proofErr w:type="spellEnd"/>
      <w:r w:rsidRPr="008B63A3">
        <w:rPr>
          <w:sz w:val="24"/>
          <w:szCs w:val="24"/>
          <w:lang w:val="en-US"/>
        </w:rPr>
        <w:t>, with an accuracy</w:t>
      </w:r>
      <w:r w:rsidR="00D80A29" w:rsidRPr="008B63A3">
        <w:rPr>
          <w:sz w:val="24"/>
          <w:szCs w:val="24"/>
          <w:lang w:val="en-US"/>
        </w:rPr>
        <w:t xml:space="preserve"> margin</w:t>
      </w:r>
      <w:r w:rsidR="0018122E" w:rsidRPr="008B63A3">
        <w:rPr>
          <w:sz w:val="24"/>
          <w:szCs w:val="24"/>
          <w:lang w:val="en-US"/>
        </w:rPr>
        <w:t xml:space="preserve"> of error </w:t>
      </w:r>
      <w:r w:rsidRPr="008B63A3">
        <w:rPr>
          <w:sz w:val="24"/>
          <w:szCs w:val="24"/>
          <w:lang w:val="en-US"/>
        </w:rPr>
        <w:t xml:space="preserve">of </w:t>
      </w:r>
      <w:r w:rsidR="00D80A29" w:rsidRPr="008B63A3">
        <w:rPr>
          <w:sz w:val="24"/>
          <w:szCs w:val="24"/>
          <w:lang w:val="en-US"/>
        </w:rPr>
        <w:t>+/-</w:t>
      </w:r>
      <w:r w:rsidRPr="008B63A3">
        <w:rPr>
          <w:sz w:val="24"/>
          <w:szCs w:val="24"/>
          <w:lang w:val="en-US"/>
        </w:rPr>
        <w:t xml:space="preserve">0.1 kg and maximum capacity of 150 kg and height was measured using a fixed metal stadiometer, accurate to 0.1 cm, with a maximum length of two meters.  </w:t>
      </w:r>
    </w:p>
    <w:p w14:paraId="549CFCE9" w14:textId="77777777" w:rsidR="00A776D7" w:rsidRPr="008B63A3" w:rsidRDefault="00A776D7" w:rsidP="001544AC">
      <w:pPr>
        <w:pStyle w:val="Default"/>
        <w:spacing w:line="360" w:lineRule="auto"/>
        <w:jc w:val="both"/>
        <w:rPr>
          <w:b/>
          <w:color w:val="auto"/>
          <w:lang w:val="en-US"/>
        </w:rPr>
      </w:pPr>
    </w:p>
    <w:p w14:paraId="259F4A7E" w14:textId="77777777" w:rsidR="00A776D7" w:rsidRPr="008B63A3" w:rsidRDefault="00A776D7" w:rsidP="00166793">
      <w:pPr>
        <w:pStyle w:val="Heading1"/>
        <w:numPr>
          <w:ilvl w:val="0"/>
          <w:numId w:val="29"/>
        </w:numPr>
      </w:pPr>
      <w:r w:rsidRPr="008B63A3">
        <w:t>Statistical Analyses</w:t>
      </w:r>
    </w:p>
    <w:p w14:paraId="6AF98110" w14:textId="77777777" w:rsidR="00A776D7" w:rsidRPr="008B63A3" w:rsidRDefault="003F7ECE" w:rsidP="001544AC">
      <w:pPr>
        <w:pStyle w:val="Default"/>
        <w:spacing w:line="360" w:lineRule="auto"/>
        <w:ind w:firstLine="709"/>
        <w:jc w:val="both"/>
        <w:rPr>
          <w:color w:val="auto"/>
          <w:lang w:val="en-US"/>
        </w:rPr>
      </w:pPr>
      <w:r w:rsidRPr="008B63A3">
        <w:rPr>
          <w:color w:val="auto"/>
          <w:lang w:val="en-US"/>
        </w:rPr>
        <w:t>D</w:t>
      </w:r>
      <w:r w:rsidR="00A776D7" w:rsidRPr="008B63A3">
        <w:rPr>
          <w:color w:val="auto"/>
          <w:lang w:val="en-US"/>
        </w:rPr>
        <w:t xml:space="preserve">ifferences between groups were estimated using Wald’s generalized test of equality between means and the Rao-Scott test, which take into consideration sample weights for estimates with population weightings </w:t>
      </w:r>
      <w:r w:rsidR="000A2FB0" w:rsidRPr="008B63A3">
        <w:rPr>
          <w:color w:val="auto"/>
          <w:lang w:val="en-US"/>
        </w:rPr>
        <w:fldChar w:fldCharType="begin" w:fldLock="1"/>
      </w:r>
      <w:r w:rsidR="008F460F" w:rsidRPr="008B63A3">
        <w:rPr>
          <w:color w:val="auto"/>
          <w:lang w:val="en-US"/>
        </w:rPr>
        <w:instrText>ADDIN CSL_CITATION {"citationItems":[{"id":"ITEM-1","itemData":{"DOI":"10.1214/aos/1176350273","ISSN":"0091-1798","abstract":"The asymptotic behaviour of the residual life time at time t is investigated (for t rightarrow infty). We derive weak limit laws and their domains of attraction and treat rates of convergence and moment convergence. The presentation exploits the close similarity with extreme value theory.","author":[{"dropping-particle":"","family":"Rao","given":"J N K","non-dropping-particle":"","parse-names":false,"suffix":""},{"dropping-particle":"","family":"Scott","given":"A J","non-dropping-particle":"","parse-names":false,"suffix":""}],"container-title":"Ann. Statist","id":"ITEM-1","issue":"1","issued":{"date-parts":[["1987"]]},"page":"385-397","title":"On simple adjustments to chi-square tests with sample survey data","type":"article-journal","volume":"15"},"uris":["http://www.mendeley.com/documents/?uuid=275ec230-f346-4555-ae22-51b611ac3c62"]}],"mendeley":{"formattedCitation":"[29]","plainTextFormattedCitation":"[29]","previouslyFormattedCitation":"[28]"},"properties":{"noteIndex":0},"schema":"https://github.com/citation-style-language/schema/raw/master/csl-citation.json"}</w:instrText>
      </w:r>
      <w:r w:rsidR="000A2FB0" w:rsidRPr="008B63A3">
        <w:rPr>
          <w:color w:val="auto"/>
          <w:lang w:val="en-US"/>
        </w:rPr>
        <w:fldChar w:fldCharType="separate"/>
      </w:r>
      <w:r w:rsidR="008F460F" w:rsidRPr="008B63A3">
        <w:rPr>
          <w:noProof/>
          <w:color w:val="auto"/>
          <w:lang w:val="en-US"/>
        </w:rPr>
        <w:t>[29]</w:t>
      </w:r>
      <w:r w:rsidR="000A2FB0" w:rsidRPr="008B63A3">
        <w:rPr>
          <w:color w:val="auto"/>
          <w:lang w:val="en-US"/>
        </w:rPr>
        <w:fldChar w:fldCharType="end"/>
      </w:r>
      <w:r w:rsidR="000A2FB0" w:rsidRPr="008B63A3">
        <w:rPr>
          <w:color w:val="auto"/>
          <w:lang w:val="en-US"/>
        </w:rPr>
        <w:t>.</w:t>
      </w:r>
    </w:p>
    <w:p w14:paraId="00D932FC" w14:textId="77777777" w:rsidR="00A776D7" w:rsidRPr="008B63A3" w:rsidRDefault="00A776D7" w:rsidP="001544AC">
      <w:pPr>
        <w:spacing w:line="360" w:lineRule="auto"/>
        <w:jc w:val="both"/>
        <w:rPr>
          <w:sz w:val="24"/>
          <w:szCs w:val="24"/>
          <w:lang w:val="en-US"/>
        </w:rPr>
      </w:pPr>
      <w:r w:rsidRPr="008B63A3">
        <w:rPr>
          <w:sz w:val="24"/>
          <w:szCs w:val="24"/>
          <w:lang w:val="en-US"/>
        </w:rPr>
        <w:tab/>
      </w:r>
      <w:r w:rsidR="003F7ECE" w:rsidRPr="008B63A3">
        <w:rPr>
          <w:sz w:val="24"/>
          <w:szCs w:val="24"/>
          <w:lang w:val="en-US"/>
        </w:rPr>
        <w:t>C</w:t>
      </w:r>
      <w:r w:rsidRPr="008B63A3">
        <w:rPr>
          <w:sz w:val="24"/>
          <w:szCs w:val="24"/>
          <w:lang w:val="en-US"/>
        </w:rPr>
        <w:t>hi-square</w:t>
      </w:r>
      <w:r w:rsidR="00F224C1" w:rsidRPr="008B63A3">
        <w:rPr>
          <w:sz w:val="24"/>
          <w:szCs w:val="24"/>
          <w:lang w:val="en-US"/>
        </w:rPr>
        <w:t>d</w:t>
      </w:r>
      <w:r w:rsidRPr="008B63A3">
        <w:rPr>
          <w:sz w:val="24"/>
          <w:szCs w:val="24"/>
          <w:lang w:val="en-US"/>
        </w:rPr>
        <w:t xml:space="preserve"> test</w:t>
      </w:r>
      <w:r w:rsidR="003F7ECE" w:rsidRPr="008B63A3">
        <w:rPr>
          <w:sz w:val="24"/>
          <w:szCs w:val="24"/>
          <w:lang w:val="en-US"/>
        </w:rPr>
        <w:t>s</w:t>
      </w:r>
      <w:r w:rsidRPr="008B63A3">
        <w:rPr>
          <w:sz w:val="24"/>
          <w:szCs w:val="24"/>
          <w:lang w:val="en-US"/>
        </w:rPr>
        <w:t xml:space="preserve"> </w:t>
      </w:r>
      <w:r w:rsidR="00F224C1" w:rsidRPr="008B63A3">
        <w:rPr>
          <w:sz w:val="24"/>
          <w:szCs w:val="24"/>
          <w:lang w:val="en-US"/>
        </w:rPr>
        <w:t>w</w:t>
      </w:r>
      <w:r w:rsidR="003F7ECE" w:rsidRPr="008B63A3">
        <w:rPr>
          <w:sz w:val="24"/>
          <w:szCs w:val="24"/>
          <w:lang w:val="en-US"/>
        </w:rPr>
        <w:t>ere</w:t>
      </w:r>
      <w:r w:rsidR="00F224C1" w:rsidRPr="008B63A3">
        <w:rPr>
          <w:sz w:val="24"/>
          <w:szCs w:val="24"/>
          <w:lang w:val="en-US"/>
        </w:rPr>
        <w:t xml:space="preserve"> used to </w:t>
      </w:r>
      <w:r w:rsidRPr="008B63A3">
        <w:rPr>
          <w:sz w:val="24"/>
          <w:szCs w:val="24"/>
          <w:lang w:val="en-US"/>
        </w:rPr>
        <w:t>analyze association</w:t>
      </w:r>
      <w:r w:rsidR="003F7ECE" w:rsidRPr="008B63A3">
        <w:rPr>
          <w:sz w:val="24"/>
          <w:szCs w:val="24"/>
          <w:lang w:val="en-US"/>
        </w:rPr>
        <w:t>s</w:t>
      </w:r>
      <w:r w:rsidRPr="008B63A3">
        <w:rPr>
          <w:sz w:val="24"/>
          <w:szCs w:val="24"/>
          <w:lang w:val="en-US"/>
        </w:rPr>
        <w:t xml:space="preserve"> between variables and compare proportions. A binary logistic regression was represented by the </w:t>
      </w:r>
      <w:r w:rsidRPr="008B63A3">
        <w:rPr>
          <w:i/>
          <w:sz w:val="24"/>
          <w:szCs w:val="24"/>
          <w:lang w:val="en-US"/>
        </w:rPr>
        <w:t>Odds Ratio</w:t>
      </w:r>
      <w:r w:rsidRPr="008B63A3">
        <w:rPr>
          <w:sz w:val="24"/>
          <w:szCs w:val="24"/>
          <w:lang w:val="en-US"/>
        </w:rPr>
        <w:t xml:space="preserve"> (OR) and 95%</w:t>
      </w:r>
      <w:r w:rsidR="00A0410B" w:rsidRPr="008B63A3">
        <w:rPr>
          <w:sz w:val="24"/>
          <w:szCs w:val="24"/>
          <w:lang w:val="en-US"/>
        </w:rPr>
        <w:t>CI</w:t>
      </w:r>
      <w:r w:rsidRPr="008B63A3">
        <w:rPr>
          <w:sz w:val="24"/>
          <w:szCs w:val="24"/>
          <w:lang w:val="en-US"/>
        </w:rPr>
        <w:t xml:space="preserve"> values. The variables that presented an association of p </w:t>
      </w:r>
      <w:r w:rsidRPr="008B63A3">
        <w:rPr>
          <w:sz w:val="24"/>
          <w:szCs w:val="24"/>
          <w:u w:val="single"/>
          <w:lang w:val="en-US"/>
        </w:rPr>
        <w:t>&lt;</w:t>
      </w:r>
      <w:r w:rsidRPr="008B63A3">
        <w:rPr>
          <w:sz w:val="24"/>
          <w:szCs w:val="24"/>
          <w:lang w:val="en-US"/>
        </w:rPr>
        <w:t xml:space="preserve"> 0.20 in the univariate model were selected for the multiple regression analysis.</w:t>
      </w:r>
    </w:p>
    <w:p w14:paraId="27859DE1" w14:textId="77777777" w:rsidR="00A776D7" w:rsidRPr="008B63A3" w:rsidRDefault="00A776D7" w:rsidP="001544AC">
      <w:pPr>
        <w:pStyle w:val="Default"/>
        <w:spacing w:line="360" w:lineRule="auto"/>
        <w:ind w:firstLine="709"/>
        <w:jc w:val="both"/>
        <w:rPr>
          <w:color w:val="auto"/>
          <w:lang w:val="en-US"/>
        </w:rPr>
      </w:pPr>
      <w:r w:rsidRPr="008B63A3">
        <w:rPr>
          <w:color w:val="auto"/>
          <w:lang w:val="en-US"/>
        </w:rPr>
        <w:t xml:space="preserve">Multiple regression analysis was performed using hierarchical analysis, grouping the variables into two blocks ordered according to the </w:t>
      </w:r>
      <w:r w:rsidR="00F224C1" w:rsidRPr="008B63A3">
        <w:rPr>
          <w:color w:val="auto"/>
          <w:lang w:val="en-US"/>
        </w:rPr>
        <w:t>magnitude of effect</w:t>
      </w:r>
      <w:r w:rsidR="0018122E" w:rsidRPr="008B63A3">
        <w:rPr>
          <w:color w:val="auto"/>
          <w:lang w:val="en-US"/>
        </w:rPr>
        <w:t xml:space="preserve"> (lower or higher)</w:t>
      </w:r>
      <w:r w:rsidR="00F224C1" w:rsidRPr="008B63A3">
        <w:rPr>
          <w:color w:val="auto"/>
          <w:lang w:val="en-US"/>
        </w:rPr>
        <w:t xml:space="preserve"> they had on </w:t>
      </w:r>
      <w:r w:rsidRPr="008B63A3">
        <w:rPr>
          <w:color w:val="auto"/>
          <w:lang w:val="en-US"/>
        </w:rPr>
        <w:t xml:space="preserve">the outcomes. First, the block of sociodemographic variables was included, and then the block of clinical variables. The variables selected in the first block were kept in the model even if the statistical significance was not preserved with the inclusion of the subsequent block, </w:t>
      </w:r>
      <w:r w:rsidRPr="008B63A3">
        <w:rPr>
          <w:color w:val="auto"/>
          <w:lang w:val="en-US"/>
        </w:rPr>
        <w:lastRenderedPageBreak/>
        <w:t xml:space="preserve">remaining as control variables for the proximal block, according to the theoretical model proposed in </w:t>
      </w:r>
      <w:r w:rsidR="00D80A29" w:rsidRPr="008B63A3">
        <w:rPr>
          <w:color w:val="auto"/>
          <w:lang w:val="en-US"/>
        </w:rPr>
        <w:t>F</w:t>
      </w:r>
      <w:r w:rsidRPr="008B63A3">
        <w:rPr>
          <w:color w:val="auto"/>
          <w:lang w:val="en-US"/>
        </w:rPr>
        <w:t xml:space="preserve">igure 1. </w:t>
      </w:r>
    </w:p>
    <w:p w14:paraId="4C067A49" w14:textId="77777777" w:rsidR="00A776D7" w:rsidRPr="008B63A3" w:rsidRDefault="00A776D7" w:rsidP="001544AC">
      <w:pPr>
        <w:spacing w:line="360" w:lineRule="auto"/>
        <w:ind w:firstLine="708"/>
        <w:jc w:val="both"/>
        <w:rPr>
          <w:sz w:val="24"/>
          <w:szCs w:val="24"/>
          <w:lang w:val="en-US"/>
        </w:rPr>
      </w:pPr>
      <w:r w:rsidRPr="008B63A3">
        <w:rPr>
          <w:sz w:val="24"/>
          <w:szCs w:val="24"/>
          <w:lang w:val="en-US"/>
        </w:rPr>
        <w:t>For the regression models, a “partial model” was considered adjusted only by sociodemographic variables and, “final model”, adjusted by both blocks of variables. For the interpretation of the results in the final models, we considered the identification of a statistically significant association (p&lt;0.05) between a given variable under study and the outcome in question, after adjusting for the potential variables of the same block and the upper hierarchical blocks, which would indicate the existence of an independent association pertaining to that variable.</w:t>
      </w:r>
    </w:p>
    <w:p w14:paraId="2F8E14AE" w14:textId="77777777" w:rsidR="00A776D7" w:rsidRPr="008B63A3" w:rsidRDefault="00A776D7" w:rsidP="001544AC">
      <w:pPr>
        <w:spacing w:line="360" w:lineRule="auto"/>
        <w:ind w:firstLine="708"/>
        <w:jc w:val="both"/>
        <w:rPr>
          <w:sz w:val="24"/>
          <w:szCs w:val="24"/>
          <w:lang w:val="en-US"/>
        </w:rPr>
      </w:pPr>
    </w:p>
    <w:bookmarkEnd w:id="6"/>
    <w:bookmarkEnd w:id="7"/>
    <w:bookmarkEnd w:id="8"/>
    <w:bookmarkEnd w:id="9"/>
    <w:p w14:paraId="78BC2462" w14:textId="77777777" w:rsidR="00A776D7" w:rsidRPr="008B63A3" w:rsidRDefault="00A776D7" w:rsidP="001544AC">
      <w:pPr>
        <w:pStyle w:val="Default"/>
        <w:spacing w:line="360" w:lineRule="auto"/>
        <w:jc w:val="both"/>
        <w:rPr>
          <w:color w:val="auto"/>
          <w:lang w:val="en-US"/>
        </w:rPr>
      </w:pPr>
      <w:r w:rsidRPr="008B63A3">
        <w:rPr>
          <w:b/>
          <w:color w:val="auto"/>
          <w:lang w:val="en-US"/>
        </w:rPr>
        <w:t xml:space="preserve"> </w:t>
      </w:r>
      <w:r w:rsidRPr="008B63A3">
        <w:rPr>
          <w:b/>
          <w:color w:val="auto"/>
          <w:lang w:val="en-US"/>
        </w:rPr>
        <w:tab/>
      </w:r>
      <w:bookmarkStart w:id="11" w:name="_Hlk65819441"/>
      <w:r w:rsidRPr="008B63A3">
        <w:rPr>
          <w:b/>
          <w:color w:val="auto"/>
          <w:lang w:val="en-US"/>
        </w:rPr>
        <w:t>Figure 1</w:t>
      </w:r>
      <w:r w:rsidRPr="008B63A3">
        <w:rPr>
          <w:color w:val="auto"/>
          <w:lang w:val="en-US"/>
        </w:rPr>
        <w:t>. Hierarchical analysis theoretical model for investigation of variables associated with mortality, structured in two blocks of variables.</w:t>
      </w:r>
      <w:bookmarkEnd w:id="11"/>
    </w:p>
    <w:p w14:paraId="64CCC740" w14:textId="77777777" w:rsidR="00A776D7" w:rsidRPr="008B63A3" w:rsidRDefault="006F4DF4" w:rsidP="006F4DF4">
      <w:pPr>
        <w:shd w:val="clear" w:color="auto" w:fill="FFFFFF"/>
        <w:spacing w:line="360" w:lineRule="auto"/>
        <w:jc w:val="both"/>
        <w:rPr>
          <w:b/>
          <w:bCs/>
          <w:sz w:val="24"/>
          <w:szCs w:val="24"/>
          <w:lang w:val="en-US"/>
        </w:rPr>
      </w:pPr>
      <w:r w:rsidRPr="008B63A3">
        <w:rPr>
          <w:b/>
          <w:sz w:val="24"/>
          <w:szCs w:val="24"/>
          <w:lang w:val="en-US"/>
        </w:rPr>
        <w:t xml:space="preserve">Insert figure 1 here… </w:t>
      </w:r>
    </w:p>
    <w:p w14:paraId="1F04C1A3" w14:textId="77777777" w:rsidR="008F2276" w:rsidRPr="008B63A3" w:rsidRDefault="008F2276" w:rsidP="001544AC">
      <w:pPr>
        <w:spacing w:line="360" w:lineRule="auto"/>
        <w:ind w:firstLine="708"/>
        <w:jc w:val="both"/>
        <w:rPr>
          <w:bCs/>
          <w:sz w:val="24"/>
          <w:szCs w:val="24"/>
          <w:lang w:val="en-US"/>
        </w:rPr>
      </w:pPr>
      <w:r w:rsidRPr="008B63A3">
        <w:rPr>
          <w:bCs/>
          <w:sz w:val="24"/>
          <w:szCs w:val="24"/>
          <w:lang w:val="en-US"/>
        </w:rPr>
        <w:t>To verify the incidence density, the numerator was the number of deaths in the analyzed period and the denominator was the sum of the observation period for the population in question. Follow-up losses between 2010 and 2014 were excluded from this analysis. The variables used in this study were compared among the participants who did not die</w:t>
      </w:r>
      <w:r w:rsidR="00A0410B" w:rsidRPr="008B63A3">
        <w:rPr>
          <w:bCs/>
          <w:sz w:val="24"/>
          <w:szCs w:val="24"/>
          <w:lang w:val="en-US"/>
        </w:rPr>
        <w:t xml:space="preserve"> to</w:t>
      </w:r>
      <w:r w:rsidRPr="008B63A3">
        <w:rPr>
          <w:bCs/>
          <w:sz w:val="24"/>
          <w:szCs w:val="24"/>
          <w:lang w:val="en-US"/>
        </w:rPr>
        <w:t xml:space="preserve"> those of the participants who died. The Wald and Chi-Square test with correction of Rao and Scott was used.</w:t>
      </w:r>
    </w:p>
    <w:p w14:paraId="14854676" w14:textId="77777777" w:rsidR="008F2276" w:rsidRPr="008B63A3" w:rsidRDefault="008F2276" w:rsidP="001544AC">
      <w:pPr>
        <w:spacing w:line="360" w:lineRule="auto"/>
        <w:ind w:firstLine="708"/>
        <w:jc w:val="both"/>
        <w:rPr>
          <w:bCs/>
          <w:sz w:val="24"/>
          <w:szCs w:val="24"/>
          <w:lang w:val="en-US"/>
        </w:rPr>
      </w:pPr>
      <w:r w:rsidRPr="008B63A3">
        <w:rPr>
          <w:bCs/>
          <w:sz w:val="24"/>
          <w:szCs w:val="24"/>
          <w:lang w:val="en-US"/>
        </w:rPr>
        <w:t xml:space="preserve">All deaths that occurred during the four-year period were examined. The survival curve was analyzed according to the Kaplan-Meier method to explore the impact of low level of </w:t>
      </w:r>
      <w:r w:rsidR="00A0410B" w:rsidRPr="008B63A3">
        <w:rPr>
          <w:bCs/>
          <w:sz w:val="24"/>
          <w:szCs w:val="24"/>
          <w:lang w:val="en-US"/>
        </w:rPr>
        <w:t xml:space="preserve">PA </w:t>
      </w:r>
      <w:r w:rsidRPr="008B63A3">
        <w:rPr>
          <w:bCs/>
          <w:sz w:val="24"/>
          <w:szCs w:val="24"/>
          <w:lang w:val="en-US"/>
        </w:rPr>
        <w:t xml:space="preserve">on survival. The difference between the curves was analyzed using the log-rank test. The unadjusted and adjusted proportional risk, and the 95% Confidence Interval (95%CI) mortality due to low level of </w:t>
      </w:r>
      <w:r w:rsidR="00A0410B" w:rsidRPr="008B63A3">
        <w:rPr>
          <w:bCs/>
          <w:sz w:val="24"/>
          <w:szCs w:val="24"/>
          <w:lang w:val="en-US"/>
        </w:rPr>
        <w:t xml:space="preserve">PA </w:t>
      </w:r>
      <w:r w:rsidRPr="008B63A3">
        <w:rPr>
          <w:bCs/>
          <w:sz w:val="24"/>
          <w:szCs w:val="24"/>
          <w:lang w:val="en-US"/>
        </w:rPr>
        <w:t>was calculated using cox's proportional risk model. The model was adjusted for sociodemographic and clinical variables.</w:t>
      </w:r>
    </w:p>
    <w:p w14:paraId="57ECD1D7" w14:textId="77777777" w:rsidR="008F2276" w:rsidRPr="008B63A3" w:rsidRDefault="008F2276" w:rsidP="001544AC">
      <w:pPr>
        <w:spacing w:line="360" w:lineRule="auto"/>
        <w:ind w:firstLine="708"/>
        <w:jc w:val="both"/>
        <w:rPr>
          <w:bCs/>
          <w:sz w:val="24"/>
          <w:szCs w:val="24"/>
          <w:lang w:val="en-US"/>
        </w:rPr>
      </w:pPr>
      <w:r w:rsidRPr="008B63A3">
        <w:rPr>
          <w:bCs/>
          <w:sz w:val="24"/>
          <w:szCs w:val="24"/>
          <w:lang w:val="en-US"/>
        </w:rPr>
        <w:t>Because it is a multi-stage cluster sampling, the sample weights were used in all analyses</w:t>
      </w:r>
      <w:r w:rsidR="00954898" w:rsidRPr="008B63A3">
        <w:rPr>
          <w:bCs/>
          <w:sz w:val="24"/>
          <w:szCs w:val="24"/>
          <w:lang w:val="en-US"/>
        </w:rPr>
        <w:t xml:space="preserve"> to</w:t>
      </w:r>
      <w:r w:rsidRPr="008B63A3">
        <w:rPr>
          <w:bCs/>
          <w:sz w:val="24"/>
          <w:szCs w:val="24"/>
          <w:lang w:val="en-US"/>
        </w:rPr>
        <w:t xml:space="preserve"> age. All calculations were performed using STATA version 11.0 and statistical significance was established at</w:t>
      </w:r>
      <w:r w:rsidR="00A0410B" w:rsidRPr="008B63A3">
        <w:rPr>
          <w:bCs/>
          <w:sz w:val="24"/>
          <w:szCs w:val="24"/>
          <w:lang w:val="en-US"/>
        </w:rPr>
        <w:t xml:space="preserve"> the</w:t>
      </w:r>
      <w:r w:rsidRPr="008B63A3">
        <w:rPr>
          <w:bCs/>
          <w:sz w:val="24"/>
          <w:szCs w:val="24"/>
          <w:lang w:val="en-US"/>
        </w:rPr>
        <w:t xml:space="preserve"> 5%</w:t>
      </w:r>
      <w:r w:rsidR="00A0410B" w:rsidRPr="008B63A3">
        <w:rPr>
          <w:bCs/>
          <w:sz w:val="24"/>
          <w:szCs w:val="24"/>
          <w:lang w:val="en-US"/>
        </w:rPr>
        <w:t xml:space="preserve"> level</w:t>
      </w:r>
      <w:r w:rsidRPr="008B63A3">
        <w:rPr>
          <w:bCs/>
          <w:sz w:val="24"/>
          <w:szCs w:val="24"/>
          <w:lang w:val="en-US"/>
        </w:rPr>
        <w:t>.</w:t>
      </w:r>
    </w:p>
    <w:p w14:paraId="333B0F0E" w14:textId="77777777" w:rsidR="00A776D7" w:rsidRPr="008B63A3" w:rsidRDefault="00A776D7" w:rsidP="001544AC">
      <w:pPr>
        <w:spacing w:line="360" w:lineRule="auto"/>
        <w:ind w:firstLine="708"/>
        <w:jc w:val="both"/>
        <w:rPr>
          <w:sz w:val="24"/>
          <w:szCs w:val="24"/>
          <w:lang w:val="en-CA"/>
        </w:rPr>
      </w:pPr>
      <w:r w:rsidRPr="008B63A3">
        <w:rPr>
          <w:sz w:val="24"/>
          <w:szCs w:val="24"/>
          <w:lang w:val="en-CA"/>
        </w:rPr>
        <w:t>All study participants were informed about the study procedures and only those who signed the informed consent were included in the sample. All protocols were reviewed and approved by</w:t>
      </w:r>
      <w:r w:rsidR="0018122E" w:rsidRPr="008B63A3">
        <w:rPr>
          <w:lang w:val="en-US"/>
        </w:rPr>
        <w:t xml:space="preserve"> </w:t>
      </w:r>
      <w:r w:rsidR="0018122E" w:rsidRPr="008B63A3">
        <w:rPr>
          <w:sz w:val="24"/>
          <w:szCs w:val="24"/>
          <w:lang w:val="en-CA"/>
        </w:rPr>
        <w:t>ethics committee</w:t>
      </w:r>
      <w:r w:rsidR="006A398F" w:rsidRPr="008B63A3">
        <w:rPr>
          <w:sz w:val="24"/>
          <w:szCs w:val="24"/>
          <w:lang w:val="en-CA"/>
        </w:rPr>
        <w:t>.</w:t>
      </w:r>
      <w:r w:rsidR="0018122E" w:rsidRPr="008B63A3">
        <w:rPr>
          <w:sz w:val="24"/>
          <w:szCs w:val="24"/>
          <w:lang w:val="en-CA"/>
        </w:rPr>
        <w:t xml:space="preserve"> </w:t>
      </w:r>
    </w:p>
    <w:p w14:paraId="7BBD5FC7" w14:textId="77777777" w:rsidR="0016546F" w:rsidRPr="008B63A3" w:rsidRDefault="0016546F" w:rsidP="001544AC">
      <w:pPr>
        <w:spacing w:line="360" w:lineRule="auto"/>
        <w:rPr>
          <w:sz w:val="24"/>
          <w:szCs w:val="24"/>
          <w:lang w:val="en-CA" w:eastAsia="en-US"/>
        </w:rPr>
      </w:pPr>
      <w:bookmarkStart w:id="12" w:name="_Toc432415471"/>
    </w:p>
    <w:p w14:paraId="2B105160" w14:textId="18ED1582" w:rsidR="0016546F" w:rsidRPr="008B63A3" w:rsidRDefault="0016546F" w:rsidP="001544AC">
      <w:pPr>
        <w:spacing w:line="360" w:lineRule="auto"/>
        <w:rPr>
          <w:sz w:val="24"/>
          <w:szCs w:val="24"/>
          <w:lang w:val="en-US" w:eastAsia="en-US"/>
        </w:rPr>
      </w:pPr>
    </w:p>
    <w:p w14:paraId="5A5EEC40" w14:textId="77777777" w:rsidR="00166793" w:rsidRPr="008B63A3" w:rsidRDefault="00166793" w:rsidP="001544AC">
      <w:pPr>
        <w:spacing w:line="360" w:lineRule="auto"/>
        <w:rPr>
          <w:sz w:val="24"/>
          <w:szCs w:val="24"/>
          <w:lang w:val="en-US" w:eastAsia="en-US"/>
        </w:rPr>
      </w:pPr>
    </w:p>
    <w:bookmarkEnd w:id="12"/>
    <w:p w14:paraId="2C0EA1EC" w14:textId="77777777" w:rsidR="00B64902" w:rsidRPr="008B63A3" w:rsidRDefault="0029673C" w:rsidP="00166793">
      <w:pPr>
        <w:pStyle w:val="Heading1"/>
        <w:numPr>
          <w:ilvl w:val="0"/>
          <w:numId w:val="29"/>
        </w:numPr>
      </w:pPr>
      <w:r w:rsidRPr="008B63A3">
        <w:lastRenderedPageBreak/>
        <w:t>Results</w:t>
      </w:r>
    </w:p>
    <w:p w14:paraId="4866B09A" w14:textId="77777777" w:rsidR="0055049C" w:rsidRPr="008B63A3" w:rsidRDefault="004678EE" w:rsidP="001544AC">
      <w:pPr>
        <w:spacing w:line="360" w:lineRule="auto"/>
        <w:jc w:val="both"/>
        <w:rPr>
          <w:sz w:val="24"/>
          <w:szCs w:val="24"/>
          <w:lang w:val="en-US"/>
        </w:rPr>
      </w:pPr>
      <w:r w:rsidRPr="008B63A3">
        <w:rPr>
          <w:sz w:val="24"/>
          <w:szCs w:val="24"/>
          <w:lang w:val="en-US"/>
        </w:rPr>
        <w:tab/>
      </w:r>
      <w:r w:rsidR="00A0410B" w:rsidRPr="008B63A3">
        <w:rPr>
          <w:sz w:val="24"/>
          <w:szCs w:val="24"/>
          <w:lang w:val="en-US"/>
        </w:rPr>
        <w:t>S</w:t>
      </w:r>
      <w:r w:rsidR="008F2276" w:rsidRPr="008B63A3">
        <w:rPr>
          <w:sz w:val="24"/>
          <w:szCs w:val="24"/>
          <w:lang w:val="en-US"/>
        </w:rPr>
        <w:t xml:space="preserve">ociodemographic variables, according to </w:t>
      </w:r>
      <w:r w:rsidR="00BD1BA9" w:rsidRPr="008B63A3">
        <w:rPr>
          <w:sz w:val="24"/>
          <w:szCs w:val="24"/>
          <w:lang w:val="en-US"/>
        </w:rPr>
        <w:t>accelerometer counters</w:t>
      </w:r>
      <w:r w:rsidR="00A04119" w:rsidRPr="008B63A3">
        <w:rPr>
          <w:sz w:val="24"/>
          <w:szCs w:val="24"/>
          <w:lang w:val="en-US"/>
        </w:rPr>
        <w:t xml:space="preserve"> per minutes (CPM)</w:t>
      </w:r>
      <w:r w:rsidR="008F2276" w:rsidRPr="008B63A3">
        <w:rPr>
          <w:sz w:val="24"/>
          <w:szCs w:val="24"/>
          <w:lang w:val="en-US"/>
        </w:rPr>
        <w:t xml:space="preserve">, are presented in </w:t>
      </w:r>
      <w:r w:rsidR="006A53C3" w:rsidRPr="008B63A3">
        <w:rPr>
          <w:sz w:val="24"/>
          <w:szCs w:val="24"/>
          <w:lang w:val="en-US"/>
        </w:rPr>
        <w:t>T</w:t>
      </w:r>
      <w:r w:rsidR="008F2276" w:rsidRPr="008B63A3">
        <w:rPr>
          <w:sz w:val="24"/>
          <w:szCs w:val="24"/>
          <w:lang w:val="en-US"/>
        </w:rPr>
        <w:t xml:space="preserve">able 2. A higher prevalence of </w:t>
      </w:r>
      <w:r w:rsidR="00BD1BA9" w:rsidRPr="008B63A3">
        <w:rPr>
          <w:sz w:val="24"/>
          <w:szCs w:val="24"/>
          <w:lang w:val="en-US"/>
        </w:rPr>
        <w:t>low-level</w:t>
      </w:r>
      <w:r w:rsidR="008F2276" w:rsidRPr="008B63A3">
        <w:rPr>
          <w:sz w:val="24"/>
          <w:szCs w:val="24"/>
          <w:lang w:val="en-US"/>
        </w:rPr>
        <w:t xml:space="preserve"> </w:t>
      </w:r>
      <w:r w:rsidR="006A53C3" w:rsidRPr="008B63A3">
        <w:rPr>
          <w:sz w:val="24"/>
          <w:szCs w:val="24"/>
          <w:lang w:val="en-US"/>
        </w:rPr>
        <w:t>PA</w:t>
      </w:r>
      <w:r w:rsidR="008F2276" w:rsidRPr="008B63A3">
        <w:rPr>
          <w:sz w:val="24"/>
          <w:szCs w:val="24"/>
          <w:lang w:val="en-US"/>
        </w:rPr>
        <w:t xml:space="preserve"> was found in </w:t>
      </w:r>
      <w:r w:rsidR="00A0410B" w:rsidRPr="008B63A3">
        <w:rPr>
          <w:sz w:val="24"/>
          <w:szCs w:val="24"/>
          <w:lang w:val="en-US"/>
        </w:rPr>
        <w:t xml:space="preserve">those </w:t>
      </w:r>
      <w:r w:rsidR="008F2276" w:rsidRPr="008B63A3">
        <w:rPr>
          <w:sz w:val="24"/>
          <w:szCs w:val="24"/>
          <w:lang w:val="en-US"/>
        </w:rPr>
        <w:t>aged 75 years and older, who live without a partner</w:t>
      </w:r>
      <w:r w:rsidR="006A53C3" w:rsidRPr="008B63A3">
        <w:rPr>
          <w:sz w:val="24"/>
          <w:szCs w:val="24"/>
          <w:lang w:val="en-US"/>
        </w:rPr>
        <w:t>,</w:t>
      </w:r>
      <w:r w:rsidR="008F2276" w:rsidRPr="008B63A3">
        <w:rPr>
          <w:sz w:val="24"/>
          <w:szCs w:val="24"/>
          <w:lang w:val="en-US"/>
        </w:rPr>
        <w:t xml:space="preserve"> and who do not currently work. </w:t>
      </w:r>
      <w:r w:rsidR="00A0410B" w:rsidRPr="008B63A3">
        <w:rPr>
          <w:sz w:val="24"/>
          <w:szCs w:val="24"/>
          <w:lang w:val="en-US"/>
        </w:rPr>
        <w:t xml:space="preserve">Older </w:t>
      </w:r>
      <w:r w:rsidR="00F52435" w:rsidRPr="008B63A3">
        <w:rPr>
          <w:sz w:val="24"/>
          <w:szCs w:val="24"/>
          <w:lang w:val="en-US"/>
        </w:rPr>
        <w:t>participants</w:t>
      </w:r>
      <w:r w:rsidR="00954898" w:rsidRPr="008B63A3">
        <w:rPr>
          <w:sz w:val="24"/>
          <w:szCs w:val="24"/>
          <w:lang w:val="en-US"/>
        </w:rPr>
        <w:t xml:space="preserve"> have </w:t>
      </w:r>
      <w:r w:rsidR="008F2276" w:rsidRPr="008B63A3">
        <w:rPr>
          <w:sz w:val="24"/>
          <w:szCs w:val="24"/>
          <w:lang w:val="en-US"/>
        </w:rPr>
        <w:t xml:space="preserve">five years or more </w:t>
      </w:r>
      <w:r w:rsidR="003F5A2F" w:rsidRPr="008B63A3">
        <w:rPr>
          <w:sz w:val="24"/>
          <w:szCs w:val="24"/>
          <w:lang w:val="en-US"/>
        </w:rPr>
        <w:t xml:space="preserve">of study </w:t>
      </w:r>
      <w:r w:rsidR="008F2276" w:rsidRPr="008B63A3">
        <w:rPr>
          <w:sz w:val="24"/>
          <w:szCs w:val="24"/>
          <w:lang w:val="en-US"/>
        </w:rPr>
        <w:t xml:space="preserve">were mostly at the intermediate/high level of </w:t>
      </w:r>
      <w:r w:rsidR="006A53C3" w:rsidRPr="008B63A3">
        <w:rPr>
          <w:sz w:val="24"/>
          <w:szCs w:val="24"/>
          <w:lang w:val="en-US"/>
        </w:rPr>
        <w:t>PA</w:t>
      </w:r>
      <w:r w:rsidR="008F2276" w:rsidRPr="008B63A3">
        <w:rPr>
          <w:sz w:val="24"/>
          <w:szCs w:val="24"/>
          <w:lang w:val="en-US"/>
        </w:rPr>
        <w:t>.</w:t>
      </w:r>
    </w:p>
    <w:p w14:paraId="2691E3EE" w14:textId="77777777" w:rsidR="0055049C" w:rsidRPr="008B63A3" w:rsidRDefault="008F2276" w:rsidP="001544AC">
      <w:pPr>
        <w:spacing w:line="360" w:lineRule="auto"/>
        <w:jc w:val="both"/>
        <w:rPr>
          <w:sz w:val="24"/>
          <w:szCs w:val="24"/>
          <w:lang w:val="en-US"/>
        </w:rPr>
      </w:pPr>
      <w:r w:rsidRPr="008B63A3">
        <w:rPr>
          <w:sz w:val="24"/>
          <w:szCs w:val="24"/>
          <w:lang w:val="en-US"/>
        </w:rPr>
        <w:t xml:space="preserve">The highest proportion of </w:t>
      </w:r>
      <w:r w:rsidR="005F1AEC" w:rsidRPr="008B63A3">
        <w:rPr>
          <w:sz w:val="24"/>
          <w:szCs w:val="24"/>
          <w:lang w:val="en-US"/>
        </w:rPr>
        <w:t>participants who</w:t>
      </w:r>
      <w:r w:rsidRPr="008B63A3">
        <w:rPr>
          <w:sz w:val="24"/>
          <w:szCs w:val="24"/>
          <w:lang w:val="en-US"/>
        </w:rPr>
        <w:t xml:space="preserve"> reported the presence of chronic pain, difficulty in performing activities of daily living (ADL and IADL) and cognitive decline were identified with low level</w:t>
      </w:r>
      <w:r w:rsidR="006A53C3" w:rsidRPr="008B63A3">
        <w:rPr>
          <w:sz w:val="24"/>
          <w:szCs w:val="24"/>
          <w:lang w:val="en-US"/>
        </w:rPr>
        <w:t>s</w:t>
      </w:r>
      <w:r w:rsidRPr="008B63A3">
        <w:rPr>
          <w:sz w:val="24"/>
          <w:szCs w:val="24"/>
          <w:lang w:val="en-US"/>
        </w:rPr>
        <w:t xml:space="preserve"> of </w:t>
      </w:r>
      <w:r w:rsidR="006A53C3" w:rsidRPr="008B63A3">
        <w:rPr>
          <w:sz w:val="24"/>
          <w:szCs w:val="24"/>
          <w:lang w:val="en-US"/>
        </w:rPr>
        <w:t xml:space="preserve">PA </w:t>
      </w:r>
      <w:r w:rsidRPr="008B63A3">
        <w:rPr>
          <w:sz w:val="24"/>
          <w:szCs w:val="24"/>
          <w:lang w:val="en-US"/>
        </w:rPr>
        <w:t>(Table 2).</w:t>
      </w:r>
    </w:p>
    <w:p w14:paraId="45E1EF16" w14:textId="77777777" w:rsidR="001A57B6" w:rsidRPr="008B63A3" w:rsidRDefault="001A57B6" w:rsidP="001A57B6">
      <w:pPr>
        <w:spacing w:line="360" w:lineRule="auto"/>
        <w:jc w:val="both"/>
        <w:rPr>
          <w:sz w:val="24"/>
          <w:szCs w:val="24"/>
          <w:lang w:val="en-US"/>
        </w:rPr>
      </w:pPr>
      <w:r w:rsidRPr="008B63A3">
        <w:rPr>
          <w:b/>
          <w:sz w:val="24"/>
          <w:szCs w:val="24"/>
          <w:lang w:val="en-US"/>
        </w:rPr>
        <w:t>Table 2.</w:t>
      </w:r>
      <w:r w:rsidRPr="008B63A3">
        <w:rPr>
          <w:sz w:val="24"/>
          <w:szCs w:val="24"/>
          <w:lang w:val="en-US"/>
        </w:rPr>
        <w:t xml:space="preserve"> Distribution (%) of the sample</w:t>
      </w:r>
      <w:r w:rsidR="005F1AEC" w:rsidRPr="008B63A3">
        <w:rPr>
          <w:sz w:val="24"/>
          <w:szCs w:val="24"/>
          <w:lang w:val="en-US"/>
        </w:rPr>
        <w:t xml:space="preserve"> </w:t>
      </w:r>
      <w:r w:rsidRPr="008B63A3">
        <w:rPr>
          <w:sz w:val="24"/>
          <w:szCs w:val="24"/>
          <w:lang w:val="en-US"/>
        </w:rPr>
        <w:t>according to the level of physical activity and sociodemographic variables. SABE Study: City of São Paulo, 2010.</w:t>
      </w:r>
    </w:p>
    <w:p w14:paraId="079DFFBA" w14:textId="77777777" w:rsidR="00F40069" w:rsidRPr="008B63A3" w:rsidRDefault="00F40069" w:rsidP="00F40069">
      <w:pPr>
        <w:spacing w:line="360" w:lineRule="auto"/>
        <w:jc w:val="both"/>
        <w:rPr>
          <w:b/>
          <w:sz w:val="24"/>
          <w:szCs w:val="24"/>
          <w:lang w:val="en-US"/>
        </w:rPr>
      </w:pPr>
      <w:r w:rsidRPr="008B63A3">
        <w:rPr>
          <w:b/>
          <w:sz w:val="24"/>
          <w:szCs w:val="24"/>
          <w:lang w:val="en-US"/>
        </w:rPr>
        <w:t>Insert table 2 here…</w:t>
      </w:r>
    </w:p>
    <w:p w14:paraId="53684927" w14:textId="77777777" w:rsidR="004764F5" w:rsidRPr="008B63A3" w:rsidRDefault="00DC1A46" w:rsidP="001544AC">
      <w:pPr>
        <w:spacing w:line="360" w:lineRule="auto"/>
        <w:jc w:val="both"/>
        <w:rPr>
          <w:sz w:val="24"/>
          <w:szCs w:val="24"/>
          <w:lang w:val="en-US"/>
        </w:rPr>
      </w:pPr>
      <w:r w:rsidRPr="008B63A3">
        <w:rPr>
          <w:b/>
          <w:sz w:val="24"/>
          <w:szCs w:val="24"/>
          <w:lang w:val="en-US"/>
        </w:rPr>
        <w:tab/>
      </w:r>
      <w:r w:rsidR="00A0410B" w:rsidRPr="008B63A3">
        <w:rPr>
          <w:sz w:val="24"/>
          <w:szCs w:val="24"/>
          <w:lang w:val="en-US"/>
        </w:rPr>
        <w:t>Among the</w:t>
      </w:r>
      <w:r w:rsidR="00A0410B" w:rsidRPr="008B63A3">
        <w:rPr>
          <w:b/>
          <w:sz w:val="24"/>
          <w:szCs w:val="24"/>
          <w:lang w:val="en-US"/>
        </w:rPr>
        <w:t xml:space="preserve"> </w:t>
      </w:r>
      <w:r w:rsidR="004764F5" w:rsidRPr="008B63A3">
        <w:rPr>
          <w:sz w:val="24"/>
          <w:szCs w:val="24"/>
          <w:lang w:val="en-US"/>
        </w:rPr>
        <w:t xml:space="preserve">of 568 </w:t>
      </w:r>
      <w:r w:rsidR="00A0410B" w:rsidRPr="008B63A3">
        <w:rPr>
          <w:sz w:val="24"/>
          <w:szCs w:val="24"/>
          <w:lang w:val="en-US"/>
        </w:rPr>
        <w:t xml:space="preserve">participants </w:t>
      </w:r>
      <w:r w:rsidR="004764F5" w:rsidRPr="008B63A3">
        <w:rPr>
          <w:sz w:val="24"/>
          <w:szCs w:val="24"/>
          <w:lang w:val="en-US"/>
        </w:rPr>
        <w:t xml:space="preserve">who </w:t>
      </w:r>
      <w:r w:rsidR="00A0410B" w:rsidRPr="008B63A3">
        <w:rPr>
          <w:sz w:val="24"/>
          <w:szCs w:val="24"/>
          <w:lang w:val="en-US"/>
        </w:rPr>
        <w:t xml:space="preserve">wore </w:t>
      </w:r>
      <w:r w:rsidR="004764F5" w:rsidRPr="008B63A3">
        <w:rPr>
          <w:sz w:val="24"/>
          <w:szCs w:val="24"/>
          <w:lang w:val="en-US"/>
        </w:rPr>
        <w:t>accelerometer</w:t>
      </w:r>
      <w:r w:rsidR="00A0410B" w:rsidRPr="008B63A3">
        <w:rPr>
          <w:sz w:val="24"/>
          <w:szCs w:val="24"/>
          <w:lang w:val="en-US"/>
        </w:rPr>
        <w:t>s</w:t>
      </w:r>
      <w:r w:rsidR="004764F5" w:rsidRPr="008B63A3">
        <w:rPr>
          <w:sz w:val="24"/>
          <w:szCs w:val="24"/>
          <w:lang w:val="en-US"/>
        </w:rPr>
        <w:t xml:space="preserve"> in 2010, </w:t>
      </w:r>
      <w:r w:rsidR="00A0410B" w:rsidRPr="008B63A3">
        <w:rPr>
          <w:sz w:val="24"/>
          <w:szCs w:val="24"/>
          <w:lang w:val="en-US"/>
        </w:rPr>
        <w:t xml:space="preserve">94 </w:t>
      </w:r>
      <w:r w:rsidR="004764F5" w:rsidRPr="008B63A3">
        <w:rPr>
          <w:sz w:val="24"/>
          <w:szCs w:val="24"/>
          <w:lang w:val="en-US"/>
        </w:rPr>
        <w:t>individuals</w:t>
      </w:r>
      <w:r w:rsidR="00A0410B" w:rsidRPr="008B63A3">
        <w:rPr>
          <w:sz w:val="24"/>
          <w:szCs w:val="24"/>
          <w:lang w:val="en-US"/>
        </w:rPr>
        <w:t xml:space="preserve"> died</w:t>
      </w:r>
      <w:r w:rsidR="004764F5" w:rsidRPr="008B63A3">
        <w:rPr>
          <w:sz w:val="24"/>
          <w:szCs w:val="24"/>
          <w:lang w:val="en-US"/>
        </w:rPr>
        <w:t xml:space="preserve"> </w:t>
      </w:r>
      <w:r w:rsidR="00A0410B" w:rsidRPr="008B63A3">
        <w:rPr>
          <w:sz w:val="24"/>
          <w:szCs w:val="24"/>
          <w:lang w:val="en-US"/>
        </w:rPr>
        <w:t xml:space="preserve">over a </w:t>
      </w:r>
      <w:r w:rsidR="004764F5" w:rsidRPr="008B63A3">
        <w:rPr>
          <w:sz w:val="24"/>
          <w:szCs w:val="24"/>
          <w:lang w:val="en-US"/>
        </w:rPr>
        <w:t xml:space="preserve">mean period of 2.21 (SD=1.1) years. Among </w:t>
      </w:r>
      <w:r w:rsidR="00346C47" w:rsidRPr="008B63A3">
        <w:rPr>
          <w:sz w:val="24"/>
          <w:szCs w:val="24"/>
          <w:lang w:val="en-US"/>
        </w:rPr>
        <w:t xml:space="preserve">these </w:t>
      </w:r>
      <w:r w:rsidR="006A53C3" w:rsidRPr="008B63A3">
        <w:rPr>
          <w:sz w:val="24"/>
          <w:szCs w:val="24"/>
          <w:lang w:val="en-US"/>
        </w:rPr>
        <w:t>participants</w:t>
      </w:r>
      <w:r w:rsidR="004764F5" w:rsidRPr="008B63A3">
        <w:rPr>
          <w:sz w:val="24"/>
          <w:szCs w:val="24"/>
          <w:lang w:val="en-US"/>
        </w:rPr>
        <w:t xml:space="preserve">, 58.6% were female and had an average </w:t>
      </w:r>
      <w:r w:rsidR="006A53C3" w:rsidRPr="008B63A3">
        <w:rPr>
          <w:sz w:val="24"/>
          <w:szCs w:val="24"/>
          <w:lang w:val="en-US"/>
        </w:rPr>
        <w:t xml:space="preserve">age </w:t>
      </w:r>
      <w:r w:rsidR="004764F5" w:rsidRPr="008B63A3">
        <w:rPr>
          <w:sz w:val="24"/>
          <w:szCs w:val="24"/>
          <w:lang w:val="en-US"/>
        </w:rPr>
        <w:t>of 78.8</w:t>
      </w:r>
      <w:r w:rsidR="006A53C3" w:rsidRPr="008B63A3">
        <w:rPr>
          <w:sz w:val="24"/>
          <w:szCs w:val="24"/>
          <w:lang w:val="en-US"/>
        </w:rPr>
        <w:t xml:space="preserve"> years</w:t>
      </w:r>
      <w:r w:rsidR="004764F5" w:rsidRPr="008B63A3">
        <w:rPr>
          <w:sz w:val="24"/>
          <w:szCs w:val="24"/>
          <w:lang w:val="en-US"/>
        </w:rPr>
        <w:t xml:space="preserve"> (SD=1.1) years.</w:t>
      </w:r>
      <w:r w:rsidR="00346C47" w:rsidRPr="008B63A3">
        <w:rPr>
          <w:sz w:val="24"/>
          <w:szCs w:val="24"/>
          <w:lang w:val="en-US"/>
        </w:rPr>
        <w:t xml:space="preserve"> </w:t>
      </w:r>
      <w:r w:rsidR="006A53C3" w:rsidRPr="008B63A3">
        <w:rPr>
          <w:sz w:val="24"/>
          <w:szCs w:val="24"/>
          <w:lang w:val="en-US"/>
        </w:rPr>
        <w:t>A</w:t>
      </w:r>
      <w:r w:rsidR="004764F5" w:rsidRPr="008B63A3">
        <w:rPr>
          <w:sz w:val="24"/>
          <w:szCs w:val="24"/>
          <w:lang w:val="en-US"/>
        </w:rPr>
        <w:t xml:space="preserve"> higher proportion of </w:t>
      </w:r>
      <w:r w:rsidR="006A53C3" w:rsidRPr="008B63A3">
        <w:rPr>
          <w:sz w:val="24"/>
          <w:szCs w:val="24"/>
          <w:lang w:val="en-US"/>
        </w:rPr>
        <w:t>participants</w:t>
      </w:r>
      <w:r w:rsidR="004764F5" w:rsidRPr="008B63A3">
        <w:rPr>
          <w:sz w:val="24"/>
          <w:szCs w:val="24"/>
          <w:lang w:val="en-US"/>
        </w:rPr>
        <w:t xml:space="preserve"> who died presented low level</w:t>
      </w:r>
      <w:r w:rsidR="006A53C3" w:rsidRPr="008B63A3">
        <w:rPr>
          <w:sz w:val="24"/>
          <w:szCs w:val="24"/>
          <w:lang w:val="en-US"/>
        </w:rPr>
        <w:t>s</w:t>
      </w:r>
      <w:r w:rsidR="004764F5" w:rsidRPr="008B63A3">
        <w:rPr>
          <w:sz w:val="24"/>
          <w:szCs w:val="24"/>
          <w:lang w:val="en-US"/>
        </w:rPr>
        <w:t xml:space="preserve"> of </w:t>
      </w:r>
      <w:r w:rsidR="006A53C3" w:rsidRPr="008B63A3">
        <w:rPr>
          <w:sz w:val="24"/>
          <w:szCs w:val="24"/>
          <w:lang w:val="en-US"/>
        </w:rPr>
        <w:t>PA</w:t>
      </w:r>
      <w:r w:rsidR="004764F5" w:rsidRPr="008B63A3">
        <w:rPr>
          <w:sz w:val="24"/>
          <w:szCs w:val="24"/>
          <w:lang w:val="en-US"/>
        </w:rPr>
        <w:t xml:space="preserve"> (Table 3).</w:t>
      </w:r>
    </w:p>
    <w:p w14:paraId="62CB3B0D" w14:textId="77777777" w:rsidR="00F40069" w:rsidRPr="008B63A3" w:rsidRDefault="001A57B6" w:rsidP="00F40069">
      <w:pPr>
        <w:spacing w:line="360" w:lineRule="auto"/>
        <w:jc w:val="both"/>
        <w:rPr>
          <w:b/>
          <w:sz w:val="24"/>
          <w:szCs w:val="24"/>
          <w:lang w:val="en-US"/>
        </w:rPr>
      </w:pPr>
      <w:r w:rsidRPr="008B63A3">
        <w:rPr>
          <w:b/>
          <w:sz w:val="24"/>
          <w:szCs w:val="24"/>
          <w:lang w:val="en-US"/>
        </w:rPr>
        <w:t>Table 3.</w:t>
      </w:r>
      <w:r w:rsidRPr="008B63A3">
        <w:rPr>
          <w:sz w:val="24"/>
          <w:szCs w:val="24"/>
          <w:lang w:val="en-US"/>
        </w:rPr>
        <w:t xml:space="preserve"> Distribution of the sample</w:t>
      </w:r>
      <w:r w:rsidR="005F1AEC" w:rsidRPr="008B63A3">
        <w:rPr>
          <w:sz w:val="24"/>
          <w:szCs w:val="24"/>
          <w:lang w:val="en-US"/>
        </w:rPr>
        <w:t xml:space="preserve"> </w:t>
      </w:r>
      <w:r w:rsidRPr="008B63A3">
        <w:rPr>
          <w:sz w:val="24"/>
          <w:szCs w:val="24"/>
          <w:lang w:val="en-US"/>
        </w:rPr>
        <w:t>(%) mortality (from 2010 to 2014) and level of physical activity. SABE Study: City of São Paulo, 2010 - 2014.</w:t>
      </w:r>
      <w:r w:rsidR="00F40069" w:rsidRPr="008B63A3">
        <w:rPr>
          <w:b/>
          <w:sz w:val="24"/>
          <w:szCs w:val="24"/>
          <w:lang w:val="en-US"/>
        </w:rPr>
        <w:t xml:space="preserve"> </w:t>
      </w:r>
    </w:p>
    <w:p w14:paraId="29A5526B" w14:textId="77777777" w:rsidR="00F40069" w:rsidRPr="008B63A3" w:rsidRDefault="00F40069" w:rsidP="00F40069">
      <w:pPr>
        <w:spacing w:line="360" w:lineRule="auto"/>
        <w:jc w:val="both"/>
        <w:rPr>
          <w:b/>
          <w:sz w:val="24"/>
          <w:szCs w:val="24"/>
          <w:lang w:val="en-US"/>
        </w:rPr>
      </w:pPr>
      <w:r w:rsidRPr="008B63A3">
        <w:rPr>
          <w:b/>
          <w:sz w:val="24"/>
          <w:szCs w:val="24"/>
          <w:lang w:val="en-US"/>
        </w:rPr>
        <w:t>Insert table 3 here…</w:t>
      </w:r>
    </w:p>
    <w:p w14:paraId="46578D8A" w14:textId="77777777" w:rsidR="004764F5" w:rsidRPr="008B63A3" w:rsidRDefault="00134F79" w:rsidP="0055680E">
      <w:pPr>
        <w:spacing w:line="360" w:lineRule="auto"/>
        <w:jc w:val="both"/>
        <w:rPr>
          <w:sz w:val="24"/>
          <w:szCs w:val="24"/>
          <w:lang w:val="en-US"/>
        </w:rPr>
      </w:pPr>
      <w:r w:rsidRPr="008B63A3">
        <w:rPr>
          <w:sz w:val="24"/>
          <w:szCs w:val="24"/>
          <w:lang w:val="en-US"/>
        </w:rPr>
        <w:tab/>
      </w:r>
      <w:r w:rsidR="008954C6" w:rsidRPr="008B63A3">
        <w:rPr>
          <w:sz w:val="24"/>
          <w:szCs w:val="24"/>
          <w:lang w:val="en-US"/>
        </w:rPr>
        <w:t>In</w:t>
      </w:r>
      <w:r w:rsidR="004764F5" w:rsidRPr="008B63A3">
        <w:rPr>
          <w:sz w:val="24"/>
          <w:szCs w:val="24"/>
          <w:lang w:val="en-US"/>
        </w:rPr>
        <w:t xml:space="preserve"> the unadjusted model, there was an association between low level of </w:t>
      </w:r>
      <w:r w:rsidR="006A53C3" w:rsidRPr="008B63A3">
        <w:rPr>
          <w:sz w:val="24"/>
          <w:szCs w:val="24"/>
          <w:lang w:val="en-US"/>
        </w:rPr>
        <w:t>PA</w:t>
      </w:r>
      <w:r w:rsidR="004764F5" w:rsidRPr="008B63A3">
        <w:rPr>
          <w:sz w:val="24"/>
          <w:szCs w:val="24"/>
          <w:lang w:val="en-US"/>
        </w:rPr>
        <w:t xml:space="preserve"> and mortality from 2010 to 2014 (PR = 4.24, CI= 2.58 - 6.95). </w:t>
      </w:r>
      <w:r w:rsidR="0055680E" w:rsidRPr="008B63A3">
        <w:rPr>
          <w:sz w:val="24"/>
          <w:szCs w:val="24"/>
          <w:lang w:val="en-US"/>
        </w:rPr>
        <w:t>In addition, t</w:t>
      </w:r>
      <w:r w:rsidR="004764F5" w:rsidRPr="008B63A3">
        <w:rPr>
          <w:sz w:val="24"/>
          <w:szCs w:val="24"/>
          <w:lang w:val="en-US"/>
        </w:rPr>
        <w:t xml:space="preserve">he mortality rate for people with low level of </w:t>
      </w:r>
      <w:r w:rsidR="006A53C3" w:rsidRPr="008B63A3">
        <w:rPr>
          <w:sz w:val="24"/>
          <w:szCs w:val="24"/>
          <w:lang w:val="en-US"/>
        </w:rPr>
        <w:t>PA</w:t>
      </w:r>
      <w:r w:rsidR="004764F5" w:rsidRPr="008B63A3">
        <w:rPr>
          <w:sz w:val="24"/>
          <w:szCs w:val="24"/>
          <w:lang w:val="en-US"/>
        </w:rPr>
        <w:t xml:space="preserve"> was 20/1000 person/year and those with intermediate/high level of </w:t>
      </w:r>
      <w:r w:rsidR="006A53C3" w:rsidRPr="008B63A3">
        <w:rPr>
          <w:sz w:val="24"/>
          <w:szCs w:val="24"/>
          <w:lang w:val="en-US"/>
        </w:rPr>
        <w:t>PA</w:t>
      </w:r>
      <w:r w:rsidR="004764F5" w:rsidRPr="008B63A3">
        <w:rPr>
          <w:sz w:val="24"/>
          <w:szCs w:val="24"/>
          <w:lang w:val="en-US"/>
        </w:rPr>
        <w:t xml:space="preserve"> was 14/1000 person/year.</w:t>
      </w:r>
      <w:r w:rsidR="0055680E" w:rsidRPr="008B63A3">
        <w:rPr>
          <w:sz w:val="24"/>
          <w:szCs w:val="24"/>
          <w:lang w:val="en-US"/>
        </w:rPr>
        <w:t xml:space="preserve"> </w:t>
      </w:r>
      <w:r w:rsidR="008954C6" w:rsidRPr="008B63A3">
        <w:rPr>
          <w:sz w:val="24"/>
          <w:szCs w:val="24"/>
          <w:lang w:val="en-US"/>
        </w:rPr>
        <w:t>Moreover, t</w:t>
      </w:r>
      <w:r w:rsidR="004764F5" w:rsidRPr="008B63A3">
        <w:rPr>
          <w:sz w:val="24"/>
          <w:szCs w:val="24"/>
          <w:lang w:val="en-US"/>
        </w:rPr>
        <w:t xml:space="preserve">he low level of </w:t>
      </w:r>
      <w:r w:rsidR="006A53C3" w:rsidRPr="008B63A3">
        <w:rPr>
          <w:sz w:val="24"/>
          <w:szCs w:val="24"/>
          <w:lang w:val="en-US"/>
        </w:rPr>
        <w:t>PA</w:t>
      </w:r>
      <w:r w:rsidR="004764F5" w:rsidRPr="008B63A3">
        <w:rPr>
          <w:sz w:val="24"/>
          <w:szCs w:val="24"/>
          <w:lang w:val="en-US"/>
        </w:rPr>
        <w:t xml:space="preserve"> adjusted in the model with the block of sociodemographic variables presented a proportional risk of 3.55 (CI= 2.21 - 5.71) </w:t>
      </w:r>
      <w:r w:rsidR="004764F5" w:rsidRPr="008B63A3">
        <w:rPr>
          <w:b/>
          <w:sz w:val="24"/>
          <w:szCs w:val="24"/>
          <w:lang w:val="en-US"/>
        </w:rPr>
        <w:t>(</w:t>
      </w:r>
      <w:r w:rsidR="0055680E" w:rsidRPr="008B63A3">
        <w:rPr>
          <w:b/>
          <w:sz w:val="24"/>
          <w:szCs w:val="24"/>
          <w:lang w:val="en-US"/>
        </w:rPr>
        <w:t>T</w:t>
      </w:r>
      <w:r w:rsidR="004764F5" w:rsidRPr="008B63A3">
        <w:rPr>
          <w:b/>
          <w:sz w:val="24"/>
          <w:szCs w:val="24"/>
          <w:lang w:val="en-US"/>
        </w:rPr>
        <w:t>able 4)</w:t>
      </w:r>
      <w:r w:rsidR="004764F5" w:rsidRPr="008B63A3">
        <w:rPr>
          <w:sz w:val="24"/>
          <w:szCs w:val="24"/>
          <w:lang w:val="en-US"/>
        </w:rPr>
        <w:t xml:space="preserve">. </w:t>
      </w:r>
      <w:r w:rsidR="0055680E" w:rsidRPr="008B63A3">
        <w:rPr>
          <w:sz w:val="24"/>
          <w:szCs w:val="24"/>
          <w:lang w:val="en-US"/>
        </w:rPr>
        <w:t xml:space="preserve"> Furthermore, i</w:t>
      </w:r>
      <w:r w:rsidR="004764F5" w:rsidRPr="008B63A3">
        <w:rPr>
          <w:sz w:val="24"/>
          <w:szCs w:val="24"/>
          <w:lang w:val="en-US"/>
        </w:rPr>
        <w:t xml:space="preserve">n the adjusted model, by sociodemographic and clinical variables, </w:t>
      </w:r>
      <w:r w:rsidR="006A53C3" w:rsidRPr="008B63A3">
        <w:rPr>
          <w:sz w:val="24"/>
          <w:szCs w:val="24"/>
          <w:lang w:val="en-US"/>
        </w:rPr>
        <w:t>participants demonstrating</w:t>
      </w:r>
      <w:r w:rsidR="004764F5" w:rsidRPr="008B63A3">
        <w:rPr>
          <w:sz w:val="24"/>
          <w:szCs w:val="24"/>
          <w:lang w:val="en-US"/>
        </w:rPr>
        <w:t xml:space="preserve"> low level</w:t>
      </w:r>
      <w:r w:rsidR="006A53C3" w:rsidRPr="008B63A3">
        <w:rPr>
          <w:sz w:val="24"/>
          <w:szCs w:val="24"/>
          <w:lang w:val="en-US"/>
        </w:rPr>
        <w:t>s</w:t>
      </w:r>
      <w:r w:rsidR="004764F5" w:rsidRPr="008B63A3">
        <w:rPr>
          <w:sz w:val="24"/>
          <w:szCs w:val="24"/>
          <w:lang w:val="en-US"/>
        </w:rPr>
        <w:t xml:space="preserve"> of </w:t>
      </w:r>
      <w:r w:rsidR="006A53C3" w:rsidRPr="008B63A3">
        <w:rPr>
          <w:sz w:val="24"/>
          <w:szCs w:val="24"/>
          <w:lang w:val="en-US"/>
        </w:rPr>
        <w:t>PA</w:t>
      </w:r>
      <w:r w:rsidR="004764F5" w:rsidRPr="008B63A3">
        <w:rPr>
          <w:sz w:val="24"/>
          <w:szCs w:val="24"/>
          <w:lang w:val="en-US"/>
        </w:rPr>
        <w:t xml:space="preserve"> </w:t>
      </w:r>
      <w:r w:rsidR="006A53C3" w:rsidRPr="008B63A3">
        <w:rPr>
          <w:sz w:val="24"/>
          <w:szCs w:val="24"/>
          <w:lang w:val="en-US"/>
        </w:rPr>
        <w:t xml:space="preserve">were at </w:t>
      </w:r>
      <w:r w:rsidR="004764F5" w:rsidRPr="008B63A3">
        <w:rPr>
          <w:sz w:val="24"/>
          <w:szCs w:val="24"/>
          <w:lang w:val="en-US"/>
        </w:rPr>
        <w:t xml:space="preserve">higher risk for death (OR=2.79, 95%CI= 1.71 – 4.57) when compared to individuals with intermediate/high level of </w:t>
      </w:r>
      <w:r w:rsidR="006A53C3" w:rsidRPr="008B63A3">
        <w:rPr>
          <w:sz w:val="24"/>
          <w:szCs w:val="24"/>
          <w:lang w:val="en-US"/>
        </w:rPr>
        <w:t>PA</w:t>
      </w:r>
      <w:r w:rsidR="004764F5" w:rsidRPr="008B63A3">
        <w:rPr>
          <w:sz w:val="24"/>
          <w:szCs w:val="24"/>
          <w:lang w:val="en-US"/>
        </w:rPr>
        <w:t xml:space="preserve"> </w:t>
      </w:r>
      <w:r w:rsidR="004764F5" w:rsidRPr="008B63A3">
        <w:rPr>
          <w:b/>
          <w:sz w:val="24"/>
          <w:szCs w:val="24"/>
          <w:lang w:val="en-US"/>
        </w:rPr>
        <w:t>(Table 4).</w:t>
      </w:r>
    </w:p>
    <w:p w14:paraId="27DDC997" w14:textId="77777777" w:rsidR="00F40069" w:rsidRPr="008B63A3" w:rsidRDefault="001A57B6" w:rsidP="00F40069">
      <w:pPr>
        <w:spacing w:line="360" w:lineRule="auto"/>
        <w:ind w:firstLine="709"/>
        <w:jc w:val="both"/>
        <w:rPr>
          <w:sz w:val="24"/>
          <w:szCs w:val="24"/>
          <w:lang w:val="en-US"/>
        </w:rPr>
      </w:pPr>
      <w:r w:rsidRPr="008B63A3">
        <w:rPr>
          <w:b/>
          <w:sz w:val="24"/>
          <w:szCs w:val="24"/>
          <w:lang w:val="en-US"/>
        </w:rPr>
        <w:t>Table 4.</w:t>
      </w:r>
      <w:r w:rsidRPr="008B63A3">
        <w:rPr>
          <w:sz w:val="24"/>
          <w:szCs w:val="24"/>
          <w:lang w:val="en-US"/>
        </w:rPr>
        <w:t xml:space="preserve"> Mortality, in the four-year period, in 568 older adults, according to cox's predictive proportional risk model. SABE Study: City of São Paulo, 2010 - 2014.</w:t>
      </w:r>
    </w:p>
    <w:p w14:paraId="028B7343" w14:textId="77777777" w:rsidR="00A776D7" w:rsidRPr="008B63A3" w:rsidRDefault="00F40069" w:rsidP="00F40069">
      <w:pPr>
        <w:spacing w:line="360" w:lineRule="auto"/>
        <w:jc w:val="both"/>
        <w:rPr>
          <w:b/>
          <w:sz w:val="24"/>
          <w:szCs w:val="24"/>
          <w:lang w:val="en-US"/>
        </w:rPr>
      </w:pPr>
      <w:r w:rsidRPr="008B63A3">
        <w:rPr>
          <w:b/>
          <w:sz w:val="24"/>
          <w:szCs w:val="24"/>
          <w:lang w:val="en-US"/>
        </w:rPr>
        <w:t>Insert table 4 here…</w:t>
      </w:r>
    </w:p>
    <w:p w14:paraId="3AD176CE" w14:textId="77777777" w:rsidR="004764F5" w:rsidRPr="008B63A3" w:rsidRDefault="00626ACC" w:rsidP="001544AC">
      <w:pPr>
        <w:spacing w:line="360" w:lineRule="auto"/>
        <w:jc w:val="both"/>
        <w:rPr>
          <w:sz w:val="24"/>
          <w:szCs w:val="24"/>
          <w:lang w:val="en-US"/>
        </w:rPr>
      </w:pPr>
      <w:r w:rsidRPr="008B63A3">
        <w:rPr>
          <w:sz w:val="24"/>
          <w:szCs w:val="24"/>
          <w:lang w:val="en-US"/>
        </w:rPr>
        <w:tab/>
      </w:r>
      <w:r w:rsidR="004764F5" w:rsidRPr="008B63A3">
        <w:rPr>
          <w:sz w:val="24"/>
          <w:szCs w:val="24"/>
          <w:lang w:val="en-US"/>
        </w:rPr>
        <w:t>The effect of low level</w:t>
      </w:r>
      <w:r w:rsidR="006A53C3" w:rsidRPr="008B63A3">
        <w:rPr>
          <w:sz w:val="24"/>
          <w:szCs w:val="24"/>
          <w:lang w:val="en-US"/>
        </w:rPr>
        <w:t>s</w:t>
      </w:r>
      <w:r w:rsidR="004764F5" w:rsidRPr="008B63A3">
        <w:rPr>
          <w:sz w:val="24"/>
          <w:szCs w:val="24"/>
          <w:lang w:val="en-US"/>
        </w:rPr>
        <w:t xml:space="preserve"> of </w:t>
      </w:r>
      <w:r w:rsidR="006A53C3" w:rsidRPr="008B63A3">
        <w:rPr>
          <w:sz w:val="24"/>
          <w:szCs w:val="24"/>
          <w:lang w:val="en-US"/>
        </w:rPr>
        <w:t>PA</w:t>
      </w:r>
      <w:r w:rsidR="004764F5" w:rsidRPr="008B63A3">
        <w:rPr>
          <w:sz w:val="24"/>
          <w:szCs w:val="24"/>
          <w:lang w:val="en-US"/>
        </w:rPr>
        <w:t xml:space="preserve"> on the survival of </w:t>
      </w:r>
      <w:r w:rsidR="006A53C3" w:rsidRPr="008B63A3">
        <w:rPr>
          <w:sz w:val="24"/>
          <w:szCs w:val="24"/>
          <w:lang w:val="en-US"/>
        </w:rPr>
        <w:t>participants</w:t>
      </w:r>
      <w:r w:rsidR="004764F5" w:rsidRPr="008B63A3">
        <w:rPr>
          <w:sz w:val="24"/>
          <w:szCs w:val="24"/>
          <w:lang w:val="en-US"/>
        </w:rPr>
        <w:t xml:space="preserve"> </w:t>
      </w:r>
      <w:r w:rsidR="006A53C3" w:rsidRPr="008B63A3">
        <w:rPr>
          <w:sz w:val="24"/>
          <w:szCs w:val="24"/>
          <w:lang w:val="en-US"/>
        </w:rPr>
        <w:t xml:space="preserve">over </w:t>
      </w:r>
      <w:r w:rsidR="004764F5" w:rsidRPr="008B63A3">
        <w:rPr>
          <w:sz w:val="24"/>
          <w:szCs w:val="24"/>
          <w:lang w:val="en-US"/>
        </w:rPr>
        <w:t xml:space="preserve">the four-year period was tested, comparing the Kaplan-Meier survival curves, and showed significant differences </w:t>
      </w:r>
      <w:r w:rsidR="006A53C3" w:rsidRPr="008B63A3">
        <w:rPr>
          <w:sz w:val="24"/>
          <w:szCs w:val="24"/>
          <w:lang w:val="en-US"/>
        </w:rPr>
        <w:t xml:space="preserve">according to </w:t>
      </w:r>
      <w:r w:rsidR="004764F5" w:rsidRPr="008B63A3">
        <w:rPr>
          <w:sz w:val="24"/>
          <w:szCs w:val="24"/>
          <w:lang w:val="en-US"/>
        </w:rPr>
        <w:t xml:space="preserve">the log-rank test (p&lt;0.001). </w:t>
      </w:r>
      <w:r w:rsidR="006A53C3" w:rsidRPr="008B63A3">
        <w:rPr>
          <w:sz w:val="24"/>
          <w:szCs w:val="24"/>
          <w:lang w:val="en-US"/>
        </w:rPr>
        <w:t>Participants in the</w:t>
      </w:r>
      <w:r w:rsidR="004764F5" w:rsidRPr="008B63A3">
        <w:rPr>
          <w:sz w:val="24"/>
          <w:szCs w:val="24"/>
          <w:lang w:val="en-US"/>
        </w:rPr>
        <w:t xml:space="preserve"> low level of </w:t>
      </w:r>
      <w:r w:rsidR="006A53C3" w:rsidRPr="008B63A3">
        <w:rPr>
          <w:sz w:val="24"/>
          <w:szCs w:val="24"/>
          <w:lang w:val="en-US"/>
        </w:rPr>
        <w:t>PA classification</w:t>
      </w:r>
      <w:r w:rsidR="004764F5" w:rsidRPr="008B63A3">
        <w:rPr>
          <w:sz w:val="24"/>
          <w:szCs w:val="24"/>
          <w:lang w:val="en-US"/>
        </w:rPr>
        <w:t xml:space="preserve"> presented approximately 30% mortality, while th</w:t>
      </w:r>
      <w:r w:rsidR="00DD7397" w:rsidRPr="008B63A3">
        <w:rPr>
          <w:sz w:val="24"/>
          <w:szCs w:val="24"/>
          <w:lang w:val="en-US"/>
        </w:rPr>
        <w:t xml:space="preserve">ose </w:t>
      </w:r>
      <w:r w:rsidR="004764F5" w:rsidRPr="008B63A3">
        <w:rPr>
          <w:sz w:val="24"/>
          <w:szCs w:val="24"/>
          <w:lang w:val="en-US"/>
        </w:rPr>
        <w:t xml:space="preserve">classified as intermediate/high level of </w:t>
      </w:r>
      <w:r w:rsidR="006A53C3" w:rsidRPr="008B63A3">
        <w:rPr>
          <w:sz w:val="24"/>
          <w:szCs w:val="24"/>
          <w:lang w:val="en-US"/>
        </w:rPr>
        <w:t>PA</w:t>
      </w:r>
      <w:r w:rsidR="004764F5" w:rsidRPr="008B63A3">
        <w:rPr>
          <w:sz w:val="24"/>
          <w:szCs w:val="24"/>
          <w:lang w:val="en-US"/>
        </w:rPr>
        <w:t>, only 10% (</w:t>
      </w:r>
      <w:r w:rsidR="006A53C3" w:rsidRPr="008B63A3">
        <w:rPr>
          <w:sz w:val="24"/>
          <w:szCs w:val="24"/>
          <w:lang w:val="en-US"/>
        </w:rPr>
        <w:t>F</w:t>
      </w:r>
      <w:r w:rsidR="004764F5" w:rsidRPr="008B63A3">
        <w:rPr>
          <w:sz w:val="24"/>
          <w:szCs w:val="24"/>
          <w:lang w:val="en-US"/>
        </w:rPr>
        <w:t>igure 2).</w:t>
      </w:r>
    </w:p>
    <w:p w14:paraId="10C78FC9" w14:textId="77777777" w:rsidR="004764F5" w:rsidRPr="008B63A3" w:rsidRDefault="004764F5" w:rsidP="001544AC">
      <w:pPr>
        <w:spacing w:line="360" w:lineRule="auto"/>
        <w:jc w:val="both"/>
        <w:rPr>
          <w:sz w:val="24"/>
          <w:szCs w:val="24"/>
          <w:lang w:val="en-US"/>
        </w:rPr>
      </w:pPr>
    </w:p>
    <w:p w14:paraId="52E3DF6B" w14:textId="77777777" w:rsidR="00AB09C3" w:rsidRPr="008B63A3" w:rsidRDefault="004764F5" w:rsidP="001544AC">
      <w:pPr>
        <w:spacing w:line="360" w:lineRule="auto"/>
        <w:jc w:val="both"/>
        <w:rPr>
          <w:b/>
          <w:noProof/>
          <w:sz w:val="24"/>
          <w:szCs w:val="24"/>
          <w:highlight w:val="yellow"/>
          <w:lang w:val="en-US"/>
        </w:rPr>
      </w:pPr>
      <w:bookmarkStart w:id="13" w:name="_Hlk65819177"/>
      <w:r w:rsidRPr="008B63A3">
        <w:rPr>
          <w:b/>
          <w:sz w:val="24"/>
          <w:szCs w:val="24"/>
          <w:lang w:val="en-US"/>
        </w:rPr>
        <w:t>Figure 2.</w:t>
      </w:r>
      <w:r w:rsidRPr="008B63A3">
        <w:rPr>
          <w:sz w:val="24"/>
          <w:szCs w:val="24"/>
          <w:lang w:val="en-US"/>
        </w:rPr>
        <w:t xml:space="preserve"> Kaplan-Meier survival curve for the sample, according to low level of physical activity. SABE Study: City of São Paulo, 2010 - 2014.</w:t>
      </w:r>
      <w:bookmarkEnd w:id="13"/>
    </w:p>
    <w:p w14:paraId="0AFEFE11" w14:textId="77777777" w:rsidR="00E42D97" w:rsidRPr="008B63A3" w:rsidRDefault="00E42D97" w:rsidP="00E42D97">
      <w:pPr>
        <w:shd w:val="clear" w:color="auto" w:fill="FFFFFF"/>
        <w:spacing w:line="360" w:lineRule="auto"/>
        <w:jc w:val="both"/>
        <w:rPr>
          <w:b/>
          <w:sz w:val="24"/>
          <w:szCs w:val="24"/>
          <w:lang w:val="en-US"/>
        </w:rPr>
      </w:pPr>
      <w:r w:rsidRPr="008B63A3">
        <w:rPr>
          <w:b/>
          <w:sz w:val="24"/>
          <w:szCs w:val="24"/>
          <w:lang w:val="en-US"/>
        </w:rPr>
        <w:t xml:space="preserve">Insert figure 2 here… </w:t>
      </w:r>
    </w:p>
    <w:p w14:paraId="73657EC1" w14:textId="77777777" w:rsidR="00E42D97" w:rsidRPr="008B63A3" w:rsidRDefault="00E42D97" w:rsidP="001544AC">
      <w:pPr>
        <w:spacing w:line="360" w:lineRule="auto"/>
        <w:jc w:val="both"/>
        <w:rPr>
          <w:b/>
          <w:sz w:val="24"/>
          <w:szCs w:val="24"/>
          <w:highlight w:val="yellow"/>
          <w:lang w:val="en-US"/>
        </w:rPr>
      </w:pPr>
    </w:p>
    <w:p w14:paraId="17BCB53E" w14:textId="77777777" w:rsidR="000D569C" w:rsidRPr="008B63A3" w:rsidRDefault="004764F5" w:rsidP="0029673C">
      <w:pPr>
        <w:spacing w:line="360" w:lineRule="auto"/>
        <w:ind w:firstLine="709"/>
        <w:jc w:val="both"/>
        <w:rPr>
          <w:sz w:val="24"/>
          <w:szCs w:val="24"/>
          <w:lang w:val="en-US"/>
        </w:rPr>
      </w:pPr>
      <w:r w:rsidRPr="008B63A3">
        <w:rPr>
          <w:sz w:val="24"/>
          <w:szCs w:val="24"/>
          <w:lang w:val="en-US"/>
        </w:rPr>
        <w:t>The effect of low level</w:t>
      </w:r>
      <w:r w:rsidR="006A53C3" w:rsidRPr="008B63A3">
        <w:rPr>
          <w:sz w:val="24"/>
          <w:szCs w:val="24"/>
          <w:lang w:val="en-US"/>
        </w:rPr>
        <w:t>s</w:t>
      </w:r>
      <w:r w:rsidRPr="008B63A3">
        <w:rPr>
          <w:sz w:val="24"/>
          <w:szCs w:val="24"/>
          <w:lang w:val="en-US"/>
        </w:rPr>
        <w:t xml:space="preserve"> of </w:t>
      </w:r>
      <w:r w:rsidR="006A53C3" w:rsidRPr="008B63A3">
        <w:rPr>
          <w:sz w:val="24"/>
          <w:szCs w:val="24"/>
          <w:lang w:val="en-US"/>
        </w:rPr>
        <w:t>PA</w:t>
      </w:r>
      <w:r w:rsidRPr="008B63A3">
        <w:rPr>
          <w:sz w:val="24"/>
          <w:szCs w:val="24"/>
          <w:lang w:val="en-US"/>
        </w:rPr>
        <w:t xml:space="preserve"> on the survival of </w:t>
      </w:r>
      <w:r w:rsidR="00DD7397" w:rsidRPr="008B63A3">
        <w:rPr>
          <w:sz w:val="24"/>
          <w:szCs w:val="24"/>
          <w:lang w:val="en-US"/>
        </w:rPr>
        <w:t xml:space="preserve">older adults </w:t>
      </w:r>
      <w:r w:rsidRPr="008B63A3">
        <w:rPr>
          <w:sz w:val="24"/>
          <w:szCs w:val="24"/>
          <w:lang w:val="en-US"/>
        </w:rPr>
        <w:t>in the four-year period was tested for each sex, comparing the Kaplan-Meier survival curves, which showed significant differences with the log-rank test in both sexes (p&lt;0.001) (</w:t>
      </w:r>
      <w:r w:rsidR="006A53C3" w:rsidRPr="008B63A3">
        <w:rPr>
          <w:sz w:val="24"/>
          <w:szCs w:val="24"/>
          <w:lang w:val="en-US"/>
        </w:rPr>
        <w:t>F</w:t>
      </w:r>
      <w:r w:rsidRPr="008B63A3">
        <w:rPr>
          <w:sz w:val="24"/>
          <w:szCs w:val="24"/>
          <w:lang w:val="en-US"/>
        </w:rPr>
        <w:t>igure 3). It can be observed that, although there was no significant difference</w:t>
      </w:r>
      <w:r w:rsidR="006A53C3" w:rsidRPr="008B63A3">
        <w:rPr>
          <w:sz w:val="24"/>
          <w:szCs w:val="24"/>
          <w:lang w:val="en-US"/>
        </w:rPr>
        <w:t xml:space="preserve"> between males and females</w:t>
      </w:r>
      <w:r w:rsidRPr="008B63A3">
        <w:rPr>
          <w:sz w:val="24"/>
          <w:szCs w:val="24"/>
          <w:lang w:val="en-US"/>
        </w:rPr>
        <w:t xml:space="preserve"> (p = 0.124)</w:t>
      </w:r>
      <w:r w:rsidR="006A53C3" w:rsidRPr="008B63A3">
        <w:rPr>
          <w:sz w:val="24"/>
          <w:szCs w:val="24"/>
          <w:lang w:val="en-US"/>
        </w:rPr>
        <w:t>,</w:t>
      </w:r>
      <w:r w:rsidRPr="008B63A3">
        <w:rPr>
          <w:sz w:val="24"/>
          <w:szCs w:val="24"/>
          <w:lang w:val="en-US"/>
        </w:rPr>
        <w:t xml:space="preserve"> the survival curve for </w:t>
      </w:r>
      <w:r w:rsidR="006A53C3" w:rsidRPr="008B63A3">
        <w:rPr>
          <w:sz w:val="24"/>
          <w:szCs w:val="24"/>
          <w:lang w:val="en-US"/>
        </w:rPr>
        <w:t xml:space="preserve">males </w:t>
      </w:r>
      <w:r w:rsidRPr="008B63A3">
        <w:rPr>
          <w:sz w:val="24"/>
          <w:szCs w:val="24"/>
          <w:lang w:val="en-US"/>
        </w:rPr>
        <w:t>(</w:t>
      </w:r>
      <w:r w:rsidR="007C007C" w:rsidRPr="008B63A3">
        <w:rPr>
          <w:sz w:val="24"/>
          <w:szCs w:val="24"/>
          <w:lang w:val="en-US"/>
        </w:rPr>
        <w:t>Fi</w:t>
      </w:r>
      <w:r w:rsidRPr="008B63A3">
        <w:rPr>
          <w:sz w:val="24"/>
          <w:szCs w:val="24"/>
          <w:lang w:val="en-US"/>
        </w:rPr>
        <w:t xml:space="preserve">gure 3A) with low level of </w:t>
      </w:r>
      <w:r w:rsidR="006A53C3" w:rsidRPr="008B63A3">
        <w:rPr>
          <w:sz w:val="24"/>
          <w:szCs w:val="24"/>
          <w:lang w:val="en-US"/>
        </w:rPr>
        <w:t>PA</w:t>
      </w:r>
      <w:r w:rsidRPr="008B63A3">
        <w:rPr>
          <w:sz w:val="24"/>
          <w:szCs w:val="24"/>
          <w:lang w:val="en-US"/>
        </w:rPr>
        <w:t xml:space="preserve"> is more pronounced than for </w:t>
      </w:r>
      <w:r w:rsidR="006A53C3" w:rsidRPr="008B63A3">
        <w:rPr>
          <w:sz w:val="24"/>
          <w:szCs w:val="24"/>
          <w:lang w:val="en-US"/>
        </w:rPr>
        <w:t xml:space="preserve">female </w:t>
      </w:r>
      <w:r w:rsidRPr="008B63A3">
        <w:rPr>
          <w:sz w:val="24"/>
          <w:szCs w:val="24"/>
          <w:lang w:val="en-US"/>
        </w:rPr>
        <w:t>(</w:t>
      </w:r>
      <w:r w:rsidR="006A53C3" w:rsidRPr="008B63A3">
        <w:rPr>
          <w:sz w:val="24"/>
          <w:szCs w:val="24"/>
          <w:lang w:val="en-US"/>
        </w:rPr>
        <w:t>F</w:t>
      </w:r>
      <w:r w:rsidRPr="008B63A3">
        <w:rPr>
          <w:sz w:val="24"/>
          <w:szCs w:val="24"/>
          <w:lang w:val="en-US"/>
        </w:rPr>
        <w:t>igure 3B).</w:t>
      </w:r>
    </w:p>
    <w:p w14:paraId="3D81BA34" w14:textId="77777777" w:rsidR="000D569C" w:rsidRPr="008B63A3" w:rsidRDefault="000D569C" w:rsidP="001544AC">
      <w:pPr>
        <w:spacing w:line="360" w:lineRule="auto"/>
        <w:ind w:firstLine="709"/>
        <w:jc w:val="both"/>
        <w:rPr>
          <w:sz w:val="24"/>
          <w:szCs w:val="24"/>
          <w:lang w:val="en-US"/>
        </w:rPr>
      </w:pPr>
    </w:p>
    <w:p w14:paraId="34D13CF3" w14:textId="77777777" w:rsidR="004764F5" w:rsidRPr="008B63A3" w:rsidRDefault="004764F5" w:rsidP="00E42D97">
      <w:pPr>
        <w:spacing w:line="360" w:lineRule="auto"/>
        <w:jc w:val="both"/>
        <w:rPr>
          <w:noProof/>
          <w:sz w:val="24"/>
          <w:szCs w:val="24"/>
          <w:lang w:val="en-US"/>
        </w:rPr>
      </w:pPr>
      <w:bookmarkStart w:id="14" w:name="_Hlk65819322"/>
      <w:r w:rsidRPr="008B63A3">
        <w:rPr>
          <w:b/>
          <w:sz w:val="24"/>
          <w:szCs w:val="24"/>
          <w:lang w:val="en-US"/>
        </w:rPr>
        <w:t>Figure 3.</w:t>
      </w:r>
      <w:r w:rsidRPr="008B63A3">
        <w:rPr>
          <w:sz w:val="24"/>
          <w:szCs w:val="24"/>
          <w:lang w:val="en-US"/>
        </w:rPr>
        <w:t xml:space="preserve"> Kaplan-Meier survival curve for the sample, according to low level of physical activity in each sex. SABE Study: </w:t>
      </w:r>
      <w:r w:rsidR="0026007B" w:rsidRPr="008B63A3">
        <w:rPr>
          <w:sz w:val="24"/>
          <w:szCs w:val="24"/>
          <w:lang w:val="en-US"/>
        </w:rPr>
        <w:t>City</w:t>
      </w:r>
      <w:r w:rsidRPr="008B63A3">
        <w:rPr>
          <w:sz w:val="24"/>
          <w:szCs w:val="24"/>
          <w:lang w:val="en-US"/>
        </w:rPr>
        <w:t xml:space="preserve"> of São Paulo, 2010 - 2014.</w:t>
      </w:r>
    </w:p>
    <w:p w14:paraId="5A1C0ADF" w14:textId="77777777" w:rsidR="00E42D97" w:rsidRPr="008B63A3" w:rsidRDefault="00E42D97" w:rsidP="00DE3A26">
      <w:pPr>
        <w:shd w:val="clear" w:color="auto" w:fill="FFFFFF"/>
        <w:spacing w:line="360" w:lineRule="auto"/>
        <w:jc w:val="both"/>
        <w:rPr>
          <w:b/>
          <w:sz w:val="24"/>
          <w:szCs w:val="24"/>
          <w:lang w:val="en-US"/>
        </w:rPr>
      </w:pPr>
      <w:r w:rsidRPr="008B63A3">
        <w:rPr>
          <w:b/>
          <w:sz w:val="24"/>
          <w:szCs w:val="24"/>
          <w:lang w:val="en-US"/>
        </w:rPr>
        <w:t xml:space="preserve">Insert figure 3 (A) and (B) here… </w:t>
      </w:r>
    </w:p>
    <w:p w14:paraId="00D9E9A1" w14:textId="77777777" w:rsidR="00DE3A26" w:rsidRPr="008B63A3" w:rsidRDefault="00DE3A26" w:rsidP="00DE3A26">
      <w:pPr>
        <w:shd w:val="clear" w:color="auto" w:fill="FFFFFF"/>
        <w:spacing w:line="360" w:lineRule="auto"/>
        <w:jc w:val="both"/>
        <w:rPr>
          <w:b/>
          <w:sz w:val="24"/>
          <w:szCs w:val="24"/>
          <w:lang w:val="en-US"/>
        </w:rPr>
      </w:pPr>
    </w:p>
    <w:bookmarkEnd w:id="14"/>
    <w:p w14:paraId="42E46615" w14:textId="77777777" w:rsidR="00DF0D25" w:rsidRPr="008B63A3" w:rsidRDefault="00DF0D25" w:rsidP="001544AC">
      <w:pPr>
        <w:spacing w:line="360" w:lineRule="auto"/>
        <w:jc w:val="both"/>
        <w:rPr>
          <w:b/>
          <w:sz w:val="24"/>
          <w:szCs w:val="24"/>
          <w:lang w:val="en-US"/>
        </w:rPr>
        <w:sectPr w:rsidR="00DF0D25" w:rsidRPr="008B63A3" w:rsidSect="004B6E4D">
          <w:headerReference w:type="even" r:id="rId9"/>
          <w:headerReference w:type="default" r:id="rId10"/>
          <w:footerReference w:type="even" r:id="rId11"/>
          <w:pgSz w:w="11906" w:h="16838" w:code="9"/>
          <w:pgMar w:top="1701" w:right="1134" w:bottom="1134" w:left="1701" w:header="709" w:footer="709" w:gutter="0"/>
          <w:lnNumType w:countBy="1" w:restart="continuous"/>
          <w:cols w:space="708"/>
          <w:docGrid w:linePitch="360"/>
        </w:sectPr>
      </w:pPr>
    </w:p>
    <w:p w14:paraId="4F2D0DFE" w14:textId="77777777" w:rsidR="00141AB9" w:rsidRPr="008B63A3" w:rsidRDefault="003E1509" w:rsidP="00166793">
      <w:pPr>
        <w:pStyle w:val="Heading1"/>
        <w:numPr>
          <w:ilvl w:val="0"/>
          <w:numId w:val="29"/>
        </w:numPr>
      </w:pPr>
      <w:bookmarkStart w:id="15" w:name="_Toc432415475"/>
      <w:bookmarkStart w:id="16" w:name="_Toc442002076"/>
      <w:r w:rsidRPr="008B63A3">
        <w:t>D</w:t>
      </w:r>
      <w:r w:rsidR="0029673C" w:rsidRPr="008B63A3">
        <w:t>iscuss</w:t>
      </w:r>
      <w:bookmarkEnd w:id="15"/>
      <w:bookmarkEnd w:id="16"/>
      <w:r w:rsidR="0029673C" w:rsidRPr="008B63A3">
        <w:t>ion</w:t>
      </w:r>
    </w:p>
    <w:p w14:paraId="0E7EB0D4" w14:textId="77777777" w:rsidR="003E1509" w:rsidRPr="008B63A3" w:rsidRDefault="003E1509" w:rsidP="001544AC">
      <w:pPr>
        <w:spacing w:line="360" w:lineRule="auto"/>
        <w:rPr>
          <w:b/>
          <w:sz w:val="24"/>
          <w:szCs w:val="24"/>
          <w:lang w:val="en-US"/>
        </w:rPr>
      </w:pPr>
    </w:p>
    <w:p w14:paraId="2D52698B" w14:textId="77777777" w:rsidR="007D4C24" w:rsidRPr="008B63A3" w:rsidRDefault="00D76E14" w:rsidP="001544AC">
      <w:pPr>
        <w:spacing w:line="360" w:lineRule="auto"/>
        <w:ind w:firstLine="709"/>
        <w:jc w:val="both"/>
        <w:rPr>
          <w:sz w:val="24"/>
          <w:szCs w:val="24"/>
          <w:lang w:val="en-US"/>
        </w:rPr>
      </w:pPr>
      <w:r w:rsidRPr="008B63A3">
        <w:rPr>
          <w:sz w:val="24"/>
          <w:szCs w:val="24"/>
          <w:lang w:val="en-US"/>
        </w:rPr>
        <w:t xml:space="preserve">The aim of this study was to </w:t>
      </w:r>
      <w:r w:rsidR="00DD7397" w:rsidRPr="008B63A3">
        <w:rPr>
          <w:sz w:val="24"/>
          <w:szCs w:val="24"/>
          <w:lang w:val="en-US"/>
        </w:rPr>
        <w:t>investigate</w:t>
      </w:r>
      <w:r w:rsidRPr="008B63A3">
        <w:rPr>
          <w:sz w:val="24"/>
          <w:szCs w:val="24"/>
          <w:lang w:val="en-US"/>
        </w:rPr>
        <w:t xml:space="preserve"> association</w:t>
      </w:r>
      <w:r w:rsidR="00DD7397" w:rsidRPr="008B63A3">
        <w:rPr>
          <w:sz w:val="24"/>
          <w:szCs w:val="24"/>
          <w:lang w:val="en-US"/>
        </w:rPr>
        <w:t>s</w:t>
      </w:r>
      <w:r w:rsidRPr="008B63A3">
        <w:rPr>
          <w:sz w:val="24"/>
          <w:szCs w:val="24"/>
          <w:lang w:val="en-US"/>
        </w:rPr>
        <w:t xml:space="preserve"> between low</w:t>
      </w:r>
      <w:r w:rsidR="00641188" w:rsidRPr="008B63A3">
        <w:rPr>
          <w:sz w:val="24"/>
          <w:szCs w:val="24"/>
          <w:lang w:val="en-US"/>
        </w:rPr>
        <w:t xml:space="preserve"> and intermediate/higher</w:t>
      </w:r>
      <w:r w:rsidRPr="008B63A3">
        <w:rPr>
          <w:sz w:val="24"/>
          <w:szCs w:val="24"/>
          <w:lang w:val="en-US"/>
        </w:rPr>
        <w:t xml:space="preserve"> levels of </w:t>
      </w:r>
      <w:r w:rsidR="006A53C3" w:rsidRPr="008B63A3">
        <w:rPr>
          <w:sz w:val="24"/>
          <w:szCs w:val="24"/>
          <w:lang w:val="en-US"/>
        </w:rPr>
        <w:t>PA</w:t>
      </w:r>
      <w:r w:rsidRPr="008B63A3">
        <w:rPr>
          <w:sz w:val="24"/>
          <w:szCs w:val="24"/>
          <w:lang w:val="en-US"/>
        </w:rPr>
        <w:t xml:space="preserve"> and mortality in </w:t>
      </w:r>
      <w:r w:rsidR="00DD7397" w:rsidRPr="008B63A3">
        <w:rPr>
          <w:sz w:val="24"/>
          <w:szCs w:val="24"/>
          <w:lang w:val="en-US"/>
        </w:rPr>
        <w:t>older adults over</w:t>
      </w:r>
      <w:r w:rsidRPr="008B63A3">
        <w:rPr>
          <w:sz w:val="24"/>
          <w:szCs w:val="24"/>
          <w:lang w:val="en-US"/>
        </w:rPr>
        <w:t xml:space="preserve"> a period of four years. The main findings show a higher prevalence of low physical activity</w:t>
      </w:r>
      <w:r w:rsidR="00DD7397" w:rsidRPr="008B63A3">
        <w:rPr>
          <w:sz w:val="24"/>
          <w:szCs w:val="24"/>
          <w:lang w:val="en-US"/>
        </w:rPr>
        <w:t xml:space="preserve"> levels</w:t>
      </w:r>
      <w:r w:rsidRPr="008B63A3">
        <w:rPr>
          <w:sz w:val="24"/>
          <w:szCs w:val="24"/>
          <w:lang w:val="en-US"/>
        </w:rPr>
        <w:t xml:space="preserve"> in </w:t>
      </w:r>
      <w:r w:rsidR="00DD7397" w:rsidRPr="008B63A3">
        <w:rPr>
          <w:sz w:val="24"/>
          <w:szCs w:val="24"/>
          <w:lang w:val="en-US"/>
        </w:rPr>
        <w:t xml:space="preserve">older adults </w:t>
      </w:r>
      <w:r w:rsidRPr="008B63A3">
        <w:rPr>
          <w:sz w:val="24"/>
          <w:szCs w:val="24"/>
          <w:lang w:val="en-US"/>
        </w:rPr>
        <w:t>aged 75 years or older</w:t>
      </w:r>
      <w:r w:rsidR="00954898" w:rsidRPr="008B63A3">
        <w:rPr>
          <w:sz w:val="24"/>
          <w:szCs w:val="24"/>
          <w:lang w:val="en-US"/>
        </w:rPr>
        <w:t xml:space="preserve">. </w:t>
      </w:r>
      <w:r w:rsidRPr="008B63A3">
        <w:rPr>
          <w:sz w:val="24"/>
          <w:szCs w:val="24"/>
          <w:lang w:val="en-US"/>
        </w:rPr>
        <w:t xml:space="preserve">Furthermore, the mortality rate for </w:t>
      </w:r>
      <w:r w:rsidR="009B3AFD" w:rsidRPr="008B63A3">
        <w:rPr>
          <w:sz w:val="24"/>
          <w:szCs w:val="24"/>
          <w:lang w:val="en-US"/>
        </w:rPr>
        <w:t xml:space="preserve">participants </w:t>
      </w:r>
      <w:r w:rsidRPr="008B63A3">
        <w:rPr>
          <w:sz w:val="24"/>
          <w:szCs w:val="24"/>
          <w:lang w:val="en-US"/>
        </w:rPr>
        <w:t>with low level</w:t>
      </w:r>
      <w:r w:rsidR="009B3AFD" w:rsidRPr="008B63A3">
        <w:rPr>
          <w:sz w:val="24"/>
          <w:szCs w:val="24"/>
          <w:lang w:val="en-US"/>
        </w:rPr>
        <w:t>s</w:t>
      </w:r>
      <w:r w:rsidRPr="008B63A3">
        <w:rPr>
          <w:sz w:val="24"/>
          <w:szCs w:val="24"/>
          <w:lang w:val="en-US"/>
        </w:rPr>
        <w:t xml:space="preserve"> of </w:t>
      </w:r>
      <w:r w:rsidR="009B3AFD" w:rsidRPr="008B63A3">
        <w:rPr>
          <w:sz w:val="24"/>
          <w:szCs w:val="24"/>
          <w:lang w:val="en-US"/>
        </w:rPr>
        <w:t>PA</w:t>
      </w:r>
      <w:r w:rsidRPr="008B63A3">
        <w:rPr>
          <w:sz w:val="24"/>
          <w:szCs w:val="24"/>
          <w:lang w:val="en-US"/>
        </w:rPr>
        <w:t xml:space="preserve"> was 20/1000 person/year and those with intermediate/high level</w:t>
      </w:r>
      <w:r w:rsidR="009B3AFD" w:rsidRPr="008B63A3">
        <w:rPr>
          <w:sz w:val="24"/>
          <w:szCs w:val="24"/>
          <w:lang w:val="en-US"/>
        </w:rPr>
        <w:t>s</w:t>
      </w:r>
      <w:r w:rsidRPr="008B63A3">
        <w:rPr>
          <w:sz w:val="24"/>
          <w:szCs w:val="24"/>
          <w:lang w:val="en-US"/>
        </w:rPr>
        <w:t xml:space="preserve"> of </w:t>
      </w:r>
      <w:r w:rsidR="009B3AFD" w:rsidRPr="008B63A3">
        <w:rPr>
          <w:sz w:val="24"/>
          <w:szCs w:val="24"/>
          <w:lang w:val="en-US"/>
        </w:rPr>
        <w:t>PA</w:t>
      </w:r>
      <w:r w:rsidRPr="008B63A3">
        <w:rPr>
          <w:sz w:val="24"/>
          <w:szCs w:val="24"/>
          <w:lang w:val="en-US"/>
        </w:rPr>
        <w:t xml:space="preserve"> was 14/1000 person/year. </w:t>
      </w:r>
      <w:r w:rsidR="009B3AFD" w:rsidRPr="008B63A3">
        <w:rPr>
          <w:sz w:val="24"/>
          <w:szCs w:val="24"/>
          <w:lang w:val="en-US"/>
        </w:rPr>
        <w:t>Even after adjusting</w:t>
      </w:r>
      <w:r w:rsidRPr="008B63A3">
        <w:rPr>
          <w:sz w:val="24"/>
          <w:szCs w:val="24"/>
          <w:lang w:val="en-US"/>
        </w:rPr>
        <w:t xml:space="preserve"> for sociodemographic variables, low levels of </w:t>
      </w:r>
      <w:r w:rsidR="009B3AFD" w:rsidRPr="008B63A3">
        <w:rPr>
          <w:sz w:val="24"/>
          <w:szCs w:val="24"/>
          <w:lang w:val="en-US"/>
        </w:rPr>
        <w:t>PA</w:t>
      </w:r>
      <w:r w:rsidRPr="008B63A3">
        <w:rPr>
          <w:sz w:val="24"/>
          <w:szCs w:val="24"/>
          <w:lang w:val="en-US"/>
        </w:rPr>
        <w:t xml:space="preserve"> present a higher risk of death in approximately 30%, while th</w:t>
      </w:r>
      <w:r w:rsidR="00DD7397" w:rsidRPr="008B63A3">
        <w:rPr>
          <w:sz w:val="24"/>
          <w:szCs w:val="24"/>
          <w:lang w:val="en-US"/>
        </w:rPr>
        <w:t>ose</w:t>
      </w:r>
      <w:r w:rsidR="00954898" w:rsidRPr="008B63A3">
        <w:rPr>
          <w:sz w:val="24"/>
          <w:szCs w:val="24"/>
          <w:lang w:val="en-US"/>
        </w:rPr>
        <w:t xml:space="preserve"> </w:t>
      </w:r>
      <w:r w:rsidRPr="008B63A3">
        <w:rPr>
          <w:sz w:val="24"/>
          <w:szCs w:val="24"/>
          <w:lang w:val="en-US"/>
        </w:rPr>
        <w:t xml:space="preserve">classified as intermediate/high level of </w:t>
      </w:r>
      <w:r w:rsidR="009B3AFD" w:rsidRPr="008B63A3">
        <w:rPr>
          <w:sz w:val="24"/>
          <w:szCs w:val="24"/>
          <w:lang w:val="en-US"/>
        </w:rPr>
        <w:t>PA</w:t>
      </w:r>
      <w:r w:rsidRPr="008B63A3">
        <w:rPr>
          <w:sz w:val="24"/>
          <w:szCs w:val="24"/>
          <w:lang w:val="en-US"/>
        </w:rPr>
        <w:t xml:space="preserve"> have only 10%.</w:t>
      </w:r>
    </w:p>
    <w:p w14:paraId="4DA7B9A2" w14:textId="77777777" w:rsidR="00F80297" w:rsidRPr="008B63A3" w:rsidRDefault="0036031C" w:rsidP="0042590D">
      <w:pPr>
        <w:spacing w:line="360" w:lineRule="auto"/>
        <w:jc w:val="both"/>
        <w:rPr>
          <w:rFonts w:eastAsia="GoudyStd"/>
          <w:sz w:val="24"/>
          <w:szCs w:val="24"/>
          <w:lang w:val="en-US"/>
        </w:rPr>
      </w:pPr>
      <w:r w:rsidRPr="008B63A3">
        <w:rPr>
          <w:rFonts w:eastAsia="GoudyStd"/>
          <w:sz w:val="24"/>
          <w:szCs w:val="24"/>
          <w:lang w:val="en-US"/>
        </w:rPr>
        <w:tab/>
      </w:r>
      <w:r w:rsidR="009B3AFD" w:rsidRPr="008B63A3">
        <w:rPr>
          <w:rFonts w:eastAsia="GoudyStd"/>
          <w:sz w:val="24"/>
          <w:szCs w:val="24"/>
          <w:lang w:val="en-US"/>
        </w:rPr>
        <w:t>Previous studies</w:t>
      </w:r>
      <w:r w:rsidR="00AD379D" w:rsidRPr="008B63A3">
        <w:rPr>
          <w:rFonts w:eastAsia="GoudyStd"/>
          <w:sz w:val="24"/>
          <w:szCs w:val="24"/>
          <w:lang w:val="en-US"/>
        </w:rPr>
        <w:t xml:space="preserve"> h</w:t>
      </w:r>
      <w:r w:rsidR="009B3AFD" w:rsidRPr="008B63A3">
        <w:rPr>
          <w:rFonts w:eastAsia="GoudyStd"/>
          <w:sz w:val="24"/>
          <w:szCs w:val="24"/>
          <w:lang w:val="en-US"/>
        </w:rPr>
        <w:t>ave</w:t>
      </w:r>
      <w:r w:rsidR="00AD379D" w:rsidRPr="008B63A3">
        <w:rPr>
          <w:rFonts w:eastAsia="GoudyStd"/>
          <w:sz w:val="24"/>
          <w:szCs w:val="24"/>
          <w:lang w:val="en-US"/>
        </w:rPr>
        <w:t xml:space="preserve"> shown that low levels of </w:t>
      </w:r>
      <w:r w:rsidR="009B3AFD" w:rsidRPr="008B63A3">
        <w:rPr>
          <w:rFonts w:eastAsia="GoudyStd"/>
          <w:sz w:val="24"/>
          <w:szCs w:val="24"/>
          <w:lang w:val="en-US"/>
        </w:rPr>
        <w:t>PA</w:t>
      </w:r>
      <w:r w:rsidR="00AD379D" w:rsidRPr="008B63A3">
        <w:rPr>
          <w:rFonts w:eastAsia="GoudyStd"/>
          <w:sz w:val="24"/>
          <w:szCs w:val="24"/>
          <w:lang w:val="en-US"/>
        </w:rPr>
        <w:t xml:space="preserve"> may </w:t>
      </w:r>
      <w:r w:rsidR="009B3AFD" w:rsidRPr="008B63A3">
        <w:rPr>
          <w:rFonts w:eastAsia="GoudyStd"/>
          <w:sz w:val="24"/>
          <w:szCs w:val="24"/>
          <w:lang w:val="en-US"/>
        </w:rPr>
        <w:t>result in</w:t>
      </w:r>
      <w:r w:rsidR="00AD379D" w:rsidRPr="008B63A3">
        <w:rPr>
          <w:rFonts w:eastAsia="GoudyStd"/>
          <w:sz w:val="24"/>
          <w:szCs w:val="24"/>
          <w:lang w:val="en-US"/>
        </w:rPr>
        <w:t xml:space="preserve"> difficulties in daily life activi</w:t>
      </w:r>
      <w:r w:rsidR="009B3AFD" w:rsidRPr="008B63A3">
        <w:rPr>
          <w:rFonts w:eastAsia="GoudyStd"/>
          <w:sz w:val="24"/>
          <w:szCs w:val="24"/>
          <w:lang w:val="en-US"/>
        </w:rPr>
        <w:t>ties</w:t>
      </w:r>
      <w:r w:rsidR="00AD379D" w:rsidRPr="008B63A3">
        <w:rPr>
          <w:rFonts w:eastAsia="GoudyStd"/>
          <w:sz w:val="24"/>
          <w:szCs w:val="24"/>
          <w:lang w:val="en-US"/>
        </w:rPr>
        <w:t xml:space="preserve"> and cognitive decline </w:t>
      </w:r>
      <w:r w:rsidR="00BD65AA" w:rsidRPr="008B63A3">
        <w:rPr>
          <w:rFonts w:eastAsia="GoudyStd"/>
          <w:sz w:val="24"/>
          <w:szCs w:val="24"/>
        </w:rPr>
        <w:fldChar w:fldCharType="begin" w:fldLock="1"/>
      </w:r>
      <w:r w:rsidR="008F460F" w:rsidRPr="008B63A3">
        <w:rPr>
          <w:rFonts w:eastAsia="GoudyStd"/>
          <w:sz w:val="24"/>
          <w:szCs w:val="24"/>
          <w:lang w:val="en-US"/>
        </w:rPr>
        <w:instrText>ADDIN CSL_CITATION {"citationItems":[{"id":"ITEM-1","itemData":{"DOI":"10.5327/z2447-211520191900053","ISSN":"24472115","author":[{"dropping-particle":"de","family":"Oliveira","given":"Henrique Souza Barros","non-dropping-particle":"","parse-names":false,"suffix":""},{"dropping-particle":"","family":"Buffalo","given":"Helena Cristina","non-dropping-particle":"","parse-names":false,"suffix":""},{"dropping-particle":"","family":"Cieri","given":"Isabella Ferlini","non-dropping-particle":"","parse-names":false,"suffix":""},{"dropping-particle":"","family":"Nassif","given":"Laura Nicolau","non-dropping-particle":"","parse-names":false,"suffix":""},{"dropping-particle":"","family":"Fonai","given":"Victória Maria Aguiar","non-dropping-particle":"","parse-names":false,"suffix":""},{"dropping-particle":"","family":"Manso","given":"Maria Elisa Gonzalez","non-dropping-particle":"","parse-names":false,"suffix":""}],"container-title":"Geriatrics, Gerontology and Aging","id":"ITEM-1","issue":"4","issued":{"date-parts":[["2019"]]},"page":"205-210","title":"Low Levels of Physical Activity Are Associated With Cognitive Decline, Depressive Symptoms and Mobility Impairments in Older Adults Enrolled in a Health Insurance Plan","type":"article-journal","volume":"13"},"uris":["http://www.mendeley.com/documents/?uuid=136ec493-94aa-4684-892a-d3f3d0948f16"]}],"mendeley":{"formattedCitation":"[30]","plainTextFormattedCitation":"[30]","previouslyFormattedCitation":"[29]"},"properties":{"noteIndex":0},"schema":"https://github.com/citation-style-language/schema/raw/master/csl-citation.json"}</w:instrText>
      </w:r>
      <w:r w:rsidR="00BD65AA" w:rsidRPr="008B63A3">
        <w:rPr>
          <w:rFonts w:eastAsia="GoudyStd"/>
          <w:sz w:val="24"/>
          <w:szCs w:val="24"/>
        </w:rPr>
        <w:fldChar w:fldCharType="separate"/>
      </w:r>
      <w:r w:rsidR="008F460F" w:rsidRPr="008B63A3">
        <w:rPr>
          <w:rFonts w:eastAsia="GoudyStd"/>
          <w:noProof/>
          <w:sz w:val="24"/>
          <w:szCs w:val="24"/>
          <w:lang w:val="en-US"/>
        </w:rPr>
        <w:t>[30]</w:t>
      </w:r>
      <w:r w:rsidR="00BD65AA" w:rsidRPr="008B63A3">
        <w:rPr>
          <w:rFonts w:eastAsia="GoudyStd"/>
          <w:sz w:val="24"/>
          <w:szCs w:val="24"/>
        </w:rPr>
        <w:fldChar w:fldCharType="end"/>
      </w:r>
      <w:r w:rsidR="00274E9E" w:rsidRPr="008B63A3">
        <w:rPr>
          <w:rFonts w:eastAsia="GoudyStd"/>
          <w:sz w:val="24"/>
          <w:szCs w:val="24"/>
          <w:lang w:val="en-US"/>
        </w:rPr>
        <w:t>.</w:t>
      </w:r>
      <w:r w:rsidR="007C3F7C" w:rsidRPr="008B63A3">
        <w:rPr>
          <w:rFonts w:eastAsia="GoudyStd"/>
          <w:sz w:val="24"/>
          <w:szCs w:val="24"/>
          <w:lang w:val="en-US"/>
        </w:rPr>
        <w:t xml:space="preserve"> </w:t>
      </w:r>
      <w:r w:rsidR="00B12819" w:rsidRPr="008B63A3">
        <w:rPr>
          <w:rFonts w:eastAsia="GoudyStd"/>
          <w:sz w:val="24"/>
          <w:szCs w:val="24"/>
          <w:lang w:val="en-US"/>
        </w:rPr>
        <w:t>However, there are few cohort studies in low</w:t>
      </w:r>
      <w:r w:rsidR="0056607D" w:rsidRPr="008B63A3">
        <w:rPr>
          <w:rFonts w:eastAsia="GoudyStd"/>
          <w:sz w:val="24"/>
          <w:szCs w:val="24"/>
          <w:lang w:val="en-US"/>
        </w:rPr>
        <w:t xml:space="preserve"> </w:t>
      </w:r>
      <w:r w:rsidR="00B12819" w:rsidRPr="008B63A3">
        <w:rPr>
          <w:rFonts w:eastAsia="GoudyStd"/>
          <w:sz w:val="24"/>
          <w:szCs w:val="24"/>
          <w:lang w:val="en-US"/>
        </w:rPr>
        <w:t xml:space="preserve">and middle-income countries that </w:t>
      </w:r>
      <w:r w:rsidR="00DD7397" w:rsidRPr="008B63A3">
        <w:rPr>
          <w:rFonts w:eastAsia="GoudyStd"/>
          <w:sz w:val="24"/>
          <w:szCs w:val="24"/>
          <w:lang w:val="en-US"/>
        </w:rPr>
        <w:t xml:space="preserve">have </w:t>
      </w:r>
      <w:r w:rsidR="00B12819" w:rsidRPr="008B63A3">
        <w:rPr>
          <w:rFonts w:eastAsia="GoudyStd"/>
          <w:sz w:val="24"/>
          <w:szCs w:val="24"/>
          <w:lang w:val="en-US"/>
        </w:rPr>
        <w:t>analyze</w:t>
      </w:r>
      <w:r w:rsidR="00DD7397" w:rsidRPr="008B63A3">
        <w:rPr>
          <w:rFonts w:eastAsia="GoudyStd"/>
          <w:sz w:val="24"/>
          <w:szCs w:val="24"/>
          <w:lang w:val="en-US"/>
        </w:rPr>
        <w:t>d</w:t>
      </w:r>
      <w:r w:rsidR="00B12819" w:rsidRPr="008B63A3">
        <w:rPr>
          <w:rFonts w:eastAsia="GoudyStd"/>
          <w:sz w:val="24"/>
          <w:szCs w:val="24"/>
          <w:lang w:val="en-US"/>
        </w:rPr>
        <w:t xml:space="preserve"> the association between these variables and their risk over the mortality rate. In the present study, we found an association between mortality and difficulties in performing basic activities of daily living. </w:t>
      </w:r>
      <w:r w:rsidR="009B3AFD" w:rsidRPr="008B63A3">
        <w:rPr>
          <w:rFonts w:eastAsia="GoudyStd"/>
          <w:sz w:val="24"/>
          <w:szCs w:val="24"/>
          <w:lang w:val="en-US"/>
        </w:rPr>
        <w:t>This supports a large body of extant literature</w:t>
      </w:r>
      <w:r w:rsidR="00B12819" w:rsidRPr="008B63A3">
        <w:rPr>
          <w:rFonts w:eastAsia="GoudyStd"/>
          <w:sz w:val="24"/>
          <w:szCs w:val="24"/>
          <w:lang w:val="en-US"/>
        </w:rPr>
        <w:t xml:space="preserve"> </w:t>
      </w:r>
      <w:r w:rsidR="009B3AFD" w:rsidRPr="008B63A3">
        <w:rPr>
          <w:rFonts w:eastAsia="GoudyStd"/>
          <w:sz w:val="24"/>
          <w:szCs w:val="24"/>
          <w:lang w:val="en-US"/>
        </w:rPr>
        <w:t xml:space="preserve">showing that aging </w:t>
      </w:r>
      <w:r w:rsidR="00B12819" w:rsidRPr="008B63A3">
        <w:rPr>
          <w:rFonts w:eastAsia="GoudyStd"/>
          <w:sz w:val="24"/>
          <w:szCs w:val="24"/>
          <w:lang w:val="en-US"/>
        </w:rPr>
        <w:t xml:space="preserve">can </w:t>
      </w:r>
      <w:r w:rsidR="009B3AFD" w:rsidRPr="008B63A3">
        <w:rPr>
          <w:rFonts w:eastAsia="GoudyStd"/>
          <w:sz w:val="24"/>
          <w:szCs w:val="24"/>
          <w:lang w:val="en-US"/>
        </w:rPr>
        <w:t xml:space="preserve">result in </w:t>
      </w:r>
      <w:r w:rsidR="00B12819" w:rsidRPr="008B63A3">
        <w:rPr>
          <w:rFonts w:eastAsia="GoudyStd"/>
          <w:sz w:val="24"/>
          <w:szCs w:val="24"/>
          <w:lang w:val="en-US"/>
        </w:rPr>
        <w:t xml:space="preserve">deleterious conditions (e.g. sarcopenia and chronic diseases) </w:t>
      </w:r>
      <w:r w:rsidR="008679F5" w:rsidRPr="008B63A3">
        <w:rPr>
          <w:rFonts w:eastAsia="GoudyStd"/>
          <w:sz w:val="24"/>
          <w:szCs w:val="24"/>
          <w:lang w:val="en-US"/>
        </w:rPr>
        <w:fldChar w:fldCharType="begin" w:fldLock="1"/>
      </w:r>
      <w:r w:rsidR="008F460F" w:rsidRPr="008B63A3">
        <w:rPr>
          <w:rFonts w:eastAsia="GoudyStd"/>
          <w:sz w:val="24"/>
          <w:szCs w:val="24"/>
          <w:lang w:val="en-US"/>
        </w:rPr>
        <w:instrText>ADDIN CSL_CITATION {"citationItems":[{"id":"ITEM-1","itemData":{"DOI":"10.1093/pubmed/fdaa122","ISSN":"1741-3842","abstract":"INTRODUCTION The sarcopenia is a negative aspect for the health of the elderly, increased the risk for disease and mortality. Additionally can contributes greatly to functional reducing capacity and quality of life. OBJECTIVE To identify the prevalence and factors associated with sarcopenia in institutionalized elderly. METHODS This is a cross-sectional study, conducted with 216 elderly people, aged ≥ 60 years, of both sexes, residents in long-term care facilities in Salvador-Bahia, Brazil. To identify sarcopenia was used the skeletal muscle Index. Covariates were considered: gender, age, time of institutionalization, type of institution, body mass index and functional capacity. The Association between sarcopenia and covariates was evaluated using the Poisson regression model with robust variance. RESULTS The prevalence of sarcopenia in the elderly was 72.2% and this condition was associated with male sex (PR = 1,33; CI 95% = 1,081,65), thinness (PR = 1,29; CI 95% = 1,16-1,43) and obesity (PR = 0,37; CI 95% = 0,23-0,61). CONCLUSION The prevalence of sarcopenia was high among the elderly living in long-term institutions, especially among men. Elderly with thinness showed greater impairment of muscle reserves, while the state of obesity was protective.","author":[{"dropping-particle":"","family":"Oliveira Neto","given":"Leônidas","non-dropping-particle":"de","parse-names":false,"suffix":""},{"dropping-particle":"","family":"Oliveira","given":"Larissa Praça","non-dropping-particle":"de","parse-names":false,"suffix":""},{"dropping-particle":"","family":"Agrícola","given":"Pedro Moraes Dutra","non-dropping-particle":"","parse-names":false,"suffix":""},{"dropping-particle":"","family":"Oliveira Tavares","given":"Vagner Deuel","non-dropping-particle":"de","parse-names":false,"suffix":""},{"dropping-particle":"","family":"Gomes","given":"Igor Conterato","non-dropping-particle":"","parse-names":false,"suffix":""},{"dropping-particle":"","family":"Sales","given":"Márcia Cristina","non-dropping-particle":"","parse-names":false,"suffix":""},{"dropping-particle":"","family":"Lima","given":"Kenio Costa","non-dropping-particle":"","parse-names":false,"suffix":""}],"container-title":"Journal of Public Health","id":"ITEM-1","issue":"August","issued":{"date-parts":[["2020"]]},"title":"Factors associated with sarcopenia in institutionalized elderly","type":"article-journal"},"uris":["http://www.mendeley.com/documents/?uuid=c9287cb3-64a8-4b4d-8cb7-2eaeb71ef276"]}],"mendeley":{"formattedCitation":"[31]","plainTextFormattedCitation":"[31]","previouslyFormattedCitation":"[30]"},"properties":{"noteIndex":0},"schema":"https://github.com/citation-style-language/schema/raw/master/csl-citation.json"}</w:instrText>
      </w:r>
      <w:r w:rsidR="008679F5" w:rsidRPr="008B63A3">
        <w:rPr>
          <w:rFonts w:eastAsia="GoudyStd"/>
          <w:sz w:val="24"/>
          <w:szCs w:val="24"/>
          <w:lang w:val="en-US"/>
        </w:rPr>
        <w:fldChar w:fldCharType="separate"/>
      </w:r>
      <w:r w:rsidR="008F460F" w:rsidRPr="008B63A3">
        <w:rPr>
          <w:rFonts w:eastAsia="GoudyStd"/>
          <w:noProof/>
          <w:sz w:val="24"/>
          <w:szCs w:val="24"/>
          <w:lang w:val="en-US"/>
        </w:rPr>
        <w:t>[31]</w:t>
      </w:r>
      <w:r w:rsidR="008679F5" w:rsidRPr="008B63A3">
        <w:rPr>
          <w:rFonts w:eastAsia="GoudyStd"/>
          <w:sz w:val="24"/>
          <w:szCs w:val="24"/>
          <w:lang w:val="en-US"/>
        </w:rPr>
        <w:fldChar w:fldCharType="end"/>
      </w:r>
      <w:r w:rsidR="009B3AFD" w:rsidRPr="008B63A3">
        <w:rPr>
          <w:rFonts w:eastAsia="GoudyStd"/>
          <w:sz w:val="24"/>
          <w:szCs w:val="24"/>
          <w:lang w:val="en-US"/>
        </w:rPr>
        <w:t xml:space="preserve">. This, int turn, </w:t>
      </w:r>
      <w:r w:rsidR="00B12819" w:rsidRPr="008B63A3">
        <w:rPr>
          <w:rFonts w:eastAsia="GoudyStd"/>
          <w:sz w:val="24"/>
          <w:szCs w:val="24"/>
          <w:lang w:val="en-US"/>
        </w:rPr>
        <w:t xml:space="preserve">may </w:t>
      </w:r>
      <w:r w:rsidR="009B3AFD" w:rsidRPr="008B63A3">
        <w:rPr>
          <w:rFonts w:eastAsia="GoudyStd"/>
          <w:sz w:val="24"/>
          <w:szCs w:val="24"/>
          <w:lang w:val="en-US"/>
        </w:rPr>
        <w:t>impair PA levels</w:t>
      </w:r>
      <w:r w:rsidR="00B12819" w:rsidRPr="008B63A3">
        <w:rPr>
          <w:rFonts w:eastAsia="GoudyStd"/>
          <w:sz w:val="24"/>
          <w:szCs w:val="24"/>
          <w:lang w:val="en-US"/>
        </w:rPr>
        <w:t xml:space="preserve"> and the performance of basic daily activities</w:t>
      </w:r>
      <w:r w:rsidR="00AD379D" w:rsidRPr="008B63A3">
        <w:rPr>
          <w:rFonts w:eastAsia="GoudyStd"/>
          <w:sz w:val="24"/>
          <w:szCs w:val="24"/>
          <w:lang w:val="en-US"/>
        </w:rPr>
        <w:t xml:space="preserve"> </w:t>
      </w:r>
      <w:r w:rsidR="00AD379D" w:rsidRPr="008B63A3">
        <w:rPr>
          <w:rFonts w:eastAsia="GoudyStd"/>
          <w:sz w:val="24"/>
          <w:szCs w:val="24"/>
          <w:lang w:val="en-US"/>
        </w:rPr>
        <w:fldChar w:fldCharType="begin" w:fldLock="1"/>
      </w:r>
      <w:r w:rsidR="008F460F" w:rsidRPr="008B63A3">
        <w:rPr>
          <w:rFonts w:eastAsia="GoudyStd"/>
          <w:sz w:val="24"/>
          <w:szCs w:val="24"/>
          <w:lang w:val="en-US"/>
        </w:rPr>
        <w:instrText>ADDIN CSL_CITATION {"citationItems":[{"id":"ITEM-1","itemData":{"DOI":"10.2147/CIA.S76275","ISSN":"11781998","PMID":"25878493","abstract":"Background: Whether older adults with sarcopenia who underperform controls on tests of physical performance and cognition also have a higher likelihood of combined cognitive-physical impairment is not clear. We assessed the impact of sarcopenia on impairment in both aspects of functionality and the relative contribution of its components, muscle mass and strength. Methods: Two hundred and twenty-three community-dwelling adults aged 40 years and older (mean age =68.1±10.6 years; 65% female) were recruited and underwent physical functionality, anthropometry, and cognitive testing. Participants with low muscle mass were categorized as pre-sarcopenic; those with low muscle mass and muscle strength as sarcopenic; those with higher muscle mass and low muscle strength only were categorized as non-sarcopenic and were compared on risk of cognitive impairment (Montreal Cognitive Assessment &lt;26; Ascertaining Dementia 8 ≥2), physical impairment (Mini Physical Performance Test &lt;12), both, or neither by ordinal logistic regression. Results: Compared to controls, those with sarcopenia were six times more likely to have combined cognitive impairment/physical impairment with a fully adjusted model showing a three-fold increased odds ratio. The results were consistent across different measures of global cognition (odds ratio =3.46, 95% confidence interval =1.07–11.45 for the Montreal Cognitive Assessment; odds ratio =3.61, 95% confidence interval =1.11–11.72 for Ascertaining Dementia 8). Pre-sarcopenic participants were not different from controls. The effect of sarcopenia on cognition is related to low muscle strength rather than low muscle mass. Conclusion: Individuals with sarcopenia are not only more likely to have single but also to have dual impairment in cognitive and physical function. Interventions designed to prevent sarcopenia and improve muscle strength may help reduce the burden of cognitive and physical impairments of functionality in community-dwelling seniors.","author":[{"dropping-particle":"","family":"Tolea","given":"Magdalena I.","non-dropping-particle":"","parse-names":false,"suffix":""},{"dropping-particle":"","family":"Galvin","given":"James E.","non-dropping-particle":"","parse-names":false,"suffix":""}],"container-title":"Clinical Interventions in Aging","id":"ITEM-1","issued":{"date-parts":[["2015"]]},"page":"663-671","title":"Sarcopenia and impairment in cognitive and physical performance","type":"article-journal","volume":"10"},"uris":["http://www.mendeley.com/documents/?uuid=4c0091ec-8bef-420b-9247-30daf00c9c9e"]}],"mendeley":{"formattedCitation":"[32]","plainTextFormattedCitation":"[32]","previouslyFormattedCitation":"[31]"},"properties":{"noteIndex":0},"schema":"https://github.com/citation-style-language/schema/raw/master/csl-citation.json"}</w:instrText>
      </w:r>
      <w:r w:rsidR="00AD379D" w:rsidRPr="008B63A3">
        <w:rPr>
          <w:rFonts w:eastAsia="GoudyStd"/>
          <w:sz w:val="24"/>
          <w:szCs w:val="24"/>
          <w:lang w:val="en-US"/>
        </w:rPr>
        <w:fldChar w:fldCharType="separate"/>
      </w:r>
      <w:r w:rsidR="008F460F" w:rsidRPr="008B63A3">
        <w:rPr>
          <w:rFonts w:eastAsia="GoudyStd"/>
          <w:noProof/>
          <w:sz w:val="24"/>
          <w:szCs w:val="24"/>
          <w:lang w:val="en-US"/>
        </w:rPr>
        <w:t>[32]</w:t>
      </w:r>
      <w:r w:rsidR="00AD379D" w:rsidRPr="008B63A3">
        <w:rPr>
          <w:rFonts w:eastAsia="GoudyStd"/>
          <w:sz w:val="24"/>
          <w:szCs w:val="24"/>
          <w:lang w:val="en-US"/>
        </w:rPr>
        <w:fldChar w:fldCharType="end"/>
      </w:r>
      <w:r w:rsidR="00B12819" w:rsidRPr="008B63A3">
        <w:rPr>
          <w:rFonts w:eastAsia="GoudyStd"/>
          <w:sz w:val="24"/>
          <w:szCs w:val="24"/>
          <w:lang w:val="en-US"/>
        </w:rPr>
        <w:t>.</w:t>
      </w:r>
      <w:r w:rsidR="00154C61" w:rsidRPr="008B63A3">
        <w:rPr>
          <w:rFonts w:eastAsia="GoudyStd"/>
          <w:sz w:val="24"/>
          <w:szCs w:val="24"/>
          <w:lang w:val="en-US"/>
        </w:rPr>
        <w:t xml:space="preserve"> </w:t>
      </w:r>
      <w:bookmarkStart w:id="17" w:name="_Hlk86041228"/>
      <w:r w:rsidR="0042590D" w:rsidRPr="008B63A3">
        <w:rPr>
          <w:rFonts w:eastAsia="GoudyStd"/>
          <w:sz w:val="24"/>
          <w:szCs w:val="24"/>
          <w:lang w:val="en-US"/>
        </w:rPr>
        <w:t xml:space="preserve">Interestingly, our study identified that older people with high BMI were composed of 25% </w:t>
      </w:r>
      <w:r w:rsidR="0042590D" w:rsidRPr="008B63A3">
        <w:rPr>
          <w:rFonts w:eastAsia="GoudyStd"/>
          <w:sz w:val="24"/>
          <w:szCs w:val="24"/>
          <w:lang w:val="en-US"/>
        </w:rPr>
        <w:lastRenderedPageBreak/>
        <w:t xml:space="preserve">of the sample of elderly with low levels PA. Although we did not find in our study a direct association between BMI and mortality. Interestingly, a recent meta-analysis showed a 4–10% lower risk of mortality for participants in the overweight range, with a 21% increase in the risk of mortality for the obesity range </w:t>
      </w:r>
      <w:r w:rsidR="0042590D" w:rsidRPr="008B63A3">
        <w:rPr>
          <w:sz w:val="24"/>
          <w:szCs w:val="24"/>
          <w:shd w:val="clear" w:color="auto" w:fill="FFFFFF"/>
        </w:rPr>
        <w:fldChar w:fldCharType="begin" w:fldLock="1"/>
      </w:r>
      <w:r w:rsidR="008F460F" w:rsidRPr="008B63A3">
        <w:rPr>
          <w:sz w:val="24"/>
          <w:szCs w:val="24"/>
          <w:shd w:val="clear" w:color="auto" w:fill="FFFFFF"/>
          <w:lang w:val="en-US"/>
        </w:rPr>
        <w:instrText>ADDIN CSL_CITATION {"citationItems":[{"id":"ITEM-1","itemData":{"DOI":"10.3945/ajcn.113.068122","ISSN":"19383207","PMID":"24452240","abstract":"Background: Whether the association between body mass index (BMI) and all-cause mortality for older adults is the same as for younger adults is unclear. Objective: The objective was to determine the association between BMI and all-cause mortality risk in adults ≥65 y of age. Design: A 2-stage random-effects meta-analysis was performed of studies published from 1990 to 2013 that reported the RRs of all-cause mortality for community-based adults aged ≥65 y. Results: Thirty-two studies met the inclusion criteria; these studies included 197,940 individuals with an average follow-up of 12 y. With the use of a BMI (in kg/m2) of 23.0-23.9 as the reference, there was a 12% greater risk of mortality for a BMI range of 21.0-21.9 and a 19% greater risk for a range of 20.0-20.9 [BMI of 21.0-21.9; HR (95% CI): 1.12 (1.10, 1.13); BMI of 20.0-20.9; HR (95% CI): 1.19 (1.17, 1.22)]. Mortality risk began to increase for BMI &gt;33.0 [BMI of 33.0-33.9; HR (95% CI): 1.08 (1.00, 1.15)]. Self-reported anthropometric measurements, adjustment for intermediary factors, and exclusion of early deaths or preexisting disease did not markedly alter the associations, although there was a slight attenuation of the association in never-smokers. Conclusions: For older populations, being overweight was not found to be associated with an increased risk of mortality; however, there was an increased risk for those at the lower end of the recommended BMI range for adults. Because the risk of mortality increased in older people with a BMI &lt;23.0, it would seem appropriate to monitor weight status in this group to address any modifiable causes of weight loss promptly with due consideration of individual comorbidities. © 2014 American Society for Nutrition.","author":[{"dropping-particle":"","family":"Winter","given":"Jane E.","non-dropping-particle":"","parse-names":false,"suffix":""},{"dropping-particle":"","family":"MacInnis","given":"Robert J.","non-dropping-particle":"","parse-names":false,"suffix":""},{"dropping-particle":"","family":"Wattanapenpaiboon","given":"Naiyana","non-dropping-particle":"","parse-names":false,"suffix":""},{"dropping-particle":"","family":"Nowson","given":"Caryl A.","non-dropping-particle":"","parse-names":false,"suffix":""}],"container-title":"American Journal of Clinical Nutrition","id":"ITEM-1","issue":"4","issued":{"date-parts":[["2014"]]},"page":"875-890","title":"BMI and all-cause mortality in older adults: A meta-analysis","type":"article-journal","volume":"99"},"uris":["http://www.mendeley.com/documents/?uuid=cfdb8926-2a53-4319-857f-932f932c6955"]}],"mendeley":{"formattedCitation":"[33]","plainTextFormattedCitation":"[33]","previouslyFormattedCitation":"[32]"},"properties":{"noteIndex":0},"schema":"https://github.com/citation-style-language/schema/raw/master/csl-citation.json"}</w:instrText>
      </w:r>
      <w:r w:rsidR="0042590D" w:rsidRPr="008B63A3">
        <w:rPr>
          <w:sz w:val="24"/>
          <w:szCs w:val="24"/>
          <w:shd w:val="clear" w:color="auto" w:fill="FFFFFF"/>
        </w:rPr>
        <w:fldChar w:fldCharType="separate"/>
      </w:r>
      <w:r w:rsidR="008F460F" w:rsidRPr="008B63A3">
        <w:rPr>
          <w:noProof/>
          <w:sz w:val="24"/>
          <w:szCs w:val="24"/>
          <w:shd w:val="clear" w:color="auto" w:fill="FFFFFF"/>
          <w:lang w:val="en-US"/>
        </w:rPr>
        <w:t>[33]</w:t>
      </w:r>
      <w:r w:rsidR="0042590D" w:rsidRPr="008B63A3">
        <w:rPr>
          <w:sz w:val="24"/>
          <w:szCs w:val="24"/>
          <w:shd w:val="clear" w:color="auto" w:fill="FFFFFF"/>
        </w:rPr>
        <w:fldChar w:fldCharType="end"/>
      </w:r>
      <w:r w:rsidR="0042590D" w:rsidRPr="008B63A3">
        <w:rPr>
          <w:sz w:val="24"/>
          <w:szCs w:val="24"/>
          <w:shd w:val="clear" w:color="auto" w:fill="FFFFFF"/>
          <w:lang w:val="en-US"/>
        </w:rPr>
        <w:t>.</w:t>
      </w:r>
      <w:bookmarkEnd w:id="17"/>
      <w:r w:rsidR="0042590D" w:rsidRPr="008B63A3">
        <w:rPr>
          <w:sz w:val="24"/>
          <w:szCs w:val="24"/>
          <w:shd w:val="clear" w:color="auto" w:fill="FFFFFF"/>
          <w:lang w:val="en-US"/>
        </w:rPr>
        <w:t xml:space="preserve"> </w:t>
      </w:r>
      <w:r w:rsidR="0056607D" w:rsidRPr="008B63A3">
        <w:rPr>
          <w:rFonts w:eastAsia="GoudyStd"/>
          <w:sz w:val="24"/>
          <w:szCs w:val="24"/>
          <w:lang w:val="en-US"/>
        </w:rPr>
        <w:t>In addition, l</w:t>
      </w:r>
      <w:r w:rsidR="009E1940" w:rsidRPr="008B63A3">
        <w:rPr>
          <w:rFonts w:eastAsia="GoudyStd"/>
          <w:sz w:val="24"/>
          <w:szCs w:val="24"/>
          <w:lang w:val="en-US"/>
        </w:rPr>
        <w:t>ow</w:t>
      </w:r>
      <w:r w:rsidR="00650FE7" w:rsidRPr="008B63A3">
        <w:rPr>
          <w:rFonts w:eastAsia="GoudyStd"/>
          <w:sz w:val="24"/>
          <w:szCs w:val="24"/>
          <w:lang w:val="en-US"/>
        </w:rPr>
        <w:t xml:space="preserve"> level</w:t>
      </w:r>
      <w:r w:rsidR="009E1940" w:rsidRPr="008B63A3">
        <w:rPr>
          <w:rFonts w:eastAsia="GoudyStd"/>
          <w:sz w:val="24"/>
          <w:szCs w:val="24"/>
          <w:lang w:val="en-US"/>
        </w:rPr>
        <w:t>s</w:t>
      </w:r>
      <w:r w:rsidR="00650FE7" w:rsidRPr="008B63A3">
        <w:rPr>
          <w:rFonts w:eastAsia="GoudyStd"/>
          <w:sz w:val="24"/>
          <w:szCs w:val="24"/>
          <w:lang w:val="en-US"/>
        </w:rPr>
        <w:t xml:space="preserve"> of </w:t>
      </w:r>
      <w:r w:rsidR="009E1940" w:rsidRPr="008B63A3">
        <w:rPr>
          <w:rFonts w:eastAsia="GoudyStd"/>
          <w:sz w:val="24"/>
          <w:szCs w:val="24"/>
          <w:lang w:val="en-US"/>
        </w:rPr>
        <w:t>PA</w:t>
      </w:r>
      <w:r w:rsidR="00650FE7" w:rsidRPr="008B63A3">
        <w:rPr>
          <w:rFonts w:eastAsia="GoudyStd"/>
          <w:sz w:val="24"/>
          <w:szCs w:val="24"/>
          <w:lang w:val="en-US"/>
        </w:rPr>
        <w:t xml:space="preserve"> </w:t>
      </w:r>
      <w:r w:rsidR="0009642A" w:rsidRPr="008B63A3">
        <w:rPr>
          <w:rFonts w:eastAsia="GoudyStd"/>
          <w:sz w:val="24"/>
          <w:szCs w:val="24"/>
          <w:lang w:val="en-US"/>
        </w:rPr>
        <w:t>represents a</w:t>
      </w:r>
      <w:r w:rsidR="009E1940" w:rsidRPr="008B63A3">
        <w:rPr>
          <w:rFonts w:eastAsia="GoudyStd"/>
          <w:sz w:val="24"/>
          <w:szCs w:val="24"/>
          <w:lang w:val="en-US"/>
        </w:rPr>
        <w:t xml:space="preserve"> risk factor</w:t>
      </w:r>
      <w:r w:rsidR="00650FE7" w:rsidRPr="008B63A3">
        <w:rPr>
          <w:rFonts w:eastAsia="GoudyStd"/>
          <w:sz w:val="24"/>
          <w:szCs w:val="24"/>
          <w:lang w:val="en-US"/>
        </w:rPr>
        <w:t xml:space="preserve"> that </w:t>
      </w:r>
      <w:r w:rsidR="009E1940" w:rsidRPr="008B63A3">
        <w:rPr>
          <w:rFonts w:eastAsia="GoudyStd"/>
          <w:sz w:val="24"/>
          <w:szCs w:val="24"/>
          <w:lang w:val="en-US"/>
        </w:rPr>
        <w:t>contributes</w:t>
      </w:r>
      <w:r w:rsidR="00650FE7" w:rsidRPr="008B63A3">
        <w:rPr>
          <w:rFonts w:eastAsia="GoudyStd"/>
          <w:sz w:val="24"/>
          <w:szCs w:val="24"/>
          <w:lang w:val="en-US"/>
        </w:rPr>
        <w:t xml:space="preserve"> </w:t>
      </w:r>
      <w:r w:rsidR="009E1940" w:rsidRPr="008B63A3">
        <w:rPr>
          <w:rFonts w:eastAsia="GoudyStd"/>
          <w:sz w:val="24"/>
          <w:szCs w:val="24"/>
          <w:lang w:val="en-US"/>
        </w:rPr>
        <w:t xml:space="preserve">to </w:t>
      </w:r>
      <w:r w:rsidR="00650FE7" w:rsidRPr="008B63A3">
        <w:rPr>
          <w:rFonts w:eastAsia="GoudyStd"/>
          <w:sz w:val="24"/>
          <w:szCs w:val="24"/>
          <w:lang w:val="en-US"/>
        </w:rPr>
        <w:t xml:space="preserve">many deaths </w:t>
      </w:r>
      <w:r w:rsidR="009E1940" w:rsidRPr="008B63A3">
        <w:rPr>
          <w:rFonts w:eastAsia="GoudyStd"/>
          <w:sz w:val="24"/>
          <w:szCs w:val="24"/>
          <w:lang w:val="en-US"/>
        </w:rPr>
        <w:t>via</w:t>
      </w:r>
      <w:r w:rsidR="002C0417" w:rsidRPr="008B63A3">
        <w:rPr>
          <w:rFonts w:eastAsia="GoudyStd"/>
          <w:sz w:val="24"/>
          <w:szCs w:val="24"/>
          <w:lang w:val="en-US"/>
        </w:rPr>
        <w:t xml:space="preserve"> chronic non-communicable diseases (coronary heart disease, type 2 diabetes and breast and colon cancer</w:t>
      </w:r>
      <w:r w:rsidR="00650FE7" w:rsidRPr="008B63A3">
        <w:rPr>
          <w:rFonts w:eastAsia="GoudyStd"/>
          <w:sz w:val="24"/>
          <w:szCs w:val="24"/>
          <w:lang w:val="en-US"/>
        </w:rPr>
        <w:t xml:space="preserve">) </w:t>
      </w:r>
      <w:r w:rsidR="00D301F2" w:rsidRPr="008B63A3">
        <w:rPr>
          <w:rFonts w:eastAsia="GoudyStd"/>
          <w:sz w:val="24"/>
          <w:szCs w:val="24"/>
          <w:lang w:val="en-US"/>
        </w:rPr>
        <w:fldChar w:fldCharType="begin" w:fldLock="1"/>
      </w:r>
      <w:r w:rsidR="008F460F" w:rsidRPr="008B63A3">
        <w:rPr>
          <w:rFonts w:eastAsia="GoudyStd"/>
          <w:sz w:val="24"/>
          <w:szCs w:val="24"/>
          <w:lang w:val="en-US"/>
        </w:rPr>
        <w:instrText>ADDIN CSL_CITATION {"citationItems":[{"id":"ITEM-1","itemData":{"author":[{"dropping-particle":"","family":"World Health Organization","given":"WHO","non-dropping-particle":"","parse-names":false,"suffix":""}],"container-title":"Available from: http://apps.who.int/ghodata/","id":"ITEM-1","issued":{"date-parts":[["2011"]]},"title":"World Health Organization global health observatory data repository","type":"article-journal"},"uris":["http://www.mendeley.com/documents/?uuid=ae26a43a-7be2-4dc4-9404-a8569d05635a"]}],"mendeley":{"formattedCitation":"[34]","plainTextFormattedCitation":"[34]","previouslyFormattedCitation":"[33]"},"properties":{"noteIndex":0},"schema":"https://github.com/citation-style-language/schema/raw/master/csl-citation.json"}</w:instrText>
      </w:r>
      <w:r w:rsidR="00D301F2" w:rsidRPr="008B63A3">
        <w:rPr>
          <w:rFonts w:eastAsia="GoudyStd"/>
          <w:sz w:val="24"/>
          <w:szCs w:val="24"/>
          <w:lang w:val="en-US"/>
        </w:rPr>
        <w:fldChar w:fldCharType="separate"/>
      </w:r>
      <w:r w:rsidR="008F460F" w:rsidRPr="008B63A3">
        <w:rPr>
          <w:rFonts w:eastAsia="GoudyStd"/>
          <w:noProof/>
          <w:sz w:val="24"/>
          <w:szCs w:val="24"/>
          <w:lang w:val="en-US"/>
        </w:rPr>
        <w:t>[34]</w:t>
      </w:r>
      <w:r w:rsidR="00D301F2" w:rsidRPr="008B63A3">
        <w:rPr>
          <w:rFonts w:eastAsia="GoudyStd"/>
          <w:sz w:val="24"/>
          <w:szCs w:val="24"/>
          <w:lang w:val="en-US"/>
        </w:rPr>
        <w:fldChar w:fldCharType="end"/>
      </w:r>
      <w:r w:rsidR="00D301F2" w:rsidRPr="008B63A3">
        <w:rPr>
          <w:rFonts w:eastAsia="GoudyStd"/>
          <w:sz w:val="24"/>
          <w:szCs w:val="24"/>
          <w:lang w:val="en-US"/>
        </w:rPr>
        <w:t xml:space="preserve">. </w:t>
      </w:r>
      <w:r w:rsidR="008679F5" w:rsidRPr="008B63A3">
        <w:rPr>
          <w:rFonts w:eastAsia="GoudyStd"/>
          <w:sz w:val="24"/>
          <w:szCs w:val="24"/>
          <w:lang w:val="en-US"/>
        </w:rPr>
        <w:t xml:space="preserve">Therefore, increasing the level of </w:t>
      </w:r>
      <w:r w:rsidR="009B3AFD" w:rsidRPr="008B63A3">
        <w:rPr>
          <w:rFonts w:eastAsia="GoudyStd"/>
          <w:sz w:val="24"/>
          <w:szCs w:val="24"/>
          <w:lang w:val="en-US"/>
        </w:rPr>
        <w:t>PA</w:t>
      </w:r>
      <w:r w:rsidR="008679F5" w:rsidRPr="008B63A3">
        <w:rPr>
          <w:rFonts w:eastAsia="GoudyStd"/>
          <w:sz w:val="24"/>
          <w:szCs w:val="24"/>
          <w:lang w:val="en-US"/>
        </w:rPr>
        <w:t xml:space="preserve"> in insufficiently active </w:t>
      </w:r>
      <w:r w:rsidR="00DD7397" w:rsidRPr="008B63A3">
        <w:rPr>
          <w:rFonts w:eastAsia="GoudyStd"/>
          <w:sz w:val="24"/>
          <w:szCs w:val="24"/>
          <w:lang w:val="en-US"/>
        </w:rPr>
        <w:t xml:space="preserve">older adults </w:t>
      </w:r>
      <w:r w:rsidR="008679F5" w:rsidRPr="008B63A3">
        <w:rPr>
          <w:rFonts w:eastAsia="GoudyStd"/>
          <w:sz w:val="24"/>
          <w:szCs w:val="24"/>
          <w:lang w:val="en-US"/>
        </w:rPr>
        <w:t xml:space="preserve">would result in an average increase in the life expectancy of the world population by 0.68 years, while in Brazil these numbers would be 1.0 years of life </w:t>
      </w:r>
      <w:r w:rsidR="007C3F7C" w:rsidRPr="008B63A3">
        <w:rPr>
          <w:rFonts w:eastAsia="GoudyStd"/>
          <w:sz w:val="24"/>
          <w:szCs w:val="24"/>
        </w:rPr>
        <w:fldChar w:fldCharType="begin" w:fldLock="1"/>
      </w:r>
      <w:r w:rsidR="008F460F" w:rsidRPr="008B63A3">
        <w:rPr>
          <w:rFonts w:eastAsia="GoudyStd"/>
          <w:sz w:val="24"/>
          <w:szCs w:val="24"/>
          <w:lang w:val="en-US"/>
        </w:rPr>
        <w:instrText>ADDIN CSL_CITATION {"citationItems":[{"id":"ITEM-1","itemData":{"DOI":"10.1016/S0140-6736(12)61031-9.Impact","ISBN":"1474-547X (Electronic)\\n0140-6736 (Linking)","ISSN":"0140-6736","PMID":"22818936","abstract":"BACKGROUND: Strong evidence shows that physical inactivity increases the risk of many adverse health conditions, including the world’s major non-communicable diseases (NCDs) of coronary heart disease (CHD), type 2 diabetes, and breast and colon cancers, and shortens life expectancy. Because much of the world’s population is inactive, this presents a major public health problem. We aimed to quantify the impact of physical inactivity on these major NCDs by estimating how much disease could be averted if those inactive were to become active and to estimate gain in life expectancy, at the population level. METHODS: Using conservative assumptions, we calculated population attributable fractions (PAF) associated with physical inactivity for each of the major NCDs, by country, to estimate how much disease could be averted if physical inactivity were eliminated, and used life table analysis to estimate gains in life expectancy of the population. FINDINGS: Worldwide, we estimate that physical inactivity is responsible for 6% of the burden of disease from CHD (range: 3.2% in South-east Asia to 7.8% in the Eastern Mediterranean region); 7% of type 2 diabetes (3.9% to 9.6%), 10% of breast cancer (5.6% to 14.1%), and 10% of colon cancer (5.7% to 13.8%). Inactivity is responsible for 9% of premature mortality (5.1% to 12.5%), or &gt;5.3 of the 57 million deaths that occurred worldwide in 2008. If inactivity were not eliminated, but decreased instead by 10% or 25%, &gt;533,000 and &gt;1.3 million deaths, respectively, may be averted each year. By eliminating physical inactivity, life expectancy of the world’s population is estimated to increase by 0.68 (0.41 to 0.95) years. INTERPRETATION: Physical inactivity has a major health impact on the world. Elimination of physical inactivity would remove between 6% and 10% of the major NCDs of CHD, type 2 diabetes, and breast and colon cancers, and increase life expectancy.","author":[{"dropping-particle":"","family":"Lee","given":"I-Min","non-dropping-particle":"","parse-names":false,"suffix":""},{"dropping-particle":"","family":"Shiroma","given":"Eric J","non-dropping-particle":"","parse-names":false,"suffix":""},{"dropping-particle":"","family":"Lobelo","given":"Felipe","non-dropping-particle":"","parse-names":false,"suffix":""},{"dropping-particle":"","family":"Puska","given":"Pekka","non-dropping-particle":"","parse-names":false,"suffix":""},{"dropping-particle":"","family":"Blair","given":"Steven N","non-dropping-particle":"","parse-names":false,"suffix":""},{"dropping-particle":"","family":"Katzmarzyk","given":"Peter T","non-dropping-particle":"","parse-names":false,"suffix":""}],"container-title":"The Lancet","id":"ITEM-1","issue":"9838","issued":{"date-parts":[["2012"]]},"page":"219-229","title":"Impact of Physical Inactivity on the World's Major Non-Communicable Diseases","type":"article-journal","volume":"380"},"uris":["http://www.mendeley.com/documents/?uuid=f1e6fcdc-52b4-4209-9c9b-86805f0c7324"]}],"mendeley":{"formattedCitation":"[35]","plainTextFormattedCitation":"[35]","previouslyFormattedCitation":"[34]"},"properties":{"noteIndex":0},"schema":"https://github.com/citation-style-language/schema/raw/master/csl-citation.json"}</w:instrText>
      </w:r>
      <w:r w:rsidR="007C3F7C" w:rsidRPr="008B63A3">
        <w:rPr>
          <w:rFonts w:eastAsia="GoudyStd"/>
          <w:sz w:val="24"/>
          <w:szCs w:val="24"/>
        </w:rPr>
        <w:fldChar w:fldCharType="separate"/>
      </w:r>
      <w:r w:rsidR="008F460F" w:rsidRPr="008B63A3">
        <w:rPr>
          <w:rFonts w:eastAsia="GoudyStd"/>
          <w:noProof/>
          <w:sz w:val="24"/>
          <w:szCs w:val="24"/>
          <w:lang w:val="en-US"/>
        </w:rPr>
        <w:t>[35]</w:t>
      </w:r>
      <w:r w:rsidR="007C3F7C" w:rsidRPr="008B63A3">
        <w:rPr>
          <w:rFonts w:eastAsia="GoudyStd"/>
          <w:sz w:val="24"/>
          <w:szCs w:val="24"/>
        </w:rPr>
        <w:fldChar w:fldCharType="end"/>
      </w:r>
      <w:r w:rsidR="001F2EA1" w:rsidRPr="008B63A3">
        <w:rPr>
          <w:rFonts w:eastAsia="GoudyStd"/>
          <w:sz w:val="24"/>
          <w:szCs w:val="24"/>
          <w:lang w:val="en-US"/>
        </w:rPr>
        <w:t>.</w:t>
      </w:r>
      <w:r w:rsidR="008679F5" w:rsidRPr="008B63A3">
        <w:rPr>
          <w:rFonts w:eastAsia="GoudyStd"/>
          <w:sz w:val="24"/>
          <w:szCs w:val="24"/>
          <w:lang w:val="en-US"/>
        </w:rPr>
        <w:t xml:space="preserve"> Furthermore, </w:t>
      </w:r>
      <w:r w:rsidR="00954898" w:rsidRPr="008B63A3">
        <w:rPr>
          <w:rFonts w:eastAsia="GoudyStd"/>
          <w:sz w:val="24"/>
          <w:szCs w:val="24"/>
          <w:lang w:val="en-US"/>
        </w:rPr>
        <w:t xml:space="preserve">with </w:t>
      </w:r>
      <w:r w:rsidR="008679F5" w:rsidRPr="008B63A3">
        <w:rPr>
          <w:rFonts w:eastAsia="GoudyStd"/>
          <w:sz w:val="24"/>
          <w:szCs w:val="24"/>
          <w:lang w:val="en-US"/>
        </w:rPr>
        <w:t xml:space="preserve">addition </w:t>
      </w:r>
      <w:r w:rsidR="00CD22AE" w:rsidRPr="008B63A3">
        <w:rPr>
          <w:rFonts w:eastAsia="GoudyStd"/>
          <w:sz w:val="24"/>
          <w:szCs w:val="24"/>
          <w:lang w:val="en-US"/>
        </w:rPr>
        <w:t>increase time of</w:t>
      </w:r>
      <w:r w:rsidR="008679F5" w:rsidRPr="008B63A3">
        <w:rPr>
          <w:rFonts w:eastAsia="GoudyStd"/>
          <w:sz w:val="24"/>
          <w:szCs w:val="24"/>
          <w:lang w:val="en-US"/>
        </w:rPr>
        <w:t xml:space="preserve"> </w:t>
      </w:r>
      <w:r w:rsidR="009E1940" w:rsidRPr="008B63A3">
        <w:rPr>
          <w:rFonts w:eastAsia="GoudyStd"/>
          <w:sz w:val="24"/>
          <w:szCs w:val="24"/>
          <w:lang w:val="en-US"/>
        </w:rPr>
        <w:t>PA</w:t>
      </w:r>
      <w:r w:rsidR="008679F5" w:rsidRPr="008B63A3">
        <w:rPr>
          <w:rFonts w:eastAsia="GoudyStd"/>
          <w:sz w:val="24"/>
          <w:szCs w:val="24"/>
          <w:lang w:val="en-US"/>
        </w:rPr>
        <w:t xml:space="preserve"> it could decrease the risk of death, regardless of gender, age and risk factors</w:t>
      </w:r>
      <w:r w:rsidR="00DC14E9" w:rsidRPr="008B63A3">
        <w:rPr>
          <w:rFonts w:eastAsia="GoudyStd"/>
          <w:sz w:val="24"/>
          <w:szCs w:val="24"/>
          <w:lang w:val="en-US"/>
        </w:rPr>
        <w:t xml:space="preserve"> </w:t>
      </w:r>
      <w:r w:rsidR="00DC14E9" w:rsidRPr="008B63A3">
        <w:rPr>
          <w:rFonts w:eastAsia="GoudyStd"/>
          <w:sz w:val="24"/>
          <w:szCs w:val="24"/>
        </w:rPr>
        <w:fldChar w:fldCharType="begin" w:fldLock="1"/>
      </w:r>
      <w:r w:rsidR="00766376" w:rsidRPr="008B63A3">
        <w:rPr>
          <w:rFonts w:eastAsia="GoudyStd"/>
          <w:sz w:val="24"/>
          <w:szCs w:val="24"/>
          <w:lang w:val="en-US"/>
        </w:rPr>
        <w:instrText>ADDIN CSL_CITATION {"citationItems":[{"id":"ITEM-1","itemData":{"DOI":"10.1016/S0140-6736(17)31634-3","ISSN":"1474547X","PMID":"28943267","abstract":"Background Physical activity has a protective effect against cardiovascular disease (CVD) in high-income countries, where physical activity is mainly recreational, but it is not known if this is also observed in lower-income countries, where physical activity is mainly non-recreational. We examined whether different amounts and types of physical activity are associated with lower mortality and CVD in countries at different economic levels. Methods In this prospective cohort study, we recruited participants from 17 countries (Canada, Sweden, United Arab Emirates, Argentina, Brazil, Chile, Poland, Turkey, Malaysia, South Africa, China, Colombia, Iran, Bangladesh, India, Pakistan, and Zimbabwe). Within each country, urban and rural areas in and around selected cities and towns were identified to reflect the geographical diversity. Within these communities, we invited individuals aged between 35 and 70 years who intended to live at their current address for at least another 4 years. Total physical activity was assessed using the International Physical Activity Questionnaire (IPQA). Participants with pre-existing CVD were excluded from the analyses. Mortality and CVD were recorded during a mean of 6·9 years of follow-up. Primary clinical outcomes during follow-up were mortality plus major CVD (CVD mortality, incident myocardial infarction, stroke, or heart failure), either as a composite or separately. The effects of physical activity on mortality and CVD were adjusted for sociodemographic factors and other risk factors taking into account household, community, and country clustering. Findings Between Jan 1, 2003, and Dec 31, 2010, 168 916 participants were enrolled, of whom 141 945 completed the IPAQ. Analyses were limited to the 130 843 participants without pre-existing CVD. Compared with low physical activity (&lt;600 metabolic equivalents [MET] × minutes per week or &lt;150 minutes per week of moderate intensity physical activity), moderate (600–3000 MET × minutes or 150–750 minutes per week) and high physical activity (&gt;3000 MET × minutes or &gt;750 minutes per week) were associated with graded reduction in mortality (hazard ratio 0·80, 95% CI 0·74–0·87 and 0·65, 0·60–0·71; p&lt;0·0001 for trend), and major CVD (0·86, 0·78–0·93; p&lt;0·001 for trend). Higher physical activity was associated with lower risk of CVD and mortality in high-income, middle-income, and low-income countries. The adjusted population attributable fraction for not meeting the physical activity gu…","author":[{"dropping-particle":"","family":"Lear","given":"Scott A.","non-dropping-particle":"","parse-names":false,"suffix":""},{"dropping-particle":"","family":"Hu","given":"Weihong","non-dropping-particle":"","parse-names":false,"suffix":""},{"dropping-particle":"","family":"Rangarajan","given":"Sumathy","non-dropping-particle":"","parse-names":false,"suffix":""},{"dropping-particle":"","family":"Gasevic","given":"Danijela","non-dropping-particle":"","parse-names":false,"suffix":""},{"dropping-particle":"","family":"Leong","given":"Darryl","non-dropping-particle":"","parse-names":false,"suffix":""},{"dropping-particle":"","family":"Iqbal","given":"Romaina","non-dropping-particle":"","parse-names":false,"suffix":""},{"dropping-particle":"","family":"Casanova","given":"Amparo","non-dropping-particle":"","parse-names":false,"suffix":""},{"dropping-particle":"","family":"Swaminathan","given":"Sumathi","non-dropping-particle":"","parse-names":false,"suffix":""},{"dropping-particle":"","family":"Anjana","given":"R. M.","non-dropping-particle":"","parse-names":false,"suffix":""},{"dropping-particle":"","family":"Kumar","given":"Rajesh","non-dropping-particle":"","parse-names":false,"suffix":""},{"dropping-particle":"","family":"Rosengren","given":"Annika","non-dropping-particle":"","parse-names":false,"suffix":""},{"dropping-particle":"","family":"Wei","given":"Li","non-dropping-particle":"","parse-names":false,"suffix":""},{"dropping-particle":"","family":"Yang","given":"Wang","non-dropping-particle":"","parse-names":false,"suffix":""},{"dropping-particle":"","family":"Chuangshi","given":"Wang","non-dropping-particle":"","parse-names":false,"suffix":""},{"dropping-particle":"","family":"Huaxing","given":"Liu","non-dropping-particle":"","parse-names":false,"suffix":""},{"dropping-particle":"","family":"Nair","given":"Sanjeev","non-dropping-particle":"","parse-names":false,"suffix":""},{"dropping-particle":"","family":"Diaz","given":"Rafael","non-dropping-particle":"","parse-names":false,"suffix":""},{"dropping-particle":"","family":"Swidon","given":"Hany","non-dropping-particle":"","parse-names":false,"suffix":""},{"dropping-particle":"","family":"Gupta","given":"Rajeev","non-dropping-particle":"","parse-names":false,"suffix":""},{"dropping-particle":"","family":"Mohammadifard","given":"Noushin","non-dropping-particle":"","parse-names":false,"suffix":""},{"dropping-particle":"","family":"Lopez-Jaramillo","given":"Patricio","non-dropping-particle":"","parse-names":false,"suffix":""},{"dropping-particle":"","family":"Oguz","given":"Aytekin","non-dropping-particle":"","parse-names":false,"suffix":""},{"dropping-particle":"","family":"Zatonska","given":"Katarzyna","non-dropping-particle":"","parse-names":false,"suffix":""},{"dropping-particle":"","family":"Seron","given":"Pamela","non-dropping-particle":"","parse-names":false,"suffix":""},{"dropping-particle":"","family":"Avezum","given":"Alvaro","non-dropping-particle":"","parse-names":false,"suffix":""},{"dropping-particle":"","family":"Poirier","given":"Paul","non-dropping-particle":"","parse-names":false,"suffix":""},{"dropping-particle":"","family":"Teo","given":"Koon","non-dropping-particle":"","parse-names":false,"suffix":""},{"dropping-particle":"","family":"Yusuf","given":"Salim","non-dropping-particle":"","parse-names":false,"suffix":""}],"container-title":"The Lancet","id":"ITEM-1","issue":"10113","issued":{"date-parts":[["2017"]]},"page":"2643-2654","publisher":"Elsevier Ltd","title":"The effect of physical activity on mortality and cardiovascular disease in 130 000 people from 17 high-income, middle-income, and low-income countries: the PURE study","type":"article-journal","volume":"390"},"uris":["http://www.mendeley.com/documents/?uuid=8066770b-a0ed-4f24-ba97-e1f7f81a4985"]}],"mendeley":{"formattedCitation":"[7]","plainTextFormattedCitation":"[7]","previouslyFormattedCitation":"[7]"},"properties":{"noteIndex":0},"schema":"https://github.com/citation-style-language/schema/raw/master/csl-citation.json"}</w:instrText>
      </w:r>
      <w:r w:rsidR="00DC14E9" w:rsidRPr="008B63A3">
        <w:rPr>
          <w:rFonts w:eastAsia="GoudyStd"/>
          <w:sz w:val="24"/>
          <w:szCs w:val="24"/>
        </w:rPr>
        <w:fldChar w:fldCharType="separate"/>
      </w:r>
      <w:r w:rsidR="00766376" w:rsidRPr="008B63A3">
        <w:rPr>
          <w:rFonts w:eastAsia="GoudyStd"/>
          <w:noProof/>
          <w:sz w:val="24"/>
          <w:szCs w:val="24"/>
          <w:lang w:val="en-US"/>
        </w:rPr>
        <w:t>[7]</w:t>
      </w:r>
      <w:r w:rsidR="00DC14E9" w:rsidRPr="008B63A3">
        <w:rPr>
          <w:rFonts w:eastAsia="GoudyStd"/>
          <w:sz w:val="24"/>
          <w:szCs w:val="24"/>
        </w:rPr>
        <w:fldChar w:fldCharType="end"/>
      </w:r>
      <w:r w:rsidR="00C81223" w:rsidRPr="008B63A3">
        <w:rPr>
          <w:rFonts w:eastAsia="GoudyStd"/>
          <w:sz w:val="24"/>
          <w:szCs w:val="24"/>
          <w:lang w:val="en-US"/>
        </w:rPr>
        <w:t xml:space="preserve">. </w:t>
      </w:r>
    </w:p>
    <w:p w14:paraId="36896846" w14:textId="77777777" w:rsidR="00C21335" w:rsidRPr="008B63A3" w:rsidRDefault="008679F5" w:rsidP="00A260C0">
      <w:pPr>
        <w:autoSpaceDE w:val="0"/>
        <w:autoSpaceDN w:val="0"/>
        <w:adjustRightInd w:val="0"/>
        <w:spacing w:line="360" w:lineRule="auto"/>
        <w:ind w:firstLine="709"/>
        <w:jc w:val="both"/>
        <w:rPr>
          <w:rFonts w:eastAsia="GoudyStd"/>
          <w:sz w:val="24"/>
          <w:szCs w:val="24"/>
          <w:lang w:val="en-US"/>
        </w:rPr>
      </w:pPr>
      <w:r w:rsidRPr="008B63A3">
        <w:rPr>
          <w:rFonts w:eastAsia="GoudyStd"/>
          <w:sz w:val="24"/>
          <w:szCs w:val="24"/>
          <w:lang w:val="en-US"/>
        </w:rPr>
        <w:t xml:space="preserve">Numerous studies show the association between low level of </w:t>
      </w:r>
      <w:r w:rsidR="009B3AFD" w:rsidRPr="008B63A3">
        <w:rPr>
          <w:rFonts w:eastAsia="GoudyStd"/>
          <w:sz w:val="24"/>
          <w:szCs w:val="24"/>
          <w:lang w:val="en-US"/>
        </w:rPr>
        <w:t>PA</w:t>
      </w:r>
      <w:r w:rsidRPr="008B63A3">
        <w:rPr>
          <w:rFonts w:eastAsia="GoudyStd"/>
          <w:sz w:val="24"/>
          <w:szCs w:val="24"/>
          <w:lang w:val="en-US"/>
        </w:rPr>
        <w:t xml:space="preserve"> and </w:t>
      </w:r>
      <w:r w:rsidR="00DD7397" w:rsidRPr="008B63A3">
        <w:rPr>
          <w:rFonts w:eastAsia="GoudyStd"/>
          <w:sz w:val="24"/>
          <w:szCs w:val="24"/>
          <w:lang w:val="en-US"/>
        </w:rPr>
        <w:t>early mortality</w:t>
      </w:r>
      <w:r w:rsidR="00154C61" w:rsidRPr="008B63A3">
        <w:rPr>
          <w:rFonts w:eastAsia="GoudyStd"/>
          <w:sz w:val="24"/>
          <w:szCs w:val="24"/>
          <w:lang w:val="en-US"/>
        </w:rPr>
        <w:t xml:space="preserve"> </w:t>
      </w:r>
      <w:r w:rsidR="00102A25" w:rsidRPr="008B63A3">
        <w:rPr>
          <w:rFonts w:eastAsia="GoudyStd"/>
          <w:sz w:val="24"/>
          <w:szCs w:val="24"/>
        </w:rPr>
        <w:fldChar w:fldCharType="begin" w:fldLock="1"/>
      </w:r>
      <w:r w:rsidR="008F460F" w:rsidRPr="008B63A3">
        <w:rPr>
          <w:rFonts w:eastAsia="GoudyStd"/>
          <w:sz w:val="24"/>
          <w:szCs w:val="24"/>
          <w:lang w:val="en-US"/>
        </w:rPr>
        <w:instrText>ADDIN CSL_CITATION {"citationItems":[{"id":"ITEM-1","itemData":{"DOI":"10.1161/CIRCULATIONAHA.105.605246","ISBN":"6176321972","ISSN":"15378276","PMID":"1000000221","abstract":"With the effectiveness of therapeutic agents ever decreasing and the increased incidence of multi-drug resistant pathogens, there is a clear need for administration of more potent, potentially more toxic, drugs. Alternatively, biopharmaceuticals may hold potential but require specialised protection from premature in vivo degradation. Thus, a paralleled need for specialised drug delivery systems has arisen. Although cell-mediated drug delivery is not a completely novel concept, the few applications described to date are not yet ready for in vivo application, for various reasons such as drug-induced carrier cell death, limited control over the site and timing of drug release and/or drug degradation by the host immune system. Here, we present our hypothesis for a new drug delivery system, which aims to negate these limitations. We propose transport of nanoparticle-encapsulated drugs inside autologous macrophages polarised to M1 phenotype for high mobility and treated to induce transient phagosome maturation arrest. In addition, we propose a significant shift of existing paradigms in the study of host-microbe interactions, in order to study microbial host immune evasion and dissemination patterns for their therapeutic utilisation in the context of drug delivery. We describe a system in which microbial strategies may be adopted to facilitate absolute control over drug delivery, and without sacrificing the host carrier cells. We provide a comprehensive summary of the lessons we can learn from microbes in the context of drug delivery and discuss their feasibility for in vivo therapeutic application. We then describe our proposed “synthetic microbe drug delivery system” in detail. In our opinion, this multidisciplinary approach may hold the solution to effective, controlled drug delivery.","author":[{"dropping-particle":"","family":"Garg","given":"Parveen K","non-dropping-particle":"","parse-names":false,"suffix":""},{"dropping-particle":"","family":"Tian","given":"Lu","non-dropping-particle":"","parse-names":false,"suffix":""},{"dropping-particle":"","family":"Criqui","given":"Michael H","non-dropping-particle":"","parse-names":false,"suffix":""},{"dropping-particle":"","family":"Liu","given":"Kiang","non-dropping-particle":"","parse-names":false,"suffix":""},{"dropping-particle":"","family":"Ferrucci","given":"Luigi","non-dropping-particle":"","parse-names":false,"suffix":""},{"dropping-particle":"","family":"Guralnik","given":"Jack M","non-dropping-particle":"","parse-names":false,"suffix":""},{"dropping-particle":"","family":"Tan","given":"Jin","non-dropping-particle":"","parse-names":false,"suffix":""},{"dropping-particle":"","family":"McDermott","given":"Mary M","non-dropping-particle":"","parse-names":false,"suffix":""}],"container-title":"Circulation","id":"ITEM-1","issue":"3","issued":{"date-parts":[["2006"]]},"page":"242-248","title":"Physical Activity During Daily Life and Mortality in Patients With Peripheral Arterial Disease","type":"article-journal","volume":"114"},"uris":["http://www.mendeley.com/documents/?uuid=23bb6000-8d87-4f6b-9519-2e983d3438e3"]},{"id":"ITEM-2","itemData":{"DOI":"10.1016/S0140-6736(11)60749-6","ISSN":"01406736","PMID":"21846575","abstract":"The health benefits of leisure-time physical activity are well known, but whether less exercise than the recommended 150 min a week can have life expectancy benefits is unclear. We assessed the health benefits of a range of volumes of physical activity in a Taiwanese population. In this prospective cohort study, 416 175 individuals (199 265 men and 216 910 women) participated in a standard medical screening programme in Taiwan between 1996 and 2008, with an average follow-up of 8·05 years (SD 4·21). On the basis of the amount of weekly exercise indicated in a self-administered questionnaire, participants were placed into one of five categories of exercise volumes: inactive, or low, medium, high, or very high activity. We calculated hazard ratios (HR) for mortality risks for every group compared with the inactive group, and calculated life expectancy for every group. Compared with individuals in the inactive group, those in the low-volume activity group, who exercised for an average of 92 min per week (95 CI 71-112) or 15 min a day (SD 1·8), had a 14 reduced risk of all-cause mortality (0·86, 0·81-0·91), and had a 3 year longer life expectancy. Every additional 15 min of daily exercise beyond the minimum amount of 15 min a day further reduced all-cause mortality by 4 (95 CI 2·5-7·0) and all-cancer mortality by 1 (0·3-4·5). These benefits were applicable to all age groups and both sexes, and to those with cardiovascular disease risks. Individuals who were inactive had a 17 (HR 1·17, 95 CI 1·10-1·24) increased risk of mortality compared with individuals in the low-volume group. 15 min a day or 90 min a week of moderate-intensity exercise might be of benefit, even for individuals at risk of cardiovascular disease. Taiwan Department of Health Clinical Trial and Research Center of Excellence and National Health Research Institutes. © 2011 Elsevier Ltd.","author":[{"dropping-particle":"","family":"Wen","given":"Chi Pang","non-dropping-particle":"","parse-names":false,"suffix":""},{"dropping-particle":"","family":"Wai","given":"Jackson Pui Man","non-dropping-particle":"","parse-names":false,"suffix":""},{"dropping-particle":"","family":"Tsai","given":"Min Kuang","non-dropping-particle":"","parse-names":false,"suffix":""},{"dropping-particle":"","family":"Yang","given":"Yi Chen","non-dropping-particle":"","parse-names":false,"suffix":""},{"dropping-particle":"","family":"Cheng","given":"Ting Yuan David","non-dropping-particle":"","parse-names":false,"suffix":""},{"dropping-particle":"","family":"Lee","given":"Meng Chih","non-dropping-particle":"","parse-names":false,"suffix":""},{"dropping-particle":"","family":"Chan","given":"Hui Ting","non-dropping-particle":"","parse-names":false,"suffix":""},{"dropping-particle":"","family":"Tsao","given":"Chwen Keng","non-dropping-particle":"","parse-names":false,"suffix":""},{"dropping-particle":"","family":"Tsai","given":"Shan Pou","non-dropping-particle":"","parse-names":false,"suffix":""},{"dropping-particle":"","family":"Wu","given":"Xifeng","non-dropping-particle":"","parse-names":false,"suffix":""}],"container-title":"The Lancet","id":"ITEM-2","issue":"9798","issued":{"date-parts":[["2011"]]},"page":"1244-1253","publisher":"Elsevier Ltd","title":"Minimum amount of physical activity for reduced mortality and extended life expectancy: A prospective cohort study","type":"article-journal","volume":"378"},"uris":["http://www.mendeley.com/documents/?uuid=36877a81-e1c8-4678-b51b-88833b5148c2"]},{"id":"ITEM-3","itemData":{"DOI":"10.1016/S0140-6736(12)61031-9.Impact","ISBN":"1474-547X (Electronic)\\n0140-6736 (Linking)","ISSN":"0140-6736","PMID":"22818936","abstract":"BACKGROUND: Strong evidence shows that physical inactivity increases the risk of many adverse health conditions, including the world’s major non-communicable diseases (NCDs) of coronary heart disease (CHD), type 2 diabetes, and breast and colon cancers, and shortens life expectancy. Because much of the world’s population is inactive, this presents a major public health problem. We aimed to quantify the impact of physical inactivity on these major NCDs by estimating how much disease could be averted if those inactive were to become active and to estimate gain in life expectancy, at the population level. METHODS: Using conservative assumptions, we calculated population attributable fractions (PAF) associated with physical inactivity for each of the major NCDs, by country, to estimate how much disease could be averted if physical inactivity were eliminated, and used life table analysis to estimate gains in life expectancy of the population. FINDINGS: Worldwide, we estimate that physical inactivity is responsible for 6% of the burden of disease from CHD (range: 3.2% in South-east Asia to 7.8% in the Eastern Mediterranean region); 7% of type 2 diabetes (3.9% to 9.6%), 10% of breast cancer (5.6% to 14.1%), and 10% of colon cancer (5.7% to 13.8%). Inactivity is responsible for 9% of premature mortality (5.1% to 12.5%), or &gt;5.3 of the 57 million deaths that occurred worldwide in 2008. If inactivity were not eliminated, but decreased instead by 10% or 25%, &gt;533,000 and &gt;1.3 million deaths, respectively, may be averted each year. By eliminating physical inactivity, life expectancy of the world’s population is estimated to increase by 0.68 (0.41 to 0.95) years. INTERPRETATION: Physical inactivity has a major health impact on the world. Elimination of physical inactivity would remove between 6% and 10% of the major NCDs of CHD, type 2 diabetes, and breast and colon cancers, and increase life expectancy.","author":[{"dropping-particle":"","family":"Lee","given":"I-Min","non-dropping-particle":"","parse-names":false,"suffix":""},{"dropping-particle":"","family":"Shiroma","given":"Eric J","non-dropping-particle":"","parse-names":false,"suffix":""},{"dropping-particle":"","family":"Lobelo","given":"Felipe","non-dropping-particle":"","parse-names":false,"suffix":""},{"dropping-particle":"","family":"Puska","given":"Pekka","non-dropping-particle":"","parse-names":false,"suffix":""},{"dropping-particle":"","family":"Blair","given":"Steven N","non-dropping-particle":"","parse-names":false,"suffix":""},{"dropping-particle":"","family":"Katzmarzyk","given":"Peter T","non-dropping-particle":"","parse-names":false,"suffix":""}],"container-title":"The Lancet","id":"ITEM-3","issue":"9838","issued":{"date-parts":[["2012"]]},"page":"219-229","title":"Impact of Physical Inactivity on the World's Major Non-Communicable Diseases","type":"article-journal","volume":"380"},"uris":["http://www.mendeley.com/documents/?uuid=f1e6fcdc-52b4-4209-9c9b-86805f0c7324"]},{"id":"ITEM-4","itemData":{"DOI":"10.3945/ajcn.111.019620.Am","ISBN":"1938-3207 (Electronic)\\r0002-9165 (Linking)","ISSN":"1938-3207","PMID":"22218159","abstract":"Background: Sedentary behaviors predominate modern life, yet we do not fully understand the adverse effects of these behaviors on mortality after considering the benefits of moderate-vigorous physical activity (MVPA). Objective: We tested the hypotheses that higher amounts of overall sitting time and television viewing are positively associated with mortality and described the independent and combined effects of these sedentary behaviors and MVPA on mortality. Design: In the NIH-AARP Diet and Health Study, we examined 240,819 adults (aged 50–71 y) who did not report any cancer, cardiovascular disease, or respiratory disease at baseline. Mortality was ascertained over 8.5 y. Results: Sedentary behaviors were positively associated with mortality after adjustment for age, sex, education, smoking, diet, race, and MVPA. Participants who reported the most television viewing (≥7 h compared with &lt;1 h/d) were at greater risk of all-cause (HR: 1.61; 95% CI: 1.47, 1.76), cardiovascular (HR: 1.85; 95% CI: 1.56, 2.20), and cancer (HR: 1.22; 95% CI: 1.06, 1.40) mortality after adjustment for MVPA. Overall sitting was associated with all-cause mortality. Even among adults reporting high levels of MVPA (&gt;7 h/wk), high amounts of television viewing (≥7 h/d) remained associated with increased risk of all-cause (HR: 1.47; 95% CI: 1.20, 1.79) and cardiovascular (HR: 2.00; 95% CI: 1.33, 3.00) mortality compared with those reporting the least television viewing (&lt;1 h/d). Conclusions: Time spent in sedentary behaviors was positively associated with mortality, and participation in high levels of MVPA did not fully mitigate health risks associated with prolonged time watching television. Adults should be encouraged to reduce time spent in sedentary behaviors, when possible, and to participate in MVPA at recommended levels. The NIH-AARP Diet and Health Study was registered at clinicaltrials.gov as NCT00340015.","author":[{"dropping-particle":"","family":"Matthews","given":"Charles E","non-dropping-particle":"","parse-names":false,"suffix":""},{"dropping-particle":"","family":"George","given":"Stephanie M","non-dropping-particle":"","parse-names":false,"suffix":""},{"dropping-particle":"","family":"Moore","given":"Steven C","non-dropping-particle":"","parse-names":false,"suffix":""},{"dropping-particle":"","family":"Bowles","given":"Heather R","non-dropping-particle":"","parse-names":false,"suffix":""},{"dropping-particle":"","family":"Blair","given":"Aaron","non-dropping-particle":"","parse-names":false,"suffix":""},{"dropping-particle":"","family":"Park","given":"Yikyung","non-dropping-particle":"","parse-names":false,"suffix":""},{"dropping-particle":"","family":"Troiano","given":"Richard P","non-dropping-particle":"","parse-names":false,"suffix":""},{"dropping-particle":"","family":"Hollenbeck","given":"Albert","non-dropping-particle":"","parse-names":false,"suffix":""},{"dropping-particle":"","family":"Schatzkin","given":"Arthur","non-dropping-particle":"","parse-names":false,"suffix":""}],"container-title":"Am J Clin Nutr","id":"ITEM-4","issue":"2","issued":{"date-parts":[["2012"]]},"page":"437-445","title":"Amount of time spent in sedentary behaviors and cause-specific mortality in US adults","type":"article-journal","volume":"95"},"uris":["http://www.mendeley.com/documents/?uuid=dffff98f-efbb-4ecb-baba-4f126ede5be4"]},{"id":"ITEM-5","itemData":{"DOI":"10.1016/j.amjcard.2013.02.034","ISSN":"00029149","PMID":"23540653","abstract":"The purpose of this study was to determine both an association between mortality and physical activity (PA) objectively measured by accelerometer and cutoff values for PA in Japanese outpatients with heart failure (HF). This prospective observational study comprised 170 HF outpatients (mean age, 65.2 years; 77% men). Peak oxygen uptake (VO2) and the relation between ventilation and carbon dioxide production (VE/VCO2 slope) as indices of exercise capacity were measured during cardiopulmonary exercise testing with a cycle ergometer. PA was assessed by accelerometer-measured average step count (steps) per day for 1 week. Study endpoint was cardiovascular-related death. Over an average follow-up of 1,377.1 (median, 1,335) days, 31 cardiovascular-related deaths occurred. Patients were then divided into survivor (n = 139) and nonsurvivor (n = 31) groups. Brain natriuretic peptide level was significantly different between groups. Peak VO2 and steps were also significantly lower and VE/VCO2 slope higher in the nonsurvivors versus survivors. Univariate Cox proportional hazards analysis showed brain natriuretic peptide, peak VO2, VE/VCO2 slope, and steps to be significant prognostic indicators of survival. Multivariate analysis showed PA of ≤4,889.4 steps/day to be a strong and independent predictor of prognosis (hazard ratio: 2.28, 95% confidence interval: 1.31-6.30; p = 0.008). Kaplan-Meier curves after log-rank test showed significant prognostic difference between PA of ≤4,889.4 and &gt;4,889.4 steps/day in the 2 groups (log-rank: 12.19; p = 0.0005). In conclusion, step count as objectively measured by accelerometer may be a prognostic indicator of mortality in Japanese outpatients with HF. © 2013 Elsevier Inc. All rights reserved.","author":[{"dropping-particle":"","family":"Izawa","given":"Kazuhiro P.","non-dropping-particle":"","parse-names":false,"suffix":""},{"dropping-particle":"","family":"Watanabe","given":"Satoshi","non-dropping-particle":"","parse-names":false,"suffix":""},{"dropping-particle":"","family":"Oka","given":"Koichiro","non-dropping-particle":"","parse-names":false,"suffix":""},{"dropping-particle":"","family":"Hiraki","given":"Koji","non-dropping-particle":"","parse-names":false,"suffix":""},{"dropping-particle":"","family":"Morio","given":"Yuji","non-dropping-particle":"","parse-names":false,"suffix":""},{"dropping-particle":"","family":"Kasahara","given":"Yusuke","non-dropping-particle":"","parse-names":false,"suffix":""},{"dropping-particle":"","family":"Brubaker","given":"Peter H.","non-dropping-particle":"","parse-names":false,"suffix":""},{"dropping-particle":"","family":"Osada","given":"Naohiko","non-dropping-particle":"","parse-names":false,"suffix":""},{"dropping-particle":"","family":"Omiya","given":"Kazuto","non-dropping-particle":"","parse-names":false,"suffix":""},{"dropping-particle":"","family":"Shimizu","given":"Hiroyuki","non-dropping-particle":"","parse-names":false,"suffix":""}],"container-title":"American Journal of Cardiology","id":"ITEM-5","issue":"12","issued":{"date-parts":[["2013"]]},"page":"1767-1771","publisher":"Elsevier Inc.","title":"Usefulness of step counts to predict mortality in Japanese patients with heart failure","type":"article-journal","volume":"111"},"uris":["http://www.mendeley.com/documents/?uuid=2ab825b9-4753-46c7-9b2b-2675fc1275c7"]}],"mendeley":{"formattedCitation":"[35–39]","plainTextFormattedCitation":"[35–39]","previouslyFormattedCitation":"[34–38]"},"properties":{"noteIndex":0},"schema":"https://github.com/citation-style-language/schema/raw/master/csl-citation.json"}</w:instrText>
      </w:r>
      <w:r w:rsidR="00102A25" w:rsidRPr="008B63A3">
        <w:rPr>
          <w:rFonts w:eastAsia="GoudyStd"/>
          <w:sz w:val="24"/>
          <w:szCs w:val="24"/>
        </w:rPr>
        <w:fldChar w:fldCharType="separate"/>
      </w:r>
      <w:r w:rsidR="008F460F" w:rsidRPr="008B63A3">
        <w:rPr>
          <w:rFonts w:eastAsia="GoudyStd"/>
          <w:noProof/>
          <w:sz w:val="24"/>
          <w:szCs w:val="24"/>
          <w:lang w:val="en-US"/>
        </w:rPr>
        <w:t>[35–39]</w:t>
      </w:r>
      <w:r w:rsidR="00102A25" w:rsidRPr="008B63A3">
        <w:rPr>
          <w:rFonts w:eastAsia="GoudyStd"/>
          <w:sz w:val="24"/>
          <w:szCs w:val="24"/>
        </w:rPr>
        <w:fldChar w:fldCharType="end"/>
      </w:r>
      <w:r w:rsidR="00102A25" w:rsidRPr="008B63A3">
        <w:rPr>
          <w:rFonts w:eastAsia="GoudyStd"/>
          <w:sz w:val="24"/>
          <w:szCs w:val="24"/>
          <w:lang w:val="en-US"/>
        </w:rPr>
        <w:t>.</w:t>
      </w:r>
      <w:r w:rsidR="00987C01" w:rsidRPr="008B63A3">
        <w:rPr>
          <w:rFonts w:eastAsia="GoudyStd"/>
          <w:sz w:val="24"/>
          <w:szCs w:val="24"/>
          <w:lang w:val="en-US"/>
        </w:rPr>
        <w:t xml:space="preserve"> </w:t>
      </w:r>
      <w:r w:rsidRPr="008B63A3">
        <w:rPr>
          <w:rFonts w:eastAsia="GoudyStd"/>
          <w:sz w:val="24"/>
          <w:szCs w:val="24"/>
          <w:lang w:val="en-US"/>
        </w:rPr>
        <w:t xml:space="preserve">However, our understanding of the potential health benefits is not only related to time and frequency in moderate/vigorous </w:t>
      </w:r>
      <w:r w:rsidR="009B3AFD" w:rsidRPr="008B63A3">
        <w:rPr>
          <w:rFonts w:eastAsia="GoudyStd"/>
          <w:sz w:val="24"/>
          <w:szCs w:val="24"/>
          <w:lang w:val="en-US"/>
        </w:rPr>
        <w:t>PA</w:t>
      </w:r>
      <w:r w:rsidRPr="008B63A3">
        <w:rPr>
          <w:rFonts w:eastAsia="GoudyStd"/>
          <w:sz w:val="24"/>
          <w:szCs w:val="24"/>
          <w:lang w:val="en-US"/>
        </w:rPr>
        <w:t xml:space="preserve">, usually reported in most studies, but in the total daily time spent on </w:t>
      </w:r>
      <w:r w:rsidR="009E1940" w:rsidRPr="008B63A3">
        <w:rPr>
          <w:rFonts w:eastAsia="GoudyStd"/>
          <w:sz w:val="24"/>
          <w:szCs w:val="24"/>
          <w:lang w:val="en-US"/>
        </w:rPr>
        <w:t>PA</w:t>
      </w:r>
      <w:r w:rsidR="009B3AFD" w:rsidRPr="008B63A3">
        <w:rPr>
          <w:rFonts w:eastAsia="GoudyStd"/>
          <w:sz w:val="24"/>
          <w:szCs w:val="24"/>
          <w:lang w:val="en-US"/>
        </w:rPr>
        <w:t xml:space="preserve"> </w:t>
      </w:r>
      <w:r w:rsidR="00E3232A" w:rsidRPr="008B63A3">
        <w:rPr>
          <w:rFonts w:eastAsia="GoudyStd"/>
          <w:sz w:val="24"/>
          <w:szCs w:val="24"/>
        </w:rPr>
        <w:fldChar w:fldCharType="begin" w:fldLock="1"/>
      </w:r>
      <w:r w:rsidR="008F460F" w:rsidRPr="008B63A3">
        <w:rPr>
          <w:rFonts w:eastAsia="GoudyStd"/>
          <w:sz w:val="24"/>
          <w:szCs w:val="24"/>
          <w:lang w:val="en-US"/>
        </w:rPr>
        <w:instrText>ADDIN CSL_CITATION {"citationItems":[{"id":"ITEM-1","itemData":{"DOI":"10.1136/bjsm.36.3.162","author":[{"dropping-particle":"","family":"Oguma","given":"Y","non-dropping-particle":"","parse-names":false,"suffix":""},{"dropping-particle":"","family":"Sesso","given":"H D","non-dropping-particle":"","parse-names":false,"suffix":""},{"dropping-particle":"","family":"Jr","given":"R S Paffenbarger","non-dropping-particle":"","parse-names":false,"suffix":""},{"dropping-particle":"","family":"Lee","given":"I-M","non-dropping-particle":"","parse-names":false,"suffix":""}],"container-title":"Br J Sports Med","id":"ITEM-1","issue":"3","issued":{"date-parts":[["2002"]]},"page":"162-172","title":"Physical activity and all cause mortality in women: a review of the evidence","type":"article-journal","volume":"36"},"uris":["http://www.mendeley.com/documents/?uuid=82252153-4560-4375-a63a-d020d65f17cf"]}],"mendeley":{"formattedCitation":"[40]","plainTextFormattedCitation":"[40]","previouslyFormattedCitation":"[39]"},"properties":{"noteIndex":0},"schema":"https://github.com/citation-style-language/schema/raw/master/csl-citation.json"}</w:instrText>
      </w:r>
      <w:r w:rsidR="00E3232A" w:rsidRPr="008B63A3">
        <w:rPr>
          <w:rFonts w:eastAsia="GoudyStd"/>
          <w:sz w:val="24"/>
          <w:szCs w:val="24"/>
        </w:rPr>
        <w:fldChar w:fldCharType="separate"/>
      </w:r>
      <w:r w:rsidR="008F460F" w:rsidRPr="008B63A3">
        <w:rPr>
          <w:rFonts w:eastAsia="GoudyStd"/>
          <w:noProof/>
          <w:sz w:val="24"/>
          <w:szCs w:val="24"/>
          <w:lang w:val="en-US"/>
        </w:rPr>
        <w:t>[40]</w:t>
      </w:r>
      <w:r w:rsidR="00E3232A" w:rsidRPr="008B63A3">
        <w:rPr>
          <w:rFonts w:eastAsia="GoudyStd"/>
          <w:sz w:val="24"/>
          <w:szCs w:val="24"/>
        </w:rPr>
        <w:fldChar w:fldCharType="end"/>
      </w:r>
      <w:r w:rsidR="00570EF5" w:rsidRPr="008B63A3">
        <w:rPr>
          <w:rFonts w:eastAsia="GoudyStd"/>
          <w:sz w:val="24"/>
          <w:szCs w:val="24"/>
          <w:lang w:val="en-US"/>
        </w:rPr>
        <w:t xml:space="preserve">. </w:t>
      </w:r>
      <w:r w:rsidR="00A260C0" w:rsidRPr="008B63A3">
        <w:rPr>
          <w:rFonts w:eastAsia="GoudyStd"/>
          <w:sz w:val="24"/>
          <w:szCs w:val="24"/>
          <w:lang w:val="en-US"/>
        </w:rPr>
        <w:t xml:space="preserve"> </w:t>
      </w:r>
      <w:r w:rsidR="00400884" w:rsidRPr="008B63A3">
        <w:rPr>
          <w:rFonts w:eastAsia="GoudyStd"/>
          <w:sz w:val="24"/>
          <w:szCs w:val="24"/>
          <w:lang w:val="en-US"/>
        </w:rPr>
        <w:t xml:space="preserve">The results of the present study showed that the low level of </w:t>
      </w:r>
      <w:r w:rsidR="009E1940" w:rsidRPr="008B63A3">
        <w:rPr>
          <w:rFonts w:eastAsia="GoudyStd"/>
          <w:sz w:val="24"/>
          <w:szCs w:val="24"/>
          <w:lang w:val="en-US"/>
        </w:rPr>
        <w:t>PA</w:t>
      </w:r>
      <w:r w:rsidR="00400884" w:rsidRPr="008B63A3">
        <w:rPr>
          <w:rFonts w:eastAsia="GoudyStd"/>
          <w:sz w:val="24"/>
          <w:szCs w:val="24"/>
          <w:lang w:val="en-US"/>
        </w:rPr>
        <w:t xml:space="preserve"> (lower </w:t>
      </w:r>
      <w:proofErr w:type="spellStart"/>
      <w:r w:rsidR="00400884" w:rsidRPr="008B63A3">
        <w:rPr>
          <w:rFonts w:eastAsia="GoudyStd"/>
          <w:sz w:val="24"/>
          <w:szCs w:val="24"/>
          <w:lang w:val="en-US"/>
        </w:rPr>
        <w:t>tertile</w:t>
      </w:r>
      <w:proofErr w:type="spellEnd"/>
      <w:r w:rsidR="00400884" w:rsidRPr="008B63A3">
        <w:rPr>
          <w:rFonts w:eastAsia="GoudyStd"/>
          <w:sz w:val="24"/>
          <w:szCs w:val="24"/>
          <w:lang w:val="en-US"/>
        </w:rPr>
        <w:t xml:space="preserve">) was associated with mortality in the period from 2010 to 2014, regardless of sociodemographic and clinical variables. Among the </w:t>
      </w:r>
      <w:r w:rsidR="009E1940" w:rsidRPr="008B63A3">
        <w:rPr>
          <w:rFonts w:eastAsia="GoudyStd"/>
          <w:sz w:val="24"/>
          <w:szCs w:val="24"/>
          <w:lang w:val="en-US"/>
        </w:rPr>
        <w:t xml:space="preserve">participants who died in the years leading to </w:t>
      </w:r>
      <w:r w:rsidR="00400884" w:rsidRPr="008B63A3">
        <w:rPr>
          <w:rFonts w:eastAsia="GoudyStd"/>
          <w:sz w:val="24"/>
          <w:szCs w:val="24"/>
          <w:lang w:val="en-US"/>
        </w:rPr>
        <w:t xml:space="preserve">2014, </w:t>
      </w:r>
      <w:r w:rsidR="008610E3" w:rsidRPr="008B63A3">
        <w:rPr>
          <w:rFonts w:eastAsia="GoudyStd"/>
          <w:sz w:val="24"/>
          <w:szCs w:val="24"/>
          <w:lang w:val="en-US"/>
        </w:rPr>
        <w:t>57</w:t>
      </w:r>
      <w:r w:rsidR="00400884" w:rsidRPr="008B63A3">
        <w:rPr>
          <w:rFonts w:eastAsia="GoudyStd"/>
          <w:sz w:val="24"/>
          <w:szCs w:val="24"/>
          <w:lang w:val="en-US"/>
        </w:rPr>
        <w:t xml:space="preserve">% had a low level of </w:t>
      </w:r>
      <w:r w:rsidR="009E1940" w:rsidRPr="008B63A3">
        <w:rPr>
          <w:rFonts w:eastAsia="GoudyStd"/>
          <w:sz w:val="24"/>
          <w:szCs w:val="24"/>
          <w:lang w:val="en-US"/>
        </w:rPr>
        <w:t>PA</w:t>
      </w:r>
      <w:r w:rsidR="00400884" w:rsidRPr="008B63A3">
        <w:rPr>
          <w:rFonts w:eastAsia="GoudyStd"/>
          <w:sz w:val="24"/>
          <w:szCs w:val="24"/>
          <w:lang w:val="en-US"/>
        </w:rPr>
        <w:t xml:space="preserve"> in 2010, while among survivors, this percentage was only </w:t>
      </w:r>
      <w:r w:rsidR="0055680E" w:rsidRPr="008B63A3">
        <w:rPr>
          <w:rFonts w:eastAsia="GoudyStd"/>
          <w:sz w:val="24"/>
          <w:szCs w:val="24"/>
          <w:lang w:val="en-US"/>
        </w:rPr>
        <w:t>23</w:t>
      </w:r>
      <w:r w:rsidR="00400884" w:rsidRPr="008B63A3">
        <w:rPr>
          <w:rFonts w:eastAsia="GoudyStd"/>
          <w:sz w:val="24"/>
          <w:szCs w:val="24"/>
          <w:lang w:val="en-US"/>
        </w:rPr>
        <w:t>%</w:t>
      </w:r>
      <w:r w:rsidR="00C21335" w:rsidRPr="008B63A3">
        <w:rPr>
          <w:rFonts w:eastAsia="GoudyStd"/>
          <w:sz w:val="24"/>
          <w:szCs w:val="24"/>
          <w:lang w:val="en-US"/>
        </w:rPr>
        <w:t xml:space="preserve">. </w:t>
      </w:r>
      <w:r w:rsidR="00400884" w:rsidRPr="008B63A3">
        <w:rPr>
          <w:rFonts w:eastAsia="GoudyStd"/>
          <w:sz w:val="24"/>
          <w:szCs w:val="24"/>
          <w:lang w:val="en-US"/>
        </w:rPr>
        <w:t xml:space="preserve">The association </w:t>
      </w:r>
      <w:r w:rsidR="009E1940" w:rsidRPr="008B63A3">
        <w:rPr>
          <w:rFonts w:eastAsia="GoudyStd"/>
          <w:sz w:val="24"/>
          <w:szCs w:val="24"/>
          <w:lang w:val="en-US"/>
        </w:rPr>
        <w:t xml:space="preserve">between </w:t>
      </w:r>
      <w:r w:rsidR="00400884" w:rsidRPr="008B63A3">
        <w:rPr>
          <w:rFonts w:eastAsia="GoudyStd"/>
          <w:sz w:val="24"/>
          <w:szCs w:val="24"/>
          <w:lang w:val="en-US"/>
        </w:rPr>
        <w:t xml:space="preserve">low level of </w:t>
      </w:r>
      <w:r w:rsidR="009E1940" w:rsidRPr="008B63A3">
        <w:rPr>
          <w:rFonts w:eastAsia="GoudyStd"/>
          <w:sz w:val="24"/>
          <w:szCs w:val="24"/>
          <w:lang w:val="en-US"/>
        </w:rPr>
        <w:t>PA</w:t>
      </w:r>
      <w:r w:rsidR="00400884" w:rsidRPr="008B63A3">
        <w:rPr>
          <w:rFonts w:eastAsia="GoudyStd"/>
          <w:sz w:val="24"/>
          <w:szCs w:val="24"/>
          <w:lang w:val="en-US"/>
        </w:rPr>
        <w:t xml:space="preserve"> with mortality remained significant after adjustments in the multiple hierarchical </w:t>
      </w:r>
      <w:proofErr w:type="gramStart"/>
      <w:r w:rsidR="00400884" w:rsidRPr="008B63A3">
        <w:rPr>
          <w:rFonts w:eastAsia="GoudyStd"/>
          <w:sz w:val="24"/>
          <w:szCs w:val="24"/>
          <w:lang w:val="en-US"/>
        </w:rPr>
        <w:t>model</w:t>
      </w:r>
      <w:proofErr w:type="gramEnd"/>
      <w:r w:rsidR="00400884" w:rsidRPr="008B63A3">
        <w:rPr>
          <w:rFonts w:eastAsia="GoudyStd"/>
          <w:sz w:val="24"/>
          <w:szCs w:val="24"/>
          <w:lang w:val="en-US"/>
        </w:rPr>
        <w:t xml:space="preserve">. The </w:t>
      </w:r>
      <w:r w:rsidR="009E1940" w:rsidRPr="008B63A3">
        <w:rPr>
          <w:rFonts w:eastAsia="GoudyStd"/>
          <w:sz w:val="24"/>
          <w:szCs w:val="24"/>
          <w:lang w:val="en-US"/>
        </w:rPr>
        <w:t>parti</w:t>
      </w:r>
      <w:r w:rsidR="00B86C7B" w:rsidRPr="008B63A3">
        <w:rPr>
          <w:rFonts w:eastAsia="GoudyStd"/>
          <w:sz w:val="24"/>
          <w:szCs w:val="24"/>
          <w:lang w:val="en-US"/>
        </w:rPr>
        <w:t>c</w:t>
      </w:r>
      <w:r w:rsidR="006E4889" w:rsidRPr="008B63A3">
        <w:rPr>
          <w:rFonts w:eastAsia="GoudyStd"/>
          <w:sz w:val="24"/>
          <w:szCs w:val="24"/>
          <w:lang w:val="en-US"/>
        </w:rPr>
        <w:t>i</w:t>
      </w:r>
      <w:r w:rsidR="00B86C7B" w:rsidRPr="008B63A3">
        <w:rPr>
          <w:rFonts w:eastAsia="GoudyStd"/>
          <w:sz w:val="24"/>
          <w:szCs w:val="24"/>
          <w:lang w:val="en-US"/>
        </w:rPr>
        <w:t>p</w:t>
      </w:r>
      <w:r w:rsidR="009E1940" w:rsidRPr="008B63A3">
        <w:rPr>
          <w:rFonts w:eastAsia="GoudyStd"/>
          <w:sz w:val="24"/>
          <w:szCs w:val="24"/>
          <w:lang w:val="en-US"/>
        </w:rPr>
        <w:t xml:space="preserve">ants who demonstrated </w:t>
      </w:r>
      <w:r w:rsidR="00400884" w:rsidRPr="008B63A3">
        <w:rPr>
          <w:rFonts w:eastAsia="GoudyStd"/>
          <w:sz w:val="24"/>
          <w:szCs w:val="24"/>
          <w:lang w:val="en-US"/>
        </w:rPr>
        <w:t>low level</w:t>
      </w:r>
      <w:r w:rsidR="009E1940" w:rsidRPr="008B63A3">
        <w:rPr>
          <w:rFonts w:eastAsia="GoudyStd"/>
          <w:sz w:val="24"/>
          <w:szCs w:val="24"/>
          <w:lang w:val="en-US"/>
        </w:rPr>
        <w:t>s</w:t>
      </w:r>
      <w:r w:rsidR="00400884" w:rsidRPr="008B63A3">
        <w:rPr>
          <w:rFonts w:eastAsia="GoudyStd"/>
          <w:sz w:val="24"/>
          <w:szCs w:val="24"/>
          <w:lang w:val="en-US"/>
        </w:rPr>
        <w:t xml:space="preserve"> of </w:t>
      </w:r>
      <w:r w:rsidR="009E1940" w:rsidRPr="008B63A3">
        <w:rPr>
          <w:rFonts w:eastAsia="GoudyStd"/>
          <w:sz w:val="24"/>
          <w:szCs w:val="24"/>
          <w:lang w:val="en-US"/>
        </w:rPr>
        <w:t>PA</w:t>
      </w:r>
      <w:r w:rsidR="00400884" w:rsidRPr="008B63A3">
        <w:rPr>
          <w:rFonts w:eastAsia="GoudyStd"/>
          <w:sz w:val="24"/>
          <w:szCs w:val="24"/>
          <w:lang w:val="en-US"/>
        </w:rPr>
        <w:t xml:space="preserve"> had a 179% higher risk of death </w:t>
      </w:r>
      <w:r w:rsidR="006E4889" w:rsidRPr="008B63A3">
        <w:rPr>
          <w:rFonts w:eastAsia="GoudyStd"/>
          <w:sz w:val="24"/>
          <w:szCs w:val="24"/>
          <w:lang w:val="en-US"/>
        </w:rPr>
        <w:t xml:space="preserve">over </w:t>
      </w:r>
      <w:r w:rsidR="00400884" w:rsidRPr="008B63A3">
        <w:rPr>
          <w:rFonts w:eastAsia="GoudyStd"/>
          <w:sz w:val="24"/>
          <w:szCs w:val="24"/>
          <w:lang w:val="en-US"/>
        </w:rPr>
        <w:t>four years (PR= 2.79; 95%</w:t>
      </w:r>
      <w:r w:rsidR="00DD7397" w:rsidRPr="008B63A3">
        <w:rPr>
          <w:rFonts w:eastAsia="GoudyStd"/>
          <w:sz w:val="24"/>
          <w:szCs w:val="24"/>
          <w:lang w:val="en-US"/>
        </w:rPr>
        <w:t>CI</w:t>
      </w:r>
      <w:r w:rsidR="00400884" w:rsidRPr="008B63A3">
        <w:rPr>
          <w:rFonts w:eastAsia="GoudyStd"/>
          <w:sz w:val="24"/>
          <w:szCs w:val="24"/>
          <w:lang w:val="en-US"/>
        </w:rPr>
        <w:t>= 1.71 - 4.57).</w:t>
      </w:r>
    </w:p>
    <w:p w14:paraId="507218E6" w14:textId="77777777" w:rsidR="00AF63DC" w:rsidRPr="008B63A3" w:rsidRDefault="00EE6784" w:rsidP="00827AC6">
      <w:pPr>
        <w:spacing w:line="360" w:lineRule="auto"/>
        <w:jc w:val="both"/>
        <w:rPr>
          <w:rFonts w:eastAsia="GoudyStd"/>
          <w:sz w:val="24"/>
          <w:szCs w:val="24"/>
          <w:lang w:val="en-US"/>
        </w:rPr>
      </w:pPr>
      <w:r w:rsidRPr="008B63A3">
        <w:rPr>
          <w:sz w:val="24"/>
          <w:szCs w:val="24"/>
          <w:lang w:val="en-US"/>
        </w:rPr>
        <w:tab/>
      </w:r>
      <w:r w:rsidR="00AF63DC" w:rsidRPr="008B63A3">
        <w:rPr>
          <w:sz w:val="24"/>
          <w:szCs w:val="24"/>
          <w:lang w:val="en-US"/>
        </w:rPr>
        <w:t xml:space="preserve">Similar results were found in a study conducted with 460 men and women, with a mean of 71.9 years and followed for 4 years and 9 months, in which </w:t>
      </w:r>
      <w:r w:rsidR="004906E2" w:rsidRPr="008B63A3">
        <w:rPr>
          <w:sz w:val="24"/>
          <w:szCs w:val="24"/>
          <w:lang w:val="en-US"/>
        </w:rPr>
        <w:t>PA</w:t>
      </w:r>
      <w:r w:rsidR="00AF63DC" w:rsidRPr="008B63A3">
        <w:rPr>
          <w:sz w:val="24"/>
          <w:szCs w:val="24"/>
          <w:lang w:val="en-US"/>
        </w:rPr>
        <w:t xml:space="preserve"> was identified by objective method</w:t>
      </w:r>
      <w:r w:rsidR="004906E2" w:rsidRPr="008B63A3">
        <w:rPr>
          <w:sz w:val="24"/>
          <w:szCs w:val="24"/>
          <w:lang w:val="en-US"/>
        </w:rPr>
        <w:t>s</w:t>
      </w:r>
      <w:r w:rsidR="00AF63DC" w:rsidRPr="008B63A3">
        <w:rPr>
          <w:sz w:val="24"/>
          <w:szCs w:val="24"/>
          <w:lang w:val="en-US"/>
        </w:rPr>
        <w:t xml:space="preserve"> (accelerometer) for seven days and the level of </w:t>
      </w:r>
      <w:r w:rsidR="004906E2" w:rsidRPr="008B63A3">
        <w:rPr>
          <w:sz w:val="24"/>
          <w:szCs w:val="24"/>
          <w:lang w:val="en-US"/>
        </w:rPr>
        <w:t xml:space="preserve">PA </w:t>
      </w:r>
      <w:r w:rsidR="00AF63DC" w:rsidRPr="008B63A3">
        <w:rPr>
          <w:sz w:val="24"/>
          <w:szCs w:val="24"/>
          <w:lang w:val="en-US"/>
        </w:rPr>
        <w:t xml:space="preserve">was distributed in quartile. </w:t>
      </w:r>
      <w:r w:rsidR="00650FE7" w:rsidRPr="008B63A3">
        <w:rPr>
          <w:sz w:val="24"/>
          <w:szCs w:val="24"/>
          <w:lang w:val="en-US"/>
        </w:rPr>
        <w:t>Also,</w:t>
      </w:r>
      <w:r w:rsidR="00AF63DC" w:rsidRPr="008B63A3">
        <w:rPr>
          <w:sz w:val="24"/>
          <w:szCs w:val="24"/>
          <w:lang w:val="en-US"/>
        </w:rPr>
        <w:t xml:space="preserve"> the analysis adjusted for sociodemographic, lifestyle and clinical variables, </w:t>
      </w:r>
      <w:r w:rsidR="0033563B" w:rsidRPr="008B63A3">
        <w:rPr>
          <w:sz w:val="24"/>
          <w:szCs w:val="24"/>
          <w:lang w:val="en-US"/>
        </w:rPr>
        <w:t xml:space="preserve"> and those</w:t>
      </w:r>
      <w:r w:rsidR="00AF63DC" w:rsidRPr="008B63A3">
        <w:rPr>
          <w:sz w:val="24"/>
          <w:szCs w:val="24"/>
          <w:lang w:val="en-US"/>
        </w:rPr>
        <w:t xml:space="preserve"> in the lowest </w:t>
      </w:r>
      <w:r w:rsidR="004906E2" w:rsidRPr="008B63A3">
        <w:rPr>
          <w:sz w:val="24"/>
          <w:szCs w:val="24"/>
          <w:lang w:val="en-US"/>
        </w:rPr>
        <w:t xml:space="preserve">PA </w:t>
      </w:r>
      <w:r w:rsidR="00AF63DC" w:rsidRPr="008B63A3">
        <w:rPr>
          <w:sz w:val="24"/>
          <w:szCs w:val="24"/>
          <w:lang w:val="en-US"/>
        </w:rPr>
        <w:t>quartile presented higher mortality (PR= 3.48; CI95%= 1.23 - 9.87) when compared to the highest quartile</w:t>
      </w:r>
      <w:r w:rsidR="00610E1F" w:rsidRPr="008B63A3">
        <w:rPr>
          <w:sz w:val="24"/>
          <w:szCs w:val="24"/>
          <w:lang w:val="en-US"/>
        </w:rPr>
        <w:t xml:space="preserve"> </w:t>
      </w:r>
      <w:r w:rsidR="00F35C57" w:rsidRPr="008B63A3">
        <w:rPr>
          <w:sz w:val="24"/>
          <w:szCs w:val="24"/>
        </w:rPr>
        <w:fldChar w:fldCharType="begin" w:fldLock="1"/>
      </w:r>
      <w:r w:rsidR="008F460F" w:rsidRPr="008B63A3">
        <w:rPr>
          <w:sz w:val="24"/>
          <w:szCs w:val="24"/>
          <w:lang w:val="en-US"/>
        </w:rPr>
        <w:instrText>ADDIN CSL_CITATION {"citationItems":[{"id":"ITEM-1","itemData":{"DOI":"10.1161/CIRCULATIONAHA.105.605246","ISBN":"6176321972","ISSN":"15378276","PMID":"1000000221","abstract":"With the effectiveness of therapeutic agents ever decreasing and the increased incidence of multi-drug resistant pathogens, there is a clear need for administration of more potent, potentially more toxic, drugs. Alternatively, biopharmaceuticals may hold potential but require specialised protection from premature in vivo degradation. Thus, a paralleled need for specialised drug delivery systems has arisen. Although cell-mediated drug delivery is not a completely novel concept, the few applications described to date are not yet ready for in vivo application, for various reasons such as drug-induced carrier cell death, limited control over the site and timing of drug release and/or drug degradation by the host immune system. Here, we present our hypothesis for a new drug delivery system, which aims to negate these limitations. We propose transport of nanoparticle-encapsulated drugs inside autologous macrophages polarised to M1 phenotype for high mobility and treated to induce transient phagosome maturation arrest. In addition, we propose a significant shift of existing paradigms in the study of host-microbe interactions, in order to study microbial host immune evasion and dissemination patterns for their therapeutic utilisation in the context of drug delivery. We describe a system in which microbial strategies may be adopted to facilitate absolute control over drug delivery, and without sacrificing the host carrier cells. We provide a comprehensive summary of the lessons we can learn from microbes in the context of drug delivery and discuss their feasibility for in vivo therapeutic application. We then describe our proposed “synthetic microbe drug delivery system” in detail. In our opinion, this multidisciplinary approach may hold the solution to effective, controlled drug delivery.","author":[{"dropping-particle":"","family":"Garg","given":"Parveen K","non-dropping-particle":"","parse-names":false,"suffix":""},{"dropping-particle":"","family":"Tian","given":"Lu","non-dropping-particle":"","parse-names":false,"suffix":""},{"dropping-particle":"","family":"Criqui","given":"Michael H","non-dropping-particle":"","parse-names":false,"suffix":""},{"dropping-particle":"","family":"Liu","given":"Kiang","non-dropping-particle":"","parse-names":false,"suffix":""},{"dropping-particle":"","family":"Ferrucci","given":"Luigi","non-dropping-particle":"","parse-names":false,"suffix":""},{"dropping-particle":"","family":"Guralnik","given":"Jack M","non-dropping-particle":"","parse-names":false,"suffix":""},{"dropping-particle":"","family":"Tan","given":"Jin","non-dropping-particle":"","parse-names":false,"suffix":""},{"dropping-particle":"","family":"McDermott","given":"Mary M","non-dropping-particle":"","parse-names":false,"suffix":""}],"container-title":"Circulation","id":"ITEM-1","issue":"3","issued":{"date-parts":[["2006"]]},"page":"242-248","title":"Physical Activity During Daily Life and Mortality in Patients With Peripheral Arterial Disease","type":"article-journal","volume":"114"},"uris":["http://www.mendeley.com/documents/?uuid=23bb6000-8d87-4f6b-9519-2e983d3438e3"]}],"mendeley":{"formattedCitation":"[36]","plainTextFormattedCitation":"[36]","previouslyFormattedCitation":"[35]"},"properties":{"noteIndex":0},"schema":"https://github.com/citation-style-language/schema/raw/master/csl-citation.json"}</w:instrText>
      </w:r>
      <w:r w:rsidR="00F35C57" w:rsidRPr="008B63A3">
        <w:rPr>
          <w:sz w:val="24"/>
          <w:szCs w:val="24"/>
        </w:rPr>
        <w:fldChar w:fldCharType="separate"/>
      </w:r>
      <w:r w:rsidR="008F460F" w:rsidRPr="008B63A3">
        <w:rPr>
          <w:noProof/>
          <w:sz w:val="24"/>
          <w:szCs w:val="24"/>
        </w:rPr>
        <w:t>[36]</w:t>
      </w:r>
      <w:r w:rsidR="00F35C57" w:rsidRPr="008B63A3">
        <w:rPr>
          <w:sz w:val="24"/>
          <w:szCs w:val="24"/>
        </w:rPr>
        <w:fldChar w:fldCharType="end"/>
      </w:r>
      <w:r w:rsidR="0032002F" w:rsidRPr="008B63A3">
        <w:rPr>
          <w:sz w:val="24"/>
          <w:szCs w:val="24"/>
        </w:rPr>
        <w:t xml:space="preserve">. </w:t>
      </w:r>
      <w:r w:rsidR="00F35C57" w:rsidRPr="008B63A3">
        <w:rPr>
          <w:sz w:val="24"/>
          <w:szCs w:val="24"/>
        </w:rPr>
        <w:fldChar w:fldCharType="begin" w:fldLock="1"/>
      </w:r>
      <w:r w:rsidR="008F460F" w:rsidRPr="008B63A3">
        <w:rPr>
          <w:sz w:val="24"/>
          <w:szCs w:val="24"/>
        </w:rPr>
        <w:instrText>ADDIN CSL_CITATION {"citationItems":[{"id":"ITEM-1","itemData":{"DOI":"10.1016/S0140-6736(11)60749-6","ISSN":"01406736","PMID":"21846575","abstract":"The health benefits of leisure-time physical activity are well known, but whether less exercise than the recommended 150 min a week can have life expectancy benefits is unclear. We assessed the health benefits of a range of volumes of physical activity in a Taiwanese population. In this prospective cohort study, 416 175 individuals (199 265 men and 216 910 women) participated in a standard medical screening programme in Taiwan between 1996 and 2008, with an average follow-up of 8·05 years (SD 4·21). On the basis of the amount of weekly exercise indicated in a self-administered questionnaire, participants were placed into one of five categories of exercise volumes: inactive, or low, medium, high, or very high activity. We calculated hazard ratios (HR) for mortality risks for every group compared with the inactive group, and calculated life expectancy for every group. Compared with individuals in the inactive group, those in the low-volume activity group, who exercised for an average of 92 min per week (95 CI 71-112) or 15 min a day (SD 1·8), had a 14 reduced risk of all-cause mortality (0·86, 0·81-0·91), and had a 3 year longer life expectancy. Every additional 15 min of daily exercise beyond the minimum amount of 15 min a day further reduced all-cause mortality by 4 (95 CI 2·5-7·0) and all-cancer mortality by 1 (0·3-4·5). These benefits were applicable to all age groups and both sexes, and to those with cardiovascular disease risks. Individuals who were inactive had a 17 (HR 1·17, 95 CI 1·10-1·24) increased risk of mortality compared with individuals in the low-volume group. 15 min a day or 90 min a week of moderate-intensity exercise might be of benefit, even for individuals at risk of cardiovascular disease. Taiwan Department of Health Clinical Trial and Research Center of Excellence and National Health Research Institutes. © 2011 Elsevier Ltd.","author":[{"dropping-particle":"","family":"Wen","given":"Chi Pang","non-dropping-particle":"","parse-names":false,"suffix":""},{"dropping-particle":"","family":"Wai","given":"Jackson Pui Man","non-dropping-particle":"","parse-names":false,"suffix":""},{"dropping-particle":"","family":"Tsai","given":"Min Kuang","non-dropping-particle":"","parse-names":false,"suffix":""},{"droppi</w:instrText>
      </w:r>
      <w:r w:rsidR="008F460F" w:rsidRPr="008B63A3">
        <w:rPr>
          <w:sz w:val="24"/>
          <w:szCs w:val="24"/>
          <w:lang w:val="en-US"/>
        </w:rPr>
        <w:instrText>ng-particle":"","family":"Yang","given":"Yi Chen","non-dropping-particle":"","parse-names":false,"suffix":""},{"dropping-particle":"","family":"Cheng","given":"Ting Yuan David","non-dropping-particle":"","parse-names":false,"suffix":""},{"dropping-particle":"","family":"Lee","given":"Meng Chih","non-dropping-particle":"","parse-names":false,"suffix":""},{"dropping-particle":"","family":"Chan","given":"Hui Ting","non-dropping-particle":"","parse-names":false,"suffix":""},{"dropping-particle":"","family":"Tsao","given":"Chwen Keng","non-dropping-particle":"","parse-names":false,"suffix":""},{"dropping-particle":"","family":"Tsai","given":"Shan Pou","non-dropping-particle":"","parse-names":false,"suffix":""},{"dropping-particle":"","family":"Wu","given":"Xifeng","non-dropping-particle":"","parse-names":false,"suffix":""}],"container-title":"The Lancet","id":"ITEM-1","issue":"9798","issued":{"date-parts":[["2011"]]},"page":"1244-1253","publisher":"Elsevier Ltd","title":"Minimum amount of physical activity for reduced mortality and extended life expectancy: A prospective cohort study","type":"article-journal","volume":"378"},"uris":["http://www.mendeley.com/documents/?uuid=36877a81-e1c8-4678-b51b-88833b5148c2"]}],"mendeley":{"formattedCitation":"[37]","manualFormatting":"Wen et al. (2011)","plainTextFormattedCitation":"[37]","previouslyFormattedCitation":"[36]"},"properties":{"noteIndex":0},"schema":"https://github.com/citation-style-language/schema/raw/master/csl-citation.json"}</w:instrText>
      </w:r>
      <w:r w:rsidR="00F35C57" w:rsidRPr="008B63A3">
        <w:rPr>
          <w:sz w:val="24"/>
          <w:szCs w:val="24"/>
        </w:rPr>
        <w:fldChar w:fldCharType="separate"/>
      </w:r>
      <w:r w:rsidR="006F21F6" w:rsidRPr="008B63A3">
        <w:rPr>
          <w:noProof/>
          <w:sz w:val="24"/>
          <w:szCs w:val="24"/>
          <w:lang w:val="en-US"/>
        </w:rPr>
        <w:t xml:space="preserve">Wen et al. </w:t>
      </w:r>
      <w:r w:rsidR="00F33E65" w:rsidRPr="008B63A3">
        <w:rPr>
          <w:noProof/>
          <w:sz w:val="24"/>
          <w:szCs w:val="24"/>
          <w:lang w:val="en-US"/>
        </w:rPr>
        <w:t>(</w:t>
      </w:r>
      <w:r w:rsidR="006F21F6" w:rsidRPr="008B63A3">
        <w:rPr>
          <w:noProof/>
          <w:sz w:val="24"/>
          <w:szCs w:val="24"/>
          <w:lang w:val="en-US"/>
        </w:rPr>
        <w:t>2011)</w:t>
      </w:r>
      <w:r w:rsidR="00F35C57" w:rsidRPr="008B63A3">
        <w:rPr>
          <w:sz w:val="24"/>
          <w:szCs w:val="24"/>
        </w:rPr>
        <w:fldChar w:fldCharType="end"/>
      </w:r>
      <w:r w:rsidR="00F33E65" w:rsidRPr="008B63A3">
        <w:rPr>
          <w:sz w:val="24"/>
          <w:szCs w:val="24"/>
          <w:lang w:val="en-US"/>
        </w:rPr>
        <w:t>,</w:t>
      </w:r>
      <w:r w:rsidR="00610E1F" w:rsidRPr="008B63A3">
        <w:rPr>
          <w:sz w:val="24"/>
          <w:szCs w:val="24"/>
          <w:lang w:val="en-US"/>
        </w:rPr>
        <w:t xml:space="preserve"> </w:t>
      </w:r>
      <w:r w:rsidR="00AF63DC" w:rsidRPr="008B63A3">
        <w:rPr>
          <w:sz w:val="24"/>
          <w:szCs w:val="24"/>
          <w:lang w:val="en-US"/>
        </w:rPr>
        <w:t xml:space="preserve">in a study conducted with Taiwanese </w:t>
      </w:r>
      <w:r w:rsidR="0033563B" w:rsidRPr="008B63A3">
        <w:rPr>
          <w:sz w:val="24"/>
          <w:szCs w:val="24"/>
          <w:lang w:val="en-US"/>
        </w:rPr>
        <w:t xml:space="preserve">older </w:t>
      </w:r>
      <w:r w:rsidR="00AF63DC" w:rsidRPr="008B63A3">
        <w:rPr>
          <w:sz w:val="24"/>
          <w:szCs w:val="24"/>
          <w:lang w:val="en-US"/>
        </w:rPr>
        <w:t xml:space="preserve">adults, found a reduction of 14% (PR=0.86; CI95%= 0.81 - 0.91) in mortality in physically active individuals (&gt; 30 min of moderate/vigorous activities). </w:t>
      </w:r>
      <w:r w:rsidR="00866222" w:rsidRPr="008B63A3">
        <w:rPr>
          <w:rFonts w:eastAsia="GoudyStd"/>
          <w:sz w:val="24"/>
          <w:szCs w:val="24"/>
          <w:lang w:val="en-US"/>
        </w:rPr>
        <w:t xml:space="preserve"> </w:t>
      </w:r>
      <w:r w:rsidR="00AF63DC" w:rsidRPr="008B63A3">
        <w:rPr>
          <w:sz w:val="24"/>
          <w:szCs w:val="24"/>
          <w:lang w:val="en-US"/>
        </w:rPr>
        <w:t>Although studies are conducted in individuals of different nationalities</w:t>
      </w:r>
      <w:r w:rsidR="00650FE7" w:rsidRPr="008B63A3">
        <w:rPr>
          <w:sz w:val="24"/>
          <w:szCs w:val="24"/>
          <w:lang w:val="en-US"/>
        </w:rPr>
        <w:t xml:space="preserve"> </w:t>
      </w:r>
      <w:r w:rsidR="00AF63DC" w:rsidRPr="008B63A3">
        <w:rPr>
          <w:sz w:val="24"/>
          <w:szCs w:val="24"/>
          <w:lang w:val="en-US"/>
        </w:rPr>
        <w:t>with different method</w:t>
      </w:r>
      <w:r w:rsidR="00650FE7" w:rsidRPr="008B63A3">
        <w:rPr>
          <w:sz w:val="24"/>
          <w:szCs w:val="24"/>
          <w:lang w:val="en-US"/>
        </w:rPr>
        <w:t>s. C</w:t>
      </w:r>
      <w:r w:rsidR="00AF63DC" w:rsidRPr="008B63A3">
        <w:rPr>
          <w:sz w:val="24"/>
          <w:szCs w:val="24"/>
          <w:lang w:val="en-US"/>
        </w:rPr>
        <w:t xml:space="preserve">onsequently, </w:t>
      </w:r>
      <w:proofErr w:type="gramStart"/>
      <w:r w:rsidR="00AF63DC" w:rsidRPr="008B63A3">
        <w:rPr>
          <w:sz w:val="24"/>
          <w:szCs w:val="24"/>
          <w:lang w:val="en-US"/>
        </w:rPr>
        <w:t>higher</w:t>
      </w:r>
      <w:proofErr w:type="gramEnd"/>
      <w:r w:rsidR="00AF63DC" w:rsidRPr="008B63A3">
        <w:rPr>
          <w:sz w:val="24"/>
          <w:szCs w:val="24"/>
          <w:lang w:val="en-US"/>
        </w:rPr>
        <w:t xml:space="preserve"> or lower probabilities, the association between the low level of </w:t>
      </w:r>
      <w:r w:rsidR="009E1940" w:rsidRPr="008B63A3">
        <w:rPr>
          <w:sz w:val="24"/>
          <w:szCs w:val="24"/>
          <w:lang w:val="en-US"/>
        </w:rPr>
        <w:t>PA</w:t>
      </w:r>
      <w:r w:rsidR="00AF63DC" w:rsidRPr="008B63A3">
        <w:rPr>
          <w:sz w:val="24"/>
          <w:szCs w:val="24"/>
          <w:lang w:val="en-US"/>
        </w:rPr>
        <w:t xml:space="preserve"> and the risk for death remains. </w:t>
      </w:r>
    </w:p>
    <w:p w14:paraId="443216BB" w14:textId="77777777" w:rsidR="000C67AB" w:rsidRPr="008B63A3" w:rsidRDefault="000C67AB" w:rsidP="000C67AB">
      <w:pPr>
        <w:spacing w:line="360" w:lineRule="auto"/>
        <w:ind w:firstLine="708"/>
        <w:jc w:val="both"/>
        <w:rPr>
          <w:rFonts w:eastAsia="GoudyStd"/>
          <w:sz w:val="24"/>
          <w:szCs w:val="24"/>
          <w:lang w:val="en-US"/>
        </w:rPr>
      </w:pPr>
      <w:r w:rsidRPr="008B63A3">
        <w:rPr>
          <w:sz w:val="24"/>
          <w:szCs w:val="24"/>
          <w:lang w:val="en-US"/>
        </w:rPr>
        <w:t xml:space="preserve">Levels of physical activity and sedentary </w:t>
      </w:r>
      <w:proofErr w:type="spellStart"/>
      <w:r w:rsidRPr="008B63A3">
        <w:rPr>
          <w:sz w:val="24"/>
          <w:szCs w:val="24"/>
          <w:lang w:val="en-US"/>
        </w:rPr>
        <w:t>behaviour</w:t>
      </w:r>
      <w:proofErr w:type="spellEnd"/>
      <w:r w:rsidRPr="008B63A3">
        <w:rPr>
          <w:sz w:val="24"/>
          <w:szCs w:val="24"/>
          <w:lang w:val="en-US"/>
        </w:rPr>
        <w:t xml:space="preserve"> in Brazil have been shown to be associated with socioeconomic position which is strongly associated with living in different regions of Brazil </w:t>
      </w:r>
      <w:r w:rsidRPr="008B63A3">
        <w:rPr>
          <w:sz w:val="24"/>
          <w:szCs w:val="24"/>
        </w:rPr>
        <w:fldChar w:fldCharType="begin" w:fldLock="1"/>
      </w:r>
      <w:r w:rsidR="008F460F" w:rsidRPr="008B63A3">
        <w:rPr>
          <w:sz w:val="24"/>
          <w:szCs w:val="24"/>
          <w:lang w:val="en-US"/>
        </w:rPr>
        <w:instrText>ADDIN CSL_CITATION {"citationItems":[{"id":"ITEM-1","itemData":{"abstract":"Lack of comparability has been a major limitation in studies on physical activity, due to the utilization of different methodological instruments and inconsistent cut-off points. This study aims to compare the levels of physical activity in adults from two Brazilian areas: (a) São Paulo, the richest State in the country; (b) Pelotas, a medium-sized southern Brazilian city. Both sites used cross-sectional population-based designs, with multiple-stage sampling strategies. Level of physical activity was assessed with the short version of the International Physical Activity Questionnaire. Prevalence of sedentary lifestyle was three times higher in Pelotas than in São Paulo. On the other hand, the proportion of very active subjects was significantly higher in Pelotas. The proportion of insufficiently active individuals (sedentary + irregularly active) was almost identical between the sites. Socioeconomic status was inversely related to level of physical activity in both sites. Among the insufficiently active subjects, those living in São Paulo are at least engaged in a limited amount of activity. On the other hand, among sufficiently active people, those living in Pelotas are more active.","author":[{"dropping-particle":"","family":"Hallal","given":"Pedro C","non-dropping-particle":"","parse-names":false,"suffix":""},{"dropping-particle":"","family":"Matsudo","given":"Sandra M","non-dropping-particle":"","parse-names":false,"suffix":""},{"dropping-particle":"","family":"Matsudo","given":"Victor K R","non-dropping-particle":"","parse-names":false,"suffix":""},{"dropping-particle":"","family":"Araújo","given":"Timóteo L","non-dropping-particle":"","parse-names":false,"suffix":""},{"dropping-particle":"","family":"Andrade","given":"Douglas R","non-dropping-particle":"","parse-names":false,"suffix":""},{"dropping-particle":"","family":"Bertoldi","given":"Andréa D","non-dropping-particle":"","parse-names":false,"suffix":""}],"container-title":"Cad Saude Publica","id":"ITEM-1","issue":"2","issued":{"date-parts":[["2005"]]},"page":"100:126","title":"Physical activity in adults from two Brazilian areas : similarities and differences","type":"article-journal","volume":"21"},"uris":["http://www.mendeley.com/documents/?uuid=1060f833-3200-4e25-945b-2576d29078cc"]}],"mendeley":{"formattedCitation":"[41]","plainTextFormattedCitation":"[41]","previouslyFormattedCitation":"[40]"},"properties":{"noteIndex":0},"schema":"https://github.com/citation-style-language/schema/raw/master/csl-citation.json"}</w:instrText>
      </w:r>
      <w:r w:rsidRPr="008B63A3">
        <w:rPr>
          <w:sz w:val="24"/>
          <w:szCs w:val="24"/>
        </w:rPr>
        <w:fldChar w:fldCharType="separate"/>
      </w:r>
      <w:r w:rsidR="008F460F" w:rsidRPr="008B63A3">
        <w:rPr>
          <w:noProof/>
          <w:sz w:val="24"/>
          <w:szCs w:val="24"/>
          <w:lang w:val="en-US"/>
        </w:rPr>
        <w:t>[41]</w:t>
      </w:r>
      <w:r w:rsidRPr="008B63A3">
        <w:rPr>
          <w:sz w:val="24"/>
          <w:szCs w:val="24"/>
        </w:rPr>
        <w:fldChar w:fldCharType="end"/>
      </w:r>
      <w:r w:rsidRPr="008B63A3">
        <w:rPr>
          <w:sz w:val="24"/>
          <w:szCs w:val="24"/>
          <w:shd w:val="clear" w:color="auto" w:fill="FFFFFF"/>
          <w:lang w:val="en-US"/>
        </w:rPr>
        <w:t xml:space="preserve">. It seems that  a high socio-economic is associated with high levels of PA and vice versa </w:t>
      </w:r>
      <w:r w:rsidRPr="008B63A3">
        <w:rPr>
          <w:sz w:val="24"/>
          <w:szCs w:val="24"/>
          <w:shd w:val="clear" w:color="auto" w:fill="FFFFFF"/>
        </w:rPr>
        <w:fldChar w:fldCharType="begin" w:fldLock="1"/>
      </w:r>
      <w:r w:rsidR="008F460F" w:rsidRPr="008B63A3">
        <w:rPr>
          <w:sz w:val="24"/>
          <w:szCs w:val="24"/>
          <w:shd w:val="clear" w:color="auto" w:fill="FFFFFF"/>
          <w:lang w:val="en-US"/>
        </w:rPr>
        <w:instrText>ADDIN CSL_CITATION {"citationItems":[{"id":"ITEM-1","itemData":{"DOI":"10.1016/j.amepre.2012.05.026","ISSN":"07493797","PMID":"22898127","abstract":"Context: The transition to retirement has been recognized as a turning point in determining physical activity and may present a critical \"window\" for promoting physical activity. This systematic review examined changes in physical activity across the retirement transition, whether these changes vary by SES, and what is known about predictors of these changes. Evidence acquisition: Peer-reviewed articles and gray research literature, published between January 1980 and July 2010 in any country or language, were identified. Longitudinal and cross-sectional observational studies were included. Study selection, quality assessment, data extraction, and synthesis were performed between July 2010 and March 2011. A harvest plot approach to visualizing the findings was combined with a narrative synthesis. Evidence synthesis: Of the 19 included studies, 11 examined changes in exercise, or leisure-time physical activity, or both; seven, changes in total physical activity; and one study, both. Most studies used single-item measures of physical activity (n=9) or custom questionnaires (n=6). Results suggested that exercise and leisure-time physical activity increased after the retirement transition, whereas findings regarding total physical activity were inconsistent. SES moderated the association, with low SES being associated with a decrease and high SES with an increase in physical activity. Evidence on predictors of change was scarce and methodologically weak. Conclusions: Evidence suggests that exercise and leisure-time physical activity increases after the retirement transition, but whether and how total physical activity changes is unclear. Imprecise physical activity measures used in primary studies limit conclusions, and this highlights the need for further research. © 2012 American Journal of Preventive Medicine.","author":[{"dropping-particle":"","family":"Barnett","given":"Inka","non-dropping-particle":"","parse-names":false,"suffix":""},{"dropping-particle":"","family":"Sluijs","given":"Esther M.F.","non-dropping-particle":"Van","parse-names":false,"suffix":""},{"dropping-particle":"","family":"Ogilvie","given":"David","non-dropping-particle":"","parse-names":false,"suffix":""}],"container-title":"American Journal of Preventive Medicine","id":"ITEM-1","issue":"3","issued":{"date-parts":[["2012"]]},"page":"329-336","publisher":"Elsevier Inc.","title":"Physical activity and transitioning to retirement: A systematic review","type":"article-journal","volume":"43"},"uris":["http://www.mendeley.com/documents/?uuid=d6638a0f-1ab9-4534-8d57-bb5e197993c4"]}],"mendeley":{"formattedCitation":"[42]","plainTextFormattedCitation":"[42]","previouslyFormattedCitation":"[41]"},"properties":{"noteIndex":0},"schema":"https://github.com/citation-style-language/schema/raw/master/csl-citation.json"}</w:instrText>
      </w:r>
      <w:r w:rsidRPr="008B63A3">
        <w:rPr>
          <w:sz w:val="24"/>
          <w:szCs w:val="24"/>
          <w:shd w:val="clear" w:color="auto" w:fill="FFFFFF"/>
        </w:rPr>
        <w:fldChar w:fldCharType="separate"/>
      </w:r>
      <w:r w:rsidR="008F460F" w:rsidRPr="008B63A3">
        <w:rPr>
          <w:noProof/>
          <w:sz w:val="24"/>
          <w:szCs w:val="24"/>
          <w:shd w:val="clear" w:color="auto" w:fill="FFFFFF"/>
          <w:lang w:val="en-US"/>
        </w:rPr>
        <w:t>[42]</w:t>
      </w:r>
      <w:r w:rsidRPr="008B63A3">
        <w:rPr>
          <w:sz w:val="24"/>
          <w:szCs w:val="24"/>
          <w:shd w:val="clear" w:color="auto" w:fill="FFFFFF"/>
        </w:rPr>
        <w:fldChar w:fldCharType="end"/>
      </w:r>
      <w:r w:rsidRPr="008B63A3">
        <w:rPr>
          <w:sz w:val="24"/>
          <w:szCs w:val="24"/>
          <w:shd w:val="clear" w:color="auto" w:fill="FFFFFF"/>
          <w:lang w:val="en-US"/>
        </w:rPr>
        <w:t xml:space="preserve">. </w:t>
      </w:r>
      <w:r w:rsidRPr="008B63A3">
        <w:rPr>
          <w:rFonts w:eastAsia="GoudyStd"/>
          <w:sz w:val="24"/>
          <w:szCs w:val="24"/>
          <w:lang w:val="en-US"/>
        </w:rPr>
        <w:t xml:space="preserve">Non-compliance with the physical activity guidelines recommended by the </w:t>
      </w:r>
      <w:r w:rsidRPr="008B63A3">
        <w:rPr>
          <w:rFonts w:eastAsia="GoudyStd"/>
          <w:sz w:val="24"/>
          <w:szCs w:val="24"/>
          <w:lang w:val="en-US"/>
        </w:rPr>
        <w:lastRenderedPageBreak/>
        <w:t xml:space="preserve">World Health Organization (WHO) </w:t>
      </w:r>
      <w:r w:rsidRPr="008B63A3">
        <w:rPr>
          <w:rFonts w:eastAsia="GoudyStd"/>
          <w:sz w:val="24"/>
          <w:szCs w:val="24"/>
        </w:rPr>
        <w:fldChar w:fldCharType="begin" w:fldLock="1"/>
      </w:r>
      <w:r w:rsidRPr="008B63A3">
        <w:rPr>
          <w:rFonts w:eastAsia="GoudyStd"/>
          <w:sz w:val="24"/>
          <w:szCs w:val="24"/>
          <w:lang w:val="en-US"/>
        </w:rPr>
        <w:instrText>ADDIN CSL_CITATION {"citationItems":[{"id":"ITEM-1","itemData":{"DOI":"10.1136/bjsports-2020-102955","ISSN":"14730480","PMID":"33239350","abstract":"Objectives To describe new WHO 2020 guidelines on physical activity and sedentary behaviour. Methods The guidelines were developed in accordance with WHO protocols. An expert Guideline Development Group reviewed evidence to assess associations between physical activity and sedentary behaviour for an agreed set of health outcomes and population groups. The assessment used and systematically updated recent relevant systematic reviews; new primary reviews addressed additional health outcomes or subpopulations. Results The new guidelines address children, adolescents, adults, older adults and include new specific recommendations for pregnant and postpartum women and people living with chronic conditions or disability. All adults should undertake 150-300 min of moderate-intensity, or 75-150 min of vigorous-intensity physical activity, or some equivalent combination of moderate-intensity and vigorous-intensity aerobic physical activity, per week. Among children and adolescents, an average of 60 min/day of moderate-to-vigorous intensity aerobic physical activity across the week provides health benefits. The guidelines recommend regular muscle-strengthening activity for all age groups. Additionally, reducing sedentary behaviours is re</w:instrText>
      </w:r>
      <w:r w:rsidRPr="008B63A3">
        <w:rPr>
          <w:rFonts w:eastAsia="GoudyStd"/>
          <w:sz w:val="24"/>
          <w:szCs w:val="24"/>
        </w:rPr>
        <w:instrText>commended across all age groups and abilities, although evidence was insufficient to quantify a sedentary behaviour threshold. Conclusion These 2020 WHO guidelines update previous WHO recommendations released in 2010. They reaffirm messages that some physical activity is better than none, that more physical activity is better for optimal health outcomes and provide a new recommendation on reducing sedentary behaviours. These guidelines highlight the importance of regularly undertaking both aerobic and muscle strengthening activities and for the first time, there are specific recommendations for specific populations including for pregnant and postpartum women and people living with chronic conditions or disability. These guidelines should be used to inform national health policies aligned with the WHO Global Action Plan on Physical Activity 2018-2030 and to strengthen surveillance systems that track progress towards national and global targets.","author":[{"dropping-particle":"","family":"Bull","given":"Fiona C.","non-dropping-particle":"","parse-names":false,"suffix":""},{"dropping-particle":"","family":"Al-Ansari","given":"Salih S.","non-dropping-particle":"","parse-names":false,"suffix":""},{"dropping-particle":"","family":"Biddle","given":"Stuart","non-dropping-particle":"","parse-names":false,"suffix":""},{"dropping-particle":"","family":"Borodulin","given":"Katja","non-dropping-particle":"","parse-names":false,"suffix":""},{"dropping-particle":"","family":"Buman","given":"Matthew P.","non-dropping-particle":"","parse-names":false,"suffix":""},{"dropping-particle":"","family":"Cardon","given":"Greet","non-dropping-particle":"","parse-names":false,"suffix":""},{"dropping-particle":"","family":"Carty","given":"Catherine","non-dropping-particle":"","parse-names":false,"suffix":""},{"dropping-particle":"","family":"Chaput","given":"Jean Philippe","non-dropping-particle":"","parse-names":false,"suffix":""},{"dropping-particle":"","family":"Chastin","given":"Sebastien","non-dropping-particle":"","parse-names":false,"suffix":""},{"dropping-particle":"","family":"Chou","given":"Roger","non-dropping-particle":"","parse-names":false,"suffix":""},{"dropping-particle":"","family":"Dempsey","given":"Paddy C.","non-dropping-particle":"","parse-names":false,"suffix":""},{"dropping-particle":"","family":"Dipietro","given":"Loretta","non-dropping-particle":"","parse-names":false,"suffix":""},{"dropping-particle":"","family":"Ekelund","given":"Ulf","non-dropping-particle":"","parse-names":false,"suffix":""},{"dropping-particle":"","family":"Firth","given":"Joseph","non-dropping-particle":"","parse-names":false,"suffix":""},{"dropping-particle":"","family":"Friedenreich","given":"Christine M.","non-dropping-particle":"","parse-names":false,"suffix":""},{"dropping-particle":"","family":"Garcia","given":"Leandro","non-dropping-particle":"","parse-names":false,"suffix":""},{"dropping-particle":"","family":"Gichu","given":"Muthoni","non-dropping-particle":"","parse-names":false,"suffix":""},{"dropping-particle":"","family":"Jago","given":"Russell","non-dropping-particle":"","parse-names":false,"suffix":""},{"dropping-particle":"","family":"Katzmarzyk","given":"Peter T.","non-dropping-particle":"","parse-names":false,"suffix":""},{"dropping-particle":"","family":"Lambert","given":"Estelle","non-dropping-particle":"","parse-names":false,"suffix":""},{"dropping-particle":"","family":"Leitzmann","given":"Michael","non-dropping-particle":"","parse-names":false,"suffix":""},{"dropping-particle":"","family":"Milton","given":"Karen","non-dropping-particle":"","parse-names":false,"suffix":""},{"dropping-particle":"","family":"Ortega","given":"Francisco B.","non-dropping-particl</w:instrText>
      </w:r>
      <w:r w:rsidRPr="008B63A3">
        <w:rPr>
          <w:rFonts w:eastAsia="GoudyStd"/>
          <w:sz w:val="24"/>
          <w:szCs w:val="24"/>
          <w:lang w:val="en-US"/>
        </w:rPr>
        <w:instrText>e":"","parse-names":false,"suffix":""},{"dropping-particle":"","family":"Ranasinghe","given":"Chathuranga","non-dropping-particle":"","parse-names":false,"suffix":""},{"dropping-particle":"","family":"Stamatakis","given":"Emmanuel","non-dropping-particle":"","parse-names":false,"suffix":""},{"dropping-particle":"","family":"Tiedemann","given":"Anne","non-dropping-particle":"","parse-names":false,"suffix":""},{"dropping-particle":"","family":"Troiano","given":"Richard P.","non-dropping-particle":"","parse-names":false,"suffix":""},{"dropping-particle":"","family":"Ploeg","given":"Hidde P.","non-dropping-particle":"Van Der","parse-names":false,"suffix":""},{"dropping-particle":"","family":"Wari","given":"Vicky","non-dropping-particle":"","parse-names":false,"suffix":""},{"dropping-particle":"","family":"Willumsen","given":"Juana F.","non-dropping-particle":"","parse-names":false,"suffix":""}],"container-title":"British Journal of Sports Medicine","id":"ITEM-1","issue":"24","issued":{"date-parts":[["2020"]]},"page":"1451-1462","title":"World Health Organization 2020 guidelines on physical activity and sedentary behaviour","type":"article-journal","volume":"54"},"uris":["http://www.mendeley.com/documents/?uuid=88fd38a2-6edc-4038-bccc-e4da77c6906b"]}],"mendeley":{"formattedCitation":"[10]","plainTextFormattedCitation":"[10]","previouslyFormattedCitation":"[10]"},"properties":{"noteIndex":0},"schema":"https://github.com/citation-style-language/schema/raw/master/csl-citation.json"}</w:instrText>
      </w:r>
      <w:r w:rsidRPr="008B63A3">
        <w:rPr>
          <w:rFonts w:eastAsia="GoudyStd"/>
          <w:sz w:val="24"/>
          <w:szCs w:val="24"/>
        </w:rPr>
        <w:fldChar w:fldCharType="separate"/>
      </w:r>
      <w:r w:rsidRPr="008B63A3">
        <w:rPr>
          <w:rFonts w:eastAsia="GoudyStd"/>
          <w:noProof/>
          <w:sz w:val="24"/>
          <w:szCs w:val="24"/>
          <w:lang w:val="en-US"/>
        </w:rPr>
        <w:t>[10]</w:t>
      </w:r>
      <w:r w:rsidRPr="008B63A3">
        <w:rPr>
          <w:rFonts w:eastAsia="GoudyStd"/>
          <w:sz w:val="24"/>
          <w:szCs w:val="24"/>
        </w:rPr>
        <w:fldChar w:fldCharType="end"/>
      </w:r>
      <w:r w:rsidRPr="008B63A3">
        <w:rPr>
          <w:rFonts w:eastAsia="GoudyStd"/>
          <w:sz w:val="24"/>
          <w:szCs w:val="24"/>
          <w:lang w:val="en-US"/>
        </w:rPr>
        <w:t xml:space="preserve"> or simply having low levels of PA may be associated not only with all causes of mortality, but also with specific causes of mortality. For example, there are some explanations of the relationship between socioeconomic levels and decreased PA levels that can lead to higher mortality rates. Firstly, retirement has been proposed as a possible explanation, because patterns of physical activity may change due to a decline in occupational demands </w:t>
      </w:r>
      <w:r w:rsidRPr="008B63A3">
        <w:rPr>
          <w:rFonts w:eastAsia="GoudyStd"/>
          <w:sz w:val="24"/>
          <w:szCs w:val="24"/>
        </w:rPr>
        <w:fldChar w:fldCharType="begin" w:fldLock="1"/>
      </w:r>
      <w:r w:rsidR="008F460F" w:rsidRPr="008B63A3">
        <w:rPr>
          <w:rFonts w:eastAsia="GoudyStd"/>
          <w:sz w:val="24"/>
          <w:szCs w:val="24"/>
          <w:lang w:val="en-US"/>
        </w:rPr>
        <w:instrText>ADDIN CSL_CITATION {"citationItems":[{"id":"ITEM-1","itemData":{"ISBN":"0-87322-664-X (Hardcover)","abstract":"provides a review of the intervention strategies that promote exercise participation in clinical and community settings and that have received scientific support / highlights particularly promising strategies as well as areas requiring further scientific attention / focus . . . is primarily on adults  exercise adoption versus adherence / exercise versus physical activity / review of interventions [personal approaches, interpersonal approaches, organizational or environmental approaches, institutional or societal approaches] / future directions [multilevel approaches to physical-activity programming, interventions targeting physical activity in combination with other health behaviors, application of a life-span (developmental) approach to intervention, continued development of measures to assess mild- to moderate-intensity activities] (PsycINFO Database Record (c) 2016 APA, all rights reserved)","author":[{"dropping-particle":"","family":"King","given":"Abby C","non-dropping-particle":"","parse-names":false,"suffix":""}],"container-title":"Advances in exercise adherence.","id":"ITEM-1","issued":{"date-parts":[["1994"]]},"page":"183-212","publisher":"Human Kinetics Publishers","publisher-place":"Champaign,  IL,  England","title":"Clinical and community interventions to promote and support physical activity participation.","type":"chapter"},"uris":["http://www.mendeley.com/documents/?uuid=34d2799d-8954-4ee2-b860-6bb238cebfc1"]},{"id":"ITEM-2","itemData":{"ISSN":"0091-6331 (Print)","PMID":"1936086","author":[{"dropping-particle":"","family":"King","given":"A C","non-dropping-particle":"","parse-names":false,"suffix":""}],"container-title":"Exercise and sport sciences reviews","id":"ITEM-2","issued":{"date-parts":[["1991"]]},"language":"eng","page":"211-259","publisher-place":"United States","title":"Community intervention for promotion of physical activity and fitness.","type":"article-journal","volume":"19"},"uris":["http://www.mendeley.com/documents/?uuid=dc6db378-46b4-4897-8503-335469adbd08"]}],"mendeley":{"formattedCitation":"[43,44]","plainTextFormattedCitation":"[43,44]","previouslyFormattedCitation":"[42,43]"},"properties":{"noteIndex":0},"schema":"https://github.com/citation-style-language/schema/raw/master/csl-citation.json"}</w:instrText>
      </w:r>
      <w:r w:rsidRPr="008B63A3">
        <w:rPr>
          <w:rFonts w:eastAsia="GoudyStd"/>
          <w:sz w:val="24"/>
          <w:szCs w:val="24"/>
        </w:rPr>
        <w:fldChar w:fldCharType="separate"/>
      </w:r>
      <w:r w:rsidR="008F460F" w:rsidRPr="008B63A3">
        <w:rPr>
          <w:rFonts w:eastAsia="GoudyStd"/>
          <w:noProof/>
          <w:sz w:val="24"/>
          <w:szCs w:val="24"/>
          <w:lang w:val="en-US"/>
        </w:rPr>
        <w:t>[43,44]</w:t>
      </w:r>
      <w:r w:rsidRPr="008B63A3">
        <w:rPr>
          <w:rFonts w:eastAsia="GoudyStd"/>
          <w:sz w:val="24"/>
          <w:szCs w:val="24"/>
        </w:rPr>
        <w:fldChar w:fldCharType="end"/>
      </w:r>
      <w:r w:rsidRPr="008B63A3">
        <w:rPr>
          <w:sz w:val="24"/>
          <w:szCs w:val="24"/>
          <w:shd w:val="clear" w:color="auto" w:fill="FFFFFF"/>
          <w:lang w:val="en-US"/>
        </w:rPr>
        <w:t xml:space="preserve">. Secondly, the lack of financial resources in retirement and the preference for sedentary activities </w:t>
      </w:r>
      <w:r w:rsidRPr="008B63A3">
        <w:rPr>
          <w:sz w:val="24"/>
          <w:szCs w:val="24"/>
          <w:shd w:val="clear" w:color="auto" w:fill="FFFFFF"/>
        </w:rPr>
        <w:fldChar w:fldCharType="begin" w:fldLock="1"/>
      </w:r>
      <w:r w:rsidR="008F460F" w:rsidRPr="008B63A3">
        <w:rPr>
          <w:sz w:val="24"/>
          <w:szCs w:val="24"/>
          <w:shd w:val="clear" w:color="auto" w:fill="FFFFFF"/>
          <w:lang w:val="en-US"/>
        </w:rPr>
        <w:instrText>ADDIN CSL_CITATION {"citationItems":[{"id":"ITEM-1","itemData":{"DOI":"10.1016/j.amepre.2012.05.026","ISSN":"07493797","PMID":"22898127","abstract":"Context: The transition to retirement has been recognized as a turning point in determining physical activity and may present a critical \"window\" for promoting physical activity. This systematic review examined changes in physical activity across the retirement transition, whether these changes vary by SES, and what is known about predictors of these changes. Evidence acquisition: Peer-reviewed articles and gray research literature, published between January 1980 and July 2010 in any country or language, were identified. Longitudinal and cross-sectional observational studies were included. Study selection, quality assessment, data extraction, and synthesis were performed between July 2010 and March 2011. A harvest plot approach to visualizing the findings was combined with a narrative synthesis. Evidence synthesis: Of the 19 included studies, 11 examined changes in exercise, or leisure-time physical activity, or both; seven, changes in total physical activity; and one study, both. Most studies used single-item measures of physical activity (n=9) or custom questionnaires (n=6). Results suggested that exercise and leisure-time physical activity increased after the retirement transition, whereas findings regarding total physical activity were inconsistent. SES moderated the association, with low SES being associated with a decrease and high SES with an increase in physical activity. Evidence on predictors of change was scarce and methodologically weak. Conclusions: Evidence suggests that exercise and leisure-time physical activity increases after the retirement transition, but whether and how total physical activity changes is unclear. Imprecise physical activity measures used in primary studies limit conclusions, and this highlights the need for further research. © 2012 American Journal of Preventive Medicine.","author":[{"dropping-particle":"","family":"Barnett","given":"Inka","non-dropping-particle":"","parse-names":false,"suffix":""},{"dropping-particle":"","family":"Sluijs","given":"Esther M.F.","non-dropping-particle":"Van","parse-names":false,"suffix":""},{"dropping-particle":"","family":"Ogilvie","given":"David","non-dropping-particle":"","parse-names":false,"suffix":""}],"container-title":"American Journal of Preventive Medicine","id":"ITEM-1","issue":"3","issued":{"date-parts":[["2012"]]},"page":"329-336","publisher":"Elsevier Inc.","title":"Physical activity and transitioning to retirement: A systematic review","type":"article-journal","volume":"43"},"uris":["http://www.mendeley.com/documents/?uuid=d6638a0f-1ab9-4534-8d57-bb5e197993c4"]}],"mendeley":{"formattedCitation":"[42]","plainTextFormattedCitation":"[42]","previouslyFormattedCitation":"[41]"},"properties":{"noteIndex":0},"schema":"https://github.com/citation-style-language/schema/raw/master/csl-citation.json"}</w:instrText>
      </w:r>
      <w:r w:rsidRPr="008B63A3">
        <w:rPr>
          <w:sz w:val="24"/>
          <w:szCs w:val="24"/>
          <w:shd w:val="clear" w:color="auto" w:fill="FFFFFF"/>
        </w:rPr>
        <w:fldChar w:fldCharType="separate"/>
      </w:r>
      <w:r w:rsidR="008F460F" w:rsidRPr="008B63A3">
        <w:rPr>
          <w:noProof/>
          <w:sz w:val="24"/>
          <w:szCs w:val="24"/>
          <w:shd w:val="clear" w:color="auto" w:fill="FFFFFF"/>
          <w:lang w:val="en-US"/>
        </w:rPr>
        <w:t>[42]</w:t>
      </w:r>
      <w:r w:rsidRPr="008B63A3">
        <w:rPr>
          <w:sz w:val="24"/>
          <w:szCs w:val="24"/>
          <w:shd w:val="clear" w:color="auto" w:fill="FFFFFF"/>
        </w:rPr>
        <w:fldChar w:fldCharType="end"/>
      </w:r>
      <w:r w:rsidRPr="008B63A3">
        <w:rPr>
          <w:sz w:val="24"/>
          <w:szCs w:val="24"/>
          <w:shd w:val="clear" w:color="auto" w:fill="FFFFFF"/>
          <w:lang w:val="en-US"/>
        </w:rPr>
        <w:t xml:space="preserve">. Finally, neighborhood environments with insecurity, may result in a lower adhering to PA practice in older people </w:t>
      </w:r>
      <w:r w:rsidRPr="008B63A3">
        <w:rPr>
          <w:sz w:val="24"/>
          <w:szCs w:val="24"/>
          <w:shd w:val="clear" w:color="auto" w:fill="FFFFFF"/>
        </w:rPr>
        <w:fldChar w:fldCharType="begin" w:fldLock="1"/>
      </w:r>
      <w:r w:rsidR="008F460F" w:rsidRPr="008B63A3">
        <w:rPr>
          <w:sz w:val="24"/>
          <w:szCs w:val="24"/>
          <w:shd w:val="clear" w:color="auto" w:fill="FFFFFF"/>
          <w:lang w:val="en-US"/>
        </w:rPr>
        <w:instrText>ADDIN CSL_CITATION {"citationItems":[{"id":"ITEM-1","itemData":{"DOI":"10.1016/j.amepre.2012.05.026","ISSN":"07493797","PMID":"22898127","abstract":"Context: The transition to retirement has been recognized as a turning point in determining physical activity and may present a critical \"window\" for promoting physical activity. This systematic review examined changes in physical activity across the retirement transition, whether these changes vary by SES, and what is known about predictors of these changes. Evidence acquisition: Peer-reviewed articles and gray research literature, published between January 1980 and July 2010 in any country or language, were identified. Longitudinal and cross-sectional observational studies were included. Study selection, quality assessment, data extraction, and synthesis were performed between July 2010 and March 2011. A harvest plot approach to visualizing the findings was combined with a narrative synthesis. Evidence synthesis: Of the 19 included studies, 11 examined changes in exercise, or leisure-time physical activity, or both; seven, changes in total physical activity; and one study, both. Most studies used single-item measures of physical activity (n=9) or custom questionnaires (n=6). Results suggested that exercise and leisure-time physical activity increased after the retirement transition, whereas findings regarding total physical activity were inconsistent. SES moderated the association, with low SES being associated with a decrease and high SES with an increase in physical activity. Evidence on predictors of change was scarce and methodologically weak. Conclusions: Evidence suggests that exercise and leisure-time physical activity increases after the retirement transition, but whether and how total physical activity changes is unclear. Imprecise physical activity measures used in primary studies limit conclusions, and this highlights the need for further research. © 2012 American Journal of Preventive Medicine.","author":[{"dropping-particle":"","family":"Barnett","given":"Inka","non-dropping-particle":"","parse-names":false,"suffix":""},{"dropping-particle":"","family":"Sluijs","given":"Esther M.F.","non-dropping-particle":"Van","parse-names":false,"suffix":""},{"dropping-particle":"","family":"Ogilvie","given":"David","non-dropping-particle":"","parse-names":false,"suffix":""}],"container-title":"American Journal of Preventive Medicine","id":"ITEM-1","issue":"3","issued":{"date-parts":[["2012"]]},"page":"329-336","publisher":"Elsevier Inc.","title":"Physical activity and transitioning to retirement: A systematic review","type":"article-journal","volume":"43"},"uris":["http://www.mendeley.com/documents/?uuid=d6638a0f-1ab9-4534-8d57-bb5e197993c4"]}],"mendeley":{"formattedCitation":"[42]","plainTextFormattedCitation":"[42]","previouslyFormattedCitation":"[41]"},"properties":{"noteIndex":0},"schema":"https://github.com/citation-style-language/schema/raw/master/csl-citation.json"}</w:instrText>
      </w:r>
      <w:r w:rsidRPr="008B63A3">
        <w:rPr>
          <w:sz w:val="24"/>
          <w:szCs w:val="24"/>
          <w:shd w:val="clear" w:color="auto" w:fill="FFFFFF"/>
        </w:rPr>
        <w:fldChar w:fldCharType="separate"/>
      </w:r>
      <w:r w:rsidR="008F460F" w:rsidRPr="008B63A3">
        <w:rPr>
          <w:noProof/>
          <w:sz w:val="24"/>
          <w:szCs w:val="24"/>
          <w:shd w:val="clear" w:color="auto" w:fill="FFFFFF"/>
          <w:lang w:val="en-US"/>
        </w:rPr>
        <w:t>[42]</w:t>
      </w:r>
      <w:r w:rsidRPr="008B63A3">
        <w:rPr>
          <w:sz w:val="24"/>
          <w:szCs w:val="24"/>
          <w:shd w:val="clear" w:color="auto" w:fill="FFFFFF"/>
        </w:rPr>
        <w:fldChar w:fldCharType="end"/>
      </w:r>
      <w:r w:rsidRPr="008B63A3">
        <w:rPr>
          <w:sz w:val="24"/>
          <w:szCs w:val="24"/>
          <w:shd w:val="clear" w:color="auto" w:fill="FFFFFF"/>
          <w:lang w:val="en-US"/>
        </w:rPr>
        <w:t>.</w:t>
      </w:r>
    </w:p>
    <w:p w14:paraId="509EE258" w14:textId="77777777" w:rsidR="00C8158F" w:rsidRPr="008B63A3" w:rsidRDefault="00AF63DC" w:rsidP="00407AEA">
      <w:pPr>
        <w:spacing w:line="360" w:lineRule="auto"/>
        <w:ind w:firstLine="708"/>
        <w:jc w:val="both"/>
        <w:rPr>
          <w:sz w:val="24"/>
          <w:szCs w:val="24"/>
          <w:lang w:val="en-US"/>
        </w:rPr>
      </w:pPr>
      <w:r w:rsidRPr="008B63A3">
        <w:rPr>
          <w:sz w:val="24"/>
          <w:szCs w:val="24"/>
          <w:lang w:val="en-US"/>
        </w:rPr>
        <w:t xml:space="preserve">This study is important, since it presents results of low level of </w:t>
      </w:r>
      <w:r w:rsidR="009E1940" w:rsidRPr="008B63A3">
        <w:rPr>
          <w:sz w:val="24"/>
          <w:szCs w:val="24"/>
          <w:lang w:val="en-US"/>
        </w:rPr>
        <w:t>PA</w:t>
      </w:r>
      <w:r w:rsidRPr="008B63A3">
        <w:rPr>
          <w:sz w:val="24"/>
          <w:szCs w:val="24"/>
          <w:lang w:val="en-US"/>
        </w:rPr>
        <w:t xml:space="preserve"> analyzed not only </w:t>
      </w:r>
      <w:r w:rsidR="0033563B" w:rsidRPr="008B63A3">
        <w:rPr>
          <w:sz w:val="24"/>
          <w:szCs w:val="24"/>
          <w:lang w:val="en-US"/>
        </w:rPr>
        <w:t xml:space="preserve">according to </w:t>
      </w:r>
      <w:r w:rsidRPr="008B63A3">
        <w:rPr>
          <w:sz w:val="24"/>
          <w:szCs w:val="24"/>
          <w:lang w:val="en-US"/>
        </w:rPr>
        <w:t xml:space="preserve">time spent in moderate/vigorous activities, but in the performance of </w:t>
      </w:r>
      <w:r w:rsidR="0033563B" w:rsidRPr="008B63A3">
        <w:rPr>
          <w:sz w:val="24"/>
          <w:szCs w:val="24"/>
          <w:lang w:val="en-US"/>
        </w:rPr>
        <w:t>PA</w:t>
      </w:r>
      <w:r w:rsidRPr="008B63A3">
        <w:rPr>
          <w:sz w:val="24"/>
          <w:szCs w:val="24"/>
          <w:lang w:val="en-US"/>
        </w:rPr>
        <w:t xml:space="preserve"> throughout the day, which allows an interpretation more consistent with reality. The level of </w:t>
      </w:r>
      <w:r w:rsidR="009E1940" w:rsidRPr="008B63A3">
        <w:rPr>
          <w:sz w:val="24"/>
          <w:szCs w:val="24"/>
          <w:lang w:val="en-US"/>
        </w:rPr>
        <w:t>PA</w:t>
      </w:r>
      <w:r w:rsidRPr="008B63A3">
        <w:rPr>
          <w:sz w:val="24"/>
          <w:szCs w:val="24"/>
          <w:lang w:val="en-US"/>
        </w:rPr>
        <w:t xml:space="preserve"> identified by the </w:t>
      </w:r>
      <w:r w:rsidR="00A04119" w:rsidRPr="008B63A3">
        <w:rPr>
          <w:sz w:val="24"/>
          <w:szCs w:val="24"/>
          <w:lang w:val="en-US"/>
        </w:rPr>
        <w:t>counter per minute</w:t>
      </w:r>
      <w:r w:rsidRPr="008B63A3">
        <w:rPr>
          <w:sz w:val="24"/>
          <w:szCs w:val="24"/>
          <w:lang w:val="en-US"/>
        </w:rPr>
        <w:t xml:space="preserve">, without classification by time, but by </w:t>
      </w:r>
      <w:proofErr w:type="spellStart"/>
      <w:r w:rsidRPr="008B63A3">
        <w:rPr>
          <w:sz w:val="24"/>
          <w:szCs w:val="24"/>
          <w:lang w:val="en-US"/>
        </w:rPr>
        <w:t>tertile</w:t>
      </w:r>
      <w:proofErr w:type="spellEnd"/>
      <w:r w:rsidRPr="008B63A3">
        <w:rPr>
          <w:sz w:val="24"/>
          <w:szCs w:val="24"/>
          <w:lang w:val="en-US"/>
        </w:rPr>
        <w:t xml:space="preserve">, corroborates the recommendations proposed by </w:t>
      </w:r>
      <w:r w:rsidR="00F35C57" w:rsidRPr="008B63A3">
        <w:rPr>
          <w:sz w:val="24"/>
          <w:szCs w:val="24"/>
        </w:rPr>
        <w:fldChar w:fldCharType="begin" w:fldLock="1"/>
      </w:r>
      <w:r w:rsidR="008F460F" w:rsidRPr="008B63A3">
        <w:rPr>
          <w:sz w:val="24"/>
          <w:szCs w:val="24"/>
          <w:lang w:val="en-US"/>
        </w:rPr>
        <w:instrText>ADDIN CSL_CITATION {"citationItems":[{"id":"ITEM-1","itemData":{"DOI":"10.1249/mss.0b013e3180616aa2","ISSN":"01959131","PMID":"17762378","abstract":"OBJECTIVE: To issue a recommendation on the types and amounts of physical activity needed to improve and maintain health in older adults. PARTICIPANTS: A panel of scientists with expertise in public health, behavioral science, epidemiology, exercise science, medicine, and gerontology. EVIDENCE: The expert panel reviewed existing consensus statements and relevant evidence from primary research articles and reviews of the literature. PROCESS: After drafting a recommendation for the older adult population and reviewing drafts of the Updated Recommendation from the American College of Sports Medicine (ACSM) and the American Heart Association (AHA) for Adults, the panel issued a final recommendation on physical activity for older adults. SUMMARY: The recommendation for older adults is similar to the updated ACSM/AHA recommendation for adults, but has several important differences including: the recommended intensity of aerobic activity takes into account the older adult's aerobic fitness; activities that maintain or increase flexibility are recommended; and balance exercises are recommended for older adults at risk of falls. In addition, older adults should have an activity plan for achieving recommended physical activity that integrates preventive and therapeutic recommendations. The promotion of physical activity in older adults should emphasize moderate-intensity aerobic activity, muscle-strengthening activity, reducing sedentary behavior, and risk management. ©2007The American College of Sports Medicine.","author":[{"dropping-particle":"","family":"Nelson","given":"Miriam E.","non-dropping-particle":"","parse-names":false,"suffix":""},{"dropping-particle":"","family":"Rejeski","given":"W. Jack","non-dropping-particle":"","parse-names":false,"suffix":""},{"dropping-particle":"","family":"Blair","given":"Steven N.","non-dropping-particle":"","parse-names":false,"suffix":""},{"dropping-particle":"","family":"Duncan","given":"Pamela W.","non-dropping-particle":"","parse-names":false,"suffix":""},{"dropping-particle":"","family":"Judge","given":"James O.","non-dropping-particle":"","parse-names":false,"suffix":""},{"dropping-particle":"","family":"King","given":"Abby C.","non-dropping-particle":"","parse-names":false,"suffix":""},{"dropping-particle":"","family":"Macera","given":"Carol A.","non-dropping-particle":"","parse-names":false,"suffix":""},{"dropping-particle":"","family":"Castaneda-Sceppa","given":"Carmen","non-dropping-particle":"","parse-names":false,"suffix":""}],"container-title":"Medicine and Science in Sports and Exercise","id":"ITEM-1","issue":"8","issued":{"date-parts":[["2007"]]},"page":"1435-1445","title":"Physical activity and public health in older adults: Recommendation from the American College of Sports Medicine and the American Heart Association","type":"article-journal","volume":"39"},"uris":["http://www.mendeley.com/documents/?uuid=65161418-9f2d-415c-905b-937ad206db94"]}],"mendeley":{"formattedCitation":"[45]","plainTextFormattedCitation":"[45]","previouslyFormattedCitation":"[44]"},"properties":{"noteIndex":0},"schema":"https://github.com/citation-style-language/schema/raw/master/csl-citation.json"}</w:instrText>
      </w:r>
      <w:r w:rsidR="00F35C57" w:rsidRPr="008B63A3">
        <w:rPr>
          <w:sz w:val="24"/>
          <w:szCs w:val="24"/>
        </w:rPr>
        <w:fldChar w:fldCharType="separate"/>
      </w:r>
      <w:r w:rsidR="008F460F" w:rsidRPr="008B63A3">
        <w:rPr>
          <w:noProof/>
          <w:sz w:val="24"/>
          <w:szCs w:val="24"/>
          <w:lang w:val="en-US"/>
        </w:rPr>
        <w:t>[45]</w:t>
      </w:r>
      <w:r w:rsidR="00F35C57" w:rsidRPr="008B63A3">
        <w:rPr>
          <w:sz w:val="24"/>
          <w:szCs w:val="24"/>
        </w:rPr>
        <w:fldChar w:fldCharType="end"/>
      </w:r>
      <w:r w:rsidR="003F28B9" w:rsidRPr="008B63A3">
        <w:rPr>
          <w:sz w:val="24"/>
          <w:szCs w:val="24"/>
          <w:lang w:val="en-US"/>
        </w:rPr>
        <w:t>.</w:t>
      </w:r>
      <w:r w:rsidR="00973CE5" w:rsidRPr="008B63A3">
        <w:rPr>
          <w:sz w:val="24"/>
          <w:szCs w:val="24"/>
          <w:lang w:val="en-US"/>
        </w:rPr>
        <w:t xml:space="preserve"> </w:t>
      </w:r>
      <w:r w:rsidRPr="008B63A3">
        <w:rPr>
          <w:sz w:val="24"/>
          <w:szCs w:val="24"/>
          <w:lang w:val="en-US"/>
        </w:rPr>
        <w:t xml:space="preserve">The </w:t>
      </w:r>
      <w:r w:rsidR="009E1940" w:rsidRPr="008B63A3">
        <w:rPr>
          <w:sz w:val="24"/>
          <w:szCs w:val="24"/>
          <w:lang w:val="en-US"/>
        </w:rPr>
        <w:t xml:space="preserve">volume </w:t>
      </w:r>
      <w:r w:rsidRPr="008B63A3">
        <w:rPr>
          <w:sz w:val="24"/>
          <w:szCs w:val="24"/>
          <w:lang w:val="en-US"/>
        </w:rPr>
        <w:t xml:space="preserve">of </w:t>
      </w:r>
      <w:r w:rsidR="009E1940" w:rsidRPr="008B63A3">
        <w:rPr>
          <w:sz w:val="24"/>
          <w:szCs w:val="24"/>
          <w:lang w:val="en-US"/>
        </w:rPr>
        <w:t>PA</w:t>
      </w:r>
      <w:r w:rsidRPr="008B63A3">
        <w:rPr>
          <w:sz w:val="24"/>
          <w:szCs w:val="24"/>
          <w:lang w:val="en-US"/>
        </w:rPr>
        <w:t xml:space="preserve"> is important (&gt; 30 min of moderate activity/day), however, the data of the present study show that to reduce the risk of mortality it is necessary to encourage </w:t>
      </w:r>
      <w:r w:rsidR="0033563B" w:rsidRPr="008B63A3">
        <w:rPr>
          <w:sz w:val="24"/>
          <w:szCs w:val="24"/>
          <w:lang w:val="en-US"/>
        </w:rPr>
        <w:t xml:space="preserve">older adults </w:t>
      </w:r>
      <w:r w:rsidRPr="008B63A3">
        <w:rPr>
          <w:sz w:val="24"/>
          <w:szCs w:val="24"/>
          <w:lang w:val="en-US"/>
        </w:rPr>
        <w:t xml:space="preserve">to move habitually during the day. Active behavior throughout the day </w:t>
      </w:r>
      <w:r w:rsidR="0033563B" w:rsidRPr="008B63A3">
        <w:rPr>
          <w:sz w:val="24"/>
          <w:szCs w:val="24"/>
          <w:lang w:val="en-US"/>
        </w:rPr>
        <w:t xml:space="preserve">may reduce the risk </w:t>
      </w:r>
      <w:r w:rsidRPr="008B63A3">
        <w:rPr>
          <w:sz w:val="24"/>
          <w:szCs w:val="24"/>
          <w:lang w:val="en-US"/>
        </w:rPr>
        <w:t xml:space="preserve">of death </w:t>
      </w:r>
      <w:r w:rsidR="0033563B" w:rsidRPr="008B63A3">
        <w:rPr>
          <w:sz w:val="24"/>
          <w:szCs w:val="24"/>
          <w:lang w:val="en-US"/>
        </w:rPr>
        <w:t xml:space="preserve">among older adults who participate in </w:t>
      </w:r>
      <w:r w:rsidRPr="008B63A3">
        <w:rPr>
          <w:sz w:val="24"/>
          <w:szCs w:val="24"/>
          <w:lang w:val="en-US"/>
        </w:rPr>
        <w:t xml:space="preserve">intermediates/high levels of </w:t>
      </w:r>
      <w:r w:rsidR="0033563B" w:rsidRPr="008B63A3">
        <w:rPr>
          <w:sz w:val="24"/>
          <w:szCs w:val="24"/>
          <w:lang w:val="en-US"/>
        </w:rPr>
        <w:t>PA</w:t>
      </w:r>
      <w:r w:rsidRPr="008B63A3">
        <w:rPr>
          <w:sz w:val="24"/>
          <w:szCs w:val="24"/>
          <w:lang w:val="en-US"/>
        </w:rPr>
        <w:t>, as demonstrated by data</w:t>
      </w:r>
      <w:r w:rsidR="0033563B" w:rsidRPr="008B63A3">
        <w:rPr>
          <w:sz w:val="24"/>
          <w:szCs w:val="24"/>
          <w:lang w:val="en-US"/>
        </w:rPr>
        <w:t xml:space="preserve"> from the present study</w:t>
      </w:r>
      <w:r w:rsidRPr="008B63A3">
        <w:rPr>
          <w:sz w:val="24"/>
          <w:szCs w:val="24"/>
          <w:lang w:val="en-US"/>
        </w:rPr>
        <w:t>.</w:t>
      </w:r>
    </w:p>
    <w:p w14:paraId="7A5E1EB6" w14:textId="77777777" w:rsidR="00647D11" w:rsidRPr="008B63A3" w:rsidRDefault="0033563B" w:rsidP="000C67AB">
      <w:pPr>
        <w:spacing w:line="360" w:lineRule="auto"/>
        <w:ind w:firstLine="708"/>
        <w:jc w:val="both"/>
        <w:rPr>
          <w:sz w:val="24"/>
          <w:szCs w:val="24"/>
          <w:lang w:val="en-US"/>
        </w:rPr>
      </w:pPr>
      <w:r w:rsidRPr="008B63A3">
        <w:rPr>
          <w:rFonts w:eastAsia="MyriadPro-Light"/>
          <w:sz w:val="24"/>
          <w:szCs w:val="24"/>
          <w:lang w:val="en-US"/>
        </w:rPr>
        <w:t xml:space="preserve">Findings from the present study must be interpreted </w:t>
      </w:r>
      <w:proofErr w:type="gramStart"/>
      <w:r w:rsidRPr="008B63A3">
        <w:rPr>
          <w:rFonts w:eastAsia="MyriadPro-Light"/>
          <w:sz w:val="24"/>
          <w:szCs w:val="24"/>
          <w:lang w:val="en-US"/>
        </w:rPr>
        <w:t>in light of</w:t>
      </w:r>
      <w:proofErr w:type="gramEnd"/>
      <w:r w:rsidRPr="008B63A3">
        <w:rPr>
          <w:rFonts w:eastAsia="MyriadPro-Light"/>
          <w:sz w:val="24"/>
          <w:szCs w:val="24"/>
          <w:lang w:val="en-US"/>
        </w:rPr>
        <w:t xml:space="preserve"> the study limitations</w:t>
      </w:r>
      <w:r w:rsidR="00AF63DC" w:rsidRPr="008B63A3">
        <w:rPr>
          <w:rFonts w:eastAsia="MyriadPro-Light"/>
          <w:sz w:val="24"/>
          <w:szCs w:val="24"/>
          <w:lang w:val="en-US"/>
        </w:rPr>
        <w:t xml:space="preserve">. </w:t>
      </w:r>
      <w:r w:rsidR="00407AEA" w:rsidRPr="008B63A3">
        <w:rPr>
          <w:rFonts w:eastAsia="MyriadPro-Light"/>
          <w:sz w:val="24"/>
          <w:szCs w:val="24"/>
          <w:lang w:val="en-US"/>
        </w:rPr>
        <w:t>Firstly, t</w:t>
      </w:r>
      <w:r w:rsidR="00AF63DC" w:rsidRPr="008B63A3">
        <w:rPr>
          <w:rFonts w:eastAsia="MyriadPro-Light"/>
          <w:sz w:val="24"/>
          <w:szCs w:val="24"/>
          <w:lang w:val="en-US"/>
        </w:rPr>
        <w:t xml:space="preserve">he use of the accelerometer </w:t>
      </w:r>
      <w:r w:rsidR="007C007C" w:rsidRPr="008B63A3">
        <w:rPr>
          <w:rFonts w:eastAsia="MyriadPro-Light"/>
          <w:sz w:val="24"/>
          <w:szCs w:val="24"/>
          <w:lang w:val="en-US"/>
        </w:rPr>
        <w:t>over a period of just</w:t>
      </w:r>
      <w:r w:rsidR="00AF63DC" w:rsidRPr="008B63A3">
        <w:rPr>
          <w:rFonts w:eastAsia="MyriadPro-Light"/>
          <w:sz w:val="24"/>
          <w:szCs w:val="24"/>
          <w:lang w:val="en-US"/>
        </w:rPr>
        <w:t xml:space="preserve"> three days </w:t>
      </w:r>
      <w:r w:rsidR="00402B2A" w:rsidRPr="008B63A3">
        <w:rPr>
          <w:rFonts w:eastAsia="MyriadPro-Light"/>
          <w:sz w:val="24"/>
          <w:szCs w:val="24"/>
          <w:lang w:val="en-US"/>
        </w:rPr>
        <w:t>may</w:t>
      </w:r>
      <w:r w:rsidRPr="008B63A3">
        <w:rPr>
          <w:rFonts w:eastAsia="MyriadPro-Light"/>
          <w:sz w:val="24"/>
          <w:szCs w:val="24"/>
          <w:lang w:val="en-US"/>
        </w:rPr>
        <w:t xml:space="preserve"> not be representative of one’s free-living levels of PA</w:t>
      </w:r>
      <w:r w:rsidR="00AF63DC" w:rsidRPr="008B63A3">
        <w:rPr>
          <w:rFonts w:eastAsia="MyriadPro-Light"/>
          <w:sz w:val="24"/>
          <w:szCs w:val="24"/>
          <w:lang w:val="en-US"/>
        </w:rPr>
        <w:t xml:space="preserve">. </w:t>
      </w:r>
      <w:r w:rsidR="00407AEA" w:rsidRPr="008B63A3">
        <w:rPr>
          <w:rFonts w:eastAsia="MyriadPro-Light"/>
          <w:sz w:val="24"/>
          <w:szCs w:val="24"/>
          <w:lang w:val="en-US"/>
        </w:rPr>
        <w:t>Secondly</w:t>
      </w:r>
      <w:r w:rsidR="00AF63DC" w:rsidRPr="008B63A3">
        <w:rPr>
          <w:rFonts w:eastAsia="MyriadPro-Light"/>
          <w:sz w:val="24"/>
          <w:szCs w:val="24"/>
          <w:lang w:val="en-US"/>
        </w:rPr>
        <w:t xml:space="preserve">, recent studies </w:t>
      </w:r>
      <w:r w:rsidR="004A0BED" w:rsidRPr="008B63A3">
        <w:rPr>
          <w:rFonts w:eastAsia="MyriadPro-Light"/>
          <w:sz w:val="24"/>
          <w:szCs w:val="24"/>
        </w:rPr>
        <w:fldChar w:fldCharType="begin" w:fldLock="1"/>
      </w:r>
      <w:r w:rsidR="008F460F" w:rsidRPr="008B63A3">
        <w:rPr>
          <w:rFonts w:eastAsia="MyriadPro-Light"/>
          <w:sz w:val="24"/>
          <w:szCs w:val="24"/>
          <w:lang w:val="en-US"/>
        </w:rPr>
        <w:instrText>ADDIN CSL_CITATION {"citationItems":[{"id":"ITEM-1","itemData":{"abstract":"Background: The number of days of pedometer or accelerometer data needed to reliably assess physical activity (PA) is important for research that examines the relationship with health. While this important research has been completed in young to middle-aged adults, data is lacking in older adults. Further, data determining the number of days of self-reports PA data is also void. The purpose of this study was to examine the number of days needed to predict habitual PA and sedentary behaviour across pedometer, accelerometer, and physical activity log (PA log) data in older adults. Methods: Participants (52 older men and women; age = 69.3 ± 7.4 years, range= 55-86 years) wore a Yamax Digiwalker SW-200 pedometer and an ActiGraph 7164 accelerometer while completing a PA log for 21 consecutive days. Mean differences each instrument and intensity between days of the week were examined using separate repeated measures analysis of variance for with pairwise comparisons. Spearman-Brown Prophecy Formulae based on Intraclass Correlations of .80, .85, .90 and .95 were used to predict the number of days of accelerometer or pedometer wear or PA log daily records needed to represent total PA, light PA, moderate-to-vigorous PA, and sedentary behaviour. Results: Results of this study showed that three days of accelerometer data, four days of pedometer data, or four days of completing PA logs are needed to accurately predict PA levels in older adults. When examining time spent in specific intensities of PA, fewer days of data are needed for accurate prediction of time spent in that activity for ActiGraph but more for the PA log. To accurately predict average daily time spent in sedentary behaviour, five days of ActiGraph data are needed. Conclusions: The number days of objective (pedometer and ActiGraph) and subjective (PA log) data needed to accurately estimate daily PA in older adults was relatively consistent. Despite no statistical differences between days for total PA by the pedometer and ActiGraph, the magnitude of differences between days suggests that day of the week cannot be completely ignored in the design and analysis of PA studies that involve &lt; 7-day monitoring protocols for these instruments. More days of accelerometer data were needed to determine typical sedentary behaviour than PA level in this population of older adults.","author":[{"dropping-particle":"","family":"Hart","given":"T L","non-dropping-particle":"","parse-names":false,"suffix":""},{"dropping-particle":"","family":"Swartz","given":"A M","non-dropping-particle":"","parse-names":false,"suffix":""},{"dropping-particle":"","family":"Strath","given":"S J","non-dropping-particle":"","parse-names":false,"suffix":""}],"container-title":"International Journal on Behavioral Nutrition and Physical Activity","id":"ITEM-1","issued":{"date-parts":[["2011"]]},"page":"62-69","title":"How many days of monitoring are needed to accurately estimate physical activity in older adults","type":"article-journal","volume":"8"},"uris":["http://www.mendeley.com/documents/?uuid=f069a2ad-9962-43f7-ba92-6e7a414b1322"]},{"id":"ITEM-2","itemData":{"DOI":"10.1177/1545968313491004","ISSN":"15459683","abstract":"Background. Many approaches are used to evaluate fall risk. While their properties and performance vary, most reflect performance at a specific moment or are based on subjective self-report. Objective. To quantify fall risk in the home setting using an accelerometer. Methods. Seventy-one community-living older adults were studied. In the laboratory, fall risk was assessed using performance-based tests of mobility (eg, Timed Up and Go) and usual walking abilities were quantified. Subsequently, subjects wore a triaxial accelerometer on their lower back for 3 consecutive days. Acceleration-derived measures were extracted from segments that reflected ambulation. These included total activity duration, number of steps taken, and the amplitude and width at the dominant frequency in the power spectral density, that is, parameters reflecting step-to-step variability. Afterwards, self-report of falls was collected for 6 months to explore the predictive value. Results. Based on a history of 2 or more falls, subjects were classified as fallers or nonfallers. The number of steps during the 3 days was similar (P =.42) in the fallers (7842.1 ± 6135.6) and nonfallers (9055.3 ± 6444.7). Compared with the nonfallers, step-to-step consistency was lower in the fallers in the vertical axis (amplitude fallers, 0.58 ± 0.22 psd; nonfallers, 0.71 ± 0.18 psd; P =.008); in the mediolateral axis, step-to-step consistency was higher in the fallers (P =.014). The 3-day measures improved the identification of past and future falls status (P &lt;.005), compared to performance-based tests. Conclusions. Accelerometer-derived measures based on 3-day recordings are useful for evaluating fall risk as older adults perform daily living activities in their everyday home environment. © The Author(s) 2013.","author":[{"dropping-particle":"","family":"Weiss","given":"Aner","non-dropping-particle":"","parse-names":false,"suffix":""},{"dropping-particle":"","family":"Brozgol","given":"Marina","non-dropping-particle":"","parse-names":false,"suffix":""},{"dropping-particle":"","family":"Dorfman","given":"Moran","non-dropping-particle":"","parse-names":false,"suffix":""},{"dropping-particle":"","family":"Herman","given":"Talia","non-dropping-particle":"","parse-names":false,"suffix":""},{"dropping-particle":"","family":"Shema","given":"Shirley","non-dropping-particle":"","parse-names":false,"suffix":""},{"dropping-particle":"","family":"Giladi","given":"Nir","non-dropping-particle":"","parse-names":false,"suffix":""},{"dropping-particle":"","family":"Hausdorff","given":"Jeffrey M.","non-dropping-particle":"","parse-names":false,"suffix":""}],"container-title":"Neurorehabilitation and Neural Repair","id":"ITEM-2","issue":"8","issued":{"date-parts":[["2013"]]},"page":"742-752","title":"Does the evaluation of gait quality during daily life provide insight into fall risk? A novel approach using 3-Day accelerometer recordings","type":"article-journal","volume":"27"},"uris":["http://www.mendeley.com/documents/?uuid=6219401d-b274-4701-a425-889a4942d286"]}],"mendeley":{"formattedCitation":"[46,47]","plainTextFormattedCitation":"[46,47]","previouslyFormattedCitation":"[45,46]"},"properties":{"noteIndex":0},"schema":"https://github.com/citation-style-language/schema/raw/master/csl-citation.json"}</w:instrText>
      </w:r>
      <w:r w:rsidR="004A0BED" w:rsidRPr="008B63A3">
        <w:rPr>
          <w:rFonts w:eastAsia="MyriadPro-Light"/>
          <w:sz w:val="24"/>
          <w:szCs w:val="24"/>
        </w:rPr>
        <w:fldChar w:fldCharType="separate"/>
      </w:r>
      <w:r w:rsidR="008F460F" w:rsidRPr="008B63A3">
        <w:rPr>
          <w:rFonts w:eastAsia="MyriadPro-Light"/>
          <w:noProof/>
          <w:sz w:val="24"/>
          <w:szCs w:val="24"/>
          <w:lang w:val="en-US"/>
        </w:rPr>
        <w:t>[46,47]</w:t>
      </w:r>
      <w:r w:rsidR="004A0BED" w:rsidRPr="008B63A3">
        <w:rPr>
          <w:rFonts w:eastAsia="MyriadPro-Light"/>
          <w:sz w:val="24"/>
          <w:szCs w:val="24"/>
        </w:rPr>
        <w:fldChar w:fldCharType="end"/>
      </w:r>
      <w:r w:rsidR="007C007C" w:rsidRPr="008B63A3">
        <w:rPr>
          <w:rFonts w:eastAsia="MyriadPro-Light"/>
          <w:sz w:val="24"/>
          <w:szCs w:val="24"/>
          <w:lang w:val="en-US"/>
        </w:rPr>
        <w:t xml:space="preserve"> have</w:t>
      </w:r>
      <w:r w:rsidR="003E49DC" w:rsidRPr="008B63A3">
        <w:rPr>
          <w:rFonts w:eastAsia="MyriadPro-Light"/>
          <w:sz w:val="24"/>
          <w:szCs w:val="24"/>
          <w:lang w:val="en-US"/>
        </w:rPr>
        <w:t xml:space="preserve"> </w:t>
      </w:r>
      <w:r w:rsidR="00AF63DC" w:rsidRPr="008B63A3">
        <w:rPr>
          <w:rFonts w:eastAsia="MyriadPro-Light"/>
          <w:sz w:val="24"/>
          <w:szCs w:val="24"/>
          <w:lang w:val="en-US"/>
        </w:rPr>
        <w:t xml:space="preserve">showed </w:t>
      </w:r>
      <w:r w:rsidR="008F207B" w:rsidRPr="008B63A3">
        <w:rPr>
          <w:rFonts w:eastAsia="MyriadPro-Light"/>
          <w:sz w:val="24"/>
          <w:szCs w:val="24"/>
          <w:lang w:val="en-US"/>
        </w:rPr>
        <w:t xml:space="preserve">that </w:t>
      </w:r>
      <w:r w:rsidR="00AF63DC" w:rsidRPr="008B63A3">
        <w:rPr>
          <w:rFonts w:eastAsia="MyriadPro-Light"/>
          <w:sz w:val="24"/>
          <w:szCs w:val="24"/>
          <w:lang w:val="en-US"/>
        </w:rPr>
        <w:t xml:space="preserve">it </w:t>
      </w:r>
      <w:r w:rsidR="007C007C" w:rsidRPr="008B63A3">
        <w:rPr>
          <w:rFonts w:eastAsia="MyriadPro-Light"/>
          <w:sz w:val="24"/>
          <w:szCs w:val="24"/>
          <w:lang w:val="en-US"/>
        </w:rPr>
        <w:t xml:space="preserve">is </w:t>
      </w:r>
      <w:r w:rsidR="00AF63DC" w:rsidRPr="008B63A3">
        <w:rPr>
          <w:rFonts w:eastAsia="MyriadPro-Light"/>
          <w:sz w:val="24"/>
          <w:szCs w:val="24"/>
          <w:lang w:val="en-US"/>
        </w:rPr>
        <w:t xml:space="preserve">possible to estimate the level of </w:t>
      </w:r>
      <w:r w:rsidR="007C007C" w:rsidRPr="008B63A3">
        <w:rPr>
          <w:rFonts w:eastAsia="MyriadPro-Light"/>
          <w:sz w:val="24"/>
          <w:szCs w:val="24"/>
          <w:lang w:val="en-US"/>
        </w:rPr>
        <w:t>weekly PA</w:t>
      </w:r>
      <w:r w:rsidR="00AF63DC" w:rsidRPr="008B63A3">
        <w:rPr>
          <w:rFonts w:eastAsia="MyriadPro-Light"/>
          <w:sz w:val="24"/>
          <w:szCs w:val="24"/>
          <w:lang w:val="en-US"/>
        </w:rPr>
        <w:t xml:space="preserve"> in just two days, from moderate and vigorous intensities in </w:t>
      </w:r>
      <w:r w:rsidRPr="008B63A3">
        <w:rPr>
          <w:rFonts w:eastAsia="MyriadPro-Light"/>
          <w:sz w:val="24"/>
          <w:szCs w:val="24"/>
          <w:lang w:val="en-US"/>
        </w:rPr>
        <w:t xml:space="preserve">older adults using </w:t>
      </w:r>
      <w:r w:rsidR="00AF63DC" w:rsidRPr="008B63A3">
        <w:rPr>
          <w:rFonts w:eastAsia="MyriadPro-Light"/>
          <w:sz w:val="24"/>
          <w:szCs w:val="24"/>
          <w:lang w:val="en-US"/>
        </w:rPr>
        <w:t>accelerometer</w:t>
      </w:r>
      <w:r w:rsidRPr="008B63A3">
        <w:rPr>
          <w:rFonts w:eastAsia="MyriadPro-Light"/>
          <w:sz w:val="24"/>
          <w:szCs w:val="24"/>
          <w:lang w:val="en-US"/>
        </w:rPr>
        <w:t>s</w:t>
      </w:r>
      <w:r w:rsidR="00AF63DC" w:rsidRPr="008B63A3">
        <w:rPr>
          <w:rFonts w:eastAsia="MyriadPro-Light"/>
          <w:sz w:val="24"/>
          <w:szCs w:val="24"/>
          <w:lang w:val="en-US"/>
        </w:rPr>
        <w:t xml:space="preserve">. Moreover, since there is a daily variation in the level of </w:t>
      </w:r>
      <w:r w:rsidR="007C007C" w:rsidRPr="008B63A3">
        <w:rPr>
          <w:rFonts w:eastAsia="MyriadPro-Light"/>
          <w:sz w:val="24"/>
          <w:szCs w:val="24"/>
          <w:lang w:val="en-US"/>
        </w:rPr>
        <w:t>PA</w:t>
      </w:r>
      <w:r w:rsidR="00AF63DC" w:rsidRPr="008B63A3">
        <w:rPr>
          <w:rFonts w:eastAsia="MyriadPro-Light"/>
          <w:sz w:val="24"/>
          <w:szCs w:val="24"/>
          <w:lang w:val="en-US"/>
        </w:rPr>
        <w:t xml:space="preserve"> during the week as we consider the count from Tuesday to Friday it is possible that </w:t>
      </w:r>
      <w:r w:rsidR="008F207B" w:rsidRPr="008B63A3">
        <w:rPr>
          <w:rFonts w:eastAsia="MyriadPro-Light"/>
          <w:sz w:val="24"/>
          <w:szCs w:val="24"/>
          <w:lang w:val="en-US"/>
        </w:rPr>
        <w:t>preferences exist for PA at different times in the week that may have been missed in our analysis</w:t>
      </w:r>
      <w:r w:rsidR="007C007C" w:rsidRPr="008B63A3">
        <w:rPr>
          <w:rFonts w:eastAsia="MyriadPro-Light"/>
          <w:sz w:val="24"/>
          <w:szCs w:val="24"/>
          <w:lang w:val="en-US"/>
        </w:rPr>
        <w:t>.</w:t>
      </w:r>
      <w:r w:rsidR="00407AEA" w:rsidRPr="008B63A3">
        <w:rPr>
          <w:rFonts w:eastAsia="MyriadPro-Light"/>
          <w:sz w:val="24"/>
          <w:szCs w:val="24"/>
          <w:lang w:val="en-US"/>
        </w:rPr>
        <w:t xml:space="preserve"> </w:t>
      </w:r>
      <w:r w:rsidR="000C67AB" w:rsidRPr="008B63A3">
        <w:rPr>
          <w:rFonts w:eastAsia="MyriadPro-Light"/>
          <w:sz w:val="24"/>
          <w:lang w:val="en-US"/>
        </w:rPr>
        <w:t>Nonetheless, it is important to highlight that</w:t>
      </w:r>
      <w:r w:rsidR="000C67AB" w:rsidRPr="008B63A3">
        <w:rPr>
          <w:sz w:val="24"/>
          <w:shd w:val="clear" w:color="auto" w:fill="FFFFFF"/>
          <w:lang w:val="en-US"/>
        </w:rPr>
        <w:t xml:space="preserve"> the Brazilian population has shown stability in exposure to physical inactivity, based on a temporal analysis, conducted from 1990 to 2017 </w:t>
      </w:r>
      <w:r w:rsidR="000C67AB" w:rsidRPr="008B63A3">
        <w:rPr>
          <w:sz w:val="24"/>
          <w:shd w:val="clear" w:color="auto" w:fill="FFFFFF"/>
        </w:rPr>
        <w:fldChar w:fldCharType="begin" w:fldLock="1"/>
      </w:r>
      <w:r w:rsidR="000C67AB" w:rsidRPr="008B63A3">
        <w:rPr>
          <w:sz w:val="24"/>
          <w:shd w:val="clear" w:color="auto" w:fill="FFFFFF"/>
          <w:lang w:val="en-US"/>
        </w:rPr>
        <w:instrText>ADDIN CSL_CITATION {"citationItems":[{"id":"ITEM-1","itemData":{"DOI":"10.1186/s12963-020-00214-3","ISSN":"14787954","PMID":"32993642","abstract":"Background: The aim of this study was to estimate the mortality from all causes as a result of physical inactivity in Brazil and in Brazilian states over 28 years (1990-2017). Methods: Data from the Global Burden of Disease (GBD) study for Brazil and states were used. The metrics used were the summary exposure value (SEV), the number of deaths, age-standardized mortality rates, and the fraction of population risk attributable to physical inactivity. Results: The Brazilian population presented risk of exposure to physical inactivity of (age-standardized SEV) of 59% (95% U.I. 22-97) in 1990 and 59% in 2017 (95% U.I. 25-99). Physical inactivity contributed a significant number of deaths (1990, 22,537, 95% U.I. 12,157-34,745; 2017, 32,410, 95% U.I. 17,976-49,657) in the analyzed period. These values represented mortality rates standardized by age (per 100,000 inhabitants) of 31 (95% U.I. 17-48) in 1990 and 15 (95% U.I. 8-23) in 2017. From 1990 to 2017, a decrease in standardized death rate from all causes attributable to physical inactivity was observed in Brazil (-52%, 95% U.I.-54 to-49). The Brazilian states with better socioeconomic conditions prese</w:instrText>
      </w:r>
      <w:r w:rsidR="000C67AB" w:rsidRPr="008B63A3">
        <w:rPr>
          <w:sz w:val="24"/>
          <w:shd w:val="clear" w:color="auto" w:fill="FFFFFF"/>
        </w:rPr>
        <w:instrText>nted greater reductions in age-standardized mortality (male: rho = 0.80; female: rho 0.84) over the period of 28 years. Conclusions: These findings support the promotion of physical activity in the Brazilian population for the prevention of early mortality.","author":[{"dropping-particle":"","family":"Silva","given":"Diego Augusto Santos","non-dropping-particle":"","parse-names":false,"suffix":""},{"dropping-particle":"","family":"Tremblay","given":"Mark Stephen","non-dropping-particle":"","parse-names":false,"suffix":""},{"drop</w:instrText>
      </w:r>
      <w:r w:rsidR="000C67AB" w:rsidRPr="008B63A3">
        <w:rPr>
          <w:sz w:val="24"/>
          <w:shd w:val="clear" w:color="auto" w:fill="FFFFFF"/>
          <w:lang w:val="en-US"/>
        </w:rPr>
        <w:instrText>ping-particle":"","family":"Marinho","given":"Fatima","non-dropping-particle":"","parse-names":false,"suffix":""},{"dropping-particle":"","family":"Ribeiro","given":"Antonio Luiz Pinho","non-dropping-particle":"","parse-names":false,"suffix":""},{"dropping-particle":"","family":"Cousin","given":"Ewerton","non-dropping-particle":"","parse-names":false,"suffix":""},{"dropping-particle":"","family":"Nascimento","given":"Bruno Ramos","non-dropping-particle":"","parse-names":false,"suffix":""},{"dropping-particle":"","family":"Valença Neto","given":"Paulo Da Fonseca","non-dropping-particle":"","parse-names":false,"suffix":""},{"dropping-particle":"","family":"Naghavi","given":"Mohsen","non-dropping-particle":"","parse-names":false,"suffix":""},{"dropping-particle":"","family":"Malta","given":"Deborah Carvalho","non-dropping-particle":"","parse-names":false,"suffix":""}],"container-title":"Population Health Metrics","id":"ITEM-1","issue":"Suppl 1","issued":{"date-parts":[["2020"]]},"page":"1-9","publisher":"Population Health Metrics","title":"Physical inactivity as a risk factor for all-cause mortality in Brazil (1990-2017)","type":"article-journal","volume":"18"},"uris":["http://www.mendeley.com/documents/?uuid=bbf8ac26-7eff-4f98-816b-64169488f5af"]}],"mendeley":{"formattedCitation":"[16]","plainTextFormattedCitation":"[16]","previouslyFormattedCitation":"[16]"},"properties":{"noteIndex":0},"schema":"https://github.com/citation-style-language/schema/raw/master/csl-citation.json"}</w:instrText>
      </w:r>
      <w:r w:rsidR="000C67AB" w:rsidRPr="008B63A3">
        <w:rPr>
          <w:sz w:val="24"/>
          <w:shd w:val="clear" w:color="auto" w:fill="FFFFFF"/>
        </w:rPr>
        <w:fldChar w:fldCharType="separate"/>
      </w:r>
      <w:r w:rsidR="000C67AB" w:rsidRPr="008B63A3">
        <w:rPr>
          <w:noProof/>
          <w:sz w:val="24"/>
          <w:shd w:val="clear" w:color="auto" w:fill="FFFFFF"/>
          <w:lang w:val="en-US"/>
        </w:rPr>
        <w:t>[16]</w:t>
      </w:r>
      <w:r w:rsidR="000C67AB" w:rsidRPr="008B63A3">
        <w:rPr>
          <w:sz w:val="24"/>
          <w:shd w:val="clear" w:color="auto" w:fill="FFFFFF"/>
        </w:rPr>
        <w:fldChar w:fldCharType="end"/>
      </w:r>
      <w:r w:rsidR="000C67AB" w:rsidRPr="008B63A3">
        <w:rPr>
          <w:sz w:val="24"/>
          <w:shd w:val="clear" w:color="auto" w:fill="FFFFFF"/>
          <w:lang w:val="en-US"/>
        </w:rPr>
        <w:t xml:space="preserve">.  The state of São Paulo, was the third state with the highest percentage reductions in all-cause mortality rate attributable to physical inactivity </w:t>
      </w:r>
      <w:r w:rsidR="000C67AB" w:rsidRPr="008B63A3">
        <w:rPr>
          <w:sz w:val="24"/>
          <w:shd w:val="clear" w:color="auto" w:fill="FFFFFF"/>
        </w:rPr>
        <w:fldChar w:fldCharType="begin" w:fldLock="1"/>
      </w:r>
      <w:r w:rsidR="000C67AB" w:rsidRPr="008B63A3">
        <w:rPr>
          <w:sz w:val="24"/>
          <w:shd w:val="clear" w:color="auto" w:fill="FFFFFF"/>
          <w:lang w:val="en-US"/>
        </w:rPr>
        <w:instrText>ADDIN CSL_CITATION {"citationItems":[{"id":"ITEM-1","itemData":{"DOI":"10.1186/s12963-020-00214-3","ISSN":"14787954","PMID":"32993642","abstract":"Background: The aim of this study was to estimate the mortality from all causes as a result of physical inactivity in Brazil and in Brazilian states over 28 years (1990-2017). Methods: Data from the Global Burden of Disease (GBD) study for Brazil and states were used. The metrics used were the summary exposure value (SEV), the number of deaths, age-standardized mortality rates, and the fraction of population risk attributable to physical inactivity. Results: The Brazilian population presented risk of exposure to physical inactivity of (age-standardized SEV) of 59% (95% U.I. 22-97) in 1990 and 59% in 2017 (95% U.I. 25-99). Physical inactivity contributed a significant number of deaths (1990, 22,537, 95% U.I. 12,157-34,745; 2017, 32,410, 95% U.I. 17,976-49,657) in the analyzed period. These values represented mortality rates standardized by age (per 100,000 inhabitants) of 31 (95% U.I. 17-48) in 1990 and 15 (95% U.I. 8-23) in 2017. From 1990 to 2017, a decrease in standardized death rate from all causes attributable to physical inactivity was observed in Brazil (-52%, 95% U.I.-54 to-49). The Brazilian states with better socioeconomic conditions presented greater reductions in age-standard</w:instrText>
      </w:r>
      <w:r w:rsidR="000C67AB" w:rsidRPr="008B63A3">
        <w:rPr>
          <w:sz w:val="24"/>
          <w:shd w:val="clear" w:color="auto" w:fill="FFFFFF"/>
        </w:rPr>
        <w:instrText>ized mortality (male: rho = 0.80; female: rho 0.84) over the period of 28 years. Conclusions: These findings support the promotion of physical activity in the Brazilian population for the prevention of early mortality.","author":[{"dropping-particle":"","family":"Silva","given":"Diego Augusto Santos","non-dropping-particle":"","parse-names":false,"suffix":""},{"dropping-particle":"","family":"Tremblay","given":"Mark Stephen","non-dropping-particle":"","parse-names":false,"suffix":""},{"drop</w:instrText>
      </w:r>
      <w:r w:rsidR="000C67AB" w:rsidRPr="008B63A3">
        <w:rPr>
          <w:sz w:val="24"/>
          <w:shd w:val="clear" w:color="auto" w:fill="FFFFFF"/>
          <w:lang w:val="en-US"/>
        </w:rPr>
        <w:instrText>ping-particle":"","family":"Marinho","given":"Fatima","non-dropping-particle":"","parse-names":false,"suffix":""},{"dropping-particle":"","family":"Ribeiro","given":"Antonio Luiz Pinho","non-dropping-particle":"","parse-names":false,"suffix":""},{"dropping-particle":"","family":"Cousin","given":"Ewerton","non-dropping-particle":"","parse-names":false,"suffix":""},{"dropping-particle":"","family":"Nascimento","given":"Bruno Ramos","non-dropping-particle":"","parse-names":false,"suffix":""},{"dropping-particle":"","family":"Valença Neto","given":"Paulo Da Fonseca","non-dropping-particle":"","parse-names":false,"suffix":""},{"dropping-particle":"","family":"Naghavi","given":"Mohsen","non-dropping-particle":"","parse-names":false,"suffix":""},{"dropping-particle":"","family":"Malta","given":"Deborah Carvalho","non-dropping-particle":"","parse-names":false,"suffix":""}],"container-title":"Population Health Metrics","id":"ITEM-1","issue":"Suppl 1","issued":{"date-parts":[["2020"]]},"page":"1-9","publisher":"Population Health Metrics","title":"Physical inactivity as a risk factor for all-cause mortality in Brazil (1990-2017)","type":"article-journal","volume":"18"},"uris":["http://www.mendeley.com/documents/?uuid=bbf8ac26-7eff-4f98-816b-64169488f5af"]}],"mendeley":{"formattedCitation":"[16]","plainTextFormattedCitation":"[16]","previouslyFormattedCitation":"[16]"},"properties":{"noteIndex":0},"schema":"https://github.com/citation-style-language/schema/raw/master/csl-citation.json"}</w:instrText>
      </w:r>
      <w:r w:rsidR="000C67AB" w:rsidRPr="008B63A3">
        <w:rPr>
          <w:sz w:val="24"/>
          <w:shd w:val="clear" w:color="auto" w:fill="FFFFFF"/>
        </w:rPr>
        <w:fldChar w:fldCharType="separate"/>
      </w:r>
      <w:r w:rsidR="000C67AB" w:rsidRPr="008B63A3">
        <w:rPr>
          <w:noProof/>
          <w:sz w:val="24"/>
          <w:shd w:val="clear" w:color="auto" w:fill="FFFFFF"/>
          <w:lang w:val="en-US"/>
        </w:rPr>
        <w:t>[16]</w:t>
      </w:r>
      <w:r w:rsidR="000C67AB" w:rsidRPr="008B63A3">
        <w:rPr>
          <w:sz w:val="24"/>
          <w:shd w:val="clear" w:color="auto" w:fill="FFFFFF"/>
        </w:rPr>
        <w:fldChar w:fldCharType="end"/>
      </w:r>
      <w:r w:rsidR="000C67AB" w:rsidRPr="008B63A3">
        <w:rPr>
          <w:sz w:val="24"/>
          <w:shd w:val="clear" w:color="auto" w:fill="FFFFFF"/>
          <w:lang w:val="en-US"/>
        </w:rPr>
        <w:t xml:space="preserve">. São Paulo is an economically established city, despite this, a low level of physical activity was predominant in our study. Several studies have shown that physical inactivity is a serious problem in economically disadvantaged populations and social inequality may be reflecting on the health of the general population </w:t>
      </w:r>
      <w:r w:rsidR="000C67AB" w:rsidRPr="008B63A3">
        <w:rPr>
          <w:sz w:val="24"/>
          <w:shd w:val="clear" w:color="auto" w:fill="FFFFFF"/>
        </w:rPr>
        <w:fldChar w:fldCharType="begin" w:fldLock="1"/>
      </w:r>
      <w:r w:rsidR="008F460F" w:rsidRPr="008B63A3">
        <w:rPr>
          <w:sz w:val="24"/>
          <w:shd w:val="clear" w:color="auto" w:fill="FFFFFF"/>
          <w:lang w:val="en-US"/>
        </w:rPr>
        <w:instrText>ADDIN CSL_CITATION {"citationItems":[{"id":"ITEM-1","itemData":{"DOI":"10.11606/S1518-8787.2018052000413","ISSN":"00348910","PMID":"30066811","abstract":"OBJECTIVE: To analyze if the burden of ischemic heart disease mortality trend attributed to physical inactivity in Brazil differs from the global estimates. METHODS: Databases from the Global Burden of Disease Study for Brazil, Brazilian states, and global information were used. We estimated the summary exposure value for physical inactivity, the total number of deaths, and the age-standardized death rates for ischemic heart disease attributed to physical inactivity in the years 1990 and 2015, and the population-attributable fraction. Data were presented according to sex. RESULTS: The Brazilian population was found to have a risk of exposure to physical inactivity varying between 70.4% for men and 75.7% for women in the year of 1990. This risk of exposure was similar in 2015. In men, the mortality rate from ischemic heart disease attributed to physical inactivity decreased in 2015 by approximately 24% around the world and 45% in Brazil. For women, this decrease was in 31% around the world and 45% in Brazil. The states of Southern and Southeastern Brazil presented lower mortality rates due to ischemic heart disease attributed to physical inactivity. If physical inactivity were eliminated in Brazil, mortality from ischemic heart disease would be reduced by 15.8% for men and 15.2% for women. CONCLUSIONS: Over 25 years, the risk of exposure to physical inactivity in Brazil did not change and was high compared to global estimates. The decrease in ischemic heart disease mortality results from the improvement of health services in Brazil and the control of other risk factors. Approximately 15% of deaths from ischemic heart disease in Brazil could be avoided if people met the recommendations for physical activity.","author":[{"dropping-particle":"","family":"Silva","given":"Diego Augusto Santos","non-dropping-particle":"","parse-names":false,"suffix":""},{"dropping-particle":"","family":"Malta","given":"Deborah Carvalho","non-dropping-particle":"","parse-names":false,"suffix":""},{"dropping-particle":"","family":"Souza","given":"Maria de Fatima Marinho","non-dropping-particle":"de","parse-names":false,"suffix":""},{"dropping-particle":"","family":"Naghavi","given":"Mohsen","non-dropping-particle":"","parse-names":false,"suffix":""}],"container-title":"Revista de Saude Publica","id":"ITEM-1","issued":{"date-parts":[["2018"]]},"page":"1-10","title":"Burden of ischemic heart disease mortality attributable to physical inactivity in Brazil","type":"article-journal","volume":"52"},"uris":["http://www.mendeley.com/documents/?uuid=a10881ee-e0a6-4337-8522-6c40e507d259"]},{"id":"ITEM-2","itemData":{"DOI":"10.1016/S0140-6736(12)60646-1","ISSN":"1474547X","PMID":"22818937","abstract":"To implement effective non-communicable disease prevention programmes, policy makers need data for physical activity levels and trends. In this report, we describe physical activity levels worldwide with data for adults (15 years or older) from 122 countries and for adolescents (13-15-years-old) from 105 countries. Worldwide, 31.1% (95% CI 30.9-31.2) of adults are physically inactive, with proportions ranging from 17.0% (16.8-17.2) in southeast Asia to about 43% in the Americas and the eastern Mediterranean. Inactivity rises with age, is higher in women than in men, and is increased in high-income countries. The proportion of 13-15-year-olds doing fewer than 60 min of physical activity of moderate to vigorous intensity per day is 80.3% (80.1-80.5); boys are more active than are girls. Continued improvement in monitoring of physical activity would help to guide development of policies and programmes to increase activity levels and to reduce the burden of non-communicable diseases.","author":[{"dropping-particle":"","family":"Hallal","given":"Pedro C.","non-dropping-particle":"","parse-names":false,"suffix":""},{"dropping-particle":"","family":"Andersen","given":"Lars Bo","non-dropping-particle":"","parse-names":false,"suffix":""},{"dropping-particle":"","family":"Bull","given":"Fiona C.","non-dropping-particle":"","parse-names":false,"suffix":""},{"dropping-particle":"","family":"Guthold","given":"Regina","non-dropping-particle":"","parse-names":false,"suffix":""},{"dropping-particle":"","family":"Haskell","given":"William","non-dropping-particle":"","parse-names":false,"suffix":""},{"dropping-particle":"","family":"Ekelund","given":"Ulf","non-dropping-particle":"","parse-names":false,"suffix":""},{"dropping-particle":"","family":"Alkandari","given":"Jasem R.","non-dropping-particle":"","parse-names":false,"suffix":""},{"dropping-particle":"","family":"Bauman","given":"Adrian E.","non-dropping-particle":"","parse-names":false,"suffix":""},{"dropping-particle":"","family":"Blair","given":"Steven N.","non-dropping-particle":"","parse-names":false,"suffix":""},{"dropping-particle":"","family":"Brownson","given":"Ross C.","non-dropping-particle":"","parse-names":false,"suffix":""},{"dropping-particle":"","family":"Craig","given":"Cora L.","non-dropping-particle":"","parse-names":false,"suffix":""},{"dropping-particle":"","family":"Goenka","given":"Shifalika","non-dropping-particle":"","parse-names":false,"suffix":""},{"dropping-particle":"","family":"Heath","given":"Gregory W.","non-dropping-particle":"","parse-names":false,"suffix":""},{"dropping-particle":"","family":"Inoue","given":"Shigeru","non-dropping-particle":"","parse-names":false,"suffix":""},{"dropping-particle":"","family":"Kahlmeier","given":"Sonja","non-dropping-particle":"","parse-names":false,"suffix":""},{"dropping-particle":"","family":"Katzmarzyk","given":"Peter T.","non-dropping-particle":"","parse-names":false,"suffix":""},{"dropping-particle":"","family":"Kohl","given":"Harold W.","non-dropping-particle":"","parse-names":false,"suffix":""},{"dropping-particle":"","family":"Lambert","given":"Estelle Victoria","non-dropping-particle":"","parse-names":false,"suffix":""},{"dropping-particle":"","family":"Lee","given":"I. Min","non-dropping-particle":"","parse-names":false,"suffix":""},{"dropping-particle":"","family":"Leetongin","given":"Grit","non-dropping-particle":"","parse-names":false,"suffix":""},{"dropping-particle":"","family":"Lobelo","given":"Felipe","non-dropping-particle":"","parse-names":false,"suffix":""},{"dropping-particle":"","family":"Loos","given":"Ruth J.F.","non-dropping-particle":"","parse-names":false,"suffix":""},{"dropping-particle":"","family":"Marcus","given":"Bess","non-dropping-particle":"","parse-names":false,"suffix":""},{"dropping-particle":"","family":"Martin","given":"Brian W.","non-dropping-particle":"","parse-names":false,"suffix":""},{"dropping-particle":"","family":"Owen","given":"Neville","non-dropping-particle":"","parse-names":false,"suffix":""},{"dropping-particle":"","family":"Parra","given":"Diana C.","non-dropping-particle":"","parse-names":false,"suffix":""},{"dropping-particle":"","family":"Pratt","given":"Michael","non-dropping-particle":"","parse-names":false,"suffix":""},{"dropping-particle":"","family":"Puska","given":"Pekka","non-dropping-particle":"","parse-names":false,"suffix":""},{"dropping-particle":"","family":"Ogilvie","given":"David","non-dropping-particle":"","parse-names":false,"suffix":""},{"dropping-particle":"","family":"Reis","given":"Rodrigo S.","non-dropping-particle":"","parse-names":false,"suffix":""},{"dropping-particle":"","family":"Sallis","given":"James F.","non-dropping-particle":"","parse-names":false,"suffix":""},{"dropping-particle":"","family":"Sarmiento","given":"Olga Lucia","non-dropping-particle":"","parse-names":false,"suffix":""},{"dropping-particle":"","family":"Wells","given":"Jonathan C.","non-dropping-particle":"","parse-names":false,"suffix":""}],"container-title":"The Lancet","id":"ITEM-2","issue":"9838","issued":{"date-parts":[["2012"]]},"page":"247-257","publisher":"Elsevier Ltd","title":"Global physical activity levels: Surveillance progress, pitfalls, and prospects","type":"article-journal","volume":"380"},"uris":["http://www.mendeley.com/documents/?uuid=66248ba1-e4f1-4b31-9293-0be3f151a0db"]}],"mendeley":{"formattedCitation":"[48,49]","plainTextFormattedCitation":"[48,49]","previouslyFormattedCitation":"[43,44]"},"properties":{"noteIndex":0},"schema":"https://github.com/citation-style-language/schema/raw/master/csl-citation.json"}</w:instrText>
      </w:r>
      <w:r w:rsidR="000C67AB" w:rsidRPr="008B63A3">
        <w:rPr>
          <w:sz w:val="24"/>
          <w:shd w:val="clear" w:color="auto" w:fill="FFFFFF"/>
        </w:rPr>
        <w:fldChar w:fldCharType="separate"/>
      </w:r>
      <w:r w:rsidR="008F460F" w:rsidRPr="008B63A3">
        <w:rPr>
          <w:noProof/>
          <w:sz w:val="24"/>
          <w:shd w:val="clear" w:color="auto" w:fill="FFFFFF"/>
          <w:lang w:val="en-US"/>
        </w:rPr>
        <w:t>[48,49]</w:t>
      </w:r>
      <w:r w:rsidR="000C67AB" w:rsidRPr="008B63A3">
        <w:rPr>
          <w:sz w:val="24"/>
          <w:shd w:val="clear" w:color="auto" w:fill="FFFFFF"/>
        </w:rPr>
        <w:fldChar w:fldCharType="end"/>
      </w:r>
      <w:r w:rsidR="000C67AB" w:rsidRPr="008B63A3">
        <w:rPr>
          <w:sz w:val="24"/>
          <w:shd w:val="clear" w:color="auto" w:fill="FFFFFF"/>
          <w:lang w:val="en-US"/>
        </w:rPr>
        <w:t>. For this, we suggest an analysis with accelerometer measurements in several states so that there is a reliable and robust comparison</w:t>
      </w:r>
      <w:r w:rsidR="000C67AB" w:rsidRPr="008B63A3">
        <w:rPr>
          <w:shd w:val="clear" w:color="auto" w:fill="FFFFFF"/>
          <w:lang w:val="en-US"/>
        </w:rPr>
        <w:t xml:space="preserve">. </w:t>
      </w:r>
      <w:r w:rsidR="006C4453" w:rsidRPr="008B63A3">
        <w:rPr>
          <w:sz w:val="24"/>
          <w:szCs w:val="24"/>
          <w:lang w:val="en-US"/>
        </w:rPr>
        <w:t xml:space="preserve">This research also has strengths. First, it was conducted with a representative sample of the </w:t>
      </w:r>
      <w:r w:rsidRPr="008B63A3">
        <w:rPr>
          <w:sz w:val="24"/>
          <w:szCs w:val="24"/>
          <w:lang w:val="en-US"/>
        </w:rPr>
        <w:t xml:space="preserve">older adult </w:t>
      </w:r>
      <w:r w:rsidR="006C4453" w:rsidRPr="008B63A3">
        <w:rPr>
          <w:sz w:val="24"/>
          <w:szCs w:val="24"/>
          <w:lang w:val="en-US"/>
        </w:rPr>
        <w:t xml:space="preserve">population of the city of </w:t>
      </w:r>
      <w:r w:rsidR="006C4453" w:rsidRPr="008B63A3">
        <w:rPr>
          <w:sz w:val="24"/>
          <w:szCs w:val="24"/>
          <w:lang w:val="en-US"/>
        </w:rPr>
        <w:lastRenderedPageBreak/>
        <w:t xml:space="preserve">São Paulo (representing 511,587 </w:t>
      </w:r>
      <w:proofErr w:type="gramStart"/>
      <w:r w:rsidR="006C4453" w:rsidRPr="008B63A3">
        <w:rPr>
          <w:sz w:val="24"/>
          <w:szCs w:val="24"/>
          <w:lang w:val="en-US"/>
        </w:rPr>
        <w:t>elderly</w:t>
      </w:r>
      <w:proofErr w:type="gramEnd"/>
      <w:r w:rsidR="006C4453" w:rsidRPr="008B63A3">
        <w:rPr>
          <w:sz w:val="24"/>
          <w:szCs w:val="24"/>
          <w:lang w:val="en-US"/>
        </w:rPr>
        <w:t xml:space="preserve"> with 65 years and more). Second, to date, this is one of the first population studies that analyze</w:t>
      </w:r>
      <w:r w:rsidRPr="008B63A3">
        <w:rPr>
          <w:sz w:val="24"/>
          <w:szCs w:val="24"/>
          <w:lang w:val="en-US"/>
        </w:rPr>
        <w:t>s</w:t>
      </w:r>
      <w:r w:rsidR="006C4453" w:rsidRPr="008B63A3">
        <w:rPr>
          <w:sz w:val="24"/>
          <w:szCs w:val="24"/>
          <w:lang w:val="en-US"/>
        </w:rPr>
        <w:t xml:space="preserve"> the prevalence of low level</w:t>
      </w:r>
      <w:r w:rsidRPr="008B63A3">
        <w:rPr>
          <w:sz w:val="24"/>
          <w:szCs w:val="24"/>
          <w:lang w:val="en-US"/>
        </w:rPr>
        <w:t>s</w:t>
      </w:r>
      <w:r w:rsidR="006C4453" w:rsidRPr="008B63A3">
        <w:rPr>
          <w:sz w:val="24"/>
          <w:szCs w:val="24"/>
          <w:lang w:val="en-US"/>
        </w:rPr>
        <w:t xml:space="preserve"> of </w:t>
      </w:r>
      <w:r w:rsidR="008F207B" w:rsidRPr="008B63A3">
        <w:rPr>
          <w:sz w:val="24"/>
          <w:szCs w:val="24"/>
          <w:lang w:val="en-US"/>
        </w:rPr>
        <w:t>PA</w:t>
      </w:r>
      <w:r w:rsidR="006C4453" w:rsidRPr="008B63A3">
        <w:rPr>
          <w:sz w:val="24"/>
          <w:szCs w:val="24"/>
          <w:lang w:val="en-US"/>
        </w:rPr>
        <w:t xml:space="preserve"> of </w:t>
      </w:r>
      <w:r w:rsidRPr="008B63A3">
        <w:rPr>
          <w:sz w:val="24"/>
          <w:szCs w:val="24"/>
          <w:lang w:val="en-US"/>
        </w:rPr>
        <w:t xml:space="preserve">older </w:t>
      </w:r>
      <w:r w:rsidR="006C4453" w:rsidRPr="008B63A3">
        <w:rPr>
          <w:sz w:val="24"/>
          <w:szCs w:val="24"/>
          <w:lang w:val="en-US"/>
        </w:rPr>
        <w:t>Brazilian</w:t>
      </w:r>
      <w:r w:rsidRPr="008B63A3">
        <w:rPr>
          <w:sz w:val="24"/>
          <w:szCs w:val="24"/>
          <w:lang w:val="en-US"/>
        </w:rPr>
        <w:t xml:space="preserve"> adults</w:t>
      </w:r>
      <w:r w:rsidR="006C4453" w:rsidRPr="008B63A3">
        <w:rPr>
          <w:sz w:val="24"/>
          <w:szCs w:val="24"/>
          <w:lang w:val="en-US"/>
        </w:rPr>
        <w:t xml:space="preserve"> </w:t>
      </w:r>
      <w:r w:rsidR="008F207B" w:rsidRPr="008B63A3">
        <w:rPr>
          <w:sz w:val="24"/>
          <w:szCs w:val="24"/>
          <w:lang w:val="en-US"/>
        </w:rPr>
        <w:t xml:space="preserve">using </w:t>
      </w:r>
      <w:r w:rsidR="006C4453" w:rsidRPr="008B63A3">
        <w:rPr>
          <w:sz w:val="24"/>
          <w:szCs w:val="24"/>
          <w:lang w:val="en-US"/>
        </w:rPr>
        <w:t xml:space="preserve">objective </w:t>
      </w:r>
      <w:r w:rsidR="008F207B" w:rsidRPr="008B63A3">
        <w:rPr>
          <w:sz w:val="24"/>
          <w:szCs w:val="24"/>
          <w:lang w:val="en-US"/>
        </w:rPr>
        <w:t>measurement</w:t>
      </w:r>
      <w:r w:rsidR="006C4453" w:rsidRPr="008B63A3">
        <w:rPr>
          <w:sz w:val="24"/>
          <w:szCs w:val="24"/>
          <w:lang w:val="en-US"/>
        </w:rPr>
        <w:t>. There is a high correlation (r=0.83)</w:t>
      </w:r>
      <w:r w:rsidR="008F207B" w:rsidRPr="008B63A3">
        <w:rPr>
          <w:sz w:val="24"/>
          <w:szCs w:val="24"/>
          <w:lang w:val="en-US"/>
        </w:rPr>
        <w:t xml:space="preserve"> </w:t>
      </w:r>
      <w:r w:rsidR="006C4453" w:rsidRPr="008B63A3">
        <w:rPr>
          <w:sz w:val="24"/>
          <w:szCs w:val="24"/>
          <w:lang w:val="en-US"/>
        </w:rPr>
        <w:t xml:space="preserve">between this type of method </w:t>
      </w:r>
      <w:r w:rsidR="008F207B" w:rsidRPr="008B63A3">
        <w:rPr>
          <w:sz w:val="24"/>
          <w:szCs w:val="24"/>
          <w:lang w:val="en-US"/>
        </w:rPr>
        <w:t xml:space="preserve">and </w:t>
      </w:r>
      <w:r w:rsidR="006C4453" w:rsidRPr="008B63A3">
        <w:rPr>
          <w:sz w:val="24"/>
          <w:szCs w:val="24"/>
          <w:lang w:val="en-US"/>
        </w:rPr>
        <w:t xml:space="preserve">those considered </w:t>
      </w:r>
      <w:r w:rsidR="008F207B" w:rsidRPr="008B63A3">
        <w:rPr>
          <w:sz w:val="24"/>
          <w:szCs w:val="24"/>
          <w:lang w:val="en-US"/>
        </w:rPr>
        <w:t xml:space="preserve">the </w:t>
      </w:r>
      <w:r w:rsidR="006C4453" w:rsidRPr="008B63A3">
        <w:rPr>
          <w:sz w:val="24"/>
          <w:szCs w:val="24"/>
          <w:lang w:val="en-US"/>
        </w:rPr>
        <w:t xml:space="preserve">gold standard </w:t>
      </w:r>
      <w:r w:rsidR="008F207B" w:rsidRPr="008B63A3">
        <w:rPr>
          <w:sz w:val="24"/>
          <w:szCs w:val="24"/>
          <w:lang w:val="en-US"/>
        </w:rPr>
        <w:t xml:space="preserve">of </w:t>
      </w:r>
      <w:r w:rsidR="006C4453" w:rsidRPr="008B63A3">
        <w:rPr>
          <w:sz w:val="24"/>
          <w:szCs w:val="24"/>
          <w:lang w:val="en-US"/>
        </w:rPr>
        <w:t xml:space="preserve">energy expenditure analysis </w:t>
      </w:r>
      <w:r w:rsidR="004A0BED" w:rsidRPr="008B63A3">
        <w:rPr>
          <w:sz w:val="24"/>
          <w:szCs w:val="24"/>
        </w:rPr>
        <w:fldChar w:fldCharType="begin" w:fldLock="1"/>
      </w:r>
      <w:r w:rsidR="008F460F" w:rsidRPr="008B63A3">
        <w:rPr>
          <w:sz w:val="24"/>
          <w:szCs w:val="24"/>
          <w:lang w:val="en-US"/>
        </w:rPr>
        <w:instrText>ADDIN CSL_CITATION {"citationItems":[{"id":"ITEM-1","itemData":{"DOI":"10.1093/gerona/53A.4.M275","ISSN":"10795006","abstract":"Background. The purpose of this study was to compare physical activity assessed by monitoring devices and questionnaires with the criterion method of physical activity using doubly labeled water (DLW) in free-living peripheral arterial occlusive disease (PAOD) patients. Methods. Twenty-two older nonsmoking PAOD patients with intermittent claudication (age = 68.7 ± 7.3 years, ankle/brachial index = 0.67 ± 0.21) were recruited from the Vascular Clinic at the Baltimore Veterans Affairs Medical Center. The energy expenditure of physical activity (EEPA) was calculated using DLW. Physical activity values were also obtained by activity monitors (an accelerometer and a pedometer worn on each hip over a 48-h period) and by three activity questionnaires (the Minnesota Leisure-Time Physical Activity, the Peripheral Arterial Disease Physical Activity Recall, and the NASA Johnson Space Center questionnaire). Results. As expected, the claudicants were sedentary, as EEPA was 378 ± 190 kcal/day. The activity value from the accelerometer was highly correlated with EEPA, yielding a regression equation of EEPA (kcal/day) = 81.6 + (0.599 X accelerometer kcal/day); R = .834, R2 = .696, standard error of estimate = 77 kcal/day, p = .001. The activity value from the pedometer was also correlated with EEPA, yielding a regression equation of EEPA (kcat/day) = 76.6 + (0.048 X pedometer steps/day); R = .614, R2 = .377, standard error of estimate = 124 kcal/day, p = .002. None of the physical activity questionnaires was significantly correlated with EEPA, as the correlation coefficients ranged between .037 and .326. Conclusion. Free- living daily physical activity of older PAOD patients with intermittent claudication can be accurately predicted with an accelerometer, and to a lesser extent with a pedometer, worn over a 48-h period.","author":[{"dropping-particle":"","family":"Gardner","given":"A. W.","non-dropping-particle":"","parse-names":false,"suffix":""},{"dropping-particle":"","family":"Poehlman","given":"E. T.","non-dropping-particle":"","parse-names":false,"suffix":""}],"container-title":"Journals of Gerontology - Series A Biological Sciences and Medical Sciences","id":"ITEM-1","issue":"4","issued":{"date-parts":[["1998"]]},"page":"275-280","title":"Assessment of free-living daily physical activity in older claudicants: Validation against the doubly labeled water technique","type":"article-journal","volume":"53"},"uris":["http://www.mendeley.com/documents/?uuid=c0a7e60e-58e0-4708-b495-3b4e356fcb09"]}],"mendeley":{"formattedCitation":"[50]","plainTextFormattedCitation":"[50]","previouslyFormattedCitation":"[49]"},"properties":{"noteIndex":0},"schema":"https://github.com/citation-style-language/schema/raw/master/csl-citation.json"}</w:instrText>
      </w:r>
      <w:r w:rsidR="004A0BED" w:rsidRPr="008B63A3">
        <w:rPr>
          <w:sz w:val="24"/>
          <w:szCs w:val="24"/>
        </w:rPr>
        <w:fldChar w:fldCharType="separate"/>
      </w:r>
      <w:r w:rsidR="008F460F" w:rsidRPr="008B63A3">
        <w:rPr>
          <w:noProof/>
          <w:sz w:val="24"/>
          <w:szCs w:val="24"/>
          <w:lang w:val="en-US"/>
        </w:rPr>
        <w:t>[50]</w:t>
      </w:r>
      <w:r w:rsidR="004A0BED" w:rsidRPr="008B63A3">
        <w:rPr>
          <w:sz w:val="24"/>
          <w:szCs w:val="24"/>
        </w:rPr>
        <w:fldChar w:fldCharType="end"/>
      </w:r>
      <w:r w:rsidR="004A0BED" w:rsidRPr="008B63A3">
        <w:rPr>
          <w:sz w:val="24"/>
          <w:szCs w:val="24"/>
          <w:lang w:val="en-US"/>
        </w:rPr>
        <w:t xml:space="preserve">, </w:t>
      </w:r>
      <w:r w:rsidR="006C4453" w:rsidRPr="008B63A3">
        <w:rPr>
          <w:sz w:val="24"/>
          <w:szCs w:val="24"/>
          <w:lang w:val="en-US"/>
        </w:rPr>
        <w:t xml:space="preserve">which considerably increases the reliability of the results found. Third, we analyzed not only the </w:t>
      </w:r>
      <w:r w:rsidRPr="008B63A3">
        <w:rPr>
          <w:sz w:val="24"/>
          <w:szCs w:val="24"/>
          <w:lang w:val="en-US"/>
        </w:rPr>
        <w:t>unadjusted</w:t>
      </w:r>
      <w:r w:rsidR="008F207B" w:rsidRPr="008B63A3">
        <w:rPr>
          <w:sz w:val="24"/>
          <w:szCs w:val="24"/>
          <w:lang w:val="en-US"/>
        </w:rPr>
        <w:t xml:space="preserve"> </w:t>
      </w:r>
      <w:r w:rsidR="006C4453" w:rsidRPr="008B63A3">
        <w:rPr>
          <w:sz w:val="24"/>
          <w:szCs w:val="24"/>
          <w:lang w:val="en-US"/>
        </w:rPr>
        <w:t>association</w:t>
      </w:r>
      <w:r w:rsidR="008F207B" w:rsidRPr="008B63A3">
        <w:rPr>
          <w:sz w:val="24"/>
          <w:szCs w:val="24"/>
          <w:lang w:val="en-US"/>
        </w:rPr>
        <w:t xml:space="preserve"> between</w:t>
      </w:r>
      <w:r w:rsidR="006C4453" w:rsidRPr="008B63A3">
        <w:rPr>
          <w:sz w:val="24"/>
          <w:szCs w:val="24"/>
          <w:lang w:val="en-US"/>
        </w:rPr>
        <w:t xml:space="preserve"> low level</w:t>
      </w:r>
      <w:r w:rsidR="008F207B" w:rsidRPr="008B63A3">
        <w:rPr>
          <w:sz w:val="24"/>
          <w:szCs w:val="24"/>
          <w:lang w:val="en-US"/>
        </w:rPr>
        <w:t>s</w:t>
      </w:r>
      <w:r w:rsidR="006C4453" w:rsidRPr="008B63A3">
        <w:rPr>
          <w:sz w:val="24"/>
          <w:szCs w:val="24"/>
          <w:lang w:val="en-US"/>
        </w:rPr>
        <w:t xml:space="preserve"> of </w:t>
      </w:r>
      <w:r w:rsidR="008F207B" w:rsidRPr="008B63A3">
        <w:rPr>
          <w:sz w:val="24"/>
          <w:szCs w:val="24"/>
          <w:lang w:val="en-US"/>
        </w:rPr>
        <w:t xml:space="preserve">PA and mortality in the </w:t>
      </w:r>
      <w:r w:rsidR="00927E0E" w:rsidRPr="008B63A3">
        <w:rPr>
          <w:sz w:val="24"/>
          <w:szCs w:val="24"/>
          <w:lang w:val="en-US"/>
        </w:rPr>
        <w:t>older people</w:t>
      </w:r>
      <w:r w:rsidR="008F207B" w:rsidRPr="008B63A3">
        <w:rPr>
          <w:sz w:val="24"/>
          <w:szCs w:val="24"/>
          <w:lang w:val="en-US"/>
        </w:rPr>
        <w:t xml:space="preserve"> over a four-year period, but also considered</w:t>
      </w:r>
      <w:r w:rsidR="006C4453" w:rsidRPr="008B63A3">
        <w:rPr>
          <w:sz w:val="24"/>
          <w:szCs w:val="24"/>
          <w:lang w:val="en-US"/>
        </w:rPr>
        <w:t xml:space="preserve"> socio-demographic and clinical variables</w:t>
      </w:r>
      <w:r w:rsidR="008F207B" w:rsidRPr="008B63A3">
        <w:rPr>
          <w:sz w:val="24"/>
          <w:szCs w:val="24"/>
          <w:lang w:val="en-US"/>
        </w:rPr>
        <w:t xml:space="preserve"> which may have influenced this relationship.</w:t>
      </w:r>
    </w:p>
    <w:p w14:paraId="07CD16AB" w14:textId="77777777" w:rsidR="008F207B" w:rsidRPr="008B63A3" w:rsidRDefault="008F207B" w:rsidP="001544AC">
      <w:pPr>
        <w:autoSpaceDE w:val="0"/>
        <w:autoSpaceDN w:val="0"/>
        <w:adjustRightInd w:val="0"/>
        <w:spacing w:line="360" w:lineRule="auto"/>
        <w:ind w:firstLine="708"/>
        <w:jc w:val="both"/>
        <w:rPr>
          <w:sz w:val="24"/>
          <w:szCs w:val="24"/>
          <w:lang w:val="en-US"/>
        </w:rPr>
      </w:pPr>
    </w:p>
    <w:p w14:paraId="61EB5CFC" w14:textId="77777777" w:rsidR="00BA1BF9" w:rsidRPr="008B63A3" w:rsidRDefault="0029673C" w:rsidP="00166793">
      <w:pPr>
        <w:pStyle w:val="Heading1"/>
        <w:numPr>
          <w:ilvl w:val="0"/>
          <w:numId w:val="29"/>
        </w:numPr>
      </w:pPr>
      <w:r w:rsidRPr="008B63A3">
        <w:t>Conclusion</w:t>
      </w:r>
    </w:p>
    <w:p w14:paraId="1D5B1899" w14:textId="77777777" w:rsidR="00BA1BF9" w:rsidRPr="008B63A3" w:rsidRDefault="00BA1BF9" w:rsidP="001544AC">
      <w:pPr>
        <w:autoSpaceDE w:val="0"/>
        <w:autoSpaceDN w:val="0"/>
        <w:adjustRightInd w:val="0"/>
        <w:spacing w:line="360" w:lineRule="auto"/>
        <w:ind w:firstLine="709"/>
        <w:jc w:val="both"/>
        <w:rPr>
          <w:sz w:val="24"/>
          <w:szCs w:val="24"/>
          <w:lang w:val="en-US"/>
        </w:rPr>
      </w:pPr>
    </w:p>
    <w:p w14:paraId="4ACB7262" w14:textId="77777777" w:rsidR="006C4453" w:rsidRPr="008B63A3" w:rsidRDefault="0091725A" w:rsidP="001544AC">
      <w:pPr>
        <w:spacing w:line="360" w:lineRule="auto"/>
        <w:jc w:val="both"/>
        <w:rPr>
          <w:sz w:val="24"/>
          <w:szCs w:val="24"/>
          <w:lang w:val="en-US"/>
        </w:rPr>
      </w:pPr>
      <w:r w:rsidRPr="008B63A3">
        <w:rPr>
          <w:b/>
          <w:sz w:val="24"/>
          <w:szCs w:val="24"/>
          <w:lang w:val="en-US"/>
        </w:rPr>
        <w:tab/>
      </w:r>
      <w:r w:rsidR="008F207B" w:rsidRPr="008B63A3">
        <w:rPr>
          <w:sz w:val="24"/>
          <w:szCs w:val="24"/>
          <w:lang w:val="en-US"/>
        </w:rPr>
        <w:t xml:space="preserve">Older </w:t>
      </w:r>
      <w:r w:rsidR="0033563B" w:rsidRPr="008B63A3">
        <w:rPr>
          <w:sz w:val="24"/>
          <w:szCs w:val="24"/>
          <w:lang w:val="en-US"/>
        </w:rPr>
        <w:t>adults</w:t>
      </w:r>
      <w:r w:rsidR="008F207B" w:rsidRPr="008B63A3">
        <w:rPr>
          <w:sz w:val="24"/>
          <w:szCs w:val="24"/>
          <w:lang w:val="en-US"/>
        </w:rPr>
        <w:t xml:space="preserve"> </w:t>
      </w:r>
      <w:r w:rsidR="006C4453" w:rsidRPr="008B63A3">
        <w:rPr>
          <w:sz w:val="24"/>
          <w:szCs w:val="24"/>
          <w:lang w:val="en-US"/>
        </w:rPr>
        <w:t>with low level</w:t>
      </w:r>
      <w:r w:rsidR="008F207B" w:rsidRPr="008B63A3">
        <w:rPr>
          <w:sz w:val="24"/>
          <w:szCs w:val="24"/>
          <w:lang w:val="en-US"/>
        </w:rPr>
        <w:t>s</w:t>
      </w:r>
      <w:r w:rsidR="006C4453" w:rsidRPr="008B63A3">
        <w:rPr>
          <w:sz w:val="24"/>
          <w:szCs w:val="24"/>
          <w:lang w:val="en-US"/>
        </w:rPr>
        <w:t xml:space="preserve"> of </w:t>
      </w:r>
      <w:r w:rsidR="008F207B" w:rsidRPr="008B63A3">
        <w:rPr>
          <w:sz w:val="24"/>
          <w:szCs w:val="24"/>
          <w:lang w:val="en-US"/>
        </w:rPr>
        <w:t>PA</w:t>
      </w:r>
      <w:r w:rsidR="006C4453" w:rsidRPr="008B63A3">
        <w:rPr>
          <w:sz w:val="24"/>
          <w:szCs w:val="24"/>
          <w:lang w:val="en-US"/>
        </w:rPr>
        <w:t xml:space="preserve"> have </w:t>
      </w:r>
      <w:r w:rsidR="0033563B" w:rsidRPr="008B63A3">
        <w:rPr>
          <w:sz w:val="24"/>
          <w:szCs w:val="24"/>
          <w:lang w:val="en-US"/>
        </w:rPr>
        <w:t xml:space="preserve">a </w:t>
      </w:r>
      <w:r w:rsidR="006C4453" w:rsidRPr="008B63A3">
        <w:rPr>
          <w:sz w:val="24"/>
          <w:szCs w:val="24"/>
          <w:lang w:val="en-US"/>
        </w:rPr>
        <w:t>higher</w:t>
      </w:r>
      <w:r w:rsidR="0033563B" w:rsidRPr="008B63A3">
        <w:rPr>
          <w:sz w:val="24"/>
          <w:szCs w:val="24"/>
          <w:lang w:val="en-US"/>
        </w:rPr>
        <w:t xml:space="preserve"> risk of</w:t>
      </w:r>
      <w:r w:rsidR="006C4453" w:rsidRPr="008B63A3">
        <w:rPr>
          <w:sz w:val="24"/>
          <w:szCs w:val="24"/>
          <w:lang w:val="en-US"/>
        </w:rPr>
        <w:t xml:space="preserve"> mortality, regardless of sociodemographic and clinical variables. Survival analysis showed that after four years of follow-up, mortality </w:t>
      </w:r>
      <w:r w:rsidR="0033563B" w:rsidRPr="008B63A3">
        <w:rPr>
          <w:sz w:val="24"/>
          <w:szCs w:val="24"/>
          <w:lang w:val="en-US"/>
        </w:rPr>
        <w:t xml:space="preserve">among older Brazilian adults </w:t>
      </w:r>
      <w:r w:rsidR="006C4453" w:rsidRPr="008B63A3">
        <w:rPr>
          <w:sz w:val="24"/>
          <w:szCs w:val="24"/>
          <w:lang w:val="en-US"/>
        </w:rPr>
        <w:t>with low level</w:t>
      </w:r>
      <w:r w:rsidR="0033563B" w:rsidRPr="008B63A3">
        <w:rPr>
          <w:sz w:val="24"/>
          <w:szCs w:val="24"/>
          <w:lang w:val="en-US"/>
        </w:rPr>
        <w:t>s</w:t>
      </w:r>
      <w:r w:rsidR="006C4453" w:rsidRPr="008B63A3">
        <w:rPr>
          <w:sz w:val="24"/>
          <w:szCs w:val="24"/>
          <w:lang w:val="en-US"/>
        </w:rPr>
        <w:t xml:space="preserve"> of </w:t>
      </w:r>
      <w:r w:rsidR="008F207B" w:rsidRPr="008B63A3">
        <w:rPr>
          <w:sz w:val="24"/>
          <w:szCs w:val="24"/>
          <w:lang w:val="en-US"/>
        </w:rPr>
        <w:t>PA</w:t>
      </w:r>
      <w:r w:rsidR="006C4453" w:rsidRPr="008B63A3">
        <w:rPr>
          <w:sz w:val="24"/>
          <w:szCs w:val="24"/>
          <w:lang w:val="en-US"/>
        </w:rPr>
        <w:t xml:space="preserve"> was approximately 30%</w:t>
      </w:r>
      <w:r w:rsidR="0033563B" w:rsidRPr="008B63A3">
        <w:rPr>
          <w:sz w:val="24"/>
          <w:szCs w:val="24"/>
          <w:lang w:val="en-US"/>
        </w:rPr>
        <w:t xml:space="preserve"> compared to </w:t>
      </w:r>
      <w:r w:rsidR="006C4453" w:rsidRPr="008B63A3">
        <w:rPr>
          <w:sz w:val="24"/>
          <w:szCs w:val="24"/>
          <w:lang w:val="en-US"/>
        </w:rPr>
        <w:t xml:space="preserve">10% </w:t>
      </w:r>
      <w:r w:rsidR="0033563B" w:rsidRPr="008B63A3">
        <w:rPr>
          <w:sz w:val="24"/>
          <w:szCs w:val="24"/>
          <w:lang w:val="en-US"/>
        </w:rPr>
        <w:t xml:space="preserve">among those </w:t>
      </w:r>
      <w:r w:rsidR="006C4453" w:rsidRPr="008B63A3">
        <w:rPr>
          <w:sz w:val="24"/>
          <w:szCs w:val="24"/>
          <w:lang w:val="en-US"/>
        </w:rPr>
        <w:t>with intermediate/high level</w:t>
      </w:r>
      <w:r w:rsidR="0033563B" w:rsidRPr="008B63A3">
        <w:rPr>
          <w:sz w:val="24"/>
          <w:szCs w:val="24"/>
          <w:lang w:val="en-US"/>
        </w:rPr>
        <w:t>s</w:t>
      </w:r>
      <w:r w:rsidR="006C4453" w:rsidRPr="008B63A3">
        <w:rPr>
          <w:sz w:val="24"/>
          <w:szCs w:val="24"/>
          <w:lang w:val="en-US"/>
        </w:rPr>
        <w:t xml:space="preserve"> of </w:t>
      </w:r>
      <w:r w:rsidR="008F207B" w:rsidRPr="008B63A3">
        <w:rPr>
          <w:sz w:val="24"/>
          <w:szCs w:val="24"/>
          <w:lang w:val="en-US"/>
        </w:rPr>
        <w:t>PA</w:t>
      </w:r>
      <w:r w:rsidR="006C4453" w:rsidRPr="008B63A3">
        <w:rPr>
          <w:sz w:val="24"/>
          <w:szCs w:val="24"/>
          <w:lang w:val="en-US"/>
        </w:rPr>
        <w:t>.</w:t>
      </w:r>
    </w:p>
    <w:p w14:paraId="79EFFA68" w14:textId="77777777" w:rsidR="0029673C" w:rsidRPr="008B63A3" w:rsidRDefault="006C4453" w:rsidP="001A57B6">
      <w:pPr>
        <w:spacing w:line="360" w:lineRule="auto"/>
        <w:ind w:firstLine="709"/>
        <w:jc w:val="both"/>
        <w:rPr>
          <w:sz w:val="24"/>
          <w:szCs w:val="24"/>
          <w:lang w:val="en-US"/>
        </w:rPr>
      </w:pPr>
      <w:r w:rsidRPr="008B63A3">
        <w:rPr>
          <w:sz w:val="24"/>
          <w:szCs w:val="24"/>
          <w:lang w:val="en-US"/>
        </w:rPr>
        <w:t>Thus, not necessarily only sedentary behavior, but also low level</w:t>
      </w:r>
      <w:r w:rsidR="0033563B" w:rsidRPr="008B63A3">
        <w:rPr>
          <w:sz w:val="24"/>
          <w:szCs w:val="24"/>
          <w:lang w:val="en-US"/>
        </w:rPr>
        <w:t>s</w:t>
      </w:r>
      <w:r w:rsidRPr="008B63A3">
        <w:rPr>
          <w:sz w:val="24"/>
          <w:szCs w:val="24"/>
          <w:lang w:val="en-US"/>
        </w:rPr>
        <w:t xml:space="preserve"> of </w:t>
      </w:r>
      <w:r w:rsidR="008F207B" w:rsidRPr="008B63A3">
        <w:rPr>
          <w:sz w:val="24"/>
          <w:szCs w:val="24"/>
          <w:lang w:val="en-US"/>
        </w:rPr>
        <w:t>PA</w:t>
      </w:r>
      <w:r w:rsidRPr="008B63A3">
        <w:rPr>
          <w:sz w:val="24"/>
          <w:szCs w:val="24"/>
          <w:lang w:val="en-US"/>
        </w:rPr>
        <w:t xml:space="preserve"> can be used as a method to identify </w:t>
      </w:r>
      <w:r w:rsidR="0033563B" w:rsidRPr="008B63A3">
        <w:rPr>
          <w:sz w:val="24"/>
          <w:szCs w:val="24"/>
          <w:lang w:val="en-US"/>
        </w:rPr>
        <w:t>older adults</w:t>
      </w:r>
      <w:r w:rsidR="00954898" w:rsidRPr="008B63A3">
        <w:rPr>
          <w:sz w:val="24"/>
          <w:szCs w:val="24"/>
          <w:lang w:val="en-US"/>
        </w:rPr>
        <w:t xml:space="preserve"> </w:t>
      </w:r>
      <w:r w:rsidRPr="008B63A3">
        <w:rPr>
          <w:sz w:val="24"/>
          <w:szCs w:val="24"/>
          <w:lang w:val="en-US"/>
        </w:rPr>
        <w:t>with</w:t>
      </w:r>
      <w:r w:rsidR="00BF1B3F" w:rsidRPr="008B63A3">
        <w:rPr>
          <w:sz w:val="24"/>
          <w:szCs w:val="24"/>
          <w:lang w:val="en-US"/>
        </w:rPr>
        <w:t xml:space="preserve"> a</w:t>
      </w:r>
      <w:r w:rsidRPr="008B63A3">
        <w:rPr>
          <w:sz w:val="24"/>
          <w:szCs w:val="24"/>
          <w:lang w:val="en-US"/>
        </w:rPr>
        <w:t xml:space="preserve"> higher </w:t>
      </w:r>
      <w:r w:rsidR="00BF1B3F" w:rsidRPr="008B63A3">
        <w:rPr>
          <w:sz w:val="24"/>
          <w:szCs w:val="24"/>
          <w:lang w:val="en-US"/>
        </w:rPr>
        <w:t xml:space="preserve">risk </w:t>
      </w:r>
      <w:r w:rsidRPr="008B63A3">
        <w:rPr>
          <w:sz w:val="24"/>
          <w:szCs w:val="24"/>
          <w:lang w:val="en-US"/>
        </w:rPr>
        <w:t>of impaired mobility and</w:t>
      </w:r>
      <w:r w:rsidR="00BF1B3F" w:rsidRPr="008B63A3">
        <w:rPr>
          <w:sz w:val="24"/>
          <w:szCs w:val="24"/>
          <w:lang w:val="en-US"/>
        </w:rPr>
        <w:t xml:space="preserve"> mortality</w:t>
      </w:r>
      <w:r w:rsidRPr="008B63A3">
        <w:rPr>
          <w:sz w:val="24"/>
          <w:szCs w:val="24"/>
          <w:lang w:val="en-US"/>
        </w:rPr>
        <w:t>.</w:t>
      </w:r>
    </w:p>
    <w:p w14:paraId="06665BB3" w14:textId="77777777" w:rsidR="009E5C74" w:rsidRPr="008B63A3" w:rsidRDefault="009E5C74" w:rsidP="009E5C74">
      <w:pPr>
        <w:spacing w:line="360" w:lineRule="auto"/>
        <w:ind w:firstLine="708"/>
        <w:jc w:val="both"/>
        <w:rPr>
          <w:b/>
          <w:sz w:val="24"/>
          <w:szCs w:val="24"/>
          <w:lang w:val="en-US"/>
        </w:rPr>
      </w:pPr>
      <w:r w:rsidRPr="008B63A3">
        <w:rPr>
          <w:b/>
          <w:sz w:val="24"/>
          <w:szCs w:val="24"/>
          <w:lang w:val="en-US"/>
        </w:rPr>
        <w:t>Declarations</w:t>
      </w:r>
    </w:p>
    <w:p w14:paraId="1FD89581" w14:textId="77777777" w:rsidR="009E5C74" w:rsidRPr="008B63A3" w:rsidRDefault="009E5C74" w:rsidP="009E5C74">
      <w:pPr>
        <w:pStyle w:val="ListParagraph"/>
        <w:numPr>
          <w:ilvl w:val="0"/>
          <w:numId w:val="28"/>
        </w:numPr>
        <w:spacing w:after="160" w:line="360" w:lineRule="auto"/>
        <w:jc w:val="both"/>
        <w:rPr>
          <w:rFonts w:ascii="Times New Roman" w:eastAsia="Times New Roman" w:hAnsi="Times New Roman"/>
          <w:sz w:val="24"/>
          <w:szCs w:val="24"/>
          <w:lang w:val="en-US" w:eastAsia="pt-BR"/>
        </w:rPr>
      </w:pPr>
      <w:r w:rsidRPr="008B63A3">
        <w:rPr>
          <w:rFonts w:ascii="Times New Roman" w:eastAsia="Times New Roman" w:hAnsi="Times New Roman"/>
          <w:b/>
          <w:sz w:val="24"/>
          <w:szCs w:val="24"/>
          <w:lang w:val="en-US" w:eastAsia="pt-BR"/>
        </w:rPr>
        <w:t>Competing interests:</w:t>
      </w:r>
      <w:r w:rsidRPr="008B63A3">
        <w:rPr>
          <w:rFonts w:ascii="Times New Roman" w:eastAsia="Times New Roman" w:hAnsi="Times New Roman"/>
          <w:sz w:val="24"/>
          <w:szCs w:val="24"/>
          <w:lang w:val="en-US" w:eastAsia="pt-BR"/>
        </w:rPr>
        <w:t xml:space="preserve"> The authors declare that they have no competing interests</w:t>
      </w:r>
    </w:p>
    <w:p w14:paraId="52EC4789" w14:textId="77777777" w:rsidR="009E5C74" w:rsidRPr="008B63A3" w:rsidRDefault="009E5C74" w:rsidP="009E5C74">
      <w:pPr>
        <w:pStyle w:val="ListParagraph"/>
        <w:numPr>
          <w:ilvl w:val="0"/>
          <w:numId w:val="28"/>
        </w:numPr>
        <w:spacing w:after="160" w:line="360" w:lineRule="auto"/>
        <w:jc w:val="both"/>
        <w:rPr>
          <w:rFonts w:ascii="Times New Roman" w:eastAsia="Times New Roman" w:hAnsi="Times New Roman"/>
          <w:sz w:val="24"/>
          <w:szCs w:val="24"/>
          <w:lang w:val="en-US" w:eastAsia="pt-BR"/>
        </w:rPr>
      </w:pPr>
      <w:r w:rsidRPr="008B63A3">
        <w:rPr>
          <w:rFonts w:ascii="Times New Roman" w:eastAsia="Times New Roman" w:hAnsi="Times New Roman"/>
          <w:b/>
          <w:sz w:val="24"/>
          <w:szCs w:val="24"/>
          <w:lang w:val="en-US" w:eastAsia="pt-BR"/>
        </w:rPr>
        <w:t>Funding:</w:t>
      </w:r>
      <w:r w:rsidRPr="008B63A3">
        <w:rPr>
          <w:rFonts w:ascii="Times New Roman" w:eastAsia="Times New Roman" w:hAnsi="Times New Roman"/>
          <w:sz w:val="24"/>
          <w:szCs w:val="24"/>
          <w:lang w:val="en-US" w:eastAsia="pt-BR"/>
        </w:rPr>
        <w:t xml:space="preserve"> None declared.</w:t>
      </w:r>
    </w:p>
    <w:p w14:paraId="4D812C29" w14:textId="77777777" w:rsidR="009E5C74" w:rsidRPr="008B63A3" w:rsidRDefault="009E5C74" w:rsidP="009E5C74">
      <w:pPr>
        <w:pStyle w:val="ListParagraph"/>
        <w:numPr>
          <w:ilvl w:val="0"/>
          <w:numId w:val="28"/>
        </w:numPr>
        <w:spacing w:after="160" w:line="360" w:lineRule="auto"/>
        <w:jc w:val="both"/>
        <w:rPr>
          <w:rFonts w:ascii="Times New Roman" w:eastAsia="Times New Roman" w:hAnsi="Times New Roman"/>
          <w:sz w:val="24"/>
          <w:szCs w:val="24"/>
          <w:lang w:val="en-US" w:eastAsia="pt-BR"/>
        </w:rPr>
      </w:pPr>
      <w:r w:rsidRPr="008B63A3">
        <w:rPr>
          <w:rFonts w:ascii="Times New Roman" w:eastAsia="Times New Roman" w:hAnsi="Times New Roman"/>
          <w:b/>
          <w:sz w:val="24"/>
          <w:szCs w:val="24"/>
          <w:lang w:val="en-US" w:eastAsia="pt-BR"/>
        </w:rPr>
        <w:t>Acknowledgements:</w:t>
      </w:r>
      <w:r w:rsidRPr="008B63A3">
        <w:rPr>
          <w:rFonts w:ascii="Times New Roman" w:eastAsia="Times New Roman" w:hAnsi="Times New Roman"/>
          <w:sz w:val="24"/>
          <w:szCs w:val="24"/>
          <w:lang w:val="en-US" w:eastAsia="pt-BR"/>
        </w:rPr>
        <w:t xml:space="preserve"> None declared.</w:t>
      </w:r>
    </w:p>
    <w:p w14:paraId="19D3CF0D" w14:textId="77777777" w:rsidR="00166793" w:rsidRPr="008B63A3" w:rsidRDefault="00166793">
      <w:pPr>
        <w:rPr>
          <w:b/>
          <w:sz w:val="24"/>
          <w:szCs w:val="24"/>
          <w:lang w:val="en-US"/>
        </w:rPr>
      </w:pPr>
      <w:r w:rsidRPr="008B63A3">
        <w:rPr>
          <w:b/>
          <w:sz w:val="24"/>
          <w:szCs w:val="24"/>
          <w:lang w:val="en-US"/>
        </w:rPr>
        <w:br w:type="page"/>
      </w:r>
    </w:p>
    <w:p w14:paraId="6F87EF1E" w14:textId="34C8E3B1" w:rsidR="00E10CAC" w:rsidRPr="008B63A3" w:rsidRDefault="00F35C57" w:rsidP="00166793">
      <w:pPr>
        <w:pStyle w:val="Heading1"/>
      </w:pPr>
      <w:r w:rsidRPr="008B63A3">
        <w:lastRenderedPageBreak/>
        <w:t xml:space="preserve">References </w:t>
      </w:r>
    </w:p>
    <w:p w14:paraId="4CED4404" w14:textId="77777777" w:rsidR="008F460F" w:rsidRPr="008B63A3" w:rsidRDefault="00F35C57" w:rsidP="008F460F">
      <w:pPr>
        <w:widowControl w:val="0"/>
        <w:autoSpaceDE w:val="0"/>
        <w:autoSpaceDN w:val="0"/>
        <w:adjustRightInd w:val="0"/>
        <w:spacing w:line="480" w:lineRule="auto"/>
        <w:ind w:left="640" w:hanging="640"/>
        <w:rPr>
          <w:noProof/>
          <w:sz w:val="24"/>
          <w:szCs w:val="24"/>
        </w:rPr>
      </w:pPr>
      <w:r w:rsidRPr="008B63A3">
        <w:rPr>
          <w:sz w:val="24"/>
          <w:szCs w:val="24"/>
        </w:rPr>
        <w:fldChar w:fldCharType="begin" w:fldLock="1"/>
      </w:r>
      <w:r w:rsidRPr="008B63A3">
        <w:rPr>
          <w:sz w:val="24"/>
          <w:szCs w:val="24"/>
          <w:lang w:val="en-US"/>
        </w:rPr>
        <w:instrText xml:space="preserve">ADDIN Mendeley Bibliography CSL_BIBLIOGRAPHY </w:instrText>
      </w:r>
      <w:r w:rsidRPr="008B63A3">
        <w:rPr>
          <w:sz w:val="24"/>
          <w:szCs w:val="24"/>
        </w:rPr>
        <w:fldChar w:fldCharType="separate"/>
      </w:r>
      <w:r w:rsidR="008F460F" w:rsidRPr="008B63A3">
        <w:rPr>
          <w:noProof/>
          <w:sz w:val="24"/>
          <w:szCs w:val="24"/>
        </w:rPr>
        <w:t xml:space="preserve">1. </w:t>
      </w:r>
      <w:r w:rsidR="008F460F" w:rsidRPr="008B63A3">
        <w:rPr>
          <w:noProof/>
          <w:sz w:val="24"/>
          <w:szCs w:val="24"/>
        </w:rPr>
        <w:tab/>
        <w:t>Samitz G, Egger M, Zwahlen M. Domains of physical activity and all-cause mortality: Systematic review and dose-response meta-analysis of cohort studies. Int J Epidemiol. 2011;40: 1382–1400. doi:10.1093/ije/dyr112</w:t>
      </w:r>
    </w:p>
    <w:p w14:paraId="45571981"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 </w:t>
      </w:r>
      <w:r w:rsidRPr="008B63A3">
        <w:rPr>
          <w:noProof/>
          <w:sz w:val="24"/>
          <w:szCs w:val="24"/>
        </w:rPr>
        <w:tab/>
        <w:t>Iijima K, Iimuro S, Shinozaki T, Ohashi Y, Sakurai T, Umegaki H, et al. Lower physical activity is a strong predictor of cardiovascular events in elderly patients with type2 diabetes mellitus beyond traditional risk factors: The Japanese elderly diabetes intervention trial. Geriatr Gerontol Int. 2012;12: 77–87. doi:10.1111/j.1447-0594.2011.00815.x</w:t>
      </w:r>
    </w:p>
    <w:p w14:paraId="397A51B7"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 </w:t>
      </w:r>
      <w:r w:rsidRPr="008B63A3">
        <w:rPr>
          <w:noProof/>
          <w:sz w:val="24"/>
          <w:szCs w:val="24"/>
        </w:rPr>
        <w:tab/>
        <w:t>Schmid D, Ricci C, Leitzmann MF. Associations of objectively assessed physical activity and sedentary time with all-cause mortality in US adults: The NHANES study. PLoS One. 2015;10: 1–14. doi:10.1371/journal.pone.0119591</w:t>
      </w:r>
    </w:p>
    <w:p w14:paraId="249DA9E1"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 </w:t>
      </w:r>
      <w:r w:rsidRPr="008B63A3">
        <w:rPr>
          <w:noProof/>
          <w:sz w:val="24"/>
          <w:szCs w:val="24"/>
        </w:rPr>
        <w:tab/>
        <w:t>Fernandes RA, Christofaro DGD, Casonatto J, Codogno JS, Rodrigues EQ, Cardoso ML, et al. Prevalência de dislipidemia em indivíduos fisicamente ativos durante a infância, adolescência e idade adulta. Arq Bras Cardiol. 2011;97: 317–323. doi:10.1590/s0066-782x2011005000083</w:t>
      </w:r>
    </w:p>
    <w:p w14:paraId="4F8AF2C1"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5. </w:t>
      </w:r>
      <w:r w:rsidRPr="008B63A3">
        <w:rPr>
          <w:noProof/>
          <w:sz w:val="24"/>
          <w:szCs w:val="24"/>
        </w:rPr>
        <w:tab/>
        <w:t>Harris TJ, Owen CG, Victor CR, Adams R, Cook DG. What factors are associated with physical activity in older people, assessed objectively by accelerometry? Br J Sports Med. 2009;43: 442–450. doi:10.1136/bjsm.2008.048033</w:t>
      </w:r>
    </w:p>
    <w:p w14:paraId="208FC409"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6. </w:t>
      </w:r>
      <w:r w:rsidRPr="008B63A3">
        <w:rPr>
          <w:noProof/>
          <w:sz w:val="24"/>
          <w:szCs w:val="24"/>
        </w:rPr>
        <w:tab/>
        <w:t>Ekelund U, Ward HA, Norat T, Luan J, May AM, Weiderpass E, et al. Physical activity and all-cause mortality across levels of overall and abdominal adiposity in European men and women: The European prospective investigation into cancer and nutrition study (EPIC). Am J Clin Nutr. 2015;101: 613–621. doi:10.3945/ajcn.114.100065</w:t>
      </w:r>
    </w:p>
    <w:p w14:paraId="466052A7"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7. </w:t>
      </w:r>
      <w:r w:rsidRPr="008B63A3">
        <w:rPr>
          <w:noProof/>
          <w:sz w:val="24"/>
          <w:szCs w:val="24"/>
        </w:rPr>
        <w:tab/>
        <w:t xml:space="preserve">Lear SA, Hu W, Rangarajan S, Gasevic D, Leong D, Iqbal R, et al. The effect of physical activity on mortality and cardiovascular disease in 130 000 people from 17 high-income, middle-income, and low-income countries: the PURE study. Lancet. </w:t>
      </w:r>
      <w:r w:rsidRPr="008B63A3">
        <w:rPr>
          <w:noProof/>
          <w:sz w:val="24"/>
          <w:szCs w:val="24"/>
        </w:rPr>
        <w:lastRenderedPageBreak/>
        <w:t>2017;390: 2643–2654. doi:10.1016/S0140-6736(17)31634-3</w:t>
      </w:r>
    </w:p>
    <w:p w14:paraId="784FB22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8. </w:t>
      </w:r>
      <w:r w:rsidRPr="008B63A3">
        <w:rPr>
          <w:noProof/>
          <w:sz w:val="24"/>
          <w:szCs w:val="24"/>
        </w:rPr>
        <w:tab/>
        <w:t>Rey Lopez JP, Gebel K, Chia D, Stamatakis E. Associations of vigorous physical activity with all-cause, cardiovascular and cancer mortality among 64 913 adults. BMJ Open Sport Exerc Med. 2019;5: 1–8. doi:10.1136/bmjsem-2019-000596</w:t>
      </w:r>
    </w:p>
    <w:p w14:paraId="247241B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9. </w:t>
      </w:r>
      <w:r w:rsidRPr="008B63A3">
        <w:rPr>
          <w:noProof/>
          <w:sz w:val="24"/>
          <w:szCs w:val="24"/>
        </w:rPr>
        <w:tab/>
        <w:t>Leitzmann MF, Park Y, Blair A, Ballard-Barbash R, Mouw T, Hollenbeck AR, et al. Physical activity recommendations and decreased risk of mortality. Arch Intern Med. 2007;167: 2453–2460. doi:10.1001/archinte.167.22.2453</w:t>
      </w:r>
    </w:p>
    <w:p w14:paraId="4E4F97CB"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10. </w:t>
      </w:r>
      <w:r w:rsidRPr="008B63A3">
        <w:rPr>
          <w:noProof/>
          <w:sz w:val="24"/>
          <w:szCs w:val="24"/>
        </w:rPr>
        <w:tab/>
        <w:t>Bull FC, Al-Ansari SS, Biddle S, Borodulin K, Buman MP, Cardon G, et al. World Health Organization 2020 guidelines on physical activity and sedentary behaviour. Br J Sports Med. 2020;54: 1451–1462. doi:10.1136/bjsports-2020-102955</w:t>
      </w:r>
    </w:p>
    <w:p w14:paraId="5E7F14D2"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11. </w:t>
      </w:r>
      <w:r w:rsidRPr="008B63A3">
        <w:rPr>
          <w:noProof/>
          <w:sz w:val="24"/>
          <w:szCs w:val="24"/>
        </w:rPr>
        <w:tab/>
        <w:t>Lee IM, Shiroma EJ, Lobelo F, Puska P, Blair SN, Katzmarzyk PT, et al. Effect of physical inactivity on major non-communicable diseases worldwide: An analysis of burden of disease and life expectancy. Lancet. 2012;380: 219–229. doi:10.1016/S0140-6736(12)61031-9</w:t>
      </w:r>
    </w:p>
    <w:p w14:paraId="4C4EA078"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12. </w:t>
      </w:r>
      <w:r w:rsidRPr="008B63A3">
        <w:rPr>
          <w:noProof/>
          <w:sz w:val="24"/>
          <w:szCs w:val="24"/>
        </w:rPr>
        <w:tab/>
        <w:t>LaCroix AZ, Bellettiere J, Rillamas-Sun E, Di C, Evenson KR, Lewis CE, et al. Association of Light Physical Activity Measured by Accelerometry and Incidence of Coronary Heart Disease and Cardiovascular Disease in Older Women. JAMA Netw open. 2019;2: e190419. doi:10.1001/jamanetworkopen.2019.0419</w:t>
      </w:r>
    </w:p>
    <w:p w14:paraId="7F6EEFC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13. </w:t>
      </w:r>
      <w:r w:rsidRPr="008B63A3">
        <w:rPr>
          <w:noProof/>
          <w:sz w:val="24"/>
          <w:szCs w:val="24"/>
        </w:rPr>
        <w:tab/>
        <w:t>Murphy SL. Review of physical activity measurement using accelerometers in older adults: Considerations for research design and conduct. Prev Med (Baltim). 2009;48: 108–114. doi:10.1016/j.ypmed.2008.12.001</w:t>
      </w:r>
    </w:p>
    <w:p w14:paraId="5DF2DEB2"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14. </w:t>
      </w:r>
      <w:r w:rsidRPr="008B63A3">
        <w:rPr>
          <w:noProof/>
          <w:sz w:val="24"/>
          <w:szCs w:val="24"/>
        </w:rPr>
        <w:tab/>
        <w:t>Loprinzi PD. Accelerometer-determined physical activity and allcause mortality in a national prospective cohort study of hypertensive adults. J Hypertens. 2016;34: 848–852. doi:10.1097/HJH.0000000000000869</w:t>
      </w:r>
    </w:p>
    <w:p w14:paraId="49562E4D"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15. </w:t>
      </w:r>
      <w:r w:rsidRPr="008B63A3">
        <w:rPr>
          <w:noProof/>
          <w:sz w:val="24"/>
          <w:szCs w:val="24"/>
        </w:rPr>
        <w:tab/>
        <w:t xml:space="preserve">Turi BC, Codogno JS, Fernandes RA, Sui X, Lavie CJ, Blair SN, et al. Association of </w:t>
      </w:r>
      <w:r w:rsidRPr="008B63A3">
        <w:rPr>
          <w:noProof/>
          <w:sz w:val="24"/>
          <w:szCs w:val="24"/>
        </w:rPr>
        <w:lastRenderedPageBreak/>
        <w:t>Different Physical Activity Domains on All-Cause Mortality in Adults Participating in Primary Care in The Brazilian National Health System: 4-Year Follow-up. J Phys Act Health. 2017;14: 45–51. doi:10.1123/jpah.2016-0067</w:t>
      </w:r>
    </w:p>
    <w:p w14:paraId="0A3B1F6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16. </w:t>
      </w:r>
      <w:r w:rsidRPr="008B63A3">
        <w:rPr>
          <w:noProof/>
          <w:sz w:val="24"/>
          <w:szCs w:val="24"/>
        </w:rPr>
        <w:tab/>
        <w:t>Silva DAS, Tremblay MS, Marinho F, Ribeiro ALP, Cousin E, Nascimento BR, et al. Physical inactivity as a risk factor for all-cause mortality in Brazil (1990-2017). Popul Health Metr. 2020;18: 1–9. doi:10.1186/s12963-020-00214-3</w:t>
      </w:r>
    </w:p>
    <w:p w14:paraId="1931A88A"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17. </w:t>
      </w:r>
      <w:r w:rsidRPr="008B63A3">
        <w:rPr>
          <w:noProof/>
          <w:sz w:val="24"/>
          <w:szCs w:val="24"/>
        </w:rPr>
        <w:tab/>
        <w:t>Bielemann RM, LaCroix AZ, Bertoldi AD, Tomasi E, Demarco FF, Gonzalez MC, et al. Objectively Measured Physical Activity Reduces the Risk of Mortality among Brazilian Older Adults. J Am Geriatr Soc. 2020;68: 137–146. doi:10.1111/jgs.16180</w:t>
      </w:r>
    </w:p>
    <w:p w14:paraId="211B66FD"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18. </w:t>
      </w:r>
      <w:r w:rsidRPr="008B63A3">
        <w:rPr>
          <w:noProof/>
          <w:sz w:val="24"/>
          <w:szCs w:val="24"/>
        </w:rPr>
        <w:tab/>
        <w:t>Brown WJ, McLaughlin D, Leung J, McCaul KA, Flicker L, Almeida OP, et al. Physical activity and all-cause mortality in older women and men. Br J Sports Med. 2012;46: 664–668. doi:10.1136/bjsports-2011-090529</w:t>
      </w:r>
    </w:p>
    <w:p w14:paraId="334ABBD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19. </w:t>
      </w:r>
      <w:r w:rsidRPr="008B63A3">
        <w:rPr>
          <w:noProof/>
          <w:sz w:val="24"/>
          <w:szCs w:val="24"/>
        </w:rPr>
        <w:tab/>
        <w:t>Gregg EW, Cauley JA, Stone K, Thompson TJ, Bauer DC, Cummings SR, et al. Relationship of Changes in Physical Activity and Mortality among Older Women. J Am Med Assoc. 2003;289: 2379–2386. doi:10.1001/jama.289.18.2379</w:t>
      </w:r>
    </w:p>
    <w:p w14:paraId="55162A2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20. </w:t>
      </w:r>
      <w:r w:rsidRPr="008B63A3">
        <w:rPr>
          <w:noProof/>
          <w:sz w:val="24"/>
          <w:szCs w:val="24"/>
        </w:rPr>
        <w:tab/>
        <w:t>Rikli RE, Jones CJ. Development and validation of criterion-referenced clinically relevant fitness standards for maintaining physical independence in later years. Gerontologist. 2013;53: 255–267. doi:10.1093/geront/gns071</w:t>
      </w:r>
    </w:p>
    <w:p w14:paraId="4E5D348D"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21. </w:t>
      </w:r>
      <w:r w:rsidRPr="008B63A3">
        <w:rPr>
          <w:noProof/>
          <w:sz w:val="24"/>
          <w:szCs w:val="24"/>
        </w:rPr>
        <w:tab/>
        <w:t>Sasaki JE, Júnior JH, Meneguci J, Tribess S, Marocolo Júnior M, Stabelini Neto A, et al. Number of days required for reliably estimating physical activity and sedentary behaviour from accelerometer data in older adults. J Sports Sci. 2018;36: 1572–1577. doi:10.1080/02640414.2017.1403527</w:t>
      </w:r>
    </w:p>
    <w:p w14:paraId="68B5D924"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22. </w:t>
      </w:r>
      <w:r w:rsidRPr="008B63A3">
        <w:rPr>
          <w:noProof/>
          <w:sz w:val="24"/>
          <w:szCs w:val="24"/>
        </w:rPr>
        <w:tab/>
      </w:r>
      <w:bookmarkStart w:id="18" w:name="_Hlk86820514"/>
      <w:r w:rsidRPr="008B63A3">
        <w:rPr>
          <w:noProof/>
          <w:sz w:val="24"/>
          <w:szCs w:val="24"/>
        </w:rPr>
        <w:t>dos Anjos LA, da Silva B de AM, Wahrlich V. Physical activity level and energy expenditure assessed by accelerometry in 60y+ brazilian subjects. Rev Bras Med do Esporte. 2019;25: 116–120. doi:10.1590/1517-869220192502185134</w:t>
      </w:r>
      <w:bookmarkEnd w:id="18"/>
    </w:p>
    <w:p w14:paraId="235824B4"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lastRenderedPageBreak/>
        <w:t xml:space="preserve">23. </w:t>
      </w:r>
      <w:r w:rsidRPr="008B63A3">
        <w:rPr>
          <w:noProof/>
          <w:sz w:val="24"/>
          <w:szCs w:val="24"/>
        </w:rPr>
        <w:tab/>
        <w:t>Marengoni A, Winblad B, Karp A, Fratiglioni L. Prevalence of chronic diseases and multimorbidity among the elderly population in Sweden. Am J Public Health. 2008;98: 1198–1200. doi:10.2105/AJPH.2007.121137</w:t>
      </w:r>
    </w:p>
    <w:p w14:paraId="0784D314"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24. </w:t>
      </w:r>
      <w:r w:rsidRPr="008B63A3">
        <w:rPr>
          <w:noProof/>
          <w:sz w:val="24"/>
          <w:szCs w:val="24"/>
        </w:rPr>
        <w:tab/>
        <w:t>Cruz-Jentoft AJ, Baeyens JP, Bauer JM, Boirie Y, Cederholm T, Landi F, et al. Sarcopenia: European consensus on definition and diagnosis. Age Ageing. 2010;39: 412–423. doi:10.1093/ageing/afq034</w:t>
      </w:r>
    </w:p>
    <w:p w14:paraId="0DA256E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25. </w:t>
      </w:r>
      <w:r w:rsidRPr="008B63A3">
        <w:rPr>
          <w:noProof/>
          <w:sz w:val="24"/>
          <w:szCs w:val="24"/>
        </w:rPr>
        <w:tab/>
        <w:t>Katz S, Ford AB, Moskowitz RW, Jackson BA, Jaffe MW. Studies of Illness in the Aged The Index of ADL: A Standardized Measure of Biological and Psychosocial Function. Jama. 1963;185: 914–919. doi:10.1001/jama.1963.03060120024016</w:t>
      </w:r>
    </w:p>
    <w:p w14:paraId="27EC649D"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26. </w:t>
      </w:r>
      <w:r w:rsidRPr="008B63A3">
        <w:rPr>
          <w:noProof/>
          <w:sz w:val="24"/>
          <w:szCs w:val="24"/>
        </w:rPr>
        <w:tab/>
        <w:t>MacKenzie DM, Copp P, Shaw RJ, Goodwin GM. Brief cognitive screening of the elderly: a comparison of the Mini-Mental State Examination (MMSE), Abbreviated Mental Test (AMT) and Mental Status Questionnaire (MSQ). Psychol Med. 1996;26: 427–430. doi:10.1017/s0033291700034826</w:t>
      </w:r>
    </w:p>
    <w:p w14:paraId="32DC913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27. </w:t>
      </w:r>
      <w:r w:rsidRPr="008B63A3">
        <w:rPr>
          <w:noProof/>
          <w:sz w:val="24"/>
          <w:szCs w:val="24"/>
        </w:rPr>
        <w:tab/>
        <w:t xml:space="preserve">Icaza MC, Albala C. Projeto SABE. Minimental State Examination (MMSE) del estudio de demência en Chile: análisis estatístico. Washingt OPAS; 1999. </w:t>
      </w:r>
    </w:p>
    <w:p w14:paraId="52BB849B"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28. </w:t>
      </w:r>
      <w:r w:rsidRPr="008B63A3">
        <w:rPr>
          <w:noProof/>
          <w:sz w:val="24"/>
          <w:szCs w:val="24"/>
        </w:rPr>
        <w:tab/>
        <w:t xml:space="preserve">OPAS. Doenças crónico-degenerativas e obesidade: estratégia mundial sobre alimentação saudável, actividade fisíca e saúde. 2003. </w:t>
      </w:r>
    </w:p>
    <w:p w14:paraId="7EDB0CCA"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29. </w:t>
      </w:r>
      <w:r w:rsidRPr="008B63A3">
        <w:rPr>
          <w:noProof/>
          <w:sz w:val="24"/>
          <w:szCs w:val="24"/>
        </w:rPr>
        <w:tab/>
        <w:t>Rao JNK, Scott AJ. On simple adjustments to chi-square tests with sample survey data. Ann Stat. 1987;15: 385–397. doi:10.1214/aos/1176350273</w:t>
      </w:r>
    </w:p>
    <w:p w14:paraId="3486A37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30. </w:t>
      </w:r>
      <w:r w:rsidRPr="008B63A3">
        <w:rPr>
          <w:noProof/>
          <w:sz w:val="24"/>
          <w:szCs w:val="24"/>
        </w:rPr>
        <w:tab/>
        <w:t>Oliveira HSB de, Buffalo HC, Cieri IF, Nassif LN, Fonai VMA, Manso MEG. Low Levels of Physical Activity Are Associated With Cognitive Decline, Depressive Symptoms and Mobility Impairments in Older Adults Enrolled in a Health Insurance Plan. Geriatr Gerontol Aging. 2019;13: 205–210. doi:10.5327/z2447-211520191900053</w:t>
      </w:r>
    </w:p>
    <w:p w14:paraId="2C39A5E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31. </w:t>
      </w:r>
      <w:r w:rsidRPr="008B63A3">
        <w:rPr>
          <w:noProof/>
          <w:sz w:val="24"/>
          <w:szCs w:val="24"/>
        </w:rPr>
        <w:tab/>
        <w:t xml:space="preserve">de Oliveira Neto L, de Oliveira LP, Agrícola PMD, de Oliveira Tavares VD, Gomes </w:t>
      </w:r>
      <w:r w:rsidRPr="008B63A3">
        <w:rPr>
          <w:noProof/>
          <w:sz w:val="24"/>
          <w:szCs w:val="24"/>
        </w:rPr>
        <w:lastRenderedPageBreak/>
        <w:t>IC, Sales MC, et al. Factors associated with sarcopenia in institutionalized elderly. J Public Health (Bangkok). 2020. doi:10.1093/pubmed/fdaa122</w:t>
      </w:r>
    </w:p>
    <w:p w14:paraId="3A9F80EA"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32. </w:t>
      </w:r>
      <w:r w:rsidRPr="008B63A3">
        <w:rPr>
          <w:noProof/>
          <w:sz w:val="24"/>
          <w:szCs w:val="24"/>
        </w:rPr>
        <w:tab/>
        <w:t>Tolea MI, Galvin JE. Sarcopenia and impairment in cognitive and physical performance. Clin Interv Aging. 2015;10: 663–671. doi:10.2147/CIA.S76275</w:t>
      </w:r>
    </w:p>
    <w:p w14:paraId="1421689A"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33. </w:t>
      </w:r>
      <w:r w:rsidRPr="008B63A3">
        <w:rPr>
          <w:noProof/>
          <w:sz w:val="24"/>
          <w:szCs w:val="24"/>
        </w:rPr>
        <w:tab/>
        <w:t>Winter JE, MacInnis RJ, Wattanapenpaiboon N, Nowson CA. BMI and all-cause mortality in older adults: A meta-analysis. Am J Clin Nutr. 2014;99: 875–890. doi:10.3945/ajcn.113.068122</w:t>
      </w:r>
    </w:p>
    <w:p w14:paraId="60B69C62"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34. </w:t>
      </w:r>
      <w:r w:rsidRPr="008B63A3">
        <w:rPr>
          <w:noProof/>
          <w:sz w:val="24"/>
          <w:szCs w:val="24"/>
        </w:rPr>
        <w:tab/>
        <w:t xml:space="preserve">World Health Organization W. World Health Organization global health observatory data repository. Available from http//apps.who.int/ghodata/. 2011. </w:t>
      </w:r>
    </w:p>
    <w:p w14:paraId="589A3D88"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35. </w:t>
      </w:r>
      <w:r w:rsidRPr="008B63A3">
        <w:rPr>
          <w:noProof/>
          <w:sz w:val="24"/>
          <w:szCs w:val="24"/>
        </w:rPr>
        <w:tab/>
        <w:t>Lee I-M, Shiroma EJ, Lobelo F, Puska P, Blair SN, Katzmarzyk PT. Impact of Physical Inactivity on the World’s Major Non-Communicable Diseases. Lancet. 2012;380: 219–229. doi:10.1016/S0140-6736(12)61031-9.Impact</w:t>
      </w:r>
    </w:p>
    <w:p w14:paraId="303773C2"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36. </w:t>
      </w:r>
      <w:r w:rsidRPr="008B63A3">
        <w:rPr>
          <w:noProof/>
          <w:sz w:val="24"/>
          <w:szCs w:val="24"/>
        </w:rPr>
        <w:tab/>
        <w:t>Garg PK, Tian L, Criqui MH, Liu K, Ferrucci L, Guralnik JM, et al. Physical Activity During Daily Life and Mortality in Patients With Peripheral Arterial Disease. Circulation. 2006;114: 242–248. doi:10.1161/CIRCULATIONAHA.105.605246</w:t>
      </w:r>
    </w:p>
    <w:p w14:paraId="5A609BC9"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37. </w:t>
      </w:r>
      <w:r w:rsidRPr="008B63A3">
        <w:rPr>
          <w:noProof/>
          <w:sz w:val="24"/>
          <w:szCs w:val="24"/>
        </w:rPr>
        <w:tab/>
        <w:t>Wen CP, Wai JPM, Tsai MK, Yang YC, Cheng TYD, Lee MC, et al. Minimum amount of physical activity for reduced mortality and extended life expectancy: A prospective cohort study. Lancet. 2011;378: 1244–1253. doi:10.1016/S0140-6736(11)60749-6</w:t>
      </w:r>
    </w:p>
    <w:p w14:paraId="474564B5"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38. </w:t>
      </w:r>
      <w:r w:rsidRPr="008B63A3">
        <w:rPr>
          <w:noProof/>
          <w:sz w:val="24"/>
          <w:szCs w:val="24"/>
        </w:rPr>
        <w:tab/>
        <w:t>Matthews CE, George SM, Moore SC, Bowles HR, Blair A, Park Y, et al. Amount of time spent in sedentary behaviors and cause-specific mortality in US adults. Am J Clin Nutr. 2012;95: 437–445. doi:10.3945/ajcn.111.019620.Am</w:t>
      </w:r>
    </w:p>
    <w:p w14:paraId="4C3542CE"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39. </w:t>
      </w:r>
      <w:r w:rsidRPr="008B63A3">
        <w:rPr>
          <w:noProof/>
          <w:sz w:val="24"/>
          <w:szCs w:val="24"/>
        </w:rPr>
        <w:tab/>
        <w:t>Izawa KP, Watanabe S, Oka K, Hiraki K, Morio Y, Kasahara Y, et al. Usefulness of step counts to predict mortality in Japanese patients with heart failure. Am J Cardiol. 2013;111: 1767–1771. doi:10.1016/j.amjcard.2013.02.034</w:t>
      </w:r>
    </w:p>
    <w:p w14:paraId="3250A484"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lastRenderedPageBreak/>
        <w:t xml:space="preserve">40. </w:t>
      </w:r>
      <w:r w:rsidRPr="008B63A3">
        <w:rPr>
          <w:noProof/>
          <w:sz w:val="24"/>
          <w:szCs w:val="24"/>
        </w:rPr>
        <w:tab/>
        <w:t>Oguma Y, Sesso HD, Jr RSP, Lee I-M. Physical activity and all cause mortality in women: a review of the evidence. Br J Sport Med. 2002;36: 162–172. doi:10.1136/bjsm.36.3.162</w:t>
      </w:r>
    </w:p>
    <w:p w14:paraId="5AC420F6"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41. </w:t>
      </w:r>
      <w:r w:rsidRPr="008B63A3">
        <w:rPr>
          <w:noProof/>
          <w:sz w:val="24"/>
          <w:szCs w:val="24"/>
        </w:rPr>
        <w:tab/>
        <w:t xml:space="preserve">Hallal PC, Matsudo SM, Matsudo VKR, Araújo TL, Andrade DR, Bertoldi AD. Physical activity in adults from two Brazilian areas : similarities and differences. Cad Saude Publica. 2005;21: 100:126. </w:t>
      </w:r>
    </w:p>
    <w:p w14:paraId="3131625F"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42. </w:t>
      </w:r>
      <w:r w:rsidRPr="008B63A3">
        <w:rPr>
          <w:noProof/>
          <w:sz w:val="24"/>
          <w:szCs w:val="24"/>
        </w:rPr>
        <w:tab/>
        <w:t>Barnett I, Van Sluijs EMF, Ogilvie D. Physical activity and transitioning to retirement: A systematic review. Am J Prev Med. 2012;43: 329–336. doi:10.1016/j.amepre.2012.05.026</w:t>
      </w:r>
    </w:p>
    <w:p w14:paraId="4E97AAA8"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43. </w:t>
      </w:r>
      <w:r w:rsidRPr="008B63A3">
        <w:rPr>
          <w:noProof/>
          <w:sz w:val="24"/>
          <w:szCs w:val="24"/>
        </w:rPr>
        <w:tab/>
        <w:t xml:space="preserve">King AC. Clinical and community interventions to promote and support physical activity participation. Advances in exercise adherence. Champaign,  IL,  England: Human Kinetics Publishers; 1994. pp. 183–212. </w:t>
      </w:r>
    </w:p>
    <w:p w14:paraId="2B7AC833"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44. </w:t>
      </w:r>
      <w:r w:rsidRPr="008B63A3">
        <w:rPr>
          <w:noProof/>
          <w:sz w:val="24"/>
          <w:szCs w:val="24"/>
        </w:rPr>
        <w:tab/>
        <w:t xml:space="preserve">King AC. Community intervention for promotion of physical activity and fitness. Exerc Sport Sci Rev. 1991;19: 211–259. </w:t>
      </w:r>
    </w:p>
    <w:p w14:paraId="205F05DA"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45. </w:t>
      </w:r>
      <w:r w:rsidRPr="008B63A3">
        <w:rPr>
          <w:noProof/>
          <w:sz w:val="24"/>
          <w:szCs w:val="24"/>
        </w:rPr>
        <w:tab/>
        <w:t>Nelson ME, Rejeski WJ, Blair SN, Duncan PW, Judge JO, King AC, et al. Physical activity and public health in older adults: Recommendation from the American College of Sports Medicine and the American Heart Association. Med Sci Sports Exerc. 2007;39: 1435–1445. doi:10.1249/mss.0b013e3180616aa2</w:t>
      </w:r>
    </w:p>
    <w:p w14:paraId="78702DF2"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46. </w:t>
      </w:r>
      <w:r w:rsidRPr="008B63A3">
        <w:rPr>
          <w:noProof/>
          <w:sz w:val="24"/>
          <w:szCs w:val="24"/>
        </w:rPr>
        <w:tab/>
        <w:t xml:space="preserve">Hart TL, Swartz AM, Strath SJ. How many days of monitoring are needed to accurately estimate physical activity in older adults. Int J Behav Nutr Phys Act. 2011;8: 62–69. </w:t>
      </w:r>
    </w:p>
    <w:p w14:paraId="029F8E23"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47. </w:t>
      </w:r>
      <w:r w:rsidRPr="008B63A3">
        <w:rPr>
          <w:noProof/>
          <w:sz w:val="24"/>
          <w:szCs w:val="24"/>
        </w:rPr>
        <w:tab/>
        <w:t>Weiss A, Brozgol M, Dorfman M, Herman T, Shema S, Giladi N, et al. Does the evaluation of gait quality during daily life provide insight into fall risk? A novel approach using 3-Day accelerometer recordings. Neurorehabil Neural Repair. 2013;27: 742–752. doi:10.1177/1545968313491004</w:t>
      </w:r>
    </w:p>
    <w:p w14:paraId="3E1C7383"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lastRenderedPageBreak/>
        <w:t xml:space="preserve">48. </w:t>
      </w:r>
      <w:r w:rsidRPr="008B63A3">
        <w:rPr>
          <w:noProof/>
          <w:sz w:val="24"/>
          <w:szCs w:val="24"/>
        </w:rPr>
        <w:tab/>
        <w:t>Silva DAS, Malta DC, de Souza M de FM, Naghavi M. Burden of ischemic heart disease mortality attributable to physical inactivity in Brazil. Rev Saude Publica. 2018;52: 1–10. doi:10.11606/S1518-8787.2018052000413</w:t>
      </w:r>
    </w:p>
    <w:p w14:paraId="6488352B" w14:textId="77777777" w:rsidR="008F460F" w:rsidRPr="008B63A3" w:rsidRDefault="008F460F" w:rsidP="008F460F">
      <w:pPr>
        <w:widowControl w:val="0"/>
        <w:autoSpaceDE w:val="0"/>
        <w:autoSpaceDN w:val="0"/>
        <w:adjustRightInd w:val="0"/>
        <w:spacing w:line="480" w:lineRule="auto"/>
        <w:ind w:left="640" w:hanging="640"/>
        <w:rPr>
          <w:noProof/>
          <w:sz w:val="24"/>
          <w:szCs w:val="24"/>
        </w:rPr>
      </w:pPr>
      <w:r w:rsidRPr="008B63A3">
        <w:rPr>
          <w:noProof/>
          <w:sz w:val="24"/>
          <w:szCs w:val="24"/>
        </w:rPr>
        <w:t xml:space="preserve">49. </w:t>
      </w:r>
      <w:r w:rsidRPr="008B63A3">
        <w:rPr>
          <w:noProof/>
          <w:sz w:val="24"/>
          <w:szCs w:val="24"/>
        </w:rPr>
        <w:tab/>
        <w:t>Hallal PC, Andersen LB, Bull FC, Guthold R, Haskell W, Ekelund U, et al. Global physical activity levels: Surveillance progress, pitfalls, and prospects. Lancet. 2012;380: 247–257. doi:10.1016/S0140-6736(12)60646-1</w:t>
      </w:r>
    </w:p>
    <w:p w14:paraId="586C9586" w14:textId="77777777" w:rsidR="008F460F" w:rsidRPr="008B63A3" w:rsidRDefault="008F460F" w:rsidP="008F460F">
      <w:pPr>
        <w:widowControl w:val="0"/>
        <w:autoSpaceDE w:val="0"/>
        <w:autoSpaceDN w:val="0"/>
        <w:adjustRightInd w:val="0"/>
        <w:spacing w:line="480" w:lineRule="auto"/>
        <w:ind w:left="640" w:hanging="640"/>
        <w:rPr>
          <w:noProof/>
          <w:sz w:val="24"/>
        </w:rPr>
      </w:pPr>
      <w:r w:rsidRPr="008B63A3">
        <w:rPr>
          <w:noProof/>
          <w:sz w:val="24"/>
          <w:szCs w:val="24"/>
        </w:rPr>
        <w:t xml:space="preserve">50. </w:t>
      </w:r>
      <w:r w:rsidRPr="008B63A3">
        <w:rPr>
          <w:noProof/>
          <w:sz w:val="24"/>
          <w:szCs w:val="24"/>
        </w:rPr>
        <w:tab/>
        <w:t>Gardner AW, Poehlman ET. Assessment of free-living daily physical activity in older claudicants: Validation against the doubly labeled water technique. Journals Gerontol - Ser A Biol Sci Med Sci. 1998;53: 275–280. doi:10.1093/gerona/53A.4.M275</w:t>
      </w:r>
    </w:p>
    <w:p w14:paraId="1D0D3203" w14:textId="77777777" w:rsidR="00166793" w:rsidRPr="008B63A3" w:rsidRDefault="00F35C57" w:rsidP="00166793">
      <w:pPr>
        <w:spacing w:line="480" w:lineRule="auto"/>
        <w:jc w:val="both"/>
        <w:rPr>
          <w:sz w:val="24"/>
          <w:szCs w:val="24"/>
        </w:rPr>
      </w:pPr>
      <w:r w:rsidRPr="008B63A3">
        <w:rPr>
          <w:sz w:val="24"/>
          <w:szCs w:val="24"/>
        </w:rPr>
        <w:fldChar w:fldCharType="end"/>
      </w:r>
    </w:p>
    <w:p w14:paraId="4176F272" w14:textId="77777777" w:rsidR="00166793" w:rsidRPr="008B63A3" w:rsidRDefault="00166793">
      <w:pPr>
        <w:rPr>
          <w:sz w:val="24"/>
          <w:szCs w:val="24"/>
        </w:rPr>
      </w:pPr>
      <w:r w:rsidRPr="008B63A3">
        <w:rPr>
          <w:sz w:val="24"/>
          <w:szCs w:val="24"/>
        </w:rPr>
        <w:br w:type="page"/>
      </w:r>
    </w:p>
    <w:p w14:paraId="01A3A7FC" w14:textId="77777777" w:rsidR="008B63A3" w:rsidRDefault="008B63A3" w:rsidP="008B63A3">
      <w:pPr>
        <w:pStyle w:val="Heading1"/>
      </w:pPr>
      <w:r>
        <w:lastRenderedPageBreak/>
        <w:t>Tables and Figures</w:t>
      </w:r>
    </w:p>
    <w:p w14:paraId="7738740A" w14:textId="2CB6F361" w:rsidR="00FD6E36" w:rsidRPr="008B63A3" w:rsidRDefault="00FD6E36" w:rsidP="00166793">
      <w:pPr>
        <w:spacing w:line="480" w:lineRule="auto"/>
        <w:jc w:val="both"/>
        <w:rPr>
          <w:sz w:val="24"/>
          <w:szCs w:val="24"/>
        </w:rPr>
      </w:pPr>
      <w:r w:rsidRPr="008B63A3">
        <w:rPr>
          <w:b/>
          <w:sz w:val="24"/>
          <w:szCs w:val="24"/>
        </w:rPr>
        <w:t>Table 1.</w:t>
      </w:r>
      <w:r w:rsidRPr="008B63A3">
        <w:rPr>
          <w:sz w:val="24"/>
          <w:szCs w:val="24"/>
        </w:rPr>
        <w:t xml:space="preserve"> Distribution of older adults, according to survival conditions, from 2010. SABE Study: City of São Paulo, Brazil, 2014.</w:t>
      </w:r>
    </w:p>
    <w:tbl>
      <w:tblPr>
        <w:tblW w:w="0" w:type="auto"/>
        <w:tblBorders>
          <w:top w:val="single" w:sz="4" w:space="0" w:color="auto"/>
          <w:bottom w:val="single" w:sz="4" w:space="0" w:color="auto"/>
        </w:tblBorders>
        <w:tblLook w:val="04A0" w:firstRow="1" w:lastRow="0" w:firstColumn="1" w:lastColumn="0" w:noHBand="0" w:noVBand="1"/>
      </w:tblPr>
      <w:tblGrid>
        <w:gridCol w:w="2284"/>
        <w:gridCol w:w="2271"/>
        <w:gridCol w:w="2248"/>
        <w:gridCol w:w="2268"/>
      </w:tblGrid>
      <w:tr w:rsidR="008B63A3" w:rsidRPr="008B63A3" w14:paraId="3A0494FA" w14:textId="77777777" w:rsidTr="00164B2B">
        <w:tc>
          <w:tcPr>
            <w:tcW w:w="2302" w:type="dxa"/>
            <w:tcBorders>
              <w:top w:val="single" w:sz="4" w:space="0" w:color="auto"/>
              <w:bottom w:val="single" w:sz="4" w:space="0" w:color="auto"/>
            </w:tcBorders>
            <w:shd w:val="clear" w:color="auto" w:fill="auto"/>
            <w:vAlign w:val="center"/>
          </w:tcPr>
          <w:p w14:paraId="4BC8A569" w14:textId="77777777" w:rsidR="00FD6E36" w:rsidRPr="008B63A3" w:rsidRDefault="00FD6E36" w:rsidP="00164B2B">
            <w:pPr>
              <w:pStyle w:val="Default"/>
              <w:spacing w:line="360" w:lineRule="auto"/>
              <w:jc w:val="center"/>
              <w:rPr>
                <w:b/>
                <w:color w:val="auto"/>
              </w:rPr>
            </w:pPr>
            <w:r w:rsidRPr="008B63A3">
              <w:rPr>
                <w:b/>
                <w:color w:val="auto"/>
              </w:rPr>
              <w:t>Condition in 2014</w:t>
            </w:r>
          </w:p>
        </w:tc>
        <w:tc>
          <w:tcPr>
            <w:tcW w:w="2302" w:type="dxa"/>
            <w:tcBorders>
              <w:top w:val="single" w:sz="4" w:space="0" w:color="auto"/>
              <w:bottom w:val="single" w:sz="4" w:space="0" w:color="auto"/>
            </w:tcBorders>
            <w:shd w:val="clear" w:color="auto" w:fill="auto"/>
            <w:vAlign w:val="center"/>
          </w:tcPr>
          <w:p w14:paraId="6B7E77B2" w14:textId="77777777" w:rsidR="00FD6E36" w:rsidRPr="008B63A3" w:rsidRDefault="00FD6E36" w:rsidP="00164B2B">
            <w:pPr>
              <w:pStyle w:val="Default"/>
              <w:spacing w:line="360" w:lineRule="auto"/>
              <w:jc w:val="center"/>
              <w:rPr>
                <w:b/>
                <w:color w:val="auto"/>
              </w:rPr>
            </w:pPr>
            <w:r w:rsidRPr="008B63A3">
              <w:rPr>
                <w:b/>
                <w:color w:val="auto"/>
              </w:rPr>
              <w:t>Participant</w:t>
            </w:r>
          </w:p>
        </w:tc>
        <w:tc>
          <w:tcPr>
            <w:tcW w:w="2303" w:type="dxa"/>
            <w:tcBorders>
              <w:top w:val="single" w:sz="4" w:space="0" w:color="auto"/>
              <w:bottom w:val="single" w:sz="4" w:space="0" w:color="auto"/>
            </w:tcBorders>
            <w:shd w:val="clear" w:color="auto" w:fill="auto"/>
            <w:vAlign w:val="center"/>
          </w:tcPr>
          <w:p w14:paraId="6DC2DD99" w14:textId="77777777" w:rsidR="00FD6E36" w:rsidRPr="008B63A3" w:rsidRDefault="00FD6E36" w:rsidP="00164B2B">
            <w:pPr>
              <w:pStyle w:val="Default"/>
              <w:spacing w:line="360" w:lineRule="auto"/>
              <w:jc w:val="center"/>
              <w:rPr>
                <w:b/>
                <w:color w:val="auto"/>
              </w:rPr>
            </w:pPr>
            <w:r w:rsidRPr="008B63A3">
              <w:rPr>
                <w:b/>
                <w:color w:val="auto"/>
              </w:rPr>
              <w:t>%</w:t>
            </w:r>
          </w:p>
        </w:tc>
        <w:tc>
          <w:tcPr>
            <w:tcW w:w="2303" w:type="dxa"/>
            <w:tcBorders>
              <w:top w:val="single" w:sz="4" w:space="0" w:color="auto"/>
              <w:bottom w:val="single" w:sz="4" w:space="0" w:color="auto"/>
            </w:tcBorders>
            <w:shd w:val="clear" w:color="auto" w:fill="auto"/>
            <w:vAlign w:val="center"/>
          </w:tcPr>
          <w:p w14:paraId="67BC3330" w14:textId="77777777" w:rsidR="00FD6E36" w:rsidRPr="008B63A3" w:rsidRDefault="00FD6E36" w:rsidP="00164B2B">
            <w:pPr>
              <w:pStyle w:val="Default"/>
              <w:spacing w:line="360" w:lineRule="auto"/>
              <w:jc w:val="center"/>
              <w:rPr>
                <w:b/>
                <w:color w:val="auto"/>
              </w:rPr>
            </w:pPr>
            <w:r w:rsidRPr="008B63A3">
              <w:rPr>
                <w:b/>
                <w:color w:val="auto"/>
              </w:rPr>
              <w:t xml:space="preserve">Condition analysis </w:t>
            </w:r>
          </w:p>
        </w:tc>
      </w:tr>
      <w:tr w:rsidR="008B63A3" w:rsidRPr="008B63A3" w14:paraId="10A6ED5F" w14:textId="77777777" w:rsidTr="00164B2B">
        <w:tc>
          <w:tcPr>
            <w:tcW w:w="2302" w:type="dxa"/>
            <w:tcBorders>
              <w:top w:val="single" w:sz="4" w:space="0" w:color="auto"/>
            </w:tcBorders>
            <w:shd w:val="clear" w:color="auto" w:fill="auto"/>
          </w:tcPr>
          <w:p w14:paraId="5CD3FACF" w14:textId="77777777" w:rsidR="00FD6E36" w:rsidRPr="008B63A3" w:rsidRDefault="00FD6E36" w:rsidP="00164B2B">
            <w:pPr>
              <w:pStyle w:val="Default"/>
              <w:spacing w:line="360" w:lineRule="auto"/>
              <w:rPr>
                <w:color w:val="auto"/>
              </w:rPr>
            </w:pPr>
            <w:r w:rsidRPr="008B63A3">
              <w:rPr>
                <w:color w:val="auto"/>
              </w:rPr>
              <w:t>Survivors</w:t>
            </w:r>
          </w:p>
        </w:tc>
        <w:tc>
          <w:tcPr>
            <w:tcW w:w="2302" w:type="dxa"/>
            <w:tcBorders>
              <w:top w:val="single" w:sz="4" w:space="0" w:color="auto"/>
            </w:tcBorders>
            <w:shd w:val="clear" w:color="auto" w:fill="auto"/>
            <w:vAlign w:val="center"/>
          </w:tcPr>
          <w:p w14:paraId="4B49B5AF" w14:textId="77777777" w:rsidR="00FD6E36" w:rsidRPr="008B63A3" w:rsidRDefault="00FD6E36" w:rsidP="00164B2B">
            <w:pPr>
              <w:pStyle w:val="Default"/>
              <w:spacing w:line="360" w:lineRule="auto"/>
              <w:jc w:val="center"/>
              <w:rPr>
                <w:color w:val="auto"/>
              </w:rPr>
            </w:pPr>
            <w:r w:rsidRPr="008B63A3">
              <w:rPr>
                <w:color w:val="auto"/>
              </w:rPr>
              <w:t>426</w:t>
            </w:r>
          </w:p>
        </w:tc>
        <w:tc>
          <w:tcPr>
            <w:tcW w:w="2303" w:type="dxa"/>
            <w:tcBorders>
              <w:top w:val="single" w:sz="4" w:space="0" w:color="auto"/>
            </w:tcBorders>
            <w:shd w:val="clear" w:color="auto" w:fill="auto"/>
            <w:vAlign w:val="center"/>
          </w:tcPr>
          <w:p w14:paraId="65CBD649" w14:textId="77777777" w:rsidR="00FD6E36" w:rsidRPr="008B63A3" w:rsidRDefault="00FD6E36" w:rsidP="00164B2B">
            <w:pPr>
              <w:pStyle w:val="Default"/>
              <w:spacing w:line="360" w:lineRule="auto"/>
              <w:jc w:val="center"/>
              <w:rPr>
                <w:color w:val="auto"/>
              </w:rPr>
            </w:pPr>
            <w:r w:rsidRPr="008B63A3">
              <w:rPr>
                <w:color w:val="auto"/>
              </w:rPr>
              <w:t>75.0</w:t>
            </w:r>
          </w:p>
        </w:tc>
        <w:tc>
          <w:tcPr>
            <w:tcW w:w="2303" w:type="dxa"/>
            <w:tcBorders>
              <w:top w:val="single" w:sz="4" w:space="0" w:color="auto"/>
            </w:tcBorders>
            <w:shd w:val="clear" w:color="auto" w:fill="auto"/>
            <w:vAlign w:val="center"/>
          </w:tcPr>
          <w:p w14:paraId="57E894F2" w14:textId="77777777" w:rsidR="00FD6E36" w:rsidRPr="008B63A3" w:rsidRDefault="00FD6E36" w:rsidP="00164B2B">
            <w:pPr>
              <w:pStyle w:val="Default"/>
              <w:spacing w:line="360" w:lineRule="auto"/>
              <w:jc w:val="center"/>
              <w:rPr>
                <w:color w:val="auto"/>
              </w:rPr>
            </w:pPr>
            <w:r w:rsidRPr="008B63A3">
              <w:rPr>
                <w:color w:val="auto"/>
              </w:rPr>
              <w:t>Survivor</w:t>
            </w:r>
          </w:p>
        </w:tc>
      </w:tr>
      <w:tr w:rsidR="008B63A3" w:rsidRPr="008B63A3" w14:paraId="1DBD332E" w14:textId="77777777" w:rsidTr="00164B2B">
        <w:tc>
          <w:tcPr>
            <w:tcW w:w="2302" w:type="dxa"/>
            <w:shd w:val="clear" w:color="auto" w:fill="auto"/>
          </w:tcPr>
          <w:p w14:paraId="6EED06BD" w14:textId="77777777" w:rsidR="00FD6E36" w:rsidRPr="008B63A3" w:rsidRDefault="00FD6E36" w:rsidP="00164B2B">
            <w:pPr>
              <w:pStyle w:val="Default"/>
              <w:spacing w:line="360" w:lineRule="auto"/>
              <w:rPr>
                <w:color w:val="auto"/>
              </w:rPr>
            </w:pPr>
            <w:r w:rsidRPr="008B63A3">
              <w:rPr>
                <w:color w:val="auto"/>
              </w:rPr>
              <w:t>Deaths</w:t>
            </w:r>
          </w:p>
        </w:tc>
        <w:tc>
          <w:tcPr>
            <w:tcW w:w="2302" w:type="dxa"/>
            <w:shd w:val="clear" w:color="auto" w:fill="auto"/>
            <w:vAlign w:val="center"/>
          </w:tcPr>
          <w:p w14:paraId="16286777" w14:textId="77777777" w:rsidR="00FD6E36" w:rsidRPr="008B63A3" w:rsidRDefault="00FD6E36" w:rsidP="00164B2B">
            <w:pPr>
              <w:pStyle w:val="Default"/>
              <w:spacing w:line="360" w:lineRule="auto"/>
              <w:jc w:val="center"/>
              <w:rPr>
                <w:color w:val="auto"/>
              </w:rPr>
            </w:pPr>
            <w:r w:rsidRPr="008B63A3">
              <w:rPr>
                <w:color w:val="auto"/>
              </w:rPr>
              <w:t>94</w:t>
            </w:r>
          </w:p>
        </w:tc>
        <w:tc>
          <w:tcPr>
            <w:tcW w:w="2303" w:type="dxa"/>
            <w:shd w:val="clear" w:color="auto" w:fill="auto"/>
            <w:vAlign w:val="center"/>
          </w:tcPr>
          <w:p w14:paraId="2715FBCD" w14:textId="77777777" w:rsidR="00FD6E36" w:rsidRPr="008B63A3" w:rsidRDefault="00FD6E36" w:rsidP="00164B2B">
            <w:pPr>
              <w:pStyle w:val="Default"/>
              <w:spacing w:line="360" w:lineRule="auto"/>
              <w:jc w:val="center"/>
              <w:rPr>
                <w:color w:val="auto"/>
              </w:rPr>
            </w:pPr>
            <w:r w:rsidRPr="008B63A3">
              <w:rPr>
                <w:color w:val="auto"/>
              </w:rPr>
              <w:t>16.5</w:t>
            </w:r>
          </w:p>
        </w:tc>
        <w:tc>
          <w:tcPr>
            <w:tcW w:w="2303" w:type="dxa"/>
            <w:shd w:val="clear" w:color="auto" w:fill="auto"/>
            <w:vAlign w:val="center"/>
          </w:tcPr>
          <w:p w14:paraId="1169AA76" w14:textId="77777777" w:rsidR="00FD6E36" w:rsidRPr="008B63A3" w:rsidRDefault="00FD6E36" w:rsidP="00164B2B">
            <w:pPr>
              <w:pStyle w:val="Default"/>
              <w:spacing w:line="360" w:lineRule="auto"/>
              <w:jc w:val="center"/>
              <w:rPr>
                <w:color w:val="auto"/>
              </w:rPr>
            </w:pPr>
            <w:r w:rsidRPr="008B63A3">
              <w:rPr>
                <w:color w:val="auto"/>
              </w:rPr>
              <w:t>Deaths</w:t>
            </w:r>
          </w:p>
        </w:tc>
      </w:tr>
      <w:tr w:rsidR="008B63A3" w:rsidRPr="008B63A3" w14:paraId="455843B6" w14:textId="77777777" w:rsidTr="00164B2B">
        <w:tc>
          <w:tcPr>
            <w:tcW w:w="2302" w:type="dxa"/>
            <w:shd w:val="clear" w:color="auto" w:fill="auto"/>
          </w:tcPr>
          <w:p w14:paraId="7E613C08" w14:textId="77777777" w:rsidR="00FD6E36" w:rsidRPr="008B63A3" w:rsidRDefault="00FD6E36" w:rsidP="00164B2B">
            <w:pPr>
              <w:pStyle w:val="Default"/>
              <w:spacing w:line="360" w:lineRule="auto"/>
              <w:rPr>
                <w:color w:val="auto"/>
              </w:rPr>
            </w:pPr>
            <w:r w:rsidRPr="008B63A3">
              <w:rPr>
                <w:color w:val="auto"/>
              </w:rPr>
              <w:t>Missing</w:t>
            </w:r>
          </w:p>
        </w:tc>
        <w:tc>
          <w:tcPr>
            <w:tcW w:w="2302" w:type="dxa"/>
            <w:shd w:val="clear" w:color="auto" w:fill="auto"/>
            <w:vAlign w:val="center"/>
          </w:tcPr>
          <w:p w14:paraId="7348F451" w14:textId="77777777" w:rsidR="00FD6E36" w:rsidRPr="008B63A3" w:rsidRDefault="00FD6E36" w:rsidP="00164B2B">
            <w:pPr>
              <w:pStyle w:val="Default"/>
              <w:spacing w:line="360" w:lineRule="auto"/>
              <w:jc w:val="center"/>
              <w:rPr>
                <w:color w:val="auto"/>
              </w:rPr>
            </w:pPr>
            <w:r w:rsidRPr="008B63A3">
              <w:rPr>
                <w:color w:val="auto"/>
              </w:rPr>
              <w:t>14</w:t>
            </w:r>
          </w:p>
        </w:tc>
        <w:tc>
          <w:tcPr>
            <w:tcW w:w="2303" w:type="dxa"/>
            <w:shd w:val="clear" w:color="auto" w:fill="auto"/>
            <w:vAlign w:val="center"/>
          </w:tcPr>
          <w:p w14:paraId="50D1B98A" w14:textId="77777777" w:rsidR="00FD6E36" w:rsidRPr="008B63A3" w:rsidRDefault="00FD6E36" w:rsidP="00164B2B">
            <w:pPr>
              <w:pStyle w:val="Default"/>
              <w:spacing w:line="360" w:lineRule="auto"/>
              <w:jc w:val="center"/>
              <w:rPr>
                <w:color w:val="auto"/>
              </w:rPr>
            </w:pPr>
            <w:r w:rsidRPr="008B63A3">
              <w:rPr>
                <w:color w:val="auto"/>
              </w:rPr>
              <w:t>2.5</w:t>
            </w:r>
          </w:p>
        </w:tc>
        <w:tc>
          <w:tcPr>
            <w:tcW w:w="2303" w:type="dxa"/>
            <w:shd w:val="clear" w:color="auto" w:fill="auto"/>
            <w:vAlign w:val="center"/>
          </w:tcPr>
          <w:p w14:paraId="18C7D58D" w14:textId="77777777" w:rsidR="00FD6E36" w:rsidRPr="008B63A3" w:rsidRDefault="00FD6E36" w:rsidP="00164B2B">
            <w:pPr>
              <w:pStyle w:val="Default"/>
              <w:spacing w:line="360" w:lineRule="auto"/>
              <w:jc w:val="center"/>
              <w:rPr>
                <w:i/>
                <w:color w:val="auto"/>
              </w:rPr>
            </w:pPr>
            <w:r w:rsidRPr="008B63A3">
              <w:rPr>
                <w:i/>
                <w:color w:val="auto"/>
              </w:rPr>
              <w:t>Missing</w:t>
            </w:r>
          </w:p>
        </w:tc>
      </w:tr>
      <w:tr w:rsidR="008B63A3" w:rsidRPr="008B63A3" w14:paraId="2CD1FF3A" w14:textId="77777777" w:rsidTr="00164B2B">
        <w:tc>
          <w:tcPr>
            <w:tcW w:w="2302" w:type="dxa"/>
            <w:shd w:val="clear" w:color="auto" w:fill="auto"/>
          </w:tcPr>
          <w:p w14:paraId="662A6D83" w14:textId="77777777" w:rsidR="00FD6E36" w:rsidRPr="008B63A3" w:rsidRDefault="00FD6E36" w:rsidP="00164B2B">
            <w:pPr>
              <w:pStyle w:val="Default"/>
              <w:spacing w:line="360" w:lineRule="auto"/>
              <w:rPr>
                <w:color w:val="auto"/>
              </w:rPr>
            </w:pPr>
            <w:r w:rsidRPr="008B63A3">
              <w:rPr>
                <w:color w:val="auto"/>
              </w:rPr>
              <w:t>Relocation</w:t>
            </w:r>
          </w:p>
        </w:tc>
        <w:tc>
          <w:tcPr>
            <w:tcW w:w="2302" w:type="dxa"/>
            <w:shd w:val="clear" w:color="auto" w:fill="auto"/>
            <w:vAlign w:val="center"/>
          </w:tcPr>
          <w:p w14:paraId="04B836FA" w14:textId="77777777" w:rsidR="00FD6E36" w:rsidRPr="008B63A3" w:rsidRDefault="00FD6E36" w:rsidP="00164B2B">
            <w:pPr>
              <w:pStyle w:val="Default"/>
              <w:spacing w:line="360" w:lineRule="auto"/>
              <w:jc w:val="center"/>
              <w:rPr>
                <w:color w:val="auto"/>
              </w:rPr>
            </w:pPr>
            <w:r w:rsidRPr="008B63A3">
              <w:rPr>
                <w:color w:val="auto"/>
              </w:rPr>
              <w:t>16</w:t>
            </w:r>
          </w:p>
        </w:tc>
        <w:tc>
          <w:tcPr>
            <w:tcW w:w="2303" w:type="dxa"/>
            <w:shd w:val="clear" w:color="auto" w:fill="auto"/>
            <w:vAlign w:val="center"/>
          </w:tcPr>
          <w:p w14:paraId="2A21B604" w14:textId="77777777" w:rsidR="00FD6E36" w:rsidRPr="008B63A3" w:rsidRDefault="00FD6E36" w:rsidP="00164B2B">
            <w:pPr>
              <w:pStyle w:val="Default"/>
              <w:spacing w:line="360" w:lineRule="auto"/>
              <w:jc w:val="center"/>
              <w:rPr>
                <w:color w:val="auto"/>
              </w:rPr>
            </w:pPr>
            <w:r w:rsidRPr="008B63A3">
              <w:rPr>
                <w:color w:val="auto"/>
              </w:rPr>
              <w:t>2.9</w:t>
            </w:r>
          </w:p>
        </w:tc>
        <w:tc>
          <w:tcPr>
            <w:tcW w:w="2303" w:type="dxa"/>
            <w:shd w:val="clear" w:color="auto" w:fill="auto"/>
            <w:vAlign w:val="center"/>
          </w:tcPr>
          <w:p w14:paraId="6A507CD6" w14:textId="77777777" w:rsidR="00FD6E36" w:rsidRPr="008B63A3" w:rsidRDefault="00FD6E36" w:rsidP="00164B2B">
            <w:pPr>
              <w:pStyle w:val="Default"/>
              <w:spacing w:line="360" w:lineRule="auto"/>
              <w:jc w:val="center"/>
              <w:rPr>
                <w:color w:val="auto"/>
              </w:rPr>
            </w:pPr>
            <w:r w:rsidRPr="008B63A3">
              <w:rPr>
                <w:color w:val="auto"/>
              </w:rPr>
              <w:t>Survivor</w:t>
            </w:r>
          </w:p>
        </w:tc>
      </w:tr>
      <w:tr w:rsidR="008B63A3" w:rsidRPr="008B63A3" w14:paraId="02943E68" w14:textId="77777777" w:rsidTr="00164B2B">
        <w:tc>
          <w:tcPr>
            <w:tcW w:w="2302" w:type="dxa"/>
            <w:shd w:val="clear" w:color="auto" w:fill="auto"/>
          </w:tcPr>
          <w:p w14:paraId="0F39139D" w14:textId="77777777" w:rsidR="00FD6E36" w:rsidRPr="008B63A3" w:rsidRDefault="00FD6E36" w:rsidP="00164B2B">
            <w:pPr>
              <w:pStyle w:val="Default"/>
              <w:spacing w:line="360" w:lineRule="auto"/>
              <w:rPr>
                <w:color w:val="auto"/>
              </w:rPr>
            </w:pPr>
            <w:r w:rsidRPr="008B63A3">
              <w:rPr>
                <w:color w:val="auto"/>
              </w:rPr>
              <w:t>Institutionalized</w:t>
            </w:r>
          </w:p>
        </w:tc>
        <w:tc>
          <w:tcPr>
            <w:tcW w:w="2302" w:type="dxa"/>
            <w:shd w:val="clear" w:color="auto" w:fill="auto"/>
            <w:vAlign w:val="center"/>
          </w:tcPr>
          <w:p w14:paraId="1BB222B6" w14:textId="77777777" w:rsidR="00FD6E36" w:rsidRPr="008B63A3" w:rsidRDefault="00FD6E36" w:rsidP="00164B2B">
            <w:pPr>
              <w:pStyle w:val="Default"/>
              <w:spacing w:line="360" w:lineRule="auto"/>
              <w:jc w:val="center"/>
              <w:rPr>
                <w:color w:val="auto"/>
              </w:rPr>
            </w:pPr>
            <w:r w:rsidRPr="008B63A3">
              <w:rPr>
                <w:color w:val="auto"/>
              </w:rPr>
              <w:t>3</w:t>
            </w:r>
          </w:p>
        </w:tc>
        <w:tc>
          <w:tcPr>
            <w:tcW w:w="2303" w:type="dxa"/>
            <w:shd w:val="clear" w:color="auto" w:fill="auto"/>
            <w:vAlign w:val="center"/>
          </w:tcPr>
          <w:p w14:paraId="1BEA6E32" w14:textId="77777777" w:rsidR="00FD6E36" w:rsidRPr="008B63A3" w:rsidRDefault="00FD6E36" w:rsidP="00164B2B">
            <w:pPr>
              <w:pStyle w:val="Default"/>
              <w:spacing w:line="360" w:lineRule="auto"/>
              <w:jc w:val="center"/>
              <w:rPr>
                <w:color w:val="auto"/>
              </w:rPr>
            </w:pPr>
            <w:r w:rsidRPr="008B63A3">
              <w:rPr>
                <w:color w:val="auto"/>
              </w:rPr>
              <w:t>0.5</w:t>
            </w:r>
          </w:p>
        </w:tc>
        <w:tc>
          <w:tcPr>
            <w:tcW w:w="2303" w:type="dxa"/>
            <w:shd w:val="clear" w:color="auto" w:fill="auto"/>
            <w:vAlign w:val="center"/>
          </w:tcPr>
          <w:p w14:paraId="0B9231FC" w14:textId="77777777" w:rsidR="00FD6E36" w:rsidRPr="008B63A3" w:rsidRDefault="00FD6E36" w:rsidP="00164B2B">
            <w:pPr>
              <w:pStyle w:val="Default"/>
              <w:spacing w:line="360" w:lineRule="auto"/>
              <w:jc w:val="center"/>
              <w:rPr>
                <w:color w:val="auto"/>
              </w:rPr>
            </w:pPr>
            <w:r w:rsidRPr="008B63A3">
              <w:rPr>
                <w:color w:val="auto"/>
              </w:rPr>
              <w:t xml:space="preserve">Survivor </w:t>
            </w:r>
          </w:p>
        </w:tc>
      </w:tr>
      <w:tr w:rsidR="008B63A3" w:rsidRPr="008B63A3" w14:paraId="5F58D7D2" w14:textId="77777777" w:rsidTr="00164B2B">
        <w:tc>
          <w:tcPr>
            <w:tcW w:w="2302" w:type="dxa"/>
            <w:shd w:val="clear" w:color="auto" w:fill="auto"/>
          </w:tcPr>
          <w:p w14:paraId="0C2AD58E" w14:textId="77777777" w:rsidR="00FD6E36" w:rsidRPr="008B63A3" w:rsidRDefault="00FD6E36" w:rsidP="00164B2B">
            <w:pPr>
              <w:pStyle w:val="Default"/>
              <w:spacing w:line="360" w:lineRule="auto"/>
              <w:rPr>
                <w:color w:val="auto"/>
              </w:rPr>
            </w:pPr>
            <w:r w:rsidRPr="008B63A3">
              <w:rPr>
                <w:color w:val="auto"/>
              </w:rPr>
              <w:t xml:space="preserve">RTP </w:t>
            </w:r>
          </w:p>
        </w:tc>
        <w:tc>
          <w:tcPr>
            <w:tcW w:w="2302" w:type="dxa"/>
            <w:shd w:val="clear" w:color="auto" w:fill="auto"/>
            <w:vAlign w:val="center"/>
          </w:tcPr>
          <w:p w14:paraId="624F5DC9" w14:textId="77777777" w:rsidR="00FD6E36" w:rsidRPr="008B63A3" w:rsidRDefault="00FD6E36" w:rsidP="00164B2B">
            <w:pPr>
              <w:pStyle w:val="Default"/>
              <w:spacing w:line="360" w:lineRule="auto"/>
              <w:jc w:val="center"/>
              <w:rPr>
                <w:color w:val="auto"/>
              </w:rPr>
            </w:pPr>
            <w:r w:rsidRPr="008B63A3">
              <w:rPr>
                <w:color w:val="auto"/>
              </w:rPr>
              <w:t>15</w:t>
            </w:r>
          </w:p>
        </w:tc>
        <w:tc>
          <w:tcPr>
            <w:tcW w:w="2303" w:type="dxa"/>
            <w:shd w:val="clear" w:color="auto" w:fill="auto"/>
            <w:vAlign w:val="center"/>
          </w:tcPr>
          <w:p w14:paraId="19CDD782" w14:textId="77777777" w:rsidR="00FD6E36" w:rsidRPr="008B63A3" w:rsidRDefault="00FD6E36" w:rsidP="00164B2B">
            <w:pPr>
              <w:pStyle w:val="Default"/>
              <w:spacing w:line="360" w:lineRule="auto"/>
              <w:jc w:val="center"/>
              <w:rPr>
                <w:color w:val="auto"/>
              </w:rPr>
            </w:pPr>
            <w:r w:rsidRPr="008B63A3">
              <w:rPr>
                <w:color w:val="auto"/>
              </w:rPr>
              <w:t>2.6</w:t>
            </w:r>
          </w:p>
        </w:tc>
        <w:tc>
          <w:tcPr>
            <w:tcW w:w="2303" w:type="dxa"/>
            <w:shd w:val="clear" w:color="auto" w:fill="auto"/>
            <w:vAlign w:val="center"/>
          </w:tcPr>
          <w:p w14:paraId="08D14536" w14:textId="77777777" w:rsidR="00FD6E36" w:rsidRPr="008B63A3" w:rsidRDefault="00FD6E36" w:rsidP="00164B2B">
            <w:pPr>
              <w:pStyle w:val="Default"/>
              <w:spacing w:line="360" w:lineRule="auto"/>
              <w:jc w:val="center"/>
              <w:rPr>
                <w:color w:val="auto"/>
              </w:rPr>
            </w:pPr>
            <w:r w:rsidRPr="008B63A3">
              <w:rPr>
                <w:color w:val="auto"/>
              </w:rPr>
              <w:t>Survivor</w:t>
            </w:r>
          </w:p>
        </w:tc>
      </w:tr>
      <w:tr w:rsidR="008B63A3" w:rsidRPr="008B63A3" w14:paraId="75CF516D" w14:textId="77777777" w:rsidTr="00164B2B">
        <w:tc>
          <w:tcPr>
            <w:tcW w:w="2302" w:type="dxa"/>
            <w:shd w:val="clear" w:color="auto" w:fill="auto"/>
          </w:tcPr>
          <w:p w14:paraId="6E5C7DC2" w14:textId="77777777" w:rsidR="00FD6E36" w:rsidRPr="008B63A3" w:rsidRDefault="00FD6E36" w:rsidP="00164B2B">
            <w:pPr>
              <w:pStyle w:val="Default"/>
              <w:spacing w:line="360" w:lineRule="auto"/>
              <w:rPr>
                <w:b/>
                <w:color w:val="auto"/>
              </w:rPr>
            </w:pPr>
            <w:r w:rsidRPr="008B63A3">
              <w:rPr>
                <w:b/>
                <w:color w:val="auto"/>
              </w:rPr>
              <w:t>Total</w:t>
            </w:r>
          </w:p>
        </w:tc>
        <w:tc>
          <w:tcPr>
            <w:tcW w:w="2302" w:type="dxa"/>
            <w:shd w:val="clear" w:color="auto" w:fill="auto"/>
            <w:vAlign w:val="center"/>
          </w:tcPr>
          <w:p w14:paraId="6D517FF3" w14:textId="77777777" w:rsidR="00FD6E36" w:rsidRPr="008B63A3" w:rsidRDefault="00FD6E36" w:rsidP="00164B2B">
            <w:pPr>
              <w:pStyle w:val="Default"/>
              <w:spacing w:line="360" w:lineRule="auto"/>
              <w:jc w:val="center"/>
              <w:rPr>
                <w:b/>
                <w:color w:val="auto"/>
              </w:rPr>
            </w:pPr>
            <w:r w:rsidRPr="008B63A3">
              <w:rPr>
                <w:b/>
                <w:color w:val="auto"/>
              </w:rPr>
              <w:t>568</w:t>
            </w:r>
          </w:p>
        </w:tc>
        <w:tc>
          <w:tcPr>
            <w:tcW w:w="2303" w:type="dxa"/>
            <w:shd w:val="clear" w:color="auto" w:fill="auto"/>
            <w:vAlign w:val="center"/>
          </w:tcPr>
          <w:p w14:paraId="6AA66C82" w14:textId="77777777" w:rsidR="00FD6E36" w:rsidRPr="008B63A3" w:rsidRDefault="00FD6E36" w:rsidP="00164B2B">
            <w:pPr>
              <w:pStyle w:val="Default"/>
              <w:spacing w:line="360" w:lineRule="auto"/>
              <w:jc w:val="center"/>
              <w:rPr>
                <w:b/>
                <w:color w:val="auto"/>
              </w:rPr>
            </w:pPr>
            <w:r w:rsidRPr="008B63A3">
              <w:rPr>
                <w:b/>
                <w:color w:val="auto"/>
              </w:rPr>
              <w:t>100</w:t>
            </w:r>
          </w:p>
        </w:tc>
        <w:tc>
          <w:tcPr>
            <w:tcW w:w="2303" w:type="dxa"/>
            <w:shd w:val="clear" w:color="auto" w:fill="auto"/>
          </w:tcPr>
          <w:p w14:paraId="0D9DB256" w14:textId="77777777" w:rsidR="00FD6E36" w:rsidRPr="008B63A3" w:rsidRDefault="00FD6E36" w:rsidP="00164B2B">
            <w:pPr>
              <w:pStyle w:val="Default"/>
              <w:spacing w:line="360" w:lineRule="auto"/>
              <w:jc w:val="both"/>
              <w:rPr>
                <w:b/>
                <w:color w:val="auto"/>
              </w:rPr>
            </w:pPr>
          </w:p>
        </w:tc>
      </w:tr>
    </w:tbl>
    <w:p w14:paraId="2D73A7AD" w14:textId="77777777" w:rsidR="00FD6E36" w:rsidRPr="008B63A3" w:rsidRDefault="00FD6E36" w:rsidP="00FD6E36">
      <w:pPr>
        <w:spacing w:line="360" w:lineRule="auto"/>
        <w:jc w:val="both"/>
        <w:rPr>
          <w:sz w:val="24"/>
          <w:szCs w:val="24"/>
        </w:rPr>
      </w:pPr>
      <w:r w:rsidRPr="008B63A3">
        <w:rPr>
          <w:sz w:val="24"/>
          <w:szCs w:val="24"/>
        </w:rPr>
        <w:t>Note: RTP = refused to participate; Study SABE 2010-2014.</w:t>
      </w:r>
    </w:p>
    <w:p w14:paraId="36638076" w14:textId="77777777" w:rsidR="00166793" w:rsidRPr="008B63A3" w:rsidRDefault="00166793">
      <w:r w:rsidRPr="008B63A3">
        <w:br w:type="page"/>
      </w:r>
    </w:p>
    <w:p w14:paraId="2F17C384" w14:textId="6B1F99FD" w:rsidR="00FD6E36" w:rsidRPr="008B63A3" w:rsidRDefault="00FD6E36" w:rsidP="00FD6E36">
      <w:pPr>
        <w:spacing w:line="360" w:lineRule="auto"/>
        <w:jc w:val="both"/>
        <w:rPr>
          <w:b/>
          <w:sz w:val="24"/>
          <w:szCs w:val="24"/>
          <w:highlight w:val="yellow"/>
        </w:rPr>
      </w:pPr>
      <w:r w:rsidRPr="008B63A3">
        <w:rPr>
          <w:b/>
          <w:sz w:val="24"/>
          <w:szCs w:val="24"/>
        </w:rPr>
        <w:lastRenderedPageBreak/>
        <w:t>Table 2.</w:t>
      </w:r>
      <w:r w:rsidRPr="008B63A3">
        <w:rPr>
          <w:sz w:val="24"/>
          <w:szCs w:val="24"/>
        </w:rPr>
        <w:t xml:space="preserve"> Distribution (%) of the sample according to the level of physical activity and sociodemographic variables. SABE Study: City of São Paulo, 2010.</w:t>
      </w:r>
    </w:p>
    <w:tbl>
      <w:tblPr>
        <w:tblW w:w="8257" w:type="dxa"/>
        <w:tblBorders>
          <w:top w:val="single" w:sz="4" w:space="0" w:color="auto"/>
          <w:bottom w:val="single" w:sz="4" w:space="0" w:color="auto"/>
        </w:tblBorders>
        <w:tblLook w:val="04A0" w:firstRow="1" w:lastRow="0" w:firstColumn="1" w:lastColumn="0" w:noHBand="0" w:noVBand="1"/>
      </w:tblPr>
      <w:tblGrid>
        <w:gridCol w:w="13"/>
        <w:gridCol w:w="3079"/>
        <w:gridCol w:w="1694"/>
        <w:gridCol w:w="51"/>
        <w:gridCol w:w="2303"/>
        <w:gridCol w:w="36"/>
        <w:gridCol w:w="1012"/>
        <w:gridCol w:w="69"/>
      </w:tblGrid>
      <w:tr w:rsidR="008B63A3" w:rsidRPr="008B63A3" w14:paraId="6B4AACE1" w14:textId="77777777" w:rsidTr="00164B2B">
        <w:tc>
          <w:tcPr>
            <w:tcW w:w="3092" w:type="dxa"/>
            <w:gridSpan w:val="2"/>
            <w:tcBorders>
              <w:top w:val="single" w:sz="4" w:space="0" w:color="auto"/>
              <w:bottom w:val="single" w:sz="4" w:space="0" w:color="auto"/>
            </w:tcBorders>
            <w:shd w:val="clear" w:color="auto" w:fill="auto"/>
            <w:vAlign w:val="center"/>
          </w:tcPr>
          <w:p w14:paraId="3DB4683C" w14:textId="77777777" w:rsidR="00FD6E36" w:rsidRPr="008B63A3" w:rsidRDefault="00FD6E36" w:rsidP="00164B2B">
            <w:pPr>
              <w:rPr>
                <w:b/>
                <w:sz w:val="24"/>
                <w:szCs w:val="24"/>
              </w:rPr>
            </w:pPr>
            <w:r w:rsidRPr="008B63A3">
              <w:rPr>
                <w:b/>
                <w:sz w:val="24"/>
                <w:szCs w:val="24"/>
              </w:rPr>
              <w:t>Variables</w:t>
            </w:r>
          </w:p>
        </w:tc>
        <w:tc>
          <w:tcPr>
            <w:tcW w:w="1745" w:type="dxa"/>
            <w:gridSpan w:val="2"/>
            <w:tcBorders>
              <w:top w:val="single" w:sz="4" w:space="0" w:color="auto"/>
              <w:bottom w:val="single" w:sz="4" w:space="0" w:color="auto"/>
            </w:tcBorders>
            <w:shd w:val="clear" w:color="auto" w:fill="auto"/>
            <w:vAlign w:val="center"/>
          </w:tcPr>
          <w:p w14:paraId="4D0F9200" w14:textId="77777777" w:rsidR="00FD6E36" w:rsidRPr="008B63A3" w:rsidRDefault="00FD6E36" w:rsidP="00164B2B">
            <w:pPr>
              <w:jc w:val="center"/>
              <w:rPr>
                <w:b/>
                <w:sz w:val="24"/>
                <w:szCs w:val="24"/>
              </w:rPr>
            </w:pPr>
            <w:r w:rsidRPr="008B63A3">
              <w:rPr>
                <w:b/>
                <w:sz w:val="24"/>
                <w:szCs w:val="24"/>
              </w:rPr>
              <w:t>Low level of physical activity</w:t>
            </w:r>
          </w:p>
        </w:tc>
        <w:tc>
          <w:tcPr>
            <w:tcW w:w="2303" w:type="dxa"/>
            <w:tcBorders>
              <w:top w:val="single" w:sz="4" w:space="0" w:color="auto"/>
              <w:bottom w:val="single" w:sz="4" w:space="0" w:color="auto"/>
            </w:tcBorders>
            <w:shd w:val="clear" w:color="auto" w:fill="auto"/>
            <w:vAlign w:val="center"/>
          </w:tcPr>
          <w:p w14:paraId="6960D96C" w14:textId="77777777" w:rsidR="00FD6E36" w:rsidRPr="008B63A3" w:rsidRDefault="00FD6E36" w:rsidP="00164B2B">
            <w:pPr>
              <w:jc w:val="center"/>
              <w:rPr>
                <w:b/>
                <w:sz w:val="24"/>
                <w:szCs w:val="24"/>
              </w:rPr>
            </w:pPr>
            <w:r w:rsidRPr="008B63A3">
              <w:rPr>
                <w:b/>
                <w:sz w:val="24"/>
                <w:szCs w:val="24"/>
              </w:rPr>
              <w:t>Intermediate/high level of physical activity</w:t>
            </w:r>
          </w:p>
        </w:tc>
        <w:tc>
          <w:tcPr>
            <w:tcW w:w="1117" w:type="dxa"/>
            <w:gridSpan w:val="3"/>
            <w:tcBorders>
              <w:top w:val="single" w:sz="4" w:space="0" w:color="auto"/>
              <w:bottom w:val="single" w:sz="4" w:space="0" w:color="auto"/>
            </w:tcBorders>
            <w:shd w:val="clear" w:color="auto" w:fill="auto"/>
            <w:vAlign w:val="center"/>
          </w:tcPr>
          <w:p w14:paraId="4381F2C1" w14:textId="77777777" w:rsidR="00FD6E36" w:rsidRPr="008B63A3" w:rsidRDefault="00FD6E36" w:rsidP="00164B2B">
            <w:pPr>
              <w:jc w:val="center"/>
              <w:rPr>
                <w:b/>
                <w:sz w:val="24"/>
                <w:szCs w:val="24"/>
              </w:rPr>
            </w:pPr>
            <w:r w:rsidRPr="008B63A3">
              <w:rPr>
                <w:b/>
                <w:sz w:val="24"/>
                <w:szCs w:val="24"/>
              </w:rPr>
              <w:t>p</w:t>
            </w:r>
          </w:p>
        </w:tc>
      </w:tr>
      <w:tr w:rsidR="008B63A3" w:rsidRPr="008B63A3" w14:paraId="017BA2F0" w14:textId="77777777" w:rsidTr="00164B2B">
        <w:tc>
          <w:tcPr>
            <w:tcW w:w="3092" w:type="dxa"/>
            <w:gridSpan w:val="2"/>
            <w:tcBorders>
              <w:top w:val="single" w:sz="4" w:space="0" w:color="auto"/>
              <w:bottom w:val="nil"/>
            </w:tcBorders>
            <w:shd w:val="clear" w:color="auto" w:fill="auto"/>
          </w:tcPr>
          <w:p w14:paraId="2AD71A9E" w14:textId="77777777" w:rsidR="00FD6E36" w:rsidRPr="008B63A3" w:rsidRDefault="00FD6E36" w:rsidP="00164B2B">
            <w:pPr>
              <w:spacing w:line="360" w:lineRule="auto"/>
              <w:jc w:val="both"/>
              <w:rPr>
                <w:b/>
                <w:sz w:val="24"/>
                <w:szCs w:val="24"/>
              </w:rPr>
            </w:pPr>
            <w:r w:rsidRPr="008B63A3">
              <w:rPr>
                <w:b/>
                <w:sz w:val="24"/>
                <w:szCs w:val="24"/>
              </w:rPr>
              <w:t>Gender</w:t>
            </w:r>
          </w:p>
        </w:tc>
        <w:tc>
          <w:tcPr>
            <w:tcW w:w="1745" w:type="dxa"/>
            <w:gridSpan w:val="2"/>
            <w:tcBorders>
              <w:top w:val="single" w:sz="4" w:space="0" w:color="auto"/>
              <w:bottom w:val="nil"/>
            </w:tcBorders>
            <w:shd w:val="clear" w:color="auto" w:fill="auto"/>
            <w:vAlign w:val="center"/>
          </w:tcPr>
          <w:p w14:paraId="1924E203" w14:textId="77777777" w:rsidR="00FD6E36" w:rsidRPr="008B63A3" w:rsidRDefault="00FD6E36" w:rsidP="00164B2B">
            <w:pPr>
              <w:spacing w:line="360" w:lineRule="auto"/>
              <w:jc w:val="center"/>
              <w:rPr>
                <w:sz w:val="24"/>
                <w:szCs w:val="24"/>
              </w:rPr>
            </w:pPr>
          </w:p>
        </w:tc>
        <w:tc>
          <w:tcPr>
            <w:tcW w:w="2303" w:type="dxa"/>
            <w:tcBorders>
              <w:top w:val="single" w:sz="4" w:space="0" w:color="auto"/>
              <w:bottom w:val="nil"/>
            </w:tcBorders>
            <w:shd w:val="clear" w:color="auto" w:fill="auto"/>
            <w:vAlign w:val="center"/>
          </w:tcPr>
          <w:p w14:paraId="36FF52ED" w14:textId="77777777" w:rsidR="00FD6E36" w:rsidRPr="008B63A3" w:rsidRDefault="00FD6E36" w:rsidP="00164B2B">
            <w:pPr>
              <w:spacing w:line="360" w:lineRule="auto"/>
              <w:jc w:val="center"/>
              <w:rPr>
                <w:sz w:val="24"/>
                <w:szCs w:val="24"/>
              </w:rPr>
            </w:pPr>
          </w:p>
        </w:tc>
        <w:tc>
          <w:tcPr>
            <w:tcW w:w="1117" w:type="dxa"/>
            <w:gridSpan w:val="3"/>
            <w:tcBorders>
              <w:top w:val="single" w:sz="4" w:space="0" w:color="auto"/>
              <w:bottom w:val="nil"/>
            </w:tcBorders>
            <w:shd w:val="clear" w:color="auto" w:fill="auto"/>
            <w:vAlign w:val="center"/>
          </w:tcPr>
          <w:p w14:paraId="7C1D0CA9" w14:textId="77777777" w:rsidR="00FD6E36" w:rsidRPr="008B63A3" w:rsidRDefault="00FD6E36" w:rsidP="00164B2B">
            <w:pPr>
              <w:spacing w:line="360" w:lineRule="auto"/>
              <w:jc w:val="right"/>
              <w:rPr>
                <w:sz w:val="24"/>
                <w:szCs w:val="24"/>
              </w:rPr>
            </w:pPr>
          </w:p>
        </w:tc>
      </w:tr>
      <w:tr w:rsidR="008B63A3" w:rsidRPr="008B63A3" w14:paraId="5CEB185C" w14:textId="77777777" w:rsidTr="00164B2B">
        <w:tc>
          <w:tcPr>
            <w:tcW w:w="3092" w:type="dxa"/>
            <w:gridSpan w:val="2"/>
            <w:tcBorders>
              <w:top w:val="nil"/>
              <w:bottom w:val="nil"/>
            </w:tcBorders>
            <w:shd w:val="clear" w:color="auto" w:fill="auto"/>
          </w:tcPr>
          <w:p w14:paraId="7F268842" w14:textId="77777777" w:rsidR="00FD6E36" w:rsidRPr="008B63A3" w:rsidRDefault="00FD6E36" w:rsidP="00164B2B">
            <w:pPr>
              <w:spacing w:line="360" w:lineRule="auto"/>
              <w:jc w:val="both"/>
              <w:rPr>
                <w:sz w:val="24"/>
                <w:szCs w:val="24"/>
              </w:rPr>
            </w:pPr>
            <w:r w:rsidRPr="008B63A3">
              <w:rPr>
                <w:sz w:val="24"/>
                <w:szCs w:val="24"/>
              </w:rPr>
              <w:t xml:space="preserve">     Men</w:t>
            </w:r>
          </w:p>
        </w:tc>
        <w:tc>
          <w:tcPr>
            <w:tcW w:w="1745" w:type="dxa"/>
            <w:gridSpan w:val="2"/>
            <w:tcBorders>
              <w:top w:val="nil"/>
              <w:bottom w:val="nil"/>
            </w:tcBorders>
            <w:shd w:val="clear" w:color="auto" w:fill="auto"/>
            <w:vAlign w:val="center"/>
          </w:tcPr>
          <w:p w14:paraId="0446393A" w14:textId="77777777" w:rsidR="00FD6E36" w:rsidRPr="008B63A3" w:rsidRDefault="00FD6E36" w:rsidP="00164B2B">
            <w:pPr>
              <w:spacing w:line="360" w:lineRule="auto"/>
              <w:jc w:val="center"/>
              <w:rPr>
                <w:sz w:val="24"/>
                <w:szCs w:val="24"/>
              </w:rPr>
            </w:pPr>
            <w:r w:rsidRPr="008B63A3">
              <w:rPr>
                <w:sz w:val="24"/>
                <w:szCs w:val="24"/>
              </w:rPr>
              <w:t>30.15</w:t>
            </w:r>
          </w:p>
        </w:tc>
        <w:tc>
          <w:tcPr>
            <w:tcW w:w="2303" w:type="dxa"/>
            <w:tcBorders>
              <w:top w:val="nil"/>
              <w:bottom w:val="nil"/>
            </w:tcBorders>
            <w:shd w:val="clear" w:color="auto" w:fill="auto"/>
            <w:vAlign w:val="center"/>
          </w:tcPr>
          <w:p w14:paraId="150E1EA5" w14:textId="77777777" w:rsidR="00FD6E36" w:rsidRPr="008B63A3" w:rsidRDefault="00FD6E36" w:rsidP="00164B2B">
            <w:pPr>
              <w:spacing w:line="360" w:lineRule="auto"/>
              <w:jc w:val="center"/>
              <w:rPr>
                <w:sz w:val="24"/>
                <w:szCs w:val="24"/>
              </w:rPr>
            </w:pPr>
            <w:r w:rsidRPr="008B63A3">
              <w:rPr>
                <w:sz w:val="24"/>
                <w:szCs w:val="24"/>
              </w:rPr>
              <w:t>69.85</w:t>
            </w:r>
          </w:p>
        </w:tc>
        <w:tc>
          <w:tcPr>
            <w:tcW w:w="1117" w:type="dxa"/>
            <w:gridSpan w:val="3"/>
            <w:vMerge w:val="restart"/>
            <w:tcBorders>
              <w:top w:val="nil"/>
            </w:tcBorders>
            <w:shd w:val="clear" w:color="auto" w:fill="auto"/>
            <w:vAlign w:val="center"/>
          </w:tcPr>
          <w:p w14:paraId="59BA58BC" w14:textId="77777777" w:rsidR="00FD6E36" w:rsidRPr="008B63A3" w:rsidRDefault="00FD6E36" w:rsidP="00164B2B">
            <w:pPr>
              <w:spacing w:line="360" w:lineRule="auto"/>
              <w:jc w:val="center"/>
              <w:rPr>
                <w:sz w:val="24"/>
                <w:szCs w:val="24"/>
              </w:rPr>
            </w:pPr>
            <w:r w:rsidRPr="008B63A3">
              <w:rPr>
                <w:sz w:val="24"/>
                <w:szCs w:val="24"/>
              </w:rPr>
              <w:t>0.1700</w:t>
            </w:r>
          </w:p>
        </w:tc>
      </w:tr>
      <w:tr w:rsidR="008B63A3" w:rsidRPr="008B63A3" w14:paraId="102468AA" w14:textId="77777777" w:rsidTr="00164B2B">
        <w:tc>
          <w:tcPr>
            <w:tcW w:w="3092" w:type="dxa"/>
            <w:gridSpan w:val="2"/>
            <w:tcBorders>
              <w:top w:val="nil"/>
              <w:bottom w:val="nil"/>
            </w:tcBorders>
            <w:shd w:val="clear" w:color="auto" w:fill="auto"/>
          </w:tcPr>
          <w:p w14:paraId="4212691F" w14:textId="77777777" w:rsidR="00FD6E36" w:rsidRPr="008B63A3" w:rsidRDefault="00FD6E36" w:rsidP="00164B2B">
            <w:pPr>
              <w:spacing w:line="360" w:lineRule="auto"/>
              <w:jc w:val="both"/>
              <w:rPr>
                <w:sz w:val="24"/>
                <w:szCs w:val="24"/>
              </w:rPr>
            </w:pPr>
            <w:r w:rsidRPr="008B63A3">
              <w:rPr>
                <w:sz w:val="24"/>
                <w:szCs w:val="24"/>
              </w:rPr>
              <w:t xml:space="preserve">     Women</w:t>
            </w:r>
          </w:p>
        </w:tc>
        <w:tc>
          <w:tcPr>
            <w:tcW w:w="1745" w:type="dxa"/>
            <w:gridSpan w:val="2"/>
            <w:tcBorders>
              <w:top w:val="nil"/>
              <w:bottom w:val="nil"/>
            </w:tcBorders>
            <w:shd w:val="clear" w:color="auto" w:fill="auto"/>
            <w:vAlign w:val="center"/>
          </w:tcPr>
          <w:p w14:paraId="5757B316" w14:textId="77777777" w:rsidR="00FD6E36" w:rsidRPr="008B63A3" w:rsidRDefault="00FD6E36" w:rsidP="00164B2B">
            <w:pPr>
              <w:spacing w:line="360" w:lineRule="auto"/>
              <w:jc w:val="center"/>
              <w:rPr>
                <w:sz w:val="24"/>
                <w:szCs w:val="24"/>
              </w:rPr>
            </w:pPr>
            <w:r w:rsidRPr="008B63A3">
              <w:rPr>
                <w:sz w:val="24"/>
                <w:szCs w:val="24"/>
              </w:rPr>
              <w:t>25.34</w:t>
            </w:r>
          </w:p>
        </w:tc>
        <w:tc>
          <w:tcPr>
            <w:tcW w:w="2303" w:type="dxa"/>
            <w:tcBorders>
              <w:top w:val="nil"/>
              <w:bottom w:val="nil"/>
            </w:tcBorders>
            <w:shd w:val="clear" w:color="auto" w:fill="auto"/>
            <w:vAlign w:val="center"/>
          </w:tcPr>
          <w:p w14:paraId="5A7E3140" w14:textId="77777777" w:rsidR="00FD6E36" w:rsidRPr="008B63A3" w:rsidRDefault="00FD6E36" w:rsidP="00164B2B">
            <w:pPr>
              <w:spacing w:line="360" w:lineRule="auto"/>
              <w:jc w:val="center"/>
              <w:rPr>
                <w:sz w:val="24"/>
                <w:szCs w:val="24"/>
              </w:rPr>
            </w:pPr>
            <w:r w:rsidRPr="008B63A3">
              <w:rPr>
                <w:sz w:val="24"/>
                <w:szCs w:val="24"/>
              </w:rPr>
              <w:t>74.66</w:t>
            </w:r>
          </w:p>
        </w:tc>
        <w:tc>
          <w:tcPr>
            <w:tcW w:w="1117" w:type="dxa"/>
            <w:gridSpan w:val="3"/>
            <w:vMerge/>
            <w:tcBorders>
              <w:bottom w:val="nil"/>
            </w:tcBorders>
            <w:shd w:val="clear" w:color="auto" w:fill="auto"/>
            <w:vAlign w:val="center"/>
          </w:tcPr>
          <w:p w14:paraId="3634516C" w14:textId="77777777" w:rsidR="00FD6E36" w:rsidRPr="008B63A3" w:rsidRDefault="00FD6E36" w:rsidP="00164B2B">
            <w:pPr>
              <w:spacing w:line="360" w:lineRule="auto"/>
              <w:jc w:val="center"/>
              <w:rPr>
                <w:sz w:val="24"/>
                <w:szCs w:val="24"/>
              </w:rPr>
            </w:pPr>
          </w:p>
        </w:tc>
      </w:tr>
      <w:tr w:rsidR="008B63A3" w:rsidRPr="008B63A3" w14:paraId="0A3C7058" w14:textId="77777777" w:rsidTr="00164B2B">
        <w:tc>
          <w:tcPr>
            <w:tcW w:w="3092" w:type="dxa"/>
            <w:gridSpan w:val="2"/>
            <w:tcBorders>
              <w:top w:val="nil"/>
            </w:tcBorders>
            <w:shd w:val="clear" w:color="auto" w:fill="auto"/>
          </w:tcPr>
          <w:p w14:paraId="5FCFFFB9" w14:textId="77777777" w:rsidR="00FD6E36" w:rsidRPr="008B63A3" w:rsidRDefault="00FD6E36" w:rsidP="00164B2B">
            <w:pPr>
              <w:spacing w:line="360" w:lineRule="auto"/>
              <w:jc w:val="both"/>
              <w:rPr>
                <w:b/>
                <w:sz w:val="24"/>
                <w:szCs w:val="24"/>
              </w:rPr>
            </w:pPr>
            <w:r w:rsidRPr="008B63A3">
              <w:rPr>
                <w:b/>
                <w:sz w:val="24"/>
                <w:szCs w:val="24"/>
              </w:rPr>
              <w:t xml:space="preserve">Age </w:t>
            </w:r>
          </w:p>
        </w:tc>
        <w:tc>
          <w:tcPr>
            <w:tcW w:w="1745" w:type="dxa"/>
            <w:gridSpan w:val="2"/>
            <w:tcBorders>
              <w:top w:val="nil"/>
            </w:tcBorders>
            <w:shd w:val="clear" w:color="auto" w:fill="auto"/>
            <w:vAlign w:val="center"/>
          </w:tcPr>
          <w:p w14:paraId="49923E5D" w14:textId="77777777" w:rsidR="00FD6E36" w:rsidRPr="008B63A3" w:rsidRDefault="00FD6E36" w:rsidP="00164B2B">
            <w:pPr>
              <w:spacing w:line="360" w:lineRule="auto"/>
              <w:jc w:val="center"/>
              <w:rPr>
                <w:sz w:val="24"/>
                <w:szCs w:val="24"/>
              </w:rPr>
            </w:pPr>
          </w:p>
        </w:tc>
        <w:tc>
          <w:tcPr>
            <w:tcW w:w="2303" w:type="dxa"/>
            <w:tcBorders>
              <w:top w:val="nil"/>
            </w:tcBorders>
            <w:shd w:val="clear" w:color="auto" w:fill="auto"/>
            <w:vAlign w:val="center"/>
          </w:tcPr>
          <w:p w14:paraId="0A6F4DAE" w14:textId="77777777" w:rsidR="00FD6E36" w:rsidRPr="008B63A3" w:rsidRDefault="00FD6E36" w:rsidP="00164B2B">
            <w:pPr>
              <w:spacing w:line="360" w:lineRule="auto"/>
              <w:jc w:val="center"/>
              <w:rPr>
                <w:sz w:val="24"/>
                <w:szCs w:val="24"/>
              </w:rPr>
            </w:pPr>
          </w:p>
        </w:tc>
        <w:tc>
          <w:tcPr>
            <w:tcW w:w="1117" w:type="dxa"/>
            <w:gridSpan w:val="3"/>
            <w:tcBorders>
              <w:top w:val="nil"/>
            </w:tcBorders>
            <w:shd w:val="clear" w:color="auto" w:fill="auto"/>
            <w:vAlign w:val="center"/>
          </w:tcPr>
          <w:p w14:paraId="6B03C228" w14:textId="77777777" w:rsidR="00FD6E36" w:rsidRPr="008B63A3" w:rsidRDefault="00FD6E36" w:rsidP="00164B2B">
            <w:pPr>
              <w:spacing w:line="360" w:lineRule="auto"/>
              <w:jc w:val="center"/>
              <w:rPr>
                <w:sz w:val="24"/>
                <w:szCs w:val="24"/>
              </w:rPr>
            </w:pPr>
          </w:p>
        </w:tc>
      </w:tr>
      <w:tr w:rsidR="008B63A3" w:rsidRPr="008B63A3" w14:paraId="65AD5CE6" w14:textId="77777777" w:rsidTr="00164B2B">
        <w:tc>
          <w:tcPr>
            <w:tcW w:w="3092" w:type="dxa"/>
            <w:gridSpan w:val="2"/>
            <w:shd w:val="clear" w:color="auto" w:fill="auto"/>
          </w:tcPr>
          <w:p w14:paraId="4BAEA487" w14:textId="77777777" w:rsidR="00FD6E36" w:rsidRPr="008B63A3" w:rsidRDefault="00FD6E36" w:rsidP="00164B2B">
            <w:pPr>
              <w:spacing w:line="360" w:lineRule="auto"/>
              <w:jc w:val="both"/>
              <w:rPr>
                <w:sz w:val="24"/>
                <w:szCs w:val="24"/>
              </w:rPr>
            </w:pPr>
            <w:r w:rsidRPr="008B63A3">
              <w:rPr>
                <w:sz w:val="24"/>
                <w:szCs w:val="24"/>
              </w:rPr>
              <w:t xml:space="preserve">     65 to 74 yrs</w:t>
            </w:r>
          </w:p>
        </w:tc>
        <w:tc>
          <w:tcPr>
            <w:tcW w:w="1745" w:type="dxa"/>
            <w:gridSpan w:val="2"/>
            <w:shd w:val="clear" w:color="auto" w:fill="auto"/>
            <w:vAlign w:val="center"/>
          </w:tcPr>
          <w:p w14:paraId="05EAB09A" w14:textId="77777777" w:rsidR="00FD6E36" w:rsidRPr="008B63A3" w:rsidRDefault="00FD6E36" w:rsidP="00164B2B">
            <w:pPr>
              <w:spacing w:line="360" w:lineRule="auto"/>
              <w:jc w:val="center"/>
              <w:rPr>
                <w:sz w:val="24"/>
                <w:szCs w:val="24"/>
              </w:rPr>
            </w:pPr>
            <w:r w:rsidRPr="008B63A3">
              <w:rPr>
                <w:sz w:val="24"/>
                <w:szCs w:val="24"/>
              </w:rPr>
              <w:t>19.20</w:t>
            </w:r>
          </w:p>
        </w:tc>
        <w:tc>
          <w:tcPr>
            <w:tcW w:w="2303" w:type="dxa"/>
            <w:shd w:val="clear" w:color="auto" w:fill="auto"/>
            <w:vAlign w:val="center"/>
          </w:tcPr>
          <w:p w14:paraId="1785CA75" w14:textId="77777777" w:rsidR="00FD6E36" w:rsidRPr="008B63A3" w:rsidRDefault="00FD6E36" w:rsidP="00164B2B">
            <w:pPr>
              <w:spacing w:line="360" w:lineRule="auto"/>
              <w:jc w:val="center"/>
              <w:rPr>
                <w:sz w:val="24"/>
                <w:szCs w:val="24"/>
              </w:rPr>
            </w:pPr>
            <w:r w:rsidRPr="008B63A3">
              <w:rPr>
                <w:sz w:val="24"/>
                <w:szCs w:val="24"/>
              </w:rPr>
              <w:t>80.80</w:t>
            </w:r>
          </w:p>
        </w:tc>
        <w:tc>
          <w:tcPr>
            <w:tcW w:w="1117" w:type="dxa"/>
            <w:gridSpan w:val="3"/>
            <w:vMerge w:val="restart"/>
            <w:shd w:val="clear" w:color="auto" w:fill="auto"/>
            <w:vAlign w:val="center"/>
          </w:tcPr>
          <w:p w14:paraId="02B49B10" w14:textId="77777777" w:rsidR="00FD6E36" w:rsidRPr="008B63A3" w:rsidRDefault="00FD6E36" w:rsidP="00164B2B">
            <w:pPr>
              <w:spacing w:line="360" w:lineRule="auto"/>
              <w:jc w:val="center"/>
              <w:rPr>
                <w:sz w:val="24"/>
                <w:szCs w:val="24"/>
              </w:rPr>
            </w:pPr>
            <w:r w:rsidRPr="008B63A3">
              <w:rPr>
                <w:sz w:val="24"/>
                <w:szCs w:val="24"/>
              </w:rPr>
              <w:t>0.0001</w:t>
            </w:r>
          </w:p>
        </w:tc>
      </w:tr>
      <w:tr w:rsidR="008B63A3" w:rsidRPr="008B63A3" w14:paraId="7B972DDA" w14:textId="77777777" w:rsidTr="00164B2B">
        <w:tc>
          <w:tcPr>
            <w:tcW w:w="3092" w:type="dxa"/>
            <w:gridSpan w:val="2"/>
            <w:shd w:val="clear" w:color="auto" w:fill="auto"/>
          </w:tcPr>
          <w:p w14:paraId="46D1C437" w14:textId="77777777" w:rsidR="00FD6E36" w:rsidRPr="008B63A3" w:rsidRDefault="00FD6E36" w:rsidP="00164B2B">
            <w:pPr>
              <w:spacing w:line="360" w:lineRule="auto"/>
              <w:jc w:val="both"/>
              <w:rPr>
                <w:sz w:val="24"/>
                <w:szCs w:val="24"/>
              </w:rPr>
            </w:pPr>
            <w:r w:rsidRPr="008B63A3">
              <w:rPr>
                <w:sz w:val="24"/>
                <w:szCs w:val="24"/>
              </w:rPr>
              <w:t xml:space="preserve">     </w:t>
            </w:r>
            <w:r w:rsidRPr="008B63A3">
              <w:rPr>
                <w:sz w:val="24"/>
                <w:szCs w:val="24"/>
                <w:u w:val="single"/>
              </w:rPr>
              <w:t>&gt;</w:t>
            </w:r>
            <w:r w:rsidRPr="008B63A3">
              <w:rPr>
                <w:sz w:val="24"/>
                <w:szCs w:val="24"/>
              </w:rPr>
              <w:t xml:space="preserve"> 75 yrs</w:t>
            </w:r>
          </w:p>
        </w:tc>
        <w:tc>
          <w:tcPr>
            <w:tcW w:w="1745" w:type="dxa"/>
            <w:gridSpan w:val="2"/>
            <w:shd w:val="clear" w:color="auto" w:fill="auto"/>
            <w:vAlign w:val="center"/>
          </w:tcPr>
          <w:p w14:paraId="78614898" w14:textId="77777777" w:rsidR="00FD6E36" w:rsidRPr="008B63A3" w:rsidRDefault="00FD6E36" w:rsidP="00164B2B">
            <w:pPr>
              <w:spacing w:line="360" w:lineRule="auto"/>
              <w:jc w:val="center"/>
              <w:rPr>
                <w:sz w:val="24"/>
                <w:szCs w:val="24"/>
              </w:rPr>
            </w:pPr>
            <w:r w:rsidRPr="008B63A3">
              <w:rPr>
                <w:sz w:val="24"/>
                <w:szCs w:val="24"/>
              </w:rPr>
              <w:t>40.17</w:t>
            </w:r>
          </w:p>
        </w:tc>
        <w:tc>
          <w:tcPr>
            <w:tcW w:w="2303" w:type="dxa"/>
            <w:shd w:val="clear" w:color="auto" w:fill="auto"/>
            <w:vAlign w:val="center"/>
          </w:tcPr>
          <w:p w14:paraId="472AEE86" w14:textId="77777777" w:rsidR="00FD6E36" w:rsidRPr="008B63A3" w:rsidRDefault="00FD6E36" w:rsidP="00164B2B">
            <w:pPr>
              <w:spacing w:line="360" w:lineRule="auto"/>
              <w:jc w:val="center"/>
              <w:rPr>
                <w:sz w:val="24"/>
                <w:szCs w:val="24"/>
              </w:rPr>
            </w:pPr>
            <w:r w:rsidRPr="008B63A3">
              <w:rPr>
                <w:sz w:val="24"/>
                <w:szCs w:val="24"/>
              </w:rPr>
              <w:t>59.83</w:t>
            </w:r>
          </w:p>
        </w:tc>
        <w:tc>
          <w:tcPr>
            <w:tcW w:w="1117" w:type="dxa"/>
            <w:gridSpan w:val="3"/>
            <w:vMerge/>
            <w:shd w:val="clear" w:color="auto" w:fill="auto"/>
            <w:vAlign w:val="center"/>
          </w:tcPr>
          <w:p w14:paraId="550D5588" w14:textId="77777777" w:rsidR="00FD6E36" w:rsidRPr="008B63A3" w:rsidRDefault="00FD6E36" w:rsidP="00164B2B">
            <w:pPr>
              <w:spacing w:line="360" w:lineRule="auto"/>
              <w:jc w:val="center"/>
              <w:rPr>
                <w:sz w:val="24"/>
                <w:szCs w:val="24"/>
              </w:rPr>
            </w:pPr>
          </w:p>
        </w:tc>
      </w:tr>
      <w:tr w:rsidR="008B63A3" w:rsidRPr="008B63A3" w14:paraId="5A46644E" w14:textId="77777777" w:rsidTr="00164B2B">
        <w:tc>
          <w:tcPr>
            <w:tcW w:w="3092" w:type="dxa"/>
            <w:gridSpan w:val="2"/>
            <w:shd w:val="clear" w:color="auto" w:fill="auto"/>
          </w:tcPr>
          <w:p w14:paraId="71C6F02A" w14:textId="77777777" w:rsidR="00FD6E36" w:rsidRPr="008B63A3" w:rsidRDefault="00FD6E36" w:rsidP="00164B2B">
            <w:pPr>
              <w:spacing w:line="360" w:lineRule="auto"/>
              <w:jc w:val="both"/>
              <w:rPr>
                <w:b/>
                <w:sz w:val="24"/>
                <w:szCs w:val="24"/>
              </w:rPr>
            </w:pPr>
            <w:r w:rsidRPr="008B63A3">
              <w:rPr>
                <w:b/>
                <w:sz w:val="24"/>
                <w:szCs w:val="24"/>
              </w:rPr>
              <w:t>Years of Study</w:t>
            </w:r>
          </w:p>
        </w:tc>
        <w:tc>
          <w:tcPr>
            <w:tcW w:w="1745" w:type="dxa"/>
            <w:gridSpan w:val="2"/>
            <w:shd w:val="clear" w:color="auto" w:fill="auto"/>
            <w:vAlign w:val="center"/>
          </w:tcPr>
          <w:p w14:paraId="77F871B7" w14:textId="77777777" w:rsidR="00FD6E36" w:rsidRPr="008B63A3" w:rsidRDefault="00FD6E36" w:rsidP="00164B2B">
            <w:pPr>
              <w:spacing w:line="360" w:lineRule="auto"/>
              <w:jc w:val="center"/>
              <w:rPr>
                <w:sz w:val="24"/>
                <w:szCs w:val="24"/>
              </w:rPr>
            </w:pPr>
          </w:p>
        </w:tc>
        <w:tc>
          <w:tcPr>
            <w:tcW w:w="2303" w:type="dxa"/>
            <w:shd w:val="clear" w:color="auto" w:fill="auto"/>
            <w:vAlign w:val="center"/>
          </w:tcPr>
          <w:p w14:paraId="112F806E" w14:textId="77777777" w:rsidR="00FD6E36" w:rsidRPr="008B63A3" w:rsidRDefault="00FD6E36" w:rsidP="00164B2B">
            <w:pPr>
              <w:spacing w:line="360" w:lineRule="auto"/>
              <w:jc w:val="center"/>
              <w:rPr>
                <w:sz w:val="24"/>
                <w:szCs w:val="24"/>
              </w:rPr>
            </w:pPr>
          </w:p>
        </w:tc>
        <w:tc>
          <w:tcPr>
            <w:tcW w:w="1117" w:type="dxa"/>
            <w:gridSpan w:val="3"/>
            <w:shd w:val="clear" w:color="auto" w:fill="auto"/>
            <w:vAlign w:val="center"/>
          </w:tcPr>
          <w:p w14:paraId="665EB4AE" w14:textId="77777777" w:rsidR="00FD6E36" w:rsidRPr="008B63A3" w:rsidRDefault="00FD6E36" w:rsidP="00164B2B">
            <w:pPr>
              <w:spacing w:line="360" w:lineRule="auto"/>
              <w:jc w:val="center"/>
              <w:rPr>
                <w:sz w:val="24"/>
                <w:szCs w:val="24"/>
              </w:rPr>
            </w:pPr>
          </w:p>
        </w:tc>
      </w:tr>
      <w:tr w:rsidR="008B63A3" w:rsidRPr="008B63A3" w14:paraId="2679B4FF" w14:textId="77777777" w:rsidTr="00164B2B">
        <w:tc>
          <w:tcPr>
            <w:tcW w:w="3092" w:type="dxa"/>
            <w:gridSpan w:val="2"/>
            <w:shd w:val="clear" w:color="auto" w:fill="auto"/>
          </w:tcPr>
          <w:p w14:paraId="5982F028" w14:textId="77777777" w:rsidR="00FD6E36" w:rsidRPr="008B63A3" w:rsidRDefault="00FD6E36" w:rsidP="00164B2B">
            <w:pPr>
              <w:spacing w:line="360" w:lineRule="auto"/>
              <w:rPr>
                <w:sz w:val="24"/>
                <w:szCs w:val="24"/>
              </w:rPr>
            </w:pPr>
            <w:r w:rsidRPr="008B63A3">
              <w:rPr>
                <w:sz w:val="24"/>
                <w:szCs w:val="24"/>
              </w:rPr>
              <w:t xml:space="preserve">     </w:t>
            </w:r>
            <w:r w:rsidRPr="008B63A3">
              <w:rPr>
                <w:sz w:val="24"/>
                <w:szCs w:val="24"/>
                <w:u w:val="single"/>
              </w:rPr>
              <w:t>&lt;</w:t>
            </w:r>
            <w:r w:rsidRPr="008B63A3">
              <w:rPr>
                <w:sz w:val="24"/>
                <w:szCs w:val="24"/>
              </w:rPr>
              <w:t xml:space="preserve"> 4 yrs</w:t>
            </w:r>
          </w:p>
        </w:tc>
        <w:tc>
          <w:tcPr>
            <w:tcW w:w="1745" w:type="dxa"/>
            <w:gridSpan w:val="2"/>
            <w:shd w:val="clear" w:color="auto" w:fill="auto"/>
            <w:vAlign w:val="center"/>
          </w:tcPr>
          <w:p w14:paraId="0F4416FC" w14:textId="77777777" w:rsidR="00FD6E36" w:rsidRPr="008B63A3" w:rsidRDefault="00FD6E36" w:rsidP="00164B2B">
            <w:pPr>
              <w:spacing w:line="360" w:lineRule="auto"/>
              <w:jc w:val="center"/>
              <w:rPr>
                <w:sz w:val="24"/>
                <w:szCs w:val="24"/>
              </w:rPr>
            </w:pPr>
            <w:r w:rsidRPr="008B63A3">
              <w:rPr>
                <w:sz w:val="24"/>
                <w:szCs w:val="24"/>
              </w:rPr>
              <w:t>32.19</w:t>
            </w:r>
          </w:p>
        </w:tc>
        <w:tc>
          <w:tcPr>
            <w:tcW w:w="2303" w:type="dxa"/>
            <w:shd w:val="clear" w:color="auto" w:fill="auto"/>
            <w:vAlign w:val="center"/>
          </w:tcPr>
          <w:p w14:paraId="42327CF7" w14:textId="77777777" w:rsidR="00FD6E36" w:rsidRPr="008B63A3" w:rsidRDefault="00FD6E36" w:rsidP="00164B2B">
            <w:pPr>
              <w:spacing w:line="360" w:lineRule="auto"/>
              <w:jc w:val="center"/>
              <w:rPr>
                <w:sz w:val="24"/>
                <w:szCs w:val="24"/>
              </w:rPr>
            </w:pPr>
            <w:r w:rsidRPr="008B63A3">
              <w:rPr>
                <w:sz w:val="24"/>
                <w:szCs w:val="24"/>
              </w:rPr>
              <w:t>67.81</w:t>
            </w:r>
          </w:p>
        </w:tc>
        <w:tc>
          <w:tcPr>
            <w:tcW w:w="1117" w:type="dxa"/>
            <w:gridSpan w:val="3"/>
            <w:vMerge w:val="restart"/>
            <w:shd w:val="clear" w:color="auto" w:fill="auto"/>
            <w:vAlign w:val="center"/>
          </w:tcPr>
          <w:p w14:paraId="25F0EB25" w14:textId="77777777" w:rsidR="00FD6E36" w:rsidRPr="008B63A3" w:rsidRDefault="00FD6E36" w:rsidP="00164B2B">
            <w:pPr>
              <w:spacing w:line="360" w:lineRule="auto"/>
              <w:jc w:val="center"/>
              <w:rPr>
                <w:sz w:val="24"/>
                <w:szCs w:val="24"/>
              </w:rPr>
            </w:pPr>
            <w:r w:rsidRPr="008B63A3">
              <w:rPr>
                <w:sz w:val="24"/>
                <w:szCs w:val="24"/>
              </w:rPr>
              <w:t>0.0251</w:t>
            </w:r>
          </w:p>
        </w:tc>
      </w:tr>
      <w:tr w:rsidR="008B63A3" w:rsidRPr="008B63A3" w14:paraId="67AE3ABF" w14:textId="77777777" w:rsidTr="00164B2B">
        <w:tc>
          <w:tcPr>
            <w:tcW w:w="3092" w:type="dxa"/>
            <w:gridSpan w:val="2"/>
            <w:shd w:val="clear" w:color="auto" w:fill="auto"/>
          </w:tcPr>
          <w:p w14:paraId="26216A36" w14:textId="77777777" w:rsidR="00FD6E36" w:rsidRPr="008B63A3" w:rsidRDefault="00FD6E36" w:rsidP="00164B2B">
            <w:pPr>
              <w:spacing w:line="360" w:lineRule="auto"/>
              <w:jc w:val="both"/>
              <w:rPr>
                <w:sz w:val="24"/>
                <w:szCs w:val="24"/>
              </w:rPr>
            </w:pPr>
            <w:r w:rsidRPr="008B63A3">
              <w:rPr>
                <w:sz w:val="24"/>
                <w:szCs w:val="24"/>
              </w:rPr>
              <w:t xml:space="preserve">     </w:t>
            </w:r>
            <w:r w:rsidRPr="008B63A3">
              <w:rPr>
                <w:sz w:val="24"/>
                <w:szCs w:val="24"/>
                <w:u w:val="single"/>
              </w:rPr>
              <w:t>&gt;</w:t>
            </w:r>
            <w:r w:rsidRPr="008B63A3">
              <w:rPr>
                <w:sz w:val="24"/>
                <w:szCs w:val="24"/>
              </w:rPr>
              <w:t xml:space="preserve"> 5 yrs</w:t>
            </w:r>
          </w:p>
        </w:tc>
        <w:tc>
          <w:tcPr>
            <w:tcW w:w="1745" w:type="dxa"/>
            <w:gridSpan w:val="2"/>
            <w:shd w:val="clear" w:color="auto" w:fill="auto"/>
            <w:vAlign w:val="center"/>
          </w:tcPr>
          <w:p w14:paraId="6AF46FB5" w14:textId="77777777" w:rsidR="00FD6E36" w:rsidRPr="008B63A3" w:rsidRDefault="00FD6E36" w:rsidP="00164B2B">
            <w:pPr>
              <w:spacing w:line="360" w:lineRule="auto"/>
              <w:jc w:val="center"/>
              <w:rPr>
                <w:sz w:val="24"/>
                <w:szCs w:val="24"/>
              </w:rPr>
            </w:pPr>
            <w:r w:rsidRPr="008B63A3">
              <w:rPr>
                <w:sz w:val="24"/>
                <w:szCs w:val="24"/>
              </w:rPr>
              <w:t>23.06</w:t>
            </w:r>
          </w:p>
        </w:tc>
        <w:tc>
          <w:tcPr>
            <w:tcW w:w="2303" w:type="dxa"/>
            <w:shd w:val="clear" w:color="auto" w:fill="auto"/>
            <w:vAlign w:val="center"/>
          </w:tcPr>
          <w:p w14:paraId="3E6E67A4" w14:textId="77777777" w:rsidR="00FD6E36" w:rsidRPr="008B63A3" w:rsidRDefault="00FD6E36" w:rsidP="00164B2B">
            <w:pPr>
              <w:spacing w:line="360" w:lineRule="auto"/>
              <w:jc w:val="center"/>
              <w:rPr>
                <w:sz w:val="24"/>
                <w:szCs w:val="24"/>
              </w:rPr>
            </w:pPr>
            <w:r w:rsidRPr="008B63A3">
              <w:rPr>
                <w:sz w:val="24"/>
                <w:szCs w:val="24"/>
              </w:rPr>
              <w:t>76.94</w:t>
            </w:r>
          </w:p>
        </w:tc>
        <w:tc>
          <w:tcPr>
            <w:tcW w:w="1117" w:type="dxa"/>
            <w:gridSpan w:val="3"/>
            <w:vMerge/>
            <w:shd w:val="clear" w:color="auto" w:fill="auto"/>
            <w:vAlign w:val="center"/>
          </w:tcPr>
          <w:p w14:paraId="2C8AE635" w14:textId="77777777" w:rsidR="00FD6E36" w:rsidRPr="008B63A3" w:rsidRDefault="00FD6E36" w:rsidP="00164B2B">
            <w:pPr>
              <w:spacing w:line="360" w:lineRule="auto"/>
              <w:jc w:val="center"/>
              <w:rPr>
                <w:sz w:val="24"/>
                <w:szCs w:val="24"/>
              </w:rPr>
            </w:pPr>
          </w:p>
        </w:tc>
      </w:tr>
      <w:tr w:rsidR="008B63A3" w:rsidRPr="008B63A3" w14:paraId="7FBD16FB" w14:textId="77777777" w:rsidTr="00164B2B">
        <w:tc>
          <w:tcPr>
            <w:tcW w:w="3092" w:type="dxa"/>
            <w:gridSpan w:val="2"/>
            <w:shd w:val="clear" w:color="auto" w:fill="auto"/>
          </w:tcPr>
          <w:p w14:paraId="221093C5" w14:textId="77777777" w:rsidR="00FD6E36" w:rsidRPr="008B63A3" w:rsidRDefault="00FD6E36" w:rsidP="00164B2B">
            <w:pPr>
              <w:spacing w:line="360" w:lineRule="auto"/>
              <w:jc w:val="both"/>
              <w:rPr>
                <w:b/>
                <w:sz w:val="24"/>
                <w:szCs w:val="24"/>
              </w:rPr>
            </w:pPr>
            <w:r w:rsidRPr="008B63A3">
              <w:rPr>
                <w:b/>
                <w:sz w:val="24"/>
                <w:szCs w:val="24"/>
              </w:rPr>
              <w:t>Marital Status</w:t>
            </w:r>
          </w:p>
        </w:tc>
        <w:tc>
          <w:tcPr>
            <w:tcW w:w="1745" w:type="dxa"/>
            <w:gridSpan w:val="2"/>
            <w:shd w:val="clear" w:color="auto" w:fill="auto"/>
            <w:vAlign w:val="center"/>
          </w:tcPr>
          <w:p w14:paraId="7101B2FF" w14:textId="77777777" w:rsidR="00FD6E36" w:rsidRPr="008B63A3" w:rsidRDefault="00FD6E36" w:rsidP="00164B2B">
            <w:pPr>
              <w:spacing w:line="360" w:lineRule="auto"/>
              <w:jc w:val="center"/>
              <w:rPr>
                <w:sz w:val="24"/>
                <w:szCs w:val="24"/>
              </w:rPr>
            </w:pPr>
          </w:p>
        </w:tc>
        <w:tc>
          <w:tcPr>
            <w:tcW w:w="2303" w:type="dxa"/>
            <w:shd w:val="clear" w:color="auto" w:fill="auto"/>
            <w:vAlign w:val="center"/>
          </w:tcPr>
          <w:p w14:paraId="693CD6F2" w14:textId="77777777" w:rsidR="00FD6E36" w:rsidRPr="008B63A3" w:rsidRDefault="00FD6E36" w:rsidP="00164B2B">
            <w:pPr>
              <w:spacing w:line="360" w:lineRule="auto"/>
              <w:jc w:val="center"/>
              <w:rPr>
                <w:sz w:val="24"/>
                <w:szCs w:val="24"/>
              </w:rPr>
            </w:pPr>
          </w:p>
        </w:tc>
        <w:tc>
          <w:tcPr>
            <w:tcW w:w="1117" w:type="dxa"/>
            <w:gridSpan w:val="3"/>
            <w:shd w:val="clear" w:color="auto" w:fill="auto"/>
            <w:vAlign w:val="center"/>
          </w:tcPr>
          <w:p w14:paraId="5E0EFAEC" w14:textId="77777777" w:rsidR="00FD6E36" w:rsidRPr="008B63A3" w:rsidRDefault="00FD6E36" w:rsidP="00164B2B">
            <w:pPr>
              <w:spacing w:line="360" w:lineRule="auto"/>
              <w:jc w:val="center"/>
              <w:rPr>
                <w:sz w:val="24"/>
                <w:szCs w:val="24"/>
              </w:rPr>
            </w:pPr>
          </w:p>
        </w:tc>
      </w:tr>
      <w:tr w:rsidR="008B63A3" w:rsidRPr="008B63A3" w14:paraId="6A1CDE8C" w14:textId="77777777" w:rsidTr="00164B2B">
        <w:tc>
          <w:tcPr>
            <w:tcW w:w="3092" w:type="dxa"/>
            <w:gridSpan w:val="2"/>
            <w:shd w:val="clear" w:color="auto" w:fill="auto"/>
          </w:tcPr>
          <w:p w14:paraId="1427A6EE" w14:textId="77777777" w:rsidR="00FD6E36" w:rsidRPr="008B63A3" w:rsidRDefault="00FD6E36" w:rsidP="00164B2B">
            <w:pPr>
              <w:spacing w:line="360" w:lineRule="auto"/>
              <w:rPr>
                <w:sz w:val="24"/>
                <w:szCs w:val="24"/>
              </w:rPr>
            </w:pPr>
            <w:r w:rsidRPr="008B63A3">
              <w:rPr>
                <w:sz w:val="24"/>
                <w:szCs w:val="24"/>
              </w:rPr>
              <w:t xml:space="preserve">     Lives with a partner</w:t>
            </w:r>
          </w:p>
        </w:tc>
        <w:tc>
          <w:tcPr>
            <w:tcW w:w="1745" w:type="dxa"/>
            <w:gridSpan w:val="2"/>
            <w:shd w:val="clear" w:color="auto" w:fill="auto"/>
            <w:vAlign w:val="center"/>
          </w:tcPr>
          <w:p w14:paraId="503BA2CB" w14:textId="77777777" w:rsidR="00FD6E36" w:rsidRPr="008B63A3" w:rsidRDefault="00FD6E36" w:rsidP="00164B2B">
            <w:pPr>
              <w:spacing w:line="360" w:lineRule="auto"/>
              <w:jc w:val="center"/>
              <w:rPr>
                <w:sz w:val="24"/>
                <w:szCs w:val="24"/>
              </w:rPr>
            </w:pPr>
            <w:r w:rsidRPr="008B63A3">
              <w:rPr>
                <w:sz w:val="24"/>
                <w:szCs w:val="24"/>
              </w:rPr>
              <w:t>22.76</w:t>
            </w:r>
          </w:p>
        </w:tc>
        <w:tc>
          <w:tcPr>
            <w:tcW w:w="2303" w:type="dxa"/>
            <w:shd w:val="clear" w:color="auto" w:fill="auto"/>
            <w:vAlign w:val="center"/>
          </w:tcPr>
          <w:p w14:paraId="1AE137A4" w14:textId="77777777" w:rsidR="00FD6E36" w:rsidRPr="008B63A3" w:rsidRDefault="00FD6E36" w:rsidP="00164B2B">
            <w:pPr>
              <w:spacing w:line="360" w:lineRule="auto"/>
              <w:jc w:val="center"/>
              <w:rPr>
                <w:sz w:val="24"/>
                <w:szCs w:val="24"/>
              </w:rPr>
            </w:pPr>
            <w:r w:rsidRPr="008B63A3">
              <w:rPr>
                <w:sz w:val="24"/>
                <w:szCs w:val="24"/>
              </w:rPr>
              <w:t>77.24</w:t>
            </w:r>
          </w:p>
        </w:tc>
        <w:tc>
          <w:tcPr>
            <w:tcW w:w="1117" w:type="dxa"/>
            <w:gridSpan w:val="3"/>
            <w:vMerge w:val="restart"/>
            <w:shd w:val="clear" w:color="auto" w:fill="auto"/>
            <w:vAlign w:val="center"/>
          </w:tcPr>
          <w:p w14:paraId="4D2045A6" w14:textId="77777777" w:rsidR="00FD6E36" w:rsidRPr="008B63A3" w:rsidRDefault="00FD6E36" w:rsidP="00164B2B">
            <w:pPr>
              <w:spacing w:line="360" w:lineRule="auto"/>
              <w:jc w:val="center"/>
              <w:rPr>
                <w:sz w:val="24"/>
                <w:szCs w:val="24"/>
              </w:rPr>
            </w:pPr>
            <w:r w:rsidRPr="008B63A3">
              <w:rPr>
                <w:sz w:val="24"/>
                <w:szCs w:val="24"/>
              </w:rPr>
              <w:t>0.0139</w:t>
            </w:r>
          </w:p>
        </w:tc>
      </w:tr>
      <w:tr w:rsidR="008B63A3" w:rsidRPr="008B63A3" w14:paraId="76CEE306" w14:textId="77777777" w:rsidTr="00164B2B">
        <w:tc>
          <w:tcPr>
            <w:tcW w:w="3092" w:type="dxa"/>
            <w:gridSpan w:val="2"/>
            <w:tcBorders>
              <w:bottom w:val="nil"/>
            </w:tcBorders>
            <w:shd w:val="clear" w:color="auto" w:fill="auto"/>
          </w:tcPr>
          <w:p w14:paraId="70929A9D" w14:textId="77777777" w:rsidR="00FD6E36" w:rsidRPr="008B63A3" w:rsidRDefault="00FD6E36" w:rsidP="00164B2B">
            <w:pPr>
              <w:spacing w:line="360" w:lineRule="auto"/>
              <w:rPr>
                <w:sz w:val="24"/>
                <w:szCs w:val="24"/>
              </w:rPr>
            </w:pPr>
            <w:r w:rsidRPr="008B63A3">
              <w:rPr>
                <w:sz w:val="24"/>
                <w:szCs w:val="24"/>
              </w:rPr>
              <w:t xml:space="preserve">     Lives without a partner</w:t>
            </w:r>
          </w:p>
        </w:tc>
        <w:tc>
          <w:tcPr>
            <w:tcW w:w="1745" w:type="dxa"/>
            <w:gridSpan w:val="2"/>
            <w:tcBorders>
              <w:bottom w:val="nil"/>
            </w:tcBorders>
            <w:shd w:val="clear" w:color="auto" w:fill="auto"/>
            <w:vAlign w:val="center"/>
          </w:tcPr>
          <w:p w14:paraId="43427F9B" w14:textId="77777777" w:rsidR="00FD6E36" w:rsidRPr="008B63A3" w:rsidRDefault="00FD6E36" w:rsidP="00164B2B">
            <w:pPr>
              <w:spacing w:line="360" w:lineRule="auto"/>
              <w:jc w:val="center"/>
              <w:rPr>
                <w:sz w:val="24"/>
                <w:szCs w:val="24"/>
              </w:rPr>
            </w:pPr>
            <w:r w:rsidRPr="008B63A3">
              <w:rPr>
                <w:sz w:val="24"/>
                <w:szCs w:val="24"/>
              </w:rPr>
              <w:t>31.91</w:t>
            </w:r>
          </w:p>
        </w:tc>
        <w:tc>
          <w:tcPr>
            <w:tcW w:w="2303" w:type="dxa"/>
            <w:tcBorders>
              <w:bottom w:val="nil"/>
            </w:tcBorders>
            <w:shd w:val="clear" w:color="auto" w:fill="auto"/>
            <w:vAlign w:val="center"/>
          </w:tcPr>
          <w:p w14:paraId="69263FD6" w14:textId="77777777" w:rsidR="00FD6E36" w:rsidRPr="008B63A3" w:rsidRDefault="00FD6E36" w:rsidP="00164B2B">
            <w:pPr>
              <w:spacing w:line="360" w:lineRule="auto"/>
              <w:jc w:val="center"/>
              <w:rPr>
                <w:sz w:val="24"/>
                <w:szCs w:val="24"/>
              </w:rPr>
            </w:pPr>
            <w:r w:rsidRPr="008B63A3">
              <w:rPr>
                <w:sz w:val="24"/>
                <w:szCs w:val="24"/>
              </w:rPr>
              <w:t>68.09</w:t>
            </w:r>
          </w:p>
        </w:tc>
        <w:tc>
          <w:tcPr>
            <w:tcW w:w="1117" w:type="dxa"/>
            <w:gridSpan w:val="3"/>
            <w:vMerge/>
            <w:tcBorders>
              <w:bottom w:val="nil"/>
            </w:tcBorders>
            <w:shd w:val="clear" w:color="auto" w:fill="auto"/>
            <w:vAlign w:val="center"/>
          </w:tcPr>
          <w:p w14:paraId="7B6BEF79" w14:textId="77777777" w:rsidR="00FD6E36" w:rsidRPr="008B63A3" w:rsidRDefault="00FD6E36" w:rsidP="00164B2B">
            <w:pPr>
              <w:spacing w:line="360" w:lineRule="auto"/>
              <w:jc w:val="center"/>
              <w:rPr>
                <w:sz w:val="24"/>
                <w:szCs w:val="24"/>
              </w:rPr>
            </w:pPr>
          </w:p>
        </w:tc>
      </w:tr>
      <w:tr w:rsidR="008B63A3" w:rsidRPr="008B63A3" w14:paraId="69655A10" w14:textId="77777777" w:rsidTr="00164B2B">
        <w:tc>
          <w:tcPr>
            <w:tcW w:w="3092" w:type="dxa"/>
            <w:gridSpan w:val="2"/>
            <w:tcBorders>
              <w:top w:val="nil"/>
              <w:left w:val="nil"/>
              <w:bottom w:val="nil"/>
              <w:right w:val="nil"/>
            </w:tcBorders>
            <w:shd w:val="clear" w:color="auto" w:fill="auto"/>
          </w:tcPr>
          <w:p w14:paraId="79E856EF" w14:textId="77777777" w:rsidR="00FD6E36" w:rsidRPr="008B63A3" w:rsidRDefault="00FD6E36" w:rsidP="00164B2B">
            <w:pPr>
              <w:spacing w:line="360" w:lineRule="auto"/>
              <w:jc w:val="both"/>
              <w:rPr>
                <w:b/>
                <w:sz w:val="24"/>
                <w:szCs w:val="24"/>
              </w:rPr>
            </w:pPr>
            <w:r w:rsidRPr="008B63A3">
              <w:rPr>
                <w:b/>
                <w:sz w:val="24"/>
                <w:szCs w:val="24"/>
              </w:rPr>
              <w:t>Work Activity</w:t>
            </w:r>
          </w:p>
        </w:tc>
        <w:tc>
          <w:tcPr>
            <w:tcW w:w="1745" w:type="dxa"/>
            <w:gridSpan w:val="2"/>
            <w:tcBorders>
              <w:top w:val="nil"/>
              <w:left w:val="nil"/>
              <w:bottom w:val="nil"/>
              <w:right w:val="nil"/>
            </w:tcBorders>
            <w:shd w:val="clear" w:color="auto" w:fill="auto"/>
            <w:vAlign w:val="center"/>
          </w:tcPr>
          <w:p w14:paraId="615C1578" w14:textId="77777777" w:rsidR="00FD6E36" w:rsidRPr="008B63A3" w:rsidRDefault="00FD6E36" w:rsidP="00164B2B">
            <w:pPr>
              <w:spacing w:line="360" w:lineRule="auto"/>
              <w:jc w:val="center"/>
              <w:rPr>
                <w:sz w:val="24"/>
                <w:szCs w:val="24"/>
              </w:rPr>
            </w:pPr>
          </w:p>
        </w:tc>
        <w:tc>
          <w:tcPr>
            <w:tcW w:w="2303" w:type="dxa"/>
            <w:tcBorders>
              <w:top w:val="nil"/>
              <w:left w:val="nil"/>
              <w:bottom w:val="nil"/>
              <w:right w:val="nil"/>
            </w:tcBorders>
            <w:shd w:val="clear" w:color="auto" w:fill="auto"/>
            <w:vAlign w:val="center"/>
          </w:tcPr>
          <w:p w14:paraId="24B0862B" w14:textId="77777777" w:rsidR="00FD6E36" w:rsidRPr="008B63A3" w:rsidRDefault="00FD6E36" w:rsidP="00164B2B">
            <w:pPr>
              <w:spacing w:line="360" w:lineRule="auto"/>
              <w:jc w:val="center"/>
              <w:rPr>
                <w:sz w:val="24"/>
                <w:szCs w:val="24"/>
              </w:rPr>
            </w:pPr>
          </w:p>
        </w:tc>
        <w:tc>
          <w:tcPr>
            <w:tcW w:w="1117" w:type="dxa"/>
            <w:gridSpan w:val="3"/>
            <w:tcBorders>
              <w:top w:val="nil"/>
              <w:left w:val="nil"/>
              <w:bottom w:val="nil"/>
              <w:right w:val="nil"/>
            </w:tcBorders>
            <w:shd w:val="clear" w:color="auto" w:fill="auto"/>
            <w:vAlign w:val="center"/>
          </w:tcPr>
          <w:p w14:paraId="2317F6D7" w14:textId="77777777" w:rsidR="00FD6E36" w:rsidRPr="008B63A3" w:rsidRDefault="00FD6E36" w:rsidP="00164B2B">
            <w:pPr>
              <w:spacing w:line="360" w:lineRule="auto"/>
              <w:jc w:val="center"/>
              <w:rPr>
                <w:sz w:val="24"/>
                <w:szCs w:val="24"/>
              </w:rPr>
            </w:pPr>
          </w:p>
        </w:tc>
      </w:tr>
      <w:tr w:rsidR="008B63A3" w:rsidRPr="008B63A3" w14:paraId="509B4933" w14:textId="77777777" w:rsidTr="00164B2B">
        <w:tc>
          <w:tcPr>
            <w:tcW w:w="3092" w:type="dxa"/>
            <w:gridSpan w:val="2"/>
            <w:tcBorders>
              <w:top w:val="nil"/>
              <w:left w:val="nil"/>
              <w:bottom w:val="nil"/>
              <w:right w:val="nil"/>
            </w:tcBorders>
            <w:shd w:val="clear" w:color="auto" w:fill="auto"/>
          </w:tcPr>
          <w:p w14:paraId="703D0E59" w14:textId="77777777" w:rsidR="00FD6E36" w:rsidRPr="008B63A3" w:rsidRDefault="00FD6E36" w:rsidP="00164B2B">
            <w:pPr>
              <w:spacing w:line="360" w:lineRule="auto"/>
              <w:jc w:val="both"/>
              <w:rPr>
                <w:sz w:val="24"/>
                <w:szCs w:val="24"/>
              </w:rPr>
            </w:pPr>
            <w:r w:rsidRPr="008B63A3">
              <w:rPr>
                <w:sz w:val="24"/>
                <w:szCs w:val="24"/>
              </w:rPr>
              <w:t xml:space="preserve">     Currently works</w:t>
            </w:r>
          </w:p>
        </w:tc>
        <w:tc>
          <w:tcPr>
            <w:tcW w:w="1745" w:type="dxa"/>
            <w:gridSpan w:val="2"/>
            <w:tcBorders>
              <w:top w:val="nil"/>
              <w:left w:val="nil"/>
              <w:bottom w:val="nil"/>
              <w:right w:val="nil"/>
            </w:tcBorders>
            <w:shd w:val="clear" w:color="auto" w:fill="auto"/>
            <w:vAlign w:val="center"/>
          </w:tcPr>
          <w:p w14:paraId="715C53CE" w14:textId="77777777" w:rsidR="00FD6E36" w:rsidRPr="008B63A3" w:rsidRDefault="00FD6E36" w:rsidP="00164B2B">
            <w:pPr>
              <w:spacing w:line="360" w:lineRule="auto"/>
              <w:jc w:val="center"/>
              <w:rPr>
                <w:sz w:val="24"/>
                <w:szCs w:val="24"/>
              </w:rPr>
            </w:pPr>
            <w:r w:rsidRPr="008B63A3">
              <w:rPr>
                <w:sz w:val="24"/>
                <w:szCs w:val="24"/>
              </w:rPr>
              <w:t>14.91</w:t>
            </w:r>
          </w:p>
        </w:tc>
        <w:tc>
          <w:tcPr>
            <w:tcW w:w="2303" w:type="dxa"/>
            <w:tcBorders>
              <w:top w:val="nil"/>
              <w:left w:val="nil"/>
              <w:bottom w:val="nil"/>
              <w:right w:val="nil"/>
            </w:tcBorders>
            <w:shd w:val="clear" w:color="auto" w:fill="auto"/>
            <w:vAlign w:val="center"/>
          </w:tcPr>
          <w:p w14:paraId="7E080031" w14:textId="77777777" w:rsidR="00FD6E36" w:rsidRPr="008B63A3" w:rsidRDefault="00FD6E36" w:rsidP="00164B2B">
            <w:pPr>
              <w:spacing w:line="360" w:lineRule="auto"/>
              <w:jc w:val="center"/>
              <w:rPr>
                <w:sz w:val="24"/>
                <w:szCs w:val="24"/>
              </w:rPr>
            </w:pPr>
            <w:r w:rsidRPr="008B63A3">
              <w:rPr>
                <w:sz w:val="24"/>
                <w:szCs w:val="24"/>
              </w:rPr>
              <w:t>85.09</w:t>
            </w:r>
          </w:p>
        </w:tc>
        <w:tc>
          <w:tcPr>
            <w:tcW w:w="1117" w:type="dxa"/>
            <w:gridSpan w:val="3"/>
            <w:vMerge w:val="restart"/>
            <w:tcBorders>
              <w:top w:val="nil"/>
              <w:left w:val="nil"/>
              <w:bottom w:val="nil"/>
              <w:right w:val="nil"/>
            </w:tcBorders>
            <w:shd w:val="clear" w:color="auto" w:fill="auto"/>
            <w:vAlign w:val="center"/>
          </w:tcPr>
          <w:p w14:paraId="13FC4978" w14:textId="77777777" w:rsidR="00FD6E36" w:rsidRPr="008B63A3" w:rsidRDefault="00FD6E36" w:rsidP="00164B2B">
            <w:pPr>
              <w:spacing w:line="360" w:lineRule="auto"/>
              <w:jc w:val="center"/>
              <w:rPr>
                <w:sz w:val="24"/>
                <w:szCs w:val="24"/>
              </w:rPr>
            </w:pPr>
            <w:r w:rsidRPr="008B63A3">
              <w:rPr>
                <w:sz w:val="24"/>
                <w:szCs w:val="24"/>
              </w:rPr>
              <w:t>0.0033</w:t>
            </w:r>
          </w:p>
        </w:tc>
      </w:tr>
      <w:tr w:rsidR="008B63A3" w:rsidRPr="008B63A3" w14:paraId="1C707F2E" w14:textId="77777777" w:rsidTr="00164B2B">
        <w:tc>
          <w:tcPr>
            <w:tcW w:w="3092" w:type="dxa"/>
            <w:gridSpan w:val="2"/>
            <w:tcBorders>
              <w:top w:val="nil"/>
              <w:left w:val="nil"/>
              <w:bottom w:val="nil"/>
              <w:right w:val="nil"/>
            </w:tcBorders>
            <w:shd w:val="clear" w:color="auto" w:fill="auto"/>
          </w:tcPr>
          <w:p w14:paraId="705403BD" w14:textId="77777777" w:rsidR="00FD6E36" w:rsidRPr="008B63A3" w:rsidRDefault="00FD6E36" w:rsidP="00164B2B">
            <w:pPr>
              <w:spacing w:line="360" w:lineRule="auto"/>
              <w:rPr>
                <w:sz w:val="24"/>
                <w:szCs w:val="24"/>
              </w:rPr>
            </w:pPr>
            <w:r w:rsidRPr="008B63A3">
              <w:rPr>
                <w:sz w:val="24"/>
                <w:szCs w:val="24"/>
              </w:rPr>
              <w:t xml:space="preserve">     Not currently work</w:t>
            </w:r>
          </w:p>
        </w:tc>
        <w:tc>
          <w:tcPr>
            <w:tcW w:w="1745" w:type="dxa"/>
            <w:gridSpan w:val="2"/>
            <w:tcBorders>
              <w:top w:val="nil"/>
              <w:left w:val="nil"/>
              <w:bottom w:val="nil"/>
              <w:right w:val="nil"/>
            </w:tcBorders>
            <w:shd w:val="clear" w:color="auto" w:fill="auto"/>
            <w:vAlign w:val="center"/>
          </w:tcPr>
          <w:p w14:paraId="62205E2C" w14:textId="77777777" w:rsidR="00FD6E36" w:rsidRPr="008B63A3" w:rsidRDefault="00FD6E36" w:rsidP="00164B2B">
            <w:pPr>
              <w:spacing w:line="360" w:lineRule="auto"/>
              <w:jc w:val="center"/>
              <w:rPr>
                <w:sz w:val="24"/>
                <w:szCs w:val="24"/>
              </w:rPr>
            </w:pPr>
            <w:r w:rsidRPr="008B63A3">
              <w:rPr>
                <w:sz w:val="24"/>
                <w:szCs w:val="24"/>
              </w:rPr>
              <w:t>30.54</w:t>
            </w:r>
          </w:p>
        </w:tc>
        <w:tc>
          <w:tcPr>
            <w:tcW w:w="2303" w:type="dxa"/>
            <w:tcBorders>
              <w:top w:val="nil"/>
              <w:left w:val="nil"/>
              <w:bottom w:val="nil"/>
              <w:right w:val="nil"/>
            </w:tcBorders>
            <w:shd w:val="clear" w:color="auto" w:fill="auto"/>
            <w:vAlign w:val="center"/>
          </w:tcPr>
          <w:p w14:paraId="0EC9A936" w14:textId="77777777" w:rsidR="00FD6E36" w:rsidRPr="008B63A3" w:rsidRDefault="00FD6E36" w:rsidP="00164B2B">
            <w:pPr>
              <w:spacing w:line="360" w:lineRule="auto"/>
              <w:jc w:val="center"/>
              <w:rPr>
                <w:sz w:val="24"/>
                <w:szCs w:val="24"/>
              </w:rPr>
            </w:pPr>
            <w:r w:rsidRPr="008B63A3">
              <w:rPr>
                <w:sz w:val="24"/>
                <w:szCs w:val="24"/>
              </w:rPr>
              <w:t>69.46</w:t>
            </w:r>
          </w:p>
        </w:tc>
        <w:tc>
          <w:tcPr>
            <w:tcW w:w="1117" w:type="dxa"/>
            <w:gridSpan w:val="3"/>
            <w:vMerge/>
            <w:tcBorders>
              <w:top w:val="nil"/>
              <w:left w:val="nil"/>
              <w:bottom w:val="nil"/>
              <w:right w:val="nil"/>
            </w:tcBorders>
            <w:shd w:val="clear" w:color="auto" w:fill="auto"/>
            <w:vAlign w:val="center"/>
          </w:tcPr>
          <w:p w14:paraId="696D2D52" w14:textId="77777777" w:rsidR="00FD6E36" w:rsidRPr="008B63A3" w:rsidRDefault="00FD6E36" w:rsidP="00164B2B">
            <w:pPr>
              <w:spacing w:line="360" w:lineRule="auto"/>
              <w:jc w:val="center"/>
              <w:rPr>
                <w:sz w:val="24"/>
                <w:szCs w:val="24"/>
              </w:rPr>
            </w:pPr>
          </w:p>
        </w:tc>
      </w:tr>
      <w:tr w:rsidR="008B63A3" w:rsidRPr="008B63A3" w14:paraId="010E34B2" w14:textId="77777777" w:rsidTr="00164B2B">
        <w:trPr>
          <w:gridBefore w:val="1"/>
          <w:gridAfter w:val="1"/>
          <w:wBefore w:w="13" w:type="dxa"/>
          <w:wAfter w:w="69" w:type="dxa"/>
        </w:trPr>
        <w:tc>
          <w:tcPr>
            <w:tcW w:w="3079" w:type="dxa"/>
            <w:tcBorders>
              <w:top w:val="nil"/>
              <w:bottom w:val="nil"/>
            </w:tcBorders>
            <w:shd w:val="clear" w:color="auto" w:fill="auto"/>
          </w:tcPr>
          <w:p w14:paraId="22CBB9C4" w14:textId="77777777" w:rsidR="00FD6E36" w:rsidRPr="008B63A3" w:rsidRDefault="00FD6E36" w:rsidP="00164B2B">
            <w:pPr>
              <w:spacing w:line="360" w:lineRule="auto"/>
              <w:jc w:val="both"/>
              <w:rPr>
                <w:b/>
                <w:sz w:val="24"/>
                <w:szCs w:val="24"/>
              </w:rPr>
            </w:pPr>
            <w:r w:rsidRPr="008B63A3">
              <w:rPr>
                <w:b/>
                <w:sz w:val="24"/>
                <w:szCs w:val="24"/>
              </w:rPr>
              <w:t>Chronic Pain</w:t>
            </w:r>
          </w:p>
        </w:tc>
        <w:tc>
          <w:tcPr>
            <w:tcW w:w="1694" w:type="dxa"/>
            <w:tcBorders>
              <w:top w:val="nil"/>
              <w:bottom w:val="nil"/>
            </w:tcBorders>
            <w:shd w:val="clear" w:color="auto" w:fill="auto"/>
            <w:vAlign w:val="center"/>
          </w:tcPr>
          <w:p w14:paraId="7CA25490" w14:textId="77777777" w:rsidR="00FD6E36" w:rsidRPr="008B63A3" w:rsidRDefault="00FD6E36" w:rsidP="00164B2B">
            <w:pPr>
              <w:spacing w:line="360" w:lineRule="auto"/>
              <w:jc w:val="center"/>
              <w:rPr>
                <w:sz w:val="24"/>
                <w:szCs w:val="24"/>
              </w:rPr>
            </w:pPr>
          </w:p>
        </w:tc>
        <w:tc>
          <w:tcPr>
            <w:tcW w:w="2390" w:type="dxa"/>
            <w:gridSpan w:val="3"/>
            <w:tcBorders>
              <w:top w:val="nil"/>
              <w:bottom w:val="nil"/>
            </w:tcBorders>
            <w:shd w:val="clear" w:color="auto" w:fill="auto"/>
            <w:vAlign w:val="center"/>
          </w:tcPr>
          <w:p w14:paraId="7A9319A3" w14:textId="77777777" w:rsidR="00FD6E36" w:rsidRPr="008B63A3" w:rsidRDefault="00FD6E36" w:rsidP="00164B2B">
            <w:pPr>
              <w:spacing w:line="360" w:lineRule="auto"/>
              <w:jc w:val="center"/>
              <w:rPr>
                <w:sz w:val="24"/>
                <w:szCs w:val="24"/>
              </w:rPr>
            </w:pPr>
          </w:p>
        </w:tc>
        <w:tc>
          <w:tcPr>
            <w:tcW w:w="1012" w:type="dxa"/>
            <w:tcBorders>
              <w:top w:val="nil"/>
              <w:bottom w:val="nil"/>
            </w:tcBorders>
            <w:shd w:val="clear" w:color="auto" w:fill="auto"/>
          </w:tcPr>
          <w:p w14:paraId="784B6FD5" w14:textId="77777777" w:rsidR="00FD6E36" w:rsidRPr="008B63A3" w:rsidRDefault="00FD6E36" w:rsidP="00164B2B">
            <w:pPr>
              <w:spacing w:line="360" w:lineRule="auto"/>
              <w:jc w:val="both"/>
              <w:rPr>
                <w:sz w:val="24"/>
                <w:szCs w:val="24"/>
              </w:rPr>
            </w:pPr>
          </w:p>
        </w:tc>
      </w:tr>
      <w:tr w:rsidR="008B63A3" w:rsidRPr="008B63A3" w14:paraId="7CEA76AF" w14:textId="77777777" w:rsidTr="00164B2B">
        <w:trPr>
          <w:gridBefore w:val="1"/>
          <w:gridAfter w:val="1"/>
          <w:wBefore w:w="13" w:type="dxa"/>
          <w:wAfter w:w="69" w:type="dxa"/>
        </w:trPr>
        <w:tc>
          <w:tcPr>
            <w:tcW w:w="3079" w:type="dxa"/>
            <w:tcBorders>
              <w:top w:val="nil"/>
            </w:tcBorders>
            <w:shd w:val="clear" w:color="auto" w:fill="auto"/>
          </w:tcPr>
          <w:p w14:paraId="19083CF3" w14:textId="77777777" w:rsidR="00FD6E36" w:rsidRPr="008B63A3" w:rsidRDefault="00FD6E36" w:rsidP="00164B2B">
            <w:pPr>
              <w:spacing w:line="360" w:lineRule="auto"/>
              <w:jc w:val="both"/>
              <w:rPr>
                <w:sz w:val="24"/>
                <w:szCs w:val="24"/>
              </w:rPr>
            </w:pPr>
            <w:r w:rsidRPr="008B63A3">
              <w:rPr>
                <w:sz w:val="24"/>
                <w:szCs w:val="24"/>
              </w:rPr>
              <w:t xml:space="preserve">     No</w:t>
            </w:r>
          </w:p>
        </w:tc>
        <w:tc>
          <w:tcPr>
            <w:tcW w:w="1694" w:type="dxa"/>
            <w:tcBorders>
              <w:top w:val="nil"/>
            </w:tcBorders>
            <w:shd w:val="clear" w:color="auto" w:fill="auto"/>
            <w:vAlign w:val="center"/>
          </w:tcPr>
          <w:p w14:paraId="6C16F72A" w14:textId="77777777" w:rsidR="00FD6E36" w:rsidRPr="008B63A3" w:rsidRDefault="00FD6E36" w:rsidP="00164B2B">
            <w:pPr>
              <w:spacing w:line="360" w:lineRule="auto"/>
              <w:jc w:val="center"/>
              <w:rPr>
                <w:sz w:val="24"/>
                <w:szCs w:val="24"/>
              </w:rPr>
            </w:pPr>
            <w:r w:rsidRPr="008B63A3">
              <w:rPr>
                <w:sz w:val="24"/>
                <w:szCs w:val="24"/>
              </w:rPr>
              <w:t>21.13</w:t>
            </w:r>
          </w:p>
        </w:tc>
        <w:tc>
          <w:tcPr>
            <w:tcW w:w="2390" w:type="dxa"/>
            <w:gridSpan w:val="3"/>
            <w:tcBorders>
              <w:top w:val="nil"/>
            </w:tcBorders>
            <w:shd w:val="clear" w:color="auto" w:fill="auto"/>
            <w:vAlign w:val="center"/>
          </w:tcPr>
          <w:p w14:paraId="4814F723" w14:textId="77777777" w:rsidR="00FD6E36" w:rsidRPr="008B63A3" w:rsidRDefault="00FD6E36" w:rsidP="00164B2B">
            <w:pPr>
              <w:spacing w:line="360" w:lineRule="auto"/>
              <w:jc w:val="center"/>
              <w:rPr>
                <w:sz w:val="24"/>
                <w:szCs w:val="24"/>
              </w:rPr>
            </w:pPr>
            <w:r w:rsidRPr="008B63A3">
              <w:rPr>
                <w:sz w:val="24"/>
                <w:szCs w:val="24"/>
              </w:rPr>
              <w:t>78.87</w:t>
            </w:r>
          </w:p>
        </w:tc>
        <w:tc>
          <w:tcPr>
            <w:tcW w:w="1012" w:type="dxa"/>
            <w:vMerge w:val="restart"/>
            <w:tcBorders>
              <w:top w:val="nil"/>
            </w:tcBorders>
            <w:shd w:val="clear" w:color="auto" w:fill="auto"/>
            <w:vAlign w:val="center"/>
          </w:tcPr>
          <w:p w14:paraId="6759D919" w14:textId="77777777" w:rsidR="00FD6E36" w:rsidRPr="008B63A3" w:rsidRDefault="00FD6E36" w:rsidP="00164B2B">
            <w:pPr>
              <w:spacing w:line="360" w:lineRule="auto"/>
              <w:jc w:val="right"/>
              <w:rPr>
                <w:sz w:val="24"/>
                <w:szCs w:val="24"/>
              </w:rPr>
            </w:pPr>
            <w:r w:rsidRPr="008B63A3">
              <w:rPr>
                <w:sz w:val="24"/>
                <w:szCs w:val="24"/>
              </w:rPr>
              <w:t>0.0090</w:t>
            </w:r>
          </w:p>
        </w:tc>
      </w:tr>
      <w:tr w:rsidR="008B63A3" w:rsidRPr="008B63A3" w14:paraId="678E03BF" w14:textId="77777777" w:rsidTr="00164B2B">
        <w:trPr>
          <w:gridAfter w:val="1"/>
          <w:wAfter w:w="69" w:type="dxa"/>
        </w:trPr>
        <w:tc>
          <w:tcPr>
            <w:tcW w:w="3092" w:type="dxa"/>
            <w:gridSpan w:val="2"/>
            <w:shd w:val="clear" w:color="auto" w:fill="auto"/>
          </w:tcPr>
          <w:p w14:paraId="49D81946" w14:textId="77777777" w:rsidR="00FD6E36" w:rsidRPr="008B63A3" w:rsidRDefault="00FD6E36" w:rsidP="00164B2B">
            <w:pPr>
              <w:spacing w:line="360" w:lineRule="auto"/>
              <w:jc w:val="both"/>
              <w:rPr>
                <w:sz w:val="24"/>
                <w:szCs w:val="24"/>
              </w:rPr>
            </w:pPr>
            <w:r w:rsidRPr="008B63A3">
              <w:rPr>
                <w:sz w:val="24"/>
                <w:szCs w:val="24"/>
              </w:rPr>
              <w:t xml:space="preserve">     Yes</w:t>
            </w:r>
          </w:p>
        </w:tc>
        <w:tc>
          <w:tcPr>
            <w:tcW w:w="1694" w:type="dxa"/>
            <w:shd w:val="clear" w:color="auto" w:fill="auto"/>
            <w:vAlign w:val="center"/>
          </w:tcPr>
          <w:p w14:paraId="024E7C75" w14:textId="77777777" w:rsidR="00FD6E36" w:rsidRPr="008B63A3" w:rsidRDefault="00FD6E36" w:rsidP="00164B2B">
            <w:pPr>
              <w:spacing w:line="360" w:lineRule="auto"/>
              <w:jc w:val="center"/>
              <w:rPr>
                <w:sz w:val="24"/>
                <w:szCs w:val="24"/>
              </w:rPr>
            </w:pPr>
            <w:r w:rsidRPr="008B63A3">
              <w:rPr>
                <w:sz w:val="24"/>
                <w:szCs w:val="24"/>
              </w:rPr>
              <w:t>31.21</w:t>
            </w:r>
          </w:p>
        </w:tc>
        <w:tc>
          <w:tcPr>
            <w:tcW w:w="2390" w:type="dxa"/>
            <w:gridSpan w:val="3"/>
            <w:shd w:val="clear" w:color="auto" w:fill="auto"/>
            <w:vAlign w:val="center"/>
          </w:tcPr>
          <w:p w14:paraId="180948CE" w14:textId="77777777" w:rsidR="00FD6E36" w:rsidRPr="008B63A3" w:rsidRDefault="00FD6E36" w:rsidP="00164B2B">
            <w:pPr>
              <w:spacing w:line="360" w:lineRule="auto"/>
              <w:jc w:val="center"/>
              <w:rPr>
                <w:sz w:val="24"/>
                <w:szCs w:val="24"/>
              </w:rPr>
            </w:pPr>
            <w:r w:rsidRPr="008B63A3">
              <w:rPr>
                <w:sz w:val="24"/>
                <w:szCs w:val="24"/>
              </w:rPr>
              <w:t>68.79</w:t>
            </w:r>
          </w:p>
        </w:tc>
        <w:tc>
          <w:tcPr>
            <w:tcW w:w="1012" w:type="dxa"/>
            <w:vMerge/>
            <w:shd w:val="clear" w:color="auto" w:fill="auto"/>
            <w:vAlign w:val="center"/>
          </w:tcPr>
          <w:p w14:paraId="373AD870" w14:textId="77777777" w:rsidR="00FD6E36" w:rsidRPr="008B63A3" w:rsidRDefault="00FD6E36" w:rsidP="00164B2B">
            <w:pPr>
              <w:spacing w:line="360" w:lineRule="auto"/>
              <w:jc w:val="right"/>
              <w:rPr>
                <w:sz w:val="24"/>
                <w:szCs w:val="24"/>
              </w:rPr>
            </w:pPr>
          </w:p>
        </w:tc>
      </w:tr>
      <w:tr w:rsidR="008B63A3" w:rsidRPr="008B63A3" w14:paraId="6CB8346D" w14:textId="77777777" w:rsidTr="00164B2B">
        <w:trPr>
          <w:gridBefore w:val="1"/>
          <w:gridAfter w:val="1"/>
          <w:wBefore w:w="13" w:type="dxa"/>
          <w:wAfter w:w="69" w:type="dxa"/>
        </w:trPr>
        <w:tc>
          <w:tcPr>
            <w:tcW w:w="3079" w:type="dxa"/>
            <w:shd w:val="clear" w:color="auto" w:fill="auto"/>
          </w:tcPr>
          <w:p w14:paraId="4E32A608" w14:textId="77777777" w:rsidR="00FD6E36" w:rsidRPr="008B63A3" w:rsidRDefault="00FD6E36" w:rsidP="00164B2B">
            <w:pPr>
              <w:spacing w:line="360" w:lineRule="auto"/>
              <w:rPr>
                <w:b/>
                <w:sz w:val="24"/>
                <w:szCs w:val="24"/>
              </w:rPr>
            </w:pPr>
            <w:r w:rsidRPr="008B63A3">
              <w:rPr>
                <w:b/>
                <w:sz w:val="24"/>
                <w:szCs w:val="24"/>
              </w:rPr>
              <w:t>Fall in the last 12 months</w:t>
            </w:r>
          </w:p>
        </w:tc>
        <w:tc>
          <w:tcPr>
            <w:tcW w:w="1694" w:type="dxa"/>
            <w:shd w:val="clear" w:color="auto" w:fill="auto"/>
            <w:vAlign w:val="center"/>
          </w:tcPr>
          <w:p w14:paraId="08184D1D"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2752FA99"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356487BD" w14:textId="77777777" w:rsidR="00FD6E36" w:rsidRPr="008B63A3" w:rsidRDefault="00FD6E36" w:rsidP="00164B2B">
            <w:pPr>
              <w:spacing w:line="360" w:lineRule="auto"/>
              <w:jc w:val="right"/>
              <w:rPr>
                <w:sz w:val="24"/>
                <w:szCs w:val="24"/>
              </w:rPr>
            </w:pPr>
          </w:p>
        </w:tc>
      </w:tr>
      <w:tr w:rsidR="008B63A3" w:rsidRPr="008B63A3" w14:paraId="5EDE394E" w14:textId="77777777" w:rsidTr="00164B2B">
        <w:trPr>
          <w:gridBefore w:val="1"/>
          <w:gridAfter w:val="1"/>
          <w:wBefore w:w="13" w:type="dxa"/>
          <w:wAfter w:w="69" w:type="dxa"/>
        </w:trPr>
        <w:tc>
          <w:tcPr>
            <w:tcW w:w="3079" w:type="dxa"/>
            <w:shd w:val="clear" w:color="auto" w:fill="auto"/>
          </w:tcPr>
          <w:p w14:paraId="71C02079" w14:textId="77777777" w:rsidR="00FD6E36" w:rsidRPr="008B63A3" w:rsidRDefault="00FD6E36" w:rsidP="00164B2B">
            <w:pPr>
              <w:spacing w:line="360" w:lineRule="auto"/>
              <w:jc w:val="both"/>
              <w:rPr>
                <w:sz w:val="24"/>
                <w:szCs w:val="24"/>
              </w:rPr>
            </w:pPr>
            <w:r w:rsidRPr="008B63A3">
              <w:rPr>
                <w:sz w:val="24"/>
                <w:szCs w:val="24"/>
              </w:rPr>
              <w:t xml:space="preserve">     Not fall</w:t>
            </w:r>
          </w:p>
        </w:tc>
        <w:tc>
          <w:tcPr>
            <w:tcW w:w="1694" w:type="dxa"/>
            <w:shd w:val="clear" w:color="auto" w:fill="auto"/>
            <w:vAlign w:val="center"/>
          </w:tcPr>
          <w:p w14:paraId="72AAAAEE" w14:textId="77777777" w:rsidR="00FD6E36" w:rsidRPr="008B63A3" w:rsidRDefault="00FD6E36" w:rsidP="00164B2B">
            <w:pPr>
              <w:spacing w:line="360" w:lineRule="auto"/>
              <w:jc w:val="center"/>
              <w:rPr>
                <w:sz w:val="24"/>
                <w:szCs w:val="24"/>
              </w:rPr>
            </w:pPr>
            <w:r w:rsidRPr="008B63A3">
              <w:rPr>
                <w:sz w:val="24"/>
                <w:szCs w:val="24"/>
              </w:rPr>
              <w:t>24.86</w:t>
            </w:r>
          </w:p>
        </w:tc>
        <w:tc>
          <w:tcPr>
            <w:tcW w:w="2390" w:type="dxa"/>
            <w:gridSpan w:val="3"/>
            <w:shd w:val="clear" w:color="auto" w:fill="auto"/>
            <w:vAlign w:val="center"/>
          </w:tcPr>
          <w:p w14:paraId="186C58BC" w14:textId="77777777" w:rsidR="00FD6E36" w:rsidRPr="008B63A3" w:rsidRDefault="00FD6E36" w:rsidP="00164B2B">
            <w:pPr>
              <w:spacing w:line="360" w:lineRule="auto"/>
              <w:jc w:val="center"/>
              <w:rPr>
                <w:sz w:val="24"/>
                <w:szCs w:val="24"/>
              </w:rPr>
            </w:pPr>
            <w:r w:rsidRPr="008B63A3">
              <w:rPr>
                <w:sz w:val="24"/>
                <w:szCs w:val="24"/>
              </w:rPr>
              <w:t>75.14</w:t>
            </w:r>
          </w:p>
        </w:tc>
        <w:tc>
          <w:tcPr>
            <w:tcW w:w="1012" w:type="dxa"/>
            <w:vMerge w:val="restart"/>
            <w:shd w:val="clear" w:color="auto" w:fill="auto"/>
            <w:vAlign w:val="center"/>
          </w:tcPr>
          <w:p w14:paraId="0F94E9E9" w14:textId="77777777" w:rsidR="00FD6E36" w:rsidRPr="008B63A3" w:rsidRDefault="00FD6E36" w:rsidP="00164B2B">
            <w:pPr>
              <w:spacing w:line="360" w:lineRule="auto"/>
              <w:jc w:val="right"/>
              <w:rPr>
                <w:sz w:val="24"/>
                <w:szCs w:val="24"/>
              </w:rPr>
            </w:pPr>
            <w:r w:rsidRPr="008B63A3">
              <w:rPr>
                <w:sz w:val="24"/>
                <w:szCs w:val="24"/>
              </w:rPr>
              <w:t>0.0778</w:t>
            </w:r>
          </w:p>
        </w:tc>
      </w:tr>
      <w:tr w:rsidR="008B63A3" w:rsidRPr="008B63A3" w14:paraId="5C289FF5" w14:textId="77777777" w:rsidTr="00164B2B">
        <w:trPr>
          <w:gridAfter w:val="1"/>
          <w:wAfter w:w="69" w:type="dxa"/>
        </w:trPr>
        <w:tc>
          <w:tcPr>
            <w:tcW w:w="3092" w:type="dxa"/>
            <w:gridSpan w:val="2"/>
            <w:shd w:val="clear" w:color="auto" w:fill="auto"/>
          </w:tcPr>
          <w:p w14:paraId="0E493EE1" w14:textId="77777777" w:rsidR="00FD6E36" w:rsidRPr="008B63A3" w:rsidRDefault="00FD6E36" w:rsidP="00164B2B">
            <w:pPr>
              <w:spacing w:line="360" w:lineRule="auto"/>
              <w:jc w:val="both"/>
              <w:rPr>
                <w:sz w:val="24"/>
                <w:szCs w:val="24"/>
              </w:rPr>
            </w:pPr>
            <w:r w:rsidRPr="008B63A3">
              <w:rPr>
                <w:sz w:val="24"/>
                <w:szCs w:val="24"/>
              </w:rPr>
              <w:t xml:space="preserve">     Fall</w:t>
            </w:r>
          </w:p>
        </w:tc>
        <w:tc>
          <w:tcPr>
            <w:tcW w:w="1694" w:type="dxa"/>
            <w:shd w:val="clear" w:color="auto" w:fill="auto"/>
            <w:vAlign w:val="center"/>
          </w:tcPr>
          <w:p w14:paraId="2AFDF38A" w14:textId="77777777" w:rsidR="00FD6E36" w:rsidRPr="008B63A3" w:rsidRDefault="00FD6E36" w:rsidP="00164B2B">
            <w:pPr>
              <w:spacing w:line="360" w:lineRule="auto"/>
              <w:jc w:val="center"/>
              <w:rPr>
                <w:sz w:val="24"/>
                <w:szCs w:val="24"/>
              </w:rPr>
            </w:pPr>
            <w:r w:rsidRPr="008B63A3">
              <w:rPr>
                <w:sz w:val="24"/>
                <w:szCs w:val="24"/>
              </w:rPr>
              <w:t>31.80</w:t>
            </w:r>
          </w:p>
        </w:tc>
        <w:tc>
          <w:tcPr>
            <w:tcW w:w="2390" w:type="dxa"/>
            <w:gridSpan w:val="3"/>
            <w:shd w:val="clear" w:color="auto" w:fill="auto"/>
            <w:vAlign w:val="center"/>
          </w:tcPr>
          <w:p w14:paraId="6B74B8A4" w14:textId="77777777" w:rsidR="00FD6E36" w:rsidRPr="008B63A3" w:rsidRDefault="00FD6E36" w:rsidP="00164B2B">
            <w:pPr>
              <w:spacing w:line="360" w:lineRule="auto"/>
              <w:jc w:val="center"/>
              <w:rPr>
                <w:sz w:val="24"/>
                <w:szCs w:val="24"/>
              </w:rPr>
            </w:pPr>
            <w:r w:rsidRPr="008B63A3">
              <w:rPr>
                <w:sz w:val="24"/>
                <w:szCs w:val="24"/>
              </w:rPr>
              <w:t>68.20</w:t>
            </w:r>
          </w:p>
        </w:tc>
        <w:tc>
          <w:tcPr>
            <w:tcW w:w="1012" w:type="dxa"/>
            <w:vMerge/>
            <w:shd w:val="clear" w:color="auto" w:fill="auto"/>
            <w:vAlign w:val="center"/>
          </w:tcPr>
          <w:p w14:paraId="77DC5EAA" w14:textId="77777777" w:rsidR="00FD6E36" w:rsidRPr="008B63A3" w:rsidRDefault="00FD6E36" w:rsidP="00164B2B">
            <w:pPr>
              <w:spacing w:line="360" w:lineRule="auto"/>
              <w:jc w:val="right"/>
              <w:rPr>
                <w:sz w:val="24"/>
                <w:szCs w:val="24"/>
              </w:rPr>
            </w:pPr>
          </w:p>
        </w:tc>
      </w:tr>
      <w:tr w:rsidR="008B63A3" w:rsidRPr="008B63A3" w14:paraId="3A458B1E" w14:textId="77777777" w:rsidTr="00164B2B">
        <w:trPr>
          <w:gridBefore w:val="1"/>
          <w:gridAfter w:val="1"/>
          <w:wBefore w:w="13" w:type="dxa"/>
          <w:wAfter w:w="69" w:type="dxa"/>
        </w:trPr>
        <w:tc>
          <w:tcPr>
            <w:tcW w:w="3079" w:type="dxa"/>
            <w:shd w:val="clear" w:color="auto" w:fill="auto"/>
          </w:tcPr>
          <w:p w14:paraId="1D8D721E" w14:textId="77777777" w:rsidR="00FD6E36" w:rsidRPr="008B63A3" w:rsidRDefault="00FD6E36" w:rsidP="00164B2B">
            <w:pPr>
              <w:spacing w:line="360" w:lineRule="auto"/>
              <w:jc w:val="both"/>
              <w:rPr>
                <w:b/>
                <w:sz w:val="24"/>
                <w:szCs w:val="24"/>
              </w:rPr>
            </w:pPr>
            <w:r w:rsidRPr="008B63A3">
              <w:rPr>
                <w:b/>
                <w:sz w:val="24"/>
                <w:szCs w:val="24"/>
              </w:rPr>
              <w:t>Multimorbidities</w:t>
            </w:r>
          </w:p>
        </w:tc>
        <w:tc>
          <w:tcPr>
            <w:tcW w:w="1694" w:type="dxa"/>
            <w:shd w:val="clear" w:color="auto" w:fill="auto"/>
            <w:vAlign w:val="center"/>
          </w:tcPr>
          <w:p w14:paraId="565FA2E4"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2DF8F54C"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42E730BD" w14:textId="77777777" w:rsidR="00FD6E36" w:rsidRPr="008B63A3" w:rsidRDefault="00FD6E36" w:rsidP="00164B2B">
            <w:pPr>
              <w:spacing w:line="360" w:lineRule="auto"/>
              <w:jc w:val="right"/>
              <w:rPr>
                <w:sz w:val="24"/>
                <w:szCs w:val="24"/>
              </w:rPr>
            </w:pPr>
          </w:p>
        </w:tc>
      </w:tr>
      <w:tr w:rsidR="008B63A3" w:rsidRPr="008B63A3" w14:paraId="310F3536" w14:textId="77777777" w:rsidTr="00164B2B">
        <w:trPr>
          <w:gridBefore w:val="1"/>
          <w:gridAfter w:val="1"/>
          <w:wBefore w:w="13" w:type="dxa"/>
          <w:wAfter w:w="69" w:type="dxa"/>
        </w:trPr>
        <w:tc>
          <w:tcPr>
            <w:tcW w:w="3079" w:type="dxa"/>
            <w:shd w:val="clear" w:color="auto" w:fill="auto"/>
          </w:tcPr>
          <w:p w14:paraId="18F6CA2E" w14:textId="77777777" w:rsidR="00FD6E36" w:rsidRPr="008B63A3" w:rsidRDefault="00FD6E36" w:rsidP="00164B2B">
            <w:pPr>
              <w:spacing w:line="360" w:lineRule="auto"/>
              <w:jc w:val="both"/>
              <w:rPr>
                <w:sz w:val="24"/>
                <w:szCs w:val="24"/>
              </w:rPr>
            </w:pPr>
            <w:r w:rsidRPr="008B63A3">
              <w:rPr>
                <w:sz w:val="24"/>
                <w:szCs w:val="24"/>
              </w:rPr>
              <w:t xml:space="preserve">     No </w:t>
            </w:r>
          </w:p>
        </w:tc>
        <w:tc>
          <w:tcPr>
            <w:tcW w:w="1694" w:type="dxa"/>
            <w:shd w:val="clear" w:color="auto" w:fill="auto"/>
            <w:vAlign w:val="center"/>
          </w:tcPr>
          <w:p w14:paraId="4EB6F6BD" w14:textId="77777777" w:rsidR="00FD6E36" w:rsidRPr="008B63A3" w:rsidRDefault="00FD6E36" w:rsidP="00164B2B">
            <w:pPr>
              <w:spacing w:line="360" w:lineRule="auto"/>
              <w:jc w:val="center"/>
              <w:rPr>
                <w:sz w:val="24"/>
                <w:szCs w:val="24"/>
              </w:rPr>
            </w:pPr>
            <w:r w:rsidRPr="008B63A3">
              <w:rPr>
                <w:sz w:val="24"/>
                <w:szCs w:val="24"/>
              </w:rPr>
              <w:t>22.87</w:t>
            </w:r>
          </w:p>
        </w:tc>
        <w:tc>
          <w:tcPr>
            <w:tcW w:w="2390" w:type="dxa"/>
            <w:gridSpan w:val="3"/>
            <w:shd w:val="clear" w:color="auto" w:fill="auto"/>
            <w:vAlign w:val="center"/>
          </w:tcPr>
          <w:p w14:paraId="5C249B0F" w14:textId="77777777" w:rsidR="00FD6E36" w:rsidRPr="008B63A3" w:rsidRDefault="00FD6E36" w:rsidP="00164B2B">
            <w:pPr>
              <w:spacing w:line="360" w:lineRule="auto"/>
              <w:jc w:val="center"/>
              <w:rPr>
                <w:sz w:val="24"/>
                <w:szCs w:val="24"/>
              </w:rPr>
            </w:pPr>
            <w:r w:rsidRPr="008B63A3">
              <w:rPr>
                <w:sz w:val="24"/>
                <w:szCs w:val="24"/>
              </w:rPr>
              <w:t>77.13</w:t>
            </w:r>
          </w:p>
        </w:tc>
        <w:tc>
          <w:tcPr>
            <w:tcW w:w="1012" w:type="dxa"/>
            <w:vMerge w:val="restart"/>
            <w:shd w:val="clear" w:color="auto" w:fill="auto"/>
            <w:vAlign w:val="center"/>
          </w:tcPr>
          <w:p w14:paraId="035D6598" w14:textId="77777777" w:rsidR="00FD6E36" w:rsidRPr="008B63A3" w:rsidRDefault="00FD6E36" w:rsidP="00164B2B">
            <w:pPr>
              <w:spacing w:line="360" w:lineRule="auto"/>
              <w:jc w:val="right"/>
              <w:rPr>
                <w:sz w:val="24"/>
                <w:szCs w:val="24"/>
              </w:rPr>
            </w:pPr>
            <w:r w:rsidRPr="008B63A3">
              <w:rPr>
                <w:sz w:val="24"/>
                <w:szCs w:val="24"/>
              </w:rPr>
              <w:t>0.0994</w:t>
            </w:r>
          </w:p>
        </w:tc>
      </w:tr>
      <w:tr w:rsidR="008B63A3" w:rsidRPr="008B63A3" w14:paraId="3C3551EA" w14:textId="77777777" w:rsidTr="00164B2B">
        <w:trPr>
          <w:gridAfter w:val="1"/>
          <w:wAfter w:w="69" w:type="dxa"/>
        </w:trPr>
        <w:tc>
          <w:tcPr>
            <w:tcW w:w="3092" w:type="dxa"/>
            <w:gridSpan w:val="2"/>
            <w:shd w:val="clear" w:color="auto" w:fill="auto"/>
          </w:tcPr>
          <w:p w14:paraId="2F792CEA" w14:textId="77777777" w:rsidR="00FD6E36" w:rsidRPr="008B63A3" w:rsidRDefault="00FD6E36" w:rsidP="00164B2B">
            <w:pPr>
              <w:spacing w:line="360" w:lineRule="auto"/>
              <w:jc w:val="both"/>
              <w:rPr>
                <w:sz w:val="24"/>
                <w:szCs w:val="24"/>
              </w:rPr>
            </w:pPr>
            <w:r w:rsidRPr="008B63A3">
              <w:rPr>
                <w:sz w:val="24"/>
                <w:szCs w:val="24"/>
              </w:rPr>
              <w:t xml:space="preserve">     Yes</w:t>
            </w:r>
          </w:p>
        </w:tc>
        <w:tc>
          <w:tcPr>
            <w:tcW w:w="1694" w:type="dxa"/>
            <w:shd w:val="clear" w:color="auto" w:fill="auto"/>
            <w:vAlign w:val="center"/>
          </w:tcPr>
          <w:p w14:paraId="56BCCDBF" w14:textId="77777777" w:rsidR="00FD6E36" w:rsidRPr="008B63A3" w:rsidRDefault="00FD6E36" w:rsidP="00164B2B">
            <w:pPr>
              <w:spacing w:line="360" w:lineRule="auto"/>
              <w:jc w:val="center"/>
              <w:rPr>
                <w:sz w:val="24"/>
                <w:szCs w:val="24"/>
              </w:rPr>
            </w:pPr>
            <w:r w:rsidRPr="008B63A3">
              <w:rPr>
                <w:sz w:val="24"/>
                <w:szCs w:val="24"/>
              </w:rPr>
              <w:t>29.74</w:t>
            </w:r>
          </w:p>
        </w:tc>
        <w:tc>
          <w:tcPr>
            <w:tcW w:w="2390" w:type="dxa"/>
            <w:gridSpan w:val="3"/>
            <w:shd w:val="clear" w:color="auto" w:fill="auto"/>
            <w:vAlign w:val="center"/>
          </w:tcPr>
          <w:p w14:paraId="242DEFD4" w14:textId="77777777" w:rsidR="00FD6E36" w:rsidRPr="008B63A3" w:rsidRDefault="00FD6E36" w:rsidP="00164B2B">
            <w:pPr>
              <w:spacing w:line="360" w:lineRule="auto"/>
              <w:jc w:val="center"/>
              <w:rPr>
                <w:sz w:val="24"/>
                <w:szCs w:val="24"/>
              </w:rPr>
            </w:pPr>
            <w:r w:rsidRPr="008B63A3">
              <w:rPr>
                <w:sz w:val="24"/>
                <w:szCs w:val="24"/>
              </w:rPr>
              <w:t>70.26</w:t>
            </w:r>
          </w:p>
        </w:tc>
        <w:tc>
          <w:tcPr>
            <w:tcW w:w="1012" w:type="dxa"/>
            <w:vMerge/>
            <w:shd w:val="clear" w:color="auto" w:fill="auto"/>
            <w:vAlign w:val="center"/>
          </w:tcPr>
          <w:p w14:paraId="115670E2" w14:textId="77777777" w:rsidR="00FD6E36" w:rsidRPr="008B63A3" w:rsidRDefault="00FD6E36" w:rsidP="00164B2B">
            <w:pPr>
              <w:spacing w:line="360" w:lineRule="auto"/>
              <w:jc w:val="right"/>
              <w:rPr>
                <w:sz w:val="24"/>
                <w:szCs w:val="24"/>
              </w:rPr>
            </w:pPr>
          </w:p>
        </w:tc>
      </w:tr>
      <w:tr w:rsidR="008B63A3" w:rsidRPr="008B63A3" w14:paraId="047F54A1" w14:textId="77777777" w:rsidTr="00164B2B">
        <w:trPr>
          <w:gridBefore w:val="1"/>
          <w:gridAfter w:val="1"/>
          <w:wBefore w:w="13" w:type="dxa"/>
          <w:wAfter w:w="69" w:type="dxa"/>
        </w:trPr>
        <w:tc>
          <w:tcPr>
            <w:tcW w:w="3079" w:type="dxa"/>
            <w:shd w:val="clear" w:color="auto" w:fill="auto"/>
          </w:tcPr>
          <w:p w14:paraId="6494403E" w14:textId="77777777" w:rsidR="00FD6E36" w:rsidRPr="008B63A3" w:rsidRDefault="00FD6E36" w:rsidP="00164B2B">
            <w:pPr>
              <w:spacing w:line="360" w:lineRule="auto"/>
              <w:jc w:val="both"/>
              <w:rPr>
                <w:b/>
                <w:sz w:val="24"/>
                <w:szCs w:val="24"/>
              </w:rPr>
            </w:pPr>
            <w:r w:rsidRPr="008B63A3">
              <w:rPr>
                <w:b/>
                <w:sz w:val="24"/>
                <w:szCs w:val="24"/>
              </w:rPr>
              <w:t>Sarcopenic</w:t>
            </w:r>
          </w:p>
        </w:tc>
        <w:tc>
          <w:tcPr>
            <w:tcW w:w="1694" w:type="dxa"/>
            <w:shd w:val="clear" w:color="auto" w:fill="auto"/>
            <w:vAlign w:val="center"/>
          </w:tcPr>
          <w:p w14:paraId="26717A3E"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6A6B6FB1" w14:textId="77777777" w:rsidR="00FD6E36" w:rsidRPr="008B63A3" w:rsidRDefault="00FD6E36" w:rsidP="00164B2B">
            <w:pPr>
              <w:spacing w:line="360" w:lineRule="auto"/>
              <w:jc w:val="center"/>
              <w:rPr>
                <w:sz w:val="24"/>
                <w:szCs w:val="24"/>
              </w:rPr>
            </w:pPr>
          </w:p>
        </w:tc>
        <w:tc>
          <w:tcPr>
            <w:tcW w:w="1012" w:type="dxa"/>
            <w:shd w:val="clear" w:color="auto" w:fill="auto"/>
          </w:tcPr>
          <w:p w14:paraId="36A8CAF8" w14:textId="77777777" w:rsidR="00FD6E36" w:rsidRPr="008B63A3" w:rsidRDefault="00FD6E36" w:rsidP="00164B2B">
            <w:pPr>
              <w:spacing w:line="360" w:lineRule="auto"/>
              <w:jc w:val="both"/>
              <w:rPr>
                <w:sz w:val="24"/>
                <w:szCs w:val="24"/>
              </w:rPr>
            </w:pPr>
          </w:p>
        </w:tc>
      </w:tr>
      <w:tr w:rsidR="008B63A3" w:rsidRPr="008B63A3" w14:paraId="395477E1" w14:textId="77777777" w:rsidTr="00164B2B">
        <w:trPr>
          <w:gridBefore w:val="1"/>
          <w:gridAfter w:val="1"/>
          <w:wBefore w:w="13" w:type="dxa"/>
          <w:wAfter w:w="69" w:type="dxa"/>
        </w:trPr>
        <w:tc>
          <w:tcPr>
            <w:tcW w:w="3079" w:type="dxa"/>
            <w:shd w:val="clear" w:color="auto" w:fill="auto"/>
          </w:tcPr>
          <w:p w14:paraId="23DE515F" w14:textId="77777777" w:rsidR="00FD6E36" w:rsidRPr="008B63A3" w:rsidRDefault="00FD6E36" w:rsidP="00164B2B">
            <w:pPr>
              <w:spacing w:line="360" w:lineRule="auto"/>
              <w:jc w:val="both"/>
              <w:rPr>
                <w:sz w:val="24"/>
                <w:szCs w:val="24"/>
              </w:rPr>
            </w:pPr>
            <w:r w:rsidRPr="008B63A3">
              <w:rPr>
                <w:sz w:val="24"/>
                <w:szCs w:val="24"/>
              </w:rPr>
              <w:t xml:space="preserve">     No </w:t>
            </w:r>
          </w:p>
        </w:tc>
        <w:tc>
          <w:tcPr>
            <w:tcW w:w="1694" w:type="dxa"/>
            <w:shd w:val="clear" w:color="auto" w:fill="auto"/>
            <w:vAlign w:val="center"/>
          </w:tcPr>
          <w:p w14:paraId="22E47BC9" w14:textId="77777777" w:rsidR="00FD6E36" w:rsidRPr="008B63A3" w:rsidRDefault="00FD6E36" w:rsidP="00164B2B">
            <w:pPr>
              <w:spacing w:line="360" w:lineRule="auto"/>
              <w:jc w:val="center"/>
              <w:rPr>
                <w:sz w:val="24"/>
                <w:szCs w:val="24"/>
              </w:rPr>
            </w:pPr>
            <w:r w:rsidRPr="008B63A3">
              <w:rPr>
                <w:sz w:val="24"/>
                <w:szCs w:val="24"/>
              </w:rPr>
              <w:t>27.91</w:t>
            </w:r>
          </w:p>
        </w:tc>
        <w:tc>
          <w:tcPr>
            <w:tcW w:w="2390" w:type="dxa"/>
            <w:gridSpan w:val="3"/>
            <w:shd w:val="clear" w:color="auto" w:fill="auto"/>
            <w:vAlign w:val="center"/>
          </w:tcPr>
          <w:p w14:paraId="326D926E" w14:textId="77777777" w:rsidR="00FD6E36" w:rsidRPr="008B63A3" w:rsidRDefault="00FD6E36" w:rsidP="00164B2B">
            <w:pPr>
              <w:spacing w:line="360" w:lineRule="auto"/>
              <w:jc w:val="center"/>
              <w:rPr>
                <w:sz w:val="24"/>
                <w:szCs w:val="24"/>
              </w:rPr>
            </w:pPr>
            <w:r w:rsidRPr="008B63A3">
              <w:rPr>
                <w:sz w:val="24"/>
                <w:szCs w:val="24"/>
              </w:rPr>
              <w:t>72.09</w:t>
            </w:r>
          </w:p>
        </w:tc>
        <w:tc>
          <w:tcPr>
            <w:tcW w:w="1012" w:type="dxa"/>
            <w:vMerge w:val="restart"/>
            <w:shd w:val="clear" w:color="auto" w:fill="auto"/>
            <w:vAlign w:val="center"/>
          </w:tcPr>
          <w:p w14:paraId="30975995" w14:textId="77777777" w:rsidR="00FD6E36" w:rsidRPr="008B63A3" w:rsidRDefault="00FD6E36" w:rsidP="00164B2B">
            <w:pPr>
              <w:spacing w:line="360" w:lineRule="auto"/>
              <w:jc w:val="right"/>
              <w:rPr>
                <w:sz w:val="24"/>
                <w:szCs w:val="24"/>
              </w:rPr>
            </w:pPr>
            <w:r w:rsidRPr="008B63A3">
              <w:rPr>
                <w:sz w:val="24"/>
                <w:szCs w:val="24"/>
              </w:rPr>
              <w:t>0.2912</w:t>
            </w:r>
          </w:p>
        </w:tc>
      </w:tr>
      <w:tr w:rsidR="008B63A3" w:rsidRPr="008B63A3" w14:paraId="107F1057" w14:textId="77777777" w:rsidTr="00164B2B">
        <w:trPr>
          <w:gridAfter w:val="1"/>
          <w:wAfter w:w="69" w:type="dxa"/>
        </w:trPr>
        <w:tc>
          <w:tcPr>
            <w:tcW w:w="3092" w:type="dxa"/>
            <w:gridSpan w:val="2"/>
            <w:shd w:val="clear" w:color="auto" w:fill="auto"/>
          </w:tcPr>
          <w:p w14:paraId="7887C8E7" w14:textId="77777777" w:rsidR="00FD6E36" w:rsidRPr="008B63A3" w:rsidRDefault="00FD6E36" w:rsidP="00164B2B">
            <w:pPr>
              <w:spacing w:line="360" w:lineRule="auto"/>
              <w:jc w:val="both"/>
              <w:rPr>
                <w:sz w:val="24"/>
                <w:szCs w:val="24"/>
              </w:rPr>
            </w:pPr>
            <w:r w:rsidRPr="008B63A3">
              <w:rPr>
                <w:sz w:val="24"/>
                <w:szCs w:val="24"/>
              </w:rPr>
              <w:t xml:space="preserve">     Yes</w:t>
            </w:r>
          </w:p>
        </w:tc>
        <w:tc>
          <w:tcPr>
            <w:tcW w:w="1694" w:type="dxa"/>
            <w:shd w:val="clear" w:color="auto" w:fill="auto"/>
            <w:vAlign w:val="center"/>
          </w:tcPr>
          <w:p w14:paraId="0C3341C7" w14:textId="77777777" w:rsidR="00FD6E36" w:rsidRPr="008B63A3" w:rsidRDefault="00FD6E36" w:rsidP="00164B2B">
            <w:pPr>
              <w:spacing w:line="360" w:lineRule="auto"/>
              <w:jc w:val="center"/>
              <w:rPr>
                <w:sz w:val="24"/>
                <w:szCs w:val="24"/>
              </w:rPr>
            </w:pPr>
            <w:r w:rsidRPr="008B63A3">
              <w:rPr>
                <w:sz w:val="24"/>
                <w:szCs w:val="24"/>
              </w:rPr>
              <w:t>26.70</w:t>
            </w:r>
          </w:p>
        </w:tc>
        <w:tc>
          <w:tcPr>
            <w:tcW w:w="2390" w:type="dxa"/>
            <w:gridSpan w:val="3"/>
            <w:shd w:val="clear" w:color="auto" w:fill="auto"/>
            <w:vAlign w:val="center"/>
          </w:tcPr>
          <w:p w14:paraId="256F2C83" w14:textId="77777777" w:rsidR="00FD6E36" w:rsidRPr="008B63A3" w:rsidRDefault="00FD6E36" w:rsidP="00164B2B">
            <w:pPr>
              <w:spacing w:line="360" w:lineRule="auto"/>
              <w:jc w:val="center"/>
              <w:rPr>
                <w:sz w:val="24"/>
                <w:szCs w:val="24"/>
              </w:rPr>
            </w:pPr>
            <w:r w:rsidRPr="008B63A3">
              <w:rPr>
                <w:sz w:val="24"/>
                <w:szCs w:val="24"/>
              </w:rPr>
              <w:t>73.30</w:t>
            </w:r>
          </w:p>
        </w:tc>
        <w:tc>
          <w:tcPr>
            <w:tcW w:w="1012" w:type="dxa"/>
            <w:vMerge/>
            <w:shd w:val="clear" w:color="auto" w:fill="auto"/>
            <w:vAlign w:val="center"/>
          </w:tcPr>
          <w:p w14:paraId="350B606D" w14:textId="77777777" w:rsidR="00FD6E36" w:rsidRPr="008B63A3" w:rsidRDefault="00FD6E36" w:rsidP="00164B2B">
            <w:pPr>
              <w:spacing w:line="360" w:lineRule="auto"/>
              <w:jc w:val="right"/>
              <w:rPr>
                <w:sz w:val="24"/>
                <w:szCs w:val="24"/>
              </w:rPr>
            </w:pPr>
          </w:p>
        </w:tc>
      </w:tr>
      <w:tr w:rsidR="008B63A3" w:rsidRPr="008B63A3" w14:paraId="3387EC55" w14:textId="77777777" w:rsidTr="00164B2B">
        <w:trPr>
          <w:gridBefore w:val="1"/>
          <w:gridAfter w:val="1"/>
          <w:wBefore w:w="13" w:type="dxa"/>
          <w:wAfter w:w="69" w:type="dxa"/>
        </w:trPr>
        <w:tc>
          <w:tcPr>
            <w:tcW w:w="3079" w:type="dxa"/>
            <w:shd w:val="clear" w:color="auto" w:fill="auto"/>
          </w:tcPr>
          <w:p w14:paraId="75A28BCE" w14:textId="77777777" w:rsidR="00FD6E36" w:rsidRPr="008B63A3" w:rsidRDefault="00FD6E36" w:rsidP="00164B2B">
            <w:pPr>
              <w:spacing w:line="360" w:lineRule="auto"/>
              <w:jc w:val="both"/>
              <w:rPr>
                <w:b/>
                <w:sz w:val="24"/>
                <w:szCs w:val="24"/>
              </w:rPr>
            </w:pPr>
            <w:r w:rsidRPr="008B63A3">
              <w:rPr>
                <w:b/>
                <w:sz w:val="24"/>
                <w:szCs w:val="24"/>
              </w:rPr>
              <w:t>Difficulty in BADL</w:t>
            </w:r>
          </w:p>
        </w:tc>
        <w:tc>
          <w:tcPr>
            <w:tcW w:w="1694" w:type="dxa"/>
            <w:shd w:val="clear" w:color="auto" w:fill="auto"/>
            <w:vAlign w:val="center"/>
          </w:tcPr>
          <w:p w14:paraId="77DA527F"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0D9BCB4D"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2CD2F183" w14:textId="77777777" w:rsidR="00FD6E36" w:rsidRPr="008B63A3" w:rsidRDefault="00FD6E36" w:rsidP="00164B2B">
            <w:pPr>
              <w:spacing w:line="360" w:lineRule="auto"/>
              <w:jc w:val="right"/>
              <w:rPr>
                <w:sz w:val="24"/>
                <w:szCs w:val="24"/>
              </w:rPr>
            </w:pPr>
          </w:p>
        </w:tc>
      </w:tr>
      <w:tr w:rsidR="008B63A3" w:rsidRPr="008B63A3" w14:paraId="152DC50A" w14:textId="77777777" w:rsidTr="00164B2B">
        <w:trPr>
          <w:gridBefore w:val="1"/>
          <w:gridAfter w:val="1"/>
          <w:wBefore w:w="13" w:type="dxa"/>
          <w:wAfter w:w="69" w:type="dxa"/>
        </w:trPr>
        <w:tc>
          <w:tcPr>
            <w:tcW w:w="3079" w:type="dxa"/>
            <w:shd w:val="clear" w:color="auto" w:fill="auto"/>
          </w:tcPr>
          <w:p w14:paraId="00824622" w14:textId="77777777" w:rsidR="00FD6E36" w:rsidRPr="008B63A3" w:rsidRDefault="00FD6E36" w:rsidP="00164B2B">
            <w:pPr>
              <w:spacing w:line="360" w:lineRule="auto"/>
              <w:jc w:val="both"/>
              <w:rPr>
                <w:sz w:val="24"/>
                <w:szCs w:val="24"/>
              </w:rPr>
            </w:pPr>
            <w:r w:rsidRPr="008B63A3">
              <w:rPr>
                <w:sz w:val="24"/>
                <w:szCs w:val="24"/>
              </w:rPr>
              <w:t xml:space="preserve">     No</w:t>
            </w:r>
          </w:p>
        </w:tc>
        <w:tc>
          <w:tcPr>
            <w:tcW w:w="1694" w:type="dxa"/>
            <w:shd w:val="clear" w:color="auto" w:fill="auto"/>
            <w:vAlign w:val="center"/>
          </w:tcPr>
          <w:p w14:paraId="20C9443F" w14:textId="77777777" w:rsidR="00FD6E36" w:rsidRPr="008B63A3" w:rsidRDefault="00FD6E36" w:rsidP="00164B2B">
            <w:pPr>
              <w:spacing w:line="360" w:lineRule="auto"/>
              <w:jc w:val="center"/>
              <w:rPr>
                <w:sz w:val="24"/>
                <w:szCs w:val="24"/>
              </w:rPr>
            </w:pPr>
            <w:r w:rsidRPr="008B63A3">
              <w:rPr>
                <w:sz w:val="24"/>
                <w:szCs w:val="24"/>
              </w:rPr>
              <w:t>21.46</w:t>
            </w:r>
          </w:p>
        </w:tc>
        <w:tc>
          <w:tcPr>
            <w:tcW w:w="2390" w:type="dxa"/>
            <w:gridSpan w:val="3"/>
            <w:shd w:val="clear" w:color="auto" w:fill="auto"/>
            <w:vAlign w:val="center"/>
          </w:tcPr>
          <w:p w14:paraId="644BD9B6" w14:textId="77777777" w:rsidR="00FD6E36" w:rsidRPr="008B63A3" w:rsidRDefault="00FD6E36" w:rsidP="00164B2B">
            <w:pPr>
              <w:spacing w:line="360" w:lineRule="auto"/>
              <w:jc w:val="center"/>
              <w:rPr>
                <w:sz w:val="24"/>
                <w:szCs w:val="24"/>
              </w:rPr>
            </w:pPr>
            <w:r w:rsidRPr="008B63A3">
              <w:rPr>
                <w:sz w:val="24"/>
                <w:szCs w:val="24"/>
              </w:rPr>
              <w:t>78.54</w:t>
            </w:r>
          </w:p>
        </w:tc>
        <w:tc>
          <w:tcPr>
            <w:tcW w:w="1012" w:type="dxa"/>
            <w:vMerge w:val="restart"/>
            <w:shd w:val="clear" w:color="auto" w:fill="auto"/>
            <w:vAlign w:val="center"/>
          </w:tcPr>
          <w:p w14:paraId="4CEC02A1" w14:textId="77777777" w:rsidR="00FD6E36" w:rsidRPr="008B63A3" w:rsidRDefault="00FD6E36" w:rsidP="00164B2B">
            <w:pPr>
              <w:spacing w:line="360" w:lineRule="auto"/>
              <w:jc w:val="right"/>
              <w:rPr>
                <w:sz w:val="24"/>
                <w:szCs w:val="24"/>
              </w:rPr>
            </w:pPr>
            <w:r w:rsidRPr="008B63A3">
              <w:rPr>
                <w:sz w:val="24"/>
                <w:szCs w:val="24"/>
              </w:rPr>
              <w:t>0.0001</w:t>
            </w:r>
          </w:p>
        </w:tc>
      </w:tr>
      <w:tr w:rsidR="008B63A3" w:rsidRPr="008B63A3" w14:paraId="7F48BEC6" w14:textId="77777777" w:rsidTr="00164B2B">
        <w:trPr>
          <w:gridAfter w:val="1"/>
          <w:wAfter w:w="69" w:type="dxa"/>
        </w:trPr>
        <w:tc>
          <w:tcPr>
            <w:tcW w:w="3092" w:type="dxa"/>
            <w:gridSpan w:val="2"/>
            <w:shd w:val="clear" w:color="auto" w:fill="auto"/>
          </w:tcPr>
          <w:p w14:paraId="17ECCF5A" w14:textId="77777777" w:rsidR="00FD6E36" w:rsidRPr="008B63A3" w:rsidRDefault="00FD6E36" w:rsidP="00164B2B">
            <w:pPr>
              <w:spacing w:line="360" w:lineRule="auto"/>
              <w:jc w:val="both"/>
              <w:rPr>
                <w:sz w:val="24"/>
                <w:szCs w:val="24"/>
              </w:rPr>
            </w:pPr>
            <w:r w:rsidRPr="008B63A3">
              <w:rPr>
                <w:sz w:val="24"/>
                <w:szCs w:val="24"/>
              </w:rPr>
              <w:lastRenderedPageBreak/>
              <w:t xml:space="preserve">     Yes</w:t>
            </w:r>
          </w:p>
        </w:tc>
        <w:tc>
          <w:tcPr>
            <w:tcW w:w="1694" w:type="dxa"/>
            <w:shd w:val="clear" w:color="auto" w:fill="auto"/>
            <w:vAlign w:val="center"/>
          </w:tcPr>
          <w:p w14:paraId="72DB6471" w14:textId="77777777" w:rsidR="00FD6E36" w:rsidRPr="008B63A3" w:rsidRDefault="00FD6E36" w:rsidP="00164B2B">
            <w:pPr>
              <w:spacing w:line="360" w:lineRule="auto"/>
              <w:jc w:val="center"/>
              <w:rPr>
                <w:sz w:val="24"/>
                <w:szCs w:val="24"/>
              </w:rPr>
            </w:pPr>
            <w:r w:rsidRPr="008B63A3">
              <w:rPr>
                <w:sz w:val="24"/>
                <w:szCs w:val="24"/>
              </w:rPr>
              <w:t>42.43</w:t>
            </w:r>
          </w:p>
        </w:tc>
        <w:tc>
          <w:tcPr>
            <w:tcW w:w="2390" w:type="dxa"/>
            <w:gridSpan w:val="3"/>
            <w:shd w:val="clear" w:color="auto" w:fill="auto"/>
            <w:vAlign w:val="center"/>
          </w:tcPr>
          <w:p w14:paraId="65A93E75" w14:textId="77777777" w:rsidR="00FD6E36" w:rsidRPr="008B63A3" w:rsidRDefault="00FD6E36" w:rsidP="00164B2B">
            <w:pPr>
              <w:spacing w:line="360" w:lineRule="auto"/>
              <w:jc w:val="center"/>
              <w:rPr>
                <w:sz w:val="24"/>
                <w:szCs w:val="24"/>
              </w:rPr>
            </w:pPr>
            <w:r w:rsidRPr="008B63A3">
              <w:rPr>
                <w:sz w:val="24"/>
                <w:szCs w:val="24"/>
              </w:rPr>
              <w:t>57.57</w:t>
            </w:r>
          </w:p>
        </w:tc>
        <w:tc>
          <w:tcPr>
            <w:tcW w:w="1012" w:type="dxa"/>
            <w:vMerge/>
            <w:shd w:val="clear" w:color="auto" w:fill="auto"/>
            <w:vAlign w:val="center"/>
          </w:tcPr>
          <w:p w14:paraId="28CDEEA3" w14:textId="77777777" w:rsidR="00FD6E36" w:rsidRPr="008B63A3" w:rsidRDefault="00FD6E36" w:rsidP="00164B2B">
            <w:pPr>
              <w:spacing w:line="360" w:lineRule="auto"/>
              <w:jc w:val="right"/>
              <w:rPr>
                <w:sz w:val="24"/>
                <w:szCs w:val="24"/>
              </w:rPr>
            </w:pPr>
          </w:p>
        </w:tc>
      </w:tr>
      <w:tr w:rsidR="008B63A3" w:rsidRPr="008B63A3" w14:paraId="30899618" w14:textId="77777777" w:rsidTr="00164B2B">
        <w:trPr>
          <w:gridBefore w:val="1"/>
          <w:gridAfter w:val="1"/>
          <w:wBefore w:w="13" w:type="dxa"/>
          <w:wAfter w:w="69" w:type="dxa"/>
        </w:trPr>
        <w:tc>
          <w:tcPr>
            <w:tcW w:w="3079" w:type="dxa"/>
            <w:shd w:val="clear" w:color="auto" w:fill="auto"/>
          </w:tcPr>
          <w:p w14:paraId="24CBB0C9" w14:textId="77777777" w:rsidR="00FD6E36" w:rsidRPr="008B63A3" w:rsidRDefault="00FD6E36" w:rsidP="00164B2B">
            <w:pPr>
              <w:spacing w:line="360" w:lineRule="auto"/>
              <w:jc w:val="both"/>
              <w:rPr>
                <w:b/>
                <w:sz w:val="24"/>
                <w:szCs w:val="24"/>
              </w:rPr>
            </w:pPr>
            <w:r w:rsidRPr="008B63A3">
              <w:rPr>
                <w:b/>
                <w:sz w:val="24"/>
                <w:szCs w:val="24"/>
              </w:rPr>
              <w:t>Difficulty in IADL</w:t>
            </w:r>
          </w:p>
        </w:tc>
        <w:tc>
          <w:tcPr>
            <w:tcW w:w="1694" w:type="dxa"/>
            <w:shd w:val="clear" w:color="auto" w:fill="auto"/>
            <w:vAlign w:val="center"/>
          </w:tcPr>
          <w:p w14:paraId="3549D66D"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6CB3F168"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4E410C81" w14:textId="77777777" w:rsidR="00FD6E36" w:rsidRPr="008B63A3" w:rsidRDefault="00FD6E36" w:rsidP="00164B2B">
            <w:pPr>
              <w:spacing w:line="360" w:lineRule="auto"/>
              <w:jc w:val="right"/>
              <w:rPr>
                <w:sz w:val="24"/>
                <w:szCs w:val="24"/>
              </w:rPr>
            </w:pPr>
          </w:p>
        </w:tc>
      </w:tr>
      <w:tr w:rsidR="008B63A3" w:rsidRPr="008B63A3" w14:paraId="459D4780" w14:textId="77777777" w:rsidTr="00164B2B">
        <w:trPr>
          <w:gridBefore w:val="1"/>
          <w:gridAfter w:val="1"/>
          <w:wBefore w:w="13" w:type="dxa"/>
          <w:wAfter w:w="69" w:type="dxa"/>
        </w:trPr>
        <w:tc>
          <w:tcPr>
            <w:tcW w:w="3079" w:type="dxa"/>
            <w:shd w:val="clear" w:color="auto" w:fill="auto"/>
          </w:tcPr>
          <w:p w14:paraId="294FD968" w14:textId="77777777" w:rsidR="00FD6E36" w:rsidRPr="008B63A3" w:rsidRDefault="00FD6E36" w:rsidP="00164B2B">
            <w:pPr>
              <w:spacing w:line="360" w:lineRule="auto"/>
              <w:jc w:val="both"/>
              <w:rPr>
                <w:sz w:val="24"/>
                <w:szCs w:val="24"/>
              </w:rPr>
            </w:pPr>
            <w:r w:rsidRPr="008B63A3">
              <w:rPr>
                <w:sz w:val="24"/>
                <w:szCs w:val="24"/>
              </w:rPr>
              <w:t xml:space="preserve">     No </w:t>
            </w:r>
          </w:p>
        </w:tc>
        <w:tc>
          <w:tcPr>
            <w:tcW w:w="1694" w:type="dxa"/>
            <w:shd w:val="clear" w:color="auto" w:fill="auto"/>
            <w:vAlign w:val="center"/>
          </w:tcPr>
          <w:p w14:paraId="77543794" w14:textId="77777777" w:rsidR="00FD6E36" w:rsidRPr="008B63A3" w:rsidRDefault="00FD6E36" w:rsidP="00164B2B">
            <w:pPr>
              <w:spacing w:line="360" w:lineRule="auto"/>
              <w:jc w:val="center"/>
              <w:rPr>
                <w:sz w:val="24"/>
                <w:szCs w:val="24"/>
              </w:rPr>
            </w:pPr>
            <w:r w:rsidRPr="008B63A3">
              <w:rPr>
                <w:sz w:val="24"/>
                <w:szCs w:val="24"/>
              </w:rPr>
              <w:t>14.78</w:t>
            </w:r>
          </w:p>
        </w:tc>
        <w:tc>
          <w:tcPr>
            <w:tcW w:w="2390" w:type="dxa"/>
            <w:gridSpan w:val="3"/>
            <w:shd w:val="clear" w:color="auto" w:fill="auto"/>
            <w:vAlign w:val="center"/>
          </w:tcPr>
          <w:p w14:paraId="74E52FEF" w14:textId="77777777" w:rsidR="00FD6E36" w:rsidRPr="008B63A3" w:rsidRDefault="00FD6E36" w:rsidP="00164B2B">
            <w:pPr>
              <w:spacing w:line="360" w:lineRule="auto"/>
              <w:jc w:val="center"/>
              <w:rPr>
                <w:sz w:val="24"/>
                <w:szCs w:val="24"/>
              </w:rPr>
            </w:pPr>
            <w:r w:rsidRPr="008B63A3">
              <w:rPr>
                <w:sz w:val="24"/>
                <w:szCs w:val="24"/>
              </w:rPr>
              <w:t>85.22</w:t>
            </w:r>
          </w:p>
        </w:tc>
        <w:tc>
          <w:tcPr>
            <w:tcW w:w="1012" w:type="dxa"/>
            <w:vMerge w:val="restart"/>
            <w:shd w:val="clear" w:color="auto" w:fill="auto"/>
            <w:vAlign w:val="center"/>
          </w:tcPr>
          <w:p w14:paraId="176CD7BE" w14:textId="77777777" w:rsidR="00FD6E36" w:rsidRPr="008B63A3" w:rsidRDefault="00FD6E36" w:rsidP="00164B2B">
            <w:pPr>
              <w:spacing w:line="360" w:lineRule="auto"/>
              <w:jc w:val="right"/>
              <w:rPr>
                <w:sz w:val="24"/>
                <w:szCs w:val="24"/>
              </w:rPr>
            </w:pPr>
            <w:r w:rsidRPr="008B63A3">
              <w:rPr>
                <w:sz w:val="24"/>
                <w:szCs w:val="24"/>
              </w:rPr>
              <w:t>0.0001</w:t>
            </w:r>
          </w:p>
        </w:tc>
      </w:tr>
      <w:tr w:rsidR="008B63A3" w:rsidRPr="008B63A3" w14:paraId="69792681" w14:textId="77777777" w:rsidTr="00164B2B">
        <w:trPr>
          <w:gridAfter w:val="1"/>
          <w:wAfter w:w="69" w:type="dxa"/>
        </w:trPr>
        <w:tc>
          <w:tcPr>
            <w:tcW w:w="3092" w:type="dxa"/>
            <w:gridSpan w:val="2"/>
            <w:shd w:val="clear" w:color="auto" w:fill="auto"/>
          </w:tcPr>
          <w:p w14:paraId="3DCCCB2C" w14:textId="77777777" w:rsidR="00FD6E36" w:rsidRPr="008B63A3" w:rsidRDefault="00FD6E36" w:rsidP="00164B2B">
            <w:pPr>
              <w:spacing w:line="360" w:lineRule="auto"/>
              <w:jc w:val="both"/>
              <w:rPr>
                <w:sz w:val="24"/>
                <w:szCs w:val="24"/>
              </w:rPr>
            </w:pPr>
            <w:r w:rsidRPr="008B63A3">
              <w:rPr>
                <w:sz w:val="24"/>
                <w:szCs w:val="24"/>
              </w:rPr>
              <w:t xml:space="preserve">     Yes</w:t>
            </w:r>
          </w:p>
        </w:tc>
        <w:tc>
          <w:tcPr>
            <w:tcW w:w="1694" w:type="dxa"/>
            <w:shd w:val="clear" w:color="auto" w:fill="auto"/>
            <w:vAlign w:val="center"/>
          </w:tcPr>
          <w:p w14:paraId="749B305F" w14:textId="77777777" w:rsidR="00FD6E36" w:rsidRPr="008B63A3" w:rsidRDefault="00FD6E36" w:rsidP="00164B2B">
            <w:pPr>
              <w:spacing w:line="360" w:lineRule="auto"/>
              <w:jc w:val="center"/>
              <w:rPr>
                <w:sz w:val="24"/>
                <w:szCs w:val="24"/>
              </w:rPr>
            </w:pPr>
            <w:r w:rsidRPr="008B63A3">
              <w:rPr>
                <w:sz w:val="24"/>
                <w:szCs w:val="24"/>
              </w:rPr>
              <w:t>43.22</w:t>
            </w:r>
          </w:p>
        </w:tc>
        <w:tc>
          <w:tcPr>
            <w:tcW w:w="2390" w:type="dxa"/>
            <w:gridSpan w:val="3"/>
            <w:shd w:val="clear" w:color="auto" w:fill="auto"/>
            <w:vAlign w:val="center"/>
          </w:tcPr>
          <w:p w14:paraId="009BA11B" w14:textId="77777777" w:rsidR="00FD6E36" w:rsidRPr="008B63A3" w:rsidRDefault="00FD6E36" w:rsidP="00164B2B">
            <w:pPr>
              <w:spacing w:line="360" w:lineRule="auto"/>
              <w:jc w:val="center"/>
              <w:rPr>
                <w:sz w:val="24"/>
                <w:szCs w:val="24"/>
              </w:rPr>
            </w:pPr>
            <w:r w:rsidRPr="008B63A3">
              <w:rPr>
                <w:sz w:val="24"/>
                <w:szCs w:val="24"/>
              </w:rPr>
              <w:t>56.78</w:t>
            </w:r>
          </w:p>
        </w:tc>
        <w:tc>
          <w:tcPr>
            <w:tcW w:w="1012" w:type="dxa"/>
            <w:vMerge/>
            <w:shd w:val="clear" w:color="auto" w:fill="auto"/>
            <w:vAlign w:val="center"/>
          </w:tcPr>
          <w:p w14:paraId="6D802E32" w14:textId="77777777" w:rsidR="00FD6E36" w:rsidRPr="008B63A3" w:rsidRDefault="00FD6E36" w:rsidP="00164B2B">
            <w:pPr>
              <w:spacing w:line="360" w:lineRule="auto"/>
              <w:jc w:val="right"/>
              <w:rPr>
                <w:sz w:val="24"/>
                <w:szCs w:val="24"/>
              </w:rPr>
            </w:pPr>
          </w:p>
        </w:tc>
      </w:tr>
      <w:tr w:rsidR="008B63A3" w:rsidRPr="008B63A3" w14:paraId="25C5AD2A" w14:textId="77777777" w:rsidTr="00164B2B">
        <w:trPr>
          <w:gridBefore w:val="1"/>
          <w:gridAfter w:val="1"/>
          <w:wBefore w:w="13" w:type="dxa"/>
          <w:wAfter w:w="69" w:type="dxa"/>
        </w:trPr>
        <w:tc>
          <w:tcPr>
            <w:tcW w:w="3079" w:type="dxa"/>
            <w:shd w:val="clear" w:color="auto" w:fill="auto"/>
          </w:tcPr>
          <w:p w14:paraId="67C70F48" w14:textId="77777777" w:rsidR="00FD6E36" w:rsidRPr="008B63A3" w:rsidRDefault="00FD6E36" w:rsidP="00164B2B">
            <w:pPr>
              <w:spacing w:line="360" w:lineRule="auto"/>
              <w:jc w:val="both"/>
              <w:rPr>
                <w:b/>
                <w:sz w:val="24"/>
                <w:szCs w:val="24"/>
              </w:rPr>
            </w:pPr>
            <w:r w:rsidRPr="008B63A3">
              <w:rPr>
                <w:b/>
                <w:sz w:val="24"/>
                <w:szCs w:val="24"/>
              </w:rPr>
              <w:t>Cognitive Decline</w:t>
            </w:r>
          </w:p>
        </w:tc>
        <w:tc>
          <w:tcPr>
            <w:tcW w:w="1694" w:type="dxa"/>
            <w:shd w:val="clear" w:color="auto" w:fill="auto"/>
            <w:vAlign w:val="center"/>
          </w:tcPr>
          <w:p w14:paraId="5AA236FD"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1C246F17"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3CC67D67" w14:textId="77777777" w:rsidR="00FD6E36" w:rsidRPr="008B63A3" w:rsidRDefault="00FD6E36" w:rsidP="00164B2B">
            <w:pPr>
              <w:spacing w:line="360" w:lineRule="auto"/>
              <w:jc w:val="right"/>
              <w:rPr>
                <w:sz w:val="24"/>
                <w:szCs w:val="24"/>
              </w:rPr>
            </w:pPr>
          </w:p>
        </w:tc>
      </w:tr>
      <w:tr w:rsidR="008B63A3" w:rsidRPr="008B63A3" w14:paraId="33FCAE78" w14:textId="77777777" w:rsidTr="00164B2B">
        <w:trPr>
          <w:gridBefore w:val="1"/>
          <w:gridAfter w:val="1"/>
          <w:wBefore w:w="13" w:type="dxa"/>
          <w:wAfter w:w="69" w:type="dxa"/>
        </w:trPr>
        <w:tc>
          <w:tcPr>
            <w:tcW w:w="3079" w:type="dxa"/>
            <w:shd w:val="clear" w:color="auto" w:fill="auto"/>
          </w:tcPr>
          <w:p w14:paraId="2B90E872" w14:textId="77777777" w:rsidR="00FD6E36" w:rsidRPr="008B63A3" w:rsidRDefault="00FD6E36" w:rsidP="00164B2B">
            <w:pPr>
              <w:spacing w:line="360" w:lineRule="auto"/>
              <w:jc w:val="both"/>
              <w:rPr>
                <w:sz w:val="24"/>
                <w:szCs w:val="24"/>
              </w:rPr>
            </w:pPr>
            <w:r w:rsidRPr="008B63A3">
              <w:rPr>
                <w:sz w:val="24"/>
                <w:szCs w:val="24"/>
              </w:rPr>
              <w:t xml:space="preserve">     No</w:t>
            </w:r>
          </w:p>
        </w:tc>
        <w:tc>
          <w:tcPr>
            <w:tcW w:w="1694" w:type="dxa"/>
            <w:shd w:val="clear" w:color="auto" w:fill="auto"/>
            <w:vAlign w:val="center"/>
          </w:tcPr>
          <w:p w14:paraId="71321C20" w14:textId="77777777" w:rsidR="00FD6E36" w:rsidRPr="008B63A3" w:rsidRDefault="00FD6E36" w:rsidP="00164B2B">
            <w:pPr>
              <w:spacing w:line="360" w:lineRule="auto"/>
              <w:jc w:val="center"/>
              <w:rPr>
                <w:sz w:val="24"/>
                <w:szCs w:val="24"/>
              </w:rPr>
            </w:pPr>
            <w:r w:rsidRPr="008B63A3">
              <w:rPr>
                <w:sz w:val="24"/>
                <w:szCs w:val="24"/>
              </w:rPr>
              <w:t>22.01</w:t>
            </w:r>
          </w:p>
        </w:tc>
        <w:tc>
          <w:tcPr>
            <w:tcW w:w="2390" w:type="dxa"/>
            <w:gridSpan w:val="3"/>
            <w:shd w:val="clear" w:color="auto" w:fill="auto"/>
            <w:vAlign w:val="center"/>
          </w:tcPr>
          <w:p w14:paraId="2A6DF91A" w14:textId="77777777" w:rsidR="00FD6E36" w:rsidRPr="008B63A3" w:rsidRDefault="00FD6E36" w:rsidP="00164B2B">
            <w:pPr>
              <w:spacing w:line="360" w:lineRule="auto"/>
              <w:jc w:val="center"/>
              <w:rPr>
                <w:sz w:val="24"/>
                <w:szCs w:val="24"/>
              </w:rPr>
            </w:pPr>
            <w:r w:rsidRPr="008B63A3">
              <w:rPr>
                <w:sz w:val="24"/>
                <w:szCs w:val="24"/>
              </w:rPr>
              <w:t>77.99</w:t>
            </w:r>
          </w:p>
        </w:tc>
        <w:tc>
          <w:tcPr>
            <w:tcW w:w="1012" w:type="dxa"/>
            <w:vMerge w:val="restart"/>
            <w:shd w:val="clear" w:color="auto" w:fill="auto"/>
            <w:vAlign w:val="center"/>
          </w:tcPr>
          <w:p w14:paraId="57FA2F7D" w14:textId="77777777" w:rsidR="00FD6E36" w:rsidRPr="008B63A3" w:rsidRDefault="00FD6E36" w:rsidP="00164B2B">
            <w:pPr>
              <w:spacing w:line="360" w:lineRule="auto"/>
              <w:jc w:val="right"/>
              <w:rPr>
                <w:sz w:val="24"/>
                <w:szCs w:val="24"/>
              </w:rPr>
            </w:pPr>
            <w:r w:rsidRPr="008B63A3">
              <w:rPr>
                <w:sz w:val="24"/>
                <w:szCs w:val="24"/>
              </w:rPr>
              <w:t>0.0001</w:t>
            </w:r>
          </w:p>
        </w:tc>
      </w:tr>
      <w:tr w:rsidR="008B63A3" w:rsidRPr="008B63A3" w14:paraId="1E7A69A4" w14:textId="77777777" w:rsidTr="00164B2B">
        <w:trPr>
          <w:gridAfter w:val="1"/>
          <w:wAfter w:w="69" w:type="dxa"/>
        </w:trPr>
        <w:tc>
          <w:tcPr>
            <w:tcW w:w="3092" w:type="dxa"/>
            <w:gridSpan w:val="2"/>
            <w:shd w:val="clear" w:color="auto" w:fill="auto"/>
          </w:tcPr>
          <w:p w14:paraId="7FBE062F" w14:textId="77777777" w:rsidR="00FD6E36" w:rsidRPr="008B63A3" w:rsidRDefault="00FD6E36" w:rsidP="00164B2B">
            <w:pPr>
              <w:spacing w:line="360" w:lineRule="auto"/>
              <w:jc w:val="both"/>
              <w:rPr>
                <w:sz w:val="24"/>
                <w:szCs w:val="24"/>
              </w:rPr>
            </w:pPr>
            <w:r w:rsidRPr="008B63A3">
              <w:rPr>
                <w:sz w:val="24"/>
                <w:szCs w:val="24"/>
              </w:rPr>
              <w:t xml:space="preserve">     Yes</w:t>
            </w:r>
          </w:p>
        </w:tc>
        <w:tc>
          <w:tcPr>
            <w:tcW w:w="1694" w:type="dxa"/>
            <w:shd w:val="clear" w:color="auto" w:fill="auto"/>
            <w:vAlign w:val="center"/>
          </w:tcPr>
          <w:p w14:paraId="38003C0D" w14:textId="77777777" w:rsidR="00FD6E36" w:rsidRPr="008B63A3" w:rsidRDefault="00FD6E36" w:rsidP="00164B2B">
            <w:pPr>
              <w:spacing w:line="360" w:lineRule="auto"/>
              <w:jc w:val="center"/>
              <w:rPr>
                <w:sz w:val="24"/>
                <w:szCs w:val="24"/>
              </w:rPr>
            </w:pPr>
            <w:r w:rsidRPr="008B63A3">
              <w:rPr>
                <w:sz w:val="24"/>
                <w:szCs w:val="24"/>
              </w:rPr>
              <w:t>61.63</w:t>
            </w:r>
          </w:p>
        </w:tc>
        <w:tc>
          <w:tcPr>
            <w:tcW w:w="2390" w:type="dxa"/>
            <w:gridSpan w:val="3"/>
            <w:shd w:val="clear" w:color="auto" w:fill="auto"/>
            <w:vAlign w:val="center"/>
          </w:tcPr>
          <w:p w14:paraId="7C0C85AD" w14:textId="77777777" w:rsidR="00FD6E36" w:rsidRPr="008B63A3" w:rsidRDefault="00FD6E36" w:rsidP="00164B2B">
            <w:pPr>
              <w:spacing w:line="360" w:lineRule="auto"/>
              <w:jc w:val="center"/>
              <w:rPr>
                <w:sz w:val="24"/>
                <w:szCs w:val="24"/>
              </w:rPr>
            </w:pPr>
            <w:r w:rsidRPr="008B63A3">
              <w:rPr>
                <w:sz w:val="24"/>
                <w:szCs w:val="24"/>
              </w:rPr>
              <w:t>38.37</w:t>
            </w:r>
          </w:p>
        </w:tc>
        <w:tc>
          <w:tcPr>
            <w:tcW w:w="1012" w:type="dxa"/>
            <w:vMerge/>
            <w:shd w:val="clear" w:color="auto" w:fill="auto"/>
          </w:tcPr>
          <w:p w14:paraId="07713E94" w14:textId="77777777" w:rsidR="00FD6E36" w:rsidRPr="008B63A3" w:rsidRDefault="00FD6E36" w:rsidP="00164B2B">
            <w:pPr>
              <w:spacing w:line="360" w:lineRule="auto"/>
              <w:jc w:val="both"/>
              <w:rPr>
                <w:sz w:val="24"/>
                <w:szCs w:val="24"/>
              </w:rPr>
            </w:pPr>
          </w:p>
        </w:tc>
      </w:tr>
      <w:tr w:rsidR="008B63A3" w:rsidRPr="008B63A3" w14:paraId="6F6B6E7B" w14:textId="77777777" w:rsidTr="00164B2B">
        <w:trPr>
          <w:gridBefore w:val="1"/>
          <w:gridAfter w:val="1"/>
          <w:wBefore w:w="13" w:type="dxa"/>
          <w:wAfter w:w="69" w:type="dxa"/>
        </w:trPr>
        <w:tc>
          <w:tcPr>
            <w:tcW w:w="3079" w:type="dxa"/>
            <w:shd w:val="clear" w:color="auto" w:fill="auto"/>
          </w:tcPr>
          <w:p w14:paraId="5933830E" w14:textId="77777777" w:rsidR="00FD6E36" w:rsidRPr="008B63A3" w:rsidRDefault="00FD6E36" w:rsidP="00164B2B">
            <w:pPr>
              <w:spacing w:line="360" w:lineRule="auto"/>
              <w:jc w:val="both"/>
              <w:rPr>
                <w:b/>
                <w:sz w:val="24"/>
                <w:szCs w:val="24"/>
              </w:rPr>
            </w:pPr>
            <w:r w:rsidRPr="008B63A3">
              <w:rPr>
                <w:b/>
                <w:sz w:val="24"/>
                <w:szCs w:val="24"/>
              </w:rPr>
              <w:t>BMI</w:t>
            </w:r>
          </w:p>
        </w:tc>
        <w:tc>
          <w:tcPr>
            <w:tcW w:w="1694" w:type="dxa"/>
            <w:shd w:val="clear" w:color="auto" w:fill="auto"/>
            <w:vAlign w:val="center"/>
          </w:tcPr>
          <w:p w14:paraId="28379F0E" w14:textId="77777777" w:rsidR="00FD6E36" w:rsidRPr="008B63A3" w:rsidRDefault="00FD6E36" w:rsidP="00164B2B">
            <w:pPr>
              <w:spacing w:line="360" w:lineRule="auto"/>
              <w:jc w:val="center"/>
              <w:rPr>
                <w:sz w:val="24"/>
                <w:szCs w:val="24"/>
              </w:rPr>
            </w:pPr>
          </w:p>
        </w:tc>
        <w:tc>
          <w:tcPr>
            <w:tcW w:w="2390" w:type="dxa"/>
            <w:gridSpan w:val="3"/>
            <w:shd w:val="clear" w:color="auto" w:fill="auto"/>
            <w:vAlign w:val="center"/>
          </w:tcPr>
          <w:p w14:paraId="78DDB64C" w14:textId="77777777" w:rsidR="00FD6E36" w:rsidRPr="008B63A3" w:rsidRDefault="00FD6E36" w:rsidP="00164B2B">
            <w:pPr>
              <w:spacing w:line="360" w:lineRule="auto"/>
              <w:jc w:val="center"/>
              <w:rPr>
                <w:sz w:val="24"/>
                <w:szCs w:val="24"/>
              </w:rPr>
            </w:pPr>
          </w:p>
        </w:tc>
        <w:tc>
          <w:tcPr>
            <w:tcW w:w="1012" w:type="dxa"/>
            <w:shd w:val="clear" w:color="auto" w:fill="auto"/>
            <w:vAlign w:val="center"/>
          </w:tcPr>
          <w:p w14:paraId="6CA7761F" w14:textId="77777777" w:rsidR="00FD6E36" w:rsidRPr="008B63A3" w:rsidRDefault="00FD6E36" w:rsidP="00164B2B">
            <w:pPr>
              <w:spacing w:line="360" w:lineRule="auto"/>
              <w:jc w:val="right"/>
              <w:rPr>
                <w:sz w:val="24"/>
                <w:szCs w:val="24"/>
              </w:rPr>
            </w:pPr>
          </w:p>
        </w:tc>
      </w:tr>
      <w:tr w:rsidR="008B63A3" w:rsidRPr="008B63A3" w14:paraId="646BC7AE" w14:textId="77777777" w:rsidTr="00164B2B">
        <w:trPr>
          <w:gridBefore w:val="1"/>
          <w:gridAfter w:val="1"/>
          <w:wBefore w:w="13" w:type="dxa"/>
          <w:wAfter w:w="69" w:type="dxa"/>
        </w:trPr>
        <w:tc>
          <w:tcPr>
            <w:tcW w:w="3079" w:type="dxa"/>
            <w:shd w:val="clear" w:color="auto" w:fill="auto"/>
          </w:tcPr>
          <w:p w14:paraId="077A6231" w14:textId="77777777" w:rsidR="00FD6E36" w:rsidRPr="008B63A3" w:rsidRDefault="00FD6E36" w:rsidP="00164B2B">
            <w:pPr>
              <w:spacing w:line="360" w:lineRule="auto"/>
              <w:jc w:val="both"/>
              <w:rPr>
                <w:sz w:val="24"/>
                <w:szCs w:val="24"/>
              </w:rPr>
            </w:pPr>
            <w:r w:rsidRPr="008B63A3">
              <w:rPr>
                <w:sz w:val="24"/>
                <w:szCs w:val="24"/>
              </w:rPr>
              <w:t xml:space="preserve">     &lt; 28 kg/m</w:t>
            </w:r>
            <w:r w:rsidRPr="008B63A3">
              <w:rPr>
                <w:sz w:val="24"/>
                <w:szCs w:val="24"/>
                <w:vertAlign w:val="superscript"/>
              </w:rPr>
              <w:t>2</w:t>
            </w:r>
          </w:p>
        </w:tc>
        <w:tc>
          <w:tcPr>
            <w:tcW w:w="1694" w:type="dxa"/>
            <w:shd w:val="clear" w:color="auto" w:fill="auto"/>
            <w:vAlign w:val="center"/>
          </w:tcPr>
          <w:p w14:paraId="7D15AEDD" w14:textId="77777777" w:rsidR="00FD6E36" w:rsidRPr="008B63A3" w:rsidRDefault="00FD6E36" w:rsidP="00164B2B">
            <w:pPr>
              <w:spacing w:line="360" w:lineRule="auto"/>
              <w:jc w:val="center"/>
              <w:rPr>
                <w:sz w:val="24"/>
                <w:szCs w:val="24"/>
              </w:rPr>
            </w:pPr>
            <w:r w:rsidRPr="008B63A3">
              <w:rPr>
                <w:sz w:val="24"/>
                <w:szCs w:val="24"/>
              </w:rPr>
              <w:t>26.19</w:t>
            </w:r>
          </w:p>
        </w:tc>
        <w:tc>
          <w:tcPr>
            <w:tcW w:w="2390" w:type="dxa"/>
            <w:gridSpan w:val="3"/>
            <w:shd w:val="clear" w:color="auto" w:fill="auto"/>
            <w:vAlign w:val="center"/>
          </w:tcPr>
          <w:p w14:paraId="43E255E9" w14:textId="77777777" w:rsidR="00FD6E36" w:rsidRPr="008B63A3" w:rsidRDefault="00FD6E36" w:rsidP="00164B2B">
            <w:pPr>
              <w:spacing w:line="360" w:lineRule="auto"/>
              <w:jc w:val="center"/>
              <w:rPr>
                <w:sz w:val="24"/>
                <w:szCs w:val="24"/>
              </w:rPr>
            </w:pPr>
            <w:r w:rsidRPr="008B63A3">
              <w:rPr>
                <w:sz w:val="24"/>
                <w:szCs w:val="24"/>
              </w:rPr>
              <w:t>73.81</w:t>
            </w:r>
          </w:p>
        </w:tc>
        <w:tc>
          <w:tcPr>
            <w:tcW w:w="1012" w:type="dxa"/>
            <w:vMerge w:val="restart"/>
            <w:shd w:val="clear" w:color="auto" w:fill="auto"/>
            <w:vAlign w:val="center"/>
          </w:tcPr>
          <w:p w14:paraId="5D06AEC6" w14:textId="77777777" w:rsidR="00FD6E36" w:rsidRPr="008B63A3" w:rsidRDefault="00FD6E36" w:rsidP="00164B2B">
            <w:pPr>
              <w:spacing w:line="360" w:lineRule="auto"/>
              <w:jc w:val="right"/>
              <w:rPr>
                <w:sz w:val="24"/>
                <w:szCs w:val="24"/>
              </w:rPr>
            </w:pPr>
            <w:r w:rsidRPr="008B63A3">
              <w:rPr>
                <w:sz w:val="24"/>
                <w:szCs w:val="24"/>
              </w:rPr>
              <w:t>0.7661</w:t>
            </w:r>
          </w:p>
        </w:tc>
      </w:tr>
      <w:tr w:rsidR="008B63A3" w:rsidRPr="008B63A3" w14:paraId="0F670483" w14:textId="77777777" w:rsidTr="00164B2B">
        <w:trPr>
          <w:gridBefore w:val="1"/>
          <w:gridAfter w:val="1"/>
          <w:wBefore w:w="13" w:type="dxa"/>
          <w:wAfter w:w="69" w:type="dxa"/>
          <w:trHeight w:val="305"/>
        </w:trPr>
        <w:tc>
          <w:tcPr>
            <w:tcW w:w="3079" w:type="dxa"/>
            <w:shd w:val="clear" w:color="auto" w:fill="auto"/>
          </w:tcPr>
          <w:p w14:paraId="15D851AE" w14:textId="77777777" w:rsidR="00FD6E36" w:rsidRPr="008B63A3" w:rsidRDefault="00FD6E36" w:rsidP="00164B2B">
            <w:pPr>
              <w:spacing w:line="360" w:lineRule="auto"/>
              <w:jc w:val="both"/>
              <w:rPr>
                <w:sz w:val="24"/>
                <w:szCs w:val="24"/>
              </w:rPr>
            </w:pPr>
            <w:r w:rsidRPr="008B63A3">
              <w:rPr>
                <w:sz w:val="24"/>
                <w:szCs w:val="24"/>
              </w:rPr>
              <w:t xml:space="preserve">     </w:t>
            </w:r>
            <w:r w:rsidRPr="008B63A3">
              <w:rPr>
                <w:sz w:val="24"/>
                <w:szCs w:val="24"/>
                <w:u w:val="single"/>
              </w:rPr>
              <w:t>&gt;</w:t>
            </w:r>
            <w:r w:rsidRPr="008B63A3">
              <w:rPr>
                <w:sz w:val="24"/>
                <w:szCs w:val="24"/>
              </w:rPr>
              <w:t xml:space="preserve"> 28 kg/m</w:t>
            </w:r>
            <w:r w:rsidRPr="008B63A3">
              <w:rPr>
                <w:sz w:val="24"/>
                <w:szCs w:val="24"/>
                <w:vertAlign w:val="superscript"/>
              </w:rPr>
              <w:t>2</w:t>
            </w:r>
          </w:p>
        </w:tc>
        <w:tc>
          <w:tcPr>
            <w:tcW w:w="1694" w:type="dxa"/>
            <w:shd w:val="clear" w:color="auto" w:fill="auto"/>
            <w:vAlign w:val="center"/>
          </w:tcPr>
          <w:p w14:paraId="26C2302B" w14:textId="77777777" w:rsidR="00FD6E36" w:rsidRPr="008B63A3" w:rsidRDefault="00FD6E36" w:rsidP="00164B2B">
            <w:pPr>
              <w:spacing w:line="360" w:lineRule="auto"/>
              <w:jc w:val="center"/>
              <w:rPr>
                <w:sz w:val="24"/>
                <w:szCs w:val="24"/>
              </w:rPr>
            </w:pPr>
            <w:r w:rsidRPr="008B63A3">
              <w:rPr>
                <w:sz w:val="24"/>
                <w:szCs w:val="24"/>
              </w:rPr>
              <w:t>25.01</w:t>
            </w:r>
          </w:p>
        </w:tc>
        <w:tc>
          <w:tcPr>
            <w:tcW w:w="2390" w:type="dxa"/>
            <w:gridSpan w:val="3"/>
            <w:shd w:val="clear" w:color="auto" w:fill="auto"/>
            <w:vAlign w:val="center"/>
          </w:tcPr>
          <w:p w14:paraId="02BE9EB1" w14:textId="77777777" w:rsidR="00FD6E36" w:rsidRPr="008B63A3" w:rsidRDefault="00FD6E36" w:rsidP="00164B2B">
            <w:pPr>
              <w:spacing w:line="360" w:lineRule="auto"/>
              <w:jc w:val="center"/>
              <w:rPr>
                <w:sz w:val="24"/>
                <w:szCs w:val="24"/>
              </w:rPr>
            </w:pPr>
            <w:r w:rsidRPr="008B63A3">
              <w:rPr>
                <w:sz w:val="24"/>
                <w:szCs w:val="24"/>
              </w:rPr>
              <w:t>74.99</w:t>
            </w:r>
          </w:p>
        </w:tc>
        <w:tc>
          <w:tcPr>
            <w:tcW w:w="1012" w:type="dxa"/>
            <w:vMerge/>
            <w:shd w:val="clear" w:color="auto" w:fill="auto"/>
            <w:vAlign w:val="center"/>
          </w:tcPr>
          <w:p w14:paraId="65DAA133" w14:textId="77777777" w:rsidR="00FD6E36" w:rsidRPr="008B63A3" w:rsidRDefault="00FD6E36" w:rsidP="00164B2B">
            <w:pPr>
              <w:spacing w:line="360" w:lineRule="auto"/>
              <w:jc w:val="right"/>
              <w:rPr>
                <w:sz w:val="24"/>
                <w:szCs w:val="24"/>
              </w:rPr>
            </w:pPr>
          </w:p>
        </w:tc>
      </w:tr>
    </w:tbl>
    <w:p w14:paraId="7E24DE0B" w14:textId="77777777" w:rsidR="00FD6E36" w:rsidRPr="008B63A3" w:rsidRDefault="00FD6E36" w:rsidP="00FD6E36">
      <w:pPr>
        <w:spacing w:line="360" w:lineRule="auto"/>
        <w:jc w:val="both"/>
        <w:rPr>
          <w:sz w:val="24"/>
          <w:szCs w:val="24"/>
        </w:rPr>
      </w:pPr>
      <w:r w:rsidRPr="008B63A3">
        <w:rPr>
          <w:b/>
          <w:sz w:val="24"/>
          <w:szCs w:val="24"/>
        </w:rPr>
        <w:t>Source</w:t>
      </w:r>
      <w:r w:rsidRPr="008B63A3">
        <w:rPr>
          <w:sz w:val="24"/>
          <w:szCs w:val="24"/>
        </w:rPr>
        <w:t xml:space="preserve">: Study SABE, 2010. </w:t>
      </w:r>
      <w:r w:rsidRPr="008B63A3">
        <w:rPr>
          <w:b/>
          <w:sz w:val="24"/>
          <w:szCs w:val="24"/>
        </w:rPr>
        <w:t>Legend</w:t>
      </w:r>
      <w:r w:rsidRPr="008B63A3">
        <w:rPr>
          <w:sz w:val="24"/>
          <w:szCs w:val="24"/>
        </w:rPr>
        <w:t>: BADL = Basic Activity of Daily Life; IADL = Instrumental Activity of Daily Life; BMI = Body Mass Index.</w:t>
      </w:r>
    </w:p>
    <w:p w14:paraId="7EC0E48B" w14:textId="77777777" w:rsidR="00166793" w:rsidRPr="008B63A3" w:rsidRDefault="00166793">
      <w:pPr>
        <w:rPr>
          <w:b/>
          <w:sz w:val="24"/>
          <w:szCs w:val="24"/>
        </w:rPr>
      </w:pPr>
      <w:r w:rsidRPr="008B63A3">
        <w:rPr>
          <w:b/>
          <w:sz w:val="24"/>
          <w:szCs w:val="24"/>
        </w:rPr>
        <w:br w:type="page"/>
      </w:r>
    </w:p>
    <w:p w14:paraId="0FFE7D11" w14:textId="2A078D35" w:rsidR="00FD6E36" w:rsidRPr="008B63A3" w:rsidRDefault="00FD6E36" w:rsidP="00FD6E36">
      <w:pPr>
        <w:spacing w:line="360" w:lineRule="auto"/>
        <w:jc w:val="both"/>
        <w:rPr>
          <w:sz w:val="24"/>
          <w:szCs w:val="24"/>
          <w:highlight w:val="yellow"/>
        </w:rPr>
      </w:pPr>
      <w:r w:rsidRPr="008B63A3">
        <w:rPr>
          <w:b/>
          <w:sz w:val="24"/>
          <w:szCs w:val="24"/>
        </w:rPr>
        <w:lastRenderedPageBreak/>
        <w:t>Table 3.</w:t>
      </w:r>
      <w:r w:rsidRPr="008B63A3">
        <w:rPr>
          <w:sz w:val="24"/>
          <w:szCs w:val="24"/>
        </w:rPr>
        <w:t xml:space="preserve"> Distribution of the sample (%) mortality (from 2010 to 2014) and level of physical activity. SABE Study: City of São Paulo, 2010 - 2014.</w:t>
      </w:r>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845"/>
        <w:gridCol w:w="1994"/>
        <w:gridCol w:w="2109"/>
        <w:gridCol w:w="1012"/>
      </w:tblGrid>
      <w:tr w:rsidR="008B63A3" w:rsidRPr="008B63A3" w14:paraId="188D12FF" w14:textId="77777777" w:rsidTr="00164B2B">
        <w:tc>
          <w:tcPr>
            <w:tcW w:w="3563" w:type="dxa"/>
            <w:tcBorders>
              <w:top w:val="single" w:sz="4" w:space="0" w:color="auto"/>
              <w:left w:val="nil"/>
              <w:bottom w:val="single" w:sz="4" w:space="0" w:color="auto"/>
              <w:right w:val="nil"/>
            </w:tcBorders>
            <w:shd w:val="clear" w:color="auto" w:fill="auto"/>
            <w:vAlign w:val="center"/>
          </w:tcPr>
          <w:p w14:paraId="3110A79B" w14:textId="77777777" w:rsidR="00FD6E36" w:rsidRPr="008B63A3" w:rsidRDefault="00FD6E36" w:rsidP="00164B2B">
            <w:pPr>
              <w:rPr>
                <w:b/>
                <w:sz w:val="24"/>
                <w:szCs w:val="24"/>
              </w:rPr>
            </w:pPr>
            <w:r w:rsidRPr="008B63A3">
              <w:rPr>
                <w:b/>
                <w:sz w:val="24"/>
                <w:szCs w:val="24"/>
              </w:rPr>
              <w:t>Variables</w:t>
            </w:r>
          </w:p>
        </w:tc>
        <w:tc>
          <w:tcPr>
            <w:tcW w:w="845" w:type="dxa"/>
            <w:tcBorders>
              <w:top w:val="single" w:sz="4" w:space="0" w:color="auto"/>
              <w:left w:val="nil"/>
              <w:bottom w:val="single" w:sz="4" w:space="0" w:color="auto"/>
              <w:right w:val="nil"/>
            </w:tcBorders>
            <w:shd w:val="clear" w:color="auto" w:fill="auto"/>
            <w:vAlign w:val="center"/>
          </w:tcPr>
          <w:p w14:paraId="66FAA226" w14:textId="77777777" w:rsidR="00FD6E36" w:rsidRPr="008B63A3" w:rsidRDefault="00FD6E36" w:rsidP="00164B2B">
            <w:pPr>
              <w:jc w:val="center"/>
              <w:rPr>
                <w:b/>
                <w:sz w:val="24"/>
                <w:szCs w:val="24"/>
              </w:rPr>
            </w:pPr>
            <w:r w:rsidRPr="008B63A3">
              <w:rPr>
                <w:b/>
                <w:sz w:val="24"/>
                <w:szCs w:val="24"/>
              </w:rPr>
              <w:t>Total</w:t>
            </w:r>
          </w:p>
        </w:tc>
        <w:tc>
          <w:tcPr>
            <w:tcW w:w="1994" w:type="dxa"/>
            <w:tcBorders>
              <w:top w:val="single" w:sz="4" w:space="0" w:color="auto"/>
              <w:left w:val="nil"/>
              <w:bottom w:val="single" w:sz="4" w:space="0" w:color="auto"/>
              <w:right w:val="nil"/>
            </w:tcBorders>
            <w:shd w:val="clear" w:color="auto" w:fill="auto"/>
            <w:vAlign w:val="center"/>
          </w:tcPr>
          <w:p w14:paraId="382B7887" w14:textId="77777777" w:rsidR="00FD6E36" w:rsidRPr="008B63A3" w:rsidRDefault="00FD6E36" w:rsidP="00164B2B">
            <w:pPr>
              <w:jc w:val="center"/>
              <w:rPr>
                <w:b/>
                <w:sz w:val="24"/>
                <w:szCs w:val="24"/>
              </w:rPr>
            </w:pPr>
            <w:r w:rsidRPr="008B63A3">
              <w:rPr>
                <w:b/>
                <w:sz w:val="24"/>
                <w:szCs w:val="24"/>
              </w:rPr>
              <w:t>Low level of physical activity</w:t>
            </w:r>
          </w:p>
        </w:tc>
        <w:tc>
          <w:tcPr>
            <w:tcW w:w="2109" w:type="dxa"/>
            <w:tcBorders>
              <w:top w:val="single" w:sz="4" w:space="0" w:color="auto"/>
              <w:left w:val="nil"/>
              <w:bottom w:val="single" w:sz="4" w:space="0" w:color="auto"/>
              <w:right w:val="nil"/>
            </w:tcBorders>
            <w:shd w:val="clear" w:color="auto" w:fill="auto"/>
            <w:vAlign w:val="center"/>
          </w:tcPr>
          <w:p w14:paraId="76BB9C05" w14:textId="77777777" w:rsidR="00FD6E36" w:rsidRPr="008B63A3" w:rsidRDefault="00FD6E36" w:rsidP="00164B2B">
            <w:pPr>
              <w:jc w:val="center"/>
              <w:rPr>
                <w:b/>
                <w:sz w:val="24"/>
                <w:szCs w:val="24"/>
                <w:u w:val="single"/>
              </w:rPr>
            </w:pPr>
            <w:r w:rsidRPr="008B63A3">
              <w:rPr>
                <w:b/>
                <w:sz w:val="24"/>
                <w:szCs w:val="24"/>
              </w:rPr>
              <w:t>Intermediate/high level of physical activity</w:t>
            </w:r>
          </w:p>
        </w:tc>
        <w:tc>
          <w:tcPr>
            <w:tcW w:w="1012" w:type="dxa"/>
            <w:tcBorders>
              <w:top w:val="single" w:sz="4" w:space="0" w:color="auto"/>
              <w:left w:val="nil"/>
              <w:bottom w:val="single" w:sz="4" w:space="0" w:color="auto"/>
              <w:right w:val="nil"/>
            </w:tcBorders>
            <w:shd w:val="clear" w:color="auto" w:fill="auto"/>
            <w:vAlign w:val="center"/>
          </w:tcPr>
          <w:p w14:paraId="165D68E0" w14:textId="77777777" w:rsidR="00FD6E36" w:rsidRPr="008B63A3" w:rsidRDefault="00FD6E36" w:rsidP="00164B2B">
            <w:pPr>
              <w:jc w:val="center"/>
              <w:rPr>
                <w:b/>
                <w:sz w:val="24"/>
                <w:szCs w:val="24"/>
              </w:rPr>
            </w:pPr>
            <w:r w:rsidRPr="008B63A3">
              <w:rPr>
                <w:b/>
                <w:sz w:val="24"/>
                <w:szCs w:val="24"/>
              </w:rPr>
              <w:t>p</w:t>
            </w:r>
          </w:p>
        </w:tc>
      </w:tr>
      <w:tr w:rsidR="008B63A3" w:rsidRPr="008B63A3" w14:paraId="013E4668" w14:textId="77777777" w:rsidTr="00164B2B">
        <w:tc>
          <w:tcPr>
            <w:tcW w:w="3563" w:type="dxa"/>
            <w:tcBorders>
              <w:top w:val="nil"/>
              <w:left w:val="nil"/>
              <w:bottom w:val="nil"/>
              <w:right w:val="nil"/>
            </w:tcBorders>
            <w:shd w:val="clear" w:color="auto" w:fill="auto"/>
          </w:tcPr>
          <w:p w14:paraId="771E8E42" w14:textId="77777777" w:rsidR="00FD6E36" w:rsidRPr="008B63A3" w:rsidRDefault="00FD6E36" w:rsidP="00164B2B">
            <w:pPr>
              <w:spacing w:line="360" w:lineRule="auto"/>
              <w:rPr>
                <w:b/>
                <w:sz w:val="24"/>
                <w:szCs w:val="24"/>
              </w:rPr>
            </w:pPr>
            <w:r w:rsidRPr="008B63A3">
              <w:rPr>
                <w:b/>
                <w:sz w:val="24"/>
                <w:szCs w:val="24"/>
              </w:rPr>
              <w:t>Mortality</w:t>
            </w:r>
          </w:p>
        </w:tc>
        <w:tc>
          <w:tcPr>
            <w:tcW w:w="845" w:type="dxa"/>
            <w:tcBorders>
              <w:top w:val="nil"/>
              <w:left w:val="nil"/>
              <w:bottom w:val="nil"/>
              <w:right w:val="nil"/>
            </w:tcBorders>
            <w:shd w:val="clear" w:color="auto" w:fill="auto"/>
            <w:vAlign w:val="center"/>
          </w:tcPr>
          <w:p w14:paraId="6A448112" w14:textId="77777777" w:rsidR="00FD6E36" w:rsidRPr="008B63A3" w:rsidRDefault="00FD6E36" w:rsidP="00164B2B">
            <w:pPr>
              <w:spacing w:line="360" w:lineRule="auto"/>
              <w:jc w:val="right"/>
              <w:rPr>
                <w:sz w:val="24"/>
                <w:szCs w:val="24"/>
              </w:rPr>
            </w:pPr>
          </w:p>
        </w:tc>
        <w:tc>
          <w:tcPr>
            <w:tcW w:w="1994" w:type="dxa"/>
            <w:tcBorders>
              <w:top w:val="nil"/>
              <w:left w:val="nil"/>
              <w:bottom w:val="nil"/>
              <w:right w:val="nil"/>
            </w:tcBorders>
            <w:shd w:val="clear" w:color="auto" w:fill="auto"/>
            <w:vAlign w:val="center"/>
          </w:tcPr>
          <w:p w14:paraId="61187C8F" w14:textId="77777777" w:rsidR="00FD6E36" w:rsidRPr="008B63A3" w:rsidRDefault="00FD6E36" w:rsidP="00164B2B">
            <w:pPr>
              <w:spacing w:line="360" w:lineRule="auto"/>
              <w:jc w:val="center"/>
              <w:rPr>
                <w:sz w:val="24"/>
                <w:szCs w:val="24"/>
              </w:rPr>
            </w:pPr>
          </w:p>
        </w:tc>
        <w:tc>
          <w:tcPr>
            <w:tcW w:w="2109" w:type="dxa"/>
            <w:tcBorders>
              <w:top w:val="nil"/>
              <w:left w:val="nil"/>
              <w:bottom w:val="nil"/>
              <w:right w:val="nil"/>
            </w:tcBorders>
            <w:shd w:val="clear" w:color="auto" w:fill="auto"/>
            <w:vAlign w:val="center"/>
          </w:tcPr>
          <w:p w14:paraId="036F5ECF" w14:textId="77777777" w:rsidR="00FD6E36" w:rsidRPr="008B63A3" w:rsidRDefault="00FD6E36" w:rsidP="00164B2B">
            <w:pPr>
              <w:spacing w:line="360" w:lineRule="auto"/>
              <w:jc w:val="center"/>
              <w:rPr>
                <w:sz w:val="24"/>
                <w:szCs w:val="24"/>
              </w:rPr>
            </w:pPr>
          </w:p>
        </w:tc>
        <w:tc>
          <w:tcPr>
            <w:tcW w:w="1012" w:type="dxa"/>
            <w:tcBorders>
              <w:top w:val="nil"/>
              <w:left w:val="nil"/>
              <w:bottom w:val="nil"/>
              <w:right w:val="nil"/>
            </w:tcBorders>
            <w:shd w:val="clear" w:color="auto" w:fill="auto"/>
            <w:vAlign w:val="center"/>
          </w:tcPr>
          <w:p w14:paraId="6294CB0B" w14:textId="77777777" w:rsidR="00FD6E36" w:rsidRPr="008B63A3" w:rsidRDefault="00FD6E36" w:rsidP="00164B2B">
            <w:pPr>
              <w:spacing w:line="360" w:lineRule="auto"/>
              <w:jc w:val="right"/>
              <w:rPr>
                <w:sz w:val="24"/>
                <w:szCs w:val="24"/>
              </w:rPr>
            </w:pPr>
            <w:r w:rsidRPr="008B63A3">
              <w:rPr>
                <w:sz w:val="24"/>
                <w:szCs w:val="24"/>
              </w:rPr>
              <w:t>0.0001</w:t>
            </w:r>
          </w:p>
        </w:tc>
      </w:tr>
      <w:tr w:rsidR="008B63A3" w:rsidRPr="008B63A3" w14:paraId="12EEC9C5" w14:textId="77777777" w:rsidTr="00164B2B">
        <w:tc>
          <w:tcPr>
            <w:tcW w:w="3563" w:type="dxa"/>
            <w:tcBorders>
              <w:top w:val="nil"/>
              <w:left w:val="nil"/>
              <w:bottom w:val="nil"/>
              <w:right w:val="nil"/>
            </w:tcBorders>
            <w:shd w:val="clear" w:color="auto" w:fill="auto"/>
          </w:tcPr>
          <w:p w14:paraId="4D1FBC5A" w14:textId="77777777" w:rsidR="00FD6E36" w:rsidRPr="008B63A3" w:rsidRDefault="00FD6E36" w:rsidP="00164B2B">
            <w:pPr>
              <w:spacing w:line="360" w:lineRule="auto"/>
              <w:rPr>
                <w:sz w:val="24"/>
                <w:szCs w:val="24"/>
              </w:rPr>
            </w:pPr>
            <w:r w:rsidRPr="008B63A3">
              <w:rPr>
                <w:sz w:val="24"/>
                <w:szCs w:val="24"/>
              </w:rPr>
              <w:t xml:space="preserve">    No</w:t>
            </w:r>
          </w:p>
        </w:tc>
        <w:tc>
          <w:tcPr>
            <w:tcW w:w="845" w:type="dxa"/>
            <w:tcBorders>
              <w:top w:val="nil"/>
              <w:left w:val="nil"/>
              <w:bottom w:val="nil"/>
              <w:right w:val="nil"/>
            </w:tcBorders>
            <w:shd w:val="clear" w:color="auto" w:fill="auto"/>
            <w:vAlign w:val="center"/>
          </w:tcPr>
          <w:p w14:paraId="5589A7DB" w14:textId="77777777" w:rsidR="00FD6E36" w:rsidRPr="008B63A3" w:rsidRDefault="00FD6E36" w:rsidP="00164B2B">
            <w:pPr>
              <w:spacing w:line="360" w:lineRule="auto"/>
              <w:jc w:val="right"/>
              <w:rPr>
                <w:sz w:val="24"/>
                <w:szCs w:val="24"/>
              </w:rPr>
            </w:pPr>
            <w:r w:rsidRPr="008B63A3">
              <w:rPr>
                <w:sz w:val="24"/>
                <w:szCs w:val="24"/>
              </w:rPr>
              <w:t>83.46</w:t>
            </w:r>
          </w:p>
        </w:tc>
        <w:tc>
          <w:tcPr>
            <w:tcW w:w="1994" w:type="dxa"/>
            <w:tcBorders>
              <w:top w:val="nil"/>
              <w:left w:val="nil"/>
              <w:bottom w:val="nil"/>
              <w:right w:val="nil"/>
            </w:tcBorders>
            <w:shd w:val="clear" w:color="auto" w:fill="auto"/>
            <w:vAlign w:val="center"/>
          </w:tcPr>
          <w:p w14:paraId="1CF955BA" w14:textId="77777777" w:rsidR="00FD6E36" w:rsidRPr="008B63A3" w:rsidRDefault="00FD6E36" w:rsidP="00164B2B">
            <w:pPr>
              <w:spacing w:line="360" w:lineRule="auto"/>
              <w:jc w:val="center"/>
              <w:rPr>
                <w:sz w:val="24"/>
                <w:szCs w:val="24"/>
              </w:rPr>
            </w:pPr>
            <w:r w:rsidRPr="008B63A3">
              <w:rPr>
                <w:sz w:val="24"/>
                <w:szCs w:val="24"/>
              </w:rPr>
              <w:t>22.59</w:t>
            </w:r>
          </w:p>
        </w:tc>
        <w:tc>
          <w:tcPr>
            <w:tcW w:w="2109" w:type="dxa"/>
            <w:tcBorders>
              <w:top w:val="nil"/>
              <w:left w:val="nil"/>
              <w:bottom w:val="nil"/>
              <w:right w:val="nil"/>
            </w:tcBorders>
            <w:shd w:val="clear" w:color="auto" w:fill="auto"/>
            <w:vAlign w:val="center"/>
          </w:tcPr>
          <w:p w14:paraId="245A79E4" w14:textId="77777777" w:rsidR="00FD6E36" w:rsidRPr="008B63A3" w:rsidRDefault="00FD6E36" w:rsidP="00164B2B">
            <w:pPr>
              <w:spacing w:line="360" w:lineRule="auto"/>
              <w:jc w:val="center"/>
              <w:rPr>
                <w:sz w:val="24"/>
                <w:szCs w:val="24"/>
              </w:rPr>
            </w:pPr>
            <w:r w:rsidRPr="008B63A3">
              <w:rPr>
                <w:sz w:val="24"/>
                <w:szCs w:val="24"/>
              </w:rPr>
              <w:t>77.41</w:t>
            </w:r>
          </w:p>
        </w:tc>
        <w:tc>
          <w:tcPr>
            <w:tcW w:w="1012" w:type="dxa"/>
            <w:tcBorders>
              <w:top w:val="nil"/>
              <w:left w:val="nil"/>
              <w:bottom w:val="nil"/>
              <w:right w:val="nil"/>
            </w:tcBorders>
            <w:shd w:val="clear" w:color="auto" w:fill="auto"/>
            <w:vAlign w:val="center"/>
          </w:tcPr>
          <w:p w14:paraId="3E02F7F2" w14:textId="77777777" w:rsidR="00FD6E36" w:rsidRPr="008B63A3" w:rsidRDefault="00FD6E36" w:rsidP="00164B2B">
            <w:pPr>
              <w:spacing w:line="360" w:lineRule="auto"/>
              <w:jc w:val="right"/>
              <w:rPr>
                <w:sz w:val="24"/>
                <w:szCs w:val="24"/>
              </w:rPr>
            </w:pPr>
          </w:p>
        </w:tc>
      </w:tr>
      <w:tr w:rsidR="008B63A3" w:rsidRPr="008B63A3" w14:paraId="589E3467" w14:textId="77777777" w:rsidTr="00164B2B">
        <w:tc>
          <w:tcPr>
            <w:tcW w:w="3563" w:type="dxa"/>
            <w:tcBorders>
              <w:top w:val="nil"/>
              <w:left w:val="nil"/>
              <w:bottom w:val="single" w:sz="4" w:space="0" w:color="auto"/>
              <w:right w:val="nil"/>
            </w:tcBorders>
            <w:shd w:val="clear" w:color="auto" w:fill="auto"/>
          </w:tcPr>
          <w:p w14:paraId="6DBF4FA6" w14:textId="77777777" w:rsidR="00FD6E36" w:rsidRPr="008B63A3" w:rsidRDefault="00FD6E36" w:rsidP="00164B2B">
            <w:pPr>
              <w:spacing w:line="360" w:lineRule="auto"/>
              <w:rPr>
                <w:sz w:val="24"/>
                <w:szCs w:val="24"/>
              </w:rPr>
            </w:pPr>
            <w:r w:rsidRPr="008B63A3">
              <w:rPr>
                <w:sz w:val="24"/>
                <w:szCs w:val="24"/>
              </w:rPr>
              <w:t xml:space="preserve">    Yes</w:t>
            </w:r>
          </w:p>
        </w:tc>
        <w:tc>
          <w:tcPr>
            <w:tcW w:w="845" w:type="dxa"/>
            <w:tcBorders>
              <w:top w:val="nil"/>
              <w:left w:val="nil"/>
              <w:bottom w:val="single" w:sz="4" w:space="0" w:color="auto"/>
              <w:right w:val="nil"/>
            </w:tcBorders>
            <w:shd w:val="clear" w:color="auto" w:fill="auto"/>
            <w:vAlign w:val="center"/>
          </w:tcPr>
          <w:p w14:paraId="5F5F7F46" w14:textId="77777777" w:rsidR="00FD6E36" w:rsidRPr="008B63A3" w:rsidRDefault="00FD6E36" w:rsidP="00164B2B">
            <w:pPr>
              <w:spacing w:line="360" w:lineRule="auto"/>
              <w:jc w:val="right"/>
              <w:rPr>
                <w:sz w:val="24"/>
                <w:szCs w:val="24"/>
              </w:rPr>
            </w:pPr>
            <w:r w:rsidRPr="008B63A3">
              <w:rPr>
                <w:sz w:val="24"/>
                <w:szCs w:val="24"/>
              </w:rPr>
              <w:t>16.54</w:t>
            </w:r>
          </w:p>
        </w:tc>
        <w:tc>
          <w:tcPr>
            <w:tcW w:w="1994" w:type="dxa"/>
            <w:tcBorders>
              <w:top w:val="nil"/>
              <w:left w:val="nil"/>
              <w:bottom w:val="single" w:sz="4" w:space="0" w:color="auto"/>
              <w:right w:val="nil"/>
            </w:tcBorders>
            <w:shd w:val="clear" w:color="auto" w:fill="auto"/>
            <w:vAlign w:val="center"/>
          </w:tcPr>
          <w:p w14:paraId="6DA296E4" w14:textId="77777777" w:rsidR="00FD6E36" w:rsidRPr="008B63A3" w:rsidRDefault="00FD6E36" w:rsidP="00164B2B">
            <w:pPr>
              <w:spacing w:line="360" w:lineRule="auto"/>
              <w:jc w:val="center"/>
              <w:rPr>
                <w:sz w:val="24"/>
                <w:szCs w:val="24"/>
              </w:rPr>
            </w:pPr>
            <w:r w:rsidRPr="008B63A3">
              <w:rPr>
                <w:sz w:val="24"/>
                <w:szCs w:val="24"/>
              </w:rPr>
              <w:t>56.88</w:t>
            </w:r>
          </w:p>
        </w:tc>
        <w:tc>
          <w:tcPr>
            <w:tcW w:w="2109" w:type="dxa"/>
            <w:tcBorders>
              <w:top w:val="nil"/>
              <w:left w:val="nil"/>
              <w:bottom w:val="single" w:sz="4" w:space="0" w:color="auto"/>
              <w:right w:val="nil"/>
            </w:tcBorders>
            <w:shd w:val="clear" w:color="auto" w:fill="auto"/>
            <w:vAlign w:val="center"/>
          </w:tcPr>
          <w:p w14:paraId="11838957" w14:textId="77777777" w:rsidR="00FD6E36" w:rsidRPr="008B63A3" w:rsidRDefault="00FD6E36" w:rsidP="00164B2B">
            <w:pPr>
              <w:spacing w:line="360" w:lineRule="auto"/>
              <w:jc w:val="center"/>
              <w:rPr>
                <w:sz w:val="24"/>
                <w:szCs w:val="24"/>
              </w:rPr>
            </w:pPr>
            <w:r w:rsidRPr="008B63A3">
              <w:rPr>
                <w:sz w:val="24"/>
                <w:szCs w:val="24"/>
              </w:rPr>
              <w:t>43.12</w:t>
            </w:r>
          </w:p>
        </w:tc>
        <w:tc>
          <w:tcPr>
            <w:tcW w:w="1012" w:type="dxa"/>
            <w:tcBorders>
              <w:top w:val="nil"/>
              <w:left w:val="nil"/>
              <w:bottom w:val="single" w:sz="4" w:space="0" w:color="auto"/>
              <w:right w:val="nil"/>
            </w:tcBorders>
            <w:shd w:val="clear" w:color="auto" w:fill="auto"/>
            <w:vAlign w:val="center"/>
          </w:tcPr>
          <w:p w14:paraId="7E388048" w14:textId="77777777" w:rsidR="00FD6E36" w:rsidRPr="008B63A3" w:rsidRDefault="00FD6E36" w:rsidP="00164B2B">
            <w:pPr>
              <w:spacing w:line="360" w:lineRule="auto"/>
              <w:jc w:val="right"/>
              <w:rPr>
                <w:sz w:val="24"/>
                <w:szCs w:val="24"/>
              </w:rPr>
            </w:pPr>
          </w:p>
        </w:tc>
      </w:tr>
    </w:tbl>
    <w:p w14:paraId="484D4323" w14:textId="77777777" w:rsidR="00FD6E36" w:rsidRPr="008B63A3" w:rsidRDefault="00FD6E36" w:rsidP="00FD6E36">
      <w:pPr>
        <w:spacing w:line="360" w:lineRule="auto"/>
        <w:jc w:val="both"/>
        <w:rPr>
          <w:sz w:val="24"/>
          <w:szCs w:val="24"/>
        </w:rPr>
      </w:pPr>
    </w:p>
    <w:p w14:paraId="571568E2" w14:textId="77777777" w:rsidR="00FD6E36" w:rsidRPr="008B63A3" w:rsidRDefault="00FD6E36" w:rsidP="00FD6E36">
      <w:pPr>
        <w:spacing w:line="360" w:lineRule="auto"/>
        <w:ind w:firstLine="709"/>
        <w:jc w:val="both"/>
        <w:rPr>
          <w:sz w:val="24"/>
          <w:szCs w:val="24"/>
          <w:highlight w:val="yellow"/>
        </w:rPr>
      </w:pPr>
      <w:r w:rsidRPr="008B63A3">
        <w:rPr>
          <w:b/>
          <w:sz w:val="24"/>
          <w:szCs w:val="24"/>
        </w:rPr>
        <w:t>Table 4.</w:t>
      </w:r>
      <w:r w:rsidRPr="008B63A3">
        <w:rPr>
          <w:sz w:val="24"/>
          <w:szCs w:val="24"/>
        </w:rPr>
        <w:t xml:space="preserve"> Mortality, in the four-year period, in 568 older adults, according to cox's predictive proportional risk model. SABE Study: City of São Paulo, 2010 - 2014.</w:t>
      </w:r>
    </w:p>
    <w:tbl>
      <w:tblPr>
        <w:tblW w:w="9180" w:type="dxa"/>
        <w:tblBorders>
          <w:top w:val="single" w:sz="4" w:space="0" w:color="auto"/>
          <w:bottom w:val="single" w:sz="4" w:space="0" w:color="auto"/>
        </w:tblBorders>
        <w:tblLook w:val="04A0" w:firstRow="1" w:lastRow="0" w:firstColumn="1" w:lastColumn="0" w:noHBand="0" w:noVBand="1"/>
      </w:tblPr>
      <w:tblGrid>
        <w:gridCol w:w="4602"/>
        <w:gridCol w:w="2310"/>
        <w:gridCol w:w="2268"/>
      </w:tblGrid>
      <w:tr w:rsidR="008B63A3" w:rsidRPr="008B63A3" w14:paraId="6A1D7F5D" w14:textId="77777777" w:rsidTr="00164B2B">
        <w:tc>
          <w:tcPr>
            <w:tcW w:w="4602" w:type="dxa"/>
            <w:tcBorders>
              <w:top w:val="single" w:sz="4" w:space="0" w:color="auto"/>
              <w:bottom w:val="single" w:sz="4" w:space="0" w:color="auto"/>
            </w:tcBorders>
            <w:shd w:val="clear" w:color="auto" w:fill="auto"/>
            <w:vAlign w:val="center"/>
          </w:tcPr>
          <w:p w14:paraId="6B6597C4" w14:textId="77777777" w:rsidR="00FD6E36" w:rsidRPr="008B63A3" w:rsidRDefault="00FD6E36" w:rsidP="00164B2B">
            <w:pPr>
              <w:spacing w:line="360" w:lineRule="auto"/>
              <w:jc w:val="center"/>
              <w:rPr>
                <w:b/>
                <w:sz w:val="24"/>
                <w:szCs w:val="24"/>
              </w:rPr>
            </w:pPr>
            <w:r w:rsidRPr="008B63A3">
              <w:rPr>
                <w:b/>
                <w:sz w:val="24"/>
                <w:szCs w:val="24"/>
              </w:rPr>
              <w:t>Variables</w:t>
            </w:r>
          </w:p>
        </w:tc>
        <w:tc>
          <w:tcPr>
            <w:tcW w:w="2310" w:type="dxa"/>
            <w:tcBorders>
              <w:top w:val="single" w:sz="4" w:space="0" w:color="auto"/>
              <w:bottom w:val="single" w:sz="4" w:space="0" w:color="auto"/>
            </w:tcBorders>
            <w:shd w:val="clear" w:color="auto" w:fill="auto"/>
            <w:vAlign w:val="center"/>
          </w:tcPr>
          <w:p w14:paraId="337C2919" w14:textId="77777777" w:rsidR="00FD6E36" w:rsidRPr="008B63A3" w:rsidRDefault="00FD6E36" w:rsidP="00164B2B">
            <w:pPr>
              <w:spacing w:line="360" w:lineRule="auto"/>
              <w:jc w:val="center"/>
              <w:rPr>
                <w:b/>
                <w:sz w:val="24"/>
                <w:szCs w:val="24"/>
              </w:rPr>
            </w:pPr>
            <w:r w:rsidRPr="008B63A3">
              <w:rPr>
                <w:b/>
                <w:sz w:val="24"/>
                <w:szCs w:val="24"/>
              </w:rPr>
              <w:t>Partial Model</w:t>
            </w:r>
          </w:p>
          <w:p w14:paraId="3D417754" w14:textId="77777777" w:rsidR="00FD6E36" w:rsidRPr="008B63A3" w:rsidRDefault="00FD6E36" w:rsidP="00164B2B">
            <w:pPr>
              <w:spacing w:line="360" w:lineRule="auto"/>
              <w:jc w:val="center"/>
              <w:rPr>
                <w:b/>
                <w:sz w:val="24"/>
                <w:szCs w:val="24"/>
              </w:rPr>
            </w:pPr>
            <w:r w:rsidRPr="008B63A3">
              <w:rPr>
                <w:b/>
                <w:sz w:val="24"/>
                <w:szCs w:val="24"/>
              </w:rPr>
              <w:t>PR (95%IC)</w:t>
            </w:r>
          </w:p>
        </w:tc>
        <w:tc>
          <w:tcPr>
            <w:tcW w:w="2268" w:type="dxa"/>
            <w:tcBorders>
              <w:top w:val="single" w:sz="4" w:space="0" w:color="auto"/>
              <w:bottom w:val="single" w:sz="4" w:space="0" w:color="auto"/>
            </w:tcBorders>
            <w:shd w:val="clear" w:color="auto" w:fill="auto"/>
            <w:vAlign w:val="center"/>
          </w:tcPr>
          <w:p w14:paraId="138BA3CA" w14:textId="77777777" w:rsidR="00FD6E36" w:rsidRPr="008B63A3" w:rsidRDefault="00FD6E36" w:rsidP="00164B2B">
            <w:pPr>
              <w:spacing w:line="360" w:lineRule="auto"/>
              <w:jc w:val="center"/>
              <w:rPr>
                <w:b/>
                <w:sz w:val="24"/>
                <w:szCs w:val="24"/>
              </w:rPr>
            </w:pPr>
            <w:r w:rsidRPr="008B63A3">
              <w:rPr>
                <w:b/>
                <w:sz w:val="24"/>
                <w:szCs w:val="24"/>
              </w:rPr>
              <w:t>Final Model</w:t>
            </w:r>
          </w:p>
          <w:p w14:paraId="6F1740CA" w14:textId="77777777" w:rsidR="00FD6E36" w:rsidRPr="008B63A3" w:rsidRDefault="00FD6E36" w:rsidP="00164B2B">
            <w:pPr>
              <w:spacing w:line="360" w:lineRule="auto"/>
              <w:jc w:val="center"/>
              <w:rPr>
                <w:b/>
                <w:sz w:val="24"/>
                <w:szCs w:val="24"/>
              </w:rPr>
            </w:pPr>
            <w:r w:rsidRPr="008B63A3">
              <w:rPr>
                <w:b/>
                <w:sz w:val="24"/>
                <w:szCs w:val="24"/>
              </w:rPr>
              <w:t>PR (95%IC)</w:t>
            </w:r>
          </w:p>
        </w:tc>
      </w:tr>
      <w:tr w:rsidR="008B63A3" w:rsidRPr="008B63A3" w14:paraId="0AC7E489" w14:textId="77777777" w:rsidTr="00164B2B">
        <w:tc>
          <w:tcPr>
            <w:tcW w:w="4602" w:type="dxa"/>
            <w:tcBorders>
              <w:top w:val="single" w:sz="4" w:space="0" w:color="auto"/>
            </w:tcBorders>
            <w:shd w:val="clear" w:color="auto" w:fill="auto"/>
            <w:vAlign w:val="center"/>
          </w:tcPr>
          <w:p w14:paraId="08AC07E7" w14:textId="77777777" w:rsidR="00FD6E36" w:rsidRPr="008B63A3" w:rsidRDefault="00FD6E36" w:rsidP="00164B2B">
            <w:pPr>
              <w:spacing w:line="360" w:lineRule="auto"/>
              <w:rPr>
                <w:b/>
                <w:sz w:val="24"/>
                <w:szCs w:val="24"/>
              </w:rPr>
            </w:pPr>
            <w:r w:rsidRPr="008B63A3">
              <w:rPr>
                <w:b/>
                <w:sz w:val="24"/>
                <w:szCs w:val="24"/>
              </w:rPr>
              <w:t>Low level of physical activity</w:t>
            </w:r>
          </w:p>
        </w:tc>
        <w:tc>
          <w:tcPr>
            <w:tcW w:w="2310" w:type="dxa"/>
            <w:tcBorders>
              <w:top w:val="single" w:sz="4" w:space="0" w:color="auto"/>
            </w:tcBorders>
            <w:shd w:val="clear" w:color="auto" w:fill="auto"/>
            <w:vAlign w:val="center"/>
          </w:tcPr>
          <w:p w14:paraId="4AB7D8B9" w14:textId="77777777" w:rsidR="00FD6E36" w:rsidRPr="008B63A3" w:rsidRDefault="00FD6E36" w:rsidP="00164B2B">
            <w:pPr>
              <w:spacing w:line="360" w:lineRule="auto"/>
              <w:jc w:val="right"/>
              <w:rPr>
                <w:sz w:val="24"/>
                <w:szCs w:val="24"/>
              </w:rPr>
            </w:pPr>
            <w:r w:rsidRPr="008B63A3">
              <w:rPr>
                <w:sz w:val="24"/>
                <w:szCs w:val="24"/>
              </w:rPr>
              <w:t>3.55** (2.21 – 5.71)</w:t>
            </w:r>
          </w:p>
        </w:tc>
        <w:tc>
          <w:tcPr>
            <w:tcW w:w="2268" w:type="dxa"/>
            <w:tcBorders>
              <w:top w:val="single" w:sz="4" w:space="0" w:color="auto"/>
            </w:tcBorders>
            <w:shd w:val="clear" w:color="auto" w:fill="auto"/>
            <w:vAlign w:val="center"/>
          </w:tcPr>
          <w:p w14:paraId="0A0206B4" w14:textId="77777777" w:rsidR="00FD6E36" w:rsidRPr="008B63A3" w:rsidRDefault="00FD6E36" w:rsidP="00164B2B">
            <w:pPr>
              <w:spacing w:line="360" w:lineRule="auto"/>
              <w:jc w:val="right"/>
              <w:rPr>
                <w:sz w:val="24"/>
                <w:szCs w:val="24"/>
              </w:rPr>
            </w:pPr>
            <w:r w:rsidRPr="008B63A3">
              <w:rPr>
                <w:sz w:val="24"/>
                <w:szCs w:val="24"/>
              </w:rPr>
              <w:t>2.79** (1.71 – 4.57)</w:t>
            </w:r>
          </w:p>
        </w:tc>
      </w:tr>
      <w:tr w:rsidR="008B63A3" w:rsidRPr="008B63A3" w14:paraId="4859D68A" w14:textId="77777777" w:rsidTr="00164B2B">
        <w:tc>
          <w:tcPr>
            <w:tcW w:w="4602" w:type="dxa"/>
            <w:shd w:val="clear" w:color="auto" w:fill="auto"/>
            <w:vAlign w:val="center"/>
          </w:tcPr>
          <w:p w14:paraId="319717A3" w14:textId="77777777" w:rsidR="00FD6E36" w:rsidRPr="008B63A3" w:rsidRDefault="00FD6E36" w:rsidP="00164B2B">
            <w:pPr>
              <w:spacing w:line="360" w:lineRule="auto"/>
              <w:rPr>
                <w:b/>
                <w:sz w:val="24"/>
                <w:szCs w:val="24"/>
              </w:rPr>
            </w:pPr>
            <w:r w:rsidRPr="008B63A3">
              <w:rPr>
                <w:b/>
                <w:sz w:val="24"/>
                <w:szCs w:val="24"/>
              </w:rPr>
              <w:t>Gender (Women)</w:t>
            </w:r>
          </w:p>
        </w:tc>
        <w:tc>
          <w:tcPr>
            <w:tcW w:w="2310" w:type="dxa"/>
            <w:shd w:val="clear" w:color="auto" w:fill="auto"/>
            <w:vAlign w:val="center"/>
          </w:tcPr>
          <w:p w14:paraId="0C72A714" w14:textId="77777777" w:rsidR="00FD6E36" w:rsidRPr="008B63A3" w:rsidRDefault="00FD6E36" w:rsidP="00164B2B">
            <w:pPr>
              <w:spacing w:line="360" w:lineRule="auto"/>
              <w:jc w:val="right"/>
              <w:rPr>
                <w:sz w:val="24"/>
                <w:szCs w:val="24"/>
              </w:rPr>
            </w:pPr>
            <w:r w:rsidRPr="008B63A3">
              <w:rPr>
                <w:sz w:val="24"/>
                <w:szCs w:val="24"/>
              </w:rPr>
              <w:t>0.63 (0.33 – 1.21)</w:t>
            </w:r>
          </w:p>
        </w:tc>
        <w:tc>
          <w:tcPr>
            <w:tcW w:w="2268" w:type="dxa"/>
            <w:shd w:val="clear" w:color="auto" w:fill="auto"/>
            <w:vAlign w:val="center"/>
          </w:tcPr>
          <w:p w14:paraId="25805C18" w14:textId="77777777" w:rsidR="00FD6E36" w:rsidRPr="008B63A3" w:rsidRDefault="00FD6E36" w:rsidP="00164B2B">
            <w:pPr>
              <w:spacing w:line="360" w:lineRule="auto"/>
              <w:jc w:val="right"/>
              <w:rPr>
                <w:sz w:val="24"/>
                <w:szCs w:val="24"/>
              </w:rPr>
            </w:pPr>
            <w:r w:rsidRPr="008B63A3">
              <w:rPr>
                <w:sz w:val="24"/>
                <w:szCs w:val="24"/>
              </w:rPr>
              <w:t>0.57 (0.29 – 1.11)</w:t>
            </w:r>
          </w:p>
        </w:tc>
      </w:tr>
      <w:tr w:rsidR="008B63A3" w:rsidRPr="008B63A3" w14:paraId="166485F7" w14:textId="77777777" w:rsidTr="00164B2B">
        <w:tc>
          <w:tcPr>
            <w:tcW w:w="4602" w:type="dxa"/>
            <w:shd w:val="clear" w:color="auto" w:fill="auto"/>
            <w:vAlign w:val="center"/>
          </w:tcPr>
          <w:p w14:paraId="39885376" w14:textId="77777777" w:rsidR="00FD6E36" w:rsidRPr="008B63A3" w:rsidRDefault="00FD6E36" w:rsidP="00164B2B">
            <w:pPr>
              <w:spacing w:line="360" w:lineRule="auto"/>
              <w:rPr>
                <w:b/>
                <w:sz w:val="24"/>
                <w:szCs w:val="24"/>
              </w:rPr>
            </w:pPr>
            <w:r w:rsidRPr="008B63A3">
              <w:rPr>
                <w:b/>
                <w:sz w:val="24"/>
                <w:szCs w:val="24"/>
              </w:rPr>
              <w:t>Age (</w:t>
            </w:r>
            <w:r w:rsidRPr="008B63A3">
              <w:rPr>
                <w:b/>
                <w:sz w:val="24"/>
                <w:szCs w:val="24"/>
                <w:u w:val="single"/>
              </w:rPr>
              <w:t>&gt;</w:t>
            </w:r>
            <w:r w:rsidRPr="008B63A3">
              <w:rPr>
                <w:b/>
                <w:sz w:val="24"/>
                <w:szCs w:val="24"/>
              </w:rPr>
              <w:t xml:space="preserve"> 75 anos)</w:t>
            </w:r>
          </w:p>
        </w:tc>
        <w:tc>
          <w:tcPr>
            <w:tcW w:w="2310" w:type="dxa"/>
            <w:shd w:val="clear" w:color="auto" w:fill="auto"/>
            <w:vAlign w:val="center"/>
          </w:tcPr>
          <w:p w14:paraId="3DF69BDA" w14:textId="77777777" w:rsidR="00FD6E36" w:rsidRPr="008B63A3" w:rsidRDefault="00FD6E36" w:rsidP="00164B2B">
            <w:pPr>
              <w:spacing w:line="360" w:lineRule="auto"/>
              <w:jc w:val="right"/>
              <w:rPr>
                <w:sz w:val="24"/>
                <w:szCs w:val="24"/>
              </w:rPr>
            </w:pPr>
            <w:r w:rsidRPr="008B63A3">
              <w:rPr>
                <w:sz w:val="24"/>
                <w:szCs w:val="24"/>
              </w:rPr>
              <w:t>1.76* (1.01 – 3.05)</w:t>
            </w:r>
          </w:p>
        </w:tc>
        <w:tc>
          <w:tcPr>
            <w:tcW w:w="2268" w:type="dxa"/>
            <w:shd w:val="clear" w:color="auto" w:fill="auto"/>
            <w:vAlign w:val="center"/>
          </w:tcPr>
          <w:p w14:paraId="38C5C6B3" w14:textId="77777777" w:rsidR="00FD6E36" w:rsidRPr="008B63A3" w:rsidRDefault="00FD6E36" w:rsidP="00164B2B">
            <w:pPr>
              <w:spacing w:line="360" w:lineRule="auto"/>
              <w:jc w:val="right"/>
              <w:rPr>
                <w:sz w:val="24"/>
                <w:szCs w:val="24"/>
              </w:rPr>
            </w:pPr>
            <w:r w:rsidRPr="008B63A3">
              <w:rPr>
                <w:sz w:val="24"/>
                <w:szCs w:val="24"/>
              </w:rPr>
              <w:t>1.55 (0.88 – 2.75)</w:t>
            </w:r>
          </w:p>
        </w:tc>
      </w:tr>
      <w:tr w:rsidR="008B63A3" w:rsidRPr="008B63A3" w14:paraId="443B57FE" w14:textId="77777777" w:rsidTr="00164B2B">
        <w:tc>
          <w:tcPr>
            <w:tcW w:w="4602" w:type="dxa"/>
            <w:shd w:val="clear" w:color="auto" w:fill="auto"/>
            <w:vAlign w:val="center"/>
          </w:tcPr>
          <w:p w14:paraId="29740C67" w14:textId="77777777" w:rsidR="00FD6E36" w:rsidRPr="008B63A3" w:rsidRDefault="00FD6E36" w:rsidP="00164B2B">
            <w:pPr>
              <w:spacing w:line="360" w:lineRule="auto"/>
              <w:rPr>
                <w:b/>
                <w:sz w:val="24"/>
                <w:szCs w:val="24"/>
              </w:rPr>
            </w:pPr>
            <w:r w:rsidRPr="008B63A3">
              <w:rPr>
                <w:b/>
                <w:sz w:val="24"/>
                <w:szCs w:val="24"/>
              </w:rPr>
              <w:t>Activity work (Not work)</w:t>
            </w:r>
          </w:p>
        </w:tc>
        <w:tc>
          <w:tcPr>
            <w:tcW w:w="2310" w:type="dxa"/>
            <w:shd w:val="clear" w:color="auto" w:fill="auto"/>
            <w:vAlign w:val="center"/>
          </w:tcPr>
          <w:p w14:paraId="640CA3AE" w14:textId="77777777" w:rsidR="00FD6E36" w:rsidRPr="008B63A3" w:rsidRDefault="00FD6E36" w:rsidP="00164B2B">
            <w:pPr>
              <w:spacing w:line="360" w:lineRule="auto"/>
              <w:jc w:val="right"/>
              <w:rPr>
                <w:sz w:val="24"/>
                <w:szCs w:val="24"/>
              </w:rPr>
            </w:pPr>
            <w:r w:rsidRPr="008B63A3">
              <w:rPr>
                <w:sz w:val="24"/>
                <w:szCs w:val="24"/>
              </w:rPr>
              <w:t>1.18 (0.53 – 2.65)</w:t>
            </w:r>
          </w:p>
        </w:tc>
        <w:tc>
          <w:tcPr>
            <w:tcW w:w="2268" w:type="dxa"/>
            <w:shd w:val="clear" w:color="auto" w:fill="auto"/>
            <w:vAlign w:val="center"/>
          </w:tcPr>
          <w:p w14:paraId="53F0495D" w14:textId="77777777" w:rsidR="00FD6E36" w:rsidRPr="008B63A3" w:rsidRDefault="00FD6E36" w:rsidP="00164B2B">
            <w:pPr>
              <w:spacing w:line="360" w:lineRule="auto"/>
              <w:jc w:val="right"/>
              <w:rPr>
                <w:sz w:val="24"/>
                <w:szCs w:val="24"/>
              </w:rPr>
            </w:pPr>
            <w:r w:rsidRPr="008B63A3">
              <w:rPr>
                <w:sz w:val="24"/>
                <w:szCs w:val="24"/>
              </w:rPr>
              <w:t>1.02 (0.44 – 2.32)</w:t>
            </w:r>
          </w:p>
        </w:tc>
      </w:tr>
      <w:tr w:rsidR="008B63A3" w:rsidRPr="008B63A3" w14:paraId="11EB0873" w14:textId="77777777" w:rsidTr="00164B2B">
        <w:tc>
          <w:tcPr>
            <w:tcW w:w="4602" w:type="dxa"/>
            <w:shd w:val="clear" w:color="auto" w:fill="auto"/>
            <w:vAlign w:val="center"/>
          </w:tcPr>
          <w:p w14:paraId="33AB71A2" w14:textId="77777777" w:rsidR="00FD6E36" w:rsidRPr="008B63A3" w:rsidRDefault="00FD6E36" w:rsidP="00164B2B">
            <w:pPr>
              <w:spacing w:line="360" w:lineRule="auto"/>
              <w:rPr>
                <w:b/>
                <w:sz w:val="24"/>
                <w:szCs w:val="24"/>
              </w:rPr>
            </w:pPr>
            <w:r w:rsidRPr="008B63A3">
              <w:rPr>
                <w:b/>
                <w:sz w:val="24"/>
                <w:szCs w:val="24"/>
              </w:rPr>
              <w:t>Marital status (Lives without a partner)</w:t>
            </w:r>
          </w:p>
        </w:tc>
        <w:tc>
          <w:tcPr>
            <w:tcW w:w="2310" w:type="dxa"/>
            <w:shd w:val="clear" w:color="auto" w:fill="auto"/>
            <w:vAlign w:val="center"/>
          </w:tcPr>
          <w:p w14:paraId="53331CD5" w14:textId="77777777" w:rsidR="00FD6E36" w:rsidRPr="008B63A3" w:rsidRDefault="00FD6E36" w:rsidP="00164B2B">
            <w:pPr>
              <w:spacing w:line="360" w:lineRule="auto"/>
              <w:jc w:val="right"/>
              <w:rPr>
                <w:sz w:val="24"/>
                <w:szCs w:val="24"/>
              </w:rPr>
            </w:pPr>
            <w:r w:rsidRPr="008B63A3">
              <w:rPr>
                <w:sz w:val="24"/>
                <w:szCs w:val="24"/>
              </w:rPr>
              <w:t>1.11 (0.58 – 2.14)</w:t>
            </w:r>
          </w:p>
        </w:tc>
        <w:tc>
          <w:tcPr>
            <w:tcW w:w="2268" w:type="dxa"/>
            <w:shd w:val="clear" w:color="auto" w:fill="auto"/>
            <w:vAlign w:val="center"/>
          </w:tcPr>
          <w:p w14:paraId="6AE5EE12" w14:textId="77777777" w:rsidR="00FD6E36" w:rsidRPr="008B63A3" w:rsidRDefault="00FD6E36" w:rsidP="00164B2B">
            <w:pPr>
              <w:spacing w:line="360" w:lineRule="auto"/>
              <w:jc w:val="right"/>
              <w:rPr>
                <w:sz w:val="24"/>
                <w:szCs w:val="24"/>
              </w:rPr>
            </w:pPr>
            <w:r w:rsidRPr="008B63A3">
              <w:rPr>
                <w:sz w:val="24"/>
                <w:szCs w:val="24"/>
              </w:rPr>
              <w:t>1.06 (0.55 – 2.08)</w:t>
            </w:r>
          </w:p>
        </w:tc>
      </w:tr>
      <w:tr w:rsidR="008B63A3" w:rsidRPr="008B63A3" w14:paraId="7CAA7763" w14:textId="77777777" w:rsidTr="00164B2B">
        <w:tc>
          <w:tcPr>
            <w:tcW w:w="4602" w:type="dxa"/>
            <w:shd w:val="clear" w:color="auto" w:fill="auto"/>
            <w:vAlign w:val="center"/>
          </w:tcPr>
          <w:p w14:paraId="00AFEA70" w14:textId="77777777" w:rsidR="00FD6E36" w:rsidRPr="008B63A3" w:rsidRDefault="00FD6E36" w:rsidP="00164B2B">
            <w:pPr>
              <w:spacing w:line="360" w:lineRule="auto"/>
              <w:rPr>
                <w:b/>
                <w:sz w:val="24"/>
                <w:szCs w:val="24"/>
              </w:rPr>
            </w:pPr>
            <w:r w:rsidRPr="008B63A3">
              <w:rPr>
                <w:b/>
                <w:sz w:val="24"/>
                <w:szCs w:val="24"/>
              </w:rPr>
              <w:t>Years of study (&lt; 4 years)</w:t>
            </w:r>
          </w:p>
        </w:tc>
        <w:tc>
          <w:tcPr>
            <w:tcW w:w="2310" w:type="dxa"/>
            <w:shd w:val="clear" w:color="auto" w:fill="auto"/>
            <w:vAlign w:val="center"/>
          </w:tcPr>
          <w:p w14:paraId="77C1892D" w14:textId="77777777" w:rsidR="00FD6E36" w:rsidRPr="008B63A3" w:rsidRDefault="00FD6E36" w:rsidP="00164B2B">
            <w:pPr>
              <w:spacing w:line="360" w:lineRule="auto"/>
              <w:jc w:val="right"/>
              <w:rPr>
                <w:sz w:val="24"/>
                <w:szCs w:val="24"/>
              </w:rPr>
            </w:pPr>
            <w:r w:rsidRPr="008B63A3">
              <w:rPr>
                <w:sz w:val="24"/>
                <w:szCs w:val="24"/>
              </w:rPr>
              <w:t>1.55 (0.93 – 2.60)</w:t>
            </w:r>
          </w:p>
        </w:tc>
        <w:tc>
          <w:tcPr>
            <w:tcW w:w="2268" w:type="dxa"/>
            <w:shd w:val="clear" w:color="auto" w:fill="auto"/>
            <w:vAlign w:val="center"/>
          </w:tcPr>
          <w:p w14:paraId="56B86FEB" w14:textId="77777777" w:rsidR="00FD6E36" w:rsidRPr="008B63A3" w:rsidRDefault="00FD6E36" w:rsidP="00164B2B">
            <w:pPr>
              <w:spacing w:line="360" w:lineRule="auto"/>
              <w:jc w:val="right"/>
              <w:rPr>
                <w:sz w:val="24"/>
                <w:szCs w:val="24"/>
              </w:rPr>
            </w:pPr>
            <w:r w:rsidRPr="008B63A3">
              <w:rPr>
                <w:sz w:val="24"/>
                <w:szCs w:val="24"/>
              </w:rPr>
              <w:t>1.20 (0.68 – 2.13)</w:t>
            </w:r>
          </w:p>
        </w:tc>
      </w:tr>
      <w:tr w:rsidR="008B63A3" w:rsidRPr="008B63A3" w14:paraId="24E60B08" w14:textId="77777777" w:rsidTr="00164B2B">
        <w:tc>
          <w:tcPr>
            <w:tcW w:w="4602" w:type="dxa"/>
            <w:shd w:val="clear" w:color="auto" w:fill="auto"/>
            <w:vAlign w:val="center"/>
          </w:tcPr>
          <w:p w14:paraId="32B31C2F" w14:textId="77777777" w:rsidR="00FD6E36" w:rsidRPr="008B63A3" w:rsidRDefault="00FD6E36" w:rsidP="00164B2B">
            <w:pPr>
              <w:spacing w:line="360" w:lineRule="auto"/>
              <w:rPr>
                <w:b/>
                <w:sz w:val="24"/>
                <w:szCs w:val="24"/>
              </w:rPr>
            </w:pPr>
            <w:r w:rsidRPr="008B63A3">
              <w:rPr>
                <w:b/>
                <w:sz w:val="24"/>
                <w:szCs w:val="24"/>
              </w:rPr>
              <w:t>Cognitive decline (Yes)</w:t>
            </w:r>
          </w:p>
        </w:tc>
        <w:tc>
          <w:tcPr>
            <w:tcW w:w="2310" w:type="dxa"/>
            <w:shd w:val="clear" w:color="auto" w:fill="auto"/>
            <w:vAlign w:val="center"/>
          </w:tcPr>
          <w:p w14:paraId="1C4CFD6F"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50A3544E" w14:textId="77777777" w:rsidR="00FD6E36" w:rsidRPr="008B63A3" w:rsidRDefault="00FD6E36" w:rsidP="00164B2B">
            <w:pPr>
              <w:spacing w:line="360" w:lineRule="auto"/>
              <w:jc w:val="right"/>
              <w:rPr>
                <w:sz w:val="24"/>
                <w:szCs w:val="24"/>
              </w:rPr>
            </w:pPr>
            <w:r w:rsidRPr="008B63A3">
              <w:rPr>
                <w:sz w:val="24"/>
                <w:szCs w:val="24"/>
              </w:rPr>
              <w:t>1.75 (0.99 – 3.10)</w:t>
            </w:r>
          </w:p>
        </w:tc>
      </w:tr>
      <w:tr w:rsidR="008B63A3" w:rsidRPr="008B63A3" w14:paraId="4D96A6F0" w14:textId="77777777" w:rsidTr="00164B2B">
        <w:tc>
          <w:tcPr>
            <w:tcW w:w="4602" w:type="dxa"/>
            <w:shd w:val="clear" w:color="auto" w:fill="auto"/>
            <w:vAlign w:val="center"/>
          </w:tcPr>
          <w:p w14:paraId="2841EB74" w14:textId="77777777" w:rsidR="00FD6E36" w:rsidRPr="008B63A3" w:rsidRDefault="00FD6E36" w:rsidP="00164B2B">
            <w:pPr>
              <w:spacing w:line="360" w:lineRule="auto"/>
              <w:rPr>
                <w:b/>
                <w:sz w:val="24"/>
                <w:szCs w:val="24"/>
              </w:rPr>
            </w:pPr>
            <w:r w:rsidRPr="008B63A3">
              <w:rPr>
                <w:b/>
                <w:sz w:val="24"/>
                <w:szCs w:val="24"/>
              </w:rPr>
              <w:t>Difficulty in IADL (Yes)</w:t>
            </w:r>
          </w:p>
        </w:tc>
        <w:tc>
          <w:tcPr>
            <w:tcW w:w="2310" w:type="dxa"/>
            <w:shd w:val="clear" w:color="auto" w:fill="auto"/>
            <w:vAlign w:val="center"/>
          </w:tcPr>
          <w:p w14:paraId="03F287CD"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0A5081F7" w14:textId="77777777" w:rsidR="00FD6E36" w:rsidRPr="008B63A3" w:rsidRDefault="00FD6E36" w:rsidP="00164B2B">
            <w:pPr>
              <w:spacing w:line="360" w:lineRule="auto"/>
              <w:jc w:val="right"/>
              <w:rPr>
                <w:sz w:val="24"/>
                <w:szCs w:val="24"/>
              </w:rPr>
            </w:pPr>
            <w:r w:rsidRPr="008B63A3">
              <w:rPr>
                <w:sz w:val="24"/>
                <w:szCs w:val="24"/>
              </w:rPr>
              <w:t>1.20 (0.63 – 2.27)</w:t>
            </w:r>
          </w:p>
        </w:tc>
      </w:tr>
      <w:tr w:rsidR="008B63A3" w:rsidRPr="008B63A3" w14:paraId="2016F338" w14:textId="77777777" w:rsidTr="00164B2B">
        <w:tc>
          <w:tcPr>
            <w:tcW w:w="4602" w:type="dxa"/>
            <w:shd w:val="clear" w:color="auto" w:fill="auto"/>
            <w:vAlign w:val="center"/>
          </w:tcPr>
          <w:p w14:paraId="278F2699" w14:textId="77777777" w:rsidR="00FD6E36" w:rsidRPr="008B63A3" w:rsidRDefault="00FD6E36" w:rsidP="00164B2B">
            <w:pPr>
              <w:spacing w:line="360" w:lineRule="auto"/>
              <w:rPr>
                <w:b/>
                <w:sz w:val="24"/>
                <w:szCs w:val="24"/>
              </w:rPr>
            </w:pPr>
            <w:r w:rsidRPr="008B63A3">
              <w:rPr>
                <w:b/>
                <w:sz w:val="24"/>
                <w:szCs w:val="24"/>
              </w:rPr>
              <w:t>Difficulty in BADL (Yes)</w:t>
            </w:r>
          </w:p>
        </w:tc>
        <w:tc>
          <w:tcPr>
            <w:tcW w:w="2310" w:type="dxa"/>
            <w:shd w:val="clear" w:color="auto" w:fill="auto"/>
            <w:vAlign w:val="center"/>
          </w:tcPr>
          <w:p w14:paraId="39C87427"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5A1CDB53" w14:textId="77777777" w:rsidR="00FD6E36" w:rsidRPr="008B63A3" w:rsidRDefault="00FD6E36" w:rsidP="00164B2B">
            <w:pPr>
              <w:spacing w:line="360" w:lineRule="auto"/>
              <w:jc w:val="right"/>
              <w:rPr>
                <w:sz w:val="24"/>
                <w:szCs w:val="24"/>
              </w:rPr>
            </w:pPr>
            <w:r w:rsidRPr="008B63A3">
              <w:rPr>
                <w:sz w:val="24"/>
                <w:szCs w:val="24"/>
              </w:rPr>
              <w:t>1.80* (1.05 – 3.08)</w:t>
            </w:r>
          </w:p>
        </w:tc>
      </w:tr>
      <w:tr w:rsidR="008B63A3" w:rsidRPr="008B63A3" w14:paraId="02F01B38" w14:textId="77777777" w:rsidTr="00164B2B">
        <w:tc>
          <w:tcPr>
            <w:tcW w:w="4602" w:type="dxa"/>
            <w:shd w:val="clear" w:color="auto" w:fill="auto"/>
            <w:vAlign w:val="center"/>
          </w:tcPr>
          <w:p w14:paraId="2B7D6CAF" w14:textId="77777777" w:rsidR="00FD6E36" w:rsidRPr="008B63A3" w:rsidRDefault="00FD6E36" w:rsidP="00164B2B">
            <w:pPr>
              <w:spacing w:line="360" w:lineRule="auto"/>
              <w:rPr>
                <w:b/>
                <w:sz w:val="24"/>
                <w:szCs w:val="24"/>
              </w:rPr>
            </w:pPr>
            <w:r w:rsidRPr="008B63A3">
              <w:rPr>
                <w:b/>
                <w:sz w:val="24"/>
                <w:szCs w:val="24"/>
              </w:rPr>
              <w:t>Chronic pain (Yes)</w:t>
            </w:r>
          </w:p>
        </w:tc>
        <w:tc>
          <w:tcPr>
            <w:tcW w:w="2310" w:type="dxa"/>
            <w:shd w:val="clear" w:color="auto" w:fill="auto"/>
            <w:vAlign w:val="center"/>
          </w:tcPr>
          <w:p w14:paraId="05BF380A"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13D58F88" w14:textId="77777777" w:rsidR="00FD6E36" w:rsidRPr="008B63A3" w:rsidRDefault="00FD6E36" w:rsidP="00164B2B">
            <w:pPr>
              <w:spacing w:line="360" w:lineRule="auto"/>
              <w:jc w:val="right"/>
              <w:rPr>
                <w:sz w:val="24"/>
                <w:szCs w:val="24"/>
              </w:rPr>
            </w:pPr>
            <w:r w:rsidRPr="008B63A3">
              <w:rPr>
                <w:sz w:val="24"/>
                <w:szCs w:val="24"/>
              </w:rPr>
              <w:t>0.82 (0.48 – 1.42)</w:t>
            </w:r>
          </w:p>
        </w:tc>
      </w:tr>
      <w:tr w:rsidR="008B63A3" w:rsidRPr="008B63A3" w14:paraId="684231B4" w14:textId="77777777" w:rsidTr="00164B2B">
        <w:tc>
          <w:tcPr>
            <w:tcW w:w="4602" w:type="dxa"/>
            <w:shd w:val="clear" w:color="auto" w:fill="auto"/>
            <w:vAlign w:val="center"/>
          </w:tcPr>
          <w:p w14:paraId="5050D968" w14:textId="77777777" w:rsidR="00FD6E36" w:rsidRPr="008B63A3" w:rsidRDefault="00FD6E36" w:rsidP="00164B2B">
            <w:pPr>
              <w:spacing w:line="360" w:lineRule="auto"/>
              <w:rPr>
                <w:b/>
                <w:sz w:val="24"/>
                <w:szCs w:val="24"/>
              </w:rPr>
            </w:pPr>
            <w:r w:rsidRPr="008B63A3">
              <w:rPr>
                <w:b/>
                <w:sz w:val="24"/>
                <w:szCs w:val="24"/>
              </w:rPr>
              <w:t>Fall in the last 12 months (Yes)</w:t>
            </w:r>
          </w:p>
        </w:tc>
        <w:tc>
          <w:tcPr>
            <w:tcW w:w="2310" w:type="dxa"/>
            <w:shd w:val="clear" w:color="auto" w:fill="auto"/>
            <w:vAlign w:val="center"/>
          </w:tcPr>
          <w:p w14:paraId="48B14F1D"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5534DE54" w14:textId="77777777" w:rsidR="00FD6E36" w:rsidRPr="008B63A3" w:rsidRDefault="00FD6E36" w:rsidP="00164B2B">
            <w:pPr>
              <w:spacing w:line="360" w:lineRule="auto"/>
              <w:jc w:val="right"/>
              <w:rPr>
                <w:sz w:val="24"/>
                <w:szCs w:val="24"/>
              </w:rPr>
            </w:pPr>
            <w:r w:rsidRPr="008B63A3">
              <w:rPr>
                <w:sz w:val="24"/>
                <w:szCs w:val="24"/>
              </w:rPr>
              <w:t>1.52 (0.92 – 2.51)</w:t>
            </w:r>
          </w:p>
        </w:tc>
      </w:tr>
      <w:tr w:rsidR="008B63A3" w:rsidRPr="008B63A3" w14:paraId="497A3DAD" w14:textId="77777777" w:rsidTr="00164B2B">
        <w:tc>
          <w:tcPr>
            <w:tcW w:w="4602" w:type="dxa"/>
            <w:shd w:val="clear" w:color="auto" w:fill="auto"/>
            <w:vAlign w:val="center"/>
          </w:tcPr>
          <w:p w14:paraId="4E79A387" w14:textId="77777777" w:rsidR="00FD6E36" w:rsidRPr="008B63A3" w:rsidRDefault="00FD6E36" w:rsidP="00164B2B">
            <w:pPr>
              <w:spacing w:line="360" w:lineRule="auto"/>
              <w:rPr>
                <w:b/>
                <w:sz w:val="24"/>
                <w:szCs w:val="24"/>
              </w:rPr>
            </w:pPr>
            <w:r w:rsidRPr="008B63A3">
              <w:rPr>
                <w:b/>
                <w:sz w:val="24"/>
                <w:szCs w:val="24"/>
              </w:rPr>
              <w:t>Multimorbidities (Yes)</w:t>
            </w:r>
          </w:p>
        </w:tc>
        <w:tc>
          <w:tcPr>
            <w:tcW w:w="2310" w:type="dxa"/>
            <w:shd w:val="clear" w:color="auto" w:fill="auto"/>
            <w:vAlign w:val="center"/>
          </w:tcPr>
          <w:p w14:paraId="2B83436B" w14:textId="77777777" w:rsidR="00FD6E36" w:rsidRPr="008B63A3" w:rsidRDefault="00FD6E36" w:rsidP="00164B2B">
            <w:pPr>
              <w:spacing w:line="360" w:lineRule="auto"/>
              <w:jc w:val="right"/>
              <w:rPr>
                <w:sz w:val="24"/>
                <w:szCs w:val="24"/>
              </w:rPr>
            </w:pPr>
          </w:p>
        </w:tc>
        <w:tc>
          <w:tcPr>
            <w:tcW w:w="2268" w:type="dxa"/>
            <w:shd w:val="clear" w:color="auto" w:fill="auto"/>
            <w:vAlign w:val="center"/>
          </w:tcPr>
          <w:p w14:paraId="65BE1D63" w14:textId="77777777" w:rsidR="00FD6E36" w:rsidRPr="008B63A3" w:rsidRDefault="00FD6E36" w:rsidP="00164B2B">
            <w:pPr>
              <w:spacing w:line="360" w:lineRule="auto"/>
              <w:jc w:val="right"/>
              <w:rPr>
                <w:sz w:val="24"/>
                <w:szCs w:val="24"/>
              </w:rPr>
            </w:pPr>
            <w:r w:rsidRPr="008B63A3">
              <w:rPr>
                <w:sz w:val="24"/>
                <w:szCs w:val="24"/>
              </w:rPr>
              <w:t>1.16 (0.66 – 2.03)</w:t>
            </w:r>
          </w:p>
        </w:tc>
      </w:tr>
    </w:tbl>
    <w:p w14:paraId="719CE019" w14:textId="77777777" w:rsidR="00FD6E36" w:rsidRPr="008B63A3" w:rsidRDefault="00FD6E36" w:rsidP="00FD6E36">
      <w:pPr>
        <w:spacing w:line="360" w:lineRule="auto"/>
        <w:jc w:val="both"/>
        <w:rPr>
          <w:sz w:val="24"/>
          <w:szCs w:val="24"/>
        </w:rPr>
      </w:pPr>
      <w:r w:rsidRPr="008B63A3">
        <w:rPr>
          <w:b/>
          <w:sz w:val="24"/>
          <w:szCs w:val="24"/>
        </w:rPr>
        <w:t>Source</w:t>
      </w:r>
      <w:r w:rsidRPr="008B63A3">
        <w:rPr>
          <w:sz w:val="24"/>
          <w:szCs w:val="24"/>
        </w:rPr>
        <w:t xml:space="preserve">: Study SABE, 2010. </w:t>
      </w:r>
      <w:r w:rsidRPr="008B63A3">
        <w:rPr>
          <w:b/>
          <w:sz w:val="24"/>
          <w:szCs w:val="24"/>
        </w:rPr>
        <w:t>Legend</w:t>
      </w:r>
      <w:r w:rsidRPr="008B63A3">
        <w:rPr>
          <w:sz w:val="24"/>
          <w:szCs w:val="24"/>
        </w:rPr>
        <w:t xml:space="preserve">: BADL = Basic Activity of Daily Life; IADL = Instrumental Activity of Daily Life; PR = Proportional risk </w:t>
      </w:r>
    </w:p>
    <w:p w14:paraId="10498372" w14:textId="77777777" w:rsidR="00166793" w:rsidRPr="008B63A3" w:rsidRDefault="00166793">
      <w:pPr>
        <w:rPr>
          <w:sz w:val="24"/>
          <w:szCs w:val="24"/>
        </w:rPr>
      </w:pPr>
      <w:r w:rsidRPr="008B63A3">
        <w:rPr>
          <w:sz w:val="24"/>
          <w:szCs w:val="24"/>
        </w:rPr>
        <w:br w:type="page"/>
      </w:r>
    </w:p>
    <w:p w14:paraId="1AD8CC7A" w14:textId="672E6FF1" w:rsidR="00FD6E36" w:rsidRPr="008B63A3" w:rsidRDefault="00FD6E36" w:rsidP="00FD6E36">
      <w:pPr>
        <w:spacing w:line="360" w:lineRule="auto"/>
        <w:jc w:val="both"/>
        <w:rPr>
          <w:sz w:val="24"/>
          <w:szCs w:val="24"/>
        </w:rPr>
      </w:pPr>
      <w:r w:rsidRPr="008B63A3">
        <w:rPr>
          <w:b/>
        </w:rPr>
        <w:lastRenderedPageBreak/>
        <w:t>Figure 1</w:t>
      </w:r>
      <w:r w:rsidRPr="008B63A3">
        <w:t>. Hierarchical analysis theoretical model for investigation of variables associated with mortality, structured in two blocks of variables.</w:t>
      </w:r>
    </w:p>
    <w:p w14:paraId="0A291494" w14:textId="7C20FE7C" w:rsidR="00FD6E36" w:rsidRPr="008B63A3" w:rsidRDefault="00115BA0" w:rsidP="00FD6E36">
      <w:pPr>
        <w:tabs>
          <w:tab w:val="left" w:pos="5370"/>
        </w:tabs>
        <w:rPr>
          <w:b/>
          <w:sz w:val="24"/>
          <w:szCs w:val="24"/>
        </w:rPr>
      </w:pPr>
      <w:r w:rsidRPr="008B63A3">
        <w:rPr>
          <w:noProof/>
        </w:rPr>
        <w:drawing>
          <wp:inline distT="0" distB="0" distL="0" distR="0" wp14:anchorId="18CFE1B2" wp14:editId="2240A82E">
            <wp:extent cx="5760085" cy="5266381"/>
            <wp:effectExtent l="0" t="0" r="0" b="0"/>
            <wp:docPr id="5" name="Imagem 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Diagram"/>
                    <pic:cNvPicPr>
                      <a:picLocks noChangeAspect="1" noChangeArrowheads="1"/>
                    </pic:cNvPicPr>
                  </pic:nvPicPr>
                  <pic:blipFill>
                    <a:blip r:embed="rId12">
                      <a:extLst>
                        <a:ext uri="{28A0092B-C50C-407E-A947-70E740481C1C}">
                          <a14:useLocalDpi xmlns:a14="http://schemas.microsoft.com/office/drawing/2010/main" val="0"/>
                        </a:ext>
                      </a:extLst>
                    </a:blip>
                    <a:srcRect l="15775" t="8133" r="19321" b="12741"/>
                    <a:stretch>
                      <a:fillRect/>
                    </a:stretch>
                  </pic:blipFill>
                  <pic:spPr bwMode="auto">
                    <a:xfrm>
                      <a:off x="0" y="0"/>
                      <a:ext cx="5760085" cy="5266381"/>
                    </a:xfrm>
                    <a:prstGeom prst="rect">
                      <a:avLst/>
                    </a:prstGeom>
                    <a:noFill/>
                    <a:ln>
                      <a:noFill/>
                    </a:ln>
                  </pic:spPr>
                </pic:pic>
              </a:graphicData>
            </a:graphic>
          </wp:inline>
        </w:drawing>
      </w:r>
    </w:p>
    <w:p w14:paraId="657C94E1" w14:textId="77777777" w:rsidR="00115BA0" w:rsidRPr="008B63A3" w:rsidRDefault="00115BA0">
      <w:pPr>
        <w:rPr>
          <w:b/>
          <w:sz w:val="24"/>
          <w:szCs w:val="24"/>
        </w:rPr>
      </w:pPr>
      <w:r w:rsidRPr="008B63A3">
        <w:rPr>
          <w:b/>
          <w:sz w:val="24"/>
          <w:szCs w:val="24"/>
        </w:rPr>
        <w:br w:type="page"/>
      </w:r>
    </w:p>
    <w:p w14:paraId="48F99D5B" w14:textId="33E7FA5D" w:rsidR="00FD6E36" w:rsidRPr="008B63A3" w:rsidRDefault="00FD6E36" w:rsidP="00FD6E36">
      <w:pPr>
        <w:tabs>
          <w:tab w:val="left" w:pos="5370"/>
        </w:tabs>
        <w:rPr>
          <w:sz w:val="24"/>
          <w:szCs w:val="24"/>
        </w:rPr>
      </w:pPr>
      <w:r w:rsidRPr="008B63A3">
        <w:rPr>
          <w:b/>
          <w:sz w:val="24"/>
          <w:szCs w:val="24"/>
        </w:rPr>
        <w:lastRenderedPageBreak/>
        <w:t>Figure 2.</w:t>
      </w:r>
      <w:r w:rsidRPr="008B63A3">
        <w:rPr>
          <w:sz w:val="24"/>
          <w:szCs w:val="24"/>
        </w:rPr>
        <w:t xml:space="preserve"> Kaplan-Meier survival curve for the sample, according to low level of physical activity. SABE Study: City of São Paulo, 2010 - 2014.</w:t>
      </w:r>
    </w:p>
    <w:p w14:paraId="2B167856" w14:textId="128ABF2A" w:rsidR="00FD6E36" w:rsidRPr="008B63A3" w:rsidRDefault="00115BA0" w:rsidP="00FD6E36">
      <w:pPr>
        <w:tabs>
          <w:tab w:val="left" w:pos="5370"/>
        </w:tabs>
        <w:rPr>
          <w:sz w:val="24"/>
          <w:szCs w:val="24"/>
        </w:rPr>
      </w:pPr>
      <w:r w:rsidRPr="008B63A3">
        <w:rPr>
          <w:noProof/>
        </w:rPr>
        <w:drawing>
          <wp:inline distT="0" distB="0" distL="0" distR="0" wp14:anchorId="6FD461A9" wp14:editId="24308713">
            <wp:extent cx="5401945" cy="3928745"/>
            <wp:effectExtent l="0" t="0" r="8255" b="0"/>
            <wp:docPr id="4" name="Imagem 6" descr="Chart, lin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6" descr="Chart, line char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945" cy="3928745"/>
                    </a:xfrm>
                    <a:prstGeom prst="rect">
                      <a:avLst/>
                    </a:prstGeom>
                    <a:noFill/>
                    <a:ln>
                      <a:noFill/>
                    </a:ln>
                  </pic:spPr>
                </pic:pic>
              </a:graphicData>
            </a:graphic>
          </wp:inline>
        </w:drawing>
      </w:r>
    </w:p>
    <w:p w14:paraId="181351A3" w14:textId="59C00DC3" w:rsidR="00FD6E36" w:rsidRPr="008B63A3" w:rsidRDefault="00FD6E36" w:rsidP="00FD6E36">
      <w:pPr>
        <w:tabs>
          <w:tab w:val="left" w:pos="5370"/>
        </w:tabs>
        <w:rPr>
          <w:sz w:val="24"/>
          <w:szCs w:val="24"/>
        </w:rPr>
      </w:pPr>
    </w:p>
    <w:p w14:paraId="4D217C82" w14:textId="4354A731" w:rsidR="00166793" w:rsidRPr="008B63A3" w:rsidRDefault="00166793" w:rsidP="00FD6E36">
      <w:pPr>
        <w:spacing w:line="360" w:lineRule="auto"/>
        <w:jc w:val="both"/>
        <w:rPr>
          <w:b/>
          <w:sz w:val="24"/>
          <w:szCs w:val="24"/>
        </w:rPr>
        <w:sectPr w:rsidR="00166793" w:rsidRPr="008B63A3" w:rsidSect="00DE3A26">
          <w:type w:val="continuous"/>
          <w:pgSz w:w="11906" w:h="16838" w:code="9"/>
          <w:pgMar w:top="1701" w:right="1134" w:bottom="1134" w:left="1701" w:header="709" w:footer="709" w:gutter="0"/>
          <w:lnNumType w:countBy="1" w:restart="continuous"/>
          <w:pgNumType w:start="56"/>
          <w:cols w:space="708"/>
          <w:docGrid w:linePitch="360"/>
        </w:sectPr>
      </w:pPr>
    </w:p>
    <w:p w14:paraId="6D148D64" w14:textId="77777777" w:rsidR="00FD6E36" w:rsidRPr="008B63A3" w:rsidRDefault="00FD6E36" w:rsidP="00FD6E36">
      <w:pPr>
        <w:spacing w:line="360" w:lineRule="auto"/>
        <w:jc w:val="both"/>
        <w:rPr>
          <w:b/>
          <w:sz w:val="24"/>
          <w:szCs w:val="24"/>
        </w:rPr>
      </w:pPr>
      <w:r w:rsidRPr="008B63A3">
        <w:rPr>
          <w:b/>
          <w:sz w:val="24"/>
          <w:szCs w:val="24"/>
        </w:rPr>
        <w:lastRenderedPageBreak/>
        <w:t>Figure 3.</w:t>
      </w:r>
      <w:r w:rsidRPr="008B63A3">
        <w:rPr>
          <w:sz w:val="24"/>
          <w:szCs w:val="24"/>
        </w:rPr>
        <w:t xml:space="preserve"> Kaplan-Meier survival curve for the sample, according to low level of physical activity in each sex. SABE Study: City of São Paulo, 2010 - 2014.</w:t>
      </w:r>
    </w:p>
    <w:p w14:paraId="6DA459DF" w14:textId="24058607" w:rsidR="00FD6E36" w:rsidRPr="008B63A3" w:rsidRDefault="008B63A3" w:rsidP="00FD6E36">
      <w:pPr>
        <w:spacing w:line="360" w:lineRule="auto"/>
        <w:jc w:val="both"/>
        <w:rPr>
          <w:b/>
          <w:sz w:val="24"/>
          <w:szCs w:val="24"/>
        </w:rPr>
      </w:pPr>
      <w:r w:rsidRPr="008B63A3">
        <w:rPr>
          <w:noProof/>
        </w:rPr>
        <w:drawing>
          <wp:inline distT="0" distB="0" distL="0" distR="0" wp14:anchorId="584AFA02" wp14:editId="67CD745C">
            <wp:extent cx="3584575" cy="2607310"/>
            <wp:effectExtent l="0" t="0" r="0" b="2540"/>
            <wp:docPr id="3" name="Imagem 8" descr="Chart, lin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8" descr="Chart, line char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4575" cy="2607310"/>
                    </a:xfrm>
                    <a:prstGeom prst="rect">
                      <a:avLst/>
                    </a:prstGeom>
                    <a:noFill/>
                    <a:ln>
                      <a:noFill/>
                    </a:ln>
                  </pic:spPr>
                </pic:pic>
              </a:graphicData>
            </a:graphic>
          </wp:inline>
        </w:drawing>
      </w:r>
      <w:r w:rsidR="001634BD" w:rsidRPr="008B63A3">
        <w:rPr>
          <w:noProof/>
        </w:rPr>
        <w:drawing>
          <wp:inline distT="0" distB="0" distL="0" distR="0" wp14:anchorId="2F719FD2" wp14:editId="45AE8D26">
            <wp:extent cx="3564255" cy="2592070"/>
            <wp:effectExtent l="0" t="0" r="0" b="0"/>
            <wp:docPr id="2" name="Imagem 7" descr="Chart, lin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7" descr="Chart, line ch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64255" cy="2592070"/>
                    </a:xfrm>
                    <a:prstGeom prst="rect">
                      <a:avLst/>
                    </a:prstGeom>
                    <a:noFill/>
                    <a:ln>
                      <a:noFill/>
                    </a:ln>
                  </pic:spPr>
                </pic:pic>
              </a:graphicData>
            </a:graphic>
          </wp:inline>
        </w:drawing>
      </w:r>
    </w:p>
    <w:p w14:paraId="57008531" w14:textId="42874ADC" w:rsidR="007F429A" w:rsidRPr="008B63A3" w:rsidRDefault="00FD6E36" w:rsidP="005D2AA8">
      <w:pPr>
        <w:spacing w:line="360" w:lineRule="auto"/>
        <w:jc w:val="both"/>
        <w:rPr>
          <w:b/>
          <w:sz w:val="24"/>
          <w:szCs w:val="24"/>
        </w:rPr>
      </w:pPr>
      <w:r w:rsidRPr="008B63A3">
        <w:rPr>
          <w:b/>
          <w:sz w:val="24"/>
          <w:szCs w:val="24"/>
        </w:rPr>
        <w:t>Legend:  3A) Curve of survive for men; 3B) Curve of survive for women</w:t>
      </w:r>
    </w:p>
    <w:sectPr w:rsidR="007F429A" w:rsidRPr="008B63A3" w:rsidSect="008B63A3">
      <w:pgSz w:w="16838" w:h="11906" w:orient="landscape" w:code="9"/>
      <w:pgMar w:top="1701" w:right="1701" w:bottom="1134" w:left="1134" w:header="709" w:footer="709" w:gutter="0"/>
      <w:lnNumType w:countBy="1" w:restart="continuous"/>
      <w:pgNumType w:start="5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5DF56" w14:textId="77777777" w:rsidR="00763B1A" w:rsidRDefault="00763B1A">
      <w:r>
        <w:separator/>
      </w:r>
    </w:p>
  </w:endnote>
  <w:endnote w:type="continuationSeparator" w:id="0">
    <w:p w14:paraId="0BE800EE" w14:textId="77777777" w:rsidR="00763B1A" w:rsidRDefault="00763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ZapfHumnst BT">
    <w:altName w:val="ZapfHumnst BT"/>
    <w:charset w:val="00"/>
    <w:family w:val="roman"/>
    <w:notTrueType/>
    <w:pitch w:val="default"/>
    <w:sig w:usb0="00000003" w:usb1="00000000" w:usb2="00000000" w:usb3="00000000" w:csb0="00000001" w:csb1="00000000"/>
  </w:font>
  <w:font w:name="Frutiger-Roman">
    <w:altName w:val="Frutiger-Roman"/>
    <w:charset w:val="00"/>
    <w:family w:val="roman"/>
    <w:notTrueType/>
    <w:pitch w:val="default"/>
    <w:sig w:usb0="00000003" w:usb1="00000000" w:usb2="00000000" w:usb3="00000000" w:csb0="00000001" w:csb1="00000000"/>
  </w:font>
  <w:font w:name="Kepler Std Light">
    <w:altName w:val="Kepler Std Light"/>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3 LT Std">
    <w:altName w:val="Garamond 3 LT Std"/>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oudyStd">
    <w:altName w:val="MS Mincho"/>
    <w:panose1 w:val="00000000000000000000"/>
    <w:charset w:val="80"/>
    <w:family w:val="roman"/>
    <w:notTrueType/>
    <w:pitch w:val="default"/>
    <w:sig w:usb0="00000000" w:usb1="08070000" w:usb2="00000010" w:usb3="00000000" w:csb0="00020000" w:csb1="00000000"/>
  </w:font>
  <w:font w:name="MyriadPro-Light">
    <w:altName w:val="MS Mincho"/>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600C" w14:textId="77777777" w:rsidR="009E1940" w:rsidRDefault="009E19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579748" w14:textId="77777777" w:rsidR="009E1940" w:rsidRDefault="009E1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93F9" w14:textId="77777777" w:rsidR="00763B1A" w:rsidRDefault="00763B1A">
      <w:r>
        <w:separator/>
      </w:r>
    </w:p>
  </w:footnote>
  <w:footnote w:type="continuationSeparator" w:id="0">
    <w:p w14:paraId="481E0143" w14:textId="77777777" w:rsidR="00763B1A" w:rsidRDefault="00763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80BD" w14:textId="77777777" w:rsidR="009E1940" w:rsidRDefault="009E1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6FA4BA22" w14:textId="77777777" w:rsidR="009E1940" w:rsidRDefault="009E194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CA56C" w14:textId="77777777" w:rsidR="00F04CBD" w:rsidRPr="007C4642" w:rsidRDefault="00F04CBD" w:rsidP="00F04CBD">
    <w:pPr>
      <w:pStyle w:val="Header"/>
      <w:jc w:val="center"/>
      <w:rPr>
        <w:lang w:val="en-US"/>
      </w:rPr>
    </w:pPr>
    <w:r>
      <w:rPr>
        <w:sz w:val="24"/>
        <w:lang w:val="en-US"/>
      </w:rPr>
      <w:t>Running Head: Level of Physical Activity and Mortality</w:t>
    </w:r>
  </w:p>
  <w:p w14:paraId="1F32E8C4" w14:textId="77777777" w:rsidR="009E1940" w:rsidRPr="00F04CBD" w:rsidRDefault="009E1940" w:rsidP="00A04665">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EFB"/>
    <w:multiLevelType w:val="hybridMultilevel"/>
    <w:tmpl w:val="C4F0B1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24830C5"/>
    <w:multiLevelType w:val="hybridMultilevel"/>
    <w:tmpl w:val="44469772"/>
    <w:lvl w:ilvl="0" w:tplc="04160001">
      <w:start w:val="1"/>
      <w:numFmt w:val="bullet"/>
      <w:lvlText w:val=""/>
      <w:lvlJc w:val="left"/>
      <w:pPr>
        <w:tabs>
          <w:tab w:val="num" w:pos="781"/>
        </w:tabs>
        <w:ind w:left="781" w:hanging="360"/>
      </w:pPr>
      <w:rPr>
        <w:rFonts w:ascii="Symbol" w:hAnsi="Symbol" w:hint="default"/>
      </w:rPr>
    </w:lvl>
    <w:lvl w:ilvl="1" w:tplc="04160003" w:tentative="1">
      <w:start w:val="1"/>
      <w:numFmt w:val="bullet"/>
      <w:lvlText w:val="o"/>
      <w:lvlJc w:val="left"/>
      <w:pPr>
        <w:tabs>
          <w:tab w:val="num" w:pos="1501"/>
        </w:tabs>
        <w:ind w:left="1501" w:hanging="360"/>
      </w:pPr>
      <w:rPr>
        <w:rFonts w:ascii="Courier New" w:hAnsi="Courier New" w:cs="Courier New" w:hint="default"/>
      </w:rPr>
    </w:lvl>
    <w:lvl w:ilvl="2" w:tplc="04160005" w:tentative="1">
      <w:start w:val="1"/>
      <w:numFmt w:val="bullet"/>
      <w:lvlText w:val=""/>
      <w:lvlJc w:val="left"/>
      <w:pPr>
        <w:tabs>
          <w:tab w:val="num" w:pos="2221"/>
        </w:tabs>
        <w:ind w:left="2221" w:hanging="360"/>
      </w:pPr>
      <w:rPr>
        <w:rFonts w:ascii="Wingdings" w:hAnsi="Wingdings" w:hint="default"/>
      </w:rPr>
    </w:lvl>
    <w:lvl w:ilvl="3" w:tplc="04160001" w:tentative="1">
      <w:start w:val="1"/>
      <w:numFmt w:val="bullet"/>
      <w:lvlText w:val=""/>
      <w:lvlJc w:val="left"/>
      <w:pPr>
        <w:tabs>
          <w:tab w:val="num" w:pos="2941"/>
        </w:tabs>
        <w:ind w:left="2941" w:hanging="360"/>
      </w:pPr>
      <w:rPr>
        <w:rFonts w:ascii="Symbol" w:hAnsi="Symbol" w:hint="default"/>
      </w:rPr>
    </w:lvl>
    <w:lvl w:ilvl="4" w:tplc="04160003" w:tentative="1">
      <w:start w:val="1"/>
      <w:numFmt w:val="bullet"/>
      <w:lvlText w:val="o"/>
      <w:lvlJc w:val="left"/>
      <w:pPr>
        <w:tabs>
          <w:tab w:val="num" w:pos="3661"/>
        </w:tabs>
        <w:ind w:left="3661" w:hanging="360"/>
      </w:pPr>
      <w:rPr>
        <w:rFonts w:ascii="Courier New" w:hAnsi="Courier New" w:cs="Courier New" w:hint="default"/>
      </w:rPr>
    </w:lvl>
    <w:lvl w:ilvl="5" w:tplc="04160005" w:tentative="1">
      <w:start w:val="1"/>
      <w:numFmt w:val="bullet"/>
      <w:lvlText w:val=""/>
      <w:lvlJc w:val="left"/>
      <w:pPr>
        <w:tabs>
          <w:tab w:val="num" w:pos="4381"/>
        </w:tabs>
        <w:ind w:left="4381" w:hanging="360"/>
      </w:pPr>
      <w:rPr>
        <w:rFonts w:ascii="Wingdings" w:hAnsi="Wingdings" w:hint="default"/>
      </w:rPr>
    </w:lvl>
    <w:lvl w:ilvl="6" w:tplc="04160001" w:tentative="1">
      <w:start w:val="1"/>
      <w:numFmt w:val="bullet"/>
      <w:lvlText w:val=""/>
      <w:lvlJc w:val="left"/>
      <w:pPr>
        <w:tabs>
          <w:tab w:val="num" w:pos="5101"/>
        </w:tabs>
        <w:ind w:left="5101" w:hanging="360"/>
      </w:pPr>
      <w:rPr>
        <w:rFonts w:ascii="Symbol" w:hAnsi="Symbol" w:hint="default"/>
      </w:rPr>
    </w:lvl>
    <w:lvl w:ilvl="7" w:tplc="04160003" w:tentative="1">
      <w:start w:val="1"/>
      <w:numFmt w:val="bullet"/>
      <w:lvlText w:val="o"/>
      <w:lvlJc w:val="left"/>
      <w:pPr>
        <w:tabs>
          <w:tab w:val="num" w:pos="5821"/>
        </w:tabs>
        <w:ind w:left="5821" w:hanging="360"/>
      </w:pPr>
      <w:rPr>
        <w:rFonts w:ascii="Courier New" w:hAnsi="Courier New" w:cs="Courier New" w:hint="default"/>
      </w:rPr>
    </w:lvl>
    <w:lvl w:ilvl="8" w:tplc="04160005" w:tentative="1">
      <w:start w:val="1"/>
      <w:numFmt w:val="bullet"/>
      <w:lvlText w:val=""/>
      <w:lvlJc w:val="left"/>
      <w:pPr>
        <w:tabs>
          <w:tab w:val="num" w:pos="6541"/>
        </w:tabs>
        <w:ind w:left="6541" w:hanging="360"/>
      </w:pPr>
      <w:rPr>
        <w:rFonts w:ascii="Wingdings" w:hAnsi="Wingdings" w:hint="default"/>
      </w:rPr>
    </w:lvl>
  </w:abstractNum>
  <w:abstractNum w:abstractNumId="2" w15:restartNumberingAfterBreak="0">
    <w:nsid w:val="026F7D36"/>
    <w:multiLevelType w:val="hybridMultilevel"/>
    <w:tmpl w:val="F5A66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74CCF"/>
    <w:multiLevelType w:val="hybridMultilevel"/>
    <w:tmpl w:val="86E21E1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 w15:restartNumberingAfterBreak="0">
    <w:nsid w:val="0820669F"/>
    <w:multiLevelType w:val="hybridMultilevel"/>
    <w:tmpl w:val="94E81464"/>
    <w:lvl w:ilvl="0" w:tplc="1EB8DAC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09C50D0C"/>
    <w:multiLevelType w:val="hybridMultilevel"/>
    <w:tmpl w:val="4D3447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24F24BC"/>
    <w:multiLevelType w:val="hybridMultilevel"/>
    <w:tmpl w:val="BEE26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D1FBA"/>
    <w:multiLevelType w:val="hybridMultilevel"/>
    <w:tmpl w:val="BBC4E912"/>
    <w:lvl w:ilvl="0" w:tplc="0416000D">
      <w:start w:val="1"/>
      <w:numFmt w:val="bullet"/>
      <w:lvlText w:val=""/>
      <w:lvlJc w:val="left"/>
      <w:pPr>
        <w:ind w:left="3556" w:hanging="360"/>
      </w:pPr>
      <w:rPr>
        <w:rFonts w:ascii="Wingdings" w:hAnsi="Wingdings" w:hint="default"/>
      </w:rPr>
    </w:lvl>
    <w:lvl w:ilvl="1" w:tplc="04160003" w:tentative="1">
      <w:start w:val="1"/>
      <w:numFmt w:val="bullet"/>
      <w:lvlText w:val="o"/>
      <w:lvlJc w:val="left"/>
      <w:pPr>
        <w:ind w:left="4276" w:hanging="360"/>
      </w:pPr>
      <w:rPr>
        <w:rFonts w:ascii="Courier New" w:hAnsi="Courier New" w:cs="Courier New" w:hint="default"/>
      </w:rPr>
    </w:lvl>
    <w:lvl w:ilvl="2" w:tplc="04160005" w:tentative="1">
      <w:start w:val="1"/>
      <w:numFmt w:val="bullet"/>
      <w:lvlText w:val=""/>
      <w:lvlJc w:val="left"/>
      <w:pPr>
        <w:ind w:left="4996" w:hanging="360"/>
      </w:pPr>
      <w:rPr>
        <w:rFonts w:ascii="Wingdings" w:hAnsi="Wingdings" w:hint="default"/>
      </w:rPr>
    </w:lvl>
    <w:lvl w:ilvl="3" w:tplc="04160001" w:tentative="1">
      <w:start w:val="1"/>
      <w:numFmt w:val="bullet"/>
      <w:lvlText w:val=""/>
      <w:lvlJc w:val="left"/>
      <w:pPr>
        <w:ind w:left="5716" w:hanging="360"/>
      </w:pPr>
      <w:rPr>
        <w:rFonts w:ascii="Symbol" w:hAnsi="Symbol" w:hint="default"/>
      </w:rPr>
    </w:lvl>
    <w:lvl w:ilvl="4" w:tplc="04160003" w:tentative="1">
      <w:start w:val="1"/>
      <w:numFmt w:val="bullet"/>
      <w:lvlText w:val="o"/>
      <w:lvlJc w:val="left"/>
      <w:pPr>
        <w:ind w:left="6436" w:hanging="360"/>
      </w:pPr>
      <w:rPr>
        <w:rFonts w:ascii="Courier New" w:hAnsi="Courier New" w:cs="Courier New" w:hint="default"/>
      </w:rPr>
    </w:lvl>
    <w:lvl w:ilvl="5" w:tplc="04160005" w:tentative="1">
      <w:start w:val="1"/>
      <w:numFmt w:val="bullet"/>
      <w:lvlText w:val=""/>
      <w:lvlJc w:val="left"/>
      <w:pPr>
        <w:ind w:left="7156" w:hanging="360"/>
      </w:pPr>
      <w:rPr>
        <w:rFonts w:ascii="Wingdings" w:hAnsi="Wingdings" w:hint="default"/>
      </w:rPr>
    </w:lvl>
    <w:lvl w:ilvl="6" w:tplc="04160001" w:tentative="1">
      <w:start w:val="1"/>
      <w:numFmt w:val="bullet"/>
      <w:lvlText w:val=""/>
      <w:lvlJc w:val="left"/>
      <w:pPr>
        <w:ind w:left="7876" w:hanging="360"/>
      </w:pPr>
      <w:rPr>
        <w:rFonts w:ascii="Symbol" w:hAnsi="Symbol" w:hint="default"/>
      </w:rPr>
    </w:lvl>
    <w:lvl w:ilvl="7" w:tplc="04160003" w:tentative="1">
      <w:start w:val="1"/>
      <w:numFmt w:val="bullet"/>
      <w:lvlText w:val="o"/>
      <w:lvlJc w:val="left"/>
      <w:pPr>
        <w:ind w:left="8596" w:hanging="360"/>
      </w:pPr>
      <w:rPr>
        <w:rFonts w:ascii="Courier New" w:hAnsi="Courier New" w:cs="Courier New" w:hint="default"/>
      </w:rPr>
    </w:lvl>
    <w:lvl w:ilvl="8" w:tplc="04160005" w:tentative="1">
      <w:start w:val="1"/>
      <w:numFmt w:val="bullet"/>
      <w:lvlText w:val=""/>
      <w:lvlJc w:val="left"/>
      <w:pPr>
        <w:ind w:left="9316" w:hanging="360"/>
      </w:pPr>
      <w:rPr>
        <w:rFonts w:ascii="Wingdings" w:hAnsi="Wingdings" w:hint="default"/>
      </w:rPr>
    </w:lvl>
  </w:abstractNum>
  <w:abstractNum w:abstractNumId="8" w15:restartNumberingAfterBreak="0">
    <w:nsid w:val="21807147"/>
    <w:multiLevelType w:val="hybridMultilevel"/>
    <w:tmpl w:val="242653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55E4A7C"/>
    <w:multiLevelType w:val="hybridMultilevel"/>
    <w:tmpl w:val="C62E78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DE5682A"/>
    <w:multiLevelType w:val="hybridMultilevel"/>
    <w:tmpl w:val="8006F6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4501F3"/>
    <w:multiLevelType w:val="hybridMultilevel"/>
    <w:tmpl w:val="0BE0D9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F67D42"/>
    <w:multiLevelType w:val="hybridMultilevel"/>
    <w:tmpl w:val="06BCC8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9F243B3"/>
    <w:multiLevelType w:val="hybridMultilevel"/>
    <w:tmpl w:val="EC8A08B6"/>
    <w:lvl w:ilvl="0" w:tplc="8EAE42D4">
      <w:start w:val="1"/>
      <w:numFmt w:val="bullet"/>
      <w:lvlText w:val=""/>
      <w:lvlJc w:val="left"/>
      <w:pPr>
        <w:tabs>
          <w:tab w:val="num" w:pos="720"/>
        </w:tabs>
        <w:ind w:left="720" w:hanging="360"/>
      </w:pPr>
      <w:rPr>
        <w:rFonts w:ascii="Symbol" w:hAnsi="Symbol" w:hint="default"/>
      </w:rPr>
    </w:lvl>
    <w:lvl w:ilvl="1" w:tplc="48B4AE1C" w:tentative="1">
      <w:start w:val="1"/>
      <w:numFmt w:val="bullet"/>
      <w:lvlText w:val=""/>
      <w:lvlJc w:val="left"/>
      <w:pPr>
        <w:tabs>
          <w:tab w:val="num" w:pos="1440"/>
        </w:tabs>
        <w:ind w:left="1440" w:hanging="360"/>
      </w:pPr>
      <w:rPr>
        <w:rFonts w:ascii="Symbol" w:hAnsi="Symbol" w:hint="default"/>
      </w:rPr>
    </w:lvl>
    <w:lvl w:ilvl="2" w:tplc="109CA494" w:tentative="1">
      <w:start w:val="1"/>
      <w:numFmt w:val="bullet"/>
      <w:lvlText w:val=""/>
      <w:lvlJc w:val="left"/>
      <w:pPr>
        <w:tabs>
          <w:tab w:val="num" w:pos="2160"/>
        </w:tabs>
        <w:ind w:left="2160" w:hanging="360"/>
      </w:pPr>
      <w:rPr>
        <w:rFonts w:ascii="Symbol" w:hAnsi="Symbol" w:hint="default"/>
      </w:rPr>
    </w:lvl>
    <w:lvl w:ilvl="3" w:tplc="5A248134" w:tentative="1">
      <w:start w:val="1"/>
      <w:numFmt w:val="bullet"/>
      <w:lvlText w:val=""/>
      <w:lvlJc w:val="left"/>
      <w:pPr>
        <w:tabs>
          <w:tab w:val="num" w:pos="2880"/>
        </w:tabs>
        <w:ind w:left="2880" w:hanging="360"/>
      </w:pPr>
      <w:rPr>
        <w:rFonts w:ascii="Symbol" w:hAnsi="Symbol" w:hint="default"/>
      </w:rPr>
    </w:lvl>
    <w:lvl w:ilvl="4" w:tplc="22D6F156" w:tentative="1">
      <w:start w:val="1"/>
      <w:numFmt w:val="bullet"/>
      <w:lvlText w:val=""/>
      <w:lvlJc w:val="left"/>
      <w:pPr>
        <w:tabs>
          <w:tab w:val="num" w:pos="3600"/>
        </w:tabs>
        <w:ind w:left="3600" w:hanging="360"/>
      </w:pPr>
      <w:rPr>
        <w:rFonts w:ascii="Symbol" w:hAnsi="Symbol" w:hint="default"/>
      </w:rPr>
    </w:lvl>
    <w:lvl w:ilvl="5" w:tplc="3490D78C" w:tentative="1">
      <w:start w:val="1"/>
      <w:numFmt w:val="bullet"/>
      <w:lvlText w:val=""/>
      <w:lvlJc w:val="left"/>
      <w:pPr>
        <w:tabs>
          <w:tab w:val="num" w:pos="4320"/>
        </w:tabs>
        <w:ind w:left="4320" w:hanging="360"/>
      </w:pPr>
      <w:rPr>
        <w:rFonts w:ascii="Symbol" w:hAnsi="Symbol" w:hint="default"/>
      </w:rPr>
    </w:lvl>
    <w:lvl w:ilvl="6" w:tplc="92765B40" w:tentative="1">
      <w:start w:val="1"/>
      <w:numFmt w:val="bullet"/>
      <w:lvlText w:val=""/>
      <w:lvlJc w:val="left"/>
      <w:pPr>
        <w:tabs>
          <w:tab w:val="num" w:pos="5040"/>
        </w:tabs>
        <w:ind w:left="5040" w:hanging="360"/>
      </w:pPr>
      <w:rPr>
        <w:rFonts w:ascii="Symbol" w:hAnsi="Symbol" w:hint="default"/>
      </w:rPr>
    </w:lvl>
    <w:lvl w:ilvl="7" w:tplc="3620DCF6" w:tentative="1">
      <w:start w:val="1"/>
      <w:numFmt w:val="bullet"/>
      <w:lvlText w:val=""/>
      <w:lvlJc w:val="left"/>
      <w:pPr>
        <w:tabs>
          <w:tab w:val="num" w:pos="5760"/>
        </w:tabs>
        <w:ind w:left="5760" w:hanging="360"/>
      </w:pPr>
      <w:rPr>
        <w:rFonts w:ascii="Symbol" w:hAnsi="Symbol" w:hint="default"/>
      </w:rPr>
    </w:lvl>
    <w:lvl w:ilvl="8" w:tplc="48346C2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F375F92"/>
    <w:multiLevelType w:val="hybridMultilevel"/>
    <w:tmpl w:val="810637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FBF3B7E"/>
    <w:multiLevelType w:val="hybridMultilevel"/>
    <w:tmpl w:val="4D4EFEC4"/>
    <w:lvl w:ilvl="0" w:tplc="4014A5F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15:restartNumberingAfterBreak="0">
    <w:nsid w:val="4B571318"/>
    <w:multiLevelType w:val="multilevel"/>
    <w:tmpl w:val="7372678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BDC026C"/>
    <w:multiLevelType w:val="multilevel"/>
    <w:tmpl w:val="3B0A516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2276C45"/>
    <w:multiLevelType w:val="hybridMultilevel"/>
    <w:tmpl w:val="774C02F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5E73457"/>
    <w:multiLevelType w:val="hybridMultilevel"/>
    <w:tmpl w:val="0906A484"/>
    <w:lvl w:ilvl="0" w:tplc="EB9E995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0" w15:restartNumberingAfterBreak="0">
    <w:nsid w:val="5BA463DF"/>
    <w:multiLevelType w:val="hybridMultilevel"/>
    <w:tmpl w:val="B07AD41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61C5028F"/>
    <w:multiLevelType w:val="hybridMultilevel"/>
    <w:tmpl w:val="930C9614"/>
    <w:lvl w:ilvl="0" w:tplc="F26A9276">
      <w:start w:val="1"/>
      <w:numFmt w:val="bullet"/>
      <w:lvlText w:val=""/>
      <w:lvlJc w:val="left"/>
      <w:pPr>
        <w:tabs>
          <w:tab w:val="num" w:pos="720"/>
        </w:tabs>
        <w:ind w:left="720" w:hanging="360"/>
      </w:pPr>
      <w:rPr>
        <w:rFonts w:ascii="Symbol" w:hAnsi="Symbol" w:hint="default"/>
      </w:rPr>
    </w:lvl>
    <w:lvl w:ilvl="1" w:tplc="1C96FFEA" w:tentative="1">
      <w:start w:val="1"/>
      <w:numFmt w:val="bullet"/>
      <w:lvlText w:val=""/>
      <w:lvlJc w:val="left"/>
      <w:pPr>
        <w:tabs>
          <w:tab w:val="num" w:pos="1440"/>
        </w:tabs>
        <w:ind w:left="1440" w:hanging="360"/>
      </w:pPr>
      <w:rPr>
        <w:rFonts w:ascii="Symbol" w:hAnsi="Symbol" w:hint="default"/>
      </w:rPr>
    </w:lvl>
    <w:lvl w:ilvl="2" w:tplc="4898430C" w:tentative="1">
      <w:start w:val="1"/>
      <w:numFmt w:val="bullet"/>
      <w:lvlText w:val=""/>
      <w:lvlJc w:val="left"/>
      <w:pPr>
        <w:tabs>
          <w:tab w:val="num" w:pos="2160"/>
        </w:tabs>
        <w:ind w:left="2160" w:hanging="360"/>
      </w:pPr>
      <w:rPr>
        <w:rFonts w:ascii="Symbol" w:hAnsi="Symbol" w:hint="default"/>
      </w:rPr>
    </w:lvl>
    <w:lvl w:ilvl="3" w:tplc="A6B62744" w:tentative="1">
      <w:start w:val="1"/>
      <w:numFmt w:val="bullet"/>
      <w:lvlText w:val=""/>
      <w:lvlJc w:val="left"/>
      <w:pPr>
        <w:tabs>
          <w:tab w:val="num" w:pos="2880"/>
        </w:tabs>
        <w:ind w:left="2880" w:hanging="360"/>
      </w:pPr>
      <w:rPr>
        <w:rFonts w:ascii="Symbol" w:hAnsi="Symbol" w:hint="default"/>
      </w:rPr>
    </w:lvl>
    <w:lvl w:ilvl="4" w:tplc="A53690F4" w:tentative="1">
      <w:start w:val="1"/>
      <w:numFmt w:val="bullet"/>
      <w:lvlText w:val=""/>
      <w:lvlJc w:val="left"/>
      <w:pPr>
        <w:tabs>
          <w:tab w:val="num" w:pos="3600"/>
        </w:tabs>
        <w:ind w:left="3600" w:hanging="360"/>
      </w:pPr>
      <w:rPr>
        <w:rFonts w:ascii="Symbol" w:hAnsi="Symbol" w:hint="default"/>
      </w:rPr>
    </w:lvl>
    <w:lvl w:ilvl="5" w:tplc="8B00221A" w:tentative="1">
      <w:start w:val="1"/>
      <w:numFmt w:val="bullet"/>
      <w:lvlText w:val=""/>
      <w:lvlJc w:val="left"/>
      <w:pPr>
        <w:tabs>
          <w:tab w:val="num" w:pos="4320"/>
        </w:tabs>
        <w:ind w:left="4320" w:hanging="360"/>
      </w:pPr>
      <w:rPr>
        <w:rFonts w:ascii="Symbol" w:hAnsi="Symbol" w:hint="default"/>
      </w:rPr>
    </w:lvl>
    <w:lvl w:ilvl="6" w:tplc="9BDEFCB2" w:tentative="1">
      <w:start w:val="1"/>
      <w:numFmt w:val="bullet"/>
      <w:lvlText w:val=""/>
      <w:lvlJc w:val="left"/>
      <w:pPr>
        <w:tabs>
          <w:tab w:val="num" w:pos="5040"/>
        </w:tabs>
        <w:ind w:left="5040" w:hanging="360"/>
      </w:pPr>
      <w:rPr>
        <w:rFonts w:ascii="Symbol" w:hAnsi="Symbol" w:hint="default"/>
      </w:rPr>
    </w:lvl>
    <w:lvl w:ilvl="7" w:tplc="C1FA2BC6" w:tentative="1">
      <w:start w:val="1"/>
      <w:numFmt w:val="bullet"/>
      <w:lvlText w:val=""/>
      <w:lvlJc w:val="left"/>
      <w:pPr>
        <w:tabs>
          <w:tab w:val="num" w:pos="5760"/>
        </w:tabs>
        <w:ind w:left="5760" w:hanging="360"/>
      </w:pPr>
      <w:rPr>
        <w:rFonts w:ascii="Symbol" w:hAnsi="Symbol" w:hint="default"/>
      </w:rPr>
    </w:lvl>
    <w:lvl w:ilvl="8" w:tplc="912EFA4C"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62EB1AC5"/>
    <w:multiLevelType w:val="hybridMultilevel"/>
    <w:tmpl w:val="4FCCB284"/>
    <w:lvl w:ilvl="0" w:tplc="E33647FE">
      <w:start w:val="1"/>
      <w:numFmt w:val="bullet"/>
      <w:lvlText w:val=""/>
      <w:lvlJc w:val="left"/>
      <w:pPr>
        <w:tabs>
          <w:tab w:val="num" w:pos="720"/>
        </w:tabs>
        <w:ind w:left="720" w:hanging="360"/>
      </w:pPr>
      <w:rPr>
        <w:rFonts w:ascii="Symbol" w:hAnsi="Symbol" w:hint="default"/>
      </w:rPr>
    </w:lvl>
    <w:lvl w:ilvl="1" w:tplc="4E9C2CEE" w:tentative="1">
      <w:start w:val="1"/>
      <w:numFmt w:val="bullet"/>
      <w:lvlText w:val=""/>
      <w:lvlJc w:val="left"/>
      <w:pPr>
        <w:tabs>
          <w:tab w:val="num" w:pos="1440"/>
        </w:tabs>
        <w:ind w:left="1440" w:hanging="360"/>
      </w:pPr>
      <w:rPr>
        <w:rFonts w:ascii="Symbol" w:hAnsi="Symbol" w:hint="default"/>
      </w:rPr>
    </w:lvl>
    <w:lvl w:ilvl="2" w:tplc="1B563164" w:tentative="1">
      <w:start w:val="1"/>
      <w:numFmt w:val="bullet"/>
      <w:lvlText w:val=""/>
      <w:lvlJc w:val="left"/>
      <w:pPr>
        <w:tabs>
          <w:tab w:val="num" w:pos="2160"/>
        </w:tabs>
        <w:ind w:left="2160" w:hanging="360"/>
      </w:pPr>
      <w:rPr>
        <w:rFonts w:ascii="Symbol" w:hAnsi="Symbol" w:hint="default"/>
      </w:rPr>
    </w:lvl>
    <w:lvl w:ilvl="3" w:tplc="1A127422" w:tentative="1">
      <w:start w:val="1"/>
      <w:numFmt w:val="bullet"/>
      <w:lvlText w:val=""/>
      <w:lvlJc w:val="left"/>
      <w:pPr>
        <w:tabs>
          <w:tab w:val="num" w:pos="2880"/>
        </w:tabs>
        <w:ind w:left="2880" w:hanging="360"/>
      </w:pPr>
      <w:rPr>
        <w:rFonts w:ascii="Symbol" w:hAnsi="Symbol" w:hint="default"/>
      </w:rPr>
    </w:lvl>
    <w:lvl w:ilvl="4" w:tplc="B7222AE4" w:tentative="1">
      <w:start w:val="1"/>
      <w:numFmt w:val="bullet"/>
      <w:lvlText w:val=""/>
      <w:lvlJc w:val="left"/>
      <w:pPr>
        <w:tabs>
          <w:tab w:val="num" w:pos="3600"/>
        </w:tabs>
        <w:ind w:left="3600" w:hanging="360"/>
      </w:pPr>
      <w:rPr>
        <w:rFonts w:ascii="Symbol" w:hAnsi="Symbol" w:hint="default"/>
      </w:rPr>
    </w:lvl>
    <w:lvl w:ilvl="5" w:tplc="C526CDA2" w:tentative="1">
      <w:start w:val="1"/>
      <w:numFmt w:val="bullet"/>
      <w:lvlText w:val=""/>
      <w:lvlJc w:val="left"/>
      <w:pPr>
        <w:tabs>
          <w:tab w:val="num" w:pos="4320"/>
        </w:tabs>
        <w:ind w:left="4320" w:hanging="360"/>
      </w:pPr>
      <w:rPr>
        <w:rFonts w:ascii="Symbol" w:hAnsi="Symbol" w:hint="default"/>
      </w:rPr>
    </w:lvl>
    <w:lvl w:ilvl="6" w:tplc="36F6CCCA" w:tentative="1">
      <w:start w:val="1"/>
      <w:numFmt w:val="bullet"/>
      <w:lvlText w:val=""/>
      <w:lvlJc w:val="left"/>
      <w:pPr>
        <w:tabs>
          <w:tab w:val="num" w:pos="5040"/>
        </w:tabs>
        <w:ind w:left="5040" w:hanging="360"/>
      </w:pPr>
      <w:rPr>
        <w:rFonts w:ascii="Symbol" w:hAnsi="Symbol" w:hint="default"/>
      </w:rPr>
    </w:lvl>
    <w:lvl w:ilvl="7" w:tplc="1D103284" w:tentative="1">
      <w:start w:val="1"/>
      <w:numFmt w:val="bullet"/>
      <w:lvlText w:val=""/>
      <w:lvlJc w:val="left"/>
      <w:pPr>
        <w:tabs>
          <w:tab w:val="num" w:pos="5760"/>
        </w:tabs>
        <w:ind w:left="5760" w:hanging="360"/>
      </w:pPr>
      <w:rPr>
        <w:rFonts w:ascii="Symbol" w:hAnsi="Symbol" w:hint="default"/>
      </w:rPr>
    </w:lvl>
    <w:lvl w:ilvl="8" w:tplc="60BEB5D8"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6DEB2F03"/>
    <w:multiLevelType w:val="hybridMultilevel"/>
    <w:tmpl w:val="3D2E58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F597161"/>
    <w:multiLevelType w:val="hybridMultilevel"/>
    <w:tmpl w:val="87E6E44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1495D84"/>
    <w:multiLevelType w:val="hybridMultilevel"/>
    <w:tmpl w:val="36748E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3F84E19"/>
    <w:multiLevelType w:val="hybridMultilevel"/>
    <w:tmpl w:val="C472E1B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7" w15:restartNumberingAfterBreak="0">
    <w:nsid w:val="75476A45"/>
    <w:multiLevelType w:val="hybridMultilevel"/>
    <w:tmpl w:val="3B3033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D557FE9"/>
    <w:multiLevelType w:val="hybridMultilevel"/>
    <w:tmpl w:val="B7C48A18"/>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20"/>
  </w:num>
  <w:num w:numId="2">
    <w:abstractNumId w:val="23"/>
  </w:num>
  <w:num w:numId="3">
    <w:abstractNumId w:val="7"/>
  </w:num>
  <w:num w:numId="4">
    <w:abstractNumId w:val="5"/>
  </w:num>
  <w:num w:numId="5">
    <w:abstractNumId w:val="8"/>
  </w:num>
  <w:num w:numId="6">
    <w:abstractNumId w:val="1"/>
  </w:num>
  <w:num w:numId="7">
    <w:abstractNumId w:val="13"/>
  </w:num>
  <w:num w:numId="8">
    <w:abstractNumId w:val="21"/>
  </w:num>
  <w:num w:numId="9">
    <w:abstractNumId w:val="22"/>
  </w:num>
  <w:num w:numId="10">
    <w:abstractNumId w:val="12"/>
  </w:num>
  <w:num w:numId="11">
    <w:abstractNumId w:val="24"/>
  </w:num>
  <w:num w:numId="12">
    <w:abstractNumId w:val="17"/>
  </w:num>
  <w:num w:numId="13">
    <w:abstractNumId w:val="28"/>
  </w:num>
  <w:num w:numId="14">
    <w:abstractNumId w:val="26"/>
  </w:num>
  <w:num w:numId="15">
    <w:abstractNumId w:val="4"/>
  </w:num>
  <w:num w:numId="16">
    <w:abstractNumId w:val="15"/>
  </w:num>
  <w:num w:numId="17">
    <w:abstractNumId w:val="19"/>
  </w:num>
  <w:num w:numId="18">
    <w:abstractNumId w:val="25"/>
  </w:num>
  <w:num w:numId="19">
    <w:abstractNumId w:val="27"/>
  </w:num>
  <w:num w:numId="20">
    <w:abstractNumId w:val="18"/>
  </w:num>
  <w:num w:numId="21">
    <w:abstractNumId w:val="9"/>
  </w:num>
  <w:num w:numId="22">
    <w:abstractNumId w:val="16"/>
  </w:num>
  <w:num w:numId="23">
    <w:abstractNumId w:val="11"/>
  </w:num>
  <w:num w:numId="24">
    <w:abstractNumId w:val="6"/>
  </w:num>
  <w:num w:numId="25">
    <w:abstractNumId w:val="0"/>
  </w:num>
  <w:num w:numId="26">
    <w:abstractNumId w:val="14"/>
  </w:num>
  <w:num w:numId="27">
    <w:abstractNumId w:val="2"/>
  </w:num>
  <w:num w:numId="28">
    <w:abstractNumId w:val="3"/>
  </w:num>
  <w:num w:numId="2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2C"/>
    <w:rsid w:val="000002F7"/>
    <w:rsid w:val="000008ED"/>
    <w:rsid w:val="00000CD5"/>
    <w:rsid w:val="00001A31"/>
    <w:rsid w:val="00001E82"/>
    <w:rsid w:val="0000272B"/>
    <w:rsid w:val="0000419A"/>
    <w:rsid w:val="00004EA2"/>
    <w:rsid w:val="000056F1"/>
    <w:rsid w:val="00005ABB"/>
    <w:rsid w:val="000102AB"/>
    <w:rsid w:val="000106EA"/>
    <w:rsid w:val="00010CC6"/>
    <w:rsid w:val="00012BE4"/>
    <w:rsid w:val="00012CBA"/>
    <w:rsid w:val="00013429"/>
    <w:rsid w:val="00013D75"/>
    <w:rsid w:val="000143E0"/>
    <w:rsid w:val="000148E4"/>
    <w:rsid w:val="00014E24"/>
    <w:rsid w:val="00015A07"/>
    <w:rsid w:val="0001695B"/>
    <w:rsid w:val="00017078"/>
    <w:rsid w:val="00017D68"/>
    <w:rsid w:val="000204B7"/>
    <w:rsid w:val="000205A0"/>
    <w:rsid w:val="00021A73"/>
    <w:rsid w:val="00023200"/>
    <w:rsid w:val="000232CF"/>
    <w:rsid w:val="000239F7"/>
    <w:rsid w:val="000241EA"/>
    <w:rsid w:val="00026477"/>
    <w:rsid w:val="00030973"/>
    <w:rsid w:val="00030D10"/>
    <w:rsid w:val="000313F1"/>
    <w:rsid w:val="00031A3E"/>
    <w:rsid w:val="000330BE"/>
    <w:rsid w:val="00033C3C"/>
    <w:rsid w:val="00033D0F"/>
    <w:rsid w:val="0003406C"/>
    <w:rsid w:val="000346FB"/>
    <w:rsid w:val="00034938"/>
    <w:rsid w:val="0003544A"/>
    <w:rsid w:val="00035DE8"/>
    <w:rsid w:val="000360E7"/>
    <w:rsid w:val="0003623A"/>
    <w:rsid w:val="0003645E"/>
    <w:rsid w:val="000372D6"/>
    <w:rsid w:val="00037610"/>
    <w:rsid w:val="00037FBD"/>
    <w:rsid w:val="000413E2"/>
    <w:rsid w:val="0004236B"/>
    <w:rsid w:val="0004420B"/>
    <w:rsid w:val="00044764"/>
    <w:rsid w:val="00044B63"/>
    <w:rsid w:val="00044BBB"/>
    <w:rsid w:val="000455BB"/>
    <w:rsid w:val="00045695"/>
    <w:rsid w:val="00045FDF"/>
    <w:rsid w:val="00045FFD"/>
    <w:rsid w:val="00046238"/>
    <w:rsid w:val="00046610"/>
    <w:rsid w:val="000469AA"/>
    <w:rsid w:val="00046A54"/>
    <w:rsid w:val="00046DAB"/>
    <w:rsid w:val="00051482"/>
    <w:rsid w:val="00052134"/>
    <w:rsid w:val="000527AE"/>
    <w:rsid w:val="00052BA0"/>
    <w:rsid w:val="000531F9"/>
    <w:rsid w:val="00053220"/>
    <w:rsid w:val="000532A9"/>
    <w:rsid w:val="000538D3"/>
    <w:rsid w:val="00054B92"/>
    <w:rsid w:val="00054FE5"/>
    <w:rsid w:val="00056E34"/>
    <w:rsid w:val="00056E89"/>
    <w:rsid w:val="000576A6"/>
    <w:rsid w:val="0006034E"/>
    <w:rsid w:val="00060FE7"/>
    <w:rsid w:val="000617A1"/>
    <w:rsid w:val="00062C79"/>
    <w:rsid w:val="00062C8B"/>
    <w:rsid w:val="00062F76"/>
    <w:rsid w:val="00063810"/>
    <w:rsid w:val="00063B8C"/>
    <w:rsid w:val="00063DA1"/>
    <w:rsid w:val="00064A03"/>
    <w:rsid w:val="00065718"/>
    <w:rsid w:val="000659AC"/>
    <w:rsid w:val="000669B5"/>
    <w:rsid w:val="00066CB1"/>
    <w:rsid w:val="00067599"/>
    <w:rsid w:val="00067624"/>
    <w:rsid w:val="00067D2E"/>
    <w:rsid w:val="0007065E"/>
    <w:rsid w:val="0007077E"/>
    <w:rsid w:val="00070E39"/>
    <w:rsid w:val="00071D11"/>
    <w:rsid w:val="00071F90"/>
    <w:rsid w:val="00072C39"/>
    <w:rsid w:val="00072ED5"/>
    <w:rsid w:val="00072F8F"/>
    <w:rsid w:val="000735DB"/>
    <w:rsid w:val="00073E9D"/>
    <w:rsid w:val="0007467D"/>
    <w:rsid w:val="0007468D"/>
    <w:rsid w:val="00076383"/>
    <w:rsid w:val="00080029"/>
    <w:rsid w:val="000802D8"/>
    <w:rsid w:val="00080D50"/>
    <w:rsid w:val="000810E2"/>
    <w:rsid w:val="00081332"/>
    <w:rsid w:val="00081A4D"/>
    <w:rsid w:val="00082181"/>
    <w:rsid w:val="000821FE"/>
    <w:rsid w:val="00082CB9"/>
    <w:rsid w:val="000838E9"/>
    <w:rsid w:val="000839D4"/>
    <w:rsid w:val="00083EED"/>
    <w:rsid w:val="00084EB6"/>
    <w:rsid w:val="00085031"/>
    <w:rsid w:val="00085CA2"/>
    <w:rsid w:val="00086167"/>
    <w:rsid w:val="0008625A"/>
    <w:rsid w:val="00087A82"/>
    <w:rsid w:val="000904A8"/>
    <w:rsid w:val="00092272"/>
    <w:rsid w:val="00092B89"/>
    <w:rsid w:val="00093A2C"/>
    <w:rsid w:val="00093CCF"/>
    <w:rsid w:val="000941D4"/>
    <w:rsid w:val="000941F7"/>
    <w:rsid w:val="000947DF"/>
    <w:rsid w:val="00094AB7"/>
    <w:rsid w:val="00095240"/>
    <w:rsid w:val="0009642A"/>
    <w:rsid w:val="000A0AA3"/>
    <w:rsid w:val="000A1431"/>
    <w:rsid w:val="000A1D00"/>
    <w:rsid w:val="000A20CA"/>
    <w:rsid w:val="000A2B2E"/>
    <w:rsid w:val="000A2FB0"/>
    <w:rsid w:val="000A3402"/>
    <w:rsid w:val="000A3A0D"/>
    <w:rsid w:val="000A5473"/>
    <w:rsid w:val="000A65F5"/>
    <w:rsid w:val="000A79F9"/>
    <w:rsid w:val="000A7EF5"/>
    <w:rsid w:val="000B1AF1"/>
    <w:rsid w:val="000B1DB0"/>
    <w:rsid w:val="000B2589"/>
    <w:rsid w:val="000B2747"/>
    <w:rsid w:val="000B398F"/>
    <w:rsid w:val="000B48AC"/>
    <w:rsid w:val="000B4F09"/>
    <w:rsid w:val="000B52C2"/>
    <w:rsid w:val="000B5947"/>
    <w:rsid w:val="000B7583"/>
    <w:rsid w:val="000C0173"/>
    <w:rsid w:val="000C01D1"/>
    <w:rsid w:val="000C0FFE"/>
    <w:rsid w:val="000C14D7"/>
    <w:rsid w:val="000C2A2C"/>
    <w:rsid w:val="000C3219"/>
    <w:rsid w:val="000C3CFF"/>
    <w:rsid w:val="000C443B"/>
    <w:rsid w:val="000C4A31"/>
    <w:rsid w:val="000C67AB"/>
    <w:rsid w:val="000C76DD"/>
    <w:rsid w:val="000C7882"/>
    <w:rsid w:val="000C79F7"/>
    <w:rsid w:val="000D09A2"/>
    <w:rsid w:val="000D1C27"/>
    <w:rsid w:val="000D1DD4"/>
    <w:rsid w:val="000D21DE"/>
    <w:rsid w:val="000D2281"/>
    <w:rsid w:val="000D232D"/>
    <w:rsid w:val="000D38E4"/>
    <w:rsid w:val="000D45FD"/>
    <w:rsid w:val="000D472A"/>
    <w:rsid w:val="000D4B95"/>
    <w:rsid w:val="000D4C8D"/>
    <w:rsid w:val="000D569C"/>
    <w:rsid w:val="000D57E0"/>
    <w:rsid w:val="000D5903"/>
    <w:rsid w:val="000E02EF"/>
    <w:rsid w:val="000E0ED4"/>
    <w:rsid w:val="000E2462"/>
    <w:rsid w:val="000E2C66"/>
    <w:rsid w:val="000E355E"/>
    <w:rsid w:val="000E3B19"/>
    <w:rsid w:val="000E41D3"/>
    <w:rsid w:val="000E461D"/>
    <w:rsid w:val="000E5173"/>
    <w:rsid w:val="000E56EC"/>
    <w:rsid w:val="000E58B6"/>
    <w:rsid w:val="000E67F6"/>
    <w:rsid w:val="000E6A47"/>
    <w:rsid w:val="000E7373"/>
    <w:rsid w:val="000E75BA"/>
    <w:rsid w:val="000E7A0E"/>
    <w:rsid w:val="000F0C4A"/>
    <w:rsid w:val="000F0F6C"/>
    <w:rsid w:val="000F0FD3"/>
    <w:rsid w:val="000F2D9B"/>
    <w:rsid w:val="000F36F6"/>
    <w:rsid w:val="000F3820"/>
    <w:rsid w:val="000F50EF"/>
    <w:rsid w:val="000F5C7E"/>
    <w:rsid w:val="000F5D06"/>
    <w:rsid w:val="000F5EEA"/>
    <w:rsid w:val="000F604E"/>
    <w:rsid w:val="0010045B"/>
    <w:rsid w:val="00102A25"/>
    <w:rsid w:val="0010500F"/>
    <w:rsid w:val="00106F84"/>
    <w:rsid w:val="0010761E"/>
    <w:rsid w:val="00110067"/>
    <w:rsid w:val="0011067B"/>
    <w:rsid w:val="0011388B"/>
    <w:rsid w:val="001141BC"/>
    <w:rsid w:val="00115BA0"/>
    <w:rsid w:val="00117674"/>
    <w:rsid w:val="00120583"/>
    <w:rsid w:val="00120BDC"/>
    <w:rsid w:val="00120CBB"/>
    <w:rsid w:val="001214B4"/>
    <w:rsid w:val="00122B0E"/>
    <w:rsid w:val="0012315D"/>
    <w:rsid w:val="00123389"/>
    <w:rsid w:val="0012516C"/>
    <w:rsid w:val="00125181"/>
    <w:rsid w:val="0012592D"/>
    <w:rsid w:val="0012616A"/>
    <w:rsid w:val="001301B3"/>
    <w:rsid w:val="001314A6"/>
    <w:rsid w:val="001315EA"/>
    <w:rsid w:val="001323C3"/>
    <w:rsid w:val="00132DD6"/>
    <w:rsid w:val="00134F79"/>
    <w:rsid w:val="00136802"/>
    <w:rsid w:val="00136FD6"/>
    <w:rsid w:val="0014051D"/>
    <w:rsid w:val="00140DF1"/>
    <w:rsid w:val="00140FDF"/>
    <w:rsid w:val="00141769"/>
    <w:rsid w:val="00141AB9"/>
    <w:rsid w:val="001428D4"/>
    <w:rsid w:val="00142CB9"/>
    <w:rsid w:val="00142FAF"/>
    <w:rsid w:val="0014375F"/>
    <w:rsid w:val="00143962"/>
    <w:rsid w:val="00143B87"/>
    <w:rsid w:val="00143FBE"/>
    <w:rsid w:val="001441DF"/>
    <w:rsid w:val="00144DDF"/>
    <w:rsid w:val="001470EB"/>
    <w:rsid w:val="00147879"/>
    <w:rsid w:val="001505D5"/>
    <w:rsid w:val="001513BA"/>
    <w:rsid w:val="001517BB"/>
    <w:rsid w:val="00151F61"/>
    <w:rsid w:val="0015230D"/>
    <w:rsid w:val="001524D7"/>
    <w:rsid w:val="001525A1"/>
    <w:rsid w:val="00152A0F"/>
    <w:rsid w:val="00152DCD"/>
    <w:rsid w:val="00153405"/>
    <w:rsid w:val="001544AC"/>
    <w:rsid w:val="00154BA7"/>
    <w:rsid w:val="00154C61"/>
    <w:rsid w:val="001565AF"/>
    <w:rsid w:val="0015745D"/>
    <w:rsid w:val="001576F8"/>
    <w:rsid w:val="00160EFE"/>
    <w:rsid w:val="00161CD6"/>
    <w:rsid w:val="001634BD"/>
    <w:rsid w:val="0016376A"/>
    <w:rsid w:val="00164B2B"/>
    <w:rsid w:val="0016546F"/>
    <w:rsid w:val="0016591B"/>
    <w:rsid w:val="00166793"/>
    <w:rsid w:val="00166C8C"/>
    <w:rsid w:val="00166EE7"/>
    <w:rsid w:val="001704D3"/>
    <w:rsid w:val="00170C79"/>
    <w:rsid w:val="00171839"/>
    <w:rsid w:val="001722C3"/>
    <w:rsid w:val="00173019"/>
    <w:rsid w:val="00173B36"/>
    <w:rsid w:val="00174BDE"/>
    <w:rsid w:val="00175043"/>
    <w:rsid w:val="001761ED"/>
    <w:rsid w:val="0017620A"/>
    <w:rsid w:val="00176BFC"/>
    <w:rsid w:val="00180252"/>
    <w:rsid w:val="0018122E"/>
    <w:rsid w:val="00184095"/>
    <w:rsid w:val="00185739"/>
    <w:rsid w:val="0018576F"/>
    <w:rsid w:val="00185F7E"/>
    <w:rsid w:val="00186DB9"/>
    <w:rsid w:val="00187400"/>
    <w:rsid w:val="001876AA"/>
    <w:rsid w:val="001905E4"/>
    <w:rsid w:val="0019092E"/>
    <w:rsid w:val="00190BFF"/>
    <w:rsid w:val="00190D37"/>
    <w:rsid w:val="001945DE"/>
    <w:rsid w:val="001977B0"/>
    <w:rsid w:val="001A02B0"/>
    <w:rsid w:val="001A03CF"/>
    <w:rsid w:val="001A114F"/>
    <w:rsid w:val="001A2873"/>
    <w:rsid w:val="001A2F70"/>
    <w:rsid w:val="001A3640"/>
    <w:rsid w:val="001A38F5"/>
    <w:rsid w:val="001A4243"/>
    <w:rsid w:val="001A55DE"/>
    <w:rsid w:val="001A57B6"/>
    <w:rsid w:val="001A5A42"/>
    <w:rsid w:val="001A7560"/>
    <w:rsid w:val="001B151A"/>
    <w:rsid w:val="001B180E"/>
    <w:rsid w:val="001B1869"/>
    <w:rsid w:val="001B1AF6"/>
    <w:rsid w:val="001B1BFE"/>
    <w:rsid w:val="001B1D45"/>
    <w:rsid w:val="001B2165"/>
    <w:rsid w:val="001B2359"/>
    <w:rsid w:val="001B24B8"/>
    <w:rsid w:val="001B35C3"/>
    <w:rsid w:val="001B43EF"/>
    <w:rsid w:val="001B5575"/>
    <w:rsid w:val="001B5869"/>
    <w:rsid w:val="001B5C13"/>
    <w:rsid w:val="001B6561"/>
    <w:rsid w:val="001B6B23"/>
    <w:rsid w:val="001C0796"/>
    <w:rsid w:val="001C1721"/>
    <w:rsid w:val="001C283C"/>
    <w:rsid w:val="001C2A44"/>
    <w:rsid w:val="001C517C"/>
    <w:rsid w:val="001C5BC0"/>
    <w:rsid w:val="001C5C6E"/>
    <w:rsid w:val="001C780A"/>
    <w:rsid w:val="001D0380"/>
    <w:rsid w:val="001D0758"/>
    <w:rsid w:val="001D0F16"/>
    <w:rsid w:val="001D1CF5"/>
    <w:rsid w:val="001D20CC"/>
    <w:rsid w:val="001D2DAD"/>
    <w:rsid w:val="001D3466"/>
    <w:rsid w:val="001D4229"/>
    <w:rsid w:val="001D44D2"/>
    <w:rsid w:val="001D5374"/>
    <w:rsid w:val="001D5980"/>
    <w:rsid w:val="001D7767"/>
    <w:rsid w:val="001E0BDA"/>
    <w:rsid w:val="001E1E5F"/>
    <w:rsid w:val="001E2372"/>
    <w:rsid w:val="001E2E2E"/>
    <w:rsid w:val="001E369A"/>
    <w:rsid w:val="001E4419"/>
    <w:rsid w:val="001E441A"/>
    <w:rsid w:val="001E44C3"/>
    <w:rsid w:val="001E4BCE"/>
    <w:rsid w:val="001E4E20"/>
    <w:rsid w:val="001E6B60"/>
    <w:rsid w:val="001E6DEB"/>
    <w:rsid w:val="001E7696"/>
    <w:rsid w:val="001E7DE7"/>
    <w:rsid w:val="001F071B"/>
    <w:rsid w:val="001F2834"/>
    <w:rsid w:val="001F2EA1"/>
    <w:rsid w:val="001F3352"/>
    <w:rsid w:val="001F426A"/>
    <w:rsid w:val="001F42CB"/>
    <w:rsid w:val="001F44BF"/>
    <w:rsid w:val="001F4A20"/>
    <w:rsid w:val="001F4EB7"/>
    <w:rsid w:val="001F58CD"/>
    <w:rsid w:val="001F669B"/>
    <w:rsid w:val="001F7059"/>
    <w:rsid w:val="001F77B1"/>
    <w:rsid w:val="0020049F"/>
    <w:rsid w:val="00200701"/>
    <w:rsid w:val="00200925"/>
    <w:rsid w:val="00200BA1"/>
    <w:rsid w:val="00201AF1"/>
    <w:rsid w:val="002023F2"/>
    <w:rsid w:val="0020242A"/>
    <w:rsid w:val="00204B36"/>
    <w:rsid w:val="00205795"/>
    <w:rsid w:val="002062C9"/>
    <w:rsid w:val="00206B15"/>
    <w:rsid w:val="00206B65"/>
    <w:rsid w:val="002073B0"/>
    <w:rsid w:val="002125A9"/>
    <w:rsid w:val="00212F7E"/>
    <w:rsid w:val="002146A7"/>
    <w:rsid w:val="002146FD"/>
    <w:rsid w:val="00214ABA"/>
    <w:rsid w:val="002155E2"/>
    <w:rsid w:val="002160B9"/>
    <w:rsid w:val="00216412"/>
    <w:rsid w:val="00217486"/>
    <w:rsid w:val="002200BD"/>
    <w:rsid w:val="0022071A"/>
    <w:rsid w:val="00220DDE"/>
    <w:rsid w:val="00221AE5"/>
    <w:rsid w:val="00222D45"/>
    <w:rsid w:val="00222F8C"/>
    <w:rsid w:val="00223AE6"/>
    <w:rsid w:val="00224FFA"/>
    <w:rsid w:val="002250C0"/>
    <w:rsid w:val="002258D1"/>
    <w:rsid w:val="0022675E"/>
    <w:rsid w:val="00226C5C"/>
    <w:rsid w:val="00230000"/>
    <w:rsid w:val="00230106"/>
    <w:rsid w:val="00230C56"/>
    <w:rsid w:val="00230C6B"/>
    <w:rsid w:val="00231B04"/>
    <w:rsid w:val="00231F4C"/>
    <w:rsid w:val="00232045"/>
    <w:rsid w:val="00233283"/>
    <w:rsid w:val="00233B3E"/>
    <w:rsid w:val="00233FA8"/>
    <w:rsid w:val="00236EBA"/>
    <w:rsid w:val="00237452"/>
    <w:rsid w:val="00237EDE"/>
    <w:rsid w:val="00242B12"/>
    <w:rsid w:val="00243A42"/>
    <w:rsid w:val="0024428E"/>
    <w:rsid w:val="00244FCA"/>
    <w:rsid w:val="00245D82"/>
    <w:rsid w:val="0024645B"/>
    <w:rsid w:val="00246DC3"/>
    <w:rsid w:val="00247274"/>
    <w:rsid w:val="00247395"/>
    <w:rsid w:val="00247BBF"/>
    <w:rsid w:val="00250746"/>
    <w:rsid w:val="002521A1"/>
    <w:rsid w:val="00254314"/>
    <w:rsid w:val="002544FC"/>
    <w:rsid w:val="002551C1"/>
    <w:rsid w:val="002557A6"/>
    <w:rsid w:val="00255A30"/>
    <w:rsid w:val="00257922"/>
    <w:rsid w:val="00257B92"/>
    <w:rsid w:val="0026007B"/>
    <w:rsid w:val="0026047F"/>
    <w:rsid w:val="00260AAC"/>
    <w:rsid w:val="00262CAF"/>
    <w:rsid w:val="00263A6E"/>
    <w:rsid w:val="00264A2A"/>
    <w:rsid w:val="00265106"/>
    <w:rsid w:val="00266213"/>
    <w:rsid w:val="00266A3C"/>
    <w:rsid w:val="00266B82"/>
    <w:rsid w:val="00270417"/>
    <w:rsid w:val="002706E3"/>
    <w:rsid w:val="00271240"/>
    <w:rsid w:val="00271610"/>
    <w:rsid w:val="00272425"/>
    <w:rsid w:val="00272472"/>
    <w:rsid w:val="00273396"/>
    <w:rsid w:val="00274316"/>
    <w:rsid w:val="00274A52"/>
    <w:rsid w:val="00274E9E"/>
    <w:rsid w:val="00274F2E"/>
    <w:rsid w:val="00276006"/>
    <w:rsid w:val="002775EA"/>
    <w:rsid w:val="00277843"/>
    <w:rsid w:val="00277AEB"/>
    <w:rsid w:val="00283545"/>
    <w:rsid w:val="0028451F"/>
    <w:rsid w:val="00284AC5"/>
    <w:rsid w:val="00284DEB"/>
    <w:rsid w:val="00285E59"/>
    <w:rsid w:val="002864DD"/>
    <w:rsid w:val="002868DB"/>
    <w:rsid w:val="00286B26"/>
    <w:rsid w:val="00286B2B"/>
    <w:rsid w:val="00286D0D"/>
    <w:rsid w:val="0028716C"/>
    <w:rsid w:val="0029053D"/>
    <w:rsid w:val="00290930"/>
    <w:rsid w:val="00290BC4"/>
    <w:rsid w:val="00290C1C"/>
    <w:rsid w:val="00291FBF"/>
    <w:rsid w:val="00291FDC"/>
    <w:rsid w:val="00292328"/>
    <w:rsid w:val="002932E5"/>
    <w:rsid w:val="00293508"/>
    <w:rsid w:val="00293B1C"/>
    <w:rsid w:val="00294B2F"/>
    <w:rsid w:val="00294E42"/>
    <w:rsid w:val="0029589E"/>
    <w:rsid w:val="002960BA"/>
    <w:rsid w:val="0029673C"/>
    <w:rsid w:val="002A0B23"/>
    <w:rsid w:val="002A17B5"/>
    <w:rsid w:val="002A4E21"/>
    <w:rsid w:val="002A5451"/>
    <w:rsid w:val="002A571D"/>
    <w:rsid w:val="002A65AF"/>
    <w:rsid w:val="002A6989"/>
    <w:rsid w:val="002A6FEC"/>
    <w:rsid w:val="002A71FA"/>
    <w:rsid w:val="002A7F09"/>
    <w:rsid w:val="002B09AA"/>
    <w:rsid w:val="002B0C40"/>
    <w:rsid w:val="002B2C76"/>
    <w:rsid w:val="002B2E83"/>
    <w:rsid w:val="002B37B7"/>
    <w:rsid w:val="002B6A95"/>
    <w:rsid w:val="002B6D03"/>
    <w:rsid w:val="002B75D3"/>
    <w:rsid w:val="002C036F"/>
    <w:rsid w:val="002C0417"/>
    <w:rsid w:val="002C0CD8"/>
    <w:rsid w:val="002C1447"/>
    <w:rsid w:val="002C18E9"/>
    <w:rsid w:val="002C24C7"/>
    <w:rsid w:val="002C2A61"/>
    <w:rsid w:val="002C34DC"/>
    <w:rsid w:val="002C3F2F"/>
    <w:rsid w:val="002C4291"/>
    <w:rsid w:val="002C5478"/>
    <w:rsid w:val="002C56BD"/>
    <w:rsid w:val="002C7764"/>
    <w:rsid w:val="002D0DD0"/>
    <w:rsid w:val="002D0E0D"/>
    <w:rsid w:val="002D14A3"/>
    <w:rsid w:val="002D34C9"/>
    <w:rsid w:val="002D7DD9"/>
    <w:rsid w:val="002E027A"/>
    <w:rsid w:val="002E03D6"/>
    <w:rsid w:val="002E046E"/>
    <w:rsid w:val="002E0B6D"/>
    <w:rsid w:val="002E0E10"/>
    <w:rsid w:val="002E0FCB"/>
    <w:rsid w:val="002E14D5"/>
    <w:rsid w:val="002E1929"/>
    <w:rsid w:val="002E2BC6"/>
    <w:rsid w:val="002E2F16"/>
    <w:rsid w:val="002E30AD"/>
    <w:rsid w:val="002E32BF"/>
    <w:rsid w:val="002E5B45"/>
    <w:rsid w:val="002E6CF1"/>
    <w:rsid w:val="002F035D"/>
    <w:rsid w:val="002F04B8"/>
    <w:rsid w:val="002F10AD"/>
    <w:rsid w:val="002F12D2"/>
    <w:rsid w:val="002F1AE6"/>
    <w:rsid w:val="002F2004"/>
    <w:rsid w:val="002F2387"/>
    <w:rsid w:val="002F315D"/>
    <w:rsid w:val="002F3552"/>
    <w:rsid w:val="002F4DF1"/>
    <w:rsid w:val="00301ED0"/>
    <w:rsid w:val="003028AF"/>
    <w:rsid w:val="00302A36"/>
    <w:rsid w:val="0030637B"/>
    <w:rsid w:val="003068E5"/>
    <w:rsid w:val="00306EE8"/>
    <w:rsid w:val="00307CB8"/>
    <w:rsid w:val="0031069E"/>
    <w:rsid w:val="0031089D"/>
    <w:rsid w:val="003121C7"/>
    <w:rsid w:val="003147E8"/>
    <w:rsid w:val="00315BBD"/>
    <w:rsid w:val="00316486"/>
    <w:rsid w:val="00316D8A"/>
    <w:rsid w:val="00316FE4"/>
    <w:rsid w:val="0032002F"/>
    <w:rsid w:val="00320856"/>
    <w:rsid w:val="00320BF3"/>
    <w:rsid w:val="003218DF"/>
    <w:rsid w:val="00322806"/>
    <w:rsid w:val="003265A4"/>
    <w:rsid w:val="00326E14"/>
    <w:rsid w:val="003303B7"/>
    <w:rsid w:val="00331E63"/>
    <w:rsid w:val="003323B6"/>
    <w:rsid w:val="00332682"/>
    <w:rsid w:val="0033308E"/>
    <w:rsid w:val="00333685"/>
    <w:rsid w:val="0033562E"/>
    <w:rsid w:val="0033563B"/>
    <w:rsid w:val="00335F67"/>
    <w:rsid w:val="003376E3"/>
    <w:rsid w:val="00337B36"/>
    <w:rsid w:val="00337E18"/>
    <w:rsid w:val="00340C94"/>
    <w:rsid w:val="00340DFA"/>
    <w:rsid w:val="0034155A"/>
    <w:rsid w:val="0034155B"/>
    <w:rsid w:val="003423B2"/>
    <w:rsid w:val="00342E71"/>
    <w:rsid w:val="00343A56"/>
    <w:rsid w:val="00343C29"/>
    <w:rsid w:val="00344828"/>
    <w:rsid w:val="00345190"/>
    <w:rsid w:val="00345D39"/>
    <w:rsid w:val="00346C47"/>
    <w:rsid w:val="00350122"/>
    <w:rsid w:val="00351215"/>
    <w:rsid w:val="0035169F"/>
    <w:rsid w:val="00352C71"/>
    <w:rsid w:val="00352D1C"/>
    <w:rsid w:val="00353FE6"/>
    <w:rsid w:val="003541EF"/>
    <w:rsid w:val="00355545"/>
    <w:rsid w:val="003558BC"/>
    <w:rsid w:val="0035595C"/>
    <w:rsid w:val="00356634"/>
    <w:rsid w:val="003569AF"/>
    <w:rsid w:val="00356B4C"/>
    <w:rsid w:val="0035788D"/>
    <w:rsid w:val="0036031C"/>
    <w:rsid w:val="00360F2C"/>
    <w:rsid w:val="00361973"/>
    <w:rsid w:val="003621D4"/>
    <w:rsid w:val="0036291C"/>
    <w:rsid w:val="00363778"/>
    <w:rsid w:val="0036543E"/>
    <w:rsid w:val="00366339"/>
    <w:rsid w:val="003676D0"/>
    <w:rsid w:val="00367B5D"/>
    <w:rsid w:val="003702E9"/>
    <w:rsid w:val="00370F54"/>
    <w:rsid w:val="00371025"/>
    <w:rsid w:val="00371380"/>
    <w:rsid w:val="00371471"/>
    <w:rsid w:val="00371AFF"/>
    <w:rsid w:val="00371E6A"/>
    <w:rsid w:val="00373000"/>
    <w:rsid w:val="00373626"/>
    <w:rsid w:val="00373630"/>
    <w:rsid w:val="003744C2"/>
    <w:rsid w:val="00374816"/>
    <w:rsid w:val="00376103"/>
    <w:rsid w:val="00380417"/>
    <w:rsid w:val="0038435C"/>
    <w:rsid w:val="003849DB"/>
    <w:rsid w:val="003857DA"/>
    <w:rsid w:val="003860AD"/>
    <w:rsid w:val="00386491"/>
    <w:rsid w:val="00390C87"/>
    <w:rsid w:val="00390FF9"/>
    <w:rsid w:val="0039155C"/>
    <w:rsid w:val="00392204"/>
    <w:rsid w:val="00392941"/>
    <w:rsid w:val="00393494"/>
    <w:rsid w:val="00393669"/>
    <w:rsid w:val="003943B9"/>
    <w:rsid w:val="00394D92"/>
    <w:rsid w:val="003952F1"/>
    <w:rsid w:val="00396921"/>
    <w:rsid w:val="00397455"/>
    <w:rsid w:val="00397B2C"/>
    <w:rsid w:val="003A0733"/>
    <w:rsid w:val="003A0F38"/>
    <w:rsid w:val="003A1B8B"/>
    <w:rsid w:val="003A1BA0"/>
    <w:rsid w:val="003A227F"/>
    <w:rsid w:val="003A2AB9"/>
    <w:rsid w:val="003A2E05"/>
    <w:rsid w:val="003A2E0E"/>
    <w:rsid w:val="003A3176"/>
    <w:rsid w:val="003A3447"/>
    <w:rsid w:val="003A421F"/>
    <w:rsid w:val="003A4498"/>
    <w:rsid w:val="003A46B3"/>
    <w:rsid w:val="003A4CD2"/>
    <w:rsid w:val="003A5AAD"/>
    <w:rsid w:val="003A5F1A"/>
    <w:rsid w:val="003A6ABE"/>
    <w:rsid w:val="003A7E4F"/>
    <w:rsid w:val="003B0152"/>
    <w:rsid w:val="003B07C9"/>
    <w:rsid w:val="003B0F8C"/>
    <w:rsid w:val="003B3C89"/>
    <w:rsid w:val="003B5B40"/>
    <w:rsid w:val="003B5E8D"/>
    <w:rsid w:val="003B5F5A"/>
    <w:rsid w:val="003B6B05"/>
    <w:rsid w:val="003B7712"/>
    <w:rsid w:val="003B7C43"/>
    <w:rsid w:val="003B7F38"/>
    <w:rsid w:val="003C0BE2"/>
    <w:rsid w:val="003C286A"/>
    <w:rsid w:val="003C357E"/>
    <w:rsid w:val="003C7192"/>
    <w:rsid w:val="003C71F1"/>
    <w:rsid w:val="003C7335"/>
    <w:rsid w:val="003C7B08"/>
    <w:rsid w:val="003D0735"/>
    <w:rsid w:val="003D0D4D"/>
    <w:rsid w:val="003D1620"/>
    <w:rsid w:val="003D1672"/>
    <w:rsid w:val="003D1CF1"/>
    <w:rsid w:val="003D3100"/>
    <w:rsid w:val="003D328A"/>
    <w:rsid w:val="003D3320"/>
    <w:rsid w:val="003D3B05"/>
    <w:rsid w:val="003D42AD"/>
    <w:rsid w:val="003D4520"/>
    <w:rsid w:val="003D6338"/>
    <w:rsid w:val="003D7087"/>
    <w:rsid w:val="003D74B6"/>
    <w:rsid w:val="003E03ED"/>
    <w:rsid w:val="003E0780"/>
    <w:rsid w:val="003E0A37"/>
    <w:rsid w:val="003E1509"/>
    <w:rsid w:val="003E1A8C"/>
    <w:rsid w:val="003E46EE"/>
    <w:rsid w:val="003E49BE"/>
    <w:rsid w:val="003E49DC"/>
    <w:rsid w:val="003E4A87"/>
    <w:rsid w:val="003E4E88"/>
    <w:rsid w:val="003E6932"/>
    <w:rsid w:val="003E6BA8"/>
    <w:rsid w:val="003E7252"/>
    <w:rsid w:val="003F01AB"/>
    <w:rsid w:val="003F1DA6"/>
    <w:rsid w:val="003F2572"/>
    <w:rsid w:val="003F2583"/>
    <w:rsid w:val="003F28B9"/>
    <w:rsid w:val="003F4F0C"/>
    <w:rsid w:val="003F5018"/>
    <w:rsid w:val="003F5327"/>
    <w:rsid w:val="003F5A2F"/>
    <w:rsid w:val="003F6743"/>
    <w:rsid w:val="003F7ECE"/>
    <w:rsid w:val="004001CD"/>
    <w:rsid w:val="00400884"/>
    <w:rsid w:val="00400E8A"/>
    <w:rsid w:val="004016F1"/>
    <w:rsid w:val="00402B2A"/>
    <w:rsid w:val="00402CFE"/>
    <w:rsid w:val="00403A4A"/>
    <w:rsid w:val="004043E3"/>
    <w:rsid w:val="00407663"/>
    <w:rsid w:val="00407AEA"/>
    <w:rsid w:val="00411719"/>
    <w:rsid w:val="00411916"/>
    <w:rsid w:val="00411E7B"/>
    <w:rsid w:val="00411E8E"/>
    <w:rsid w:val="0041605C"/>
    <w:rsid w:val="004176C8"/>
    <w:rsid w:val="0042179E"/>
    <w:rsid w:val="00421E13"/>
    <w:rsid w:val="004231F2"/>
    <w:rsid w:val="0042335E"/>
    <w:rsid w:val="004236CC"/>
    <w:rsid w:val="00423734"/>
    <w:rsid w:val="004238F9"/>
    <w:rsid w:val="00424616"/>
    <w:rsid w:val="00425729"/>
    <w:rsid w:val="00425753"/>
    <w:rsid w:val="0042590D"/>
    <w:rsid w:val="00425AD3"/>
    <w:rsid w:val="00427688"/>
    <w:rsid w:val="004310F1"/>
    <w:rsid w:val="00431AA7"/>
    <w:rsid w:val="0043201B"/>
    <w:rsid w:val="00432851"/>
    <w:rsid w:val="004348CB"/>
    <w:rsid w:val="00435042"/>
    <w:rsid w:val="0043534A"/>
    <w:rsid w:val="00436AF5"/>
    <w:rsid w:val="00436F95"/>
    <w:rsid w:val="00437E19"/>
    <w:rsid w:val="00437ED2"/>
    <w:rsid w:val="004401F3"/>
    <w:rsid w:val="00440E2E"/>
    <w:rsid w:val="00440F41"/>
    <w:rsid w:val="004419A8"/>
    <w:rsid w:val="00441E23"/>
    <w:rsid w:val="00441FA2"/>
    <w:rsid w:val="00443661"/>
    <w:rsid w:val="004437EC"/>
    <w:rsid w:val="00444845"/>
    <w:rsid w:val="00445C64"/>
    <w:rsid w:val="00445E3B"/>
    <w:rsid w:val="00446090"/>
    <w:rsid w:val="0044627A"/>
    <w:rsid w:val="004463E8"/>
    <w:rsid w:val="00446450"/>
    <w:rsid w:val="004465A9"/>
    <w:rsid w:val="00446ABC"/>
    <w:rsid w:val="00447246"/>
    <w:rsid w:val="00450468"/>
    <w:rsid w:val="0045061F"/>
    <w:rsid w:val="00450AD3"/>
    <w:rsid w:val="00451DD8"/>
    <w:rsid w:val="004527FE"/>
    <w:rsid w:val="00452E91"/>
    <w:rsid w:val="00453205"/>
    <w:rsid w:val="0045388D"/>
    <w:rsid w:val="00453D6C"/>
    <w:rsid w:val="004548D5"/>
    <w:rsid w:val="00455261"/>
    <w:rsid w:val="0045577E"/>
    <w:rsid w:val="00455CCF"/>
    <w:rsid w:val="00457073"/>
    <w:rsid w:val="0045775F"/>
    <w:rsid w:val="00457B21"/>
    <w:rsid w:val="00460D55"/>
    <w:rsid w:val="004610AD"/>
    <w:rsid w:val="00461152"/>
    <w:rsid w:val="0046177C"/>
    <w:rsid w:val="00464272"/>
    <w:rsid w:val="004658DA"/>
    <w:rsid w:val="00465AA2"/>
    <w:rsid w:val="00466D1B"/>
    <w:rsid w:val="004678EE"/>
    <w:rsid w:val="00467E0F"/>
    <w:rsid w:val="0047201C"/>
    <w:rsid w:val="00472103"/>
    <w:rsid w:val="00472517"/>
    <w:rsid w:val="00473CA9"/>
    <w:rsid w:val="0047461C"/>
    <w:rsid w:val="004749CF"/>
    <w:rsid w:val="004751D7"/>
    <w:rsid w:val="00475CDA"/>
    <w:rsid w:val="00475E21"/>
    <w:rsid w:val="004764F5"/>
    <w:rsid w:val="004766DE"/>
    <w:rsid w:val="00476B1B"/>
    <w:rsid w:val="00477584"/>
    <w:rsid w:val="0047758E"/>
    <w:rsid w:val="00477D9F"/>
    <w:rsid w:val="004818EC"/>
    <w:rsid w:val="00481BD1"/>
    <w:rsid w:val="004820EC"/>
    <w:rsid w:val="00482431"/>
    <w:rsid w:val="00482A65"/>
    <w:rsid w:val="00482D58"/>
    <w:rsid w:val="004839D3"/>
    <w:rsid w:val="004840BA"/>
    <w:rsid w:val="004848D3"/>
    <w:rsid w:val="00484CDD"/>
    <w:rsid w:val="00485134"/>
    <w:rsid w:val="0048597B"/>
    <w:rsid w:val="004859B1"/>
    <w:rsid w:val="00485EA6"/>
    <w:rsid w:val="00486C6D"/>
    <w:rsid w:val="00486F0B"/>
    <w:rsid w:val="0048764E"/>
    <w:rsid w:val="00487FEB"/>
    <w:rsid w:val="004902D7"/>
    <w:rsid w:val="00490431"/>
    <w:rsid w:val="00490489"/>
    <w:rsid w:val="00490551"/>
    <w:rsid w:val="004906E2"/>
    <w:rsid w:val="0049115E"/>
    <w:rsid w:val="004912B4"/>
    <w:rsid w:val="0049178D"/>
    <w:rsid w:val="0049369C"/>
    <w:rsid w:val="00494739"/>
    <w:rsid w:val="00494853"/>
    <w:rsid w:val="004949A1"/>
    <w:rsid w:val="004950D5"/>
    <w:rsid w:val="00495107"/>
    <w:rsid w:val="00495311"/>
    <w:rsid w:val="004957AB"/>
    <w:rsid w:val="00495AB4"/>
    <w:rsid w:val="00495B30"/>
    <w:rsid w:val="0049668D"/>
    <w:rsid w:val="00496782"/>
    <w:rsid w:val="00497FEF"/>
    <w:rsid w:val="004A0416"/>
    <w:rsid w:val="004A0532"/>
    <w:rsid w:val="004A0BED"/>
    <w:rsid w:val="004A14F7"/>
    <w:rsid w:val="004A1874"/>
    <w:rsid w:val="004A1D05"/>
    <w:rsid w:val="004A1D79"/>
    <w:rsid w:val="004A315B"/>
    <w:rsid w:val="004A3F2A"/>
    <w:rsid w:val="004A40C4"/>
    <w:rsid w:val="004A4E07"/>
    <w:rsid w:val="004A5133"/>
    <w:rsid w:val="004A5442"/>
    <w:rsid w:val="004A66A9"/>
    <w:rsid w:val="004A6EB4"/>
    <w:rsid w:val="004B08B6"/>
    <w:rsid w:val="004B0D91"/>
    <w:rsid w:val="004B126E"/>
    <w:rsid w:val="004B1CDF"/>
    <w:rsid w:val="004B1F57"/>
    <w:rsid w:val="004B3118"/>
    <w:rsid w:val="004B375C"/>
    <w:rsid w:val="004B4281"/>
    <w:rsid w:val="004B47D7"/>
    <w:rsid w:val="004B4B9A"/>
    <w:rsid w:val="004B4BD8"/>
    <w:rsid w:val="004B5613"/>
    <w:rsid w:val="004B6411"/>
    <w:rsid w:val="004B6A06"/>
    <w:rsid w:val="004B6E4D"/>
    <w:rsid w:val="004B6F36"/>
    <w:rsid w:val="004C2215"/>
    <w:rsid w:val="004C22D2"/>
    <w:rsid w:val="004C26EE"/>
    <w:rsid w:val="004C2838"/>
    <w:rsid w:val="004C2CB1"/>
    <w:rsid w:val="004C3E76"/>
    <w:rsid w:val="004C558A"/>
    <w:rsid w:val="004C711A"/>
    <w:rsid w:val="004C7EF9"/>
    <w:rsid w:val="004D000D"/>
    <w:rsid w:val="004D0046"/>
    <w:rsid w:val="004D054F"/>
    <w:rsid w:val="004D08EC"/>
    <w:rsid w:val="004D19F0"/>
    <w:rsid w:val="004D2375"/>
    <w:rsid w:val="004D2DB5"/>
    <w:rsid w:val="004D2FDA"/>
    <w:rsid w:val="004D3706"/>
    <w:rsid w:val="004D4515"/>
    <w:rsid w:val="004D4781"/>
    <w:rsid w:val="004D4AE1"/>
    <w:rsid w:val="004D5BC9"/>
    <w:rsid w:val="004D5E82"/>
    <w:rsid w:val="004D63D8"/>
    <w:rsid w:val="004D63ED"/>
    <w:rsid w:val="004D697D"/>
    <w:rsid w:val="004D6DF5"/>
    <w:rsid w:val="004D72F3"/>
    <w:rsid w:val="004E01AE"/>
    <w:rsid w:val="004E1F01"/>
    <w:rsid w:val="004E2067"/>
    <w:rsid w:val="004E24B7"/>
    <w:rsid w:val="004E39A6"/>
    <w:rsid w:val="004E4DE0"/>
    <w:rsid w:val="004E5371"/>
    <w:rsid w:val="004E5F10"/>
    <w:rsid w:val="004E6155"/>
    <w:rsid w:val="004E672E"/>
    <w:rsid w:val="004E6F01"/>
    <w:rsid w:val="004F2668"/>
    <w:rsid w:val="004F2C41"/>
    <w:rsid w:val="004F34AC"/>
    <w:rsid w:val="004F3554"/>
    <w:rsid w:val="004F3A1E"/>
    <w:rsid w:val="004F4F59"/>
    <w:rsid w:val="004F5C64"/>
    <w:rsid w:val="004F5E45"/>
    <w:rsid w:val="00500519"/>
    <w:rsid w:val="005008DE"/>
    <w:rsid w:val="00501EC3"/>
    <w:rsid w:val="005025FD"/>
    <w:rsid w:val="0050368E"/>
    <w:rsid w:val="00503C6D"/>
    <w:rsid w:val="00504D4F"/>
    <w:rsid w:val="00504DE0"/>
    <w:rsid w:val="00504FDC"/>
    <w:rsid w:val="00505602"/>
    <w:rsid w:val="005056DE"/>
    <w:rsid w:val="005058AD"/>
    <w:rsid w:val="00505EC8"/>
    <w:rsid w:val="00506E56"/>
    <w:rsid w:val="00510030"/>
    <w:rsid w:val="00512156"/>
    <w:rsid w:val="00512674"/>
    <w:rsid w:val="00512A0B"/>
    <w:rsid w:val="00512EF4"/>
    <w:rsid w:val="00513642"/>
    <w:rsid w:val="00513728"/>
    <w:rsid w:val="0051443E"/>
    <w:rsid w:val="00514724"/>
    <w:rsid w:val="0051528C"/>
    <w:rsid w:val="00515590"/>
    <w:rsid w:val="005160D9"/>
    <w:rsid w:val="005169D4"/>
    <w:rsid w:val="00516CD9"/>
    <w:rsid w:val="0051736F"/>
    <w:rsid w:val="00517794"/>
    <w:rsid w:val="00517AA5"/>
    <w:rsid w:val="00517AAA"/>
    <w:rsid w:val="00517C81"/>
    <w:rsid w:val="005201B9"/>
    <w:rsid w:val="00520330"/>
    <w:rsid w:val="00520756"/>
    <w:rsid w:val="00522A95"/>
    <w:rsid w:val="00522CE9"/>
    <w:rsid w:val="00522F12"/>
    <w:rsid w:val="0052300C"/>
    <w:rsid w:val="00523271"/>
    <w:rsid w:val="00524161"/>
    <w:rsid w:val="00524BE9"/>
    <w:rsid w:val="00527589"/>
    <w:rsid w:val="00530AE9"/>
    <w:rsid w:val="00530BD9"/>
    <w:rsid w:val="00531BEE"/>
    <w:rsid w:val="00532D0B"/>
    <w:rsid w:val="00533AFE"/>
    <w:rsid w:val="00533D02"/>
    <w:rsid w:val="005349C9"/>
    <w:rsid w:val="00535CBD"/>
    <w:rsid w:val="00536166"/>
    <w:rsid w:val="005362AE"/>
    <w:rsid w:val="0053711C"/>
    <w:rsid w:val="00541373"/>
    <w:rsid w:val="00542672"/>
    <w:rsid w:val="00543571"/>
    <w:rsid w:val="005435CD"/>
    <w:rsid w:val="00543BD4"/>
    <w:rsid w:val="00543D66"/>
    <w:rsid w:val="00544534"/>
    <w:rsid w:val="00544939"/>
    <w:rsid w:val="00544CE0"/>
    <w:rsid w:val="00544D25"/>
    <w:rsid w:val="005456CD"/>
    <w:rsid w:val="00547157"/>
    <w:rsid w:val="00547317"/>
    <w:rsid w:val="0055049C"/>
    <w:rsid w:val="00551116"/>
    <w:rsid w:val="0055276A"/>
    <w:rsid w:val="005529A4"/>
    <w:rsid w:val="005530FB"/>
    <w:rsid w:val="00553614"/>
    <w:rsid w:val="0055511D"/>
    <w:rsid w:val="0055680E"/>
    <w:rsid w:val="00556A4F"/>
    <w:rsid w:val="00556AF1"/>
    <w:rsid w:val="00557FF5"/>
    <w:rsid w:val="005606BE"/>
    <w:rsid w:val="0056320C"/>
    <w:rsid w:val="0056375A"/>
    <w:rsid w:val="00563FE3"/>
    <w:rsid w:val="005640A1"/>
    <w:rsid w:val="00564AC4"/>
    <w:rsid w:val="00565C9F"/>
    <w:rsid w:val="00566065"/>
    <w:rsid w:val="0056607D"/>
    <w:rsid w:val="005660E7"/>
    <w:rsid w:val="00570EF5"/>
    <w:rsid w:val="00571AAF"/>
    <w:rsid w:val="00571E8B"/>
    <w:rsid w:val="00572913"/>
    <w:rsid w:val="00574879"/>
    <w:rsid w:val="005755B5"/>
    <w:rsid w:val="00577D2C"/>
    <w:rsid w:val="00577D47"/>
    <w:rsid w:val="00580971"/>
    <w:rsid w:val="005851BB"/>
    <w:rsid w:val="005856A1"/>
    <w:rsid w:val="0058622C"/>
    <w:rsid w:val="0058767D"/>
    <w:rsid w:val="00590287"/>
    <w:rsid w:val="00591035"/>
    <w:rsid w:val="00591E96"/>
    <w:rsid w:val="0059399F"/>
    <w:rsid w:val="005945C3"/>
    <w:rsid w:val="00594C94"/>
    <w:rsid w:val="005951F0"/>
    <w:rsid w:val="00596162"/>
    <w:rsid w:val="005971DF"/>
    <w:rsid w:val="005A0223"/>
    <w:rsid w:val="005A098E"/>
    <w:rsid w:val="005A0993"/>
    <w:rsid w:val="005A0BED"/>
    <w:rsid w:val="005A0C47"/>
    <w:rsid w:val="005A3631"/>
    <w:rsid w:val="005A3708"/>
    <w:rsid w:val="005A3A25"/>
    <w:rsid w:val="005A41B1"/>
    <w:rsid w:val="005A56E6"/>
    <w:rsid w:val="005A64BD"/>
    <w:rsid w:val="005A6CAA"/>
    <w:rsid w:val="005A749A"/>
    <w:rsid w:val="005A754D"/>
    <w:rsid w:val="005B059A"/>
    <w:rsid w:val="005B07F8"/>
    <w:rsid w:val="005B0A1A"/>
    <w:rsid w:val="005B0A5E"/>
    <w:rsid w:val="005B100A"/>
    <w:rsid w:val="005B1DF6"/>
    <w:rsid w:val="005B277D"/>
    <w:rsid w:val="005B3197"/>
    <w:rsid w:val="005B3F79"/>
    <w:rsid w:val="005B4446"/>
    <w:rsid w:val="005B4ADF"/>
    <w:rsid w:val="005B4CCF"/>
    <w:rsid w:val="005B5545"/>
    <w:rsid w:val="005B5A3E"/>
    <w:rsid w:val="005B5FA1"/>
    <w:rsid w:val="005B6184"/>
    <w:rsid w:val="005B6830"/>
    <w:rsid w:val="005C0453"/>
    <w:rsid w:val="005C06D8"/>
    <w:rsid w:val="005C177E"/>
    <w:rsid w:val="005C1B75"/>
    <w:rsid w:val="005C2606"/>
    <w:rsid w:val="005C287F"/>
    <w:rsid w:val="005C2907"/>
    <w:rsid w:val="005C2B03"/>
    <w:rsid w:val="005C2ED3"/>
    <w:rsid w:val="005C3129"/>
    <w:rsid w:val="005C3C92"/>
    <w:rsid w:val="005C4BDB"/>
    <w:rsid w:val="005C4DEA"/>
    <w:rsid w:val="005C6595"/>
    <w:rsid w:val="005C732E"/>
    <w:rsid w:val="005C75D8"/>
    <w:rsid w:val="005C7DD7"/>
    <w:rsid w:val="005D0E7E"/>
    <w:rsid w:val="005D100A"/>
    <w:rsid w:val="005D1171"/>
    <w:rsid w:val="005D2425"/>
    <w:rsid w:val="005D2AA8"/>
    <w:rsid w:val="005D3A0E"/>
    <w:rsid w:val="005D4343"/>
    <w:rsid w:val="005D4D8A"/>
    <w:rsid w:val="005D5826"/>
    <w:rsid w:val="005D58C6"/>
    <w:rsid w:val="005D63D2"/>
    <w:rsid w:val="005D63EA"/>
    <w:rsid w:val="005D6854"/>
    <w:rsid w:val="005D686A"/>
    <w:rsid w:val="005D7CA3"/>
    <w:rsid w:val="005E0298"/>
    <w:rsid w:val="005E04B3"/>
    <w:rsid w:val="005E0778"/>
    <w:rsid w:val="005E09C6"/>
    <w:rsid w:val="005E0F2D"/>
    <w:rsid w:val="005E1682"/>
    <w:rsid w:val="005E1EFE"/>
    <w:rsid w:val="005E22D4"/>
    <w:rsid w:val="005E296E"/>
    <w:rsid w:val="005E36AE"/>
    <w:rsid w:val="005E3E2F"/>
    <w:rsid w:val="005E554E"/>
    <w:rsid w:val="005E5B4E"/>
    <w:rsid w:val="005E5F0A"/>
    <w:rsid w:val="005E5F16"/>
    <w:rsid w:val="005E6629"/>
    <w:rsid w:val="005E6C51"/>
    <w:rsid w:val="005E78CE"/>
    <w:rsid w:val="005E7A16"/>
    <w:rsid w:val="005E7A5F"/>
    <w:rsid w:val="005E7BAC"/>
    <w:rsid w:val="005E7F82"/>
    <w:rsid w:val="005F1AEC"/>
    <w:rsid w:val="005F774A"/>
    <w:rsid w:val="005F7A07"/>
    <w:rsid w:val="005F7D98"/>
    <w:rsid w:val="00600143"/>
    <w:rsid w:val="00602234"/>
    <w:rsid w:val="006027DC"/>
    <w:rsid w:val="00602FD6"/>
    <w:rsid w:val="00603057"/>
    <w:rsid w:val="00603B93"/>
    <w:rsid w:val="006048DA"/>
    <w:rsid w:val="00604E48"/>
    <w:rsid w:val="006051C9"/>
    <w:rsid w:val="00605E9C"/>
    <w:rsid w:val="00606271"/>
    <w:rsid w:val="006066D3"/>
    <w:rsid w:val="00606887"/>
    <w:rsid w:val="00606F4F"/>
    <w:rsid w:val="00607954"/>
    <w:rsid w:val="00607E36"/>
    <w:rsid w:val="00610438"/>
    <w:rsid w:val="006104E2"/>
    <w:rsid w:val="00610C40"/>
    <w:rsid w:val="00610CCB"/>
    <w:rsid w:val="00610E1F"/>
    <w:rsid w:val="00610F56"/>
    <w:rsid w:val="006114DE"/>
    <w:rsid w:val="00611DD1"/>
    <w:rsid w:val="0061237D"/>
    <w:rsid w:val="00612723"/>
    <w:rsid w:val="00612B87"/>
    <w:rsid w:val="00615ADC"/>
    <w:rsid w:val="0061610E"/>
    <w:rsid w:val="0061640C"/>
    <w:rsid w:val="006167A7"/>
    <w:rsid w:val="00616C6C"/>
    <w:rsid w:val="00616F0C"/>
    <w:rsid w:val="00617027"/>
    <w:rsid w:val="00617686"/>
    <w:rsid w:val="006177F0"/>
    <w:rsid w:val="00620040"/>
    <w:rsid w:val="00621F10"/>
    <w:rsid w:val="00622937"/>
    <w:rsid w:val="00622AE6"/>
    <w:rsid w:val="0062346B"/>
    <w:rsid w:val="00623B12"/>
    <w:rsid w:val="006244D8"/>
    <w:rsid w:val="0062527F"/>
    <w:rsid w:val="0062619D"/>
    <w:rsid w:val="00626ACC"/>
    <w:rsid w:val="0062752B"/>
    <w:rsid w:val="00627D7D"/>
    <w:rsid w:val="00627FCE"/>
    <w:rsid w:val="0063085D"/>
    <w:rsid w:val="00630862"/>
    <w:rsid w:val="006325C4"/>
    <w:rsid w:val="00633E82"/>
    <w:rsid w:val="0063474A"/>
    <w:rsid w:val="0063494B"/>
    <w:rsid w:val="00634EF3"/>
    <w:rsid w:val="006352DC"/>
    <w:rsid w:val="00635AF0"/>
    <w:rsid w:val="006368B4"/>
    <w:rsid w:val="00636F0B"/>
    <w:rsid w:val="0063788F"/>
    <w:rsid w:val="00641188"/>
    <w:rsid w:val="00641281"/>
    <w:rsid w:val="00641598"/>
    <w:rsid w:val="006422ED"/>
    <w:rsid w:val="0064258A"/>
    <w:rsid w:val="00642989"/>
    <w:rsid w:val="00642DC1"/>
    <w:rsid w:val="00642FB8"/>
    <w:rsid w:val="0064346D"/>
    <w:rsid w:val="0064361F"/>
    <w:rsid w:val="0064419C"/>
    <w:rsid w:val="0064584F"/>
    <w:rsid w:val="00645851"/>
    <w:rsid w:val="00646229"/>
    <w:rsid w:val="006468A5"/>
    <w:rsid w:val="0064706E"/>
    <w:rsid w:val="00647779"/>
    <w:rsid w:val="00647D11"/>
    <w:rsid w:val="00650770"/>
    <w:rsid w:val="00650FE7"/>
    <w:rsid w:val="00651158"/>
    <w:rsid w:val="00653C33"/>
    <w:rsid w:val="00654724"/>
    <w:rsid w:val="00654EB8"/>
    <w:rsid w:val="006560B3"/>
    <w:rsid w:val="00657296"/>
    <w:rsid w:val="006602BF"/>
    <w:rsid w:val="00660584"/>
    <w:rsid w:val="0066138E"/>
    <w:rsid w:val="00661D71"/>
    <w:rsid w:val="006628C7"/>
    <w:rsid w:val="00662BB2"/>
    <w:rsid w:val="00663A83"/>
    <w:rsid w:val="006640EA"/>
    <w:rsid w:val="00664773"/>
    <w:rsid w:val="00665176"/>
    <w:rsid w:val="00666165"/>
    <w:rsid w:val="00666371"/>
    <w:rsid w:val="006664FE"/>
    <w:rsid w:val="00666CDC"/>
    <w:rsid w:val="00666E4B"/>
    <w:rsid w:val="0066790F"/>
    <w:rsid w:val="00667FFE"/>
    <w:rsid w:val="00671149"/>
    <w:rsid w:val="00671FF4"/>
    <w:rsid w:val="0067206A"/>
    <w:rsid w:val="0067346E"/>
    <w:rsid w:val="0067373E"/>
    <w:rsid w:val="0067382F"/>
    <w:rsid w:val="00673952"/>
    <w:rsid w:val="0067412C"/>
    <w:rsid w:val="00674730"/>
    <w:rsid w:val="00675FE7"/>
    <w:rsid w:val="00676011"/>
    <w:rsid w:val="00676980"/>
    <w:rsid w:val="00676D50"/>
    <w:rsid w:val="00676E27"/>
    <w:rsid w:val="00677005"/>
    <w:rsid w:val="00677062"/>
    <w:rsid w:val="00681C16"/>
    <w:rsid w:val="00682695"/>
    <w:rsid w:val="00683BC8"/>
    <w:rsid w:val="0068474F"/>
    <w:rsid w:val="0068525B"/>
    <w:rsid w:val="006852D0"/>
    <w:rsid w:val="006852D3"/>
    <w:rsid w:val="00685902"/>
    <w:rsid w:val="006859AA"/>
    <w:rsid w:val="006879E3"/>
    <w:rsid w:val="00690274"/>
    <w:rsid w:val="00691CFF"/>
    <w:rsid w:val="006925EB"/>
    <w:rsid w:val="00692C49"/>
    <w:rsid w:val="00693439"/>
    <w:rsid w:val="00694465"/>
    <w:rsid w:val="00694724"/>
    <w:rsid w:val="00694956"/>
    <w:rsid w:val="0069598B"/>
    <w:rsid w:val="00696E4C"/>
    <w:rsid w:val="00697297"/>
    <w:rsid w:val="006973BA"/>
    <w:rsid w:val="00697574"/>
    <w:rsid w:val="006A01E6"/>
    <w:rsid w:val="006A06DF"/>
    <w:rsid w:val="006A0DAE"/>
    <w:rsid w:val="006A0DCB"/>
    <w:rsid w:val="006A153F"/>
    <w:rsid w:val="006A1E6F"/>
    <w:rsid w:val="006A28C1"/>
    <w:rsid w:val="006A349F"/>
    <w:rsid w:val="006A398F"/>
    <w:rsid w:val="006A4A2C"/>
    <w:rsid w:val="006A5127"/>
    <w:rsid w:val="006A53C3"/>
    <w:rsid w:val="006A57B0"/>
    <w:rsid w:val="006A6068"/>
    <w:rsid w:val="006A63BF"/>
    <w:rsid w:val="006A6AA1"/>
    <w:rsid w:val="006A7066"/>
    <w:rsid w:val="006A7678"/>
    <w:rsid w:val="006A7CCB"/>
    <w:rsid w:val="006A7FC8"/>
    <w:rsid w:val="006B0048"/>
    <w:rsid w:val="006B0666"/>
    <w:rsid w:val="006B119F"/>
    <w:rsid w:val="006B12AB"/>
    <w:rsid w:val="006B14BB"/>
    <w:rsid w:val="006B1AF0"/>
    <w:rsid w:val="006B30E4"/>
    <w:rsid w:val="006B39E5"/>
    <w:rsid w:val="006B4337"/>
    <w:rsid w:val="006B5247"/>
    <w:rsid w:val="006B63A9"/>
    <w:rsid w:val="006B6C47"/>
    <w:rsid w:val="006B7860"/>
    <w:rsid w:val="006B7F4E"/>
    <w:rsid w:val="006C0419"/>
    <w:rsid w:val="006C04CD"/>
    <w:rsid w:val="006C1C11"/>
    <w:rsid w:val="006C29AF"/>
    <w:rsid w:val="006C4453"/>
    <w:rsid w:val="006C4BE0"/>
    <w:rsid w:val="006C4CBF"/>
    <w:rsid w:val="006C5F2D"/>
    <w:rsid w:val="006C760F"/>
    <w:rsid w:val="006C77E7"/>
    <w:rsid w:val="006D02B2"/>
    <w:rsid w:val="006D09B8"/>
    <w:rsid w:val="006D2B5E"/>
    <w:rsid w:val="006D44BE"/>
    <w:rsid w:val="006D7074"/>
    <w:rsid w:val="006D713E"/>
    <w:rsid w:val="006D74F6"/>
    <w:rsid w:val="006D754A"/>
    <w:rsid w:val="006E04DE"/>
    <w:rsid w:val="006E164E"/>
    <w:rsid w:val="006E2399"/>
    <w:rsid w:val="006E3458"/>
    <w:rsid w:val="006E397F"/>
    <w:rsid w:val="006E3D38"/>
    <w:rsid w:val="006E4889"/>
    <w:rsid w:val="006E496F"/>
    <w:rsid w:val="006E5AD4"/>
    <w:rsid w:val="006E6CCF"/>
    <w:rsid w:val="006E6E0C"/>
    <w:rsid w:val="006E6FEF"/>
    <w:rsid w:val="006E7C0F"/>
    <w:rsid w:val="006F00BC"/>
    <w:rsid w:val="006F0586"/>
    <w:rsid w:val="006F0ABE"/>
    <w:rsid w:val="006F0E7D"/>
    <w:rsid w:val="006F1139"/>
    <w:rsid w:val="006F21F6"/>
    <w:rsid w:val="006F248A"/>
    <w:rsid w:val="006F2646"/>
    <w:rsid w:val="006F2B87"/>
    <w:rsid w:val="006F3D9D"/>
    <w:rsid w:val="006F3E76"/>
    <w:rsid w:val="006F4868"/>
    <w:rsid w:val="006F4DF4"/>
    <w:rsid w:val="006F557B"/>
    <w:rsid w:val="006F5601"/>
    <w:rsid w:val="0070054A"/>
    <w:rsid w:val="00700567"/>
    <w:rsid w:val="007015CC"/>
    <w:rsid w:val="00701F35"/>
    <w:rsid w:val="00702E61"/>
    <w:rsid w:val="00703BF1"/>
    <w:rsid w:val="007046D6"/>
    <w:rsid w:val="00704E7D"/>
    <w:rsid w:val="007052DC"/>
    <w:rsid w:val="0070551A"/>
    <w:rsid w:val="00705653"/>
    <w:rsid w:val="00705D87"/>
    <w:rsid w:val="0070644A"/>
    <w:rsid w:val="00706CF4"/>
    <w:rsid w:val="00707702"/>
    <w:rsid w:val="00707EEE"/>
    <w:rsid w:val="00710B2A"/>
    <w:rsid w:val="00710EA0"/>
    <w:rsid w:val="00710F65"/>
    <w:rsid w:val="00712AE7"/>
    <w:rsid w:val="007134D3"/>
    <w:rsid w:val="00713525"/>
    <w:rsid w:val="00713C0F"/>
    <w:rsid w:val="007145F0"/>
    <w:rsid w:val="0071513D"/>
    <w:rsid w:val="00715416"/>
    <w:rsid w:val="007165D6"/>
    <w:rsid w:val="00716C07"/>
    <w:rsid w:val="00716C87"/>
    <w:rsid w:val="007172F5"/>
    <w:rsid w:val="007207F2"/>
    <w:rsid w:val="00721634"/>
    <w:rsid w:val="00722558"/>
    <w:rsid w:val="007239DC"/>
    <w:rsid w:val="007241FD"/>
    <w:rsid w:val="007246A9"/>
    <w:rsid w:val="00725A22"/>
    <w:rsid w:val="0072727B"/>
    <w:rsid w:val="0072767F"/>
    <w:rsid w:val="00730F1D"/>
    <w:rsid w:val="00731B6C"/>
    <w:rsid w:val="007320FD"/>
    <w:rsid w:val="00732546"/>
    <w:rsid w:val="00732FBA"/>
    <w:rsid w:val="00733C0F"/>
    <w:rsid w:val="00733D85"/>
    <w:rsid w:val="0073402B"/>
    <w:rsid w:val="00734B34"/>
    <w:rsid w:val="00735BF8"/>
    <w:rsid w:val="00736373"/>
    <w:rsid w:val="0073647D"/>
    <w:rsid w:val="00736EA8"/>
    <w:rsid w:val="00736FD6"/>
    <w:rsid w:val="007401D9"/>
    <w:rsid w:val="00741402"/>
    <w:rsid w:val="00741B8A"/>
    <w:rsid w:val="0074224F"/>
    <w:rsid w:val="007422E2"/>
    <w:rsid w:val="00743B27"/>
    <w:rsid w:val="00743D37"/>
    <w:rsid w:val="0074539B"/>
    <w:rsid w:val="0074745C"/>
    <w:rsid w:val="007474C3"/>
    <w:rsid w:val="007500CD"/>
    <w:rsid w:val="00750605"/>
    <w:rsid w:val="00751BB5"/>
    <w:rsid w:val="0075269F"/>
    <w:rsid w:val="0075271C"/>
    <w:rsid w:val="0075303C"/>
    <w:rsid w:val="00753641"/>
    <w:rsid w:val="00753C8A"/>
    <w:rsid w:val="0075509F"/>
    <w:rsid w:val="00755600"/>
    <w:rsid w:val="0075560A"/>
    <w:rsid w:val="00755F1A"/>
    <w:rsid w:val="00755F7F"/>
    <w:rsid w:val="00757628"/>
    <w:rsid w:val="007577FB"/>
    <w:rsid w:val="00760347"/>
    <w:rsid w:val="007603E3"/>
    <w:rsid w:val="00760783"/>
    <w:rsid w:val="00761686"/>
    <w:rsid w:val="00761B71"/>
    <w:rsid w:val="00762EFF"/>
    <w:rsid w:val="00763A9A"/>
    <w:rsid w:val="00763B1A"/>
    <w:rsid w:val="0076570B"/>
    <w:rsid w:val="00765DA1"/>
    <w:rsid w:val="00766376"/>
    <w:rsid w:val="007664D2"/>
    <w:rsid w:val="0076666B"/>
    <w:rsid w:val="00766947"/>
    <w:rsid w:val="0076694B"/>
    <w:rsid w:val="007670B7"/>
    <w:rsid w:val="00767D1D"/>
    <w:rsid w:val="00771967"/>
    <w:rsid w:val="007726DE"/>
    <w:rsid w:val="00773764"/>
    <w:rsid w:val="00775BD7"/>
    <w:rsid w:val="00775C86"/>
    <w:rsid w:val="00776B39"/>
    <w:rsid w:val="00780459"/>
    <w:rsid w:val="007809CA"/>
    <w:rsid w:val="00781DFE"/>
    <w:rsid w:val="0078290D"/>
    <w:rsid w:val="00783799"/>
    <w:rsid w:val="00783E62"/>
    <w:rsid w:val="00785132"/>
    <w:rsid w:val="00785C70"/>
    <w:rsid w:val="00790497"/>
    <w:rsid w:val="0079084C"/>
    <w:rsid w:val="00790F36"/>
    <w:rsid w:val="007930DD"/>
    <w:rsid w:val="007938F2"/>
    <w:rsid w:val="00794461"/>
    <w:rsid w:val="007947E5"/>
    <w:rsid w:val="007948B1"/>
    <w:rsid w:val="00794FD2"/>
    <w:rsid w:val="00795EF2"/>
    <w:rsid w:val="00797273"/>
    <w:rsid w:val="00797502"/>
    <w:rsid w:val="007A0D60"/>
    <w:rsid w:val="007A13CC"/>
    <w:rsid w:val="007A19CA"/>
    <w:rsid w:val="007A2858"/>
    <w:rsid w:val="007A2E1F"/>
    <w:rsid w:val="007A3A08"/>
    <w:rsid w:val="007A4996"/>
    <w:rsid w:val="007A4DAD"/>
    <w:rsid w:val="007A4DFF"/>
    <w:rsid w:val="007A546C"/>
    <w:rsid w:val="007A5DBD"/>
    <w:rsid w:val="007A64AE"/>
    <w:rsid w:val="007A7EDF"/>
    <w:rsid w:val="007B13AA"/>
    <w:rsid w:val="007B3FBA"/>
    <w:rsid w:val="007B4770"/>
    <w:rsid w:val="007B4CA0"/>
    <w:rsid w:val="007B5F8D"/>
    <w:rsid w:val="007B6D6A"/>
    <w:rsid w:val="007B7541"/>
    <w:rsid w:val="007B76D9"/>
    <w:rsid w:val="007B7C11"/>
    <w:rsid w:val="007B7D05"/>
    <w:rsid w:val="007C007C"/>
    <w:rsid w:val="007C1799"/>
    <w:rsid w:val="007C1A05"/>
    <w:rsid w:val="007C1D6B"/>
    <w:rsid w:val="007C2210"/>
    <w:rsid w:val="007C31DC"/>
    <w:rsid w:val="007C39D2"/>
    <w:rsid w:val="007C3F7C"/>
    <w:rsid w:val="007C47A5"/>
    <w:rsid w:val="007C5F97"/>
    <w:rsid w:val="007C6737"/>
    <w:rsid w:val="007C69A8"/>
    <w:rsid w:val="007C6A2C"/>
    <w:rsid w:val="007C6F1C"/>
    <w:rsid w:val="007C786F"/>
    <w:rsid w:val="007D0F4A"/>
    <w:rsid w:val="007D245E"/>
    <w:rsid w:val="007D2853"/>
    <w:rsid w:val="007D2D72"/>
    <w:rsid w:val="007D4133"/>
    <w:rsid w:val="007D4C24"/>
    <w:rsid w:val="007D4D06"/>
    <w:rsid w:val="007D4DB7"/>
    <w:rsid w:val="007D537D"/>
    <w:rsid w:val="007D5B71"/>
    <w:rsid w:val="007D5B9B"/>
    <w:rsid w:val="007D66AC"/>
    <w:rsid w:val="007D67DF"/>
    <w:rsid w:val="007D76CD"/>
    <w:rsid w:val="007D77B8"/>
    <w:rsid w:val="007D77DB"/>
    <w:rsid w:val="007D7CFF"/>
    <w:rsid w:val="007E03ED"/>
    <w:rsid w:val="007E0406"/>
    <w:rsid w:val="007E0E57"/>
    <w:rsid w:val="007E279A"/>
    <w:rsid w:val="007E3722"/>
    <w:rsid w:val="007E4A55"/>
    <w:rsid w:val="007E5D10"/>
    <w:rsid w:val="007E5FD7"/>
    <w:rsid w:val="007E627E"/>
    <w:rsid w:val="007E6682"/>
    <w:rsid w:val="007E6A5C"/>
    <w:rsid w:val="007E6C0A"/>
    <w:rsid w:val="007F077A"/>
    <w:rsid w:val="007F07B3"/>
    <w:rsid w:val="007F19AE"/>
    <w:rsid w:val="007F1D95"/>
    <w:rsid w:val="007F2173"/>
    <w:rsid w:val="007F21DB"/>
    <w:rsid w:val="007F2A54"/>
    <w:rsid w:val="007F3834"/>
    <w:rsid w:val="007F429A"/>
    <w:rsid w:val="007F43CF"/>
    <w:rsid w:val="007F4559"/>
    <w:rsid w:val="007F5019"/>
    <w:rsid w:val="007F5316"/>
    <w:rsid w:val="007F5C24"/>
    <w:rsid w:val="007F6982"/>
    <w:rsid w:val="007F6F15"/>
    <w:rsid w:val="007F71D1"/>
    <w:rsid w:val="007F738F"/>
    <w:rsid w:val="00800B5B"/>
    <w:rsid w:val="00801188"/>
    <w:rsid w:val="00802F44"/>
    <w:rsid w:val="00803503"/>
    <w:rsid w:val="00803B99"/>
    <w:rsid w:val="00803EC2"/>
    <w:rsid w:val="008046B4"/>
    <w:rsid w:val="00805F10"/>
    <w:rsid w:val="008061A8"/>
    <w:rsid w:val="008069A7"/>
    <w:rsid w:val="00810150"/>
    <w:rsid w:val="00810C27"/>
    <w:rsid w:val="008112C0"/>
    <w:rsid w:val="00812792"/>
    <w:rsid w:val="0081321B"/>
    <w:rsid w:val="008140F7"/>
    <w:rsid w:val="00814766"/>
    <w:rsid w:val="00814E35"/>
    <w:rsid w:val="0081511F"/>
    <w:rsid w:val="00815B9E"/>
    <w:rsid w:val="00815CDB"/>
    <w:rsid w:val="00816891"/>
    <w:rsid w:val="00816D17"/>
    <w:rsid w:val="00820062"/>
    <w:rsid w:val="00820952"/>
    <w:rsid w:val="00820AC6"/>
    <w:rsid w:val="008214D3"/>
    <w:rsid w:val="008223D7"/>
    <w:rsid w:val="00824348"/>
    <w:rsid w:val="00824864"/>
    <w:rsid w:val="008248E9"/>
    <w:rsid w:val="0082526F"/>
    <w:rsid w:val="00825270"/>
    <w:rsid w:val="008256BD"/>
    <w:rsid w:val="008256D0"/>
    <w:rsid w:val="008271E8"/>
    <w:rsid w:val="00827AC6"/>
    <w:rsid w:val="00830894"/>
    <w:rsid w:val="008309E1"/>
    <w:rsid w:val="00830F6F"/>
    <w:rsid w:val="008314B3"/>
    <w:rsid w:val="0083195C"/>
    <w:rsid w:val="00832E0B"/>
    <w:rsid w:val="00833663"/>
    <w:rsid w:val="00833DA3"/>
    <w:rsid w:val="00833F13"/>
    <w:rsid w:val="00835186"/>
    <w:rsid w:val="00835569"/>
    <w:rsid w:val="008355F7"/>
    <w:rsid w:val="008363C3"/>
    <w:rsid w:val="008367CF"/>
    <w:rsid w:val="00836B53"/>
    <w:rsid w:val="0083791C"/>
    <w:rsid w:val="00837A34"/>
    <w:rsid w:val="008410A9"/>
    <w:rsid w:val="008411AA"/>
    <w:rsid w:val="00843404"/>
    <w:rsid w:val="00843647"/>
    <w:rsid w:val="00843E57"/>
    <w:rsid w:val="00843E96"/>
    <w:rsid w:val="008452A4"/>
    <w:rsid w:val="008454D5"/>
    <w:rsid w:val="008459E9"/>
    <w:rsid w:val="008462F5"/>
    <w:rsid w:val="0084670B"/>
    <w:rsid w:val="00846CDC"/>
    <w:rsid w:val="00850C19"/>
    <w:rsid w:val="00850CA9"/>
    <w:rsid w:val="00850D54"/>
    <w:rsid w:val="00851DC0"/>
    <w:rsid w:val="00852035"/>
    <w:rsid w:val="00852845"/>
    <w:rsid w:val="0085293A"/>
    <w:rsid w:val="00852B19"/>
    <w:rsid w:val="00852C4B"/>
    <w:rsid w:val="008540B8"/>
    <w:rsid w:val="00856AF0"/>
    <w:rsid w:val="00856ED2"/>
    <w:rsid w:val="00860126"/>
    <w:rsid w:val="0086067E"/>
    <w:rsid w:val="00860C41"/>
    <w:rsid w:val="00860EAB"/>
    <w:rsid w:val="008610E3"/>
    <w:rsid w:val="00861390"/>
    <w:rsid w:val="00863930"/>
    <w:rsid w:val="008649DB"/>
    <w:rsid w:val="0086572D"/>
    <w:rsid w:val="00866103"/>
    <w:rsid w:val="00866222"/>
    <w:rsid w:val="008669E8"/>
    <w:rsid w:val="00867181"/>
    <w:rsid w:val="008679F5"/>
    <w:rsid w:val="00867B38"/>
    <w:rsid w:val="00867E86"/>
    <w:rsid w:val="00870787"/>
    <w:rsid w:val="008714C0"/>
    <w:rsid w:val="008719DE"/>
    <w:rsid w:val="00871F72"/>
    <w:rsid w:val="008727F8"/>
    <w:rsid w:val="0087387C"/>
    <w:rsid w:val="0087459F"/>
    <w:rsid w:val="00874D78"/>
    <w:rsid w:val="008766EA"/>
    <w:rsid w:val="00876D4E"/>
    <w:rsid w:val="00876E71"/>
    <w:rsid w:val="00877185"/>
    <w:rsid w:val="008779BC"/>
    <w:rsid w:val="00881077"/>
    <w:rsid w:val="00881BE3"/>
    <w:rsid w:val="00882664"/>
    <w:rsid w:val="00882741"/>
    <w:rsid w:val="00882B1D"/>
    <w:rsid w:val="0088509C"/>
    <w:rsid w:val="00885ED5"/>
    <w:rsid w:val="00886670"/>
    <w:rsid w:val="00887159"/>
    <w:rsid w:val="008905E4"/>
    <w:rsid w:val="00890603"/>
    <w:rsid w:val="008920EE"/>
    <w:rsid w:val="008923E3"/>
    <w:rsid w:val="008944E0"/>
    <w:rsid w:val="00894AEB"/>
    <w:rsid w:val="00894EC5"/>
    <w:rsid w:val="0089522E"/>
    <w:rsid w:val="008954C6"/>
    <w:rsid w:val="00896476"/>
    <w:rsid w:val="008A08E2"/>
    <w:rsid w:val="008A09E9"/>
    <w:rsid w:val="008A0D91"/>
    <w:rsid w:val="008A183B"/>
    <w:rsid w:val="008A25A3"/>
    <w:rsid w:val="008A3FD6"/>
    <w:rsid w:val="008A4DBF"/>
    <w:rsid w:val="008A57E4"/>
    <w:rsid w:val="008A5E81"/>
    <w:rsid w:val="008A5FC9"/>
    <w:rsid w:val="008A6B3D"/>
    <w:rsid w:val="008A6DAF"/>
    <w:rsid w:val="008A6ED7"/>
    <w:rsid w:val="008A7A50"/>
    <w:rsid w:val="008B0FE9"/>
    <w:rsid w:val="008B1637"/>
    <w:rsid w:val="008B4EC6"/>
    <w:rsid w:val="008B63A3"/>
    <w:rsid w:val="008B7178"/>
    <w:rsid w:val="008B7224"/>
    <w:rsid w:val="008C0CAC"/>
    <w:rsid w:val="008C1236"/>
    <w:rsid w:val="008C1434"/>
    <w:rsid w:val="008C15B1"/>
    <w:rsid w:val="008C245B"/>
    <w:rsid w:val="008C2687"/>
    <w:rsid w:val="008C27E0"/>
    <w:rsid w:val="008C2E0E"/>
    <w:rsid w:val="008C2F3F"/>
    <w:rsid w:val="008C43A9"/>
    <w:rsid w:val="008C47D6"/>
    <w:rsid w:val="008C4D8E"/>
    <w:rsid w:val="008C5AEA"/>
    <w:rsid w:val="008C671F"/>
    <w:rsid w:val="008C6B78"/>
    <w:rsid w:val="008D0519"/>
    <w:rsid w:val="008D147C"/>
    <w:rsid w:val="008D24EC"/>
    <w:rsid w:val="008D251E"/>
    <w:rsid w:val="008D2FB5"/>
    <w:rsid w:val="008D2FC9"/>
    <w:rsid w:val="008D3277"/>
    <w:rsid w:val="008D4270"/>
    <w:rsid w:val="008D4441"/>
    <w:rsid w:val="008D458F"/>
    <w:rsid w:val="008D5C54"/>
    <w:rsid w:val="008D7413"/>
    <w:rsid w:val="008D7489"/>
    <w:rsid w:val="008E0E1C"/>
    <w:rsid w:val="008E0F47"/>
    <w:rsid w:val="008E1805"/>
    <w:rsid w:val="008E2A0A"/>
    <w:rsid w:val="008E2ED4"/>
    <w:rsid w:val="008E35EC"/>
    <w:rsid w:val="008E3941"/>
    <w:rsid w:val="008E4246"/>
    <w:rsid w:val="008E431D"/>
    <w:rsid w:val="008E4C2D"/>
    <w:rsid w:val="008E556D"/>
    <w:rsid w:val="008E5F3C"/>
    <w:rsid w:val="008E6542"/>
    <w:rsid w:val="008E686C"/>
    <w:rsid w:val="008E79EE"/>
    <w:rsid w:val="008E7C4B"/>
    <w:rsid w:val="008F0AF7"/>
    <w:rsid w:val="008F207B"/>
    <w:rsid w:val="008F2276"/>
    <w:rsid w:val="008F460F"/>
    <w:rsid w:val="008F4733"/>
    <w:rsid w:val="008F52B3"/>
    <w:rsid w:val="008F5B9B"/>
    <w:rsid w:val="008F5D33"/>
    <w:rsid w:val="008F6B17"/>
    <w:rsid w:val="008F6D11"/>
    <w:rsid w:val="008F6D86"/>
    <w:rsid w:val="008F7B68"/>
    <w:rsid w:val="008F7D39"/>
    <w:rsid w:val="009019B1"/>
    <w:rsid w:val="00904586"/>
    <w:rsid w:val="009045CA"/>
    <w:rsid w:val="00905322"/>
    <w:rsid w:val="0090651C"/>
    <w:rsid w:val="00907648"/>
    <w:rsid w:val="00907C27"/>
    <w:rsid w:val="00910101"/>
    <w:rsid w:val="00910688"/>
    <w:rsid w:val="00911BCC"/>
    <w:rsid w:val="00911DFD"/>
    <w:rsid w:val="00911F4D"/>
    <w:rsid w:val="0091231E"/>
    <w:rsid w:val="009131C2"/>
    <w:rsid w:val="0091335B"/>
    <w:rsid w:val="009142BA"/>
    <w:rsid w:val="009150F4"/>
    <w:rsid w:val="00915A5D"/>
    <w:rsid w:val="00915C0C"/>
    <w:rsid w:val="00916DEA"/>
    <w:rsid w:val="00917080"/>
    <w:rsid w:val="0091725A"/>
    <w:rsid w:val="0091794D"/>
    <w:rsid w:val="00917CEA"/>
    <w:rsid w:val="00917DE1"/>
    <w:rsid w:val="009207B2"/>
    <w:rsid w:val="00920EB7"/>
    <w:rsid w:val="00921B64"/>
    <w:rsid w:val="009244D1"/>
    <w:rsid w:val="00924599"/>
    <w:rsid w:val="009249DE"/>
    <w:rsid w:val="0092524B"/>
    <w:rsid w:val="00925EEC"/>
    <w:rsid w:val="00926707"/>
    <w:rsid w:val="00926D07"/>
    <w:rsid w:val="00927C55"/>
    <w:rsid w:val="00927E0E"/>
    <w:rsid w:val="00930544"/>
    <w:rsid w:val="009307E7"/>
    <w:rsid w:val="00930FB6"/>
    <w:rsid w:val="0093137C"/>
    <w:rsid w:val="009314E8"/>
    <w:rsid w:val="00931FB8"/>
    <w:rsid w:val="009323EE"/>
    <w:rsid w:val="00932E79"/>
    <w:rsid w:val="00933283"/>
    <w:rsid w:val="00933A3B"/>
    <w:rsid w:val="00934121"/>
    <w:rsid w:val="009360D3"/>
    <w:rsid w:val="00936876"/>
    <w:rsid w:val="00936DEA"/>
    <w:rsid w:val="009371C3"/>
    <w:rsid w:val="009405AD"/>
    <w:rsid w:val="00941444"/>
    <w:rsid w:val="00942180"/>
    <w:rsid w:val="00942A50"/>
    <w:rsid w:val="0094325A"/>
    <w:rsid w:val="009436DD"/>
    <w:rsid w:val="009446A2"/>
    <w:rsid w:val="00946F86"/>
    <w:rsid w:val="0094732E"/>
    <w:rsid w:val="009511C3"/>
    <w:rsid w:val="00953836"/>
    <w:rsid w:val="00953844"/>
    <w:rsid w:val="009540AC"/>
    <w:rsid w:val="00954898"/>
    <w:rsid w:val="00955017"/>
    <w:rsid w:val="00955B2B"/>
    <w:rsid w:val="00956F5F"/>
    <w:rsid w:val="00957560"/>
    <w:rsid w:val="00960DF2"/>
    <w:rsid w:val="00961610"/>
    <w:rsid w:val="009628A2"/>
    <w:rsid w:val="00963613"/>
    <w:rsid w:val="00964D8A"/>
    <w:rsid w:val="00965251"/>
    <w:rsid w:val="00965B07"/>
    <w:rsid w:val="00965C25"/>
    <w:rsid w:val="00966CFE"/>
    <w:rsid w:val="00967785"/>
    <w:rsid w:val="00967BF4"/>
    <w:rsid w:val="00970A60"/>
    <w:rsid w:val="00971C86"/>
    <w:rsid w:val="009725A3"/>
    <w:rsid w:val="009733A2"/>
    <w:rsid w:val="00973517"/>
    <w:rsid w:val="00973CE5"/>
    <w:rsid w:val="00973E6E"/>
    <w:rsid w:val="00974A63"/>
    <w:rsid w:val="00974E2F"/>
    <w:rsid w:val="00974FDE"/>
    <w:rsid w:val="00975090"/>
    <w:rsid w:val="00975244"/>
    <w:rsid w:val="00976999"/>
    <w:rsid w:val="00977506"/>
    <w:rsid w:val="0097772D"/>
    <w:rsid w:val="00980327"/>
    <w:rsid w:val="00980359"/>
    <w:rsid w:val="009817C9"/>
    <w:rsid w:val="00982346"/>
    <w:rsid w:val="00982F7E"/>
    <w:rsid w:val="00983550"/>
    <w:rsid w:val="0098378C"/>
    <w:rsid w:val="009837EC"/>
    <w:rsid w:val="00984134"/>
    <w:rsid w:val="009848C0"/>
    <w:rsid w:val="00984C22"/>
    <w:rsid w:val="00984D82"/>
    <w:rsid w:val="009853CB"/>
    <w:rsid w:val="00986C8F"/>
    <w:rsid w:val="0098729B"/>
    <w:rsid w:val="00987C01"/>
    <w:rsid w:val="00987D36"/>
    <w:rsid w:val="00990551"/>
    <w:rsid w:val="0099078E"/>
    <w:rsid w:val="00990C48"/>
    <w:rsid w:val="0099136A"/>
    <w:rsid w:val="0099140E"/>
    <w:rsid w:val="0099157E"/>
    <w:rsid w:val="00991CBD"/>
    <w:rsid w:val="00991F16"/>
    <w:rsid w:val="009931C0"/>
    <w:rsid w:val="00993E19"/>
    <w:rsid w:val="009953DA"/>
    <w:rsid w:val="00995F7C"/>
    <w:rsid w:val="00996BA3"/>
    <w:rsid w:val="009973BE"/>
    <w:rsid w:val="009A00FD"/>
    <w:rsid w:val="009A02E6"/>
    <w:rsid w:val="009A0931"/>
    <w:rsid w:val="009A0C10"/>
    <w:rsid w:val="009A1E0A"/>
    <w:rsid w:val="009A2272"/>
    <w:rsid w:val="009A2AE5"/>
    <w:rsid w:val="009A2E99"/>
    <w:rsid w:val="009A3277"/>
    <w:rsid w:val="009A39B7"/>
    <w:rsid w:val="009A3F28"/>
    <w:rsid w:val="009A4116"/>
    <w:rsid w:val="009A52B7"/>
    <w:rsid w:val="009A6505"/>
    <w:rsid w:val="009B0CCF"/>
    <w:rsid w:val="009B1182"/>
    <w:rsid w:val="009B2522"/>
    <w:rsid w:val="009B26DF"/>
    <w:rsid w:val="009B34D4"/>
    <w:rsid w:val="009B36B3"/>
    <w:rsid w:val="009B3AFD"/>
    <w:rsid w:val="009B467D"/>
    <w:rsid w:val="009B6874"/>
    <w:rsid w:val="009B75F5"/>
    <w:rsid w:val="009B798B"/>
    <w:rsid w:val="009B7FAF"/>
    <w:rsid w:val="009C20FA"/>
    <w:rsid w:val="009C24ED"/>
    <w:rsid w:val="009C3B5F"/>
    <w:rsid w:val="009C4A5D"/>
    <w:rsid w:val="009C53C4"/>
    <w:rsid w:val="009C5612"/>
    <w:rsid w:val="009C57F6"/>
    <w:rsid w:val="009C71E2"/>
    <w:rsid w:val="009D01FF"/>
    <w:rsid w:val="009D3208"/>
    <w:rsid w:val="009D3A5B"/>
    <w:rsid w:val="009D788E"/>
    <w:rsid w:val="009E0BB8"/>
    <w:rsid w:val="009E1190"/>
    <w:rsid w:val="009E125D"/>
    <w:rsid w:val="009E1940"/>
    <w:rsid w:val="009E2178"/>
    <w:rsid w:val="009E26E5"/>
    <w:rsid w:val="009E27ED"/>
    <w:rsid w:val="009E2925"/>
    <w:rsid w:val="009E56A0"/>
    <w:rsid w:val="009E5C74"/>
    <w:rsid w:val="009E6725"/>
    <w:rsid w:val="009F0F6F"/>
    <w:rsid w:val="009F120D"/>
    <w:rsid w:val="009F1E70"/>
    <w:rsid w:val="009F1F4C"/>
    <w:rsid w:val="009F2B3B"/>
    <w:rsid w:val="009F3EBC"/>
    <w:rsid w:val="009F4201"/>
    <w:rsid w:val="009F5B46"/>
    <w:rsid w:val="009F6142"/>
    <w:rsid w:val="009F6803"/>
    <w:rsid w:val="009F698C"/>
    <w:rsid w:val="009F753F"/>
    <w:rsid w:val="009F7670"/>
    <w:rsid w:val="00A01C47"/>
    <w:rsid w:val="00A03EF0"/>
    <w:rsid w:val="00A0410B"/>
    <w:rsid w:val="00A04119"/>
    <w:rsid w:val="00A0425A"/>
    <w:rsid w:val="00A04440"/>
    <w:rsid w:val="00A04665"/>
    <w:rsid w:val="00A04E8C"/>
    <w:rsid w:val="00A0646D"/>
    <w:rsid w:val="00A06A5F"/>
    <w:rsid w:val="00A06EA3"/>
    <w:rsid w:val="00A0789C"/>
    <w:rsid w:val="00A108CB"/>
    <w:rsid w:val="00A11AA0"/>
    <w:rsid w:val="00A13CED"/>
    <w:rsid w:val="00A142F7"/>
    <w:rsid w:val="00A1540B"/>
    <w:rsid w:val="00A1562D"/>
    <w:rsid w:val="00A16061"/>
    <w:rsid w:val="00A1700B"/>
    <w:rsid w:val="00A206ED"/>
    <w:rsid w:val="00A21673"/>
    <w:rsid w:val="00A22F49"/>
    <w:rsid w:val="00A2390F"/>
    <w:rsid w:val="00A24A5B"/>
    <w:rsid w:val="00A24F45"/>
    <w:rsid w:val="00A25639"/>
    <w:rsid w:val="00A25A88"/>
    <w:rsid w:val="00A25C1B"/>
    <w:rsid w:val="00A25C8C"/>
    <w:rsid w:val="00A260C0"/>
    <w:rsid w:val="00A2700D"/>
    <w:rsid w:val="00A275ED"/>
    <w:rsid w:val="00A30256"/>
    <w:rsid w:val="00A3143D"/>
    <w:rsid w:val="00A316BC"/>
    <w:rsid w:val="00A31B1E"/>
    <w:rsid w:val="00A31EE0"/>
    <w:rsid w:val="00A321C2"/>
    <w:rsid w:val="00A33BD2"/>
    <w:rsid w:val="00A33F34"/>
    <w:rsid w:val="00A343B1"/>
    <w:rsid w:val="00A34CD3"/>
    <w:rsid w:val="00A34E1B"/>
    <w:rsid w:val="00A3562E"/>
    <w:rsid w:val="00A35CB2"/>
    <w:rsid w:val="00A40F6B"/>
    <w:rsid w:val="00A42A69"/>
    <w:rsid w:val="00A4465F"/>
    <w:rsid w:val="00A44989"/>
    <w:rsid w:val="00A455AA"/>
    <w:rsid w:val="00A46376"/>
    <w:rsid w:val="00A47F7F"/>
    <w:rsid w:val="00A502BF"/>
    <w:rsid w:val="00A505A8"/>
    <w:rsid w:val="00A50DCC"/>
    <w:rsid w:val="00A50FD2"/>
    <w:rsid w:val="00A510F5"/>
    <w:rsid w:val="00A5155D"/>
    <w:rsid w:val="00A529CD"/>
    <w:rsid w:val="00A52DAD"/>
    <w:rsid w:val="00A52DF1"/>
    <w:rsid w:val="00A53320"/>
    <w:rsid w:val="00A53BB5"/>
    <w:rsid w:val="00A53F21"/>
    <w:rsid w:val="00A53F23"/>
    <w:rsid w:val="00A5486A"/>
    <w:rsid w:val="00A5538D"/>
    <w:rsid w:val="00A55A8A"/>
    <w:rsid w:val="00A565E5"/>
    <w:rsid w:val="00A57C61"/>
    <w:rsid w:val="00A621BC"/>
    <w:rsid w:val="00A625F3"/>
    <w:rsid w:val="00A635C3"/>
    <w:rsid w:val="00A64AED"/>
    <w:rsid w:val="00A659B2"/>
    <w:rsid w:val="00A65B52"/>
    <w:rsid w:val="00A65BC2"/>
    <w:rsid w:val="00A66032"/>
    <w:rsid w:val="00A669B7"/>
    <w:rsid w:val="00A66D1E"/>
    <w:rsid w:val="00A67278"/>
    <w:rsid w:val="00A6730C"/>
    <w:rsid w:val="00A674ED"/>
    <w:rsid w:val="00A67613"/>
    <w:rsid w:val="00A709DA"/>
    <w:rsid w:val="00A70CDB"/>
    <w:rsid w:val="00A70E51"/>
    <w:rsid w:val="00A7167B"/>
    <w:rsid w:val="00A7221E"/>
    <w:rsid w:val="00A74BCC"/>
    <w:rsid w:val="00A75825"/>
    <w:rsid w:val="00A7755C"/>
    <w:rsid w:val="00A776D7"/>
    <w:rsid w:val="00A80697"/>
    <w:rsid w:val="00A81201"/>
    <w:rsid w:val="00A817EE"/>
    <w:rsid w:val="00A81B67"/>
    <w:rsid w:val="00A82318"/>
    <w:rsid w:val="00A82CEF"/>
    <w:rsid w:val="00A82EFA"/>
    <w:rsid w:val="00A83C2A"/>
    <w:rsid w:val="00A83CD6"/>
    <w:rsid w:val="00A84D12"/>
    <w:rsid w:val="00A87DE6"/>
    <w:rsid w:val="00A900A9"/>
    <w:rsid w:val="00A90B14"/>
    <w:rsid w:val="00A90BC6"/>
    <w:rsid w:val="00A90C50"/>
    <w:rsid w:val="00A91676"/>
    <w:rsid w:val="00A9186D"/>
    <w:rsid w:val="00A91D7C"/>
    <w:rsid w:val="00A9254C"/>
    <w:rsid w:val="00A92F69"/>
    <w:rsid w:val="00A930BA"/>
    <w:rsid w:val="00A93CEE"/>
    <w:rsid w:val="00A95BBE"/>
    <w:rsid w:val="00A9677B"/>
    <w:rsid w:val="00A967A4"/>
    <w:rsid w:val="00A96FFD"/>
    <w:rsid w:val="00A977B5"/>
    <w:rsid w:val="00A97CC5"/>
    <w:rsid w:val="00AA01F1"/>
    <w:rsid w:val="00AA036D"/>
    <w:rsid w:val="00AA03BB"/>
    <w:rsid w:val="00AA116F"/>
    <w:rsid w:val="00AA20C1"/>
    <w:rsid w:val="00AA2DF6"/>
    <w:rsid w:val="00AA458D"/>
    <w:rsid w:val="00AA46D2"/>
    <w:rsid w:val="00AA4A85"/>
    <w:rsid w:val="00AA5423"/>
    <w:rsid w:val="00AA760A"/>
    <w:rsid w:val="00AB02B2"/>
    <w:rsid w:val="00AB03B5"/>
    <w:rsid w:val="00AB09C3"/>
    <w:rsid w:val="00AB2F1F"/>
    <w:rsid w:val="00AB3B27"/>
    <w:rsid w:val="00AB3BA2"/>
    <w:rsid w:val="00AB40F5"/>
    <w:rsid w:val="00AB57BF"/>
    <w:rsid w:val="00AB5A65"/>
    <w:rsid w:val="00AB5C91"/>
    <w:rsid w:val="00AB79F1"/>
    <w:rsid w:val="00AC011C"/>
    <w:rsid w:val="00AC30AE"/>
    <w:rsid w:val="00AC38DB"/>
    <w:rsid w:val="00AC43AB"/>
    <w:rsid w:val="00AC52B6"/>
    <w:rsid w:val="00AC658C"/>
    <w:rsid w:val="00AC65D6"/>
    <w:rsid w:val="00AC6A6A"/>
    <w:rsid w:val="00AC78CB"/>
    <w:rsid w:val="00AC7BF7"/>
    <w:rsid w:val="00AD018A"/>
    <w:rsid w:val="00AD051D"/>
    <w:rsid w:val="00AD089D"/>
    <w:rsid w:val="00AD0FF8"/>
    <w:rsid w:val="00AD1A0F"/>
    <w:rsid w:val="00AD22C4"/>
    <w:rsid w:val="00AD258C"/>
    <w:rsid w:val="00AD271E"/>
    <w:rsid w:val="00AD2852"/>
    <w:rsid w:val="00AD2BB6"/>
    <w:rsid w:val="00AD2CED"/>
    <w:rsid w:val="00AD3391"/>
    <w:rsid w:val="00AD379D"/>
    <w:rsid w:val="00AD47D5"/>
    <w:rsid w:val="00AD5D28"/>
    <w:rsid w:val="00AD626F"/>
    <w:rsid w:val="00AD67D4"/>
    <w:rsid w:val="00AD71F3"/>
    <w:rsid w:val="00AE15F0"/>
    <w:rsid w:val="00AE2374"/>
    <w:rsid w:val="00AE2826"/>
    <w:rsid w:val="00AE2BB2"/>
    <w:rsid w:val="00AE2CEF"/>
    <w:rsid w:val="00AE3386"/>
    <w:rsid w:val="00AE367B"/>
    <w:rsid w:val="00AE37FC"/>
    <w:rsid w:val="00AE3A9F"/>
    <w:rsid w:val="00AE46A3"/>
    <w:rsid w:val="00AE49BD"/>
    <w:rsid w:val="00AE5547"/>
    <w:rsid w:val="00AE5AD8"/>
    <w:rsid w:val="00AE5F28"/>
    <w:rsid w:val="00AE6034"/>
    <w:rsid w:val="00AE6681"/>
    <w:rsid w:val="00AE6855"/>
    <w:rsid w:val="00AF0461"/>
    <w:rsid w:val="00AF1610"/>
    <w:rsid w:val="00AF22DA"/>
    <w:rsid w:val="00AF240C"/>
    <w:rsid w:val="00AF36DF"/>
    <w:rsid w:val="00AF3DBE"/>
    <w:rsid w:val="00AF4743"/>
    <w:rsid w:val="00AF63DC"/>
    <w:rsid w:val="00B009B3"/>
    <w:rsid w:val="00B01059"/>
    <w:rsid w:val="00B02D88"/>
    <w:rsid w:val="00B03075"/>
    <w:rsid w:val="00B033CF"/>
    <w:rsid w:val="00B03E05"/>
    <w:rsid w:val="00B03EFB"/>
    <w:rsid w:val="00B041FC"/>
    <w:rsid w:val="00B047C2"/>
    <w:rsid w:val="00B068C3"/>
    <w:rsid w:val="00B06E50"/>
    <w:rsid w:val="00B077EB"/>
    <w:rsid w:val="00B07B61"/>
    <w:rsid w:val="00B12819"/>
    <w:rsid w:val="00B13D42"/>
    <w:rsid w:val="00B14A02"/>
    <w:rsid w:val="00B16392"/>
    <w:rsid w:val="00B17EDD"/>
    <w:rsid w:val="00B2035D"/>
    <w:rsid w:val="00B215B0"/>
    <w:rsid w:val="00B21601"/>
    <w:rsid w:val="00B2184E"/>
    <w:rsid w:val="00B21E74"/>
    <w:rsid w:val="00B21E96"/>
    <w:rsid w:val="00B232E0"/>
    <w:rsid w:val="00B23786"/>
    <w:rsid w:val="00B2411A"/>
    <w:rsid w:val="00B24C02"/>
    <w:rsid w:val="00B24CE2"/>
    <w:rsid w:val="00B26356"/>
    <w:rsid w:val="00B26FF7"/>
    <w:rsid w:val="00B31DCD"/>
    <w:rsid w:val="00B32270"/>
    <w:rsid w:val="00B327AC"/>
    <w:rsid w:val="00B33A9E"/>
    <w:rsid w:val="00B34403"/>
    <w:rsid w:val="00B34B3F"/>
    <w:rsid w:val="00B34C4F"/>
    <w:rsid w:val="00B356D3"/>
    <w:rsid w:val="00B36E35"/>
    <w:rsid w:val="00B37CB2"/>
    <w:rsid w:val="00B405C7"/>
    <w:rsid w:val="00B40984"/>
    <w:rsid w:val="00B417A8"/>
    <w:rsid w:val="00B420B4"/>
    <w:rsid w:val="00B43034"/>
    <w:rsid w:val="00B43216"/>
    <w:rsid w:val="00B437EF"/>
    <w:rsid w:val="00B43AD6"/>
    <w:rsid w:val="00B44310"/>
    <w:rsid w:val="00B44E27"/>
    <w:rsid w:val="00B45511"/>
    <w:rsid w:val="00B45AB6"/>
    <w:rsid w:val="00B46CBC"/>
    <w:rsid w:val="00B47277"/>
    <w:rsid w:val="00B50FAE"/>
    <w:rsid w:val="00B51D69"/>
    <w:rsid w:val="00B52263"/>
    <w:rsid w:val="00B523D2"/>
    <w:rsid w:val="00B52C98"/>
    <w:rsid w:val="00B53537"/>
    <w:rsid w:val="00B5386F"/>
    <w:rsid w:val="00B53E0B"/>
    <w:rsid w:val="00B54C34"/>
    <w:rsid w:val="00B5540B"/>
    <w:rsid w:val="00B564C2"/>
    <w:rsid w:val="00B56955"/>
    <w:rsid w:val="00B56C47"/>
    <w:rsid w:val="00B573D1"/>
    <w:rsid w:val="00B608F0"/>
    <w:rsid w:val="00B60D5C"/>
    <w:rsid w:val="00B614BF"/>
    <w:rsid w:val="00B62CB3"/>
    <w:rsid w:val="00B62DEB"/>
    <w:rsid w:val="00B63A4A"/>
    <w:rsid w:val="00B63BA1"/>
    <w:rsid w:val="00B63C87"/>
    <w:rsid w:val="00B64902"/>
    <w:rsid w:val="00B6508A"/>
    <w:rsid w:val="00B65794"/>
    <w:rsid w:val="00B65DF8"/>
    <w:rsid w:val="00B66118"/>
    <w:rsid w:val="00B667B2"/>
    <w:rsid w:val="00B70C14"/>
    <w:rsid w:val="00B70E34"/>
    <w:rsid w:val="00B71F2D"/>
    <w:rsid w:val="00B729D8"/>
    <w:rsid w:val="00B7326C"/>
    <w:rsid w:val="00B7373F"/>
    <w:rsid w:val="00B745FC"/>
    <w:rsid w:val="00B747FB"/>
    <w:rsid w:val="00B74B03"/>
    <w:rsid w:val="00B76172"/>
    <w:rsid w:val="00B761FD"/>
    <w:rsid w:val="00B762A4"/>
    <w:rsid w:val="00B76484"/>
    <w:rsid w:val="00B7739B"/>
    <w:rsid w:val="00B77CDD"/>
    <w:rsid w:val="00B80245"/>
    <w:rsid w:val="00B82EAF"/>
    <w:rsid w:val="00B83276"/>
    <w:rsid w:val="00B8366A"/>
    <w:rsid w:val="00B8564B"/>
    <w:rsid w:val="00B85FCD"/>
    <w:rsid w:val="00B86899"/>
    <w:rsid w:val="00B86C7B"/>
    <w:rsid w:val="00B87335"/>
    <w:rsid w:val="00B90BD3"/>
    <w:rsid w:val="00B90FAB"/>
    <w:rsid w:val="00B931A9"/>
    <w:rsid w:val="00B937EB"/>
    <w:rsid w:val="00B93CA1"/>
    <w:rsid w:val="00B94D04"/>
    <w:rsid w:val="00B951CE"/>
    <w:rsid w:val="00B959C2"/>
    <w:rsid w:val="00B96CB3"/>
    <w:rsid w:val="00B97C2A"/>
    <w:rsid w:val="00BA08F4"/>
    <w:rsid w:val="00BA0B0D"/>
    <w:rsid w:val="00BA13D7"/>
    <w:rsid w:val="00BA1AE3"/>
    <w:rsid w:val="00BA1BF9"/>
    <w:rsid w:val="00BA1E44"/>
    <w:rsid w:val="00BA1F44"/>
    <w:rsid w:val="00BA247F"/>
    <w:rsid w:val="00BA371A"/>
    <w:rsid w:val="00BA37DC"/>
    <w:rsid w:val="00BA4662"/>
    <w:rsid w:val="00BA4B03"/>
    <w:rsid w:val="00BA4E01"/>
    <w:rsid w:val="00BA6118"/>
    <w:rsid w:val="00BB0370"/>
    <w:rsid w:val="00BB134C"/>
    <w:rsid w:val="00BB3957"/>
    <w:rsid w:val="00BB427B"/>
    <w:rsid w:val="00BB43FD"/>
    <w:rsid w:val="00BB4D30"/>
    <w:rsid w:val="00BB5AB9"/>
    <w:rsid w:val="00BB660A"/>
    <w:rsid w:val="00BC0B46"/>
    <w:rsid w:val="00BC1204"/>
    <w:rsid w:val="00BC56E9"/>
    <w:rsid w:val="00BC5D44"/>
    <w:rsid w:val="00BC6364"/>
    <w:rsid w:val="00BC749A"/>
    <w:rsid w:val="00BD0B9B"/>
    <w:rsid w:val="00BD1BA9"/>
    <w:rsid w:val="00BD20DE"/>
    <w:rsid w:val="00BD39FA"/>
    <w:rsid w:val="00BD4A5B"/>
    <w:rsid w:val="00BD56E8"/>
    <w:rsid w:val="00BD65AA"/>
    <w:rsid w:val="00BD7A52"/>
    <w:rsid w:val="00BE072B"/>
    <w:rsid w:val="00BE1B37"/>
    <w:rsid w:val="00BE2DFB"/>
    <w:rsid w:val="00BE3EBE"/>
    <w:rsid w:val="00BE4014"/>
    <w:rsid w:val="00BE5E14"/>
    <w:rsid w:val="00BE768D"/>
    <w:rsid w:val="00BE7A6F"/>
    <w:rsid w:val="00BF11C1"/>
    <w:rsid w:val="00BF18C4"/>
    <w:rsid w:val="00BF1B3F"/>
    <w:rsid w:val="00BF2BC5"/>
    <w:rsid w:val="00BF2EE0"/>
    <w:rsid w:val="00BF3138"/>
    <w:rsid w:val="00BF36A3"/>
    <w:rsid w:val="00BF5074"/>
    <w:rsid w:val="00BF558A"/>
    <w:rsid w:val="00BF5C94"/>
    <w:rsid w:val="00BF7041"/>
    <w:rsid w:val="00BF7500"/>
    <w:rsid w:val="00C00EDC"/>
    <w:rsid w:val="00C02D0C"/>
    <w:rsid w:val="00C03992"/>
    <w:rsid w:val="00C051DA"/>
    <w:rsid w:val="00C05C5B"/>
    <w:rsid w:val="00C07541"/>
    <w:rsid w:val="00C117A8"/>
    <w:rsid w:val="00C117C7"/>
    <w:rsid w:val="00C122CC"/>
    <w:rsid w:val="00C1316B"/>
    <w:rsid w:val="00C15696"/>
    <w:rsid w:val="00C15B64"/>
    <w:rsid w:val="00C163E5"/>
    <w:rsid w:val="00C1684A"/>
    <w:rsid w:val="00C17E99"/>
    <w:rsid w:val="00C17FA4"/>
    <w:rsid w:val="00C21335"/>
    <w:rsid w:val="00C21CDD"/>
    <w:rsid w:val="00C22396"/>
    <w:rsid w:val="00C22945"/>
    <w:rsid w:val="00C22DE8"/>
    <w:rsid w:val="00C23461"/>
    <w:rsid w:val="00C23A00"/>
    <w:rsid w:val="00C25336"/>
    <w:rsid w:val="00C256FA"/>
    <w:rsid w:val="00C25D37"/>
    <w:rsid w:val="00C26CB9"/>
    <w:rsid w:val="00C279A9"/>
    <w:rsid w:val="00C30895"/>
    <w:rsid w:val="00C30D5E"/>
    <w:rsid w:val="00C31A3F"/>
    <w:rsid w:val="00C3215B"/>
    <w:rsid w:val="00C32671"/>
    <w:rsid w:val="00C326A3"/>
    <w:rsid w:val="00C32C5F"/>
    <w:rsid w:val="00C33C07"/>
    <w:rsid w:val="00C346B3"/>
    <w:rsid w:val="00C34AE0"/>
    <w:rsid w:val="00C3538A"/>
    <w:rsid w:val="00C35908"/>
    <w:rsid w:val="00C36D90"/>
    <w:rsid w:val="00C36E86"/>
    <w:rsid w:val="00C37436"/>
    <w:rsid w:val="00C37660"/>
    <w:rsid w:val="00C37D55"/>
    <w:rsid w:val="00C40C82"/>
    <w:rsid w:val="00C40FA7"/>
    <w:rsid w:val="00C412A0"/>
    <w:rsid w:val="00C41729"/>
    <w:rsid w:val="00C41A62"/>
    <w:rsid w:val="00C42D17"/>
    <w:rsid w:val="00C43B43"/>
    <w:rsid w:val="00C4482E"/>
    <w:rsid w:val="00C45642"/>
    <w:rsid w:val="00C473CA"/>
    <w:rsid w:val="00C50991"/>
    <w:rsid w:val="00C50BBB"/>
    <w:rsid w:val="00C52955"/>
    <w:rsid w:val="00C52A08"/>
    <w:rsid w:val="00C533E5"/>
    <w:rsid w:val="00C5393F"/>
    <w:rsid w:val="00C54087"/>
    <w:rsid w:val="00C541D5"/>
    <w:rsid w:val="00C54606"/>
    <w:rsid w:val="00C54C77"/>
    <w:rsid w:val="00C55F9C"/>
    <w:rsid w:val="00C56D9D"/>
    <w:rsid w:val="00C57B9B"/>
    <w:rsid w:val="00C626B0"/>
    <w:rsid w:val="00C63A69"/>
    <w:rsid w:val="00C64FAD"/>
    <w:rsid w:val="00C65083"/>
    <w:rsid w:val="00C6535D"/>
    <w:rsid w:val="00C65A11"/>
    <w:rsid w:val="00C65FDC"/>
    <w:rsid w:val="00C668F1"/>
    <w:rsid w:val="00C66B02"/>
    <w:rsid w:val="00C66B1C"/>
    <w:rsid w:val="00C66D08"/>
    <w:rsid w:val="00C67374"/>
    <w:rsid w:val="00C7010F"/>
    <w:rsid w:val="00C7137E"/>
    <w:rsid w:val="00C723CC"/>
    <w:rsid w:val="00C724C1"/>
    <w:rsid w:val="00C72E11"/>
    <w:rsid w:val="00C731D9"/>
    <w:rsid w:val="00C73860"/>
    <w:rsid w:val="00C746BA"/>
    <w:rsid w:val="00C75142"/>
    <w:rsid w:val="00C76696"/>
    <w:rsid w:val="00C77624"/>
    <w:rsid w:val="00C77738"/>
    <w:rsid w:val="00C8015B"/>
    <w:rsid w:val="00C80F8A"/>
    <w:rsid w:val="00C811A2"/>
    <w:rsid w:val="00C81223"/>
    <w:rsid w:val="00C8158F"/>
    <w:rsid w:val="00C8282B"/>
    <w:rsid w:val="00C849C8"/>
    <w:rsid w:val="00C84A73"/>
    <w:rsid w:val="00C84BAD"/>
    <w:rsid w:val="00C84C01"/>
    <w:rsid w:val="00C84D44"/>
    <w:rsid w:val="00C85A1B"/>
    <w:rsid w:val="00C85E7E"/>
    <w:rsid w:val="00C8603E"/>
    <w:rsid w:val="00C86D0E"/>
    <w:rsid w:val="00C879C5"/>
    <w:rsid w:val="00C87A42"/>
    <w:rsid w:val="00C903C0"/>
    <w:rsid w:val="00C91001"/>
    <w:rsid w:val="00C915EC"/>
    <w:rsid w:val="00C91DD8"/>
    <w:rsid w:val="00C92C14"/>
    <w:rsid w:val="00C95D79"/>
    <w:rsid w:val="00C97EB4"/>
    <w:rsid w:val="00CA284E"/>
    <w:rsid w:val="00CA2FA6"/>
    <w:rsid w:val="00CA420F"/>
    <w:rsid w:val="00CA72C8"/>
    <w:rsid w:val="00CB20A6"/>
    <w:rsid w:val="00CB25CB"/>
    <w:rsid w:val="00CB36C0"/>
    <w:rsid w:val="00CB42A8"/>
    <w:rsid w:val="00CB4F31"/>
    <w:rsid w:val="00CB542A"/>
    <w:rsid w:val="00CB5AE9"/>
    <w:rsid w:val="00CB5F32"/>
    <w:rsid w:val="00CB6141"/>
    <w:rsid w:val="00CB66DC"/>
    <w:rsid w:val="00CB7680"/>
    <w:rsid w:val="00CB7885"/>
    <w:rsid w:val="00CC0A54"/>
    <w:rsid w:val="00CC1275"/>
    <w:rsid w:val="00CC140E"/>
    <w:rsid w:val="00CC1786"/>
    <w:rsid w:val="00CC3001"/>
    <w:rsid w:val="00CC41A0"/>
    <w:rsid w:val="00CC4CBC"/>
    <w:rsid w:val="00CC5472"/>
    <w:rsid w:val="00CC56AE"/>
    <w:rsid w:val="00CC58B4"/>
    <w:rsid w:val="00CC594E"/>
    <w:rsid w:val="00CC5A33"/>
    <w:rsid w:val="00CC64CF"/>
    <w:rsid w:val="00CC7539"/>
    <w:rsid w:val="00CD0129"/>
    <w:rsid w:val="00CD1285"/>
    <w:rsid w:val="00CD1771"/>
    <w:rsid w:val="00CD22AE"/>
    <w:rsid w:val="00CD2EAF"/>
    <w:rsid w:val="00CD3050"/>
    <w:rsid w:val="00CD325E"/>
    <w:rsid w:val="00CD42DA"/>
    <w:rsid w:val="00CD567A"/>
    <w:rsid w:val="00CD6781"/>
    <w:rsid w:val="00CD6798"/>
    <w:rsid w:val="00CD6EA6"/>
    <w:rsid w:val="00CD764F"/>
    <w:rsid w:val="00CD7C84"/>
    <w:rsid w:val="00CE0FE0"/>
    <w:rsid w:val="00CE286F"/>
    <w:rsid w:val="00CE2E12"/>
    <w:rsid w:val="00CE4E0C"/>
    <w:rsid w:val="00CE53E5"/>
    <w:rsid w:val="00CE5476"/>
    <w:rsid w:val="00CE5DD1"/>
    <w:rsid w:val="00CE61D0"/>
    <w:rsid w:val="00CE6A51"/>
    <w:rsid w:val="00CE78C7"/>
    <w:rsid w:val="00CE7F70"/>
    <w:rsid w:val="00CF0207"/>
    <w:rsid w:val="00CF036F"/>
    <w:rsid w:val="00CF0DEA"/>
    <w:rsid w:val="00CF14C6"/>
    <w:rsid w:val="00CF20C7"/>
    <w:rsid w:val="00CF520D"/>
    <w:rsid w:val="00CF527D"/>
    <w:rsid w:val="00CF5614"/>
    <w:rsid w:val="00CF57CD"/>
    <w:rsid w:val="00CF7680"/>
    <w:rsid w:val="00D0040C"/>
    <w:rsid w:val="00D023A1"/>
    <w:rsid w:val="00D03491"/>
    <w:rsid w:val="00D041F2"/>
    <w:rsid w:val="00D04466"/>
    <w:rsid w:val="00D05271"/>
    <w:rsid w:val="00D072A8"/>
    <w:rsid w:val="00D1141F"/>
    <w:rsid w:val="00D1175B"/>
    <w:rsid w:val="00D12596"/>
    <w:rsid w:val="00D127D6"/>
    <w:rsid w:val="00D1285E"/>
    <w:rsid w:val="00D14518"/>
    <w:rsid w:val="00D148AB"/>
    <w:rsid w:val="00D16310"/>
    <w:rsid w:val="00D16849"/>
    <w:rsid w:val="00D20ADA"/>
    <w:rsid w:val="00D21B3C"/>
    <w:rsid w:val="00D21EAC"/>
    <w:rsid w:val="00D225FE"/>
    <w:rsid w:val="00D22632"/>
    <w:rsid w:val="00D228AC"/>
    <w:rsid w:val="00D239D6"/>
    <w:rsid w:val="00D242D4"/>
    <w:rsid w:val="00D247D6"/>
    <w:rsid w:val="00D25FAF"/>
    <w:rsid w:val="00D274CC"/>
    <w:rsid w:val="00D301F2"/>
    <w:rsid w:val="00D30CB2"/>
    <w:rsid w:val="00D31328"/>
    <w:rsid w:val="00D32662"/>
    <w:rsid w:val="00D326F0"/>
    <w:rsid w:val="00D3359A"/>
    <w:rsid w:val="00D3458E"/>
    <w:rsid w:val="00D35157"/>
    <w:rsid w:val="00D360C4"/>
    <w:rsid w:val="00D36133"/>
    <w:rsid w:val="00D368A2"/>
    <w:rsid w:val="00D37517"/>
    <w:rsid w:val="00D37D24"/>
    <w:rsid w:val="00D37EEF"/>
    <w:rsid w:val="00D40256"/>
    <w:rsid w:val="00D4273A"/>
    <w:rsid w:val="00D4274B"/>
    <w:rsid w:val="00D43FBC"/>
    <w:rsid w:val="00D447CC"/>
    <w:rsid w:val="00D44836"/>
    <w:rsid w:val="00D4599D"/>
    <w:rsid w:val="00D459DE"/>
    <w:rsid w:val="00D46870"/>
    <w:rsid w:val="00D46A15"/>
    <w:rsid w:val="00D50133"/>
    <w:rsid w:val="00D506FA"/>
    <w:rsid w:val="00D523FE"/>
    <w:rsid w:val="00D5256A"/>
    <w:rsid w:val="00D525BB"/>
    <w:rsid w:val="00D53864"/>
    <w:rsid w:val="00D53B57"/>
    <w:rsid w:val="00D54D1A"/>
    <w:rsid w:val="00D55D6A"/>
    <w:rsid w:val="00D56894"/>
    <w:rsid w:val="00D57B3A"/>
    <w:rsid w:val="00D607E4"/>
    <w:rsid w:val="00D63CF8"/>
    <w:rsid w:val="00D655FA"/>
    <w:rsid w:val="00D6638C"/>
    <w:rsid w:val="00D66413"/>
    <w:rsid w:val="00D676D7"/>
    <w:rsid w:val="00D71653"/>
    <w:rsid w:val="00D7228B"/>
    <w:rsid w:val="00D72B0A"/>
    <w:rsid w:val="00D74835"/>
    <w:rsid w:val="00D7513D"/>
    <w:rsid w:val="00D7606E"/>
    <w:rsid w:val="00D76C04"/>
    <w:rsid w:val="00D76E14"/>
    <w:rsid w:val="00D77858"/>
    <w:rsid w:val="00D80619"/>
    <w:rsid w:val="00D80A29"/>
    <w:rsid w:val="00D81E77"/>
    <w:rsid w:val="00D83FE3"/>
    <w:rsid w:val="00D84A78"/>
    <w:rsid w:val="00D84B0E"/>
    <w:rsid w:val="00D84BC3"/>
    <w:rsid w:val="00D84C96"/>
    <w:rsid w:val="00D84E06"/>
    <w:rsid w:val="00D8515E"/>
    <w:rsid w:val="00D85AC4"/>
    <w:rsid w:val="00D85B6A"/>
    <w:rsid w:val="00D85F43"/>
    <w:rsid w:val="00D86DC2"/>
    <w:rsid w:val="00D8722D"/>
    <w:rsid w:val="00D8740C"/>
    <w:rsid w:val="00D91A70"/>
    <w:rsid w:val="00D928B2"/>
    <w:rsid w:val="00D92F32"/>
    <w:rsid w:val="00D9306E"/>
    <w:rsid w:val="00D936A7"/>
    <w:rsid w:val="00D93B05"/>
    <w:rsid w:val="00D95A86"/>
    <w:rsid w:val="00D96F14"/>
    <w:rsid w:val="00D9709F"/>
    <w:rsid w:val="00D97412"/>
    <w:rsid w:val="00DA06D5"/>
    <w:rsid w:val="00DA0B28"/>
    <w:rsid w:val="00DA1124"/>
    <w:rsid w:val="00DA2B1D"/>
    <w:rsid w:val="00DA3415"/>
    <w:rsid w:val="00DA4A46"/>
    <w:rsid w:val="00DA4AF8"/>
    <w:rsid w:val="00DA5C9B"/>
    <w:rsid w:val="00DA7AC0"/>
    <w:rsid w:val="00DA7FD8"/>
    <w:rsid w:val="00DB06F7"/>
    <w:rsid w:val="00DB0AEC"/>
    <w:rsid w:val="00DB2864"/>
    <w:rsid w:val="00DB3A3B"/>
    <w:rsid w:val="00DB428B"/>
    <w:rsid w:val="00DB44F5"/>
    <w:rsid w:val="00DB63E6"/>
    <w:rsid w:val="00DB6A24"/>
    <w:rsid w:val="00DC0A9F"/>
    <w:rsid w:val="00DC109C"/>
    <w:rsid w:val="00DC14E9"/>
    <w:rsid w:val="00DC1651"/>
    <w:rsid w:val="00DC1A46"/>
    <w:rsid w:val="00DC22FE"/>
    <w:rsid w:val="00DC282A"/>
    <w:rsid w:val="00DC2ED1"/>
    <w:rsid w:val="00DC374A"/>
    <w:rsid w:val="00DC3B26"/>
    <w:rsid w:val="00DC45AE"/>
    <w:rsid w:val="00DC50C5"/>
    <w:rsid w:val="00DC5547"/>
    <w:rsid w:val="00DC6C8C"/>
    <w:rsid w:val="00DC6D96"/>
    <w:rsid w:val="00DC6F29"/>
    <w:rsid w:val="00DC75EB"/>
    <w:rsid w:val="00DC7B66"/>
    <w:rsid w:val="00DD0263"/>
    <w:rsid w:val="00DD0625"/>
    <w:rsid w:val="00DD2D6E"/>
    <w:rsid w:val="00DD351B"/>
    <w:rsid w:val="00DD3AA5"/>
    <w:rsid w:val="00DD3E77"/>
    <w:rsid w:val="00DD479F"/>
    <w:rsid w:val="00DD5C6E"/>
    <w:rsid w:val="00DD5F4C"/>
    <w:rsid w:val="00DD7397"/>
    <w:rsid w:val="00DE3A26"/>
    <w:rsid w:val="00DE3FCA"/>
    <w:rsid w:val="00DE47ED"/>
    <w:rsid w:val="00DE4987"/>
    <w:rsid w:val="00DE4D67"/>
    <w:rsid w:val="00DE67E0"/>
    <w:rsid w:val="00DE69B7"/>
    <w:rsid w:val="00DE6A3E"/>
    <w:rsid w:val="00DE6FA4"/>
    <w:rsid w:val="00DF0545"/>
    <w:rsid w:val="00DF0D25"/>
    <w:rsid w:val="00DF0F3D"/>
    <w:rsid w:val="00DF1FB7"/>
    <w:rsid w:val="00DF2296"/>
    <w:rsid w:val="00DF24B0"/>
    <w:rsid w:val="00DF466E"/>
    <w:rsid w:val="00DF4BB6"/>
    <w:rsid w:val="00DF57B4"/>
    <w:rsid w:val="00DF6B78"/>
    <w:rsid w:val="00DF72AE"/>
    <w:rsid w:val="00DF7C6B"/>
    <w:rsid w:val="00DF7CA1"/>
    <w:rsid w:val="00DF7FED"/>
    <w:rsid w:val="00E00A37"/>
    <w:rsid w:val="00E0137A"/>
    <w:rsid w:val="00E020C9"/>
    <w:rsid w:val="00E02339"/>
    <w:rsid w:val="00E041F6"/>
    <w:rsid w:val="00E045EC"/>
    <w:rsid w:val="00E04D1A"/>
    <w:rsid w:val="00E05A3D"/>
    <w:rsid w:val="00E065D7"/>
    <w:rsid w:val="00E0788C"/>
    <w:rsid w:val="00E10007"/>
    <w:rsid w:val="00E102E4"/>
    <w:rsid w:val="00E10CAC"/>
    <w:rsid w:val="00E10D82"/>
    <w:rsid w:val="00E115CA"/>
    <w:rsid w:val="00E11B4D"/>
    <w:rsid w:val="00E12417"/>
    <w:rsid w:val="00E13E82"/>
    <w:rsid w:val="00E13F21"/>
    <w:rsid w:val="00E140DE"/>
    <w:rsid w:val="00E145E7"/>
    <w:rsid w:val="00E14EB3"/>
    <w:rsid w:val="00E15443"/>
    <w:rsid w:val="00E161C2"/>
    <w:rsid w:val="00E16C75"/>
    <w:rsid w:val="00E16E64"/>
    <w:rsid w:val="00E17B86"/>
    <w:rsid w:val="00E17C5D"/>
    <w:rsid w:val="00E20388"/>
    <w:rsid w:val="00E205E1"/>
    <w:rsid w:val="00E2090E"/>
    <w:rsid w:val="00E2121D"/>
    <w:rsid w:val="00E214EC"/>
    <w:rsid w:val="00E217C6"/>
    <w:rsid w:val="00E234F6"/>
    <w:rsid w:val="00E249EA"/>
    <w:rsid w:val="00E24BFC"/>
    <w:rsid w:val="00E265E7"/>
    <w:rsid w:val="00E270E4"/>
    <w:rsid w:val="00E300FA"/>
    <w:rsid w:val="00E31F6B"/>
    <w:rsid w:val="00E3200C"/>
    <w:rsid w:val="00E3232A"/>
    <w:rsid w:val="00E32D64"/>
    <w:rsid w:val="00E34C06"/>
    <w:rsid w:val="00E35AFB"/>
    <w:rsid w:val="00E36486"/>
    <w:rsid w:val="00E41536"/>
    <w:rsid w:val="00E42D97"/>
    <w:rsid w:val="00E436E3"/>
    <w:rsid w:val="00E45023"/>
    <w:rsid w:val="00E45368"/>
    <w:rsid w:val="00E45764"/>
    <w:rsid w:val="00E458BD"/>
    <w:rsid w:val="00E45A13"/>
    <w:rsid w:val="00E461EC"/>
    <w:rsid w:val="00E46AAD"/>
    <w:rsid w:val="00E476A2"/>
    <w:rsid w:val="00E50393"/>
    <w:rsid w:val="00E51ACF"/>
    <w:rsid w:val="00E52F5C"/>
    <w:rsid w:val="00E5471E"/>
    <w:rsid w:val="00E54DAD"/>
    <w:rsid w:val="00E54ECC"/>
    <w:rsid w:val="00E556EE"/>
    <w:rsid w:val="00E55741"/>
    <w:rsid w:val="00E56473"/>
    <w:rsid w:val="00E60BEE"/>
    <w:rsid w:val="00E60DCB"/>
    <w:rsid w:val="00E610FC"/>
    <w:rsid w:val="00E619EB"/>
    <w:rsid w:val="00E6211A"/>
    <w:rsid w:val="00E62397"/>
    <w:rsid w:val="00E62501"/>
    <w:rsid w:val="00E628BF"/>
    <w:rsid w:val="00E6380B"/>
    <w:rsid w:val="00E63B6B"/>
    <w:rsid w:val="00E663A5"/>
    <w:rsid w:val="00E66942"/>
    <w:rsid w:val="00E670AD"/>
    <w:rsid w:val="00E71661"/>
    <w:rsid w:val="00E7426B"/>
    <w:rsid w:val="00E74B4F"/>
    <w:rsid w:val="00E764B5"/>
    <w:rsid w:val="00E767EA"/>
    <w:rsid w:val="00E76C9B"/>
    <w:rsid w:val="00E80A01"/>
    <w:rsid w:val="00E82318"/>
    <w:rsid w:val="00E8276C"/>
    <w:rsid w:val="00E8308E"/>
    <w:rsid w:val="00E83DD0"/>
    <w:rsid w:val="00E8570A"/>
    <w:rsid w:val="00E903CB"/>
    <w:rsid w:val="00E9089A"/>
    <w:rsid w:val="00E90977"/>
    <w:rsid w:val="00E9100E"/>
    <w:rsid w:val="00E916FF"/>
    <w:rsid w:val="00E91B87"/>
    <w:rsid w:val="00E9246D"/>
    <w:rsid w:val="00E92850"/>
    <w:rsid w:val="00E929D3"/>
    <w:rsid w:val="00E932C7"/>
    <w:rsid w:val="00E93DA2"/>
    <w:rsid w:val="00E94407"/>
    <w:rsid w:val="00E9441D"/>
    <w:rsid w:val="00E9481B"/>
    <w:rsid w:val="00E95F10"/>
    <w:rsid w:val="00EA0A50"/>
    <w:rsid w:val="00EA1790"/>
    <w:rsid w:val="00EA2396"/>
    <w:rsid w:val="00EA2602"/>
    <w:rsid w:val="00EA2FD0"/>
    <w:rsid w:val="00EA3BBC"/>
    <w:rsid w:val="00EA4547"/>
    <w:rsid w:val="00EA47E9"/>
    <w:rsid w:val="00EA4ABE"/>
    <w:rsid w:val="00EA7E57"/>
    <w:rsid w:val="00EB02D5"/>
    <w:rsid w:val="00EB10E7"/>
    <w:rsid w:val="00EB24F6"/>
    <w:rsid w:val="00EB25E3"/>
    <w:rsid w:val="00EB2969"/>
    <w:rsid w:val="00EB35D9"/>
    <w:rsid w:val="00EB3E18"/>
    <w:rsid w:val="00EB568E"/>
    <w:rsid w:val="00EB6DD3"/>
    <w:rsid w:val="00EB7397"/>
    <w:rsid w:val="00EB7584"/>
    <w:rsid w:val="00EB7E27"/>
    <w:rsid w:val="00EB7EF0"/>
    <w:rsid w:val="00EB7F0F"/>
    <w:rsid w:val="00EC1095"/>
    <w:rsid w:val="00EC4072"/>
    <w:rsid w:val="00EC466C"/>
    <w:rsid w:val="00EC49B3"/>
    <w:rsid w:val="00EC502C"/>
    <w:rsid w:val="00EC5A81"/>
    <w:rsid w:val="00EC6FC0"/>
    <w:rsid w:val="00EC76A1"/>
    <w:rsid w:val="00ED047E"/>
    <w:rsid w:val="00ED0887"/>
    <w:rsid w:val="00ED2052"/>
    <w:rsid w:val="00ED2228"/>
    <w:rsid w:val="00ED39E3"/>
    <w:rsid w:val="00ED44CE"/>
    <w:rsid w:val="00ED45D2"/>
    <w:rsid w:val="00ED474C"/>
    <w:rsid w:val="00ED4ADB"/>
    <w:rsid w:val="00ED4D01"/>
    <w:rsid w:val="00ED5CAB"/>
    <w:rsid w:val="00ED5EA1"/>
    <w:rsid w:val="00ED734F"/>
    <w:rsid w:val="00ED73D5"/>
    <w:rsid w:val="00ED781B"/>
    <w:rsid w:val="00ED79E3"/>
    <w:rsid w:val="00EE02EB"/>
    <w:rsid w:val="00EE06E6"/>
    <w:rsid w:val="00EE09E2"/>
    <w:rsid w:val="00EE10D0"/>
    <w:rsid w:val="00EE1D7E"/>
    <w:rsid w:val="00EE2711"/>
    <w:rsid w:val="00EE308F"/>
    <w:rsid w:val="00EE4617"/>
    <w:rsid w:val="00EE463C"/>
    <w:rsid w:val="00EE48CF"/>
    <w:rsid w:val="00EE581F"/>
    <w:rsid w:val="00EE6784"/>
    <w:rsid w:val="00EE7C15"/>
    <w:rsid w:val="00EF1920"/>
    <w:rsid w:val="00EF24D2"/>
    <w:rsid w:val="00EF384D"/>
    <w:rsid w:val="00EF446C"/>
    <w:rsid w:val="00F01C6E"/>
    <w:rsid w:val="00F02284"/>
    <w:rsid w:val="00F02668"/>
    <w:rsid w:val="00F03A7C"/>
    <w:rsid w:val="00F03D92"/>
    <w:rsid w:val="00F04CBD"/>
    <w:rsid w:val="00F04D6A"/>
    <w:rsid w:val="00F05068"/>
    <w:rsid w:val="00F063B4"/>
    <w:rsid w:val="00F06D17"/>
    <w:rsid w:val="00F06D50"/>
    <w:rsid w:val="00F07F83"/>
    <w:rsid w:val="00F1026D"/>
    <w:rsid w:val="00F1100B"/>
    <w:rsid w:val="00F11AFF"/>
    <w:rsid w:val="00F1203D"/>
    <w:rsid w:val="00F12AD1"/>
    <w:rsid w:val="00F12E98"/>
    <w:rsid w:val="00F12FB5"/>
    <w:rsid w:val="00F16A8B"/>
    <w:rsid w:val="00F17622"/>
    <w:rsid w:val="00F1763A"/>
    <w:rsid w:val="00F2157B"/>
    <w:rsid w:val="00F21D26"/>
    <w:rsid w:val="00F224C1"/>
    <w:rsid w:val="00F25F61"/>
    <w:rsid w:val="00F26134"/>
    <w:rsid w:val="00F26D39"/>
    <w:rsid w:val="00F26F88"/>
    <w:rsid w:val="00F27896"/>
    <w:rsid w:val="00F27FD4"/>
    <w:rsid w:val="00F3049D"/>
    <w:rsid w:val="00F30BC7"/>
    <w:rsid w:val="00F316B2"/>
    <w:rsid w:val="00F3211A"/>
    <w:rsid w:val="00F33118"/>
    <w:rsid w:val="00F332B9"/>
    <w:rsid w:val="00F33E65"/>
    <w:rsid w:val="00F345B6"/>
    <w:rsid w:val="00F34C4D"/>
    <w:rsid w:val="00F34D61"/>
    <w:rsid w:val="00F3524F"/>
    <w:rsid w:val="00F35C57"/>
    <w:rsid w:val="00F36D9A"/>
    <w:rsid w:val="00F3744D"/>
    <w:rsid w:val="00F3746F"/>
    <w:rsid w:val="00F37A48"/>
    <w:rsid w:val="00F37ED8"/>
    <w:rsid w:val="00F40069"/>
    <w:rsid w:val="00F42D04"/>
    <w:rsid w:val="00F4309F"/>
    <w:rsid w:val="00F43694"/>
    <w:rsid w:val="00F436DA"/>
    <w:rsid w:val="00F44075"/>
    <w:rsid w:val="00F47576"/>
    <w:rsid w:val="00F47EBD"/>
    <w:rsid w:val="00F50926"/>
    <w:rsid w:val="00F50941"/>
    <w:rsid w:val="00F52435"/>
    <w:rsid w:val="00F53DA3"/>
    <w:rsid w:val="00F54BBE"/>
    <w:rsid w:val="00F54D7B"/>
    <w:rsid w:val="00F5518D"/>
    <w:rsid w:val="00F552EF"/>
    <w:rsid w:val="00F55BC5"/>
    <w:rsid w:val="00F567A9"/>
    <w:rsid w:val="00F569A7"/>
    <w:rsid w:val="00F56ACD"/>
    <w:rsid w:val="00F5789D"/>
    <w:rsid w:val="00F602DE"/>
    <w:rsid w:val="00F6030B"/>
    <w:rsid w:val="00F60C72"/>
    <w:rsid w:val="00F62447"/>
    <w:rsid w:val="00F626E6"/>
    <w:rsid w:val="00F62886"/>
    <w:rsid w:val="00F63365"/>
    <w:rsid w:val="00F636C0"/>
    <w:rsid w:val="00F63719"/>
    <w:rsid w:val="00F63B34"/>
    <w:rsid w:val="00F640A5"/>
    <w:rsid w:val="00F6522D"/>
    <w:rsid w:val="00F6526D"/>
    <w:rsid w:val="00F654BC"/>
    <w:rsid w:val="00F65879"/>
    <w:rsid w:val="00F65B1E"/>
    <w:rsid w:val="00F662DB"/>
    <w:rsid w:val="00F67EB7"/>
    <w:rsid w:val="00F70CC8"/>
    <w:rsid w:val="00F70E7A"/>
    <w:rsid w:val="00F71B2E"/>
    <w:rsid w:val="00F71B49"/>
    <w:rsid w:val="00F71E87"/>
    <w:rsid w:val="00F71F01"/>
    <w:rsid w:val="00F7260E"/>
    <w:rsid w:val="00F72EA4"/>
    <w:rsid w:val="00F73914"/>
    <w:rsid w:val="00F73D1A"/>
    <w:rsid w:val="00F74227"/>
    <w:rsid w:val="00F75F36"/>
    <w:rsid w:val="00F76E93"/>
    <w:rsid w:val="00F77291"/>
    <w:rsid w:val="00F80297"/>
    <w:rsid w:val="00F8070D"/>
    <w:rsid w:val="00F824BA"/>
    <w:rsid w:val="00F8359A"/>
    <w:rsid w:val="00F83881"/>
    <w:rsid w:val="00F84343"/>
    <w:rsid w:val="00F84A3A"/>
    <w:rsid w:val="00F858DC"/>
    <w:rsid w:val="00F85911"/>
    <w:rsid w:val="00F86720"/>
    <w:rsid w:val="00F86F53"/>
    <w:rsid w:val="00F870B7"/>
    <w:rsid w:val="00F87B02"/>
    <w:rsid w:val="00F87F4B"/>
    <w:rsid w:val="00F9009F"/>
    <w:rsid w:val="00F90A0E"/>
    <w:rsid w:val="00F92914"/>
    <w:rsid w:val="00F963C5"/>
    <w:rsid w:val="00F96ED1"/>
    <w:rsid w:val="00F972C2"/>
    <w:rsid w:val="00FA052E"/>
    <w:rsid w:val="00FA060C"/>
    <w:rsid w:val="00FA081C"/>
    <w:rsid w:val="00FA08AA"/>
    <w:rsid w:val="00FA0BD3"/>
    <w:rsid w:val="00FA1303"/>
    <w:rsid w:val="00FA16F6"/>
    <w:rsid w:val="00FA1B3B"/>
    <w:rsid w:val="00FA2882"/>
    <w:rsid w:val="00FA2EDC"/>
    <w:rsid w:val="00FA34CF"/>
    <w:rsid w:val="00FA3AB7"/>
    <w:rsid w:val="00FA4B2C"/>
    <w:rsid w:val="00FA5189"/>
    <w:rsid w:val="00FA51FA"/>
    <w:rsid w:val="00FA7AC5"/>
    <w:rsid w:val="00FB243D"/>
    <w:rsid w:val="00FB2B50"/>
    <w:rsid w:val="00FB317B"/>
    <w:rsid w:val="00FB3E41"/>
    <w:rsid w:val="00FB4508"/>
    <w:rsid w:val="00FB5343"/>
    <w:rsid w:val="00FB5E21"/>
    <w:rsid w:val="00FB5E8E"/>
    <w:rsid w:val="00FB63CF"/>
    <w:rsid w:val="00FC12DC"/>
    <w:rsid w:val="00FC20D6"/>
    <w:rsid w:val="00FC3C60"/>
    <w:rsid w:val="00FC3F7D"/>
    <w:rsid w:val="00FC411E"/>
    <w:rsid w:val="00FC476A"/>
    <w:rsid w:val="00FC4AD5"/>
    <w:rsid w:val="00FC5059"/>
    <w:rsid w:val="00FC525F"/>
    <w:rsid w:val="00FC5CEE"/>
    <w:rsid w:val="00FC63D1"/>
    <w:rsid w:val="00FD0457"/>
    <w:rsid w:val="00FD1AC9"/>
    <w:rsid w:val="00FD1F4B"/>
    <w:rsid w:val="00FD3596"/>
    <w:rsid w:val="00FD3A5D"/>
    <w:rsid w:val="00FD55D7"/>
    <w:rsid w:val="00FD5C21"/>
    <w:rsid w:val="00FD6E36"/>
    <w:rsid w:val="00FD7859"/>
    <w:rsid w:val="00FD7EFA"/>
    <w:rsid w:val="00FE0CFE"/>
    <w:rsid w:val="00FE1002"/>
    <w:rsid w:val="00FE141F"/>
    <w:rsid w:val="00FE157A"/>
    <w:rsid w:val="00FE17E2"/>
    <w:rsid w:val="00FE1D66"/>
    <w:rsid w:val="00FE22CB"/>
    <w:rsid w:val="00FE3173"/>
    <w:rsid w:val="00FE53D5"/>
    <w:rsid w:val="00FF0371"/>
    <w:rsid w:val="00FF1009"/>
    <w:rsid w:val="00FF120A"/>
    <w:rsid w:val="00FF19B3"/>
    <w:rsid w:val="00FF4930"/>
    <w:rsid w:val="00FF5BDD"/>
    <w:rsid w:val="00FF6407"/>
    <w:rsid w:val="00FF665A"/>
    <w:rsid w:val="00FF6C5A"/>
    <w:rsid w:val="00FF71A8"/>
    <w:rsid w:val="00FF71FF"/>
    <w:rsid w:val="00FF78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73378"/>
  <w15:chartTrackingRefBased/>
  <w15:docId w15:val="{7A8953B2-6858-4909-B38F-0E6AAE49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4343"/>
    <w:rPr>
      <w:lang w:val="pt-BR" w:eastAsia="pt-BR"/>
    </w:rPr>
  </w:style>
  <w:style w:type="paragraph" w:styleId="Heading1">
    <w:name w:val="heading 1"/>
    <w:basedOn w:val="Normal"/>
    <w:next w:val="Normal"/>
    <w:link w:val="Heading1Char"/>
    <w:qFormat/>
    <w:rsid w:val="001634BD"/>
    <w:pPr>
      <w:spacing w:line="360" w:lineRule="auto"/>
      <w:outlineLvl w:val="0"/>
    </w:pPr>
    <w:rPr>
      <w:b/>
      <w:sz w:val="24"/>
      <w:szCs w:val="24"/>
      <w:lang w:val="en-US"/>
    </w:rPr>
  </w:style>
  <w:style w:type="paragraph" w:styleId="Heading2">
    <w:name w:val="heading 2"/>
    <w:basedOn w:val="Normal"/>
    <w:next w:val="Normal"/>
    <w:link w:val="Heading2Char"/>
    <w:qFormat/>
    <w:rsid w:val="001634BD"/>
    <w:pPr>
      <w:spacing w:line="360" w:lineRule="auto"/>
      <w:jc w:val="both"/>
      <w:outlineLvl w:val="1"/>
    </w:pPr>
    <w:rPr>
      <w:b/>
      <w:sz w:val="24"/>
      <w:szCs w:val="24"/>
      <w:lang w:val="en-US"/>
    </w:rPr>
  </w:style>
  <w:style w:type="paragraph" w:styleId="Heading3">
    <w:name w:val="heading 3"/>
    <w:basedOn w:val="Normal"/>
    <w:next w:val="Normal"/>
    <w:qFormat/>
    <w:rsid w:val="00A44989"/>
    <w:pPr>
      <w:keepNext/>
      <w:overflowPunct w:val="0"/>
      <w:autoSpaceDE w:val="0"/>
      <w:autoSpaceDN w:val="0"/>
      <w:adjustRightInd w:val="0"/>
      <w:textAlignment w:val="baseline"/>
      <w:outlineLvl w:val="2"/>
    </w:pPr>
    <w:rPr>
      <w:bCs/>
      <w:sz w:val="26"/>
      <w:lang w:eastAsia="en-US"/>
    </w:rPr>
  </w:style>
  <w:style w:type="paragraph" w:styleId="Heading4">
    <w:name w:val="heading 4"/>
    <w:basedOn w:val="Normal"/>
    <w:next w:val="Normal"/>
    <w:qFormat/>
    <w:rsid w:val="00F84343"/>
    <w:pPr>
      <w:keepNext/>
      <w:ind w:firstLine="1134"/>
      <w:jc w:val="both"/>
      <w:outlineLvl w:val="3"/>
    </w:pPr>
    <w:rPr>
      <w:rFonts w:ascii="Arial" w:hAnsi="Arial"/>
      <w:sz w:val="24"/>
    </w:rPr>
  </w:style>
  <w:style w:type="paragraph" w:styleId="Heading5">
    <w:name w:val="heading 5"/>
    <w:basedOn w:val="Normal"/>
    <w:next w:val="Normal"/>
    <w:qFormat/>
    <w:rsid w:val="00F84343"/>
    <w:pPr>
      <w:keepNext/>
      <w:outlineLvl w:val="4"/>
    </w:pPr>
    <w:rPr>
      <w:rFonts w:ascii="Arial" w:hAnsi="Arial"/>
      <w:b/>
      <w:bCs/>
      <w:sz w:val="24"/>
    </w:rPr>
  </w:style>
  <w:style w:type="paragraph" w:styleId="Heading6">
    <w:name w:val="heading 6"/>
    <w:basedOn w:val="Normal"/>
    <w:next w:val="Normal"/>
    <w:qFormat/>
    <w:rsid w:val="00F84343"/>
    <w:pPr>
      <w:keepNext/>
      <w:outlineLvl w:val="5"/>
    </w:pPr>
    <w:rPr>
      <w:rFonts w:ascii="Arial" w:hAnsi="Arial"/>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4343"/>
    <w:pPr>
      <w:tabs>
        <w:tab w:val="center" w:pos="4419"/>
        <w:tab w:val="right" w:pos="8838"/>
      </w:tabs>
    </w:pPr>
  </w:style>
  <w:style w:type="paragraph" w:styleId="Footer">
    <w:name w:val="footer"/>
    <w:basedOn w:val="Normal"/>
    <w:link w:val="FooterChar"/>
    <w:uiPriority w:val="99"/>
    <w:rsid w:val="00F84343"/>
    <w:pPr>
      <w:tabs>
        <w:tab w:val="center" w:pos="4419"/>
        <w:tab w:val="right" w:pos="8838"/>
      </w:tabs>
    </w:pPr>
  </w:style>
  <w:style w:type="paragraph" w:styleId="BodyTextIndent">
    <w:name w:val="Body Text Indent"/>
    <w:basedOn w:val="Normal"/>
    <w:rsid w:val="00F84343"/>
    <w:pPr>
      <w:ind w:firstLine="1134"/>
      <w:jc w:val="both"/>
    </w:pPr>
    <w:rPr>
      <w:rFonts w:ascii="Arial" w:hAnsi="Arial"/>
      <w:sz w:val="24"/>
    </w:rPr>
  </w:style>
  <w:style w:type="paragraph" w:styleId="BodyText">
    <w:name w:val="Body Text"/>
    <w:basedOn w:val="Normal"/>
    <w:rsid w:val="00F84343"/>
    <w:pPr>
      <w:spacing w:line="300" w:lineRule="exact"/>
    </w:pPr>
    <w:rPr>
      <w:rFonts w:ascii="Charter BT" w:hAnsi="Charter BT"/>
      <w:spacing w:val="-2"/>
      <w:sz w:val="22"/>
    </w:rPr>
  </w:style>
  <w:style w:type="paragraph" w:styleId="BodyText2">
    <w:name w:val="Body Text 2"/>
    <w:basedOn w:val="Normal"/>
    <w:rsid w:val="00F84343"/>
    <w:pPr>
      <w:tabs>
        <w:tab w:val="left" w:pos="1905"/>
      </w:tabs>
      <w:spacing w:after="100" w:line="280" w:lineRule="exact"/>
    </w:pPr>
    <w:rPr>
      <w:rFonts w:ascii="Charter BT" w:hAnsi="Charter BT"/>
      <w:sz w:val="23"/>
    </w:rPr>
  </w:style>
  <w:style w:type="paragraph" w:customStyle="1" w:styleId="Textodebalo1">
    <w:name w:val="Texto de balão1"/>
    <w:basedOn w:val="Normal"/>
    <w:semiHidden/>
    <w:rsid w:val="00F84343"/>
    <w:rPr>
      <w:rFonts w:ascii="Tahoma" w:hAnsi="Tahoma" w:cs="Tahoma"/>
      <w:sz w:val="16"/>
      <w:szCs w:val="16"/>
    </w:rPr>
  </w:style>
  <w:style w:type="paragraph" w:styleId="PlainText">
    <w:name w:val="Plain Text"/>
    <w:basedOn w:val="Normal"/>
    <w:link w:val="PlainTextChar"/>
    <w:rsid w:val="00F84343"/>
    <w:rPr>
      <w:rFonts w:ascii="Courier New" w:hAnsi="Courier New"/>
      <w:lang w:val="x-none" w:eastAsia="x-none"/>
    </w:rPr>
  </w:style>
  <w:style w:type="paragraph" w:styleId="BodyText3">
    <w:name w:val="Body Text 3"/>
    <w:basedOn w:val="Normal"/>
    <w:rsid w:val="00F84343"/>
    <w:pPr>
      <w:numPr>
        <w:ilvl w:val="12"/>
      </w:numPr>
      <w:spacing w:line="480" w:lineRule="auto"/>
      <w:jc w:val="both"/>
    </w:pPr>
    <w:rPr>
      <w:bCs/>
      <w:sz w:val="24"/>
      <w:szCs w:val="24"/>
      <w:lang w:val="en-AU" w:eastAsia="en-US"/>
    </w:rPr>
  </w:style>
  <w:style w:type="paragraph" w:styleId="NormalWeb">
    <w:name w:val="Normal (Web)"/>
    <w:basedOn w:val="Normal"/>
    <w:uiPriority w:val="99"/>
    <w:rsid w:val="00F84343"/>
    <w:pPr>
      <w:spacing w:before="100" w:beforeAutospacing="1" w:after="100" w:afterAutospacing="1"/>
    </w:pPr>
    <w:rPr>
      <w:rFonts w:ascii="Arial Unicode MS" w:eastAsia="Arial Unicode MS" w:hAnsi="Arial Unicode MS" w:cs="Arial Unicode MS"/>
      <w:sz w:val="24"/>
      <w:szCs w:val="24"/>
    </w:rPr>
  </w:style>
  <w:style w:type="paragraph" w:styleId="BodyTextIndent2">
    <w:name w:val="Body Text Indent 2"/>
    <w:basedOn w:val="Normal"/>
    <w:rsid w:val="00F84343"/>
    <w:pPr>
      <w:ind w:left="360"/>
    </w:pPr>
    <w:rPr>
      <w:b/>
      <w:sz w:val="24"/>
      <w:lang w:eastAsia="en-US"/>
    </w:rPr>
  </w:style>
  <w:style w:type="character" w:styleId="PageNumber">
    <w:name w:val="page number"/>
    <w:basedOn w:val="DefaultParagraphFont"/>
    <w:rsid w:val="00F84343"/>
  </w:style>
  <w:style w:type="paragraph" w:customStyle="1" w:styleId="Estilo1">
    <w:name w:val="Estilo1"/>
    <w:basedOn w:val="Normal"/>
    <w:rsid w:val="00F84343"/>
    <w:pPr>
      <w:spacing w:line="480" w:lineRule="exact"/>
      <w:jc w:val="both"/>
    </w:pPr>
    <w:rPr>
      <w:rFonts w:ascii="Arial" w:hAnsi="Arial"/>
      <w:sz w:val="24"/>
    </w:rPr>
  </w:style>
  <w:style w:type="paragraph" w:styleId="TOC1">
    <w:name w:val="toc 1"/>
    <w:basedOn w:val="Normal"/>
    <w:next w:val="Normal"/>
    <w:autoRedefine/>
    <w:uiPriority w:val="39"/>
    <w:qFormat/>
    <w:rsid w:val="00BB427B"/>
    <w:pPr>
      <w:tabs>
        <w:tab w:val="right" w:leader="dot" w:pos="9072"/>
      </w:tabs>
      <w:jc w:val="both"/>
    </w:pPr>
    <w:rPr>
      <w:b/>
      <w:bCs/>
      <w:caps/>
      <w:sz w:val="28"/>
      <w:szCs w:val="28"/>
    </w:rPr>
  </w:style>
  <w:style w:type="paragraph" w:styleId="TOC2">
    <w:name w:val="toc 2"/>
    <w:basedOn w:val="Normal"/>
    <w:next w:val="Normal"/>
    <w:autoRedefine/>
    <w:uiPriority w:val="39"/>
    <w:qFormat/>
    <w:rsid w:val="00E249EA"/>
    <w:pPr>
      <w:tabs>
        <w:tab w:val="right" w:leader="dot" w:pos="8210"/>
      </w:tabs>
      <w:spacing w:before="240"/>
      <w:jc w:val="both"/>
    </w:pPr>
    <w:rPr>
      <w:bCs/>
      <w:noProof/>
      <w:sz w:val="24"/>
      <w:szCs w:val="24"/>
    </w:rPr>
  </w:style>
  <w:style w:type="character" w:styleId="Hyperlink">
    <w:name w:val="Hyperlink"/>
    <w:uiPriority w:val="99"/>
    <w:rsid w:val="00F84343"/>
    <w:rPr>
      <w:color w:val="0000FF"/>
      <w:u w:val="single"/>
    </w:rPr>
  </w:style>
  <w:style w:type="paragraph" w:styleId="BodyTextIndent3">
    <w:name w:val="Body Text Indent 3"/>
    <w:basedOn w:val="Normal"/>
    <w:rsid w:val="007D2D72"/>
    <w:pPr>
      <w:spacing w:after="120"/>
      <w:ind w:left="283"/>
    </w:pPr>
    <w:rPr>
      <w:sz w:val="16"/>
      <w:szCs w:val="16"/>
    </w:rPr>
  </w:style>
  <w:style w:type="paragraph" w:styleId="List">
    <w:name w:val="List"/>
    <w:basedOn w:val="BodyText"/>
    <w:rsid w:val="009360D3"/>
    <w:pPr>
      <w:suppressAutoHyphens/>
      <w:spacing w:line="360" w:lineRule="auto"/>
      <w:jc w:val="both"/>
    </w:pPr>
    <w:rPr>
      <w:rFonts w:ascii="Arial" w:hAnsi="Arial" w:cs="Tahoma"/>
      <w:spacing w:val="0"/>
      <w:sz w:val="24"/>
      <w:szCs w:val="24"/>
      <w:lang w:eastAsia="ar-SA"/>
    </w:rPr>
  </w:style>
  <w:style w:type="character" w:styleId="FollowedHyperlink">
    <w:name w:val="FollowedHyperlink"/>
    <w:rsid w:val="001704D3"/>
    <w:rPr>
      <w:color w:val="800080"/>
      <w:u w:val="single"/>
    </w:rPr>
  </w:style>
  <w:style w:type="character" w:customStyle="1" w:styleId="Heading1Char">
    <w:name w:val="Heading 1 Char"/>
    <w:link w:val="Heading1"/>
    <w:rsid w:val="001634BD"/>
    <w:rPr>
      <w:b/>
      <w:sz w:val="24"/>
      <w:szCs w:val="24"/>
      <w:lang w:val="en-US" w:eastAsia="pt-BR"/>
    </w:rPr>
  </w:style>
  <w:style w:type="table" w:styleId="TableGrid">
    <w:name w:val="Table Grid"/>
    <w:basedOn w:val="TableNormal"/>
    <w:rsid w:val="00D448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g1">
    <w:name w:val="wag1"/>
    <w:basedOn w:val="BodyTextIndent"/>
    <w:rsid w:val="002062C9"/>
    <w:pPr>
      <w:spacing w:line="360" w:lineRule="auto"/>
      <w:ind w:firstLine="708"/>
    </w:pPr>
    <w:rPr>
      <w:rFonts w:ascii="Courier New" w:hAnsi="Courier New" w:cs="Courier New"/>
      <w:sz w:val="28"/>
      <w:szCs w:val="24"/>
    </w:rPr>
  </w:style>
  <w:style w:type="paragraph" w:styleId="TOC3">
    <w:name w:val="toc 3"/>
    <w:basedOn w:val="Normal"/>
    <w:next w:val="Normal"/>
    <w:autoRedefine/>
    <w:uiPriority w:val="39"/>
    <w:qFormat/>
    <w:rsid w:val="00A34E1B"/>
    <w:pPr>
      <w:tabs>
        <w:tab w:val="right" w:leader="dot" w:pos="9061"/>
      </w:tabs>
      <w:ind w:left="200"/>
      <w:jc w:val="both"/>
    </w:pPr>
    <w:rPr>
      <w:rFonts w:ascii="Calibri" w:hAnsi="Calibri"/>
    </w:rPr>
  </w:style>
  <w:style w:type="paragraph" w:customStyle="1" w:styleId="Default">
    <w:name w:val="Default"/>
    <w:rsid w:val="00FF4930"/>
    <w:pPr>
      <w:autoSpaceDE w:val="0"/>
      <w:autoSpaceDN w:val="0"/>
      <w:adjustRightInd w:val="0"/>
    </w:pPr>
    <w:rPr>
      <w:color w:val="000000"/>
      <w:sz w:val="24"/>
      <w:szCs w:val="24"/>
      <w:lang w:val="pt-BR" w:eastAsia="pt-BR"/>
    </w:rPr>
  </w:style>
  <w:style w:type="character" w:customStyle="1" w:styleId="A2">
    <w:name w:val="A2"/>
    <w:uiPriority w:val="99"/>
    <w:rsid w:val="00290BC4"/>
    <w:rPr>
      <w:rFonts w:cs="ZapfHumnst BT"/>
      <w:i/>
      <w:iCs/>
      <w:color w:val="000000"/>
      <w:sz w:val="20"/>
      <w:szCs w:val="20"/>
    </w:rPr>
  </w:style>
  <w:style w:type="character" w:customStyle="1" w:styleId="A16">
    <w:name w:val="A16"/>
    <w:uiPriority w:val="99"/>
    <w:rsid w:val="00290BC4"/>
    <w:rPr>
      <w:rFonts w:cs="ZapfHumnst BT"/>
      <w:i/>
      <w:iCs/>
      <w:color w:val="000000"/>
      <w:sz w:val="11"/>
      <w:szCs w:val="11"/>
    </w:rPr>
  </w:style>
  <w:style w:type="character" w:customStyle="1" w:styleId="A11">
    <w:name w:val="A11"/>
    <w:uiPriority w:val="99"/>
    <w:rsid w:val="00290BC4"/>
    <w:rPr>
      <w:rFonts w:cs="Frutiger-Roman"/>
      <w:color w:val="000000"/>
      <w:sz w:val="12"/>
      <w:szCs w:val="12"/>
    </w:rPr>
  </w:style>
  <w:style w:type="character" w:customStyle="1" w:styleId="volume">
    <w:name w:val="volume"/>
    <w:basedOn w:val="DefaultParagraphFont"/>
    <w:rsid w:val="00D37517"/>
  </w:style>
  <w:style w:type="character" w:styleId="Emphasis">
    <w:name w:val="Emphasis"/>
    <w:uiPriority w:val="20"/>
    <w:qFormat/>
    <w:rsid w:val="002F4DF1"/>
    <w:rPr>
      <w:i/>
      <w:iCs/>
    </w:rPr>
  </w:style>
  <w:style w:type="character" w:customStyle="1" w:styleId="featuredlinkouts">
    <w:name w:val="featured_linkouts"/>
    <w:basedOn w:val="DefaultParagraphFont"/>
    <w:rsid w:val="008923E3"/>
  </w:style>
  <w:style w:type="character" w:customStyle="1" w:styleId="Heading2Char">
    <w:name w:val="Heading 2 Char"/>
    <w:link w:val="Heading2"/>
    <w:rsid w:val="001634BD"/>
    <w:rPr>
      <w:b/>
      <w:sz w:val="24"/>
      <w:szCs w:val="24"/>
      <w:lang w:val="en-US" w:eastAsia="pt-BR"/>
    </w:rPr>
  </w:style>
  <w:style w:type="character" w:customStyle="1" w:styleId="hps">
    <w:name w:val="hps"/>
    <w:basedOn w:val="DefaultParagraphFont"/>
    <w:rsid w:val="00677005"/>
  </w:style>
  <w:style w:type="character" w:customStyle="1" w:styleId="atn">
    <w:name w:val="atn"/>
    <w:basedOn w:val="DefaultParagraphFont"/>
    <w:rsid w:val="00677005"/>
  </w:style>
  <w:style w:type="paragraph" w:styleId="BalloonText">
    <w:name w:val="Balloon Text"/>
    <w:basedOn w:val="Normal"/>
    <w:link w:val="BalloonTextChar"/>
    <w:uiPriority w:val="99"/>
    <w:rsid w:val="006B0048"/>
    <w:rPr>
      <w:rFonts w:ascii="Tahoma" w:hAnsi="Tahoma"/>
      <w:sz w:val="16"/>
      <w:szCs w:val="16"/>
      <w:lang w:val="x-none" w:eastAsia="x-none"/>
    </w:rPr>
  </w:style>
  <w:style w:type="character" w:customStyle="1" w:styleId="BalloonTextChar">
    <w:name w:val="Balloon Text Char"/>
    <w:link w:val="BalloonText"/>
    <w:uiPriority w:val="99"/>
    <w:rsid w:val="006B0048"/>
    <w:rPr>
      <w:rFonts w:ascii="Tahoma" w:hAnsi="Tahoma" w:cs="Tahoma"/>
      <w:sz w:val="16"/>
      <w:szCs w:val="16"/>
    </w:rPr>
  </w:style>
  <w:style w:type="paragraph" w:styleId="ListParagraph">
    <w:name w:val="List Paragraph"/>
    <w:basedOn w:val="Normal"/>
    <w:uiPriority w:val="34"/>
    <w:qFormat/>
    <w:rsid w:val="001B43EF"/>
    <w:pPr>
      <w:spacing w:after="200" w:line="276" w:lineRule="auto"/>
      <w:ind w:left="720"/>
      <w:contextualSpacing/>
    </w:pPr>
    <w:rPr>
      <w:rFonts w:ascii="Calibri" w:eastAsia="Calibri" w:hAnsi="Calibri"/>
      <w:sz w:val="22"/>
      <w:szCs w:val="22"/>
      <w:lang w:eastAsia="en-US"/>
    </w:rPr>
  </w:style>
  <w:style w:type="paragraph" w:customStyle="1" w:styleId="Pa14">
    <w:name w:val="Pa14"/>
    <w:basedOn w:val="Default"/>
    <w:next w:val="Default"/>
    <w:uiPriority w:val="99"/>
    <w:rsid w:val="00272472"/>
    <w:pPr>
      <w:spacing w:line="201" w:lineRule="atLeast"/>
    </w:pPr>
    <w:rPr>
      <w:rFonts w:ascii="Kepler Std Light" w:hAnsi="Kepler Std Light"/>
      <w:color w:val="auto"/>
    </w:rPr>
  </w:style>
  <w:style w:type="character" w:customStyle="1" w:styleId="A5">
    <w:name w:val="A5"/>
    <w:uiPriority w:val="99"/>
    <w:rsid w:val="00272472"/>
    <w:rPr>
      <w:rFonts w:cs="Kepler Std Light"/>
      <w:color w:val="000000"/>
      <w:sz w:val="11"/>
      <w:szCs w:val="11"/>
    </w:rPr>
  </w:style>
  <w:style w:type="paragraph" w:customStyle="1" w:styleId="Pa19">
    <w:name w:val="Pa19"/>
    <w:basedOn w:val="Default"/>
    <w:next w:val="Default"/>
    <w:uiPriority w:val="99"/>
    <w:rsid w:val="00A75825"/>
    <w:pPr>
      <w:spacing w:line="161" w:lineRule="atLeast"/>
    </w:pPr>
    <w:rPr>
      <w:rFonts w:ascii="Verdana" w:hAnsi="Verdana"/>
      <w:color w:val="auto"/>
    </w:rPr>
  </w:style>
  <w:style w:type="character" w:customStyle="1" w:styleId="A8">
    <w:name w:val="A8"/>
    <w:uiPriority w:val="99"/>
    <w:rsid w:val="00A75825"/>
    <w:rPr>
      <w:rFonts w:cs="Verdana"/>
      <w:color w:val="000000"/>
      <w:sz w:val="9"/>
      <w:szCs w:val="9"/>
    </w:rPr>
  </w:style>
  <w:style w:type="character" w:customStyle="1" w:styleId="PlainTextChar">
    <w:name w:val="Plain Text Char"/>
    <w:link w:val="PlainText"/>
    <w:rsid w:val="00C86D0E"/>
    <w:rPr>
      <w:rFonts w:ascii="Courier New" w:hAnsi="Courier New" w:cs="Courier New"/>
    </w:rPr>
  </w:style>
  <w:style w:type="character" w:styleId="CommentReference">
    <w:name w:val="annotation reference"/>
    <w:uiPriority w:val="99"/>
    <w:rsid w:val="000D2281"/>
    <w:rPr>
      <w:sz w:val="16"/>
      <w:szCs w:val="16"/>
    </w:rPr>
  </w:style>
  <w:style w:type="paragraph" w:styleId="CommentText">
    <w:name w:val="annotation text"/>
    <w:basedOn w:val="Normal"/>
    <w:link w:val="CommentTextChar"/>
    <w:uiPriority w:val="99"/>
    <w:rsid w:val="000D2281"/>
  </w:style>
  <w:style w:type="character" w:customStyle="1" w:styleId="CommentTextChar">
    <w:name w:val="Comment Text Char"/>
    <w:basedOn w:val="DefaultParagraphFont"/>
    <w:link w:val="CommentText"/>
    <w:uiPriority w:val="99"/>
    <w:rsid w:val="000D2281"/>
  </w:style>
  <w:style w:type="paragraph" w:styleId="CommentSubject">
    <w:name w:val="annotation subject"/>
    <w:basedOn w:val="CommentText"/>
    <w:next w:val="CommentText"/>
    <w:link w:val="CommentSubjectChar"/>
    <w:rsid w:val="000D2281"/>
    <w:rPr>
      <w:b/>
      <w:bCs/>
      <w:lang w:val="x-none" w:eastAsia="x-none"/>
    </w:rPr>
  </w:style>
  <w:style w:type="character" w:customStyle="1" w:styleId="CommentSubjectChar">
    <w:name w:val="Comment Subject Char"/>
    <w:link w:val="CommentSubject"/>
    <w:rsid w:val="000D2281"/>
    <w:rPr>
      <w:b/>
      <w:bCs/>
    </w:rPr>
  </w:style>
  <w:style w:type="character" w:customStyle="1" w:styleId="apple-converted-space">
    <w:name w:val="apple-converted-space"/>
    <w:basedOn w:val="DefaultParagraphFont"/>
    <w:rsid w:val="0056320C"/>
  </w:style>
  <w:style w:type="character" w:customStyle="1" w:styleId="article-title">
    <w:name w:val="article-title"/>
    <w:basedOn w:val="DefaultParagraphFont"/>
    <w:rsid w:val="0056320C"/>
  </w:style>
  <w:style w:type="character" w:customStyle="1" w:styleId="HeaderChar">
    <w:name w:val="Header Char"/>
    <w:link w:val="Header"/>
    <w:uiPriority w:val="99"/>
    <w:rsid w:val="008F7B68"/>
  </w:style>
  <w:style w:type="character" w:styleId="Strong">
    <w:name w:val="Strong"/>
    <w:qFormat/>
    <w:rsid w:val="009C5612"/>
    <w:rPr>
      <w:b/>
      <w:bCs/>
    </w:rPr>
  </w:style>
  <w:style w:type="paragraph" w:styleId="Title">
    <w:name w:val="Title"/>
    <w:basedOn w:val="Normal"/>
    <w:next w:val="Normal"/>
    <w:link w:val="TitleChar"/>
    <w:qFormat/>
    <w:rsid w:val="001634BD"/>
    <w:pPr>
      <w:spacing w:line="360" w:lineRule="auto"/>
      <w:jc w:val="center"/>
    </w:pPr>
    <w:rPr>
      <w:b/>
      <w:sz w:val="24"/>
      <w:lang w:val="en-US" w:eastAsia="x-none"/>
    </w:rPr>
  </w:style>
  <w:style w:type="character" w:customStyle="1" w:styleId="TitleChar">
    <w:name w:val="Title Char"/>
    <w:link w:val="Title"/>
    <w:rsid w:val="001634BD"/>
    <w:rPr>
      <w:b/>
      <w:sz w:val="24"/>
      <w:lang w:val="en-US" w:eastAsia="x-none"/>
    </w:rPr>
  </w:style>
  <w:style w:type="paragraph" w:styleId="TOC4">
    <w:name w:val="toc 4"/>
    <w:basedOn w:val="Normal"/>
    <w:next w:val="Normal"/>
    <w:autoRedefine/>
    <w:uiPriority w:val="39"/>
    <w:rsid w:val="00867E86"/>
    <w:pPr>
      <w:ind w:left="400"/>
    </w:pPr>
    <w:rPr>
      <w:rFonts w:ascii="Calibri" w:hAnsi="Calibri"/>
    </w:rPr>
  </w:style>
  <w:style w:type="paragraph" w:styleId="TOC5">
    <w:name w:val="toc 5"/>
    <w:basedOn w:val="Normal"/>
    <w:next w:val="Normal"/>
    <w:autoRedefine/>
    <w:rsid w:val="00867E86"/>
    <w:pPr>
      <w:ind w:left="600"/>
    </w:pPr>
    <w:rPr>
      <w:rFonts w:ascii="Calibri" w:hAnsi="Calibri"/>
    </w:rPr>
  </w:style>
  <w:style w:type="paragraph" w:styleId="TOC6">
    <w:name w:val="toc 6"/>
    <w:basedOn w:val="Normal"/>
    <w:next w:val="Normal"/>
    <w:autoRedefine/>
    <w:rsid w:val="00867E86"/>
    <w:pPr>
      <w:ind w:left="800"/>
    </w:pPr>
    <w:rPr>
      <w:rFonts w:ascii="Calibri" w:hAnsi="Calibri"/>
    </w:rPr>
  </w:style>
  <w:style w:type="paragraph" w:styleId="TOC7">
    <w:name w:val="toc 7"/>
    <w:basedOn w:val="Normal"/>
    <w:next w:val="Normal"/>
    <w:autoRedefine/>
    <w:rsid w:val="00867E86"/>
    <w:pPr>
      <w:ind w:left="1000"/>
    </w:pPr>
    <w:rPr>
      <w:rFonts w:ascii="Calibri" w:hAnsi="Calibri"/>
    </w:rPr>
  </w:style>
  <w:style w:type="paragraph" w:styleId="TOC8">
    <w:name w:val="toc 8"/>
    <w:basedOn w:val="Normal"/>
    <w:next w:val="Normal"/>
    <w:autoRedefine/>
    <w:rsid w:val="00867E86"/>
    <w:pPr>
      <w:ind w:left="1200"/>
    </w:pPr>
    <w:rPr>
      <w:rFonts w:ascii="Calibri" w:hAnsi="Calibri"/>
    </w:rPr>
  </w:style>
  <w:style w:type="paragraph" w:styleId="TOC9">
    <w:name w:val="toc 9"/>
    <w:basedOn w:val="Normal"/>
    <w:next w:val="Normal"/>
    <w:autoRedefine/>
    <w:rsid w:val="00867E86"/>
    <w:pPr>
      <w:ind w:left="1400"/>
    </w:pPr>
    <w:rPr>
      <w:rFonts w:ascii="Calibri" w:hAnsi="Calibri"/>
    </w:rPr>
  </w:style>
  <w:style w:type="character" w:customStyle="1" w:styleId="FooterChar">
    <w:name w:val="Footer Char"/>
    <w:basedOn w:val="DefaultParagraphFont"/>
    <w:link w:val="Footer"/>
    <w:uiPriority w:val="99"/>
    <w:rsid w:val="00825270"/>
  </w:style>
  <w:style w:type="paragraph" w:styleId="Caption">
    <w:name w:val="caption"/>
    <w:basedOn w:val="Normal"/>
    <w:next w:val="Normal"/>
    <w:qFormat/>
    <w:rsid w:val="00B437EF"/>
    <w:rPr>
      <w:b/>
      <w:bCs/>
    </w:rPr>
  </w:style>
  <w:style w:type="character" w:customStyle="1" w:styleId="A13">
    <w:name w:val="A13"/>
    <w:uiPriority w:val="99"/>
    <w:rsid w:val="000B7583"/>
    <w:rPr>
      <w:rFonts w:cs="Garamond 3 LT Std"/>
      <w:color w:val="000000"/>
      <w:sz w:val="13"/>
      <w:szCs w:val="13"/>
    </w:rPr>
  </w:style>
  <w:style w:type="paragraph" w:styleId="Revision">
    <w:name w:val="Revision"/>
    <w:hidden/>
    <w:uiPriority w:val="99"/>
    <w:semiHidden/>
    <w:rsid w:val="00B7326C"/>
    <w:rPr>
      <w:lang w:val="pt-BR" w:eastAsia="pt-BR"/>
    </w:rPr>
  </w:style>
  <w:style w:type="character" w:customStyle="1" w:styleId="slug-pub-date">
    <w:name w:val="slug-pub-date"/>
    <w:rsid w:val="00F65B1E"/>
  </w:style>
  <w:style w:type="character" w:customStyle="1" w:styleId="slug-vol">
    <w:name w:val="slug-vol"/>
    <w:rsid w:val="00F65B1E"/>
  </w:style>
  <w:style w:type="character" w:customStyle="1" w:styleId="slug-issue">
    <w:name w:val="slug-issue"/>
    <w:rsid w:val="00F65B1E"/>
  </w:style>
  <w:style w:type="character" w:customStyle="1" w:styleId="slug-pages">
    <w:name w:val="slug-pages"/>
    <w:rsid w:val="00F65B1E"/>
  </w:style>
  <w:style w:type="character" w:customStyle="1" w:styleId="highlight">
    <w:name w:val="highlight"/>
    <w:rsid w:val="0056375A"/>
  </w:style>
  <w:style w:type="paragraph" w:styleId="Subtitle">
    <w:name w:val="Subtitle"/>
    <w:basedOn w:val="Normal"/>
    <w:next w:val="Normal"/>
    <w:link w:val="SubtitleChar"/>
    <w:qFormat/>
    <w:rsid w:val="000527AE"/>
    <w:pPr>
      <w:spacing w:after="60"/>
      <w:jc w:val="center"/>
      <w:outlineLvl w:val="1"/>
    </w:pPr>
    <w:rPr>
      <w:rFonts w:ascii="Cambria" w:hAnsi="Cambria"/>
      <w:sz w:val="24"/>
      <w:szCs w:val="24"/>
    </w:rPr>
  </w:style>
  <w:style w:type="character" w:customStyle="1" w:styleId="SubtitleChar">
    <w:name w:val="Subtitle Char"/>
    <w:link w:val="Subtitle"/>
    <w:rsid w:val="000527AE"/>
    <w:rPr>
      <w:rFonts w:ascii="Cambria" w:eastAsia="Times New Roman" w:hAnsi="Cambria" w:cs="Times New Roman"/>
      <w:sz w:val="24"/>
      <w:szCs w:val="24"/>
    </w:rPr>
  </w:style>
  <w:style w:type="paragraph" w:styleId="TOCHeading">
    <w:name w:val="TOC Heading"/>
    <w:basedOn w:val="Heading1"/>
    <w:next w:val="Normal"/>
    <w:uiPriority w:val="39"/>
    <w:semiHidden/>
    <w:unhideWhenUsed/>
    <w:qFormat/>
    <w:rsid w:val="009371C3"/>
    <w:pPr>
      <w:keepLines/>
      <w:spacing w:before="480" w:line="276" w:lineRule="auto"/>
      <w:outlineLvl w:val="9"/>
    </w:pPr>
    <w:rPr>
      <w:rFonts w:ascii="Cambria" w:hAnsi="Cambria"/>
      <w:caps/>
      <w:color w:val="365F91"/>
      <w:szCs w:val="28"/>
      <w:lang w:val="pt-BR"/>
    </w:rPr>
  </w:style>
  <w:style w:type="paragraph" w:styleId="FootnoteText">
    <w:name w:val="footnote text"/>
    <w:basedOn w:val="Normal"/>
    <w:link w:val="FootnoteTextChar"/>
    <w:rsid w:val="00C55F9C"/>
  </w:style>
  <w:style w:type="character" w:customStyle="1" w:styleId="FootnoteTextChar">
    <w:name w:val="Footnote Text Char"/>
    <w:basedOn w:val="DefaultParagraphFont"/>
    <w:link w:val="FootnoteText"/>
    <w:rsid w:val="00C55F9C"/>
  </w:style>
  <w:style w:type="character" w:styleId="FootnoteReference">
    <w:name w:val="footnote reference"/>
    <w:rsid w:val="00C55F9C"/>
    <w:rPr>
      <w:vertAlign w:val="superscript"/>
    </w:rPr>
  </w:style>
  <w:style w:type="character" w:styleId="LineNumber">
    <w:name w:val="line number"/>
    <w:rsid w:val="004B6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8812">
      <w:bodyDiv w:val="1"/>
      <w:marLeft w:val="0"/>
      <w:marRight w:val="0"/>
      <w:marTop w:val="0"/>
      <w:marBottom w:val="0"/>
      <w:divBdr>
        <w:top w:val="none" w:sz="0" w:space="0" w:color="auto"/>
        <w:left w:val="none" w:sz="0" w:space="0" w:color="auto"/>
        <w:bottom w:val="none" w:sz="0" w:space="0" w:color="auto"/>
        <w:right w:val="none" w:sz="0" w:space="0" w:color="auto"/>
      </w:divBdr>
    </w:div>
    <w:div w:id="589659105">
      <w:bodyDiv w:val="1"/>
      <w:marLeft w:val="0"/>
      <w:marRight w:val="0"/>
      <w:marTop w:val="0"/>
      <w:marBottom w:val="0"/>
      <w:divBdr>
        <w:top w:val="none" w:sz="0" w:space="0" w:color="auto"/>
        <w:left w:val="none" w:sz="0" w:space="0" w:color="auto"/>
        <w:bottom w:val="none" w:sz="0" w:space="0" w:color="auto"/>
        <w:right w:val="none" w:sz="0" w:space="0" w:color="auto"/>
      </w:divBdr>
    </w:div>
    <w:div w:id="758717652">
      <w:bodyDiv w:val="1"/>
      <w:marLeft w:val="0"/>
      <w:marRight w:val="0"/>
      <w:marTop w:val="0"/>
      <w:marBottom w:val="0"/>
      <w:divBdr>
        <w:top w:val="none" w:sz="0" w:space="0" w:color="auto"/>
        <w:left w:val="none" w:sz="0" w:space="0" w:color="auto"/>
        <w:bottom w:val="none" w:sz="0" w:space="0" w:color="auto"/>
        <w:right w:val="none" w:sz="0" w:space="0" w:color="auto"/>
      </w:divBdr>
    </w:div>
    <w:div w:id="826946307">
      <w:bodyDiv w:val="1"/>
      <w:marLeft w:val="0"/>
      <w:marRight w:val="0"/>
      <w:marTop w:val="0"/>
      <w:marBottom w:val="0"/>
      <w:divBdr>
        <w:top w:val="none" w:sz="0" w:space="0" w:color="auto"/>
        <w:left w:val="none" w:sz="0" w:space="0" w:color="auto"/>
        <w:bottom w:val="none" w:sz="0" w:space="0" w:color="auto"/>
        <w:right w:val="none" w:sz="0" w:space="0" w:color="auto"/>
      </w:divBdr>
      <w:divsChild>
        <w:div w:id="924723554">
          <w:marLeft w:val="0"/>
          <w:marRight w:val="0"/>
          <w:marTop w:val="0"/>
          <w:marBottom w:val="0"/>
          <w:divBdr>
            <w:top w:val="none" w:sz="0" w:space="0" w:color="auto"/>
            <w:left w:val="none" w:sz="0" w:space="0" w:color="auto"/>
            <w:bottom w:val="none" w:sz="0" w:space="0" w:color="auto"/>
            <w:right w:val="none" w:sz="0" w:space="0" w:color="auto"/>
          </w:divBdr>
          <w:divsChild>
            <w:div w:id="1798335363">
              <w:marLeft w:val="0"/>
              <w:marRight w:val="0"/>
              <w:marTop w:val="0"/>
              <w:marBottom w:val="0"/>
              <w:divBdr>
                <w:top w:val="none" w:sz="0" w:space="0" w:color="auto"/>
                <w:left w:val="none" w:sz="0" w:space="0" w:color="auto"/>
                <w:bottom w:val="single" w:sz="6" w:space="0" w:color="8D8D8D"/>
                <w:right w:val="none" w:sz="0" w:space="0" w:color="auto"/>
              </w:divBdr>
            </w:div>
          </w:divsChild>
        </w:div>
      </w:divsChild>
    </w:div>
    <w:div w:id="918097244">
      <w:bodyDiv w:val="1"/>
      <w:marLeft w:val="0"/>
      <w:marRight w:val="0"/>
      <w:marTop w:val="0"/>
      <w:marBottom w:val="0"/>
      <w:divBdr>
        <w:top w:val="none" w:sz="0" w:space="0" w:color="auto"/>
        <w:left w:val="none" w:sz="0" w:space="0" w:color="auto"/>
        <w:bottom w:val="none" w:sz="0" w:space="0" w:color="auto"/>
        <w:right w:val="none" w:sz="0" w:space="0" w:color="auto"/>
      </w:divBdr>
    </w:div>
    <w:div w:id="1004477961">
      <w:bodyDiv w:val="1"/>
      <w:marLeft w:val="0"/>
      <w:marRight w:val="0"/>
      <w:marTop w:val="0"/>
      <w:marBottom w:val="0"/>
      <w:divBdr>
        <w:top w:val="none" w:sz="0" w:space="0" w:color="auto"/>
        <w:left w:val="none" w:sz="0" w:space="0" w:color="auto"/>
        <w:bottom w:val="none" w:sz="0" w:space="0" w:color="auto"/>
        <w:right w:val="none" w:sz="0" w:space="0" w:color="auto"/>
      </w:divBdr>
    </w:div>
    <w:div w:id="1079907381">
      <w:bodyDiv w:val="1"/>
      <w:marLeft w:val="0"/>
      <w:marRight w:val="0"/>
      <w:marTop w:val="0"/>
      <w:marBottom w:val="0"/>
      <w:divBdr>
        <w:top w:val="none" w:sz="0" w:space="0" w:color="auto"/>
        <w:left w:val="none" w:sz="0" w:space="0" w:color="auto"/>
        <w:bottom w:val="none" w:sz="0" w:space="0" w:color="auto"/>
        <w:right w:val="none" w:sz="0" w:space="0" w:color="auto"/>
      </w:divBdr>
    </w:div>
    <w:div w:id="1135830919">
      <w:bodyDiv w:val="1"/>
      <w:marLeft w:val="0"/>
      <w:marRight w:val="0"/>
      <w:marTop w:val="0"/>
      <w:marBottom w:val="0"/>
      <w:divBdr>
        <w:top w:val="none" w:sz="0" w:space="0" w:color="auto"/>
        <w:left w:val="none" w:sz="0" w:space="0" w:color="auto"/>
        <w:bottom w:val="none" w:sz="0" w:space="0" w:color="auto"/>
        <w:right w:val="none" w:sz="0" w:space="0" w:color="auto"/>
      </w:divBdr>
    </w:div>
    <w:div w:id="1287659010">
      <w:bodyDiv w:val="1"/>
      <w:marLeft w:val="0"/>
      <w:marRight w:val="0"/>
      <w:marTop w:val="0"/>
      <w:marBottom w:val="0"/>
      <w:divBdr>
        <w:top w:val="none" w:sz="0" w:space="0" w:color="auto"/>
        <w:left w:val="none" w:sz="0" w:space="0" w:color="auto"/>
        <w:bottom w:val="none" w:sz="0" w:space="0" w:color="auto"/>
        <w:right w:val="none" w:sz="0" w:space="0" w:color="auto"/>
      </w:divBdr>
      <w:divsChild>
        <w:div w:id="142163762">
          <w:marLeft w:val="547"/>
          <w:marRight w:val="0"/>
          <w:marTop w:val="0"/>
          <w:marBottom w:val="0"/>
          <w:divBdr>
            <w:top w:val="none" w:sz="0" w:space="0" w:color="auto"/>
            <w:left w:val="none" w:sz="0" w:space="0" w:color="auto"/>
            <w:bottom w:val="none" w:sz="0" w:space="0" w:color="auto"/>
            <w:right w:val="none" w:sz="0" w:space="0" w:color="auto"/>
          </w:divBdr>
        </w:div>
        <w:div w:id="187064226">
          <w:marLeft w:val="547"/>
          <w:marRight w:val="0"/>
          <w:marTop w:val="0"/>
          <w:marBottom w:val="0"/>
          <w:divBdr>
            <w:top w:val="none" w:sz="0" w:space="0" w:color="auto"/>
            <w:left w:val="none" w:sz="0" w:space="0" w:color="auto"/>
            <w:bottom w:val="none" w:sz="0" w:space="0" w:color="auto"/>
            <w:right w:val="none" w:sz="0" w:space="0" w:color="auto"/>
          </w:divBdr>
        </w:div>
        <w:div w:id="313485190">
          <w:marLeft w:val="547"/>
          <w:marRight w:val="0"/>
          <w:marTop w:val="0"/>
          <w:marBottom w:val="0"/>
          <w:divBdr>
            <w:top w:val="none" w:sz="0" w:space="0" w:color="auto"/>
            <w:left w:val="none" w:sz="0" w:space="0" w:color="auto"/>
            <w:bottom w:val="none" w:sz="0" w:space="0" w:color="auto"/>
            <w:right w:val="none" w:sz="0" w:space="0" w:color="auto"/>
          </w:divBdr>
        </w:div>
        <w:div w:id="384453552">
          <w:marLeft w:val="547"/>
          <w:marRight w:val="0"/>
          <w:marTop w:val="0"/>
          <w:marBottom w:val="0"/>
          <w:divBdr>
            <w:top w:val="none" w:sz="0" w:space="0" w:color="auto"/>
            <w:left w:val="none" w:sz="0" w:space="0" w:color="auto"/>
            <w:bottom w:val="none" w:sz="0" w:space="0" w:color="auto"/>
            <w:right w:val="none" w:sz="0" w:space="0" w:color="auto"/>
          </w:divBdr>
        </w:div>
        <w:div w:id="555434127">
          <w:marLeft w:val="547"/>
          <w:marRight w:val="0"/>
          <w:marTop w:val="0"/>
          <w:marBottom w:val="0"/>
          <w:divBdr>
            <w:top w:val="none" w:sz="0" w:space="0" w:color="auto"/>
            <w:left w:val="none" w:sz="0" w:space="0" w:color="auto"/>
            <w:bottom w:val="none" w:sz="0" w:space="0" w:color="auto"/>
            <w:right w:val="none" w:sz="0" w:space="0" w:color="auto"/>
          </w:divBdr>
        </w:div>
        <w:div w:id="642198690">
          <w:marLeft w:val="547"/>
          <w:marRight w:val="0"/>
          <w:marTop w:val="0"/>
          <w:marBottom w:val="0"/>
          <w:divBdr>
            <w:top w:val="none" w:sz="0" w:space="0" w:color="auto"/>
            <w:left w:val="none" w:sz="0" w:space="0" w:color="auto"/>
            <w:bottom w:val="none" w:sz="0" w:space="0" w:color="auto"/>
            <w:right w:val="none" w:sz="0" w:space="0" w:color="auto"/>
          </w:divBdr>
        </w:div>
        <w:div w:id="684484385">
          <w:marLeft w:val="547"/>
          <w:marRight w:val="0"/>
          <w:marTop w:val="0"/>
          <w:marBottom w:val="0"/>
          <w:divBdr>
            <w:top w:val="none" w:sz="0" w:space="0" w:color="auto"/>
            <w:left w:val="none" w:sz="0" w:space="0" w:color="auto"/>
            <w:bottom w:val="none" w:sz="0" w:space="0" w:color="auto"/>
            <w:right w:val="none" w:sz="0" w:space="0" w:color="auto"/>
          </w:divBdr>
        </w:div>
        <w:div w:id="817460827">
          <w:marLeft w:val="547"/>
          <w:marRight w:val="0"/>
          <w:marTop w:val="0"/>
          <w:marBottom w:val="0"/>
          <w:divBdr>
            <w:top w:val="none" w:sz="0" w:space="0" w:color="auto"/>
            <w:left w:val="none" w:sz="0" w:space="0" w:color="auto"/>
            <w:bottom w:val="none" w:sz="0" w:space="0" w:color="auto"/>
            <w:right w:val="none" w:sz="0" w:space="0" w:color="auto"/>
          </w:divBdr>
        </w:div>
        <w:div w:id="819004047">
          <w:marLeft w:val="547"/>
          <w:marRight w:val="0"/>
          <w:marTop w:val="0"/>
          <w:marBottom w:val="0"/>
          <w:divBdr>
            <w:top w:val="none" w:sz="0" w:space="0" w:color="auto"/>
            <w:left w:val="none" w:sz="0" w:space="0" w:color="auto"/>
            <w:bottom w:val="none" w:sz="0" w:space="0" w:color="auto"/>
            <w:right w:val="none" w:sz="0" w:space="0" w:color="auto"/>
          </w:divBdr>
        </w:div>
        <w:div w:id="998583156">
          <w:marLeft w:val="547"/>
          <w:marRight w:val="0"/>
          <w:marTop w:val="0"/>
          <w:marBottom w:val="0"/>
          <w:divBdr>
            <w:top w:val="none" w:sz="0" w:space="0" w:color="auto"/>
            <w:left w:val="none" w:sz="0" w:space="0" w:color="auto"/>
            <w:bottom w:val="none" w:sz="0" w:space="0" w:color="auto"/>
            <w:right w:val="none" w:sz="0" w:space="0" w:color="auto"/>
          </w:divBdr>
        </w:div>
        <w:div w:id="1077943435">
          <w:marLeft w:val="547"/>
          <w:marRight w:val="0"/>
          <w:marTop w:val="0"/>
          <w:marBottom w:val="0"/>
          <w:divBdr>
            <w:top w:val="none" w:sz="0" w:space="0" w:color="auto"/>
            <w:left w:val="none" w:sz="0" w:space="0" w:color="auto"/>
            <w:bottom w:val="none" w:sz="0" w:space="0" w:color="auto"/>
            <w:right w:val="none" w:sz="0" w:space="0" w:color="auto"/>
          </w:divBdr>
        </w:div>
        <w:div w:id="1129786006">
          <w:marLeft w:val="547"/>
          <w:marRight w:val="0"/>
          <w:marTop w:val="0"/>
          <w:marBottom w:val="0"/>
          <w:divBdr>
            <w:top w:val="none" w:sz="0" w:space="0" w:color="auto"/>
            <w:left w:val="none" w:sz="0" w:space="0" w:color="auto"/>
            <w:bottom w:val="none" w:sz="0" w:space="0" w:color="auto"/>
            <w:right w:val="none" w:sz="0" w:space="0" w:color="auto"/>
          </w:divBdr>
        </w:div>
        <w:div w:id="1303804904">
          <w:marLeft w:val="547"/>
          <w:marRight w:val="0"/>
          <w:marTop w:val="0"/>
          <w:marBottom w:val="0"/>
          <w:divBdr>
            <w:top w:val="none" w:sz="0" w:space="0" w:color="auto"/>
            <w:left w:val="none" w:sz="0" w:space="0" w:color="auto"/>
            <w:bottom w:val="none" w:sz="0" w:space="0" w:color="auto"/>
            <w:right w:val="none" w:sz="0" w:space="0" w:color="auto"/>
          </w:divBdr>
        </w:div>
        <w:div w:id="1316422068">
          <w:marLeft w:val="446"/>
          <w:marRight w:val="0"/>
          <w:marTop w:val="0"/>
          <w:marBottom w:val="0"/>
          <w:divBdr>
            <w:top w:val="none" w:sz="0" w:space="0" w:color="auto"/>
            <w:left w:val="none" w:sz="0" w:space="0" w:color="auto"/>
            <w:bottom w:val="none" w:sz="0" w:space="0" w:color="auto"/>
            <w:right w:val="none" w:sz="0" w:space="0" w:color="auto"/>
          </w:divBdr>
        </w:div>
        <w:div w:id="1551964989">
          <w:marLeft w:val="547"/>
          <w:marRight w:val="0"/>
          <w:marTop w:val="0"/>
          <w:marBottom w:val="0"/>
          <w:divBdr>
            <w:top w:val="none" w:sz="0" w:space="0" w:color="auto"/>
            <w:left w:val="none" w:sz="0" w:space="0" w:color="auto"/>
            <w:bottom w:val="none" w:sz="0" w:space="0" w:color="auto"/>
            <w:right w:val="none" w:sz="0" w:space="0" w:color="auto"/>
          </w:divBdr>
        </w:div>
        <w:div w:id="1630630066">
          <w:marLeft w:val="547"/>
          <w:marRight w:val="0"/>
          <w:marTop w:val="0"/>
          <w:marBottom w:val="0"/>
          <w:divBdr>
            <w:top w:val="none" w:sz="0" w:space="0" w:color="auto"/>
            <w:left w:val="none" w:sz="0" w:space="0" w:color="auto"/>
            <w:bottom w:val="none" w:sz="0" w:space="0" w:color="auto"/>
            <w:right w:val="none" w:sz="0" w:space="0" w:color="auto"/>
          </w:divBdr>
        </w:div>
        <w:div w:id="1903632323">
          <w:marLeft w:val="547"/>
          <w:marRight w:val="0"/>
          <w:marTop w:val="0"/>
          <w:marBottom w:val="0"/>
          <w:divBdr>
            <w:top w:val="none" w:sz="0" w:space="0" w:color="auto"/>
            <w:left w:val="none" w:sz="0" w:space="0" w:color="auto"/>
            <w:bottom w:val="none" w:sz="0" w:space="0" w:color="auto"/>
            <w:right w:val="none" w:sz="0" w:space="0" w:color="auto"/>
          </w:divBdr>
        </w:div>
        <w:div w:id="2099206195">
          <w:marLeft w:val="547"/>
          <w:marRight w:val="0"/>
          <w:marTop w:val="0"/>
          <w:marBottom w:val="0"/>
          <w:divBdr>
            <w:top w:val="none" w:sz="0" w:space="0" w:color="auto"/>
            <w:left w:val="none" w:sz="0" w:space="0" w:color="auto"/>
            <w:bottom w:val="none" w:sz="0" w:space="0" w:color="auto"/>
            <w:right w:val="none" w:sz="0" w:space="0" w:color="auto"/>
          </w:divBdr>
        </w:div>
        <w:div w:id="2139907440">
          <w:marLeft w:val="547"/>
          <w:marRight w:val="0"/>
          <w:marTop w:val="0"/>
          <w:marBottom w:val="0"/>
          <w:divBdr>
            <w:top w:val="none" w:sz="0" w:space="0" w:color="auto"/>
            <w:left w:val="none" w:sz="0" w:space="0" w:color="auto"/>
            <w:bottom w:val="none" w:sz="0" w:space="0" w:color="auto"/>
            <w:right w:val="none" w:sz="0" w:space="0" w:color="auto"/>
          </w:divBdr>
        </w:div>
      </w:divsChild>
    </w:div>
    <w:div w:id="1385519624">
      <w:bodyDiv w:val="1"/>
      <w:marLeft w:val="0"/>
      <w:marRight w:val="0"/>
      <w:marTop w:val="0"/>
      <w:marBottom w:val="0"/>
      <w:divBdr>
        <w:top w:val="none" w:sz="0" w:space="0" w:color="auto"/>
        <w:left w:val="none" w:sz="0" w:space="0" w:color="auto"/>
        <w:bottom w:val="none" w:sz="0" w:space="0" w:color="auto"/>
        <w:right w:val="none" w:sz="0" w:space="0" w:color="auto"/>
      </w:divBdr>
    </w:div>
    <w:div w:id="1668553969">
      <w:bodyDiv w:val="1"/>
      <w:marLeft w:val="0"/>
      <w:marRight w:val="0"/>
      <w:marTop w:val="0"/>
      <w:marBottom w:val="0"/>
      <w:divBdr>
        <w:top w:val="none" w:sz="0" w:space="0" w:color="auto"/>
        <w:left w:val="none" w:sz="0" w:space="0" w:color="auto"/>
        <w:bottom w:val="none" w:sz="0" w:space="0" w:color="auto"/>
        <w:right w:val="none" w:sz="0" w:space="0" w:color="auto"/>
      </w:divBdr>
      <w:divsChild>
        <w:div w:id="1044252581">
          <w:marLeft w:val="0"/>
          <w:marRight w:val="0"/>
          <w:marTop w:val="0"/>
          <w:marBottom w:val="0"/>
          <w:divBdr>
            <w:top w:val="none" w:sz="0" w:space="0" w:color="auto"/>
            <w:left w:val="none" w:sz="0" w:space="0" w:color="auto"/>
            <w:bottom w:val="single" w:sz="6" w:space="0" w:color="C0C0C0"/>
            <w:right w:val="none" w:sz="0" w:space="0" w:color="auto"/>
          </w:divBdr>
          <w:divsChild>
            <w:div w:id="806819836">
              <w:marLeft w:val="0"/>
              <w:marRight w:val="0"/>
              <w:marTop w:val="0"/>
              <w:marBottom w:val="0"/>
              <w:divBdr>
                <w:top w:val="none" w:sz="0" w:space="0" w:color="auto"/>
                <w:left w:val="none" w:sz="0" w:space="0" w:color="auto"/>
                <w:bottom w:val="none" w:sz="0" w:space="0" w:color="auto"/>
                <w:right w:val="none" w:sz="0" w:space="0" w:color="auto"/>
              </w:divBdr>
              <w:divsChild>
                <w:div w:id="162664572">
                  <w:marLeft w:val="0"/>
                  <w:marRight w:val="0"/>
                  <w:marTop w:val="0"/>
                  <w:marBottom w:val="0"/>
                  <w:divBdr>
                    <w:top w:val="none" w:sz="0" w:space="0" w:color="auto"/>
                    <w:left w:val="none" w:sz="0" w:space="0" w:color="auto"/>
                    <w:bottom w:val="none" w:sz="0" w:space="0" w:color="auto"/>
                    <w:right w:val="none" w:sz="0" w:space="0" w:color="auto"/>
                  </w:divBdr>
                </w:div>
                <w:div w:id="159208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03004">
          <w:marLeft w:val="0"/>
          <w:marRight w:val="0"/>
          <w:marTop w:val="0"/>
          <w:marBottom w:val="0"/>
          <w:divBdr>
            <w:top w:val="none" w:sz="0" w:space="0" w:color="auto"/>
            <w:left w:val="none" w:sz="0" w:space="0" w:color="auto"/>
            <w:bottom w:val="none" w:sz="0" w:space="0" w:color="auto"/>
            <w:right w:val="none" w:sz="0" w:space="0" w:color="auto"/>
          </w:divBdr>
        </w:div>
      </w:divsChild>
    </w:div>
    <w:div w:id="1718507079">
      <w:bodyDiv w:val="1"/>
      <w:marLeft w:val="0"/>
      <w:marRight w:val="0"/>
      <w:marTop w:val="0"/>
      <w:marBottom w:val="0"/>
      <w:divBdr>
        <w:top w:val="none" w:sz="0" w:space="0" w:color="auto"/>
        <w:left w:val="none" w:sz="0" w:space="0" w:color="auto"/>
        <w:bottom w:val="none" w:sz="0" w:space="0" w:color="auto"/>
        <w:right w:val="none" w:sz="0" w:space="0" w:color="auto"/>
      </w:divBdr>
    </w:div>
    <w:div w:id="1891764525">
      <w:bodyDiv w:val="1"/>
      <w:marLeft w:val="0"/>
      <w:marRight w:val="0"/>
      <w:marTop w:val="0"/>
      <w:marBottom w:val="0"/>
      <w:divBdr>
        <w:top w:val="none" w:sz="0" w:space="0" w:color="auto"/>
        <w:left w:val="none" w:sz="0" w:space="0" w:color="auto"/>
        <w:bottom w:val="none" w:sz="0" w:space="0" w:color="auto"/>
        <w:right w:val="none" w:sz="0" w:space="0" w:color="auto"/>
      </w:divBdr>
    </w:div>
    <w:div w:id="1920744771">
      <w:bodyDiv w:val="1"/>
      <w:marLeft w:val="0"/>
      <w:marRight w:val="0"/>
      <w:marTop w:val="0"/>
      <w:marBottom w:val="0"/>
      <w:divBdr>
        <w:top w:val="none" w:sz="0" w:space="0" w:color="auto"/>
        <w:left w:val="none" w:sz="0" w:space="0" w:color="auto"/>
        <w:bottom w:val="none" w:sz="0" w:space="0" w:color="auto"/>
        <w:right w:val="none" w:sz="0" w:space="0" w:color="auto"/>
      </w:divBdr>
    </w:div>
    <w:div w:id="2060981469">
      <w:bodyDiv w:val="1"/>
      <w:marLeft w:val="0"/>
      <w:marRight w:val="0"/>
      <w:marTop w:val="0"/>
      <w:marBottom w:val="0"/>
      <w:divBdr>
        <w:top w:val="none" w:sz="0" w:space="0" w:color="auto"/>
        <w:left w:val="none" w:sz="0" w:space="0" w:color="auto"/>
        <w:bottom w:val="none" w:sz="0" w:space="0" w:color="auto"/>
        <w:right w:val="none" w:sz="0" w:space="0" w:color="auto"/>
      </w:divBdr>
      <w:divsChild>
        <w:div w:id="20475756">
          <w:marLeft w:val="547"/>
          <w:marRight w:val="0"/>
          <w:marTop w:val="0"/>
          <w:marBottom w:val="0"/>
          <w:divBdr>
            <w:top w:val="none" w:sz="0" w:space="0" w:color="auto"/>
            <w:left w:val="none" w:sz="0" w:space="0" w:color="auto"/>
            <w:bottom w:val="none" w:sz="0" w:space="0" w:color="auto"/>
            <w:right w:val="none" w:sz="0" w:space="0" w:color="auto"/>
          </w:divBdr>
        </w:div>
        <w:div w:id="23748017">
          <w:marLeft w:val="547"/>
          <w:marRight w:val="0"/>
          <w:marTop w:val="0"/>
          <w:marBottom w:val="0"/>
          <w:divBdr>
            <w:top w:val="none" w:sz="0" w:space="0" w:color="auto"/>
            <w:left w:val="none" w:sz="0" w:space="0" w:color="auto"/>
            <w:bottom w:val="none" w:sz="0" w:space="0" w:color="auto"/>
            <w:right w:val="none" w:sz="0" w:space="0" w:color="auto"/>
          </w:divBdr>
        </w:div>
        <w:div w:id="247859020">
          <w:marLeft w:val="547"/>
          <w:marRight w:val="0"/>
          <w:marTop w:val="0"/>
          <w:marBottom w:val="0"/>
          <w:divBdr>
            <w:top w:val="none" w:sz="0" w:space="0" w:color="auto"/>
            <w:left w:val="none" w:sz="0" w:space="0" w:color="auto"/>
            <w:bottom w:val="none" w:sz="0" w:space="0" w:color="auto"/>
            <w:right w:val="none" w:sz="0" w:space="0" w:color="auto"/>
          </w:divBdr>
        </w:div>
        <w:div w:id="275916744">
          <w:marLeft w:val="446"/>
          <w:marRight w:val="0"/>
          <w:marTop w:val="0"/>
          <w:marBottom w:val="0"/>
          <w:divBdr>
            <w:top w:val="none" w:sz="0" w:space="0" w:color="auto"/>
            <w:left w:val="none" w:sz="0" w:space="0" w:color="auto"/>
            <w:bottom w:val="none" w:sz="0" w:space="0" w:color="auto"/>
            <w:right w:val="none" w:sz="0" w:space="0" w:color="auto"/>
          </w:divBdr>
        </w:div>
        <w:div w:id="286356207">
          <w:marLeft w:val="547"/>
          <w:marRight w:val="0"/>
          <w:marTop w:val="0"/>
          <w:marBottom w:val="0"/>
          <w:divBdr>
            <w:top w:val="none" w:sz="0" w:space="0" w:color="auto"/>
            <w:left w:val="none" w:sz="0" w:space="0" w:color="auto"/>
            <w:bottom w:val="none" w:sz="0" w:space="0" w:color="auto"/>
            <w:right w:val="none" w:sz="0" w:space="0" w:color="auto"/>
          </w:divBdr>
        </w:div>
        <w:div w:id="356663713">
          <w:marLeft w:val="547"/>
          <w:marRight w:val="0"/>
          <w:marTop w:val="0"/>
          <w:marBottom w:val="0"/>
          <w:divBdr>
            <w:top w:val="none" w:sz="0" w:space="0" w:color="auto"/>
            <w:left w:val="none" w:sz="0" w:space="0" w:color="auto"/>
            <w:bottom w:val="none" w:sz="0" w:space="0" w:color="auto"/>
            <w:right w:val="none" w:sz="0" w:space="0" w:color="auto"/>
          </w:divBdr>
        </w:div>
        <w:div w:id="596866682">
          <w:marLeft w:val="547"/>
          <w:marRight w:val="0"/>
          <w:marTop w:val="0"/>
          <w:marBottom w:val="0"/>
          <w:divBdr>
            <w:top w:val="none" w:sz="0" w:space="0" w:color="auto"/>
            <w:left w:val="none" w:sz="0" w:space="0" w:color="auto"/>
            <w:bottom w:val="none" w:sz="0" w:space="0" w:color="auto"/>
            <w:right w:val="none" w:sz="0" w:space="0" w:color="auto"/>
          </w:divBdr>
        </w:div>
        <w:div w:id="861013998">
          <w:marLeft w:val="547"/>
          <w:marRight w:val="0"/>
          <w:marTop w:val="0"/>
          <w:marBottom w:val="0"/>
          <w:divBdr>
            <w:top w:val="none" w:sz="0" w:space="0" w:color="auto"/>
            <w:left w:val="none" w:sz="0" w:space="0" w:color="auto"/>
            <w:bottom w:val="none" w:sz="0" w:space="0" w:color="auto"/>
            <w:right w:val="none" w:sz="0" w:space="0" w:color="auto"/>
          </w:divBdr>
        </w:div>
        <w:div w:id="1021083090">
          <w:marLeft w:val="547"/>
          <w:marRight w:val="0"/>
          <w:marTop w:val="0"/>
          <w:marBottom w:val="0"/>
          <w:divBdr>
            <w:top w:val="none" w:sz="0" w:space="0" w:color="auto"/>
            <w:left w:val="none" w:sz="0" w:space="0" w:color="auto"/>
            <w:bottom w:val="none" w:sz="0" w:space="0" w:color="auto"/>
            <w:right w:val="none" w:sz="0" w:space="0" w:color="auto"/>
          </w:divBdr>
        </w:div>
        <w:div w:id="1098335630">
          <w:marLeft w:val="547"/>
          <w:marRight w:val="0"/>
          <w:marTop w:val="0"/>
          <w:marBottom w:val="0"/>
          <w:divBdr>
            <w:top w:val="none" w:sz="0" w:space="0" w:color="auto"/>
            <w:left w:val="none" w:sz="0" w:space="0" w:color="auto"/>
            <w:bottom w:val="none" w:sz="0" w:space="0" w:color="auto"/>
            <w:right w:val="none" w:sz="0" w:space="0" w:color="auto"/>
          </w:divBdr>
        </w:div>
        <w:div w:id="1239513430">
          <w:marLeft w:val="547"/>
          <w:marRight w:val="0"/>
          <w:marTop w:val="0"/>
          <w:marBottom w:val="0"/>
          <w:divBdr>
            <w:top w:val="none" w:sz="0" w:space="0" w:color="auto"/>
            <w:left w:val="none" w:sz="0" w:space="0" w:color="auto"/>
            <w:bottom w:val="none" w:sz="0" w:space="0" w:color="auto"/>
            <w:right w:val="none" w:sz="0" w:space="0" w:color="auto"/>
          </w:divBdr>
        </w:div>
        <w:div w:id="1252809527">
          <w:marLeft w:val="547"/>
          <w:marRight w:val="0"/>
          <w:marTop w:val="0"/>
          <w:marBottom w:val="0"/>
          <w:divBdr>
            <w:top w:val="none" w:sz="0" w:space="0" w:color="auto"/>
            <w:left w:val="none" w:sz="0" w:space="0" w:color="auto"/>
            <w:bottom w:val="none" w:sz="0" w:space="0" w:color="auto"/>
            <w:right w:val="none" w:sz="0" w:space="0" w:color="auto"/>
          </w:divBdr>
        </w:div>
        <w:div w:id="1350989952">
          <w:marLeft w:val="547"/>
          <w:marRight w:val="0"/>
          <w:marTop w:val="0"/>
          <w:marBottom w:val="0"/>
          <w:divBdr>
            <w:top w:val="none" w:sz="0" w:space="0" w:color="auto"/>
            <w:left w:val="none" w:sz="0" w:space="0" w:color="auto"/>
            <w:bottom w:val="none" w:sz="0" w:space="0" w:color="auto"/>
            <w:right w:val="none" w:sz="0" w:space="0" w:color="auto"/>
          </w:divBdr>
        </w:div>
        <w:div w:id="1470591953">
          <w:marLeft w:val="547"/>
          <w:marRight w:val="0"/>
          <w:marTop w:val="0"/>
          <w:marBottom w:val="0"/>
          <w:divBdr>
            <w:top w:val="none" w:sz="0" w:space="0" w:color="auto"/>
            <w:left w:val="none" w:sz="0" w:space="0" w:color="auto"/>
            <w:bottom w:val="none" w:sz="0" w:space="0" w:color="auto"/>
            <w:right w:val="none" w:sz="0" w:space="0" w:color="auto"/>
          </w:divBdr>
        </w:div>
        <w:div w:id="1482236502">
          <w:marLeft w:val="547"/>
          <w:marRight w:val="0"/>
          <w:marTop w:val="0"/>
          <w:marBottom w:val="0"/>
          <w:divBdr>
            <w:top w:val="none" w:sz="0" w:space="0" w:color="auto"/>
            <w:left w:val="none" w:sz="0" w:space="0" w:color="auto"/>
            <w:bottom w:val="none" w:sz="0" w:space="0" w:color="auto"/>
            <w:right w:val="none" w:sz="0" w:space="0" w:color="auto"/>
          </w:divBdr>
        </w:div>
        <w:div w:id="1566376677">
          <w:marLeft w:val="547"/>
          <w:marRight w:val="0"/>
          <w:marTop w:val="0"/>
          <w:marBottom w:val="0"/>
          <w:divBdr>
            <w:top w:val="none" w:sz="0" w:space="0" w:color="auto"/>
            <w:left w:val="none" w:sz="0" w:space="0" w:color="auto"/>
            <w:bottom w:val="none" w:sz="0" w:space="0" w:color="auto"/>
            <w:right w:val="none" w:sz="0" w:space="0" w:color="auto"/>
          </w:divBdr>
        </w:div>
        <w:div w:id="1920403802">
          <w:marLeft w:val="547"/>
          <w:marRight w:val="0"/>
          <w:marTop w:val="0"/>
          <w:marBottom w:val="0"/>
          <w:divBdr>
            <w:top w:val="none" w:sz="0" w:space="0" w:color="auto"/>
            <w:left w:val="none" w:sz="0" w:space="0" w:color="auto"/>
            <w:bottom w:val="none" w:sz="0" w:space="0" w:color="auto"/>
            <w:right w:val="none" w:sz="0" w:space="0" w:color="auto"/>
          </w:divBdr>
        </w:div>
        <w:div w:id="2054190253">
          <w:marLeft w:val="547"/>
          <w:marRight w:val="0"/>
          <w:marTop w:val="0"/>
          <w:marBottom w:val="0"/>
          <w:divBdr>
            <w:top w:val="none" w:sz="0" w:space="0" w:color="auto"/>
            <w:left w:val="none" w:sz="0" w:space="0" w:color="auto"/>
            <w:bottom w:val="none" w:sz="0" w:space="0" w:color="auto"/>
            <w:right w:val="none" w:sz="0" w:space="0" w:color="auto"/>
          </w:divBdr>
        </w:div>
        <w:div w:id="2101948033">
          <w:marLeft w:val="547"/>
          <w:marRight w:val="0"/>
          <w:marTop w:val="0"/>
          <w:marBottom w:val="0"/>
          <w:divBdr>
            <w:top w:val="none" w:sz="0" w:space="0" w:color="auto"/>
            <w:left w:val="none" w:sz="0" w:space="0" w:color="auto"/>
            <w:bottom w:val="none" w:sz="0" w:space="0" w:color="auto"/>
            <w:right w:val="none" w:sz="0" w:space="0" w:color="auto"/>
          </w:divBdr>
        </w:div>
      </w:divsChild>
    </w:div>
    <w:div w:id="2081556853">
      <w:bodyDiv w:val="1"/>
      <w:marLeft w:val="0"/>
      <w:marRight w:val="0"/>
      <w:marTop w:val="0"/>
      <w:marBottom w:val="0"/>
      <w:divBdr>
        <w:top w:val="none" w:sz="0" w:space="0" w:color="auto"/>
        <w:left w:val="none" w:sz="0" w:space="0" w:color="auto"/>
        <w:bottom w:val="none" w:sz="0" w:space="0" w:color="auto"/>
        <w:right w:val="none" w:sz="0" w:space="0" w:color="auto"/>
      </w:divBdr>
    </w:div>
    <w:div w:id="211570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deueltavares@gmail.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Configura&#231;&#245;es%20locais\Temp\Diret&#243;rio%20tempor&#225;rio%204%20para%20pcarta01.ZIP\normalune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CFF3D-6085-49E3-AE3E-36CDD449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normalunesp</Template>
  <TotalTime>8</TotalTime>
  <Pages>27</Pages>
  <Words>38638</Words>
  <Characters>220241</Characters>
  <Application>Microsoft Office Word</Application>
  <DocSecurity>0</DocSecurity>
  <Lines>1835</Lines>
  <Paragraphs>516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Ofício nº 16/99 - GOE - APLO</vt:lpstr>
      <vt:lpstr>Ofício nº 16/99 - GOE - APLO</vt:lpstr>
    </vt:vector>
  </TitlesOfParts>
  <Company/>
  <LinksUpToDate>false</LinksUpToDate>
  <CharactersWithSpaces>258363</CharactersWithSpaces>
  <SharedDoc>false</SharedDoc>
  <HLinks>
    <vt:vector size="6" baseType="variant">
      <vt:variant>
        <vt:i4>8323136</vt:i4>
      </vt:variant>
      <vt:variant>
        <vt:i4>0</vt:i4>
      </vt:variant>
      <vt:variant>
        <vt:i4>0</vt:i4>
      </vt:variant>
      <vt:variant>
        <vt:i4>5</vt:i4>
      </vt:variant>
      <vt:variant>
        <vt:lpwstr>mailto:deueltavares@gmail.com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nº 16/99 - GOE - APLO</dc:title>
  <dc:subject/>
  <dc:creator>Serviço Técnico de Informática</dc:creator>
  <cp:keywords/>
  <dc:description/>
  <cp:lastModifiedBy>Blanshard, Lisa</cp:lastModifiedBy>
  <cp:revision>5</cp:revision>
  <cp:lastPrinted>2016-05-11T15:59:00Z</cp:lastPrinted>
  <dcterms:created xsi:type="dcterms:W3CDTF">2022-01-04T09:53:00Z</dcterms:created>
  <dcterms:modified xsi:type="dcterms:W3CDTF">2022-01-04T09:59:00Z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http://www.zotero.org/styles/experimental-gerontology</vt:lpwstr>
  </property>
  <property fmtid="{D5CDD505-2E9C-101B-9397-08002B2CF9AE}" pid="7" name="Mendeley Recent Style Name 2_1">
    <vt:lpwstr>Experimental Gerontology</vt:lpwstr>
  </property>
  <property fmtid="{D5CDD505-2E9C-101B-9397-08002B2CF9AE}" pid="8" name="Mendeley Recent Style Id 3_1">
    <vt:lpwstr>http://www.zotero.org/styles/frontiers-in-psychiatry</vt:lpwstr>
  </property>
  <property fmtid="{D5CDD505-2E9C-101B-9397-08002B2CF9AE}" pid="9" name="Mendeley Recent Style Name 3_1">
    <vt:lpwstr>Frontiers in Psychiatry</vt:lpwstr>
  </property>
  <property fmtid="{D5CDD505-2E9C-101B-9397-08002B2CF9AE}" pid="10" name="Mendeley Recent Style Id 4_1">
    <vt:lpwstr>http://www.zotero.org/styles/frontiers-in-public-health</vt:lpwstr>
  </property>
  <property fmtid="{D5CDD505-2E9C-101B-9397-08002B2CF9AE}" pid="11" name="Mendeley Recent Style Name 4_1">
    <vt:lpwstr>Frontiers in Public Health</vt:lpwstr>
  </property>
  <property fmtid="{D5CDD505-2E9C-101B-9397-08002B2CF9AE}" pid="12" name="Mendeley Recent Style Id 5_1">
    <vt:lpwstr>http://www.zotero.org/styles/plos-medicine</vt:lpwstr>
  </property>
  <property fmtid="{D5CDD505-2E9C-101B-9397-08002B2CF9AE}" pid="13" name="Mendeley Recent Style Name 5_1">
    <vt:lpwstr>PLOS Medicine</vt:lpwstr>
  </property>
  <property fmtid="{D5CDD505-2E9C-101B-9397-08002B2CF9AE}" pid="14" name="Mendeley Recent Style Id 6_1">
    <vt:lpwstr>http://www.zotero.org/styles/physiology-and-behavior</vt:lpwstr>
  </property>
  <property fmtid="{D5CDD505-2E9C-101B-9397-08002B2CF9AE}" pid="15" name="Mendeley Recent Style Name 6_1">
    <vt:lpwstr>Physiology &amp; Behavior</vt:lpwstr>
  </property>
  <property fmtid="{D5CDD505-2E9C-101B-9397-08002B2CF9AE}" pid="16" name="Mendeley Recent Style Id 7_1">
    <vt:lpwstr>http://www.zotero.org/styles/preventive-medicine</vt:lpwstr>
  </property>
  <property fmtid="{D5CDD505-2E9C-101B-9397-08002B2CF9AE}" pid="17" name="Mendeley Recent Style Name 7_1">
    <vt:lpwstr>Preventive Medicine</vt:lpwstr>
  </property>
  <property fmtid="{D5CDD505-2E9C-101B-9397-08002B2CF9AE}" pid="18" name="Mendeley Recent Style Id 8_1">
    <vt:lpwstr>http://www.zotero.org/styles/scientific-reports</vt:lpwstr>
  </property>
  <property fmtid="{D5CDD505-2E9C-101B-9397-08002B2CF9AE}" pid="19" name="Mendeley Recent Style Name 8_1">
    <vt:lpwstr>Scientific Reports</vt:lpwstr>
  </property>
  <property fmtid="{D5CDD505-2E9C-101B-9397-08002B2CF9AE}" pid="20" name="Mendeley Recent Style Id 9_1">
    <vt:lpwstr>http://www.zotero.org/styles/vancouver-author-date</vt:lpwstr>
  </property>
  <property fmtid="{D5CDD505-2E9C-101B-9397-08002B2CF9AE}" pid="21" name="Mendeley Recent Style Name 9_1">
    <vt:lpwstr>Vancouver (author-date)</vt:lpwstr>
  </property>
  <property fmtid="{D5CDD505-2E9C-101B-9397-08002B2CF9AE}" pid="22" name="Mendeley Document_1">
    <vt:lpwstr>True</vt:lpwstr>
  </property>
  <property fmtid="{D5CDD505-2E9C-101B-9397-08002B2CF9AE}" pid="23" name="Mendeley Unique User Id_1">
    <vt:lpwstr>224f6397-5876-30e1-b1a8-26d876eb1183</vt:lpwstr>
  </property>
  <property fmtid="{D5CDD505-2E9C-101B-9397-08002B2CF9AE}" pid="24" name="Mendeley Citation Style_1">
    <vt:lpwstr>http://www.zotero.org/styles/plos-medicine</vt:lpwstr>
  </property>
</Properties>
</file>