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9C706" w14:textId="19DEC947" w:rsidR="009A3BD8" w:rsidRPr="00C65FFB" w:rsidRDefault="00C83E28" w:rsidP="00C65FFB">
      <w:pPr>
        <w:pStyle w:val="Title"/>
      </w:pPr>
      <w:r w:rsidRPr="00C65FFB">
        <w:t xml:space="preserve">Association between </w:t>
      </w:r>
      <w:r w:rsidR="00982632" w:rsidRPr="00C65FFB">
        <w:t xml:space="preserve">back </w:t>
      </w:r>
      <w:r w:rsidR="003B5040" w:rsidRPr="00C65FFB">
        <w:t xml:space="preserve">and neck </w:t>
      </w:r>
      <w:r w:rsidR="00982632" w:rsidRPr="00C65FFB">
        <w:t>pain</w:t>
      </w:r>
      <w:r w:rsidRPr="00C65FFB">
        <w:t xml:space="preserve"> and </w:t>
      </w:r>
      <w:r w:rsidR="00982632" w:rsidRPr="00C65FFB">
        <w:t>work</w:t>
      </w:r>
      <w:r w:rsidR="00494A97" w:rsidRPr="00C65FFB">
        <w:t>place</w:t>
      </w:r>
      <w:r w:rsidR="00982632" w:rsidRPr="00C65FFB">
        <w:t xml:space="preserve"> absenteeism in the United States</w:t>
      </w:r>
      <w:r w:rsidR="00CE0D95" w:rsidRPr="00C65FFB">
        <w:t xml:space="preserve">: the role played by </w:t>
      </w:r>
      <w:r w:rsidR="009F5D94" w:rsidRPr="00C65FFB">
        <w:t>walking</w:t>
      </w:r>
      <w:r w:rsidR="00CE0D95" w:rsidRPr="00C65FFB">
        <w:t xml:space="preserve">, </w:t>
      </w:r>
      <w:proofErr w:type="gramStart"/>
      <w:r w:rsidR="00CE0D95" w:rsidRPr="00C65FFB">
        <w:t>standing</w:t>
      </w:r>
      <w:proofErr w:type="gramEnd"/>
      <w:r w:rsidR="00CE0D95" w:rsidRPr="00C65FFB">
        <w:t xml:space="preserve"> and </w:t>
      </w:r>
      <w:r w:rsidR="009F5D94" w:rsidRPr="00C65FFB">
        <w:t>sitting</w:t>
      </w:r>
      <w:r w:rsidR="00CE0D95" w:rsidRPr="00C65FFB">
        <w:t xml:space="preserve"> difficulties</w:t>
      </w:r>
    </w:p>
    <w:p w14:paraId="5DD73E9B" w14:textId="2316F2F3" w:rsidR="00C83E28" w:rsidRDefault="00C83E28" w:rsidP="006B166A">
      <w:pPr>
        <w:spacing w:line="480" w:lineRule="auto"/>
        <w:jc w:val="both"/>
        <w:rPr>
          <w:rFonts w:ascii="Times New Roman" w:hAnsi="Times New Roman" w:cs="Times New Roman"/>
          <w:lang w:val="en-US"/>
        </w:rPr>
      </w:pPr>
    </w:p>
    <w:p w14:paraId="36901C78" w14:textId="77777777" w:rsidR="00B22C17" w:rsidRPr="00B22C17" w:rsidRDefault="00B22C17" w:rsidP="00B22C17">
      <w:pPr>
        <w:spacing w:line="480" w:lineRule="auto"/>
        <w:jc w:val="both"/>
        <w:rPr>
          <w:rFonts w:ascii="Times New Roman" w:hAnsi="Times New Roman" w:cs="Times New Roman"/>
          <w:vertAlign w:val="superscript"/>
          <w:lang w:val="en-US"/>
        </w:rPr>
      </w:pPr>
      <w:r w:rsidRPr="00B22C17">
        <w:rPr>
          <w:rFonts w:ascii="Times New Roman" w:hAnsi="Times New Roman" w:cs="Times New Roman"/>
          <w:lang w:val="en-US"/>
        </w:rPr>
        <w:t>Louis Jacob, MD-</w:t>
      </w:r>
      <w:proofErr w:type="spellStart"/>
      <w:proofErr w:type="gramStart"/>
      <w:r w:rsidRPr="00B22C17">
        <w:rPr>
          <w:rFonts w:ascii="Times New Roman" w:hAnsi="Times New Roman" w:cs="Times New Roman"/>
          <w:lang w:val="en-US"/>
        </w:rPr>
        <w:t>PhD</w:t>
      </w:r>
      <w:r w:rsidRPr="00B22C17">
        <w:rPr>
          <w:rFonts w:ascii="Times New Roman" w:hAnsi="Times New Roman" w:cs="Times New Roman"/>
          <w:vertAlign w:val="superscript"/>
          <w:lang w:val="en-US"/>
        </w:rPr>
        <w:t>a,b</w:t>
      </w:r>
      <w:proofErr w:type="gramEnd"/>
      <w:r w:rsidRPr="00B22C17">
        <w:rPr>
          <w:rFonts w:ascii="Times New Roman" w:hAnsi="Times New Roman" w:cs="Times New Roman"/>
          <w:vertAlign w:val="superscript"/>
          <w:lang w:val="en-US"/>
        </w:rPr>
        <w:t>,c</w:t>
      </w:r>
      <w:proofErr w:type="spellEnd"/>
      <w:r w:rsidRPr="00B22C17">
        <w:rPr>
          <w:rFonts w:ascii="Times New Roman" w:hAnsi="Times New Roman" w:cs="Times New Roman"/>
          <w:lang w:val="en-US"/>
        </w:rPr>
        <w:t xml:space="preserve">; Guillermo F López-Sánchez, </w:t>
      </w:r>
      <w:proofErr w:type="spellStart"/>
      <w:r w:rsidRPr="00B22C17">
        <w:rPr>
          <w:rFonts w:ascii="Times New Roman" w:hAnsi="Times New Roman" w:cs="Times New Roman"/>
          <w:lang w:val="en-US"/>
        </w:rPr>
        <w:t>PhD</w:t>
      </w:r>
      <w:r w:rsidRPr="00B22C17">
        <w:rPr>
          <w:rFonts w:ascii="Times New Roman" w:hAnsi="Times New Roman" w:cs="Times New Roman"/>
          <w:vertAlign w:val="superscript"/>
          <w:lang w:val="en-US"/>
        </w:rPr>
        <w:t>d</w:t>
      </w:r>
      <w:proofErr w:type="spellEnd"/>
      <w:r w:rsidRPr="00B22C17">
        <w:rPr>
          <w:rFonts w:ascii="Times New Roman" w:hAnsi="Times New Roman" w:cs="Times New Roman"/>
          <w:lang w:val="en-US"/>
        </w:rPr>
        <w:t xml:space="preserve">*; Hans Oh, </w:t>
      </w:r>
      <w:proofErr w:type="spellStart"/>
      <w:r w:rsidRPr="00B22C17">
        <w:rPr>
          <w:rFonts w:ascii="Times New Roman" w:hAnsi="Times New Roman" w:cs="Times New Roman"/>
          <w:lang w:val="en-US"/>
        </w:rPr>
        <w:t>PhD</w:t>
      </w:r>
      <w:r w:rsidRPr="00B22C17">
        <w:rPr>
          <w:rFonts w:ascii="Times New Roman" w:hAnsi="Times New Roman" w:cs="Times New Roman"/>
          <w:vertAlign w:val="superscript"/>
          <w:lang w:val="en-US"/>
        </w:rPr>
        <w:t>e</w:t>
      </w:r>
      <w:proofErr w:type="spellEnd"/>
      <w:r w:rsidRPr="00B22C17">
        <w:rPr>
          <w:rFonts w:ascii="Times New Roman" w:hAnsi="Times New Roman" w:cs="Times New Roman"/>
          <w:lang w:val="en-US"/>
        </w:rPr>
        <w:t>; Igor Grabovac, MD-</w:t>
      </w:r>
      <w:proofErr w:type="spellStart"/>
      <w:r w:rsidRPr="00B22C17">
        <w:rPr>
          <w:rFonts w:ascii="Times New Roman" w:hAnsi="Times New Roman" w:cs="Times New Roman"/>
          <w:lang w:val="en-US"/>
        </w:rPr>
        <w:t>PhD</w:t>
      </w:r>
      <w:r w:rsidRPr="00B22C17">
        <w:rPr>
          <w:rFonts w:ascii="Times New Roman" w:hAnsi="Times New Roman" w:cs="Times New Roman"/>
          <w:vertAlign w:val="superscript"/>
          <w:lang w:val="en-US"/>
        </w:rPr>
        <w:t>f</w:t>
      </w:r>
      <w:proofErr w:type="spellEnd"/>
      <w:r w:rsidRPr="00B22C17">
        <w:rPr>
          <w:rFonts w:ascii="Times New Roman" w:hAnsi="Times New Roman" w:cs="Times New Roman"/>
          <w:lang w:val="en-US"/>
        </w:rPr>
        <w:t xml:space="preserve">; Sinisa </w:t>
      </w:r>
      <w:proofErr w:type="spellStart"/>
      <w:r w:rsidRPr="00B22C17">
        <w:rPr>
          <w:rFonts w:ascii="Times New Roman" w:hAnsi="Times New Roman" w:cs="Times New Roman"/>
          <w:lang w:val="en-US"/>
        </w:rPr>
        <w:t>Stefanac</w:t>
      </w:r>
      <w:proofErr w:type="spellEnd"/>
      <w:r w:rsidRPr="00B22C17">
        <w:rPr>
          <w:rFonts w:ascii="Times New Roman" w:hAnsi="Times New Roman" w:cs="Times New Roman"/>
          <w:lang w:val="en-US"/>
        </w:rPr>
        <w:t xml:space="preserve">, </w:t>
      </w:r>
      <w:proofErr w:type="spellStart"/>
      <w:r w:rsidRPr="00B22C17">
        <w:rPr>
          <w:rFonts w:ascii="Times New Roman" w:hAnsi="Times New Roman" w:cs="Times New Roman"/>
          <w:lang w:val="en-US"/>
        </w:rPr>
        <w:t>MScOT</w:t>
      </w:r>
      <w:r w:rsidRPr="00B22C17">
        <w:rPr>
          <w:rFonts w:ascii="Times New Roman" w:hAnsi="Times New Roman" w:cs="Times New Roman"/>
          <w:vertAlign w:val="superscript"/>
          <w:lang w:val="en-US"/>
        </w:rPr>
        <w:t>g</w:t>
      </w:r>
      <w:proofErr w:type="spellEnd"/>
      <w:r w:rsidRPr="00B22C17">
        <w:rPr>
          <w:rFonts w:ascii="Times New Roman" w:hAnsi="Times New Roman" w:cs="Times New Roman"/>
          <w:lang w:val="en-US"/>
        </w:rPr>
        <w:t>; Jae Il Shin, MD-</w:t>
      </w:r>
      <w:proofErr w:type="spellStart"/>
      <w:r w:rsidRPr="00B22C17">
        <w:rPr>
          <w:rFonts w:ascii="Times New Roman" w:hAnsi="Times New Roman" w:cs="Times New Roman"/>
          <w:lang w:val="en-US"/>
        </w:rPr>
        <w:t>PhD</w:t>
      </w:r>
      <w:r w:rsidRPr="00B22C17">
        <w:rPr>
          <w:rFonts w:ascii="Times New Roman" w:hAnsi="Times New Roman" w:cs="Times New Roman"/>
          <w:vertAlign w:val="superscript"/>
          <w:lang w:val="en-US"/>
        </w:rPr>
        <w:t>h</w:t>
      </w:r>
      <w:proofErr w:type="spellEnd"/>
      <w:r w:rsidRPr="00B22C17">
        <w:rPr>
          <w:rFonts w:ascii="Times New Roman" w:hAnsi="Times New Roman" w:cs="Times New Roman"/>
          <w:lang w:val="en-US"/>
        </w:rPr>
        <w:t xml:space="preserve">; Mark A Tully, </w:t>
      </w:r>
      <w:proofErr w:type="spellStart"/>
      <w:r w:rsidRPr="00B22C17">
        <w:rPr>
          <w:rFonts w:ascii="Times New Roman" w:hAnsi="Times New Roman" w:cs="Times New Roman"/>
          <w:lang w:val="en-US"/>
        </w:rPr>
        <w:t>PhD</w:t>
      </w:r>
      <w:r w:rsidRPr="00B22C17">
        <w:rPr>
          <w:rFonts w:ascii="Times New Roman" w:hAnsi="Times New Roman" w:cs="Times New Roman"/>
          <w:vertAlign w:val="superscript"/>
          <w:lang w:val="en-US"/>
        </w:rPr>
        <w:t>i</w:t>
      </w:r>
      <w:proofErr w:type="spellEnd"/>
      <w:r w:rsidRPr="00B22C17">
        <w:rPr>
          <w:rFonts w:ascii="Times New Roman" w:hAnsi="Times New Roman" w:cs="Times New Roman"/>
          <w:lang w:val="en-US"/>
        </w:rPr>
        <w:t xml:space="preserve">; Rubén López-Bueno, </w:t>
      </w:r>
      <w:proofErr w:type="spellStart"/>
      <w:r w:rsidRPr="00B22C17">
        <w:rPr>
          <w:rFonts w:ascii="Times New Roman" w:hAnsi="Times New Roman" w:cs="Times New Roman"/>
          <w:lang w:val="en-US"/>
        </w:rPr>
        <w:t>PhD</w:t>
      </w:r>
      <w:r w:rsidRPr="00B22C17">
        <w:rPr>
          <w:rFonts w:ascii="Times New Roman" w:hAnsi="Times New Roman" w:cs="Times New Roman"/>
          <w:vertAlign w:val="superscript"/>
          <w:lang w:val="en-US"/>
        </w:rPr>
        <w:t>j</w:t>
      </w:r>
      <w:proofErr w:type="spellEnd"/>
      <w:r w:rsidRPr="00B22C17">
        <w:rPr>
          <w:rFonts w:ascii="Times New Roman" w:hAnsi="Times New Roman" w:cs="Times New Roman"/>
          <w:lang w:val="en-US"/>
        </w:rPr>
        <w:t xml:space="preserve">; Ai </w:t>
      </w:r>
      <w:proofErr w:type="spellStart"/>
      <w:r w:rsidRPr="00B22C17">
        <w:rPr>
          <w:rFonts w:ascii="Times New Roman" w:hAnsi="Times New Roman" w:cs="Times New Roman"/>
          <w:lang w:val="en-US"/>
        </w:rPr>
        <w:t>Koyanagi</w:t>
      </w:r>
      <w:proofErr w:type="spellEnd"/>
      <w:r w:rsidRPr="00B22C17">
        <w:rPr>
          <w:rFonts w:ascii="Times New Roman" w:hAnsi="Times New Roman" w:cs="Times New Roman"/>
          <w:lang w:val="en-US"/>
        </w:rPr>
        <w:t xml:space="preserve">, </w:t>
      </w:r>
      <w:proofErr w:type="spellStart"/>
      <w:r w:rsidRPr="00B22C17">
        <w:rPr>
          <w:rFonts w:ascii="Times New Roman" w:hAnsi="Times New Roman" w:cs="Times New Roman"/>
          <w:lang w:val="en-US"/>
        </w:rPr>
        <w:t>PhD</w:t>
      </w:r>
      <w:r w:rsidRPr="00B22C17">
        <w:rPr>
          <w:rFonts w:ascii="Times New Roman" w:hAnsi="Times New Roman" w:cs="Times New Roman"/>
          <w:vertAlign w:val="superscript"/>
          <w:lang w:val="en-US"/>
        </w:rPr>
        <w:t>a,b,k</w:t>
      </w:r>
      <w:proofErr w:type="spellEnd"/>
      <w:r w:rsidRPr="00B22C17">
        <w:rPr>
          <w:rFonts w:ascii="Times New Roman" w:hAnsi="Times New Roman" w:cs="Times New Roman"/>
          <w:lang w:val="en-US"/>
        </w:rPr>
        <w:t xml:space="preserve">; Yvonne Barnett, </w:t>
      </w:r>
      <w:proofErr w:type="spellStart"/>
      <w:r w:rsidRPr="00B22C17">
        <w:rPr>
          <w:rFonts w:ascii="Times New Roman" w:hAnsi="Times New Roman" w:cs="Times New Roman"/>
          <w:lang w:val="en-US"/>
        </w:rPr>
        <w:t>DPhil</w:t>
      </w:r>
      <w:r w:rsidRPr="00B22C17">
        <w:rPr>
          <w:rFonts w:ascii="Times New Roman" w:hAnsi="Times New Roman" w:cs="Times New Roman"/>
          <w:vertAlign w:val="superscript"/>
          <w:lang w:val="en-US"/>
        </w:rPr>
        <w:t>l</w:t>
      </w:r>
      <w:proofErr w:type="spellEnd"/>
      <w:r w:rsidRPr="00B22C17">
        <w:rPr>
          <w:rFonts w:ascii="Times New Roman" w:hAnsi="Times New Roman" w:cs="Times New Roman"/>
          <w:lang w:val="en-US"/>
        </w:rPr>
        <w:t xml:space="preserve">; </w:t>
      </w:r>
      <w:proofErr w:type="spellStart"/>
      <w:r w:rsidRPr="00B22C17">
        <w:rPr>
          <w:rFonts w:ascii="Times New Roman" w:hAnsi="Times New Roman" w:cs="Times New Roman"/>
          <w:lang w:val="en-US"/>
        </w:rPr>
        <w:t>Josep</w:t>
      </w:r>
      <w:proofErr w:type="spellEnd"/>
      <w:r w:rsidRPr="00B22C17">
        <w:rPr>
          <w:rFonts w:ascii="Times New Roman" w:hAnsi="Times New Roman" w:cs="Times New Roman"/>
          <w:lang w:val="en-US"/>
        </w:rPr>
        <w:t xml:space="preserve"> Maria </w:t>
      </w:r>
      <w:proofErr w:type="spellStart"/>
      <w:r w:rsidRPr="00B22C17">
        <w:rPr>
          <w:rFonts w:ascii="Times New Roman" w:hAnsi="Times New Roman" w:cs="Times New Roman"/>
          <w:lang w:val="en-US"/>
        </w:rPr>
        <w:t>Haro</w:t>
      </w:r>
      <w:proofErr w:type="spellEnd"/>
      <w:r w:rsidRPr="00B22C17">
        <w:rPr>
          <w:rFonts w:ascii="Times New Roman" w:hAnsi="Times New Roman" w:cs="Times New Roman"/>
          <w:lang w:val="en-US"/>
        </w:rPr>
        <w:t>, MD-</w:t>
      </w:r>
      <w:proofErr w:type="spellStart"/>
      <w:r w:rsidRPr="00B22C17">
        <w:rPr>
          <w:rFonts w:ascii="Times New Roman" w:hAnsi="Times New Roman" w:cs="Times New Roman"/>
          <w:lang w:val="en-US"/>
        </w:rPr>
        <w:t>PhD</w:t>
      </w:r>
      <w:r w:rsidRPr="00B22C17">
        <w:rPr>
          <w:rFonts w:ascii="Times New Roman" w:hAnsi="Times New Roman" w:cs="Times New Roman"/>
          <w:vertAlign w:val="superscript"/>
          <w:lang w:val="en-US"/>
        </w:rPr>
        <w:t>a,b</w:t>
      </w:r>
      <w:proofErr w:type="spellEnd"/>
      <w:r w:rsidRPr="00B22C17">
        <w:rPr>
          <w:rFonts w:ascii="Times New Roman" w:hAnsi="Times New Roman" w:cs="Times New Roman"/>
          <w:lang w:val="en-US"/>
        </w:rPr>
        <w:t xml:space="preserve">; Lee Smith, </w:t>
      </w:r>
      <w:proofErr w:type="spellStart"/>
      <w:r w:rsidRPr="00B22C17">
        <w:rPr>
          <w:rFonts w:ascii="Times New Roman" w:hAnsi="Times New Roman" w:cs="Times New Roman"/>
          <w:lang w:val="en-US"/>
        </w:rPr>
        <w:t>PhD</w:t>
      </w:r>
      <w:r w:rsidRPr="00B22C17">
        <w:rPr>
          <w:rFonts w:ascii="Times New Roman" w:hAnsi="Times New Roman" w:cs="Times New Roman"/>
          <w:vertAlign w:val="superscript"/>
          <w:lang w:val="en-US"/>
        </w:rPr>
        <w:t>m</w:t>
      </w:r>
      <w:proofErr w:type="spellEnd"/>
    </w:p>
    <w:p w14:paraId="51A0EE2D" w14:textId="77777777" w:rsidR="00B22C17" w:rsidRPr="00B22C17" w:rsidRDefault="00B22C17" w:rsidP="00B22C17">
      <w:pPr>
        <w:spacing w:line="480" w:lineRule="auto"/>
        <w:jc w:val="both"/>
        <w:rPr>
          <w:rFonts w:ascii="Times New Roman" w:hAnsi="Times New Roman" w:cs="Times New Roman"/>
          <w:lang w:val="en-US"/>
        </w:rPr>
      </w:pPr>
    </w:p>
    <w:p w14:paraId="25DE123C" w14:textId="77777777" w:rsidR="00B22C17" w:rsidRPr="00B22C17" w:rsidRDefault="00B22C17" w:rsidP="00B22C17">
      <w:pPr>
        <w:spacing w:line="480" w:lineRule="auto"/>
        <w:jc w:val="both"/>
        <w:rPr>
          <w:rFonts w:ascii="Times New Roman" w:hAnsi="Times New Roman" w:cs="Times New Roman"/>
        </w:rPr>
      </w:pPr>
      <w:proofErr w:type="spellStart"/>
      <w:proofErr w:type="gramStart"/>
      <w:r w:rsidRPr="00B22C17">
        <w:rPr>
          <w:rFonts w:ascii="Times New Roman" w:hAnsi="Times New Roman" w:cs="Times New Roman"/>
          <w:vertAlign w:val="superscript"/>
        </w:rPr>
        <w:t>a</w:t>
      </w:r>
      <w:proofErr w:type="spellEnd"/>
      <w:proofErr w:type="gramEnd"/>
      <w:r w:rsidRPr="00B22C17">
        <w:rPr>
          <w:rFonts w:ascii="Times New Roman" w:hAnsi="Times New Roman" w:cs="Times New Roman"/>
        </w:rPr>
        <w:t xml:space="preserve"> Research and </w:t>
      </w:r>
      <w:proofErr w:type="spellStart"/>
      <w:r w:rsidRPr="00B22C17">
        <w:rPr>
          <w:rFonts w:ascii="Times New Roman" w:hAnsi="Times New Roman" w:cs="Times New Roman"/>
        </w:rPr>
        <w:t>Development</w:t>
      </w:r>
      <w:proofErr w:type="spellEnd"/>
      <w:r w:rsidRPr="00B22C17">
        <w:rPr>
          <w:rFonts w:ascii="Times New Roman" w:hAnsi="Times New Roman" w:cs="Times New Roman"/>
        </w:rPr>
        <w:t xml:space="preserve"> Unit, Parc </w:t>
      </w:r>
      <w:proofErr w:type="spellStart"/>
      <w:r w:rsidRPr="00B22C17">
        <w:rPr>
          <w:rFonts w:ascii="Times New Roman" w:hAnsi="Times New Roman" w:cs="Times New Roman"/>
        </w:rPr>
        <w:t>Sanitari</w:t>
      </w:r>
      <w:proofErr w:type="spellEnd"/>
      <w:r w:rsidRPr="00B22C17">
        <w:rPr>
          <w:rFonts w:ascii="Times New Roman" w:hAnsi="Times New Roman" w:cs="Times New Roman"/>
        </w:rPr>
        <w:t xml:space="preserve"> Sant Joan de </w:t>
      </w:r>
      <w:proofErr w:type="spellStart"/>
      <w:r w:rsidRPr="00B22C17">
        <w:rPr>
          <w:rFonts w:ascii="Times New Roman" w:hAnsi="Times New Roman" w:cs="Times New Roman"/>
        </w:rPr>
        <w:t>Déu</w:t>
      </w:r>
      <w:proofErr w:type="spellEnd"/>
      <w:r w:rsidRPr="00B22C17">
        <w:rPr>
          <w:rFonts w:ascii="Times New Roman" w:hAnsi="Times New Roman" w:cs="Times New Roman"/>
        </w:rPr>
        <w:t xml:space="preserve">, Dr. Antoni </w:t>
      </w:r>
      <w:proofErr w:type="spellStart"/>
      <w:r w:rsidRPr="00B22C17">
        <w:rPr>
          <w:rFonts w:ascii="Times New Roman" w:hAnsi="Times New Roman" w:cs="Times New Roman"/>
        </w:rPr>
        <w:t>Pujadas</w:t>
      </w:r>
      <w:proofErr w:type="spellEnd"/>
      <w:r w:rsidRPr="00B22C17">
        <w:rPr>
          <w:rFonts w:ascii="Times New Roman" w:hAnsi="Times New Roman" w:cs="Times New Roman"/>
        </w:rPr>
        <w:t xml:space="preserve">, 42, Sant </w:t>
      </w:r>
      <w:proofErr w:type="spellStart"/>
      <w:r w:rsidRPr="00B22C17">
        <w:rPr>
          <w:rFonts w:ascii="Times New Roman" w:hAnsi="Times New Roman" w:cs="Times New Roman"/>
        </w:rPr>
        <w:t>Boi</w:t>
      </w:r>
      <w:proofErr w:type="spellEnd"/>
      <w:r w:rsidRPr="00B22C17">
        <w:rPr>
          <w:rFonts w:ascii="Times New Roman" w:hAnsi="Times New Roman" w:cs="Times New Roman"/>
        </w:rPr>
        <w:t xml:space="preserve"> de Llobregat, Barcelona 08830, Spain</w:t>
      </w:r>
    </w:p>
    <w:p w14:paraId="536E5220" w14:textId="77777777" w:rsidR="00B22C17" w:rsidRPr="00B22C17" w:rsidRDefault="00B22C17" w:rsidP="00B22C17">
      <w:pPr>
        <w:spacing w:line="480" w:lineRule="auto"/>
        <w:jc w:val="both"/>
        <w:rPr>
          <w:rFonts w:ascii="Times New Roman" w:hAnsi="Times New Roman" w:cs="Times New Roman"/>
          <w:lang w:val="es-ES"/>
        </w:rPr>
      </w:pPr>
      <w:r w:rsidRPr="00B22C17">
        <w:rPr>
          <w:rFonts w:ascii="Times New Roman" w:hAnsi="Times New Roman" w:cs="Times New Roman"/>
          <w:vertAlign w:val="superscript"/>
          <w:lang w:val="es-ES"/>
        </w:rPr>
        <w:t>b</w:t>
      </w:r>
      <w:r w:rsidRPr="00B22C17">
        <w:rPr>
          <w:rFonts w:ascii="Times New Roman" w:hAnsi="Times New Roman" w:cs="Times New Roman"/>
          <w:lang w:val="es-ES"/>
        </w:rPr>
        <w:t xml:space="preserve"> Centro de Investigación Biomédica en Red de Salud Mental (CIBERSAM), Madrid, </w:t>
      </w:r>
      <w:proofErr w:type="spellStart"/>
      <w:r w:rsidRPr="00B22C17">
        <w:rPr>
          <w:rFonts w:ascii="Times New Roman" w:hAnsi="Times New Roman" w:cs="Times New Roman"/>
          <w:lang w:val="es-ES"/>
        </w:rPr>
        <w:t>Spain</w:t>
      </w:r>
      <w:proofErr w:type="spellEnd"/>
    </w:p>
    <w:p w14:paraId="4A5176A8" w14:textId="77777777" w:rsidR="00B22C17" w:rsidRPr="00B22C17" w:rsidRDefault="00B22C17" w:rsidP="00B22C17">
      <w:pPr>
        <w:spacing w:line="480" w:lineRule="auto"/>
        <w:jc w:val="both"/>
        <w:rPr>
          <w:rFonts w:ascii="Times New Roman" w:hAnsi="Times New Roman" w:cs="Times New Roman"/>
          <w:lang w:val="en-US"/>
        </w:rPr>
      </w:pPr>
      <w:r w:rsidRPr="00B22C17">
        <w:rPr>
          <w:rFonts w:ascii="Times New Roman" w:hAnsi="Times New Roman" w:cs="Times New Roman"/>
          <w:vertAlign w:val="superscript"/>
          <w:lang w:val="en-US"/>
        </w:rPr>
        <w:t>c</w:t>
      </w:r>
      <w:r w:rsidRPr="00B22C17">
        <w:rPr>
          <w:rFonts w:ascii="Times New Roman" w:hAnsi="Times New Roman" w:cs="Times New Roman"/>
          <w:lang w:val="en-US"/>
        </w:rPr>
        <w:t xml:space="preserve"> Faculty of Medicine, University of Versailles Saint-Quentin-</w:t>
      </w:r>
      <w:proofErr w:type="spellStart"/>
      <w:r w:rsidRPr="00B22C17">
        <w:rPr>
          <w:rFonts w:ascii="Times New Roman" w:hAnsi="Times New Roman" w:cs="Times New Roman"/>
          <w:lang w:val="en-US"/>
        </w:rPr>
        <w:t>en</w:t>
      </w:r>
      <w:proofErr w:type="spellEnd"/>
      <w:r w:rsidRPr="00B22C17">
        <w:rPr>
          <w:rFonts w:ascii="Times New Roman" w:hAnsi="Times New Roman" w:cs="Times New Roman"/>
          <w:lang w:val="en-US"/>
        </w:rPr>
        <w:t xml:space="preserve">-Yvelines, </w:t>
      </w:r>
      <w:proofErr w:type="spellStart"/>
      <w:r w:rsidRPr="00B22C17">
        <w:rPr>
          <w:rFonts w:ascii="Times New Roman" w:hAnsi="Times New Roman" w:cs="Times New Roman"/>
          <w:lang w:val="en-US"/>
        </w:rPr>
        <w:t>Montigny</w:t>
      </w:r>
      <w:proofErr w:type="spellEnd"/>
      <w:r w:rsidRPr="00B22C17">
        <w:rPr>
          <w:rFonts w:ascii="Times New Roman" w:hAnsi="Times New Roman" w:cs="Times New Roman"/>
          <w:lang w:val="en-US"/>
        </w:rPr>
        <w:t>-le-Bretonneux 78180, France</w:t>
      </w:r>
    </w:p>
    <w:p w14:paraId="3241ED7D" w14:textId="77777777" w:rsidR="00B22C17" w:rsidRPr="00B22C17" w:rsidRDefault="00B22C17" w:rsidP="00B22C17">
      <w:pPr>
        <w:spacing w:line="480" w:lineRule="auto"/>
        <w:jc w:val="both"/>
        <w:rPr>
          <w:rFonts w:ascii="Times New Roman" w:hAnsi="Times New Roman" w:cs="Times New Roman"/>
          <w:lang w:val="en-US"/>
        </w:rPr>
      </w:pPr>
      <w:r w:rsidRPr="00B22C17">
        <w:rPr>
          <w:rFonts w:ascii="Times New Roman" w:hAnsi="Times New Roman" w:cs="Times New Roman"/>
          <w:vertAlign w:val="superscript"/>
          <w:lang w:val="en-US"/>
        </w:rPr>
        <w:t>d</w:t>
      </w:r>
      <w:r w:rsidRPr="00B22C17">
        <w:rPr>
          <w:rFonts w:ascii="Times New Roman" w:hAnsi="Times New Roman" w:cs="Times New Roman"/>
          <w:lang w:val="en-US"/>
        </w:rPr>
        <w:t xml:space="preserve"> Vision and Eye Research Institute, School of Medicine, Faculty of Health, Education, Medicine and Social Care, Anglia Ruskin University-Cambridge Campus, Cambridge, United Kingdom</w:t>
      </w:r>
    </w:p>
    <w:p w14:paraId="2640A1D0" w14:textId="77777777" w:rsidR="00B22C17" w:rsidRPr="00B22C17" w:rsidRDefault="00B22C17" w:rsidP="00B22C17">
      <w:pPr>
        <w:spacing w:line="480" w:lineRule="auto"/>
        <w:jc w:val="both"/>
        <w:rPr>
          <w:rFonts w:ascii="Times New Roman" w:hAnsi="Times New Roman" w:cs="Times New Roman"/>
          <w:lang w:val="en-US"/>
        </w:rPr>
      </w:pPr>
      <w:r w:rsidRPr="00B22C17">
        <w:rPr>
          <w:rFonts w:ascii="Times New Roman" w:hAnsi="Times New Roman" w:cs="Times New Roman"/>
          <w:vertAlign w:val="superscript"/>
          <w:lang w:val="en-US"/>
        </w:rPr>
        <w:t>e</w:t>
      </w:r>
      <w:r w:rsidRPr="00B22C17">
        <w:rPr>
          <w:rFonts w:ascii="Times New Roman" w:hAnsi="Times New Roman" w:cs="Times New Roman"/>
          <w:lang w:val="en-US"/>
        </w:rPr>
        <w:t xml:space="preserve"> Suzanne </w:t>
      </w:r>
      <w:proofErr w:type="spellStart"/>
      <w:r w:rsidRPr="00B22C17">
        <w:rPr>
          <w:rFonts w:ascii="Times New Roman" w:hAnsi="Times New Roman" w:cs="Times New Roman"/>
          <w:lang w:val="en-US"/>
        </w:rPr>
        <w:t>Dworak</w:t>
      </w:r>
      <w:proofErr w:type="spellEnd"/>
      <w:r w:rsidRPr="00B22C17">
        <w:rPr>
          <w:rFonts w:ascii="Times New Roman" w:hAnsi="Times New Roman" w:cs="Times New Roman"/>
          <w:lang w:val="en-US"/>
        </w:rPr>
        <w:t>-Peck School of Social Work, University of Southern California, Los Angeles, CA, 90015, USA</w:t>
      </w:r>
    </w:p>
    <w:p w14:paraId="188C7465" w14:textId="77777777" w:rsidR="00B22C17" w:rsidRPr="00B22C17" w:rsidRDefault="00B22C17" w:rsidP="00B22C17">
      <w:pPr>
        <w:spacing w:line="480" w:lineRule="auto"/>
        <w:jc w:val="both"/>
        <w:rPr>
          <w:rFonts w:ascii="Times New Roman" w:hAnsi="Times New Roman" w:cs="Times New Roman"/>
          <w:lang w:val="en-US"/>
        </w:rPr>
      </w:pPr>
      <w:r w:rsidRPr="00B22C17">
        <w:rPr>
          <w:rFonts w:ascii="Times New Roman" w:hAnsi="Times New Roman" w:cs="Times New Roman"/>
          <w:vertAlign w:val="superscript"/>
          <w:lang w:val="en-US"/>
        </w:rPr>
        <w:t>f</w:t>
      </w:r>
      <w:r w:rsidRPr="00B22C17">
        <w:rPr>
          <w:rFonts w:ascii="Times New Roman" w:hAnsi="Times New Roman" w:cs="Times New Roman"/>
          <w:lang w:val="en-US"/>
        </w:rPr>
        <w:t xml:space="preserve"> Department of Social and Preventive Medicine, Centre for Public Health, Medical University of Vienna, Vienna, Austria</w:t>
      </w:r>
    </w:p>
    <w:p w14:paraId="5F59F346" w14:textId="77777777" w:rsidR="00B22C17" w:rsidRPr="00B22C17" w:rsidRDefault="00B22C17" w:rsidP="00B22C17">
      <w:pPr>
        <w:spacing w:line="480" w:lineRule="auto"/>
        <w:jc w:val="both"/>
        <w:rPr>
          <w:rFonts w:ascii="Times New Roman" w:hAnsi="Times New Roman" w:cs="Times New Roman"/>
          <w:lang w:val="en-US"/>
        </w:rPr>
      </w:pPr>
      <w:r w:rsidRPr="00B22C17">
        <w:rPr>
          <w:rFonts w:ascii="Times New Roman" w:hAnsi="Times New Roman" w:cs="Times New Roman"/>
          <w:vertAlign w:val="superscript"/>
          <w:lang w:val="en-US"/>
        </w:rPr>
        <w:t>g</w:t>
      </w:r>
      <w:r w:rsidRPr="00B22C17">
        <w:rPr>
          <w:rFonts w:ascii="Times New Roman" w:hAnsi="Times New Roman" w:cs="Times New Roman"/>
          <w:lang w:val="en-US"/>
        </w:rPr>
        <w:t xml:space="preserve"> Institute for Outcomes Research, Centre for Medical Statistics, Informatics and Intelligent Systems, Medical University of Vienna, Austria</w:t>
      </w:r>
    </w:p>
    <w:p w14:paraId="18D6A132" w14:textId="77777777" w:rsidR="00B22C17" w:rsidRPr="00B22C17" w:rsidRDefault="00B22C17" w:rsidP="00B22C17">
      <w:pPr>
        <w:spacing w:line="480" w:lineRule="auto"/>
        <w:jc w:val="both"/>
        <w:rPr>
          <w:rFonts w:ascii="Times New Roman" w:hAnsi="Times New Roman" w:cs="Times New Roman"/>
          <w:lang w:val="en-US"/>
        </w:rPr>
      </w:pPr>
      <w:r w:rsidRPr="00B22C17">
        <w:rPr>
          <w:rFonts w:ascii="Times New Roman" w:hAnsi="Times New Roman" w:cs="Times New Roman"/>
          <w:vertAlign w:val="superscript"/>
          <w:lang w:val="en-US"/>
        </w:rPr>
        <w:t>h</w:t>
      </w:r>
      <w:r w:rsidRPr="00B22C17">
        <w:rPr>
          <w:rFonts w:ascii="Times New Roman" w:hAnsi="Times New Roman" w:cs="Times New Roman"/>
          <w:lang w:val="en-US"/>
        </w:rPr>
        <w:t xml:space="preserve"> Department of Pediatrics, Yonsei University College of Medicine, Seoul, Korea</w:t>
      </w:r>
    </w:p>
    <w:p w14:paraId="7CF2A9B1" w14:textId="77777777" w:rsidR="00B22C17" w:rsidRPr="00B22C17" w:rsidRDefault="00B22C17" w:rsidP="00B22C17">
      <w:pPr>
        <w:spacing w:line="480" w:lineRule="auto"/>
        <w:jc w:val="both"/>
        <w:rPr>
          <w:rFonts w:ascii="Times New Roman" w:hAnsi="Times New Roman" w:cs="Times New Roman"/>
          <w:lang w:val="en-US"/>
        </w:rPr>
      </w:pPr>
      <w:proofErr w:type="spellStart"/>
      <w:r w:rsidRPr="00B22C17">
        <w:rPr>
          <w:rFonts w:ascii="Times New Roman" w:hAnsi="Times New Roman" w:cs="Times New Roman"/>
          <w:vertAlign w:val="superscript"/>
          <w:lang w:val="en-US"/>
        </w:rPr>
        <w:t>i</w:t>
      </w:r>
      <w:proofErr w:type="spellEnd"/>
      <w:r w:rsidRPr="00B22C17">
        <w:rPr>
          <w:rFonts w:ascii="Times New Roman" w:hAnsi="Times New Roman" w:cs="Times New Roman"/>
          <w:lang w:val="en-US"/>
        </w:rPr>
        <w:t xml:space="preserve"> Institute of Mental Health Sciences, School of Health Sciences, Ulster University, Newtownabbey, Antrim, UK</w:t>
      </w:r>
    </w:p>
    <w:p w14:paraId="0464E3CA" w14:textId="77777777" w:rsidR="00B22C17" w:rsidRPr="00B22C17" w:rsidRDefault="00B22C17" w:rsidP="00B22C17">
      <w:pPr>
        <w:spacing w:line="480" w:lineRule="auto"/>
        <w:jc w:val="both"/>
        <w:rPr>
          <w:rFonts w:ascii="Times New Roman" w:hAnsi="Times New Roman" w:cs="Times New Roman"/>
          <w:lang w:val="en-US"/>
        </w:rPr>
      </w:pPr>
      <w:r w:rsidRPr="00B22C17">
        <w:rPr>
          <w:rFonts w:ascii="Times New Roman" w:hAnsi="Times New Roman" w:cs="Times New Roman"/>
          <w:vertAlign w:val="superscript"/>
          <w:lang w:val="en-US"/>
        </w:rPr>
        <w:lastRenderedPageBreak/>
        <w:t>j</w:t>
      </w:r>
      <w:r w:rsidRPr="00B22C17">
        <w:rPr>
          <w:rFonts w:ascii="Times New Roman" w:hAnsi="Times New Roman" w:cs="Times New Roman"/>
          <w:lang w:val="en-US"/>
        </w:rPr>
        <w:t xml:space="preserve"> Department of Physical Medicine and Nursing, University of Zaragoza, Zaragoza 50009, Spain</w:t>
      </w:r>
    </w:p>
    <w:p w14:paraId="2D8372DB" w14:textId="77777777" w:rsidR="00B22C17" w:rsidRPr="00B22C17" w:rsidRDefault="00B22C17" w:rsidP="00B22C17">
      <w:pPr>
        <w:spacing w:line="480" w:lineRule="auto"/>
        <w:jc w:val="both"/>
        <w:rPr>
          <w:rFonts w:ascii="Times New Roman" w:hAnsi="Times New Roman" w:cs="Times New Roman"/>
          <w:lang w:val="es-ES"/>
        </w:rPr>
      </w:pPr>
      <w:r w:rsidRPr="00B22C17">
        <w:rPr>
          <w:rFonts w:ascii="Times New Roman" w:hAnsi="Times New Roman" w:cs="Times New Roman"/>
          <w:vertAlign w:val="superscript"/>
          <w:lang w:val="es-ES"/>
        </w:rPr>
        <w:t>k</w:t>
      </w:r>
      <w:r w:rsidRPr="00B22C17">
        <w:rPr>
          <w:rFonts w:ascii="Times New Roman" w:hAnsi="Times New Roman" w:cs="Times New Roman"/>
          <w:lang w:val="es-ES"/>
        </w:rPr>
        <w:t xml:space="preserve"> ICREA, Pg. </w:t>
      </w:r>
      <w:proofErr w:type="spellStart"/>
      <w:r w:rsidRPr="00B22C17">
        <w:rPr>
          <w:rFonts w:ascii="Times New Roman" w:hAnsi="Times New Roman" w:cs="Times New Roman"/>
          <w:lang w:val="es-ES"/>
        </w:rPr>
        <w:t>Lluis</w:t>
      </w:r>
      <w:proofErr w:type="spellEnd"/>
      <w:r w:rsidRPr="00B22C17">
        <w:rPr>
          <w:rFonts w:ascii="Times New Roman" w:hAnsi="Times New Roman" w:cs="Times New Roman"/>
          <w:lang w:val="es-ES"/>
        </w:rPr>
        <w:t xml:space="preserve"> Companys 23, 08010, Barcelona, </w:t>
      </w:r>
      <w:proofErr w:type="spellStart"/>
      <w:r w:rsidRPr="00B22C17">
        <w:rPr>
          <w:rFonts w:ascii="Times New Roman" w:hAnsi="Times New Roman" w:cs="Times New Roman"/>
          <w:lang w:val="es-ES"/>
        </w:rPr>
        <w:t>Spain</w:t>
      </w:r>
      <w:proofErr w:type="spellEnd"/>
    </w:p>
    <w:p w14:paraId="26DA176C" w14:textId="77777777" w:rsidR="00B22C17" w:rsidRPr="00B22C17" w:rsidRDefault="00B22C17" w:rsidP="00B22C17">
      <w:pPr>
        <w:spacing w:line="480" w:lineRule="auto"/>
        <w:jc w:val="both"/>
        <w:rPr>
          <w:rFonts w:ascii="Times New Roman" w:hAnsi="Times New Roman" w:cs="Times New Roman"/>
          <w:lang w:val="en-US"/>
        </w:rPr>
      </w:pPr>
      <w:r w:rsidRPr="00B22C17">
        <w:rPr>
          <w:rFonts w:ascii="Times New Roman" w:hAnsi="Times New Roman" w:cs="Times New Roman"/>
          <w:vertAlign w:val="superscript"/>
          <w:lang w:val="en-US"/>
        </w:rPr>
        <w:t>l</w:t>
      </w:r>
      <w:r w:rsidRPr="00B22C17">
        <w:rPr>
          <w:rFonts w:ascii="Times New Roman" w:hAnsi="Times New Roman" w:cs="Times New Roman"/>
          <w:lang w:val="en-US"/>
        </w:rPr>
        <w:t xml:space="preserve"> Faculty of Science and Engineering, Anglia Ruskin University, Cambridge, CB1 1PT, UK</w:t>
      </w:r>
    </w:p>
    <w:p w14:paraId="17C1583D" w14:textId="77777777" w:rsidR="00B22C17" w:rsidRPr="00B22C17" w:rsidRDefault="00B22C17" w:rsidP="00B22C17">
      <w:pPr>
        <w:spacing w:line="480" w:lineRule="auto"/>
        <w:jc w:val="both"/>
        <w:rPr>
          <w:rFonts w:ascii="Times New Roman" w:hAnsi="Times New Roman" w:cs="Times New Roman"/>
          <w:lang w:val="en-US"/>
        </w:rPr>
      </w:pPr>
      <w:r w:rsidRPr="00B22C17">
        <w:rPr>
          <w:rFonts w:ascii="Times New Roman" w:hAnsi="Times New Roman" w:cs="Times New Roman"/>
          <w:vertAlign w:val="superscript"/>
          <w:lang w:val="en-US"/>
        </w:rPr>
        <w:t>m</w:t>
      </w:r>
      <w:r w:rsidRPr="00B22C17">
        <w:rPr>
          <w:rFonts w:ascii="Times New Roman" w:hAnsi="Times New Roman" w:cs="Times New Roman"/>
          <w:lang w:val="en-US"/>
        </w:rPr>
        <w:t xml:space="preserve"> The Cambridge Centre for Sport and Exercise Sciences, Anglia Ruskin University, Cambridge, UK</w:t>
      </w:r>
    </w:p>
    <w:p w14:paraId="6F62D301" w14:textId="77777777" w:rsidR="00B22C17" w:rsidRPr="00B22C17" w:rsidRDefault="00B22C17" w:rsidP="00B22C17">
      <w:pPr>
        <w:spacing w:line="480" w:lineRule="auto"/>
        <w:jc w:val="both"/>
        <w:rPr>
          <w:rFonts w:ascii="Times New Roman" w:hAnsi="Times New Roman" w:cs="Times New Roman"/>
          <w:lang w:val="en-US"/>
        </w:rPr>
      </w:pPr>
    </w:p>
    <w:p w14:paraId="3D45CC11" w14:textId="77777777" w:rsidR="00B22C17" w:rsidRPr="00B22C17" w:rsidRDefault="00B22C17" w:rsidP="00B22C17">
      <w:pPr>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 Corresponding author: Dr. Guillermo F López-Sánchez. </w:t>
      </w:r>
      <w:hyperlink r:id="rId6" w:history="1">
        <w:r w:rsidRPr="00B22C17">
          <w:rPr>
            <w:rStyle w:val="Hyperlink"/>
            <w:rFonts w:ascii="Times New Roman" w:hAnsi="Times New Roman" w:cs="Times New Roman"/>
            <w:lang w:val="en-US"/>
          </w:rPr>
          <w:t>guillermo.lopez-sanchez@aru.ac.uk</w:t>
        </w:r>
      </w:hyperlink>
      <w:r w:rsidRPr="00B22C17">
        <w:rPr>
          <w:rFonts w:ascii="Times New Roman" w:hAnsi="Times New Roman" w:cs="Times New Roman"/>
          <w:lang w:val="en-US"/>
        </w:rPr>
        <w:t xml:space="preserve"> </w:t>
      </w:r>
    </w:p>
    <w:p w14:paraId="39B28803" w14:textId="77777777" w:rsidR="00B22C17" w:rsidRPr="00B22C17" w:rsidRDefault="00B22C17" w:rsidP="00B22C17">
      <w:pPr>
        <w:spacing w:line="480" w:lineRule="auto"/>
        <w:jc w:val="both"/>
        <w:rPr>
          <w:rFonts w:ascii="Times New Roman" w:hAnsi="Times New Roman" w:cs="Times New Roman"/>
          <w:lang w:val="en-US"/>
        </w:rPr>
      </w:pPr>
    </w:p>
    <w:p w14:paraId="11189AC8" w14:textId="77777777" w:rsidR="00B22C17" w:rsidRPr="00B22C17" w:rsidRDefault="00B22C17" w:rsidP="00B22C17">
      <w:pPr>
        <w:spacing w:line="480" w:lineRule="auto"/>
        <w:rPr>
          <w:rFonts w:ascii="Times New Roman" w:hAnsi="Times New Roman" w:cs="Times New Roman"/>
          <w:b/>
          <w:bCs/>
          <w:lang w:val="en-US"/>
        </w:rPr>
      </w:pPr>
      <w:r w:rsidRPr="00B22C17">
        <w:rPr>
          <w:rFonts w:ascii="Times New Roman" w:hAnsi="Times New Roman" w:cs="Times New Roman"/>
          <w:b/>
          <w:bCs/>
          <w:lang w:val="en-US"/>
        </w:rPr>
        <w:t xml:space="preserve">Conflict of interest: </w:t>
      </w:r>
      <w:r w:rsidRPr="00B22C17">
        <w:rPr>
          <w:rFonts w:ascii="Times New Roman" w:hAnsi="Times New Roman" w:cs="Times New Roman"/>
          <w:bCs/>
          <w:lang w:val="en-US"/>
        </w:rPr>
        <w:t>None.</w:t>
      </w:r>
      <w:r w:rsidRPr="00B22C17">
        <w:rPr>
          <w:rFonts w:ascii="Times New Roman" w:hAnsi="Times New Roman" w:cs="Times New Roman"/>
          <w:b/>
          <w:bCs/>
          <w:lang w:val="en-US"/>
        </w:rPr>
        <w:t xml:space="preserve"> </w:t>
      </w:r>
    </w:p>
    <w:p w14:paraId="77F6AD44" w14:textId="77777777" w:rsidR="00B22C17" w:rsidRPr="00B22C17" w:rsidRDefault="00B22C17" w:rsidP="00B22C17">
      <w:pPr>
        <w:spacing w:line="480" w:lineRule="auto"/>
        <w:rPr>
          <w:rFonts w:ascii="Times New Roman" w:hAnsi="Times New Roman" w:cs="Times New Roman"/>
          <w:b/>
          <w:bCs/>
          <w:lang w:val="en-US"/>
        </w:rPr>
      </w:pPr>
    </w:p>
    <w:p w14:paraId="4D61F5E6" w14:textId="77777777" w:rsidR="00B22C17" w:rsidRPr="00B22C17" w:rsidRDefault="00B22C17" w:rsidP="00B22C17">
      <w:pPr>
        <w:spacing w:line="480" w:lineRule="auto"/>
        <w:rPr>
          <w:rFonts w:ascii="Times New Roman" w:hAnsi="Times New Roman" w:cs="Times New Roman"/>
          <w:b/>
          <w:bCs/>
          <w:lang w:val="en-US"/>
        </w:rPr>
      </w:pPr>
      <w:r w:rsidRPr="00B22C17">
        <w:rPr>
          <w:rFonts w:ascii="Times New Roman" w:hAnsi="Times New Roman" w:cs="Times New Roman"/>
          <w:b/>
          <w:bCs/>
          <w:lang w:val="en-US"/>
        </w:rPr>
        <w:t xml:space="preserve">Funding: </w:t>
      </w:r>
      <w:r w:rsidRPr="00B22C17">
        <w:rPr>
          <w:rFonts w:ascii="Times New Roman" w:hAnsi="Times New Roman" w:cs="Times New Roman"/>
          <w:bCs/>
          <w:lang w:val="en-US"/>
        </w:rPr>
        <w:t>None.</w:t>
      </w:r>
      <w:r w:rsidRPr="00B22C17">
        <w:rPr>
          <w:rFonts w:ascii="Times New Roman" w:hAnsi="Times New Roman" w:cs="Times New Roman"/>
          <w:b/>
          <w:bCs/>
          <w:lang w:val="en-US"/>
        </w:rPr>
        <w:t xml:space="preserve"> </w:t>
      </w:r>
    </w:p>
    <w:p w14:paraId="42235D7C" w14:textId="77777777" w:rsidR="00B22C17" w:rsidRPr="00B22C17" w:rsidRDefault="00B22C17" w:rsidP="00B22C17">
      <w:pPr>
        <w:spacing w:line="480" w:lineRule="auto"/>
        <w:rPr>
          <w:rFonts w:ascii="Times New Roman" w:hAnsi="Times New Roman" w:cs="Times New Roman"/>
          <w:b/>
          <w:bCs/>
          <w:lang w:val="en-US"/>
        </w:rPr>
      </w:pPr>
    </w:p>
    <w:p w14:paraId="61C62B39" w14:textId="77777777" w:rsidR="00B22C17" w:rsidRPr="00B22C17" w:rsidRDefault="00B22C17" w:rsidP="00B22C17">
      <w:pPr>
        <w:spacing w:line="480" w:lineRule="auto"/>
        <w:jc w:val="both"/>
        <w:rPr>
          <w:rFonts w:ascii="Times New Roman" w:hAnsi="Times New Roman" w:cs="Times New Roman"/>
          <w:lang w:val="en-US"/>
        </w:rPr>
      </w:pPr>
      <w:r w:rsidRPr="00B22C17">
        <w:rPr>
          <w:rFonts w:ascii="Times New Roman" w:hAnsi="Times New Roman" w:cs="Times New Roman"/>
          <w:b/>
          <w:bCs/>
          <w:lang w:val="en-US"/>
        </w:rPr>
        <w:t xml:space="preserve">Acknowledgments: </w:t>
      </w:r>
      <w:r w:rsidRPr="00B22C17">
        <w:rPr>
          <w:rFonts w:ascii="Times New Roman" w:hAnsi="Times New Roman" w:cs="Times New Roman"/>
          <w:lang w:val="en-US"/>
        </w:rPr>
        <w:t>We would like to thank the RAND corporation for conducting this survey and for making the data available to all interested researchers.</w:t>
      </w:r>
    </w:p>
    <w:p w14:paraId="0A7506FF" w14:textId="77777777" w:rsidR="00B22C17" w:rsidRPr="00B22C17" w:rsidRDefault="00B22C17" w:rsidP="00B22C17">
      <w:pPr>
        <w:spacing w:line="480" w:lineRule="auto"/>
        <w:jc w:val="both"/>
        <w:rPr>
          <w:rFonts w:ascii="Times New Roman" w:hAnsi="Times New Roman" w:cs="Times New Roman"/>
          <w:lang w:val="en-US"/>
        </w:rPr>
      </w:pPr>
    </w:p>
    <w:p w14:paraId="469A1D95" w14:textId="77777777" w:rsidR="00B22C17" w:rsidRPr="000F4347" w:rsidRDefault="00B22C17" w:rsidP="00B22C17">
      <w:pPr>
        <w:spacing w:line="480" w:lineRule="auto"/>
        <w:jc w:val="both"/>
        <w:rPr>
          <w:rFonts w:ascii="Times New Roman" w:hAnsi="Times New Roman" w:cs="Times New Roman"/>
          <w:lang w:val="en-US"/>
        </w:rPr>
      </w:pPr>
      <w:r w:rsidRPr="00B22C17">
        <w:rPr>
          <w:rFonts w:ascii="Times New Roman" w:hAnsi="Times New Roman" w:cs="Times New Roman"/>
          <w:b/>
          <w:bCs/>
          <w:lang w:val="en-US"/>
        </w:rPr>
        <w:t xml:space="preserve">Author contributions: </w:t>
      </w:r>
      <w:r w:rsidRPr="00B22C17">
        <w:rPr>
          <w:rFonts w:ascii="Times New Roman" w:hAnsi="Times New Roman" w:cs="Times New Roman"/>
          <w:lang w:val="en-US"/>
        </w:rPr>
        <w:t xml:space="preserve">Louis Jacob contributed to the design of the study, performed the statistical analyses, and corrected the manuscript. Guillermo F López-Sánchez, Hans Oh, Igor Grabovac, Sinisa Stefanac, Jae Il Shin, Mark A Tully, Rubén López-Bueno, Ai Koyanagi, Yvonne Barnett, and </w:t>
      </w:r>
      <w:proofErr w:type="spellStart"/>
      <w:r w:rsidRPr="00B22C17">
        <w:rPr>
          <w:rFonts w:ascii="Times New Roman" w:hAnsi="Times New Roman" w:cs="Times New Roman"/>
          <w:lang w:val="en-US"/>
        </w:rPr>
        <w:t>Josep</w:t>
      </w:r>
      <w:proofErr w:type="spellEnd"/>
      <w:r w:rsidRPr="00B22C17">
        <w:rPr>
          <w:rFonts w:ascii="Times New Roman" w:hAnsi="Times New Roman" w:cs="Times New Roman"/>
          <w:lang w:val="en-US"/>
        </w:rPr>
        <w:t xml:space="preserve"> Maria </w:t>
      </w:r>
      <w:proofErr w:type="spellStart"/>
      <w:r w:rsidRPr="00B22C17">
        <w:rPr>
          <w:rFonts w:ascii="Times New Roman" w:hAnsi="Times New Roman" w:cs="Times New Roman"/>
          <w:lang w:val="en-US"/>
        </w:rPr>
        <w:t>Haro</w:t>
      </w:r>
      <w:proofErr w:type="spellEnd"/>
      <w:r w:rsidRPr="00B22C17">
        <w:rPr>
          <w:rFonts w:ascii="Times New Roman" w:hAnsi="Times New Roman" w:cs="Times New Roman"/>
          <w:lang w:val="en-US"/>
        </w:rPr>
        <w:t xml:space="preserve"> contributed to the design of the study and corrected the manuscript. Lee Smith contributed to the design of the study, wrote the first draft of the manuscript, and corrected the manuscript. All authors contributed to and have approved the final manuscript.</w:t>
      </w:r>
    </w:p>
    <w:p w14:paraId="42732640" w14:textId="568F3426" w:rsidR="00B22C17" w:rsidRDefault="00B22C17" w:rsidP="006B166A">
      <w:pPr>
        <w:spacing w:line="480" w:lineRule="auto"/>
        <w:jc w:val="both"/>
        <w:rPr>
          <w:rFonts w:ascii="Times New Roman" w:hAnsi="Times New Roman" w:cs="Times New Roman"/>
          <w:lang w:val="en-US"/>
        </w:rPr>
      </w:pPr>
    </w:p>
    <w:p w14:paraId="58EFBAC3" w14:textId="77777777" w:rsidR="00B22C17" w:rsidRDefault="00B22C17" w:rsidP="00374687">
      <w:pPr>
        <w:spacing w:line="480" w:lineRule="auto"/>
        <w:jc w:val="both"/>
        <w:rPr>
          <w:rFonts w:ascii="Times New Roman" w:hAnsi="Times New Roman" w:cs="Times New Roman"/>
          <w:lang w:val="en-US"/>
        </w:rPr>
      </w:pPr>
    </w:p>
    <w:p w14:paraId="42C151FE" w14:textId="76A5FD34" w:rsidR="00690D17" w:rsidRPr="00C65FFB" w:rsidRDefault="00164984" w:rsidP="00C65FFB">
      <w:pPr>
        <w:pStyle w:val="Heading1"/>
      </w:pPr>
      <w:r w:rsidRPr="00C65FFB">
        <w:lastRenderedPageBreak/>
        <w:t>Abstract</w:t>
      </w:r>
    </w:p>
    <w:p w14:paraId="0D53FD80" w14:textId="35404EEA" w:rsidR="00A84DD1" w:rsidRPr="00B22C17" w:rsidRDefault="00A84DD1" w:rsidP="00A84DD1">
      <w:pPr>
        <w:spacing w:line="480" w:lineRule="auto"/>
        <w:jc w:val="both"/>
        <w:rPr>
          <w:rFonts w:ascii="Times New Roman" w:hAnsi="Times New Roman" w:cs="Times New Roman"/>
          <w:lang w:val="en-US"/>
        </w:rPr>
      </w:pPr>
      <w:r w:rsidRPr="00B22C17">
        <w:rPr>
          <w:rFonts w:ascii="Times New Roman" w:hAnsi="Times New Roman" w:cs="Times New Roman"/>
          <w:b/>
          <w:lang w:val="en-US"/>
        </w:rPr>
        <w:t>Purpose:</w:t>
      </w:r>
      <w:r w:rsidRPr="00B22C17">
        <w:rPr>
          <w:rFonts w:ascii="Times New Roman" w:hAnsi="Times New Roman" w:cs="Times New Roman"/>
          <w:lang w:val="en-US"/>
        </w:rPr>
        <w:t xml:space="preserve"> There is a paucity of literature identifying factors that influence the back and neck pain (BNP)-workplace absenteeism relationship. Therefore, this study aimed to investigate the association between BNP and workplace absenteeism and potential mediating variables in a large sample of the US population.  </w:t>
      </w:r>
    </w:p>
    <w:p w14:paraId="6A30C4C1" w14:textId="378B9114" w:rsidR="00A84DD1" w:rsidRPr="00B22C17" w:rsidRDefault="00A84DD1" w:rsidP="00A84DD1">
      <w:pPr>
        <w:spacing w:line="480" w:lineRule="auto"/>
        <w:jc w:val="both"/>
        <w:rPr>
          <w:rFonts w:ascii="Times New Roman" w:hAnsi="Times New Roman" w:cs="Times New Roman"/>
          <w:lang w:val="en-US"/>
        </w:rPr>
      </w:pPr>
      <w:r w:rsidRPr="00B22C17">
        <w:rPr>
          <w:rFonts w:ascii="Times New Roman" w:hAnsi="Times New Roman" w:cs="Times New Roman"/>
          <w:b/>
          <w:bCs/>
          <w:lang w:val="en-US"/>
        </w:rPr>
        <w:t>Methods:</w:t>
      </w:r>
      <w:r w:rsidRPr="00B22C17">
        <w:rPr>
          <w:rFonts w:ascii="Times New Roman" w:hAnsi="Times New Roman" w:cs="Times New Roman"/>
          <w:bCs/>
          <w:lang w:val="en-US"/>
        </w:rPr>
        <w:t xml:space="preserve"> Nationally representative data collected in 2019 from the RAND American Life Panel (ALP) were used for this retrospective study. Workplace absenteeism was defined as the number of days of absence in the past 12 months for health-related reasons (count variable), while BNP corresponded to the presence of back pain due to spinal stenosis, back pain due to other causes, or neck pain</w:t>
      </w:r>
      <w:r w:rsidR="00006B45" w:rsidRPr="00B22C17">
        <w:rPr>
          <w:rFonts w:ascii="Times New Roman" w:hAnsi="Times New Roman" w:cs="Times New Roman"/>
          <w:bCs/>
          <w:lang w:val="en-US"/>
        </w:rPr>
        <w:t xml:space="preserve"> (dichotomous variable)</w:t>
      </w:r>
      <w:r w:rsidRPr="00B22C17">
        <w:rPr>
          <w:rFonts w:ascii="Times New Roman" w:hAnsi="Times New Roman" w:cs="Times New Roman"/>
          <w:bCs/>
          <w:lang w:val="en-US"/>
        </w:rPr>
        <w:t>. Control variables included sex, age, ethnicity, marital status, education, occupation, annual family income, health insurance, obesity, and diabetes. There were eight influential variables (depression, anxiety, sleep disorder, alcohol dependence, opioid dependence, walking difficulty, standing difficulty, and sitting difficulty).</w:t>
      </w:r>
      <w:r w:rsidRPr="00B22C17">
        <w:rPr>
          <w:rFonts w:ascii="Times New Roman" w:hAnsi="Times New Roman" w:cs="Times New Roman"/>
          <w:lang w:val="en-US"/>
        </w:rPr>
        <w:t xml:space="preserve"> The association between BNP and workplace absenteeism was analyzed using a negative binomial regression model.</w:t>
      </w:r>
    </w:p>
    <w:p w14:paraId="6BF91539" w14:textId="0F4DE65E" w:rsidR="00A84DD1" w:rsidRPr="00B22C17" w:rsidRDefault="00A84DD1" w:rsidP="00A84DD1">
      <w:pPr>
        <w:spacing w:line="480" w:lineRule="auto"/>
        <w:jc w:val="both"/>
        <w:rPr>
          <w:rFonts w:ascii="Times New Roman" w:hAnsi="Times New Roman" w:cs="Times New Roman"/>
          <w:bCs/>
          <w:lang w:val="en-US"/>
        </w:rPr>
      </w:pPr>
      <w:r w:rsidRPr="00B22C17">
        <w:rPr>
          <w:rFonts w:ascii="Times New Roman" w:hAnsi="Times New Roman" w:cs="Times New Roman"/>
          <w:b/>
          <w:lang w:val="en-US"/>
        </w:rPr>
        <w:t>Results:</w:t>
      </w:r>
      <w:r w:rsidRPr="00B22C17">
        <w:rPr>
          <w:rFonts w:ascii="Times New Roman" w:hAnsi="Times New Roman" w:cs="Times New Roman"/>
          <w:lang w:val="en-US"/>
        </w:rPr>
        <w:t xml:space="preserve"> There were 1,471 adults aged 22-83 years included in this study (52.9% of men; mean [</w:t>
      </w:r>
      <w:r w:rsidR="00E75C13" w:rsidRPr="00B22C17">
        <w:rPr>
          <w:rFonts w:ascii="Times New Roman" w:hAnsi="Times New Roman" w:cs="Times New Roman"/>
          <w:lang w:val="en-US"/>
        </w:rPr>
        <w:t>standard deviation</w:t>
      </w:r>
      <w:r w:rsidRPr="00B22C17">
        <w:rPr>
          <w:rFonts w:ascii="Times New Roman" w:hAnsi="Times New Roman" w:cs="Times New Roman"/>
          <w:lang w:val="en-US"/>
        </w:rPr>
        <w:t xml:space="preserve">] age 44.5 [13.0] years). After adjusting for control variables, BNP was positively and significantly associated with workplace absenteeism (incidence rate ratio=1.40, 95% confidence interval: 1.07-1.83). Walking, standing and sitting difficulties individually explained between 24% and 43% of this association. </w:t>
      </w:r>
    </w:p>
    <w:p w14:paraId="4DB0283D" w14:textId="0E1EC9A7" w:rsidR="00A84DD1" w:rsidRPr="00B22C17" w:rsidRDefault="00A84DD1" w:rsidP="00A84DD1">
      <w:pPr>
        <w:spacing w:line="480" w:lineRule="auto"/>
        <w:jc w:val="both"/>
        <w:rPr>
          <w:rFonts w:ascii="Times New Roman" w:hAnsi="Times New Roman" w:cs="Times New Roman"/>
          <w:lang w:val="en-US"/>
        </w:rPr>
      </w:pPr>
      <w:r w:rsidRPr="00B22C17">
        <w:rPr>
          <w:rFonts w:ascii="Times New Roman" w:hAnsi="Times New Roman" w:cs="Times New Roman"/>
          <w:b/>
          <w:lang w:val="en-US"/>
        </w:rPr>
        <w:t>Conclusions:</w:t>
      </w:r>
      <w:r w:rsidRPr="00B22C17">
        <w:rPr>
          <w:rFonts w:ascii="Times New Roman" w:hAnsi="Times New Roman" w:cs="Times New Roman"/>
          <w:lang w:val="en-US"/>
        </w:rPr>
        <w:t xml:space="preserve"> Workplace interventions focus</w:t>
      </w:r>
      <w:r w:rsidR="00CA2F98" w:rsidRPr="00B22C17">
        <w:rPr>
          <w:rFonts w:ascii="Times New Roman" w:hAnsi="Times New Roman" w:cs="Times New Roman"/>
          <w:lang w:val="en-US"/>
        </w:rPr>
        <w:t>ing</w:t>
      </w:r>
      <w:r w:rsidRPr="00B22C17">
        <w:rPr>
          <w:rFonts w:ascii="Times New Roman" w:hAnsi="Times New Roman" w:cs="Times New Roman"/>
          <w:lang w:val="en-US"/>
        </w:rPr>
        <w:t xml:space="preserve"> on the management of BNP and overcoming difficulties in walking, standing and sitting, potentially utilizing exercise, therapy, and ergonomic interventions</w:t>
      </w:r>
      <w:r w:rsidR="000D442C" w:rsidRPr="00B22C17">
        <w:rPr>
          <w:rFonts w:ascii="Times New Roman" w:hAnsi="Times New Roman" w:cs="Times New Roman"/>
          <w:lang w:val="en-US"/>
        </w:rPr>
        <w:t>,</w:t>
      </w:r>
      <w:r w:rsidRPr="00B22C17">
        <w:rPr>
          <w:rFonts w:ascii="Times New Roman" w:hAnsi="Times New Roman" w:cs="Times New Roman"/>
          <w:lang w:val="en-US"/>
        </w:rPr>
        <w:t xml:space="preserve"> may prevent absenteeism.</w:t>
      </w:r>
    </w:p>
    <w:p w14:paraId="549F9854" w14:textId="77777777" w:rsidR="00A84DD1" w:rsidRPr="00B22C17" w:rsidRDefault="00A84DD1" w:rsidP="00374687">
      <w:pPr>
        <w:spacing w:line="480" w:lineRule="auto"/>
        <w:jc w:val="both"/>
        <w:rPr>
          <w:rFonts w:ascii="Times New Roman" w:hAnsi="Times New Roman" w:cs="Times New Roman"/>
          <w:b/>
          <w:lang w:val="en-US"/>
        </w:rPr>
      </w:pPr>
    </w:p>
    <w:p w14:paraId="267FADE2" w14:textId="1017F629" w:rsidR="00164984" w:rsidRPr="00B22C17" w:rsidRDefault="00690D17" w:rsidP="00052DA1">
      <w:pPr>
        <w:spacing w:line="480" w:lineRule="auto"/>
        <w:jc w:val="both"/>
        <w:rPr>
          <w:rFonts w:ascii="Times New Roman" w:hAnsi="Times New Roman" w:cs="Times New Roman"/>
          <w:b/>
          <w:lang w:val="en-US"/>
        </w:rPr>
      </w:pPr>
      <w:r w:rsidRPr="00B22C17">
        <w:rPr>
          <w:rFonts w:ascii="Times New Roman" w:hAnsi="Times New Roman" w:cs="Times New Roman"/>
          <w:b/>
          <w:lang w:val="en-US"/>
        </w:rPr>
        <w:lastRenderedPageBreak/>
        <w:t xml:space="preserve">Key words: </w:t>
      </w:r>
      <w:r w:rsidRPr="00B22C17">
        <w:rPr>
          <w:rFonts w:ascii="Times New Roman" w:hAnsi="Times New Roman" w:cs="Times New Roman"/>
          <w:lang w:val="en-US"/>
        </w:rPr>
        <w:t xml:space="preserve">Back </w:t>
      </w:r>
      <w:r w:rsidR="000C03EE" w:rsidRPr="00B22C17">
        <w:rPr>
          <w:rFonts w:ascii="Times New Roman" w:hAnsi="Times New Roman" w:cs="Times New Roman"/>
          <w:lang w:val="en-US"/>
        </w:rPr>
        <w:t>and Neck Pa</w:t>
      </w:r>
      <w:r w:rsidRPr="00B22C17">
        <w:rPr>
          <w:rFonts w:ascii="Times New Roman" w:hAnsi="Times New Roman" w:cs="Times New Roman"/>
          <w:lang w:val="en-US"/>
        </w:rPr>
        <w:t>in</w:t>
      </w:r>
      <w:r w:rsidR="00110F1D" w:rsidRPr="00B22C17">
        <w:rPr>
          <w:rFonts w:ascii="Times New Roman" w:hAnsi="Times New Roman" w:cs="Times New Roman"/>
          <w:lang w:val="en-US"/>
        </w:rPr>
        <w:t>;</w:t>
      </w:r>
      <w:r w:rsidRPr="00B22C17">
        <w:rPr>
          <w:rFonts w:ascii="Times New Roman" w:hAnsi="Times New Roman" w:cs="Times New Roman"/>
          <w:lang w:val="en-US"/>
        </w:rPr>
        <w:t xml:space="preserve"> </w:t>
      </w:r>
      <w:r w:rsidR="00110F1D" w:rsidRPr="00B22C17">
        <w:rPr>
          <w:rFonts w:ascii="Times New Roman" w:hAnsi="Times New Roman" w:cs="Times New Roman"/>
          <w:lang w:val="en-US"/>
        </w:rPr>
        <w:t xml:space="preserve">Workplace </w:t>
      </w:r>
      <w:r w:rsidRPr="00B22C17">
        <w:rPr>
          <w:rFonts w:ascii="Times New Roman" w:hAnsi="Times New Roman" w:cs="Times New Roman"/>
          <w:lang w:val="en-US"/>
        </w:rPr>
        <w:t>Absenteeism</w:t>
      </w:r>
      <w:r w:rsidR="00110F1D" w:rsidRPr="00B22C17">
        <w:rPr>
          <w:rFonts w:ascii="Times New Roman" w:hAnsi="Times New Roman" w:cs="Times New Roman"/>
          <w:lang w:val="en-US"/>
        </w:rPr>
        <w:t xml:space="preserve">; </w:t>
      </w:r>
      <w:r w:rsidRPr="00B22C17">
        <w:rPr>
          <w:rFonts w:ascii="Times New Roman" w:hAnsi="Times New Roman" w:cs="Times New Roman"/>
          <w:lang w:val="en-US"/>
        </w:rPr>
        <w:t>Occupational Medicine</w:t>
      </w:r>
      <w:r w:rsidR="00110F1D" w:rsidRPr="00B22C17">
        <w:rPr>
          <w:rFonts w:ascii="Times New Roman" w:hAnsi="Times New Roman" w:cs="Times New Roman"/>
          <w:lang w:val="en-US"/>
        </w:rPr>
        <w:t xml:space="preserve">; Retrospective </w:t>
      </w:r>
      <w:r w:rsidR="00955A11" w:rsidRPr="00B22C17">
        <w:rPr>
          <w:rFonts w:ascii="Times New Roman" w:hAnsi="Times New Roman" w:cs="Times New Roman"/>
          <w:lang w:val="en-US"/>
        </w:rPr>
        <w:t>S</w:t>
      </w:r>
      <w:r w:rsidR="00110F1D" w:rsidRPr="00B22C17">
        <w:rPr>
          <w:rFonts w:ascii="Times New Roman" w:hAnsi="Times New Roman" w:cs="Times New Roman"/>
          <w:lang w:val="en-US"/>
        </w:rPr>
        <w:t xml:space="preserve">tudy; </w:t>
      </w:r>
      <w:r w:rsidR="003C14FF" w:rsidRPr="00B22C17">
        <w:rPr>
          <w:rFonts w:ascii="Times New Roman" w:hAnsi="Times New Roman" w:cs="Times New Roman"/>
          <w:lang w:val="en-US"/>
        </w:rPr>
        <w:t>United States</w:t>
      </w:r>
      <w:r w:rsidR="00052DA1" w:rsidRPr="00B22C17">
        <w:rPr>
          <w:rFonts w:ascii="Times New Roman" w:hAnsi="Times New Roman" w:cs="Times New Roman"/>
          <w:lang w:val="en-US"/>
        </w:rPr>
        <w:t>.</w:t>
      </w:r>
      <w:r w:rsidR="00164984" w:rsidRPr="00B22C17">
        <w:rPr>
          <w:rFonts w:ascii="Times New Roman" w:hAnsi="Times New Roman" w:cs="Times New Roman"/>
          <w:b/>
          <w:lang w:val="en-US"/>
        </w:rPr>
        <w:br w:type="page"/>
      </w:r>
    </w:p>
    <w:p w14:paraId="27927894" w14:textId="15CAF758" w:rsidR="00B2292E" w:rsidRPr="00B22C17" w:rsidRDefault="00B2292E" w:rsidP="00C65FFB">
      <w:pPr>
        <w:pStyle w:val="Heading1"/>
      </w:pPr>
      <w:r w:rsidRPr="00B22C17">
        <w:lastRenderedPageBreak/>
        <w:t>Introduction</w:t>
      </w:r>
    </w:p>
    <w:p w14:paraId="6EE8E839" w14:textId="77777777" w:rsidR="00B2292E" w:rsidRPr="00B22C17" w:rsidRDefault="00B2292E" w:rsidP="00374687">
      <w:pPr>
        <w:spacing w:line="480" w:lineRule="auto"/>
        <w:jc w:val="both"/>
        <w:rPr>
          <w:rFonts w:ascii="Times New Roman" w:hAnsi="Times New Roman" w:cs="Times New Roman"/>
          <w:b/>
          <w:lang w:val="en-US"/>
        </w:rPr>
      </w:pPr>
    </w:p>
    <w:p w14:paraId="62EAE204" w14:textId="4E56F770" w:rsidR="000F1BC9" w:rsidRPr="00B22C17" w:rsidRDefault="00D906FC" w:rsidP="00374687">
      <w:pPr>
        <w:spacing w:line="480" w:lineRule="auto"/>
        <w:jc w:val="both"/>
        <w:rPr>
          <w:rFonts w:ascii="Times New Roman" w:hAnsi="Times New Roman" w:cs="Times New Roman"/>
          <w:vertAlign w:val="superscript"/>
          <w:lang w:val="en-US"/>
        </w:rPr>
      </w:pPr>
      <w:r w:rsidRPr="00B22C17">
        <w:rPr>
          <w:rFonts w:ascii="Times New Roman" w:hAnsi="Times New Roman" w:cs="Times New Roman"/>
          <w:lang w:val="en-US"/>
        </w:rPr>
        <w:t>Workplace a</w:t>
      </w:r>
      <w:r w:rsidR="00C84581" w:rsidRPr="00B22C17">
        <w:rPr>
          <w:rFonts w:ascii="Times New Roman" w:hAnsi="Times New Roman" w:cs="Times New Roman"/>
          <w:lang w:val="en-US"/>
        </w:rPr>
        <w:t xml:space="preserve">bsenteeism </w:t>
      </w:r>
      <w:r w:rsidR="00C728ED" w:rsidRPr="00B22C17">
        <w:rPr>
          <w:rFonts w:ascii="Times New Roman" w:hAnsi="Times New Roman" w:cs="Times New Roman"/>
          <w:lang w:val="en-US"/>
        </w:rPr>
        <w:t xml:space="preserve">may be </w:t>
      </w:r>
      <w:r w:rsidR="006B3386" w:rsidRPr="00B22C17">
        <w:rPr>
          <w:rFonts w:ascii="Times New Roman" w:hAnsi="Times New Roman" w:cs="Times New Roman"/>
          <w:lang w:val="en-US"/>
        </w:rPr>
        <w:t xml:space="preserve">defined as </w:t>
      </w:r>
      <w:r w:rsidR="00C84581" w:rsidRPr="00B22C17">
        <w:rPr>
          <w:rFonts w:ascii="Times New Roman" w:hAnsi="Times New Roman" w:cs="Times New Roman"/>
          <w:lang w:val="en-US"/>
        </w:rPr>
        <w:t>when an employee is habitually a</w:t>
      </w:r>
      <w:r w:rsidR="00AA7F4C" w:rsidRPr="00B22C17">
        <w:rPr>
          <w:rFonts w:ascii="Times New Roman" w:hAnsi="Times New Roman" w:cs="Times New Roman"/>
          <w:lang w:val="en-US"/>
        </w:rPr>
        <w:t>nd frequently absent from work</w:t>
      </w:r>
      <w:r w:rsidR="00E37A94" w:rsidRPr="00B22C17">
        <w:rPr>
          <w:rFonts w:ascii="Times New Roman" w:hAnsi="Times New Roman" w:cs="Times New Roman"/>
          <w:lang w:val="en-US"/>
        </w:rPr>
        <w:t xml:space="preserve"> </w:t>
      </w:r>
      <w:r w:rsidR="00C007BE" w:rsidRPr="00B22C17">
        <w:rPr>
          <w:rFonts w:ascii="Times New Roman" w:hAnsi="Times New Roman" w:cs="Times New Roman"/>
          <w:lang w:val="en-US"/>
        </w:rPr>
        <w:fldChar w:fldCharType="begin"/>
      </w:r>
      <w:r w:rsidR="00C007BE" w:rsidRPr="00B22C17">
        <w:rPr>
          <w:rFonts w:ascii="Times New Roman" w:hAnsi="Times New Roman" w:cs="Times New Roman"/>
          <w:lang w:val="en-US"/>
        </w:rPr>
        <w:instrText xml:space="preserve"> ADDIN ZOTERO_ITEM CSL_CITATION {"citationID":"7ZrM4EzV","properties":{"formattedCitation":"[1]","plainCitation":"[1]","noteIndex":0},"citationItems":[{"id":20240,"uris":["http://zotero.org/users/local/hhPVnw6l/items/Z9ZSJE38"],"uri":["http://zotero.org/users/local/hhPVnw6l/items/Z9ZSJE38"],"itemData":{"id":20240,"type":"article-journal","abstract":"To determine the effectiveness of workplace interventions and the most effective methodological design for the improvement of employee productivity, work ability, and absenteeism. A meta-analysis of randomized controlled trials (RCTs) of workplace interventions was conducted (PROSPERO, CRD42018094083). The PubMed, Scopus, PsycINFO, and Cochrane databases were searched. RCTs from 2000 to 2017 and with employees (18–65 years) were selected. Then, intervention characteristics and work-related outcomes data were extracted. A total of 47 RCTs were included in the systematic review, and 19 RCTs (11 absenteeism, 7 productivity, and 5 work ability) were included in the meta-analysis. The meta-analysis showed that the effectiveness of workplace interventions for absenteeism was −1.56 (95% CI, −2.67 to −0.44) and −2.65 (95% CI, −4.49 to −0.81) considering only moderate quality RCTs. In contrast, only a few studies of workplace interventions for productivity and work ability were included, which was insufficient for determining the effectiveness and best design for improving these work outcomes. The workplace is an interesting environment to reduce absenteeism, and individualized and counseling interventions with &lt;10 sessions/total were the most effective workplace intervention methodological design for reducing the absenteeism of employees. Future high-quality RCTs that also consider health risks should be implemented to strengthen the results.","container-title":"International Journal of Environmental Research and Public Health","DOI":"10.3390/ijerph17061901","ISSN":"1661-7827","issue":"6","journalAbbreviation":"Int J Environ Res Public Health","note":"PMID: 32183392\nPMCID: PMC7142489","source":"PubMed Central","title":"Effectiveness of Workplace Interventions for Improving Absenteeism, Productivity, and Work Ability of Employees: A Systematic Review and Meta-Analysis of Randomized Controlled Trials","title-short":"Effectiveness of Workplace Interventions for Improving Absenteeism, Productivity, and Work Ability of Employees","URL":"https://www.ncbi.nlm.nih.gov/pmc/articles/PMC7142489/","volume":"17","author":[{"family":"Tarro","given":"Lucia"},{"family":"Llauradó","given":"Elisabet"},{"family":"Ulldemolins","given":"Gemma"},{"family":"Hermoso","given":"Pedro"},{"family":"Solà","given":"Rosa"}],"accessed":{"date-parts":[["2021",3,14]]},"issued":{"date-parts":[["2020",3]]}}}],"schema":"https://github.com/citation-style-language/schema/raw/master/csl-citation.json"} </w:instrText>
      </w:r>
      <w:r w:rsidR="00C007BE" w:rsidRPr="00B22C17">
        <w:rPr>
          <w:rFonts w:ascii="Times New Roman" w:hAnsi="Times New Roman" w:cs="Times New Roman"/>
          <w:lang w:val="en-US"/>
        </w:rPr>
        <w:fldChar w:fldCharType="separate"/>
      </w:r>
      <w:r w:rsidR="00C007BE" w:rsidRPr="00B22C17">
        <w:rPr>
          <w:rFonts w:ascii="Times New Roman" w:hAnsi="Times New Roman" w:cs="Times New Roman"/>
          <w:noProof/>
          <w:lang w:val="en-US"/>
        </w:rPr>
        <w:t>[1]</w:t>
      </w:r>
      <w:r w:rsidR="00C007BE" w:rsidRPr="00B22C17">
        <w:rPr>
          <w:rFonts w:ascii="Times New Roman" w:hAnsi="Times New Roman" w:cs="Times New Roman"/>
          <w:lang w:val="en-US"/>
        </w:rPr>
        <w:fldChar w:fldCharType="end"/>
      </w:r>
      <w:r w:rsidR="00AA7F4C" w:rsidRPr="00B22C17">
        <w:rPr>
          <w:rFonts w:ascii="Times New Roman" w:hAnsi="Times New Roman" w:cs="Times New Roman"/>
          <w:lang w:val="en-US"/>
        </w:rPr>
        <w:t>.</w:t>
      </w:r>
      <w:r w:rsidR="00E37A94" w:rsidRPr="00B22C17">
        <w:rPr>
          <w:rFonts w:ascii="Times New Roman" w:hAnsi="Times New Roman" w:cs="Times New Roman"/>
          <w:vertAlign w:val="superscript"/>
          <w:lang w:val="en-US"/>
        </w:rPr>
        <w:t xml:space="preserve"> </w:t>
      </w:r>
      <w:r w:rsidR="004C7166" w:rsidRPr="00B22C17">
        <w:rPr>
          <w:rFonts w:ascii="Times New Roman" w:hAnsi="Times New Roman" w:cs="Times New Roman"/>
          <w:lang w:val="en-US"/>
        </w:rPr>
        <w:t>Based on t</w:t>
      </w:r>
      <w:r w:rsidR="00AA7F4C" w:rsidRPr="00B22C17">
        <w:rPr>
          <w:rFonts w:ascii="Times New Roman" w:hAnsi="Times New Roman" w:cs="Times New Roman"/>
          <w:lang w:val="en-US"/>
        </w:rPr>
        <w:t>he Centers for Disease Control and Prevention (CDC)</w:t>
      </w:r>
      <w:r w:rsidR="00B87D86" w:rsidRPr="00B22C17">
        <w:rPr>
          <w:rFonts w:ascii="Times New Roman" w:hAnsi="Times New Roman" w:cs="Times New Roman"/>
          <w:lang w:val="en-US"/>
        </w:rPr>
        <w:t>,</w:t>
      </w:r>
      <w:r w:rsidR="00AA7F4C" w:rsidRPr="00B22C17">
        <w:rPr>
          <w:rFonts w:ascii="Times New Roman" w:hAnsi="Times New Roman" w:cs="Times New Roman"/>
          <w:lang w:val="en-US"/>
        </w:rPr>
        <w:t xml:space="preserve"> </w:t>
      </w:r>
      <w:r w:rsidR="00B87D86" w:rsidRPr="00B22C17">
        <w:rPr>
          <w:rFonts w:ascii="Times New Roman" w:hAnsi="Times New Roman" w:cs="Times New Roman"/>
          <w:lang w:val="en-US"/>
        </w:rPr>
        <w:t xml:space="preserve">workplace absenteeism-related productivity loss approximates $226 billion per year in the </w:t>
      </w:r>
      <w:r w:rsidR="00552EEB" w:rsidRPr="00B22C17">
        <w:rPr>
          <w:rFonts w:ascii="Times New Roman" w:hAnsi="Times New Roman" w:cs="Times New Roman"/>
          <w:lang w:val="en-US"/>
        </w:rPr>
        <w:t>United States</w:t>
      </w:r>
      <w:r w:rsidR="00B87D86" w:rsidRPr="00B22C17">
        <w:rPr>
          <w:rFonts w:ascii="Times New Roman" w:hAnsi="Times New Roman" w:cs="Times New Roman"/>
          <w:lang w:val="en-US"/>
        </w:rPr>
        <w:t xml:space="preserve"> (around $1,685 per employee)</w:t>
      </w:r>
      <w:r w:rsidR="00E37A94" w:rsidRPr="00B22C17">
        <w:rPr>
          <w:rFonts w:ascii="Times New Roman" w:hAnsi="Times New Roman" w:cs="Times New Roman"/>
          <w:lang w:val="en-US"/>
        </w:rPr>
        <w:t xml:space="preserve"> </w:t>
      </w:r>
      <w:r w:rsidR="00CA1FC7" w:rsidRPr="00B22C17">
        <w:rPr>
          <w:rFonts w:ascii="Times New Roman" w:hAnsi="Times New Roman" w:cs="Times New Roman"/>
          <w:lang w:val="en-US"/>
        </w:rPr>
        <w:fldChar w:fldCharType="begin"/>
      </w:r>
      <w:r w:rsidR="00CA1FC7" w:rsidRPr="00B22C17">
        <w:rPr>
          <w:rFonts w:ascii="Times New Roman" w:hAnsi="Times New Roman" w:cs="Times New Roman"/>
          <w:lang w:val="en-US"/>
        </w:rPr>
        <w:instrText xml:space="preserve"> ADDIN ZOTERO_ITEM CSL_CITATION {"citationID":"maMWt1Gk","properties":{"formattedCitation":"[2]","plainCitation":"[2]","noteIndex":0},"citationItems":[{"id":20243,"uris":["http://zotero.org/users/local/hhPVnw6l/items/SIC8JBWZ"],"uri":["http://zotero.org/users/local/hhPVnw6l/items/SIC8JBWZ"],"itemData":{"id":20243,"type":"webpage","language":"English","title":"Worker Illness and Injury Costs U.S. Employers $225.8 Billion Annually","URL":"https://www.cdcfoundation.org/pr/2015/worker-illness-and-injury-costs-us-employers-225-billion-annually","author":[{"family":"CDC Foundation","given":""}],"issued":{"date-parts":[["2015"]]}}}],"schema":"https://github.com/citation-style-language/schema/raw/master/csl-citation.json"} </w:instrText>
      </w:r>
      <w:r w:rsidR="00CA1FC7" w:rsidRPr="00B22C17">
        <w:rPr>
          <w:rFonts w:ascii="Times New Roman" w:hAnsi="Times New Roman" w:cs="Times New Roman"/>
          <w:lang w:val="en-US"/>
        </w:rPr>
        <w:fldChar w:fldCharType="separate"/>
      </w:r>
      <w:r w:rsidR="00CA1FC7" w:rsidRPr="00B22C17">
        <w:rPr>
          <w:rFonts w:ascii="Times New Roman" w:hAnsi="Times New Roman" w:cs="Times New Roman"/>
          <w:noProof/>
          <w:lang w:val="en-US"/>
        </w:rPr>
        <w:t>[2]</w:t>
      </w:r>
      <w:r w:rsidR="00CA1FC7" w:rsidRPr="00B22C17">
        <w:rPr>
          <w:rFonts w:ascii="Times New Roman" w:hAnsi="Times New Roman" w:cs="Times New Roman"/>
          <w:lang w:val="en-US"/>
        </w:rPr>
        <w:fldChar w:fldCharType="end"/>
      </w:r>
      <w:r w:rsidR="00B87D86" w:rsidRPr="00B22C17">
        <w:rPr>
          <w:rFonts w:ascii="Times New Roman" w:hAnsi="Times New Roman" w:cs="Times New Roman"/>
          <w:lang w:val="en-US"/>
        </w:rPr>
        <w:t>.</w:t>
      </w:r>
      <w:r w:rsidR="00E37A94" w:rsidRPr="00B22C17">
        <w:rPr>
          <w:rFonts w:ascii="Times New Roman" w:hAnsi="Times New Roman" w:cs="Times New Roman"/>
          <w:vertAlign w:val="superscript"/>
          <w:lang w:val="en-US"/>
        </w:rPr>
        <w:t xml:space="preserve"> </w:t>
      </w:r>
      <w:r w:rsidR="00A55061" w:rsidRPr="00B22C17">
        <w:rPr>
          <w:rFonts w:ascii="Times New Roman" w:hAnsi="Times New Roman" w:cs="Times New Roman"/>
          <w:lang w:val="en-US"/>
        </w:rPr>
        <w:t xml:space="preserve">Back </w:t>
      </w:r>
      <w:r w:rsidR="0074727B" w:rsidRPr="00B22C17">
        <w:rPr>
          <w:rFonts w:ascii="Times New Roman" w:hAnsi="Times New Roman" w:cs="Times New Roman"/>
          <w:lang w:val="en-US"/>
        </w:rPr>
        <w:t xml:space="preserve">and neck </w:t>
      </w:r>
      <w:r w:rsidR="00A55061" w:rsidRPr="00B22C17">
        <w:rPr>
          <w:rFonts w:ascii="Times New Roman" w:hAnsi="Times New Roman" w:cs="Times New Roman"/>
          <w:lang w:val="en-US"/>
        </w:rPr>
        <w:t>pain</w:t>
      </w:r>
      <w:r w:rsidR="0074727B" w:rsidRPr="00B22C17">
        <w:rPr>
          <w:rFonts w:ascii="Times New Roman" w:hAnsi="Times New Roman" w:cs="Times New Roman"/>
          <w:lang w:val="en-US"/>
        </w:rPr>
        <w:t xml:space="preserve"> (BNP)</w:t>
      </w:r>
      <w:r w:rsidR="00A55061" w:rsidRPr="00B22C17">
        <w:rPr>
          <w:rFonts w:ascii="Times New Roman" w:hAnsi="Times New Roman" w:cs="Times New Roman"/>
          <w:lang w:val="en-US"/>
        </w:rPr>
        <w:t xml:space="preserve"> is a major contributor to high levels of absenteeism globally. </w:t>
      </w:r>
      <w:r w:rsidR="00AA7F4C" w:rsidRPr="00B22C17">
        <w:rPr>
          <w:rFonts w:ascii="Times New Roman" w:hAnsi="Times New Roman" w:cs="Times New Roman"/>
          <w:lang w:val="en-US"/>
        </w:rPr>
        <w:t xml:space="preserve">For example, 12.5% </w:t>
      </w:r>
      <w:r w:rsidR="00BE1EB4" w:rsidRPr="00B22C17">
        <w:rPr>
          <w:rFonts w:ascii="Times New Roman" w:hAnsi="Times New Roman" w:cs="Times New Roman"/>
          <w:lang w:val="en-US"/>
        </w:rPr>
        <w:t xml:space="preserve">and 13.5% </w:t>
      </w:r>
      <w:r w:rsidR="00AA7F4C" w:rsidRPr="00B22C17">
        <w:rPr>
          <w:rFonts w:ascii="Times New Roman" w:hAnsi="Times New Roman" w:cs="Times New Roman"/>
          <w:lang w:val="en-US"/>
        </w:rPr>
        <w:t xml:space="preserve">of work absence </w:t>
      </w:r>
      <w:r w:rsidR="00BE1EB4" w:rsidRPr="00B22C17">
        <w:rPr>
          <w:rFonts w:ascii="Times New Roman" w:hAnsi="Times New Roman" w:cs="Times New Roman"/>
          <w:lang w:val="en-US"/>
        </w:rPr>
        <w:t>are</w:t>
      </w:r>
      <w:r w:rsidR="00AA7F4C" w:rsidRPr="00B22C17">
        <w:rPr>
          <w:rFonts w:ascii="Times New Roman" w:hAnsi="Times New Roman" w:cs="Times New Roman"/>
          <w:lang w:val="en-US"/>
        </w:rPr>
        <w:t xml:space="preserve"> </w:t>
      </w:r>
      <w:r w:rsidR="00C3492D" w:rsidRPr="00B22C17">
        <w:rPr>
          <w:rFonts w:ascii="Times New Roman" w:hAnsi="Times New Roman" w:cs="Times New Roman"/>
          <w:lang w:val="en-US"/>
        </w:rPr>
        <w:t>imputable</w:t>
      </w:r>
      <w:r w:rsidR="00AA7F4C" w:rsidRPr="00B22C17">
        <w:rPr>
          <w:rFonts w:ascii="Times New Roman" w:hAnsi="Times New Roman" w:cs="Times New Roman"/>
          <w:lang w:val="en-US"/>
        </w:rPr>
        <w:t xml:space="preserve"> to </w:t>
      </w:r>
      <w:r w:rsidR="00C34756" w:rsidRPr="00B22C17">
        <w:rPr>
          <w:rFonts w:ascii="Times New Roman" w:hAnsi="Times New Roman" w:cs="Times New Roman"/>
          <w:lang w:val="en-US"/>
        </w:rPr>
        <w:t>BNP</w:t>
      </w:r>
      <w:r w:rsidR="00BE1EB4" w:rsidRPr="00B22C17">
        <w:rPr>
          <w:rFonts w:ascii="Times New Roman" w:hAnsi="Times New Roman" w:cs="Times New Roman"/>
          <w:lang w:val="en-US"/>
        </w:rPr>
        <w:t xml:space="preserve"> in the United Kingdom and Sweden, respectively</w:t>
      </w:r>
      <w:r w:rsidR="00E37A94" w:rsidRPr="00B22C17">
        <w:rPr>
          <w:rFonts w:ascii="Times New Roman" w:hAnsi="Times New Roman" w:cs="Times New Roman"/>
          <w:lang w:val="en-US"/>
        </w:rPr>
        <w:t xml:space="preserve"> </w:t>
      </w:r>
      <w:r w:rsidR="00837AA3" w:rsidRPr="00B22C17">
        <w:rPr>
          <w:rFonts w:ascii="Times New Roman" w:hAnsi="Times New Roman" w:cs="Times New Roman"/>
          <w:lang w:val="en-US"/>
        </w:rPr>
        <w:fldChar w:fldCharType="begin"/>
      </w:r>
      <w:r w:rsidR="00837AA3" w:rsidRPr="00B22C17">
        <w:rPr>
          <w:rFonts w:ascii="Times New Roman" w:hAnsi="Times New Roman" w:cs="Times New Roman"/>
          <w:lang w:val="en-US"/>
        </w:rPr>
        <w:instrText xml:space="preserve"> ADDIN ZOTERO_ITEM CSL_CITATION {"citationID":"3KnO6YzN","properties":{"formattedCitation":"[3]","plainCitation":"[3]","noteIndex":0},"citationItems":[{"id":21582,"uris":["http://zotero.org/users/local/hhPVnw6l/items/YYEAYLDG"],"uri":["http://zotero.org/users/local/hhPVnw6l/items/YYEAYLDG"],"itemData":{"id":21582,"type":"report","language":"English","page":"8","publisher":"The Work Foundation","title":"The Impact of Back Pain on Sickness Absence in Europe","URL":"https://www.bl.uk/collection-items/impact-of-back-pain-on-sickness-absence-in-europe","author":[{"family":"Bevan","given":"Stephen"}],"accessed":{"date-parts":[["2021",8,10]]},"issued":{"date-parts":[["2012"]]}}}],"schema":"https://github.com/citation-style-language/schema/raw/master/csl-citation.json"} </w:instrText>
      </w:r>
      <w:r w:rsidR="00837AA3" w:rsidRPr="00B22C17">
        <w:rPr>
          <w:rFonts w:ascii="Times New Roman" w:hAnsi="Times New Roman" w:cs="Times New Roman"/>
          <w:lang w:val="en-US"/>
        </w:rPr>
        <w:fldChar w:fldCharType="separate"/>
      </w:r>
      <w:r w:rsidR="00837AA3" w:rsidRPr="00B22C17">
        <w:rPr>
          <w:rFonts w:ascii="Times New Roman" w:hAnsi="Times New Roman" w:cs="Times New Roman"/>
          <w:noProof/>
          <w:lang w:val="en-US"/>
        </w:rPr>
        <w:t>[3]</w:t>
      </w:r>
      <w:r w:rsidR="00837AA3" w:rsidRPr="00B22C17">
        <w:rPr>
          <w:rFonts w:ascii="Times New Roman" w:hAnsi="Times New Roman" w:cs="Times New Roman"/>
          <w:lang w:val="en-US"/>
        </w:rPr>
        <w:fldChar w:fldCharType="end"/>
      </w:r>
      <w:r w:rsidR="00AA7F4C" w:rsidRPr="00B22C17">
        <w:rPr>
          <w:rFonts w:ascii="Times New Roman" w:hAnsi="Times New Roman" w:cs="Times New Roman"/>
          <w:lang w:val="en-US"/>
        </w:rPr>
        <w:t>.</w:t>
      </w:r>
      <w:r w:rsidR="00E37A94" w:rsidRPr="00B22C17">
        <w:rPr>
          <w:rFonts w:ascii="Times New Roman" w:hAnsi="Times New Roman" w:cs="Times New Roman"/>
          <w:lang w:val="en-US"/>
        </w:rPr>
        <w:t xml:space="preserve"> </w:t>
      </w:r>
      <w:r w:rsidR="003C40B1" w:rsidRPr="00B22C17">
        <w:rPr>
          <w:rFonts w:ascii="Times New Roman" w:hAnsi="Times New Roman" w:cs="Times New Roman"/>
          <w:lang w:val="en-US"/>
        </w:rPr>
        <w:t xml:space="preserve">Estimates of the </w:t>
      </w:r>
      <w:r w:rsidR="00C14C34" w:rsidRPr="00B22C17">
        <w:rPr>
          <w:rFonts w:ascii="Times New Roman" w:hAnsi="Times New Roman" w:cs="Times New Roman"/>
          <w:lang w:val="en-US"/>
        </w:rPr>
        <w:t>one</w:t>
      </w:r>
      <w:r w:rsidR="003C40B1" w:rsidRPr="00B22C17">
        <w:rPr>
          <w:rFonts w:ascii="Times New Roman" w:hAnsi="Times New Roman" w:cs="Times New Roman"/>
          <w:lang w:val="en-US"/>
        </w:rPr>
        <w:t xml:space="preserve">-year prevalence of sickness absence due to </w:t>
      </w:r>
      <w:r w:rsidR="00C14C34" w:rsidRPr="00B22C17">
        <w:rPr>
          <w:rFonts w:ascii="Times New Roman" w:hAnsi="Times New Roman" w:cs="Times New Roman"/>
          <w:lang w:val="en-US"/>
        </w:rPr>
        <w:t xml:space="preserve">low </w:t>
      </w:r>
      <w:r w:rsidR="003C40B1" w:rsidRPr="00B22C17">
        <w:rPr>
          <w:rFonts w:ascii="Times New Roman" w:hAnsi="Times New Roman" w:cs="Times New Roman"/>
          <w:lang w:val="en-US"/>
        </w:rPr>
        <w:t xml:space="preserve">back pain </w:t>
      </w:r>
      <w:r w:rsidR="005159AB" w:rsidRPr="00B22C17">
        <w:rPr>
          <w:rFonts w:ascii="Times New Roman" w:hAnsi="Times New Roman" w:cs="Times New Roman"/>
          <w:lang w:val="en-US"/>
        </w:rPr>
        <w:t>have been reported to be around</w:t>
      </w:r>
      <w:r w:rsidR="003C40B1" w:rsidRPr="00B22C17">
        <w:rPr>
          <w:rFonts w:ascii="Times New Roman" w:hAnsi="Times New Roman" w:cs="Times New Roman"/>
          <w:lang w:val="en-US"/>
        </w:rPr>
        <w:t xml:space="preserve"> 9% </w:t>
      </w:r>
      <w:r w:rsidR="005159AB" w:rsidRPr="00B22C17">
        <w:rPr>
          <w:rFonts w:ascii="Times New Roman" w:hAnsi="Times New Roman" w:cs="Times New Roman"/>
          <w:lang w:val="en-US"/>
        </w:rPr>
        <w:t>in</w:t>
      </w:r>
      <w:r w:rsidR="003C40B1" w:rsidRPr="00B22C17">
        <w:rPr>
          <w:rFonts w:ascii="Times New Roman" w:hAnsi="Times New Roman" w:cs="Times New Roman"/>
          <w:lang w:val="en-US"/>
        </w:rPr>
        <w:t xml:space="preserve"> the working population of New Zealand (randomly selected from the electoral roll)</w:t>
      </w:r>
      <w:r w:rsidR="00D85141" w:rsidRPr="00B22C17">
        <w:rPr>
          <w:rFonts w:ascii="Times New Roman" w:hAnsi="Times New Roman" w:cs="Times New Roman"/>
          <w:lang w:val="en-US"/>
        </w:rPr>
        <w:t xml:space="preserve"> </w:t>
      </w:r>
      <w:r w:rsidR="00A1011A" w:rsidRPr="00B22C17">
        <w:rPr>
          <w:rFonts w:ascii="Times New Roman" w:hAnsi="Times New Roman" w:cs="Times New Roman"/>
          <w:lang w:val="en-US"/>
        </w:rPr>
        <w:fldChar w:fldCharType="begin"/>
      </w:r>
      <w:r w:rsidR="00A1011A" w:rsidRPr="00B22C17">
        <w:rPr>
          <w:rFonts w:ascii="Times New Roman" w:hAnsi="Times New Roman" w:cs="Times New Roman"/>
          <w:lang w:val="en-US"/>
        </w:rPr>
        <w:instrText xml:space="preserve"> ADDIN ZOTERO_ITEM CSL_CITATION {"citationID":"tkF2Arnd","properties":{"formattedCitation":"[4]","plainCitation":"[4]","noteIndex":0},"citationItems":[{"id":20245,"uris":["http://zotero.org/users/local/hhPVnw6l/items/DM46K62H"],"uri":["http://zotero.org/users/local/hhPVnw6l/items/DM46K62H"],"itemData":{"id":20245,"type":"article-journal","abstract":"Although quite a lot is known about the risk factors for low back symptoms (LBS), less is known about the risk factors for the consequences of LBS. A sample of 3003 men and women randomly selected from the New Zealand Electoral Roll, were interviewed by telephone about self reported physical, psychosocial, organizational, environmental factors and the consequences of LBS (i.e. self-reported reduced activities and absenteeism). The 12-month period prevalence of reduced activities and absenteeism were 18% and 9%, respectively. Lifting (OR 1.79 95% CI 1.16-2.77) increased the risk of reduced activities. Working in awkward/tiring positions (OR 2.11 95% CI 1.20-3.70) and in a cold/damp environment (OR 2.18 95% CI 1.11-4.28) increased the risk of absenteeism. Among those with LBS, reduced activities increased with working in a hot/warm environment (OR 2.14 95% CI 1.22-3.76) and absenteeism was increased with work in awkward/tiring positions (OR 2.06 95% CI 1.13-3.77), tight deadlines (OR 1.89 95% CI 1.02-3.50), and a hot/warm environment (OR 3.35 95% CI 1.68-6.68). Interventions to reduce the consequences of LBS should aim to reduce awkward/tiring positions, lifting and work in a cold/damp environment. For individuals with LBS, additional focus should be to reduce tight deadlines, and work in hot/warm environments.","container-title":"Applied Ergonomics","DOI":"10.1016/j.apergo.2011.11.004","ISSN":"1872-9126","issue":"4","journalAbbreviation":"Appl Ergon","language":"eng","note":"PMID: 22123534","page":"727-737","source":"PubMed","title":"Prevalence and work-related risk factors for reduced activities and absenteeism due to low back symptoms","volume":"43","author":[{"family":"Widanarko","given":"Baiduri"},{"family":"Legg","given":"Stephen"},{"family":"Stevenson","given":"Mark"},{"family":"Devereux","given":"Jason"},{"family":"Eng","given":"Amanda"},{"family":"Mannetje","given":"Andrea","non-dropping-particle":"'t"},{"family":"Cheng","given":"Soo"},{"family":"Pearce","given":"Neil"}],"issued":{"date-parts":[["2012",7]]}}}],"schema":"https://github.com/citation-style-language/schema/raw/master/csl-citation.json"} </w:instrText>
      </w:r>
      <w:r w:rsidR="00A1011A" w:rsidRPr="00B22C17">
        <w:rPr>
          <w:rFonts w:ascii="Times New Roman" w:hAnsi="Times New Roman" w:cs="Times New Roman"/>
          <w:lang w:val="en-US"/>
        </w:rPr>
        <w:fldChar w:fldCharType="separate"/>
      </w:r>
      <w:r w:rsidR="00A1011A" w:rsidRPr="00B22C17">
        <w:rPr>
          <w:rFonts w:ascii="Times New Roman" w:hAnsi="Times New Roman" w:cs="Times New Roman"/>
          <w:noProof/>
          <w:lang w:val="en-US"/>
        </w:rPr>
        <w:t>[4]</w:t>
      </w:r>
      <w:r w:rsidR="00A1011A" w:rsidRPr="00B22C17">
        <w:rPr>
          <w:rFonts w:ascii="Times New Roman" w:hAnsi="Times New Roman" w:cs="Times New Roman"/>
          <w:lang w:val="en-US"/>
        </w:rPr>
        <w:fldChar w:fldCharType="end"/>
      </w:r>
      <w:r w:rsidR="00E37A94" w:rsidRPr="00B22C17">
        <w:rPr>
          <w:rFonts w:ascii="Times New Roman" w:hAnsi="Times New Roman" w:cs="Times New Roman"/>
          <w:lang w:val="en-US"/>
        </w:rPr>
        <w:t xml:space="preserve"> </w:t>
      </w:r>
      <w:r w:rsidR="00A20581" w:rsidRPr="00B22C17">
        <w:rPr>
          <w:rFonts w:ascii="Times New Roman" w:hAnsi="Times New Roman" w:cs="Times New Roman"/>
          <w:lang w:val="en-US"/>
        </w:rPr>
        <w:t>and</w:t>
      </w:r>
      <w:r w:rsidR="003C40B1" w:rsidRPr="00B22C17">
        <w:rPr>
          <w:rFonts w:ascii="Times New Roman" w:hAnsi="Times New Roman" w:cs="Times New Roman"/>
          <w:lang w:val="en-US"/>
        </w:rPr>
        <w:t xml:space="preserve"> </w:t>
      </w:r>
      <w:r w:rsidR="00A20581" w:rsidRPr="00B22C17">
        <w:rPr>
          <w:rFonts w:ascii="Times New Roman" w:hAnsi="Times New Roman" w:cs="Times New Roman"/>
          <w:lang w:val="en-US"/>
        </w:rPr>
        <w:t>8.5</w:t>
      </w:r>
      <w:r w:rsidR="003C40B1" w:rsidRPr="00B22C17">
        <w:rPr>
          <w:rFonts w:ascii="Times New Roman" w:hAnsi="Times New Roman" w:cs="Times New Roman"/>
          <w:lang w:val="en-US"/>
        </w:rPr>
        <w:t xml:space="preserve">% </w:t>
      </w:r>
      <w:r w:rsidR="00A20581" w:rsidRPr="00B22C17">
        <w:rPr>
          <w:rFonts w:ascii="Times New Roman" w:hAnsi="Times New Roman" w:cs="Times New Roman"/>
          <w:lang w:val="en-US"/>
        </w:rPr>
        <w:t>in</w:t>
      </w:r>
      <w:r w:rsidR="003C40B1" w:rsidRPr="00B22C17">
        <w:rPr>
          <w:rFonts w:ascii="Times New Roman" w:hAnsi="Times New Roman" w:cs="Times New Roman"/>
          <w:lang w:val="en-US"/>
        </w:rPr>
        <w:t xml:space="preserve"> hospital employees in Ireland</w:t>
      </w:r>
      <w:r w:rsidR="00E37A94" w:rsidRPr="00B22C17">
        <w:rPr>
          <w:rFonts w:ascii="Times New Roman" w:hAnsi="Times New Roman" w:cs="Times New Roman"/>
          <w:lang w:val="en-US"/>
        </w:rPr>
        <w:t xml:space="preserve"> </w:t>
      </w:r>
      <w:r w:rsidR="00CF4CDE" w:rsidRPr="00B22C17">
        <w:rPr>
          <w:rFonts w:ascii="Times New Roman" w:hAnsi="Times New Roman" w:cs="Times New Roman"/>
          <w:lang w:val="en-US"/>
        </w:rPr>
        <w:fldChar w:fldCharType="begin"/>
      </w:r>
      <w:r w:rsidR="00CF4CDE" w:rsidRPr="00B22C17">
        <w:rPr>
          <w:rFonts w:ascii="Times New Roman" w:hAnsi="Times New Roman" w:cs="Times New Roman"/>
          <w:lang w:val="en-US"/>
        </w:rPr>
        <w:instrText xml:space="preserve"> ADDIN ZOTERO_ITEM CSL_CITATION {"citationID":"yFJQ6jm4","properties":{"formattedCitation":"[5]","plainCitation":"[5]","noteIndex":0},"citationItems":[{"id":20247,"uris":["http://zotero.org/users/local/hhPVnw6l/items/HQZLYAUW"],"uri":["http://zotero.org/users/local/hhPVnw6l/items/HQZLYAUW"],"itemData":{"id":20247,"type":"article-journal","abstract":"BACKGROUND: The health services sector has been identified as a high-risk work sector for low back pain (LBP) and related absenteeism.\nAIMS: To establish levels and predictors of LBP prevalence and associated sick leave among health service workers. To identify if levels of LBP or related absenteeism differ between occupational groups.\nMETHODS: A postal survey using a standardized questionnaire and disproportionate random sampling of occupational groups was conducted at a single Dublin hospital. Overall hospital LBP prevalence and sickness absence were calculated using weighted analysis methods. Univariate analysis included the use of Chi-square, Fisher's exact and Mann-Whitney tests. Multivariate logistic regression techniques were used to explore for independent predictors of lifetime LBP prevalence and LBP-related sickness absence.\nRESULTS: An overall response rate of 62% (n = 246) was achieved. Lifetime, annual and point prevalence rates for the hospital employees were calculated at 46, 30 and 15.5%, respectively. No significant difference in prevalence was found between occupational groups but sick leave did differ with the highest level among general support and nursing staff. Multivariate analysis confirmed that occupation was an independent predictor for LBP-related sick leave (P &lt; 0.05).\nCONCLUSIONS: LBP prevalence rates did not differ significantly between occupational groups but occupation was found to be an independent predictor of LBP-related sick leave. Involvement in manual handling did not predict either LBP or related sick leave.","container-title":"Occupational Medicine (Oxford, England)","DOI":"10.1093/occmed/kql056","ISSN":"0962-7480","issue":"7","journalAbbreviation":"Occup Med (Lond)","language":"eng","note":"PMID: 16793854","page":"447-454","source":"PubMed","title":"Low back pain and occupation among Irish health service workers","volume":"56","author":[{"family":"Cunningham","given":"C."},{"family":"Flynn","given":"T."},{"family":"Blake","given":"C."}],"issued":{"date-parts":[["2006",10]]}}}],"schema":"https://github.com/citation-style-language/schema/raw/master/csl-citation.json"} </w:instrText>
      </w:r>
      <w:r w:rsidR="00CF4CDE" w:rsidRPr="00B22C17">
        <w:rPr>
          <w:rFonts w:ascii="Times New Roman" w:hAnsi="Times New Roman" w:cs="Times New Roman"/>
          <w:lang w:val="en-US"/>
        </w:rPr>
        <w:fldChar w:fldCharType="separate"/>
      </w:r>
      <w:r w:rsidR="00CF4CDE" w:rsidRPr="00B22C17">
        <w:rPr>
          <w:rFonts w:ascii="Times New Roman" w:hAnsi="Times New Roman" w:cs="Times New Roman"/>
          <w:noProof/>
          <w:lang w:val="en-US"/>
        </w:rPr>
        <w:t>[5]</w:t>
      </w:r>
      <w:r w:rsidR="00CF4CDE" w:rsidRPr="00B22C17">
        <w:rPr>
          <w:rFonts w:ascii="Times New Roman" w:hAnsi="Times New Roman" w:cs="Times New Roman"/>
          <w:lang w:val="en-US"/>
        </w:rPr>
        <w:fldChar w:fldCharType="end"/>
      </w:r>
      <w:r w:rsidR="008B6BF3" w:rsidRPr="00B22C17">
        <w:rPr>
          <w:rFonts w:ascii="Times New Roman" w:hAnsi="Times New Roman" w:cs="Times New Roman"/>
          <w:lang w:val="en-US"/>
        </w:rPr>
        <w:t>.</w:t>
      </w:r>
      <w:r w:rsidR="00E37A94" w:rsidRPr="00B22C17">
        <w:rPr>
          <w:rFonts w:ascii="Times New Roman" w:hAnsi="Times New Roman" w:cs="Times New Roman"/>
          <w:vertAlign w:val="superscript"/>
          <w:lang w:val="en-US"/>
        </w:rPr>
        <w:t xml:space="preserve"> </w:t>
      </w:r>
      <w:r w:rsidR="00892CD9" w:rsidRPr="00B22C17">
        <w:rPr>
          <w:rFonts w:ascii="Times New Roman" w:hAnsi="Times New Roman" w:cs="Times New Roman"/>
          <w:lang w:val="en-US"/>
        </w:rPr>
        <w:t>Interestingly, s</w:t>
      </w:r>
      <w:r w:rsidR="00F30E7D" w:rsidRPr="00B22C17">
        <w:rPr>
          <w:rFonts w:ascii="Times New Roman" w:hAnsi="Times New Roman" w:cs="Times New Roman"/>
          <w:lang w:val="en-US"/>
        </w:rPr>
        <w:t>ickness absence</w:t>
      </w:r>
      <w:r w:rsidR="008B6BF3" w:rsidRPr="00B22C17">
        <w:rPr>
          <w:rFonts w:ascii="Times New Roman" w:hAnsi="Times New Roman" w:cs="Times New Roman"/>
          <w:lang w:val="en-US"/>
        </w:rPr>
        <w:t xml:space="preserve"> is also frequent in neck pain</w:t>
      </w:r>
      <w:r w:rsidR="00964F90" w:rsidRPr="00B22C17">
        <w:rPr>
          <w:rFonts w:ascii="Times New Roman" w:hAnsi="Times New Roman" w:cs="Times New Roman"/>
          <w:lang w:val="en-US"/>
        </w:rPr>
        <w:t xml:space="preserve">, </w:t>
      </w:r>
      <w:r w:rsidR="00B45DCE" w:rsidRPr="00B22C17">
        <w:rPr>
          <w:rFonts w:ascii="Times New Roman" w:hAnsi="Times New Roman" w:cs="Times New Roman"/>
          <w:lang w:val="en-US"/>
        </w:rPr>
        <w:t xml:space="preserve">and the </w:t>
      </w:r>
      <w:r w:rsidR="00892CD9" w:rsidRPr="00B22C17">
        <w:rPr>
          <w:rFonts w:ascii="Times New Roman" w:hAnsi="Times New Roman" w:cs="Times New Roman"/>
          <w:lang w:val="en-US"/>
        </w:rPr>
        <w:t xml:space="preserve">corresponding </w:t>
      </w:r>
      <w:r w:rsidR="00B45DCE" w:rsidRPr="00B22C17">
        <w:rPr>
          <w:rFonts w:ascii="Times New Roman" w:hAnsi="Times New Roman" w:cs="Times New Roman"/>
          <w:lang w:val="en-US"/>
        </w:rPr>
        <w:t xml:space="preserve">prevalence </w:t>
      </w:r>
      <w:r w:rsidR="00892CD9" w:rsidRPr="00B22C17">
        <w:rPr>
          <w:rFonts w:ascii="Times New Roman" w:hAnsi="Times New Roman" w:cs="Times New Roman"/>
          <w:lang w:val="en-US"/>
        </w:rPr>
        <w:t>has been found to be</w:t>
      </w:r>
      <w:r w:rsidR="00B45DCE" w:rsidRPr="00B22C17">
        <w:rPr>
          <w:rFonts w:ascii="Times New Roman" w:hAnsi="Times New Roman" w:cs="Times New Roman"/>
          <w:lang w:val="en-US"/>
        </w:rPr>
        <w:t xml:space="preserve"> between 41% and 59% in a sample of 817 workers from Sweden</w:t>
      </w:r>
      <w:r w:rsidR="00E37A94" w:rsidRPr="00B22C17">
        <w:rPr>
          <w:rFonts w:ascii="Times New Roman" w:hAnsi="Times New Roman" w:cs="Times New Roman"/>
          <w:lang w:val="en-US"/>
        </w:rPr>
        <w:t xml:space="preserve"> </w:t>
      </w:r>
      <w:r w:rsidR="00CF4CDE" w:rsidRPr="00B22C17">
        <w:rPr>
          <w:rFonts w:ascii="Times New Roman" w:hAnsi="Times New Roman" w:cs="Times New Roman"/>
          <w:lang w:val="en-US"/>
        </w:rPr>
        <w:fldChar w:fldCharType="begin"/>
      </w:r>
      <w:r w:rsidR="00CF4CDE" w:rsidRPr="00B22C17">
        <w:rPr>
          <w:rFonts w:ascii="Times New Roman" w:hAnsi="Times New Roman" w:cs="Times New Roman"/>
          <w:lang w:val="en-US"/>
        </w:rPr>
        <w:instrText xml:space="preserve"> ADDIN ZOTERO_ITEM CSL_CITATION {"citationID":"Qe3gosqn","properties":{"formattedCitation":"[6]","plainCitation":"[6]","noteIndex":0},"citationItems":[{"id":20382,"uris":["http://zotero.org/users/local/hhPVnw6l/items/79BBAIHE"],"uri":["http://zotero.org/users/local/hhPVnw6l/items/79BBAIHE"],"itemData":{"id":20382,"type":"article-journal","abstract":"In Sweden, musculoskeletal disorders, in particular low back disorders (LBD) and neck–shoulder disorders (NSD) constitute by far the most common disorders, causing sick leave and early retirement. Studies that compare sickness absence in individuals with LBD and individuals with NSD are lacking. Moreover, it is likely that having concurrent complaints from the low back region and the neck–shoulder region could influence sickness absence. The purpose of the present study was to explore potential differences in sickness absence and in long-term sickness absence during a 5-year period, 1995–2001, among individuals with (1) solely LBD, (2) solely NSD, and (3) concurrent LBD and NSD. The present study was based on 817 subjects from the MUSIC-Norrtälje study, whom were working at baseline and whom at both baseline and follow-up reported LBD and/or NSD. Three groups were identified based on pain and pain-related disability at both baseline and follow-up: (1) solely LBD, (2) solely NSD, and (3) concurrent LBD and NSD. Subjects who did not give consistent answers at both the baseline and follow-up occasions  were assigned a fourth group: (4) migrating LBD/NSD. Two outcomes were analysed: (1) prevalence of sickness absence, and (2) long-term sickness absence among those with sickness absence days. Logistic regression analysis was used to calculate odds ratios (OR) for sickness absence in the different disorder groups, taking into account confounding factors such as gender, age and other non-musculoskeletal-related disorders. In the group concurrent LBD and NSD, 59% had been sickness absent between baseline and follow up, compared to 42% in the group solely LBD, 41% in the group solely NSD, and 46% in the group migrating LBD/NSD. No difference in sickness absence was found between the group solely LBD compared to the group solely NSD [OR 0.65 (0.36–1.17)]. The adjusted OR for sickness absence in the group concurrent LBD and NSD compared to subjects with solely LBD or solely NSD was [OR 1.69 (1.14–2.51)]. The adjusted OR for having long-term sickness absence was 2.48 (95% CI = 1.32–4.66) for the group concurrent LBD and NSD. In the present study, having concurrent LBD and NSD were associated with a higher risk for sickness absence and also long-term sickness absence. This suggests that, when research on sickness absence and return to work after a period of LBD or NSD is performed, it is important to take into consideration any concurrent pain from the other spinal region. The study also implies that spinal co-morbidity is an important factor to be considered by clinicians and occupational health providers in planning treatment, or in prevention of these disorders.","container-title":"European Spine Journal","DOI":"10.1007/s00586-006-0152-6","ISSN":"0940-6719","issue":"5","journalAbbreviation":"Eur Spine J","note":"PMID: 16741741\nPMCID: PMC2213552","page":"631-638","source":"PubMed Central","title":"Sickness absence and concurrent low back and neck–shoulder pain: results from the MUSIC-Norrtälje study","title-short":"Sickness absence and concurrent low back and neck–shoulder pain","volume":"16","author":[{"family":"Nyman","given":"Teresia"},{"family":"Grooten","given":"Wilhelmus Johannes Andreas"},{"family":"Wiktorin","given":"Christina"},{"family":"Liwing","given":"Johan"},{"family":"Norrman","given":"Linda"}],"issued":{"date-parts":[["2007",5]]}}}],"schema":"https://github.com/citation-style-language/schema/raw/master/csl-citation.json"} </w:instrText>
      </w:r>
      <w:r w:rsidR="00CF4CDE" w:rsidRPr="00B22C17">
        <w:rPr>
          <w:rFonts w:ascii="Times New Roman" w:hAnsi="Times New Roman" w:cs="Times New Roman"/>
          <w:lang w:val="en-US"/>
        </w:rPr>
        <w:fldChar w:fldCharType="separate"/>
      </w:r>
      <w:r w:rsidR="00CF4CDE" w:rsidRPr="00B22C17">
        <w:rPr>
          <w:rFonts w:ascii="Times New Roman" w:hAnsi="Times New Roman" w:cs="Times New Roman"/>
          <w:noProof/>
          <w:lang w:val="en-US"/>
        </w:rPr>
        <w:t>[6]</w:t>
      </w:r>
      <w:r w:rsidR="00CF4CDE" w:rsidRPr="00B22C17">
        <w:rPr>
          <w:rFonts w:ascii="Times New Roman" w:hAnsi="Times New Roman" w:cs="Times New Roman"/>
          <w:lang w:val="en-US"/>
        </w:rPr>
        <w:fldChar w:fldCharType="end"/>
      </w:r>
      <w:r w:rsidR="00E37A94" w:rsidRPr="00B22C17">
        <w:rPr>
          <w:rFonts w:ascii="Times New Roman" w:hAnsi="Times New Roman" w:cs="Times New Roman"/>
          <w:lang w:val="en-US"/>
        </w:rPr>
        <w:t>.</w:t>
      </w:r>
    </w:p>
    <w:p w14:paraId="2ED7C24E" w14:textId="77777777" w:rsidR="000F1BC9" w:rsidRPr="00B22C17" w:rsidRDefault="000F1BC9" w:rsidP="00374687">
      <w:pPr>
        <w:spacing w:line="480" w:lineRule="auto"/>
        <w:jc w:val="both"/>
        <w:rPr>
          <w:rFonts w:ascii="Times New Roman" w:hAnsi="Times New Roman" w:cs="Times New Roman"/>
          <w:lang w:val="en-US"/>
        </w:rPr>
      </w:pPr>
    </w:p>
    <w:p w14:paraId="0768FAD0" w14:textId="25528BA6" w:rsidR="00D92242" w:rsidRPr="00B22C17" w:rsidRDefault="000F1BC9" w:rsidP="00374687">
      <w:pPr>
        <w:spacing w:line="480" w:lineRule="auto"/>
        <w:jc w:val="both"/>
        <w:rPr>
          <w:rFonts w:ascii="Times New Roman" w:hAnsi="Times New Roman" w:cs="Times New Roman"/>
          <w:lang w:val="en-US"/>
        </w:rPr>
      </w:pPr>
      <w:r w:rsidRPr="00B22C17">
        <w:rPr>
          <w:rFonts w:ascii="Times New Roman" w:hAnsi="Times New Roman" w:cs="Times New Roman"/>
          <w:lang w:val="en-US"/>
        </w:rPr>
        <w:t>Several intervention studies hav</w:t>
      </w:r>
      <w:r w:rsidR="009409A4" w:rsidRPr="00B22C17">
        <w:rPr>
          <w:rFonts w:ascii="Times New Roman" w:hAnsi="Times New Roman" w:cs="Times New Roman"/>
          <w:lang w:val="en-US"/>
        </w:rPr>
        <w:t xml:space="preserve">e been developed to prevent </w:t>
      </w:r>
      <w:r w:rsidR="00BA46AB" w:rsidRPr="00B22C17">
        <w:rPr>
          <w:rFonts w:ascii="Times New Roman" w:hAnsi="Times New Roman" w:cs="Times New Roman"/>
          <w:lang w:val="en-US"/>
        </w:rPr>
        <w:t>BNP</w:t>
      </w:r>
      <w:r w:rsidRPr="00B22C17">
        <w:rPr>
          <w:rFonts w:ascii="Times New Roman" w:hAnsi="Times New Roman" w:cs="Times New Roman"/>
          <w:lang w:val="en-US"/>
        </w:rPr>
        <w:t xml:space="preserve"> amongst employees. </w:t>
      </w:r>
      <w:r w:rsidR="009409A4" w:rsidRPr="00B22C17">
        <w:rPr>
          <w:rFonts w:ascii="Times New Roman" w:hAnsi="Times New Roman" w:cs="Times New Roman"/>
          <w:lang w:val="en-US"/>
        </w:rPr>
        <w:t xml:space="preserve">In a recent systematic review </w:t>
      </w:r>
      <w:r w:rsidR="001D607E" w:rsidRPr="00B22C17">
        <w:rPr>
          <w:rFonts w:ascii="Times New Roman" w:hAnsi="Times New Roman" w:cs="Times New Roman"/>
          <w:lang w:val="en-US"/>
        </w:rPr>
        <w:t>and</w:t>
      </w:r>
      <w:r w:rsidR="009409A4" w:rsidRPr="00B22C17">
        <w:rPr>
          <w:rFonts w:ascii="Times New Roman" w:hAnsi="Times New Roman" w:cs="Times New Roman"/>
          <w:lang w:val="en-US"/>
        </w:rPr>
        <w:t xml:space="preserve"> meta-analys</w:t>
      </w:r>
      <w:r w:rsidR="001D607E" w:rsidRPr="00B22C17">
        <w:rPr>
          <w:rFonts w:ascii="Times New Roman" w:hAnsi="Times New Roman" w:cs="Times New Roman"/>
          <w:lang w:val="en-US"/>
        </w:rPr>
        <w:t>i</w:t>
      </w:r>
      <w:r w:rsidR="009409A4" w:rsidRPr="00B22C17">
        <w:rPr>
          <w:rFonts w:ascii="Times New Roman" w:hAnsi="Times New Roman" w:cs="Times New Roman"/>
          <w:lang w:val="en-US"/>
        </w:rPr>
        <w:t xml:space="preserve">s of interventions to prevent </w:t>
      </w:r>
      <w:r w:rsidR="00AE15FD" w:rsidRPr="00B22C17">
        <w:rPr>
          <w:rFonts w:ascii="Times New Roman" w:hAnsi="Times New Roman" w:cs="Times New Roman"/>
          <w:lang w:val="en-US"/>
        </w:rPr>
        <w:t xml:space="preserve">low </w:t>
      </w:r>
      <w:r w:rsidR="009409A4" w:rsidRPr="00B22C17">
        <w:rPr>
          <w:rFonts w:ascii="Times New Roman" w:hAnsi="Times New Roman" w:cs="Times New Roman"/>
          <w:lang w:val="en-US"/>
        </w:rPr>
        <w:t>back pain</w:t>
      </w:r>
      <w:r w:rsidR="00C52023" w:rsidRPr="00B22C17">
        <w:rPr>
          <w:rFonts w:ascii="Times New Roman" w:hAnsi="Times New Roman" w:cs="Times New Roman"/>
          <w:lang w:val="en-US"/>
        </w:rPr>
        <w:t>,</w:t>
      </w:r>
      <w:r w:rsidR="009409A4" w:rsidRPr="00B22C17">
        <w:rPr>
          <w:rFonts w:ascii="Times New Roman" w:hAnsi="Times New Roman" w:cs="Times New Roman"/>
          <w:lang w:val="en-US"/>
        </w:rPr>
        <w:t xml:space="preserve"> including </w:t>
      </w:r>
      <w:r w:rsidR="00AE15FD" w:rsidRPr="00B22C17">
        <w:rPr>
          <w:rFonts w:ascii="Times New Roman" w:hAnsi="Times New Roman" w:cs="Times New Roman"/>
          <w:lang w:val="en-US"/>
        </w:rPr>
        <w:t xml:space="preserve">23 published reports </w:t>
      </w:r>
      <w:r w:rsidR="00A27C6A" w:rsidRPr="00B22C17">
        <w:rPr>
          <w:rFonts w:ascii="Times New Roman" w:hAnsi="Times New Roman" w:cs="Times New Roman"/>
          <w:lang w:val="en-US"/>
        </w:rPr>
        <w:t>and</w:t>
      </w:r>
      <w:r w:rsidR="00E4629A" w:rsidRPr="00B22C17">
        <w:rPr>
          <w:rFonts w:ascii="Times New Roman" w:hAnsi="Times New Roman" w:cs="Times New Roman"/>
          <w:lang w:val="en-US"/>
        </w:rPr>
        <w:t xml:space="preserve"> a total of</w:t>
      </w:r>
      <w:r w:rsidR="00AE15FD" w:rsidRPr="00B22C17">
        <w:rPr>
          <w:rFonts w:ascii="Times New Roman" w:hAnsi="Times New Roman" w:cs="Times New Roman"/>
          <w:lang w:val="en-US"/>
        </w:rPr>
        <w:t xml:space="preserve"> 30</w:t>
      </w:r>
      <w:r w:rsidR="00E4629A" w:rsidRPr="00B22C17">
        <w:rPr>
          <w:rFonts w:ascii="Times New Roman" w:hAnsi="Times New Roman" w:cs="Times New Roman"/>
          <w:lang w:val="en-US"/>
        </w:rPr>
        <w:t>,</w:t>
      </w:r>
      <w:r w:rsidR="00AE15FD" w:rsidRPr="00B22C17">
        <w:rPr>
          <w:rFonts w:ascii="Times New Roman" w:hAnsi="Times New Roman" w:cs="Times New Roman"/>
          <w:lang w:val="en-US"/>
        </w:rPr>
        <w:t>850 unique participants</w:t>
      </w:r>
      <w:r w:rsidR="00B66DAA" w:rsidRPr="00B22C17">
        <w:rPr>
          <w:rFonts w:ascii="Times New Roman" w:hAnsi="Times New Roman" w:cs="Times New Roman"/>
          <w:lang w:val="en-US"/>
        </w:rPr>
        <w:t>,</w:t>
      </w:r>
      <w:r w:rsidR="00AE15FD" w:rsidRPr="00B22C17">
        <w:rPr>
          <w:rFonts w:ascii="Times New Roman" w:hAnsi="Times New Roman" w:cs="Times New Roman"/>
          <w:lang w:val="en-US"/>
        </w:rPr>
        <w:t xml:space="preserve"> it was found that</w:t>
      </w:r>
      <w:r w:rsidR="00586AE4" w:rsidRPr="00B22C17">
        <w:rPr>
          <w:rFonts w:ascii="Times New Roman" w:hAnsi="Times New Roman" w:cs="Times New Roman"/>
          <w:lang w:val="en-US"/>
        </w:rPr>
        <w:t xml:space="preserve"> exercise alone and exercise combined with education effectively prevent the occurrence of low back pain</w:t>
      </w:r>
      <w:r w:rsidR="00E37A94" w:rsidRPr="00B22C17">
        <w:rPr>
          <w:rFonts w:ascii="Times New Roman" w:hAnsi="Times New Roman" w:cs="Times New Roman"/>
          <w:lang w:val="en-US"/>
        </w:rPr>
        <w:t xml:space="preserve"> </w:t>
      </w:r>
      <w:r w:rsidR="00840B49" w:rsidRPr="00B22C17">
        <w:rPr>
          <w:rFonts w:ascii="Times New Roman" w:hAnsi="Times New Roman" w:cs="Times New Roman"/>
          <w:lang w:val="en-US"/>
        </w:rPr>
        <w:fldChar w:fldCharType="begin"/>
      </w:r>
      <w:r w:rsidR="00840B49" w:rsidRPr="00B22C17">
        <w:rPr>
          <w:rFonts w:ascii="Times New Roman" w:hAnsi="Times New Roman" w:cs="Times New Roman"/>
          <w:lang w:val="en-US"/>
        </w:rPr>
        <w:instrText xml:space="preserve"> ADDIN ZOTERO_ITEM CSL_CITATION {"citationID":"l2XMfns4","properties":{"formattedCitation":"[7]","plainCitation":"[7]","noteIndex":0},"citationItems":[{"id":20250,"uris":["http://zotero.org/users/local/hhPVnw6l/items/9JMFFGPR"],"uri":["http://zotero.org/users/local/hhPVnw6l/items/9JMFFGPR"],"itemData":{"id":20250,"type":"article-journal","abstract":"Existing guidelines and systematic reviews lack clear recommendations for prevention of low back pain (LBP).To investigate the effectiveness of interventions for prevention of LBP.MEDLINE, EMBASE, Physiotherapy Evidence Database Scale, and Cochrane Central Register of Controlled Trials from inception to November 22, 2014.Randomized clinical trials of prevention strategies for nonspecific LBP.Two independent reviewers extracted data and assessed the risk of bias. The Physiotherapy Evidence Database Scale was used to evaluate the risk-of-bias. The Grading of Recommendations Assessment, Development, and Evaluation system was used to describe the quality of evidence.The primary outcome measure was an episode of LBP, and the secondary outcome measure was an episode of sick leave associated with LBP. We calculated relative risks (RRs) and 95% CIs using random-effects models.The literature search identified 6133 potentially eligible studies; of these, 23 published reports (on 21 different randomized clinical trials including 30 850 unique participants) met the inclusion criteria. With results presented as RRs (95% CIs), there was moderate-quality evidence that exercise combined with education reduces the risk of an episode of LBP (0.55 [0.41-0.74]) and low-quality evidence of no effect on sick leave (0.74 [0.44-1.26]). Low- to very low–quality evidence suggested that exercise alone may reduce the risk of both an LBP episode (0.65 [0.50-0.86]) and use of sick leave (0.22 [0.06-0.76]). For education alone, there was moderate- to very low–quality evidence of no effect on LBP (1.03 [0.83-1.27]) or sick leave (0.87 [0.47-1.60]). There was low- to very low–quality evidence that back belts do not reduce the risk of LBP episodes (1.01 [0.71-1.44]) or sick leave (0.87 [0.47-1.60]). There was low-quality evidence of no protective effect of shoe insoles on LBP (1.01 [0.74-1.40]).The current evidence suggests that exercise alone or in combination with education is effective for preventing LBP. Other interventions, including education alone, back belts, and shoe insoles, do not appear to prevent LBP. Whether education, training, or ergonomic adjustments prevent sick leave is uncertain because the quality of evidence is low.","container-title":"JAMA Internal Medicine","DOI":"10.1001/jamainternmed.2015.7431","ISSN":"2168-6106","issue":"2","journalAbbreviation":"JAMA Internal Medicine","page":"199-208","source":"Silverchair","title":"Prevention of Low Back Pain: A Systematic Review and Meta-analysis","title-short":"Prevention of Low Back Pain","volume":"176","author":[{"family":"Steffens","given":"Daniel"},{"family":"Maher","given":"Chris G."},{"family":"Pereira","given":"Leani S. M."},{"family":"Stevens","given":"Matthew L"},{"family":"Oliveira","given":"Vinicius C."},{"family":"Chapple","given":"Meredith"},{"family":"Teixeira-Salmela","given":"Luci F."},{"family":"Hancock","given":"Mark J."}],"issued":{"date-parts":[["2016",2,1]]}}}],"schema":"https://github.com/citation-style-language/schema/raw/master/csl-citation.json"} </w:instrText>
      </w:r>
      <w:r w:rsidR="00840B49" w:rsidRPr="00B22C17">
        <w:rPr>
          <w:rFonts w:ascii="Times New Roman" w:hAnsi="Times New Roman" w:cs="Times New Roman"/>
          <w:lang w:val="en-US"/>
        </w:rPr>
        <w:fldChar w:fldCharType="separate"/>
      </w:r>
      <w:r w:rsidR="00840B49" w:rsidRPr="00B22C17">
        <w:rPr>
          <w:rFonts w:ascii="Times New Roman" w:hAnsi="Times New Roman" w:cs="Times New Roman"/>
          <w:noProof/>
          <w:lang w:val="en-US"/>
        </w:rPr>
        <w:t>[7]</w:t>
      </w:r>
      <w:r w:rsidR="00840B49" w:rsidRPr="00B22C17">
        <w:rPr>
          <w:rFonts w:ascii="Times New Roman" w:hAnsi="Times New Roman" w:cs="Times New Roman"/>
          <w:lang w:val="en-US"/>
        </w:rPr>
        <w:fldChar w:fldCharType="end"/>
      </w:r>
      <w:r w:rsidR="00586AE4" w:rsidRPr="00B22C17">
        <w:rPr>
          <w:rFonts w:ascii="Times New Roman" w:hAnsi="Times New Roman" w:cs="Times New Roman"/>
          <w:lang w:val="en-US"/>
        </w:rPr>
        <w:t>.</w:t>
      </w:r>
      <w:r w:rsidR="00E37A94" w:rsidRPr="00B22C17">
        <w:rPr>
          <w:rFonts w:ascii="Times New Roman" w:hAnsi="Times New Roman" w:cs="Times New Roman"/>
          <w:vertAlign w:val="superscript"/>
          <w:lang w:val="en-US"/>
        </w:rPr>
        <w:t xml:space="preserve"> </w:t>
      </w:r>
      <w:r w:rsidR="00AE15FD" w:rsidRPr="00B22C17">
        <w:rPr>
          <w:rFonts w:ascii="Times New Roman" w:hAnsi="Times New Roman" w:cs="Times New Roman"/>
          <w:lang w:val="en-US"/>
        </w:rPr>
        <w:t>Other reviews have found similar findings</w:t>
      </w:r>
      <w:r w:rsidR="00E37A94" w:rsidRPr="00B22C17">
        <w:rPr>
          <w:rFonts w:ascii="Times New Roman" w:hAnsi="Times New Roman" w:cs="Times New Roman"/>
          <w:lang w:val="en-US"/>
        </w:rPr>
        <w:t xml:space="preserve"> </w:t>
      </w:r>
      <w:r w:rsidR="001D6F20" w:rsidRPr="00B22C17">
        <w:rPr>
          <w:rFonts w:ascii="Times New Roman" w:hAnsi="Times New Roman" w:cs="Times New Roman"/>
          <w:lang w:val="en-US"/>
        </w:rPr>
        <w:fldChar w:fldCharType="begin"/>
      </w:r>
      <w:r w:rsidR="001D6F20" w:rsidRPr="00B22C17">
        <w:rPr>
          <w:rFonts w:ascii="Times New Roman" w:hAnsi="Times New Roman" w:cs="Times New Roman"/>
          <w:lang w:val="en-US"/>
        </w:rPr>
        <w:instrText xml:space="preserve"> ADDIN ZOTERO_ITEM CSL_CITATION {"citationID":"vpX8qHYE","properties":{"formattedCitation":"[8,9]","plainCitation":"[8,9]","noteIndex":0},"citationItems":[{"id":20253,"uris":["http://zotero.org/users/local/hhPVnw6l/items/32P8QPH6"],"uri":["http://zotero.org/users/local/hhPVnw6l/items/32P8QPH6"],"itemData":{"id":20253,"type":"article-journal","abstract":"The aim of this systematic review and meta-analysis was to assess the effect of exercise in population-based interventions to prevent low back pain (LBP) and associated disability. Comprehensive literature searches were conducted in multiple databases, including PubMed, Embase, and the Cochrane Library, from their inception through June 2017. Thirteen randomized controlled trials (RCTs) and 3 nonrandomized controlled trials (NRCTs) qualified for the meta-analysis. Exercise alone reduced the risk of LBP by 33% (risk ratio = 0.67, 95% confidence interval: 0.53, 0.85; I2 = 23%, 8 RCTs, n = 1,634), and exercise combined with education reduced it by 27% (risk ratio = 0.73, 95% confidence interval: 0.59, 0.91; I2 = 6%, 6 trials, n = 1,381). The severity of LBP and disability from LBP were also lower in exercise groups than in control groups. Moreover, results were not changed by excluding the NRCTs or adjusting for publication bias. Few trials assessed health-care consultation or sick leave for LBP, and meta-analyses did not show statistically significant protective effects of exercise on those outcomes. Exercise reduces the risk of LBP and associated disability, and a combination of strengthening with either stretching or aerobic exercises performed 2–3 times per week can reasonably be recommended for prevention of LBP in the general population.","container-title":"American Journal of Epidemiology","DOI":"10.1093/aje/kwx337","ISSN":"0002-9262","issue":"5","journalAbbreviation":"American Journal of Epidemiology","page":"1093-1101","source":"Silverchair","title":"Exercise for the Prevention of Low Back Pain: Systematic Review and Meta-Analysis of Controlled Trials","title-short":"Exercise for the Prevention of Low Back Pain","volume":"187","author":[{"family":"Shiri","given":"Rahman"},{"family":"Coggon","given":"David"},{"family":"Falah-Hassani","given":"Kobra"}],"issued":{"date-parts":[["2018",5,1]]}}},{"id":20256,"uris":["http://zotero.org/users/local/hhPVnw6l/items/486DR999"],"uri":["http://zotero.org/users/local/hhPVnw6l/items/486DR999"],"itemData":{"id":20256,"type":"article-journal","abstract":"Purpose This systematic review investigates the effectiveness of workplace interventions to rehabilitate musculoskeletal disorders (MSDs) among employees with physically demanding work. Methods A systematic search was conducted in bibliographic databases including PubMed and Web of Science Core Collection for English articles published from 1998 to 2018. The PICO strategy guided the assessment of study relevance and the bibliographical search for randomized controlled trials (RCTs) and non-RCTs in which (1) participants were adult workers with physically demanding work and MSD (including specific and non-specific MSD and musculoskeletal pain, symptoms, and discomfort), (2) interventions were initiated and/or carried out at the workplace, (3) a comparison group was included, and (4) a measure of MSD was reported (including musculoskeletal pain, symptoms, prevalence or discomfort). The quality assessment and evidence synthesis adhered to the guidelines developed by the Institute for Work &amp; Health (Toronto, Canada) focusing on developing practical recommendations for stakeholders. Relevant stakeholders were engaged in the review process. Results Level of evidence from 54 high and medium quality studies showed moderate evidence of a positive effect of physical exercise. Within this domain, there was strong evidence of a positive effect of workplace strength training. There was limited evidence for ergonomics and strong evidence for no benefit of participatory ergonomics, multifaceted interventions, and stress management. No intervention domains were associated with “negative effects”. Conclusions The evidence synthesis recommends that implementing strength training at the workplace can reduce MSD among workers with physically demanding work. In regard to workplace ergonomics, there was not enough evidence from the scientific literature to guide current practices. Based on the scientific literature, participatory ergonomics and multifaceted workplace interventions seem to have no beneficial effect on reducing MSD among this group of workers. As these interventional domains were very heterogeneous, it should also be recognized that general conclusions about their effectiveness should be done with care.","container-title":"Journal of Occupational Rehabilitation","DOI":"10.1007/s10926-020-09879-x","ISSN":"1573-3688","issue":"4","journalAbbreviation":"J Occup Rehabil","language":"en","page":"588-612","source":"Springer Link","title":"A Systematic Review of Workplace Interventions to Rehabilitate Musculoskeletal Disorders Among Employees with Physical Demanding Work","volume":"30","author":[{"family":"Sundstrup","given":"Emil"},{"family":"Seeberg","given":"Karina Glies Vincents"},{"family":"Bengtsen","given":"Elizabeth"},{"family":"Andersen","given":"Lars Louis"}],"issued":{"date-parts":[["2020",12,1]]}}}],"schema":"https://github.com/citation-style-language/schema/raw/master/csl-citation.json"} </w:instrText>
      </w:r>
      <w:r w:rsidR="001D6F20" w:rsidRPr="00B22C17">
        <w:rPr>
          <w:rFonts w:ascii="Times New Roman" w:hAnsi="Times New Roman" w:cs="Times New Roman"/>
          <w:lang w:val="en-US"/>
        </w:rPr>
        <w:fldChar w:fldCharType="separate"/>
      </w:r>
      <w:r w:rsidR="001D6F20" w:rsidRPr="00B22C17">
        <w:rPr>
          <w:rFonts w:ascii="Times New Roman" w:hAnsi="Times New Roman" w:cs="Times New Roman"/>
          <w:noProof/>
          <w:lang w:val="en-US"/>
        </w:rPr>
        <w:t>[8,9]</w:t>
      </w:r>
      <w:r w:rsidR="001D6F20" w:rsidRPr="00B22C17">
        <w:rPr>
          <w:rFonts w:ascii="Times New Roman" w:hAnsi="Times New Roman" w:cs="Times New Roman"/>
          <w:lang w:val="en-US"/>
        </w:rPr>
        <w:fldChar w:fldCharType="end"/>
      </w:r>
      <w:r w:rsidR="0046588C" w:rsidRPr="00B22C17">
        <w:rPr>
          <w:rFonts w:ascii="Times New Roman" w:hAnsi="Times New Roman" w:cs="Times New Roman"/>
          <w:lang w:val="en-US"/>
        </w:rPr>
        <w:t>.</w:t>
      </w:r>
      <w:r w:rsidR="00E37A94" w:rsidRPr="00B22C17">
        <w:rPr>
          <w:rFonts w:ascii="Times New Roman" w:hAnsi="Times New Roman" w:cs="Times New Roman"/>
          <w:vertAlign w:val="superscript"/>
          <w:lang w:val="en-US"/>
        </w:rPr>
        <w:t xml:space="preserve"> </w:t>
      </w:r>
      <w:r w:rsidR="00026EBC" w:rsidRPr="00B22C17">
        <w:rPr>
          <w:rFonts w:ascii="Times New Roman" w:hAnsi="Times New Roman" w:cs="Times New Roman"/>
          <w:lang w:val="en-US"/>
        </w:rPr>
        <w:t xml:space="preserve">In terms of nonspecific neck pain, strong evidence </w:t>
      </w:r>
      <w:r w:rsidR="009F619F" w:rsidRPr="00B22C17">
        <w:rPr>
          <w:rFonts w:ascii="Times New Roman" w:hAnsi="Times New Roman" w:cs="Times New Roman"/>
          <w:lang w:val="en-US"/>
        </w:rPr>
        <w:t>indicates</w:t>
      </w:r>
      <w:r w:rsidR="00026EBC" w:rsidRPr="00B22C17">
        <w:rPr>
          <w:rFonts w:ascii="Times New Roman" w:hAnsi="Times New Roman" w:cs="Times New Roman"/>
          <w:lang w:val="en-US"/>
        </w:rPr>
        <w:t xml:space="preserve"> that muscle strengthening and endurance are effective pain treatments, while moderate evidence suggests that muscle endurance may reduce pain-related disability</w:t>
      </w:r>
      <w:r w:rsidR="00C5643D" w:rsidRPr="00B22C17">
        <w:rPr>
          <w:rFonts w:ascii="Times New Roman" w:hAnsi="Times New Roman" w:cs="Times New Roman"/>
          <w:lang w:val="en-US"/>
        </w:rPr>
        <w:t xml:space="preserve"> </w:t>
      </w:r>
      <w:r w:rsidR="00C5643D" w:rsidRPr="00B22C17">
        <w:rPr>
          <w:rFonts w:ascii="Times New Roman" w:hAnsi="Times New Roman" w:cs="Times New Roman"/>
          <w:lang w:val="en-US"/>
        </w:rPr>
        <w:fldChar w:fldCharType="begin"/>
      </w:r>
      <w:r w:rsidR="00C5643D" w:rsidRPr="00B22C17">
        <w:rPr>
          <w:rFonts w:ascii="Times New Roman" w:hAnsi="Times New Roman" w:cs="Times New Roman"/>
          <w:lang w:val="en-US"/>
        </w:rPr>
        <w:instrText xml:space="preserve"> ADDIN ZOTERO_ITEM CSL_CITATION {"citationID":"Rzbq1uIY","properties":{"formattedCitation":"[10]","plainCitation":"[10]","noteIndex":0},"citationItems":[{"id":20387,"uris":["http://zotero.org/users/local/hhPVnw6l/items/AZVMDRYP"],"uri":["http://zotero.org/users/local/hhPVnw6l/items/AZVMDRYP"],"itemData":{"id":20387,"type":"article-journal","abstract":"OBJECTIVE: The purpose of this study was to evaluate the effectiveness of various types of exercise for prevention and cure of nonspecific neck pain in office workers.\nMETHODS: Publications between 1980 and April 2010 were systematically searched in various databases (PubMed, CINAHL Plus with full text, The Cochrane Library, Science Direct, PEDro, ProQuest, PsycNet, and Scopus). The following key words were used: neck pain, cervical pain, exercise, strengthening, stretching, endurance, office workers, visual display unit, visual display terminal, and computer users. A hand search of relevant journals was also carried out. Relevant randomized controlled trials were retrieved and assessed for methodological quality by 2 independent reviewers. The strength of the evidence was based on methodological quality and consistency of the results.\nRESULTS: Nine randomized controlled trials were included in this review, of which 6 were rated as high-quality studies. No exercise type was identified as being effective in the prevention of nonspecific neck pain in office workers. Strong evidence was found for the effectiveness of muscle strengthening and endurance exercises in treating neck pain. Moderate evidence supported the use of muscle endurance exercise in reducing disability attributed to neck pain.\nCONCLUSION: Literature investigating the efficacy of exercise in office workers with nonspecific neck pain was heterogeneous. Within the limitations, for treatment of neck pain, either muscle strengthening or endurance exercise is recommended, whereas for reduction of pain-related disability, muscle endurance exercise is suggested. Further research is needed before any firm conclusions regarding the most effective exercise programs for office workers can be reached.","container-title":"Journal of Manipulative and Physiological Therapeutics","DOI":"10.1016/j.jmpt.2010.11.005","ISSN":"1532-6586","issue":"1","journalAbbreviation":"J Manipulative Physiol Ther","language":"eng","note":"PMID: 21237409","page":"62-71","source":"PubMed","title":"Exercise therapy for office workers with nonspecific neck pain: a systematic review","title-short":"Exercise therapy for office workers with nonspecific neck pain","volume":"34","author":[{"family":"Sihawong","given":"Rattaporn"},{"family":"Janwantanakul","given":"Prawit"},{"family":"Sitthipornvorakul","given":"Ekalak"},{"family":"Pensri","given":"Praneet"}],"issued":{"date-parts":[["2011",1]]}}}],"schema":"https://github.com/citation-style-language/schema/raw/master/csl-citation.json"} </w:instrText>
      </w:r>
      <w:r w:rsidR="00C5643D" w:rsidRPr="00B22C17">
        <w:rPr>
          <w:rFonts w:ascii="Times New Roman" w:hAnsi="Times New Roman" w:cs="Times New Roman"/>
          <w:lang w:val="en-US"/>
        </w:rPr>
        <w:fldChar w:fldCharType="separate"/>
      </w:r>
      <w:r w:rsidR="00C5643D" w:rsidRPr="00B22C17">
        <w:rPr>
          <w:rFonts w:ascii="Times New Roman" w:hAnsi="Times New Roman" w:cs="Times New Roman"/>
          <w:noProof/>
          <w:lang w:val="en-US"/>
        </w:rPr>
        <w:t>[10]</w:t>
      </w:r>
      <w:r w:rsidR="00C5643D" w:rsidRPr="00B22C17">
        <w:rPr>
          <w:rFonts w:ascii="Times New Roman" w:hAnsi="Times New Roman" w:cs="Times New Roman"/>
          <w:lang w:val="en-US"/>
        </w:rPr>
        <w:fldChar w:fldCharType="end"/>
      </w:r>
      <w:r w:rsidR="00026EBC" w:rsidRPr="00B22C17">
        <w:rPr>
          <w:rFonts w:ascii="Times New Roman" w:hAnsi="Times New Roman" w:cs="Times New Roman"/>
          <w:lang w:val="en-US"/>
        </w:rPr>
        <w:t>.</w:t>
      </w:r>
      <w:r w:rsidR="00E37A94" w:rsidRPr="00B22C17">
        <w:rPr>
          <w:rFonts w:ascii="Times New Roman" w:hAnsi="Times New Roman" w:cs="Times New Roman"/>
          <w:vertAlign w:val="superscript"/>
          <w:lang w:val="en-US"/>
        </w:rPr>
        <w:t xml:space="preserve"> </w:t>
      </w:r>
      <w:r w:rsidR="0046588C" w:rsidRPr="00B22C17">
        <w:rPr>
          <w:rFonts w:ascii="Times New Roman" w:hAnsi="Times New Roman" w:cs="Times New Roman"/>
          <w:lang w:val="en-US"/>
        </w:rPr>
        <w:t>Although</w:t>
      </w:r>
      <w:r w:rsidR="00AE15FD" w:rsidRPr="00B22C17">
        <w:rPr>
          <w:rFonts w:ascii="Times New Roman" w:hAnsi="Times New Roman" w:cs="Times New Roman"/>
          <w:lang w:val="en-US"/>
        </w:rPr>
        <w:t xml:space="preserve"> there is a large body of literature to demonstrate which interventions </w:t>
      </w:r>
      <w:r w:rsidR="00827F54" w:rsidRPr="00B22C17">
        <w:rPr>
          <w:rFonts w:ascii="Times New Roman" w:hAnsi="Times New Roman" w:cs="Times New Roman"/>
          <w:lang w:val="en-US"/>
        </w:rPr>
        <w:t xml:space="preserve">may reduce </w:t>
      </w:r>
      <w:r w:rsidR="009F619F" w:rsidRPr="00B22C17">
        <w:rPr>
          <w:rFonts w:ascii="Times New Roman" w:hAnsi="Times New Roman" w:cs="Times New Roman"/>
          <w:lang w:val="en-US"/>
        </w:rPr>
        <w:t>BNP</w:t>
      </w:r>
      <w:r w:rsidR="00827F54" w:rsidRPr="00B22C17">
        <w:rPr>
          <w:rFonts w:ascii="Times New Roman" w:hAnsi="Times New Roman" w:cs="Times New Roman"/>
          <w:lang w:val="en-US"/>
        </w:rPr>
        <w:t xml:space="preserve"> among employees (i.e.</w:t>
      </w:r>
      <w:r w:rsidR="0046588C" w:rsidRPr="00B22C17">
        <w:rPr>
          <w:rFonts w:ascii="Times New Roman" w:hAnsi="Times New Roman" w:cs="Times New Roman"/>
          <w:lang w:val="en-US"/>
        </w:rPr>
        <w:t>,</w:t>
      </w:r>
      <w:r w:rsidR="00827F54" w:rsidRPr="00B22C17">
        <w:rPr>
          <w:rFonts w:ascii="Times New Roman" w:hAnsi="Times New Roman" w:cs="Times New Roman"/>
          <w:lang w:val="en-US"/>
        </w:rPr>
        <w:t xml:space="preserve"> exercise with an emphasis on strength training)</w:t>
      </w:r>
      <w:r w:rsidR="00A61924" w:rsidRPr="00B22C17">
        <w:rPr>
          <w:rFonts w:ascii="Times New Roman" w:hAnsi="Times New Roman" w:cs="Times New Roman"/>
          <w:lang w:val="en-US"/>
        </w:rPr>
        <w:t>,</w:t>
      </w:r>
      <w:r w:rsidR="00827F54" w:rsidRPr="00B22C17">
        <w:rPr>
          <w:rFonts w:ascii="Times New Roman" w:hAnsi="Times New Roman" w:cs="Times New Roman"/>
          <w:lang w:val="en-US"/>
        </w:rPr>
        <w:t xml:space="preserve"> there is still a high prevalence of </w:t>
      </w:r>
      <w:r w:rsidR="00D66E1F" w:rsidRPr="00B22C17">
        <w:rPr>
          <w:rFonts w:ascii="Times New Roman" w:hAnsi="Times New Roman" w:cs="Times New Roman"/>
          <w:lang w:val="en-US"/>
        </w:rPr>
        <w:t>BNP</w:t>
      </w:r>
      <w:r w:rsidR="00C50DD0" w:rsidRPr="00B22C17">
        <w:rPr>
          <w:rFonts w:ascii="Times New Roman" w:hAnsi="Times New Roman" w:cs="Times New Roman"/>
          <w:lang w:val="en-US"/>
        </w:rPr>
        <w:t xml:space="preserve"> in the working population</w:t>
      </w:r>
      <w:r w:rsidR="00E37A94" w:rsidRPr="00B22C17">
        <w:rPr>
          <w:rFonts w:ascii="Times New Roman" w:hAnsi="Times New Roman" w:cs="Times New Roman"/>
          <w:lang w:val="en-US"/>
        </w:rPr>
        <w:t xml:space="preserve"> </w:t>
      </w:r>
      <w:r w:rsidR="00333DD9" w:rsidRPr="00B22C17">
        <w:rPr>
          <w:rFonts w:ascii="Times New Roman" w:hAnsi="Times New Roman" w:cs="Times New Roman"/>
          <w:lang w:val="en-US"/>
        </w:rPr>
        <w:fldChar w:fldCharType="begin"/>
      </w:r>
      <w:r w:rsidR="00333DD9" w:rsidRPr="00B22C17">
        <w:rPr>
          <w:rFonts w:ascii="Times New Roman" w:hAnsi="Times New Roman" w:cs="Times New Roman"/>
          <w:lang w:val="en-US"/>
        </w:rPr>
        <w:instrText xml:space="preserve"> ADDIN ZOTERO_ITEM CSL_CITATION {"citationID":"kENrWF9S","properties":{"formattedCitation":"[3]","plainCitation":"[3]","noteIndex":0},"citationItems":[{"id":21582,"uris":["http://zotero.org/users/local/hhPVnw6l/items/YYEAYLDG"],"uri":["http://zotero.org/users/local/hhPVnw6l/items/YYEAYLDG"],"itemData":{"id":21582,"type":"report","language":"English","page":"8","publisher":"The Work Foundation","title":"The Impact of Back Pain on Sickness Absence in Europe","URL":"https://www.bl.uk/collection-items/impact-of-back-pain-on-sickness-absence-in-europe","author":[{"family":"Bevan","given":"Stephen"}],"accessed":{"date-parts":[["2021",8,10]]},"issued":{"date-parts":[["2012"]]}}}],"schema":"https://github.com/citation-style-language/schema/raw/master/csl-citation.json"} </w:instrText>
      </w:r>
      <w:r w:rsidR="00333DD9" w:rsidRPr="00B22C17">
        <w:rPr>
          <w:rFonts w:ascii="Times New Roman" w:hAnsi="Times New Roman" w:cs="Times New Roman"/>
          <w:lang w:val="en-US"/>
        </w:rPr>
        <w:fldChar w:fldCharType="separate"/>
      </w:r>
      <w:r w:rsidR="00333DD9" w:rsidRPr="00B22C17">
        <w:rPr>
          <w:rFonts w:ascii="Times New Roman" w:hAnsi="Times New Roman" w:cs="Times New Roman"/>
          <w:noProof/>
          <w:lang w:val="en-US"/>
        </w:rPr>
        <w:t>[3]</w:t>
      </w:r>
      <w:r w:rsidR="00333DD9" w:rsidRPr="00B22C17">
        <w:rPr>
          <w:rFonts w:ascii="Times New Roman" w:hAnsi="Times New Roman" w:cs="Times New Roman"/>
          <w:lang w:val="en-US"/>
        </w:rPr>
        <w:fldChar w:fldCharType="end"/>
      </w:r>
      <w:r w:rsidR="00A908E5" w:rsidRPr="00B22C17">
        <w:rPr>
          <w:rFonts w:ascii="Times New Roman" w:hAnsi="Times New Roman" w:cs="Times New Roman"/>
          <w:lang w:val="en-US"/>
        </w:rPr>
        <w:t>.</w:t>
      </w:r>
      <w:r w:rsidR="00E37A94" w:rsidRPr="00B22C17">
        <w:rPr>
          <w:rFonts w:ascii="Times New Roman" w:hAnsi="Times New Roman" w:cs="Times New Roman"/>
          <w:lang w:val="en-US"/>
        </w:rPr>
        <w:t xml:space="preserve"> </w:t>
      </w:r>
      <w:r w:rsidR="00827F54" w:rsidRPr="00B22C17">
        <w:rPr>
          <w:rFonts w:ascii="Times New Roman" w:hAnsi="Times New Roman" w:cs="Times New Roman"/>
          <w:lang w:val="en-US"/>
        </w:rPr>
        <w:t xml:space="preserve">It is </w:t>
      </w:r>
      <w:r w:rsidR="00A55061" w:rsidRPr="00B22C17">
        <w:rPr>
          <w:rFonts w:ascii="Times New Roman" w:hAnsi="Times New Roman" w:cs="Times New Roman"/>
          <w:lang w:val="en-US"/>
        </w:rPr>
        <w:t xml:space="preserve">therefore </w:t>
      </w:r>
      <w:r w:rsidR="00E50D41" w:rsidRPr="00B22C17">
        <w:rPr>
          <w:rFonts w:ascii="Times New Roman" w:hAnsi="Times New Roman" w:cs="Times New Roman"/>
          <w:lang w:val="en-US"/>
        </w:rPr>
        <w:t>a public health priority</w:t>
      </w:r>
      <w:r w:rsidR="00827F54" w:rsidRPr="00B22C17">
        <w:rPr>
          <w:rFonts w:ascii="Times New Roman" w:hAnsi="Times New Roman" w:cs="Times New Roman"/>
          <w:lang w:val="en-US"/>
        </w:rPr>
        <w:t xml:space="preserve"> to </w:t>
      </w:r>
      <w:r w:rsidR="00BE6060" w:rsidRPr="00B22C17">
        <w:rPr>
          <w:rFonts w:ascii="Times New Roman" w:hAnsi="Times New Roman" w:cs="Times New Roman"/>
          <w:lang w:val="en-US"/>
        </w:rPr>
        <w:t>better understand</w:t>
      </w:r>
      <w:r w:rsidR="00827F54" w:rsidRPr="00B22C17">
        <w:rPr>
          <w:rFonts w:ascii="Times New Roman" w:hAnsi="Times New Roman" w:cs="Times New Roman"/>
          <w:lang w:val="en-US"/>
        </w:rPr>
        <w:t xml:space="preserve"> </w:t>
      </w:r>
      <w:r w:rsidR="007152A9" w:rsidRPr="00B22C17">
        <w:rPr>
          <w:rFonts w:ascii="Times New Roman" w:hAnsi="Times New Roman" w:cs="Times New Roman"/>
          <w:lang w:val="en-US"/>
        </w:rPr>
        <w:t xml:space="preserve">influential </w:t>
      </w:r>
      <w:r w:rsidR="00827F54" w:rsidRPr="00B22C17">
        <w:rPr>
          <w:rFonts w:ascii="Times New Roman" w:hAnsi="Times New Roman" w:cs="Times New Roman"/>
          <w:lang w:val="en-US"/>
        </w:rPr>
        <w:t xml:space="preserve">factors that may lead to </w:t>
      </w:r>
      <w:r w:rsidR="00A50E3B" w:rsidRPr="00B22C17">
        <w:rPr>
          <w:rFonts w:ascii="Times New Roman" w:hAnsi="Times New Roman" w:cs="Times New Roman"/>
          <w:lang w:val="en-US"/>
        </w:rPr>
        <w:t xml:space="preserve">workplace </w:t>
      </w:r>
      <w:r w:rsidR="00827F54" w:rsidRPr="00B22C17">
        <w:rPr>
          <w:rFonts w:ascii="Times New Roman" w:hAnsi="Times New Roman" w:cs="Times New Roman"/>
          <w:lang w:val="en-US"/>
        </w:rPr>
        <w:t xml:space="preserve">absenteeism among employees </w:t>
      </w:r>
      <w:r w:rsidR="00827F54" w:rsidRPr="00B22C17">
        <w:rPr>
          <w:rFonts w:ascii="Times New Roman" w:hAnsi="Times New Roman" w:cs="Times New Roman"/>
          <w:lang w:val="en-US"/>
        </w:rPr>
        <w:lastRenderedPageBreak/>
        <w:t>suffer</w:t>
      </w:r>
      <w:r w:rsidR="00E65F61" w:rsidRPr="00B22C17">
        <w:rPr>
          <w:rFonts w:ascii="Times New Roman" w:hAnsi="Times New Roman" w:cs="Times New Roman"/>
          <w:lang w:val="en-US"/>
        </w:rPr>
        <w:t>ing</w:t>
      </w:r>
      <w:r w:rsidR="00827F54" w:rsidRPr="00B22C17">
        <w:rPr>
          <w:rFonts w:ascii="Times New Roman" w:hAnsi="Times New Roman" w:cs="Times New Roman"/>
          <w:lang w:val="en-US"/>
        </w:rPr>
        <w:t xml:space="preserve"> from </w:t>
      </w:r>
      <w:r w:rsidR="00E65F61" w:rsidRPr="00B22C17">
        <w:rPr>
          <w:rFonts w:ascii="Times New Roman" w:hAnsi="Times New Roman" w:cs="Times New Roman"/>
          <w:lang w:val="en-US"/>
        </w:rPr>
        <w:t>pain affecting the back or the neck</w:t>
      </w:r>
      <w:r w:rsidR="00827F54" w:rsidRPr="00B22C17">
        <w:rPr>
          <w:rFonts w:ascii="Times New Roman" w:hAnsi="Times New Roman" w:cs="Times New Roman"/>
          <w:lang w:val="en-US"/>
        </w:rPr>
        <w:t xml:space="preserve">. </w:t>
      </w:r>
      <w:r w:rsidR="00E50D41" w:rsidRPr="00B22C17">
        <w:rPr>
          <w:rFonts w:ascii="Times New Roman" w:hAnsi="Times New Roman" w:cs="Times New Roman"/>
          <w:lang w:val="en-US"/>
        </w:rPr>
        <w:t>I</w:t>
      </w:r>
      <w:r w:rsidR="00D92242" w:rsidRPr="00B22C17">
        <w:rPr>
          <w:rFonts w:ascii="Times New Roman" w:hAnsi="Times New Roman" w:cs="Times New Roman"/>
          <w:lang w:val="en-US"/>
        </w:rPr>
        <w:t>dentify</w:t>
      </w:r>
      <w:r w:rsidR="00690D17" w:rsidRPr="00B22C17">
        <w:rPr>
          <w:rFonts w:ascii="Times New Roman" w:hAnsi="Times New Roman" w:cs="Times New Roman"/>
          <w:lang w:val="en-US"/>
        </w:rPr>
        <w:t>ing</w:t>
      </w:r>
      <w:r w:rsidR="00D92242" w:rsidRPr="00B22C17">
        <w:rPr>
          <w:rFonts w:ascii="Times New Roman" w:hAnsi="Times New Roman" w:cs="Times New Roman"/>
          <w:lang w:val="en-US"/>
        </w:rPr>
        <w:t xml:space="preserve"> factors that mediate the association between </w:t>
      </w:r>
      <w:r w:rsidR="0095305D" w:rsidRPr="00B22C17">
        <w:rPr>
          <w:rFonts w:ascii="Times New Roman" w:hAnsi="Times New Roman" w:cs="Times New Roman"/>
          <w:lang w:val="en-US"/>
        </w:rPr>
        <w:t>BNP</w:t>
      </w:r>
      <w:r w:rsidR="00D92242" w:rsidRPr="00B22C17">
        <w:rPr>
          <w:rFonts w:ascii="Times New Roman" w:hAnsi="Times New Roman" w:cs="Times New Roman"/>
          <w:lang w:val="en-US"/>
        </w:rPr>
        <w:t xml:space="preserve"> and </w:t>
      </w:r>
      <w:r w:rsidR="00E50D41" w:rsidRPr="00B22C17">
        <w:rPr>
          <w:rFonts w:ascii="Times New Roman" w:hAnsi="Times New Roman" w:cs="Times New Roman"/>
          <w:lang w:val="en-US"/>
        </w:rPr>
        <w:t xml:space="preserve">workplace </w:t>
      </w:r>
      <w:r w:rsidR="00D92242" w:rsidRPr="00B22C17">
        <w:rPr>
          <w:rFonts w:ascii="Times New Roman" w:hAnsi="Times New Roman" w:cs="Times New Roman"/>
          <w:lang w:val="en-US"/>
        </w:rPr>
        <w:t xml:space="preserve">absenteeism is important for </w:t>
      </w:r>
      <w:r w:rsidR="00A55061" w:rsidRPr="00B22C17">
        <w:rPr>
          <w:rFonts w:ascii="Times New Roman" w:hAnsi="Times New Roman" w:cs="Times New Roman"/>
          <w:lang w:val="en-US"/>
        </w:rPr>
        <w:t xml:space="preserve">designing effective </w:t>
      </w:r>
      <w:r w:rsidR="00D92242" w:rsidRPr="00B22C17">
        <w:rPr>
          <w:rFonts w:ascii="Times New Roman" w:hAnsi="Times New Roman" w:cs="Times New Roman"/>
          <w:lang w:val="en-US"/>
        </w:rPr>
        <w:t>targeted intervention</w:t>
      </w:r>
      <w:r w:rsidR="00A55061" w:rsidRPr="00B22C17">
        <w:rPr>
          <w:rFonts w:ascii="Times New Roman" w:hAnsi="Times New Roman" w:cs="Times New Roman"/>
          <w:lang w:val="en-US"/>
        </w:rPr>
        <w:t>s</w:t>
      </w:r>
      <w:r w:rsidR="00D92242" w:rsidRPr="00B22C17">
        <w:rPr>
          <w:rFonts w:ascii="Times New Roman" w:hAnsi="Times New Roman" w:cs="Times New Roman"/>
          <w:lang w:val="en-US"/>
        </w:rPr>
        <w:t xml:space="preserve"> to prevent ab</w:t>
      </w:r>
      <w:r w:rsidR="00C728ED" w:rsidRPr="00B22C17">
        <w:rPr>
          <w:rFonts w:ascii="Times New Roman" w:hAnsi="Times New Roman" w:cs="Times New Roman"/>
          <w:lang w:val="en-US"/>
        </w:rPr>
        <w:t xml:space="preserve">senteeism in </w:t>
      </w:r>
      <w:r w:rsidR="008647C2" w:rsidRPr="00B22C17">
        <w:rPr>
          <w:rFonts w:ascii="Times New Roman" w:hAnsi="Times New Roman" w:cs="Times New Roman"/>
          <w:lang w:val="en-US"/>
        </w:rPr>
        <w:t>workers with</w:t>
      </w:r>
      <w:r w:rsidR="00D92242" w:rsidRPr="00B22C17">
        <w:rPr>
          <w:rFonts w:ascii="Times New Roman" w:hAnsi="Times New Roman" w:cs="Times New Roman"/>
          <w:lang w:val="en-US"/>
        </w:rPr>
        <w:t xml:space="preserve"> </w:t>
      </w:r>
      <w:r w:rsidR="00BB35B6" w:rsidRPr="00B22C17">
        <w:rPr>
          <w:rFonts w:ascii="Times New Roman" w:hAnsi="Times New Roman" w:cs="Times New Roman"/>
          <w:lang w:val="en-US"/>
        </w:rPr>
        <w:t>BNP</w:t>
      </w:r>
      <w:r w:rsidR="00D92242" w:rsidRPr="00B22C17">
        <w:rPr>
          <w:rFonts w:ascii="Times New Roman" w:hAnsi="Times New Roman" w:cs="Times New Roman"/>
          <w:lang w:val="en-US"/>
        </w:rPr>
        <w:t xml:space="preserve">. </w:t>
      </w:r>
    </w:p>
    <w:p w14:paraId="68A5D28E" w14:textId="3C8B7C82" w:rsidR="001E1757" w:rsidRPr="00B22C17" w:rsidRDefault="001E1757" w:rsidP="00374687">
      <w:pPr>
        <w:spacing w:line="480" w:lineRule="auto"/>
        <w:jc w:val="both"/>
        <w:rPr>
          <w:rFonts w:ascii="Times New Roman" w:hAnsi="Times New Roman" w:cs="Times New Roman"/>
          <w:lang w:val="en-US"/>
        </w:rPr>
      </w:pPr>
    </w:p>
    <w:p w14:paraId="6DA165AA" w14:textId="73AD634C" w:rsidR="00616976" w:rsidRPr="00B22C17" w:rsidRDefault="001E1757" w:rsidP="00374687">
      <w:pPr>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Given this background, the present study aimed to investigate the association between </w:t>
      </w:r>
      <w:r w:rsidR="00AD2FFE" w:rsidRPr="00B22C17">
        <w:rPr>
          <w:rFonts w:ascii="Times New Roman" w:hAnsi="Times New Roman" w:cs="Times New Roman"/>
          <w:lang w:val="en-US"/>
        </w:rPr>
        <w:t>BNP</w:t>
      </w:r>
      <w:r w:rsidRPr="00B22C17">
        <w:rPr>
          <w:rFonts w:ascii="Times New Roman" w:hAnsi="Times New Roman" w:cs="Times New Roman"/>
          <w:lang w:val="en-US"/>
        </w:rPr>
        <w:t xml:space="preserve"> and </w:t>
      </w:r>
      <w:r w:rsidR="003D638B" w:rsidRPr="00B22C17">
        <w:rPr>
          <w:rFonts w:ascii="Times New Roman" w:hAnsi="Times New Roman" w:cs="Times New Roman"/>
          <w:lang w:val="en-US"/>
        </w:rPr>
        <w:t xml:space="preserve">workplace </w:t>
      </w:r>
      <w:r w:rsidRPr="00B22C17">
        <w:rPr>
          <w:rFonts w:ascii="Times New Roman" w:hAnsi="Times New Roman" w:cs="Times New Roman"/>
          <w:lang w:val="en-US"/>
        </w:rPr>
        <w:t>absenteeism</w:t>
      </w:r>
      <w:r w:rsidR="003D638B" w:rsidRPr="00B22C17">
        <w:rPr>
          <w:rFonts w:ascii="Times New Roman" w:hAnsi="Times New Roman" w:cs="Times New Roman"/>
          <w:lang w:val="en-US"/>
        </w:rPr>
        <w:t>,</w:t>
      </w:r>
      <w:r w:rsidRPr="00B22C17">
        <w:rPr>
          <w:rFonts w:ascii="Times New Roman" w:hAnsi="Times New Roman" w:cs="Times New Roman"/>
          <w:lang w:val="en-US"/>
        </w:rPr>
        <w:t xml:space="preserve"> and </w:t>
      </w:r>
      <w:r w:rsidR="003D638B" w:rsidRPr="00B22C17">
        <w:rPr>
          <w:rFonts w:ascii="Times New Roman" w:hAnsi="Times New Roman" w:cs="Times New Roman"/>
          <w:lang w:val="en-US"/>
        </w:rPr>
        <w:t xml:space="preserve">the </w:t>
      </w:r>
      <w:r w:rsidR="00A55061" w:rsidRPr="00B22C17">
        <w:rPr>
          <w:rFonts w:ascii="Times New Roman" w:hAnsi="Times New Roman" w:cs="Times New Roman"/>
          <w:lang w:val="en-US"/>
        </w:rPr>
        <w:t xml:space="preserve">mediating </w:t>
      </w:r>
      <w:r w:rsidR="003D638B" w:rsidRPr="00B22C17">
        <w:rPr>
          <w:rFonts w:ascii="Times New Roman" w:hAnsi="Times New Roman" w:cs="Times New Roman"/>
          <w:lang w:val="en-US"/>
        </w:rPr>
        <w:t xml:space="preserve">role played by several </w:t>
      </w:r>
      <w:r w:rsidRPr="00B22C17">
        <w:rPr>
          <w:rFonts w:ascii="Times New Roman" w:hAnsi="Times New Roman" w:cs="Times New Roman"/>
          <w:lang w:val="en-US"/>
        </w:rPr>
        <w:t xml:space="preserve">potential </w:t>
      </w:r>
      <w:r w:rsidR="003D638B" w:rsidRPr="00B22C17">
        <w:rPr>
          <w:rFonts w:ascii="Times New Roman" w:hAnsi="Times New Roman" w:cs="Times New Roman"/>
          <w:lang w:val="en-US"/>
        </w:rPr>
        <w:t>influential</w:t>
      </w:r>
      <w:r w:rsidRPr="00B22C17">
        <w:rPr>
          <w:rFonts w:ascii="Times New Roman" w:hAnsi="Times New Roman" w:cs="Times New Roman"/>
          <w:lang w:val="en-US"/>
        </w:rPr>
        <w:t xml:space="preserve"> variables </w:t>
      </w:r>
      <w:r w:rsidR="00EF290D" w:rsidRPr="00B22C17">
        <w:rPr>
          <w:rFonts w:ascii="Times New Roman" w:hAnsi="Times New Roman" w:cs="Times New Roman"/>
          <w:lang w:val="en-US"/>
        </w:rPr>
        <w:t xml:space="preserve">in this relationship </w:t>
      </w:r>
      <w:r w:rsidRPr="00B22C17">
        <w:rPr>
          <w:rFonts w:ascii="Times New Roman" w:hAnsi="Times New Roman" w:cs="Times New Roman"/>
          <w:lang w:val="en-US"/>
        </w:rPr>
        <w:t xml:space="preserve">in a large sample of adults residing in the </w:t>
      </w:r>
      <w:r w:rsidR="00F02C86" w:rsidRPr="00B22C17">
        <w:rPr>
          <w:rFonts w:ascii="Times New Roman" w:hAnsi="Times New Roman" w:cs="Times New Roman"/>
          <w:lang w:val="en-US"/>
        </w:rPr>
        <w:t>United States</w:t>
      </w:r>
      <w:r w:rsidRPr="00B22C17">
        <w:rPr>
          <w:rFonts w:ascii="Times New Roman" w:hAnsi="Times New Roman" w:cs="Times New Roman"/>
          <w:lang w:val="en-US"/>
        </w:rPr>
        <w:t>.</w:t>
      </w:r>
      <w:r w:rsidR="00943976" w:rsidRPr="00B22C17">
        <w:rPr>
          <w:rFonts w:ascii="Times New Roman" w:hAnsi="Times New Roman" w:cs="Times New Roman"/>
          <w:lang w:val="en-US"/>
        </w:rPr>
        <w:t xml:space="preserve"> It was hypothesized </w:t>
      </w:r>
      <w:r w:rsidR="00D92242" w:rsidRPr="00B22C17">
        <w:rPr>
          <w:rFonts w:ascii="Times New Roman" w:hAnsi="Times New Roman" w:cs="Times New Roman"/>
          <w:lang w:val="en-US"/>
        </w:rPr>
        <w:t xml:space="preserve">that </w:t>
      </w:r>
      <w:r w:rsidR="007F5FCA" w:rsidRPr="00B22C17">
        <w:rPr>
          <w:rFonts w:ascii="Times New Roman" w:hAnsi="Times New Roman" w:cs="Times New Roman"/>
          <w:lang w:val="en-US"/>
        </w:rPr>
        <w:t>depression</w:t>
      </w:r>
      <w:r w:rsidR="00D059D7" w:rsidRPr="00B22C17">
        <w:rPr>
          <w:rFonts w:ascii="Times New Roman" w:hAnsi="Times New Roman" w:cs="Times New Roman"/>
          <w:lang w:val="en-US"/>
        </w:rPr>
        <w:t xml:space="preserve"> </w:t>
      </w:r>
      <w:r w:rsidR="00D059D7" w:rsidRPr="00B22C17">
        <w:rPr>
          <w:rFonts w:ascii="Times New Roman" w:hAnsi="Times New Roman" w:cs="Times New Roman"/>
          <w:lang w:val="en-US"/>
        </w:rPr>
        <w:fldChar w:fldCharType="begin"/>
      </w:r>
      <w:r w:rsidR="00D059D7" w:rsidRPr="00B22C17">
        <w:rPr>
          <w:rFonts w:ascii="Times New Roman" w:hAnsi="Times New Roman" w:cs="Times New Roman"/>
          <w:lang w:val="en-US"/>
        </w:rPr>
        <w:instrText xml:space="preserve"> ADDIN ZOTERO_ITEM CSL_CITATION {"citationID":"kzikqvHz","properties":{"formattedCitation":"[11,12]","plainCitation":"[11,12]","noteIndex":0},"citationItems":[{"id":20258,"uris":["http://zotero.org/users/local/hhPVnw6l/items/32S9SFYK"],"uri":["http://zotero.org/users/local/hhPVnw6l/items/32S9SFYK"],"itemData":{"id":20258,"type":"article-journal","abstract":"Introduction\nThe association between depression, somatization and low back pain has been minimally investigated in a Canadian emerging adult population.\n\nMethods\n1013 first year Canadian university students completed the Modified Zung Depression Index, the Modified Somatic Perception Questionnaire, and a survey about low back pain frequency and intensity. Multinomial logistic regression was used to measure associations between low back pain and depression and somatization, both independently and co-occurring.\n\nResults\nOver 50% of subjects reported low back pain across grades, and both depression and somatization were significantly positively associated with low back pain. Several positive associations between the cooccurrence of somatization and depression with various grades of low back pain were observed.\n\nDiscussion\nThese results suggest that low back pain, depression and somatization are relatively common at the onset of adulthood, and should be considered an important focus of public health.","container-title":"The Journal of the Canadian Chiropractic Association","ISSN":"0008-3194","issue":"2","journalAbbreviation":"J Can Chiropr Assoc","note":"PMID: 28928493\nPMCID: PMC5596967","page":"96-105","source":"PubMed Central","title":"Associations between low back pain and depression and somatization in a Canadian emerging adult population","volume":"61","author":[{"family":"Robertson","given":"David"},{"family":"Kumbhare","given":"Dinesh"},{"family":"Nolet","given":"Paul"},{"family":"Srbely","given":"John"},{"family":"Newton","given":"Genevieve"}],"issued":{"date-parts":[["2017",8]]}}},{"id":20261,"uris":["http://zotero.org/users/local/hhPVnw6l/items/4WT66YBA"],"uri":["http://zotero.org/users/local/hhPVnw6l/items/4WT66YBA"],"itemData":{"id":20261,"type":"article-journal","abstract":"Background\nMental health problems are common within the working population. Depression is both highly prevalent and debilitating and is linked to increases in absenteeism and presenteeism. The use of summed depression scale scores may conceal differential impacts of depressive symptoms on absenteeism and presenteeism. We aimed to explore both the relationship between absenteeism and presenteeism and both depression severity, along with the independent contributions of different symptoms.\nMethods\nParticipants (N = 4953) were employees recruited as part of a larger study to evaluate a mental health smartphone app and were recruited via industry partner organisations and social media. Participants completed in-app assessment which included demographic information, the Patient Health Questionnaire-9 depression tool, and items of the World Health Organization Health and Work Performance Questionnaire. The relationship between depressive symptoms, absenteeism and presenteeism was estimated using both total summed scores and individual symptoms of depression.\nResults\nUnivariate linear regression confirmed a negative linear relationship between depression severity and presenteeism, which remained significant after controlling for age, gender, industry, and work position. Similarly, there was a statistically significant relationship between depression severity and the amount of mental health related sickness absence taken over the preceding 28 days. Johnson's relative weights analysis showed contributory differences amongst depression symptoms in relation to presenteeism and absenteeism.\nDiscussion\nSignificant relationships between depression severity and both absenteeism and presenteeism were present indicating increases in absence and decreases in performance with increasing severity. There existed differences amongst the contribution of specific symptoms of depression to both outcomes of interest. The symptoms that contribute most to absence were more behavioural in nature, whilst those contributing most to presenteeism were more cognitive. These findings have practical implications for clinicians and employers in making treatment and return-to-work decisions.","container-title":"Journal of Affective Disorders","DOI":"10.1016/j.jad.2019.06.041","ISSN":"0165-0327","journalAbbreviation":"Journal of Affective Disorders","language":"en","page":"536-540","source":"ScienceDirect","title":"The relationship between depression symptoms, absenteeism and presenteeism","volume":"256","author":[{"family":"Johnston","given":"D. A."},{"family":"Harvey","given":"S. B."},{"family":"Glozier","given":"N."},{"family":"Calvo","given":"R. A."},{"family":"Christensen","given":"H."},{"family":"Deady","given":"M."}],"issued":{"date-parts":[["2019",9,1]]}}}],"schema":"https://github.com/citation-style-language/schema/raw/master/csl-citation.json"} </w:instrText>
      </w:r>
      <w:r w:rsidR="00D059D7" w:rsidRPr="00B22C17">
        <w:rPr>
          <w:rFonts w:ascii="Times New Roman" w:hAnsi="Times New Roman" w:cs="Times New Roman"/>
          <w:lang w:val="en-US"/>
        </w:rPr>
        <w:fldChar w:fldCharType="separate"/>
      </w:r>
      <w:r w:rsidR="00D059D7" w:rsidRPr="00B22C17">
        <w:rPr>
          <w:rFonts w:ascii="Times New Roman" w:hAnsi="Times New Roman" w:cs="Times New Roman"/>
          <w:noProof/>
          <w:lang w:val="en-US"/>
        </w:rPr>
        <w:t>[11,12]</w:t>
      </w:r>
      <w:r w:rsidR="00D059D7" w:rsidRPr="00B22C17">
        <w:rPr>
          <w:rFonts w:ascii="Times New Roman" w:hAnsi="Times New Roman" w:cs="Times New Roman"/>
          <w:lang w:val="en-US"/>
        </w:rPr>
        <w:fldChar w:fldCharType="end"/>
      </w:r>
      <w:r w:rsidR="007F5FCA" w:rsidRPr="00B22C17">
        <w:rPr>
          <w:rFonts w:ascii="Times New Roman" w:hAnsi="Times New Roman" w:cs="Times New Roman"/>
          <w:lang w:val="en-US"/>
        </w:rPr>
        <w:t>,</w:t>
      </w:r>
      <w:r w:rsidR="00E37A94" w:rsidRPr="00B22C17">
        <w:rPr>
          <w:rFonts w:ascii="Times New Roman" w:hAnsi="Times New Roman" w:cs="Times New Roman"/>
          <w:lang w:val="en-US"/>
        </w:rPr>
        <w:t xml:space="preserve"> </w:t>
      </w:r>
      <w:r w:rsidR="007F5FCA" w:rsidRPr="00B22C17">
        <w:rPr>
          <w:rFonts w:ascii="Times New Roman" w:hAnsi="Times New Roman" w:cs="Times New Roman"/>
          <w:lang w:val="en-US"/>
        </w:rPr>
        <w:t>anxiety</w:t>
      </w:r>
      <w:r w:rsidR="00B51707" w:rsidRPr="00B22C17">
        <w:rPr>
          <w:rFonts w:ascii="Times New Roman" w:hAnsi="Times New Roman" w:cs="Times New Roman"/>
          <w:lang w:val="en-US"/>
        </w:rPr>
        <w:t xml:space="preserve"> </w:t>
      </w:r>
      <w:r w:rsidR="00B51707" w:rsidRPr="00B22C17">
        <w:rPr>
          <w:rFonts w:ascii="Times New Roman" w:hAnsi="Times New Roman" w:cs="Times New Roman"/>
          <w:lang w:val="en-US"/>
        </w:rPr>
        <w:fldChar w:fldCharType="begin"/>
      </w:r>
      <w:r w:rsidR="00B51707" w:rsidRPr="00B22C17">
        <w:rPr>
          <w:rFonts w:ascii="Times New Roman" w:hAnsi="Times New Roman" w:cs="Times New Roman"/>
          <w:lang w:val="en-US"/>
        </w:rPr>
        <w:instrText xml:space="preserve"> ADDIN ZOTERO_ITEM CSL_CITATION {"citationID":"FvIp0yPy","properties":{"formattedCitation":"[13,14]","plainCitation":"[13,14]","noteIndex":0},"citationItems":[{"id":20265,"uris":["http://zotero.org/users/local/hhPVnw6l/items/DBY76EQF"],"uri":["http://zotero.org/users/local/hhPVnw6l/items/DBY76EQF"],"itemData":{"id":20265,"type":"article-journal","abstract":"BACKGROUND: We investigate one aspect of productivity--sickness absence--and ask whether job insecurity and high work demands are associated with increased sickness absence and, if so, whether mental or physical health mediates this association. We further investigate if having control at work modifies these associations.\nMETHODS: We used cross-sectional survey data from 2,248 employees aged 40-44 years living in two cities of south-eastern Australia. Logistic regressions were used to compare the associations between job insecurity and demands among those with short (1-3 days) or long-term (&gt; 3 days) sickness absence with those who had no sickness absence in the last four weeks. The mediating effects of mental and physical health were assessed by evaluating changes in the magnitude of the association between these work conditions and sickness absence.\nRESULTS: High job insecurity (OR = 3.28; 95% CI 1.54-6.95) and high work demands (OR = 1.62; 95% CI 1.13-2.30) were significantly associated with long-term, but not with short-term, sickness absence. These associations were unaffected by job control. Depression and anxiety explained 61% of the association between high work demands and long-term sickness absence and 30% of the association between job insecurity and long-term sickness absence.\nCONCLUSION: Difficult working conditions may reduce productivity by contributing to longer absences from work.\nIMPLICATIONS: Reforms intended to improve economic performance should address any potential health costs of insecurity or intensification, which could inadvertently decrease productivity, possibly through their impact on mental health.","container-title":"Australian and New Zealand Journal of Public Health","DOI":"10.1111/j.1467-842x.2006.tb00859.x","ISSN":"1326-0200","issue":"3","journalAbbreviation":"Aust N Z J Public Health","language":"eng","note":"PMID: 16800195","page":"205-212","source":"PubMed","title":"Work demands, job insecurity and sickness absence from work. how productive is the new, flexible labour force?","volume":"30","author":[{"family":"D'Souza","given":"Rennie M."},{"family":"Strazdins","given":"Lyndall"},{"family":"Broom","given":"Dorothy H."},{"family":"Rodgers","given":"Bryan"},{"family":"Berry","given":"Helen L."}],"issued":{"date-parts":[["2006",6]]}}},{"id":20263,"uris":["http://zotero.org/users/local/hhPVnw6l/items/BFSP63YI"],"uri":["http://zotero.org/users/local/hhPVnw6l/items/BFSP63YI"],"itemData":{"id":20263,"type":"article-journal","abstract":"OBJECTIVE: To observe the prevalence of anxiety and depression in chronic low back pain population at a tertiary care centre.\nMETHODS: The prospective cross-sectional study was conducted using convenience sampling at the Department of Neurosurgery, at Liaquat National Hospital, Karachi, Pakistan, from January to June 2010. The prevalence of anxiety and depression in chronic low back pain patients was studied according to specified age and gender groups using Hospital Anxiety and Depression Scale.\nRESULTS: Of the 140 patients in the study, 66 (47.14%) were females and 74 (52.85%) were males.The average age of the patients was 43.02+/-13.34 years. The average duration of symptoms was 4.29+/-3.3 years. Abnormal level of anxiety and depression were found in 77 (55%) and 68 (48.57%) patients respectively. Out of them 54 (38.5%) and 51 (36.4%) were borderline abnormal for anxiety and depression respectively, while 23 (16.4%) and 17 (12.1%) were abnormal for anxiety and depression respectively. Among the males, there were 20 (14.28%) and 23 (16.42%) patients with abnormal levels of the corresponding numbers among the females were 57 (40.71%) and 45 (32.14%). There was a significant association in anxiety (p&lt;0.01) and depression (p&lt;0.01) levels with respect to gender and no significant association with respect to age (p&gt;0.05).\nCONCLUSION: Individuals with chronic low back pain were at high risk to experience anxiety and depression.This risk was higher for females.","container-title":"JPMA. The Journal of the Pakistan Medical Association","ISSN":"0030-9982","issue":"6","journalAbbreviation":"J Pak Med Assoc","language":"eng","note":"PMID: 23901665","page":"688-690","source":"PubMed","title":"Association between chronic low back pain, anxiety and depression in patients at a tertiary care centre","volume":"63","author":[{"family":"Sagheer","given":"Muhammad Amir"},{"family":"Khan","given":"Muhammad Farhan"},{"family":"Sharif","given":"Salman"}],"issued":{"date-parts":[["2013",6]]}}}],"schema":"https://github.com/citation-style-language/schema/raw/master/csl-citation.json"} </w:instrText>
      </w:r>
      <w:r w:rsidR="00B51707" w:rsidRPr="00B22C17">
        <w:rPr>
          <w:rFonts w:ascii="Times New Roman" w:hAnsi="Times New Roman" w:cs="Times New Roman"/>
          <w:lang w:val="en-US"/>
        </w:rPr>
        <w:fldChar w:fldCharType="separate"/>
      </w:r>
      <w:r w:rsidR="00B51707" w:rsidRPr="00B22C17">
        <w:rPr>
          <w:rFonts w:ascii="Times New Roman" w:hAnsi="Times New Roman" w:cs="Times New Roman"/>
          <w:noProof/>
          <w:lang w:val="en-US"/>
        </w:rPr>
        <w:t>[13,14]</w:t>
      </w:r>
      <w:r w:rsidR="00B51707" w:rsidRPr="00B22C17">
        <w:rPr>
          <w:rFonts w:ascii="Times New Roman" w:hAnsi="Times New Roman" w:cs="Times New Roman"/>
          <w:lang w:val="en-US"/>
        </w:rPr>
        <w:fldChar w:fldCharType="end"/>
      </w:r>
      <w:r w:rsidR="007F5FCA" w:rsidRPr="00B22C17">
        <w:rPr>
          <w:rFonts w:ascii="Times New Roman" w:hAnsi="Times New Roman" w:cs="Times New Roman"/>
          <w:lang w:val="en-US"/>
        </w:rPr>
        <w:t>,</w:t>
      </w:r>
      <w:r w:rsidR="00E37A94" w:rsidRPr="00B22C17">
        <w:rPr>
          <w:rFonts w:ascii="Times New Roman" w:hAnsi="Times New Roman" w:cs="Times New Roman"/>
          <w:lang w:val="en-US"/>
        </w:rPr>
        <w:t xml:space="preserve"> </w:t>
      </w:r>
      <w:r w:rsidR="007F5FCA" w:rsidRPr="00B22C17">
        <w:rPr>
          <w:rFonts w:ascii="Times New Roman" w:hAnsi="Times New Roman" w:cs="Times New Roman"/>
          <w:lang w:val="en-US"/>
        </w:rPr>
        <w:t>sleep disorder</w:t>
      </w:r>
      <w:r w:rsidR="00E37A94" w:rsidRPr="00B22C17">
        <w:rPr>
          <w:rFonts w:ascii="Times New Roman" w:hAnsi="Times New Roman" w:cs="Times New Roman"/>
          <w:lang w:val="en-US"/>
        </w:rPr>
        <w:t xml:space="preserve"> </w:t>
      </w:r>
      <w:r w:rsidR="003623C9" w:rsidRPr="00B22C17">
        <w:rPr>
          <w:rFonts w:ascii="Times New Roman" w:hAnsi="Times New Roman" w:cs="Times New Roman"/>
          <w:lang w:val="en-US"/>
        </w:rPr>
        <w:fldChar w:fldCharType="begin"/>
      </w:r>
      <w:r w:rsidR="003623C9" w:rsidRPr="00B22C17">
        <w:rPr>
          <w:rFonts w:ascii="Times New Roman" w:hAnsi="Times New Roman" w:cs="Times New Roman"/>
          <w:lang w:val="en-US"/>
        </w:rPr>
        <w:instrText xml:space="preserve"> ADDIN ZOTERO_ITEM CSL_CITATION {"citationID":"gl1bxIYV","properties":{"formattedCitation":"[15,16]","plainCitation":"[15,16]","noteIndex":0},"citationItems":[{"id":20268,"uris":["http://zotero.org/users/local/hhPVnw6l/items/8ZZIDE7M"],"uri":["http://zotero.org/users/local/hhPVnw6l/items/8ZZIDE7M"],"itemData":{"id":20268,"type":"article-journal","abstract":"Animal experiments and studies in humans clearly show that the relation between pain (acute and chronic) and sleep quality is two-way: sleep disorders can increase pain, which in turn may cause sleep disorders. Sleep disorders and chronic low back pain are frequent health problems and it is unsurprising that the two can co-exist. This study was conducted to evaluate if sleep disorders and chronic pain associated are more frequently than one would expect. The objective of the study was to compare sleep quality in a population of patients with chronic low back pain and a control population. Sleep quality was assessed in 101 patients with chronic low back pain (CLBP) and in 97 sex- and age-matched healthy control subjects using the Pittsburgh Sleep Quality Index [PSQI; score from 0 (no disorder) to 21]. The French version of the Dallas Pain Questionnaire (DPQ) was used to assess the impact of low back pain on patients’ quality of life. This impact was taken as nil in the healthy controls. The patients with CLBP and the controls were comparable in age, sex, and height, but mean bodyweight was higher in the CLBP group (70.3 ± 14.5 vs. 61.8 ± 11.4 kg; P &lt; 0.05). The patients with CLBP were also more frequently on sick leave than the controls (32.3%; n = 31 vs. 0.0% n = 0; P &lt; 0.001). Coffee, tea, and cola intakes were comparable in the two groups. Patients with CLBP had statistically higher scores in all items of the PSQI than the healthy controls. The mean PSQI was 4.7 ± 3.2 for the healthy controls and 10.9 ± 7.9 for the patients with CLBP (P &lt; 0.0001). Sleep disorders were greater when the impact of CLBP on daily life (the four aspects of the DPQ) was greater [P &lt; 0.0001]). The sleep of the patients with CLBP was significantly altered compared with that of the healthy controls, in proportion to the impact of low back pain on daily life. Our findings do not indicate whether sleep disorders are a cause or a consequence of CLBP.","container-title":"European Spine Journal","DOI":"10.1007/s00586-008-0660-7","ISSN":"1432-0932","issue":"6","journalAbbreviation":"Eur Spine J","language":"en","page":"839-844","source":"Springer Link","title":"Quality of sleep in patients with chronic low back pain: a case-control study","title-short":"Quality of sleep in patients with chronic low back pain","volume":"17","author":[{"family":"Marty","given":"M."},{"family":"Rozenberg","given":"S."},{"family":"Duplan","given":"B."},{"family":"Thomas","given":"P."},{"family":"Duquesnoy","given":"B."},{"family":"Allaert","given":"F."},{"literal":"The Section Rachis de la Société Française de Rhumatologie"}],"issued":{"date-parts":[["2008",6,1]]}}},{"id":20270,"uris":["http://zotero.org/users/local/hhPVnw6l/items/QIIERTYQ"],"uri":["http://zotero.org/users/local/hhPVnw6l/items/QIIERTYQ"],"itemData":{"id":20270,"type":"article-journal","abstract":"Background and purpose\nTo document and provide a micro analysis of the relationship between insomnia and health problems, health-care use, absenteeism, productivity and accidents.\nParticipants and methods\nA population-based sample of 953 French-speaking adults from Québec, Canada. Participants were categorized as having insomnia syndrome (SYND) or insomnia symptoms (SYMPT) or as good sleepers (GS). They completed questionnaires on sleep, health, use of health-care services and products, accidents, work absences and reduced work productivity. Data were also obtained from the Québec-government-administered health insurance board on selected variables (e.g., consultations with health-care professionals, diagnoses).\nResults\nThere were significantly more individuals in the SYND group relative to the GS group reporting at least one chronic health problem (83% vs. 53%; OR: 2.78) and who had consulted a health-care professional in the past year (81% vs. 60%; OR: 2.8). There were also higher proportions of individuals in the SYND group than in the GS group who had used prescription medications (57% vs. 30.7%; OR: 2.8), most notably to treat insomnia, mood and anxiety disorders, or who had used over-the-counter products (75.6% vs. 62.0%; OR: 1.8) and alcohol as a sleep aid (17.8% vs. 3.9%; OR: 4.6). In terms of daytime function, 25.0% of the SYND had been absent from work relative to 17.1% of GS (OR: 1.7), 40.6% reported having experienced reduced productivity compared to 12.3% of GS (OR: 4.8) and non-motor-vehicle accidents occurred at higher rates in the SYND group (12.5% vs. 6.4% for GS; OR: 2.4). No differences were found for hospitalisations or motor-vehicle accidents. Most of the associations remained significant even after controlling for psychiatric comorbidity. Rates for the SYMPT group were situated between SYND and GS on all major dependent variables. Furthermore, insomnia and fatigue were perceived as contributing significantly to accidents, absences and decreased work productivity, regardless of insomnia status.\nConclusions\nThis study indicates that insomnia is associated with significant morbidity in terms of health problems and health-care utilization, work absenteeism and reduced productivity, and risk of non-motor-vehicle accidents. Future studies should evaluate whether treating insomnia can reverse this morbidity.","container-title":"Sleep Medicine","DOI":"10.1016/j.sleep.2008.04.005","ISSN":"1389-9457","issue":"4","journalAbbreviation":"Sleep Medicine","language":"en","page":"427-438","source":"ScienceDirect","title":"Insomnia and its relationship to health-care utilization, work absenteeism, productivity and accidents","volume":"10","author":[{"family":"Daley","given":"M."},{"family":"Morin","given":"C. M."},{"family":"LeBlanc","given":"M."},{"family":"Grégoire","given":"J. P."},{"family":"Savard","given":"J."},{"family":"Baillargeon","given":"L."}],"issued":{"date-parts":[["2009",4,1]]}}}],"schema":"https://github.com/citation-style-language/schema/raw/master/csl-citation.json"} </w:instrText>
      </w:r>
      <w:r w:rsidR="003623C9" w:rsidRPr="00B22C17">
        <w:rPr>
          <w:rFonts w:ascii="Times New Roman" w:hAnsi="Times New Roman" w:cs="Times New Roman"/>
          <w:lang w:val="en-US"/>
        </w:rPr>
        <w:fldChar w:fldCharType="separate"/>
      </w:r>
      <w:r w:rsidR="003623C9" w:rsidRPr="00B22C17">
        <w:rPr>
          <w:rFonts w:ascii="Times New Roman" w:hAnsi="Times New Roman" w:cs="Times New Roman"/>
          <w:noProof/>
          <w:lang w:val="en-US"/>
        </w:rPr>
        <w:t>[15,16]</w:t>
      </w:r>
      <w:r w:rsidR="003623C9" w:rsidRPr="00B22C17">
        <w:rPr>
          <w:rFonts w:ascii="Times New Roman" w:hAnsi="Times New Roman" w:cs="Times New Roman"/>
          <w:lang w:val="en-US"/>
        </w:rPr>
        <w:fldChar w:fldCharType="end"/>
      </w:r>
      <w:r w:rsidR="007F5FCA" w:rsidRPr="00B22C17">
        <w:rPr>
          <w:rFonts w:ascii="Times New Roman" w:hAnsi="Times New Roman" w:cs="Times New Roman"/>
          <w:lang w:val="en-US"/>
        </w:rPr>
        <w:t>,</w:t>
      </w:r>
      <w:r w:rsidR="00E37A94" w:rsidRPr="00B22C17">
        <w:rPr>
          <w:rFonts w:ascii="Times New Roman" w:hAnsi="Times New Roman" w:cs="Times New Roman"/>
          <w:lang w:val="en-US"/>
        </w:rPr>
        <w:t xml:space="preserve"> </w:t>
      </w:r>
      <w:r w:rsidR="007F5FCA" w:rsidRPr="00B22C17">
        <w:rPr>
          <w:rFonts w:ascii="Times New Roman" w:hAnsi="Times New Roman" w:cs="Times New Roman"/>
          <w:lang w:val="en-US"/>
        </w:rPr>
        <w:t>alcohol dependence</w:t>
      </w:r>
      <w:r w:rsidR="004F2057" w:rsidRPr="00B22C17">
        <w:rPr>
          <w:rFonts w:ascii="Times New Roman" w:hAnsi="Times New Roman" w:cs="Times New Roman"/>
          <w:lang w:val="en-US"/>
        </w:rPr>
        <w:t xml:space="preserve"> </w:t>
      </w:r>
      <w:r w:rsidR="004F2057" w:rsidRPr="00B22C17">
        <w:rPr>
          <w:rFonts w:ascii="Times New Roman" w:hAnsi="Times New Roman" w:cs="Times New Roman"/>
          <w:lang w:val="en-US"/>
        </w:rPr>
        <w:fldChar w:fldCharType="begin"/>
      </w:r>
      <w:r w:rsidR="0085295D" w:rsidRPr="00B22C17">
        <w:rPr>
          <w:rFonts w:ascii="Times New Roman" w:hAnsi="Times New Roman" w:cs="Times New Roman"/>
          <w:lang w:val="en-US"/>
        </w:rPr>
        <w:instrText xml:space="preserve"> ADDIN ZOTERO_ITEM CSL_CITATION {"citationID":"TAucrghh","properties":{"formattedCitation":"[17\\uc0\\u8211{}19]","plainCitation":"[17–19]","noteIndex":0},"citationItems":[{"id":21614,"uris":["http://zotero.org/users/local/hhPVnw6l/items/5I6LLCFY"],"uri":["http://zotero.org/users/local/hhPVnw6l/items/5I6LLCFY"],"itemData":{"id":21614,"type":"article-journal","abstract":"The prevalence of alcohol problems was investigated in 50 patients with chronic low back pain, and compared to an age, sex, civil status, and income matched control group. Alcohol abuse was significantly more frequent among the male low back patients. Within the patient group the use of analgesics and sedatives was not related to the degree of alcohol consumption. Alcohol problems were not found to influence the rehabilitation process negatively, probably because the rehabilitation programme was not directed to the back only. Such problems therefore should not discriminate against inclusion in a rehabilitation programme.","container-title":"Scandinavian Journal of Rehabilitation Medicine","ISSN":"0036-5505","issue":"4","journalAbbreviation":"Scand J Rehabil Med","language":"eng","note":"PMID: 6241745","page":"147-149","source":"PubMed","title":"The role of alcohol abuse in working disability in patients with low back pain","volume":"16","author":[{"family":"Sandström","given":"J."},{"family":"Andersson","given":"G. B."},{"family":"Wallerstedt","given":"S."}],"issued":{"date-parts":[["1984"]]}}},{"id":20275,"uris":["http://zotero.org/users/local/hhPVnw6l/items/CVXA84VH"],"uri":["http://zotero.org/users/local/hhPVnw6l/items/CVXA84VH"],"itemData":{"id":20275,"type":"article-journal","abstract":"Objectives The aim of this review was to explore the notion of alcohol-related presenteeism; that is, whether evidence in the research literature supports an association between employee alcohol consumption and impaired work performance.\nDesign Systematic review of observational studies.\nData sources MEDLINE, Web of Science, PsycINFO, CINAHL, AMED, Embase and Swemed+ were searched through October 2018. Reference lists in included studies were hand searched for potential relevant studies.\nEligibility criteria We included observational studies, published 1990 or later as full-text empirical articles in peer-reviewed journals in English or a Scandinavian language, containing one or more statistical tests regarding a relationship between a measure of alcohol consumption and a measure of work performance.\nData extraction and synthesis Two independent reviewers extracted data. Tested associations between alcohol consumption and work performance within the included studies were quality assessed and analysed with frequency tables, cross-tabulations and χ2 tests of independence.\nResults Twenty-six studies were included, containing 132 tested associations. The vast majority of associations (77%) indicated that higher levels of alcohol consumption were associated with higher levels of impaired work performance, and these positive associations were considerably more likely than negative associations to be statistically significant (OR=14.00, phi=0.37, p&lt;0.001). Alcohol exposure measured by hangover episodes and composite instruments were over-represented among significant positive associations of moderate and high quality (15 of 17 associations). Overall, 61% of the associations were characterised by low quality.\nConclusions Evidence does provide some support for the notion of alcohol-related presenteeism. However, due to low research quality and lack of longitudinal designs, evidence should be characterised as somewhat inconclusive. More robust and less heterogeneous research is warranted. This review, however, does provide support for targeting alcohol consumption within the frame of workplace interventions aimed at improving employee health and productivity.\nPROSPERO registration number CRD42017059620.","container-title":"BMJ Open","DOI":"10.1136/bmjopen-2019-029184","ISSN":"2044-6055, 2044-6055","issue":"7","language":"en","note":"publisher: British Medical Journal Publishing Group\nsection: Public health\nPMID: 31315869","page":"e029184","source":"bmjopen.bmj.com","title":"Association between alcohol consumption and impaired work performance (presenteeism): a systematic review","title-short":"Association between alcohol consumption and impaired work performance (presenteeism)","volume":"9","author":[{"family":"Thørrisen","given":"Mikkel Magnus"},{"family":"Bonsaksen","given":"Tore"},{"family":"Hashemi","given":"Neda"},{"family":"Kjeken","given":"Ingvild"},{"family":"Mechelen","given":"Willem","dropping-particle":"van"},{"family":"Aas","given":"Randi Wågø"}],"issued":{"date-parts":[["2019",7,1]]}}},{"id":20273,"uris":["http://zotero.org/users/local/hhPVnw6l/items/6SLKHDIP"],"uri":["http://zotero.org/users/local/hhPVnw6l/items/6SLKHDIP"],"itemData":{"id":20273,"type":"article-journal","abstract":"Alcohol use has been associated with opioid misuse and dependence among adults with chronic pain. Yet, mechanisms underlying the relation between alcohol use problems and opioid misuse and dependence have yet to be fully explored among this population. Distress tolerance, reflecting the perceived ability to withstand negative emotional states, has demonstrated independent associations with alcohol use problems and opioid misuse, but these associations have not been explored among persons with chronic pain. The present study examined the moderating role of distress tolerance in terms of the association between alcohol use problems with opioid misuse and severity of opioid dependence. Participants included 424 adults (74.1% female; Mage = 38.3, SD = 11.1) reporting current chronic pain and opioid medication use. Results indicated that alcohol use problems were significantly associated with current opioid misuse (B = 0.54, p &lt; .001) and severity of opioid dependence (B = 0.08, p = .002) only for those with lower distress tolerance. These findings suggest that among individuals with chronic pain, the association between alcohol use problems and opioid misuse as well as opioid dependence severity is amplified among those with lower perceived distress tolerance. (PsycInfo Database Record (c) 2020 APA, all rights reserved).","container-title":"Psychology of Addictive Behaviors: Journal of the Society of Psychologists in Addictive Behaviors","DOI":"10.1037/adb0000587","ISSN":"1939-1501","journalAbbreviation":"Psychol Addict Behav","language":"eng","note":"PMID: 32364397","source":"PubMed","title":"Alcohol use problems and opioid misuse and dependence among adults with chronic pain: The role of distress tolerance","title-short":"Alcohol use problems and opioid misuse and dependence among adults with chronic pain","author":[{"family":"Zegel","given":"Maya"},{"family":"Rogers","given":"Andrew H."},{"family":"Vujanovic","given":"Anka A."},{"family":"Zvolensky","given":"Michael J."}],"issued":{"date-parts":[["2020",5,4]]}}}],"schema":"https://github.com/citation-style-language/schema/raw/master/csl-citation.json"} </w:instrText>
      </w:r>
      <w:r w:rsidR="004F2057" w:rsidRPr="00B22C17">
        <w:rPr>
          <w:rFonts w:ascii="Times New Roman" w:hAnsi="Times New Roman" w:cs="Times New Roman"/>
          <w:lang w:val="en-US"/>
        </w:rPr>
        <w:fldChar w:fldCharType="separate"/>
      </w:r>
      <w:r w:rsidR="0085295D" w:rsidRPr="00B22C17">
        <w:rPr>
          <w:rFonts w:ascii="Times New Roman" w:hAnsi="Times New Roman" w:cs="Times New Roman"/>
        </w:rPr>
        <w:t>[17–19]</w:t>
      </w:r>
      <w:r w:rsidR="004F2057" w:rsidRPr="00B22C17">
        <w:rPr>
          <w:rFonts w:ascii="Times New Roman" w:hAnsi="Times New Roman" w:cs="Times New Roman"/>
          <w:lang w:val="en-US"/>
        </w:rPr>
        <w:fldChar w:fldCharType="end"/>
      </w:r>
      <w:r w:rsidR="007F5FCA" w:rsidRPr="00B22C17">
        <w:rPr>
          <w:rFonts w:ascii="Times New Roman" w:hAnsi="Times New Roman" w:cs="Times New Roman"/>
          <w:lang w:val="en-US"/>
        </w:rPr>
        <w:t>,</w:t>
      </w:r>
      <w:r w:rsidR="00E37A94" w:rsidRPr="00B22C17">
        <w:rPr>
          <w:rFonts w:ascii="Times New Roman" w:hAnsi="Times New Roman" w:cs="Times New Roman"/>
          <w:lang w:val="en-US"/>
        </w:rPr>
        <w:t xml:space="preserve"> </w:t>
      </w:r>
      <w:r w:rsidR="007F5FCA" w:rsidRPr="00B22C17">
        <w:rPr>
          <w:rFonts w:ascii="Times New Roman" w:hAnsi="Times New Roman" w:cs="Times New Roman"/>
          <w:lang w:val="en-US"/>
        </w:rPr>
        <w:t>opioid dependence</w:t>
      </w:r>
      <w:r w:rsidR="00044A09" w:rsidRPr="00B22C17">
        <w:rPr>
          <w:rFonts w:ascii="Times New Roman" w:hAnsi="Times New Roman" w:cs="Times New Roman"/>
          <w:lang w:val="en-US"/>
        </w:rPr>
        <w:t xml:space="preserve"> </w:t>
      </w:r>
      <w:r w:rsidR="00AA6E7D" w:rsidRPr="00B22C17">
        <w:rPr>
          <w:rFonts w:ascii="Times New Roman" w:hAnsi="Times New Roman" w:cs="Times New Roman"/>
          <w:lang w:val="en-US"/>
        </w:rPr>
        <w:fldChar w:fldCharType="begin"/>
      </w:r>
      <w:r w:rsidR="008926F8" w:rsidRPr="00B22C17">
        <w:rPr>
          <w:rFonts w:ascii="Times New Roman" w:hAnsi="Times New Roman" w:cs="Times New Roman"/>
          <w:lang w:val="en-US"/>
        </w:rPr>
        <w:instrText xml:space="preserve"> ADDIN ZOTERO_ITEM CSL_CITATION {"citationID":"xWW0PjJu","properties":{"formattedCitation":"[19\\uc0\\u8211{}21]","plainCitation":"[19–21]","noteIndex":0},"citationItems":[{"id":20273,"uris":["http://zotero.org/users/local/hhPVnw6l/items/6SLKHDIP"],"uri":["http://zotero.org/users/local/hhPVnw6l/items/6SLKHDIP"],"itemData":{"id":20273,"type":"article-journal","abstract":"Alcohol use has been associated with opioid misuse and dependence among adults with chronic pain. Yet, mechanisms underlying the relation between alcohol use problems and opioid misuse and dependence have yet to be fully explored among this population. Distress tolerance, reflecting the perceived ability to withstand negative emotional states, has demonstrated independent associations with alcohol use problems and opioid misuse, but these associations have not been explored among persons with chronic pain. The present study examined the moderating role of distress tolerance in terms of the association between alcohol use problems with opioid misuse and severity of opioid dependence. Participants included 424 adults (74.1% female; Mage = 38.3, SD = 11.1) reporting current chronic pain and opioid medication use. Results indicated that alcohol use problems were significantly associated with current opioid misuse (B = 0.54, p &lt; .001) and severity of opioid dependence (B = 0.08, p = .002) only for those with lower distress tolerance. These findings suggest that among individuals with chronic pain, the association between alcohol use problems and opioid misuse as well as opioid dependence severity is amplified among those with lower perceived distress tolerance. (PsycInfo Database Record (c) 2020 APA, all rights reserved).","container-title":"Psychology of Addictive Behaviors: Journal of the Society of Psychologists in Addictive Behaviors","DOI":"10.1037/adb0000587","ISSN":"1939-1501","journalAbbreviation":"Psychol Addict Behav","language":"eng","note":"PMID: 32364397","source":"PubMed","title":"Alcohol use problems and opioid misuse and dependence among adults with chronic pain: The role of distress tolerance","title-short":"Alcohol use problems and opioid misuse and dependence among adults with chronic pain","author":[{"family":"Zegel","given":"Maya"},{"family":"Rogers","given":"Andrew H."},{"family":"Vujanovic","given":"Anka A."},{"family":"Zvolensky","given":"Michael J."}],"issued":{"date-parts":[["2020",5,4]]}}},{"id":21616,"uris":["http://zotero.org/users/local/hhPVnw6l/items/8KU9H5PP"],"uri":["http://zotero.org/users/local/hhPVnw6l/items/8KU9H5PP"],"itemData":{"id":21616,"type":"article-journal","abstract":"BACKGROUND: The prevalence, efficacy, and risk for addiction for persons receiving opioids for chronic back pain are unclear.\nPURPOSE: To determine the prevalence of opioid treatment, whether opioid medications are effective, and the prevalence of substance use disorders among patients receiving opioid medications for chronic back pain.\nDATA SOURCES: English-language studies from MEDLINE (1966-March 2005), EMBASE (1966-March 2005), Cochrane Central Register of Controlled Clinical Trials (to 4th quarter 2004), PsychInfo (1966-March 2005), and retrieved references.\nSTUDY SELECTION: Articles that studied an adult, nonobstetric sample; used oral, topical, or transdermal opioids; and focused on treatment for chronic back pain.\nDATA EXTRACTION: Two investigators independently extracted data and determined study quality.\nDATA SYNTHESIS: Opioid prescribing varied by treatment setting (range, 3% to 66%). Meta-analysis of the 4 studies assessing the efficacy of opioids compared with placebo or a nonopioid control did not show reduced pain with opioids (g, -0.199 composite standardized mean difference [95% CI, -0.49 to 0.11]; P = 0.136). Meta-analysis of the 5 studies directly comparing the efficacy of different opioids demonstrated a nonsignificant reduction in pain from baseline (g, -0.93 composite standardized mean difference [CI, -1.89 to -0.03]; P = 0.055). The prevalence of lifetime substance use disorders ranged from 36% to 56%, and the estimates of the prevalence of current substance use disorders were as high as 43%. Aberrant medication-taking behaviors ranged from 5% to 24%.\nLIMITATIONS: Retrieval and publication biases and poor study quality. No trial evaluating the efficacy of opioids was longer than 16 weeks.\nCONCLUSIONS: Opioids are commonly prescribed for chronic back pain and may be efficacious for short-term pain relief. Long-term efficacy (&gt; or =16 weeks) is unclear. Substance use disorders are common in patients taking opioids for back pain, and aberrant medication-taking behaviors occur in up to 24% of cases.","container-title":"Annals of Internal Medicine","DOI":"10.7326/0003-4819-146-2-200701160-00006","ISSN":"1539-3704","issue":"2","journalAbbreviation":"Ann Intern Med","language":"eng","note":"PMID: 17227935","page":"116-127","source":"PubMed","title":"Systematic review: opioid treatment for chronic back pain: prevalence, efficacy, and association with addiction","title-short":"Systematic review","volume":"146","author":[{"family":"Martell","given":"Bridget A."},{"family":"O'Connor","given":"Patrick G."},{"family":"Kerns","given":"Robert D."},{"family":"Becker","given":"William C."},{"family":"Morales","given":"Knashawn H."},{"family":"Kosten","given":"Thomas R."},{"family":"Fiellin","given":"David A."}],"issued":{"date-parts":[["2007",1,16]]}}},{"id":20279,"uris":["http://zotero.org/users/local/hhPVnw6l/items/N59LSJCJ"],"uri":["http://zotero.org/users/local/hhPVnw6l/items/N59LSJCJ"],"itemData":{"id":20279,"type":"article-journal","abstract":"OBJECTIVE: To measure the prevalence of opioid use disorder (OUD) and employee health care and productivity costs with and without OUD and to assess whether utilization of pharmacotherapy for OUD reduces those costs.\nMETHODS: We conducted a cross-sectional analysis of 2016 to 2017 commercial enrollment, health care, and pharmacy claims and health risk assessment data using the IBM MarketScan Databases (Ann Arbor, MI). We estimated regression models to assess the association between OUD and annual employee health care and productivity costs.\nRESULTS: Health care and productivity costs for employees with OUD who did and did not receive pharmacotherapy were approximately $6294 and $21,570 more than for other employees, respectively.\nCONCLUSIONS: Employers can make a business case for expanding access to pharmacotherapy treatment for OUD based on our finding that receipt of pharmacotherapy significantly reduces overall health care costs.","container-title":"Journal of Occupational and Environmental Medicine","DOI":"10.1097/JOM.0000000000001830","ISSN":"1536-5948","issue":"5","journalAbbreviation":"J Occup Environ Med","language":"eng","note":"PMID: 32049873","page":"344-349","source":"PubMed","title":"Opioid Use Disorder and Employee Work Presenteeism, Absences, and Health Care Costs","volume":"62","author":[{"family":"Henke","given":"Rachel Mosher"},{"family":"Ellsworth","given":"David"},{"family":"Wier","given":"Lauren"},{"family":"Snowdon","given":"Jane"}],"issued":{"date-parts":[["2020",5]]}}}],"schema":"https://github.com/citation-style-language/schema/raw/master/csl-citation.json"} </w:instrText>
      </w:r>
      <w:r w:rsidR="00AA6E7D" w:rsidRPr="00B22C17">
        <w:rPr>
          <w:rFonts w:ascii="Times New Roman" w:hAnsi="Times New Roman" w:cs="Times New Roman"/>
          <w:lang w:val="en-US"/>
        </w:rPr>
        <w:fldChar w:fldCharType="separate"/>
      </w:r>
      <w:r w:rsidR="008926F8" w:rsidRPr="00B22C17">
        <w:rPr>
          <w:rFonts w:ascii="Times New Roman" w:hAnsi="Times New Roman" w:cs="Times New Roman"/>
        </w:rPr>
        <w:t>[19–21]</w:t>
      </w:r>
      <w:r w:rsidR="00AA6E7D" w:rsidRPr="00B22C17">
        <w:rPr>
          <w:rFonts w:ascii="Times New Roman" w:hAnsi="Times New Roman" w:cs="Times New Roman"/>
          <w:lang w:val="en-US"/>
        </w:rPr>
        <w:fldChar w:fldCharType="end"/>
      </w:r>
      <w:r w:rsidR="00044A09" w:rsidRPr="00B22C17">
        <w:rPr>
          <w:rFonts w:ascii="Times New Roman" w:hAnsi="Times New Roman" w:cs="Times New Roman"/>
          <w:lang w:val="en-US"/>
        </w:rPr>
        <w:t>,</w:t>
      </w:r>
      <w:r w:rsidR="007F5FCA" w:rsidRPr="00B22C17">
        <w:rPr>
          <w:rFonts w:ascii="Times New Roman" w:hAnsi="Times New Roman" w:cs="Times New Roman"/>
          <w:lang w:val="en-US"/>
        </w:rPr>
        <w:t xml:space="preserve"> walking difficulty, standing difficulty, and sitting difficulty</w:t>
      </w:r>
      <w:r w:rsidR="00961344" w:rsidRPr="00B22C17">
        <w:rPr>
          <w:rFonts w:ascii="Times New Roman" w:hAnsi="Times New Roman" w:cs="Times New Roman"/>
          <w:lang w:val="en-US"/>
        </w:rPr>
        <w:t xml:space="preserve"> </w:t>
      </w:r>
      <w:r w:rsidR="0026619C" w:rsidRPr="00B22C17">
        <w:rPr>
          <w:rFonts w:ascii="Times New Roman" w:hAnsi="Times New Roman" w:cs="Times New Roman"/>
          <w:lang w:val="en-US"/>
        </w:rPr>
        <w:fldChar w:fldCharType="begin"/>
      </w:r>
      <w:r w:rsidR="008926F8" w:rsidRPr="00B22C17">
        <w:rPr>
          <w:rFonts w:ascii="Times New Roman" w:hAnsi="Times New Roman" w:cs="Times New Roman"/>
          <w:lang w:val="en-US"/>
        </w:rPr>
        <w:instrText xml:space="preserve"> ADDIN ZOTERO_ITEM CSL_CITATION {"citationID":"iyfsB93O","properties":{"formattedCitation":"[22,23]","plainCitation":"[22,23]","noteIndex":0},"citationItems":[{"id":20284,"uris":["http://zotero.org/users/local/hhPVnw6l/items/BEA6NXRR"],"uri":["http://zotero.org/users/local/hhPVnw6l/items/BEA6NXRR"],"itemData":{"id":20284,"type":"article-journal","abstract":"Low back pain (LBP) is a widely prevalent chronic pain disorder associated with a high burden on individuals and society. In the subjective perception of patients with LBP, probably the most important health outcomes associated with LBP are those that effect everyday performance. Such outcomes include reduction in activities of daily living (ADL), in work ability (WA), and in sexual function. This narrative review aimed to (1) examine the association between LBP and the three mentioned outcomes of everyday performance, (2) to explain possible mediating factors promoting these associations, and (3) to discuss possible implications for treatment and rehabilitation. Studies have shown that LBP can generate anxiety of movement leading to movement avoidance (fear-avoidance beliefs), which may lead to deconditioning and further increasing problems with ADL, WA and decreasing sexual function. Furthermore, common mental disorders, such as depression, anxiety, and stress-related disorders, which also often co-occur with LBP can lead to adverse effects on everyday performance and vice versa, can be the consequence of such problems and aggravate LBP. Although there is no universally accepted treatment modality that fits every patient with LBP, physical training, comprehensive patient education, and workplace or home modifications have been shown to be able to interrupt the mutual influence between LBP and the described mediating factors, and have a beneficial effect on ADL, WA, and sexual function. For this, a multidisciplinary approach is necessary which includes multiprofessional care teams, participation of the patients, and involvement of different settings, such as workplace, home, and physical training facilities.","container-title":"Wiener Klinische Wochenschrift","DOI":"10.1007/s00508-019-01542-7","ISSN":"1613-7671","issue":"21-22","journalAbbreviation":"Wien Klin Wochenschr","language":"eng","note":"PMID: 31493101\nPMCID: PMC6851039","page":"541-549","source":"PubMed","title":"Association between low back pain and various everyday performances : Activities of daily living, ability to work and sexual function","title-short":"Association between low back pain and various everyday performances","volume":"131","author":[{"family":"Grabovac","given":"Igor"},{"family":"Dorner","given":"Thomas Ernst"}],"issued":{"date-parts":[["2019",11]]}}},{"id":20281,"uris":["http://zotero.org/users/local/hhPVnw6l/items/TNGCDW2H"],"uri":["http://zotero.org/users/local/hhPVnw6l/items/TNGCDW2H"],"itemData":{"id":20281,"type":"article-journal","abstract":"Background Excess weight can increase absenteeism of workers and can have a negative influence on their productivity. Current evidence on this association is mostly based on cross-sectional data and there is little evidence concerning the longitudinal relationship between obesity, and disability with workplace absenteeism. Further, gender differences in this association have often ignored in the existing literature. Objectives This study aims to examine gender differences in the longitudinal association between obesity, and disability with absenteeism in the workplace. Methods Data from thirteen waves (2006 to 2018) of the Household, Income and Labour Dynamics in Australia (HILDA) survey were pooled, resulting in 117,769 observations for 19,851 adult employees. The Zero-Inflated Negative Binomial (ZINB) regression model was deployed to investigate the links between obesity, and disability with workplace absenteeism for the total sample and stratified by gender. Results The findings showed that overweight (Incidence Rate Ratio [IRR]: 1.23, 95% confidence interval [CI]: 1.02–1.47), obesity (IRR: 1.35, 95% CI: 1.12–1.64) and disability (IRR: 2.83, 95% CI: 2.36–3.38) were associated with prolonged workplace absenteeism irrespective of gender. This study found that the multiplicative interaction between weight status and gender is significantly associated with absenteeism. The results reveal that the rate of absenteeism was 2.79 times (IRR: 2.79, 95% CI: 1.96–3.97) and 1.73 times (IRR: 1.73, 95% CI: 1.20–2.48) higher among overweight and obese women than male counterparts, respectively. Moreover, this study found that the weight status of male workers is not associated with absenteeism. However, disability (IRR: 3.14, 95% CI: 2.43–4.05) is positively associated with longer days of absence among male workers. Finally, the study results showed that the rate of absenteeism is 1.82 (IRR: 1.82, 95% CI: 1.36–2.44), 1.61 (IRR: 1.61, 95% CI: 1.21–2.13), and 2.63 (IRR: 2.63, 95% CI: 1.99–3.48) times higher among overweight, obese, and female workers with a disability, respectively, compared with their lower weight counterparts. Conclusions Workplace absenteeism is significantly associated with overweight and obesity among Australian workers. An active workplace health promotion program is very important for weight management of overweight and obese workers and thus to reduce workplace absenteeism. For example, employers may provide incentives for maintaining recommended body weights, encourage exercise, and promote healthy diets amongst their workers.","container-title":"PLOS ONE","DOI":"10.1371/journal.pone.0233512","ISSN":"1932-6203","issue":"5","journalAbbreviation":"PLOS ONE","language":"en","note":"publisher: Public Library of Science","page":"e0233512","source":"PLoS Journals","title":"Gender differences in the longitudinal association between obesity, and disability with workplace absenteeism in the Australian working population","volume":"15","author":[{"family":"Keramat","given":"Syed Afroz"},{"family":"Alam","given":"Khorshed"},{"family":"Gow","given":"Jeff"},{"family":"Biddle","given":"Stuart J. H."}],"issued":{"date-parts":[["2020",5,27]]}}}],"schema":"https://github.com/citation-style-language/schema/raw/master/csl-citation.json"} </w:instrText>
      </w:r>
      <w:r w:rsidR="0026619C" w:rsidRPr="00B22C17">
        <w:rPr>
          <w:rFonts w:ascii="Times New Roman" w:hAnsi="Times New Roman" w:cs="Times New Roman"/>
          <w:lang w:val="en-US"/>
        </w:rPr>
        <w:fldChar w:fldCharType="separate"/>
      </w:r>
      <w:r w:rsidR="008926F8" w:rsidRPr="00B22C17">
        <w:rPr>
          <w:rFonts w:ascii="Times New Roman" w:hAnsi="Times New Roman" w:cs="Times New Roman"/>
          <w:noProof/>
          <w:lang w:val="en-US"/>
        </w:rPr>
        <w:t>[22,23]</w:t>
      </w:r>
      <w:r w:rsidR="0026619C" w:rsidRPr="00B22C17">
        <w:rPr>
          <w:rFonts w:ascii="Times New Roman" w:hAnsi="Times New Roman" w:cs="Times New Roman"/>
          <w:lang w:val="en-US"/>
        </w:rPr>
        <w:fldChar w:fldCharType="end"/>
      </w:r>
      <w:r w:rsidR="00E37A94" w:rsidRPr="00B22C17">
        <w:rPr>
          <w:rFonts w:ascii="Times New Roman" w:hAnsi="Times New Roman" w:cs="Times New Roman"/>
          <w:lang w:val="en-US"/>
        </w:rPr>
        <w:t xml:space="preserve"> </w:t>
      </w:r>
      <w:r w:rsidR="00076899" w:rsidRPr="00B22C17">
        <w:rPr>
          <w:rFonts w:ascii="Times New Roman" w:hAnsi="Times New Roman" w:cs="Times New Roman"/>
          <w:lang w:val="en-US"/>
        </w:rPr>
        <w:t xml:space="preserve">may explain a substantial proportion of the relationship between </w:t>
      </w:r>
      <w:r w:rsidR="00FE5E22" w:rsidRPr="00B22C17">
        <w:rPr>
          <w:rFonts w:ascii="Times New Roman" w:hAnsi="Times New Roman" w:cs="Times New Roman"/>
          <w:lang w:val="en-US"/>
        </w:rPr>
        <w:t>BNP</w:t>
      </w:r>
      <w:r w:rsidR="00076899" w:rsidRPr="00B22C17">
        <w:rPr>
          <w:rFonts w:ascii="Times New Roman" w:hAnsi="Times New Roman" w:cs="Times New Roman"/>
          <w:lang w:val="en-US"/>
        </w:rPr>
        <w:t xml:space="preserve"> and </w:t>
      </w:r>
      <w:r w:rsidR="00F65BF3" w:rsidRPr="00B22C17">
        <w:rPr>
          <w:rFonts w:ascii="Times New Roman" w:hAnsi="Times New Roman" w:cs="Times New Roman"/>
          <w:lang w:val="en-US"/>
        </w:rPr>
        <w:t xml:space="preserve">workplace </w:t>
      </w:r>
      <w:r w:rsidR="00076899" w:rsidRPr="00B22C17">
        <w:rPr>
          <w:rFonts w:ascii="Times New Roman" w:hAnsi="Times New Roman" w:cs="Times New Roman"/>
          <w:lang w:val="en-US"/>
        </w:rPr>
        <w:t>absenteeism</w:t>
      </w:r>
      <w:r w:rsidR="00943976" w:rsidRPr="00B22C17">
        <w:rPr>
          <w:rFonts w:ascii="Times New Roman" w:hAnsi="Times New Roman" w:cs="Times New Roman"/>
          <w:lang w:val="en-US"/>
        </w:rPr>
        <w:t>,</w:t>
      </w:r>
      <w:r w:rsidR="00076899" w:rsidRPr="00B22C17">
        <w:rPr>
          <w:rFonts w:ascii="Times New Roman" w:hAnsi="Times New Roman" w:cs="Times New Roman"/>
          <w:lang w:val="en-US"/>
        </w:rPr>
        <w:t xml:space="preserve"> </w:t>
      </w:r>
      <w:r w:rsidR="00943976" w:rsidRPr="00B22C17">
        <w:rPr>
          <w:rFonts w:ascii="Times New Roman" w:hAnsi="Times New Roman" w:cs="Times New Roman"/>
          <w:lang w:val="en-US"/>
        </w:rPr>
        <w:t>as</w:t>
      </w:r>
      <w:r w:rsidR="00076899" w:rsidRPr="00B22C17">
        <w:rPr>
          <w:rFonts w:ascii="Times New Roman" w:hAnsi="Times New Roman" w:cs="Times New Roman"/>
          <w:lang w:val="en-US"/>
        </w:rPr>
        <w:t xml:space="preserve"> these variables are associated with both </w:t>
      </w:r>
      <w:r w:rsidR="00FE5E22" w:rsidRPr="00B22C17">
        <w:rPr>
          <w:rFonts w:ascii="Times New Roman" w:hAnsi="Times New Roman" w:cs="Times New Roman"/>
          <w:lang w:val="en-US"/>
        </w:rPr>
        <w:t>BNP</w:t>
      </w:r>
      <w:r w:rsidR="00076899" w:rsidRPr="00B22C17">
        <w:rPr>
          <w:rFonts w:ascii="Times New Roman" w:hAnsi="Times New Roman" w:cs="Times New Roman"/>
          <w:lang w:val="en-US"/>
        </w:rPr>
        <w:t xml:space="preserve"> and absenteeism.</w:t>
      </w:r>
      <w:r w:rsidR="00EB1FFF" w:rsidRPr="00B22C17">
        <w:rPr>
          <w:rFonts w:ascii="Times New Roman" w:hAnsi="Times New Roman" w:cs="Times New Roman"/>
          <w:lang w:val="en-US"/>
        </w:rPr>
        <w:t xml:space="preserve">  </w:t>
      </w:r>
    </w:p>
    <w:p w14:paraId="23C2FB23" w14:textId="77777777" w:rsidR="001E1757" w:rsidRPr="00B22C17" w:rsidRDefault="001E1757" w:rsidP="00374687">
      <w:pPr>
        <w:spacing w:line="480" w:lineRule="auto"/>
        <w:jc w:val="both"/>
        <w:rPr>
          <w:rFonts w:ascii="Times New Roman" w:hAnsi="Times New Roman" w:cs="Times New Roman"/>
          <w:b/>
          <w:bCs/>
          <w:lang w:val="en-US"/>
        </w:rPr>
      </w:pPr>
    </w:p>
    <w:p w14:paraId="767B9B74" w14:textId="40FC2277" w:rsidR="00EE1BBD" w:rsidRPr="00B22C17" w:rsidRDefault="00EE1BBD" w:rsidP="00C65FFB">
      <w:pPr>
        <w:pStyle w:val="Heading1"/>
      </w:pPr>
      <w:r w:rsidRPr="00B22C17">
        <w:t>Methods</w:t>
      </w:r>
    </w:p>
    <w:p w14:paraId="404F8BEF" w14:textId="46B822FF" w:rsidR="00EE1BBD" w:rsidRPr="00B22C17" w:rsidRDefault="00EE1BBD" w:rsidP="00374687">
      <w:pPr>
        <w:spacing w:line="480" w:lineRule="auto"/>
        <w:jc w:val="both"/>
        <w:rPr>
          <w:rFonts w:ascii="Times New Roman" w:hAnsi="Times New Roman" w:cs="Times New Roman"/>
          <w:b/>
          <w:bCs/>
          <w:lang w:val="en-US"/>
        </w:rPr>
      </w:pPr>
    </w:p>
    <w:p w14:paraId="21235BF1" w14:textId="1C66BD76" w:rsidR="00EE1BBD" w:rsidRPr="00C65FFB" w:rsidRDefault="007108C4" w:rsidP="00C65FFB">
      <w:pPr>
        <w:pStyle w:val="Heading2"/>
      </w:pPr>
      <w:r w:rsidRPr="00C65FFB">
        <w:t>Study participants</w:t>
      </w:r>
    </w:p>
    <w:p w14:paraId="2C7F183B" w14:textId="15638AA9" w:rsidR="007108C4" w:rsidRPr="00B22C17" w:rsidRDefault="00AC0DD2" w:rsidP="00374687">
      <w:pPr>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Adults participating in the RAND American Life Panel (ALP) </w:t>
      </w:r>
      <w:r w:rsidR="005C5374" w:rsidRPr="00B22C17">
        <w:rPr>
          <w:rFonts w:ascii="Times New Roman" w:hAnsi="Times New Roman" w:cs="Times New Roman"/>
          <w:lang w:val="en-US"/>
        </w:rPr>
        <w:t xml:space="preserve">in 2019 </w:t>
      </w:r>
      <w:r w:rsidR="00610D57" w:rsidRPr="00B22C17">
        <w:rPr>
          <w:rFonts w:ascii="Times New Roman" w:hAnsi="Times New Roman" w:cs="Times New Roman"/>
          <w:lang w:val="en-US"/>
        </w:rPr>
        <w:t xml:space="preserve">(Health and Functional Capacity Survey) </w:t>
      </w:r>
      <w:r w:rsidRPr="00B22C17">
        <w:rPr>
          <w:rFonts w:ascii="Times New Roman" w:hAnsi="Times New Roman" w:cs="Times New Roman"/>
          <w:lang w:val="en-US"/>
        </w:rPr>
        <w:t>were included in this retrospective study</w:t>
      </w:r>
      <w:r w:rsidR="0096580B" w:rsidRPr="00B22C17">
        <w:rPr>
          <w:rFonts w:ascii="Times New Roman" w:hAnsi="Times New Roman" w:cs="Times New Roman"/>
          <w:lang w:val="en-US"/>
        </w:rPr>
        <w:t xml:space="preserve"> </w:t>
      </w:r>
      <w:r w:rsidR="00E00F54" w:rsidRPr="00B22C17">
        <w:rPr>
          <w:rFonts w:ascii="Times New Roman" w:hAnsi="Times New Roman" w:cs="Times New Roman"/>
          <w:lang w:val="en-US"/>
        </w:rPr>
        <w:fldChar w:fldCharType="begin"/>
      </w:r>
      <w:r w:rsidR="008926F8" w:rsidRPr="00B22C17">
        <w:rPr>
          <w:rFonts w:ascii="Times New Roman" w:hAnsi="Times New Roman" w:cs="Times New Roman"/>
          <w:lang w:val="en-US"/>
        </w:rPr>
        <w:instrText xml:space="preserve"> ADDIN ZOTERO_ITEM CSL_CITATION {"citationID":"0rEVQEmc","properties":{"formattedCitation":"[24]","plainCitation":"[24]","noteIndex":0},"citationItems":[{"id":18375,"uris":["http://zotero.org/users/local/hhPVnw6l/items/NYBV7JGU"],"uri":["http://zotero.org/users/local/hhPVnw6l/items/NYBV7JGU"],"itemData":{"id":18375,"type":"report","event-place":"Santa Monica","publisher":"RAND Corporation","publisher-place":"Santa Monica","title":"The RAND American Life Panel: Technical Description","URL":"https://www.rand.org/pubs/research_reports/RR1651.html","author":[{"family":"Pollard","given":"Michael S."},{"family":"Baird","given":"Matthew D."}],"issued":{"date-parts":[["2017"]]}}}],"schema":"https://github.com/citation-style-language/schema/raw/master/csl-citation.json"} </w:instrText>
      </w:r>
      <w:r w:rsidR="00E00F54" w:rsidRPr="00B22C17">
        <w:rPr>
          <w:rFonts w:ascii="Times New Roman" w:hAnsi="Times New Roman" w:cs="Times New Roman"/>
          <w:lang w:val="en-US"/>
        </w:rPr>
        <w:fldChar w:fldCharType="separate"/>
      </w:r>
      <w:r w:rsidR="008926F8" w:rsidRPr="00B22C17">
        <w:rPr>
          <w:rFonts w:ascii="Times New Roman" w:hAnsi="Times New Roman" w:cs="Times New Roman"/>
          <w:noProof/>
          <w:lang w:val="en-US"/>
        </w:rPr>
        <w:t>[24]</w:t>
      </w:r>
      <w:r w:rsidR="00E00F54" w:rsidRPr="00B22C17">
        <w:rPr>
          <w:rFonts w:ascii="Times New Roman" w:hAnsi="Times New Roman" w:cs="Times New Roman"/>
          <w:lang w:val="en-US"/>
        </w:rPr>
        <w:fldChar w:fldCharType="end"/>
      </w:r>
      <w:r w:rsidRPr="00B22C17">
        <w:rPr>
          <w:rFonts w:ascii="Times New Roman" w:hAnsi="Times New Roman" w:cs="Times New Roman"/>
          <w:lang w:val="en-US"/>
        </w:rPr>
        <w:t>.</w:t>
      </w:r>
      <w:r w:rsidR="0096580B" w:rsidRPr="00B22C17">
        <w:rPr>
          <w:rFonts w:ascii="Times New Roman" w:hAnsi="Times New Roman" w:cs="Times New Roman"/>
          <w:lang w:val="en-US"/>
        </w:rPr>
        <w:t xml:space="preserve"> </w:t>
      </w:r>
      <w:r w:rsidR="0046042A" w:rsidRPr="00B22C17">
        <w:rPr>
          <w:rFonts w:ascii="Times New Roman" w:hAnsi="Times New Roman" w:cs="Times New Roman"/>
          <w:lang w:val="en-US"/>
        </w:rPr>
        <w:t xml:space="preserve">The RAND ALP corresponds to a US nationally representative panel of around 6,000 adults aged 18 years or over from approximatively 4,500 households. </w:t>
      </w:r>
      <w:r w:rsidR="005F3177" w:rsidRPr="00B22C17">
        <w:rPr>
          <w:rFonts w:ascii="Times New Roman" w:hAnsi="Times New Roman" w:cs="Times New Roman"/>
          <w:lang w:val="en-US"/>
        </w:rPr>
        <w:t xml:space="preserve">Online interviews have been regularly conducted since the beginning of the survey in 2006. </w:t>
      </w:r>
      <w:r w:rsidR="00616944" w:rsidRPr="00B22C17">
        <w:rPr>
          <w:rFonts w:ascii="Times New Roman" w:hAnsi="Times New Roman" w:cs="Times New Roman"/>
          <w:lang w:val="en-US"/>
        </w:rPr>
        <w:t>Sampling weights taking into account non-response and the probability of being selected were used, and t</w:t>
      </w:r>
      <w:r w:rsidR="00A02828" w:rsidRPr="00B22C17">
        <w:rPr>
          <w:rFonts w:ascii="Times New Roman" w:hAnsi="Times New Roman" w:cs="Times New Roman"/>
          <w:lang w:val="en-US"/>
        </w:rPr>
        <w:t xml:space="preserve">he sample included in the RAND ALP </w:t>
      </w:r>
      <w:r w:rsidR="00616944" w:rsidRPr="00B22C17">
        <w:rPr>
          <w:rFonts w:ascii="Times New Roman" w:hAnsi="Times New Roman" w:cs="Times New Roman"/>
          <w:lang w:val="en-US"/>
        </w:rPr>
        <w:t>was</w:t>
      </w:r>
      <w:r w:rsidR="00A02828" w:rsidRPr="00B22C17">
        <w:rPr>
          <w:rFonts w:ascii="Times New Roman" w:hAnsi="Times New Roman" w:cs="Times New Roman"/>
          <w:lang w:val="en-US"/>
        </w:rPr>
        <w:t xml:space="preserve"> representative of </w:t>
      </w:r>
      <w:r w:rsidR="00203C45" w:rsidRPr="00B22C17">
        <w:rPr>
          <w:rFonts w:ascii="Times New Roman" w:hAnsi="Times New Roman" w:cs="Times New Roman"/>
          <w:lang w:val="en-US"/>
        </w:rPr>
        <w:t xml:space="preserve">the </w:t>
      </w:r>
      <w:r w:rsidR="00A02828" w:rsidRPr="00B22C17">
        <w:rPr>
          <w:rFonts w:ascii="Times New Roman" w:hAnsi="Times New Roman" w:cs="Times New Roman"/>
          <w:lang w:val="en-US"/>
        </w:rPr>
        <w:t xml:space="preserve">US civilian and residential </w:t>
      </w:r>
      <w:r w:rsidR="00203C45" w:rsidRPr="00B22C17">
        <w:rPr>
          <w:rFonts w:ascii="Times New Roman" w:hAnsi="Times New Roman" w:cs="Times New Roman"/>
          <w:lang w:val="en-US"/>
        </w:rPr>
        <w:t>population</w:t>
      </w:r>
      <w:r w:rsidR="00A02828" w:rsidRPr="00B22C17">
        <w:rPr>
          <w:rFonts w:ascii="Times New Roman" w:hAnsi="Times New Roman" w:cs="Times New Roman"/>
          <w:lang w:val="en-US"/>
        </w:rPr>
        <w:t xml:space="preserve"> aged 18 years or over</w:t>
      </w:r>
      <w:r w:rsidR="0096580B" w:rsidRPr="00B22C17">
        <w:rPr>
          <w:rFonts w:ascii="Times New Roman" w:hAnsi="Times New Roman" w:cs="Times New Roman"/>
          <w:lang w:val="en-US"/>
        </w:rPr>
        <w:t xml:space="preserve"> </w:t>
      </w:r>
      <w:r w:rsidR="00294947" w:rsidRPr="00B22C17">
        <w:rPr>
          <w:rFonts w:ascii="Times New Roman" w:hAnsi="Times New Roman" w:cs="Times New Roman"/>
          <w:lang w:val="en-US"/>
        </w:rPr>
        <w:fldChar w:fldCharType="begin"/>
      </w:r>
      <w:r w:rsidR="008926F8" w:rsidRPr="00B22C17">
        <w:rPr>
          <w:rFonts w:ascii="Times New Roman" w:hAnsi="Times New Roman" w:cs="Times New Roman"/>
          <w:lang w:val="en-US"/>
        </w:rPr>
        <w:instrText xml:space="preserve"> ADDIN ZOTERO_ITEM CSL_CITATION {"citationID":"NVX5zAtq","properties":{"formattedCitation":"[24]","plainCitation":"[24]","noteIndex":0},"citationItems":[{"id":18375,"uris":["http://zotero.org/users/local/hhPVnw6l/items/NYBV7JGU"],"uri":["http://zotero.org/users/local/hhPVnw6l/items/NYBV7JGU"],"itemData":{"id":18375,"type":"report","event-place":"Santa Monica","publisher":"RAND Corporation","publisher-place":"Santa Monica","title":"The RAND American Life Panel: Technical Description","URL":"https://www.rand.org/pubs/research_reports/RR1651.html","author":[{"family":"Pollard","given":"Michael S."},{"family":"Baird","given":"Matthew D."}],"issued":{"date-parts":[["2017"]]}}}],"schema":"https://github.com/citation-style-language/schema/raw/master/csl-citation.json"} </w:instrText>
      </w:r>
      <w:r w:rsidR="00294947" w:rsidRPr="00B22C17">
        <w:rPr>
          <w:rFonts w:ascii="Times New Roman" w:hAnsi="Times New Roman" w:cs="Times New Roman"/>
          <w:lang w:val="en-US"/>
        </w:rPr>
        <w:fldChar w:fldCharType="separate"/>
      </w:r>
      <w:r w:rsidR="008926F8" w:rsidRPr="00B22C17">
        <w:rPr>
          <w:rFonts w:ascii="Times New Roman" w:hAnsi="Times New Roman" w:cs="Times New Roman"/>
          <w:noProof/>
          <w:lang w:val="en-US"/>
        </w:rPr>
        <w:t>[24]</w:t>
      </w:r>
      <w:r w:rsidR="00294947" w:rsidRPr="00B22C17">
        <w:rPr>
          <w:rFonts w:ascii="Times New Roman" w:hAnsi="Times New Roman" w:cs="Times New Roman"/>
          <w:lang w:val="en-US"/>
        </w:rPr>
        <w:fldChar w:fldCharType="end"/>
      </w:r>
      <w:r w:rsidR="00A02828" w:rsidRPr="00B22C17">
        <w:rPr>
          <w:rFonts w:ascii="Times New Roman" w:hAnsi="Times New Roman" w:cs="Times New Roman"/>
          <w:lang w:val="en-US"/>
        </w:rPr>
        <w:t>.</w:t>
      </w:r>
      <w:r w:rsidR="0096580B" w:rsidRPr="00B22C17">
        <w:rPr>
          <w:rFonts w:ascii="Times New Roman" w:hAnsi="Times New Roman" w:cs="Times New Roman"/>
          <w:vertAlign w:val="superscript"/>
          <w:lang w:val="en-US"/>
        </w:rPr>
        <w:t xml:space="preserve"> </w:t>
      </w:r>
      <w:r w:rsidR="008B1DD6" w:rsidRPr="00B22C17">
        <w:rPr>
          <w:rFonts w:ascii="Times New Roman" w:hAnsi="Times New Roman" w:cs="Times New Roman"/>
          <w:lang w:val="en-US"/>
        </w:rPr>
        <w:t>Online</w:t>
      </w:r>
      <w:r w:rsidR="00D45D36" w:rsidRPr="00B22C17">
        <w:rPr>
          <w:rFonts w:ascii="Times New Roman" w:hAnsi="Times New Roman" w:cs="Times New Roman"/>
          <w:lang w:val="en-US"/>
        </w:rPr>
        <w:t xml:space="preserve"> consent was obtained from all responders, and</w:t>
      </w:r>
      <w:r w:rsidR="004F252D" w:rsidRPr="00B22C17">
        <w:rPr>
          <w:rFonts w:ascii="Times New Roman" w:hAnsi="Times New Roman" w:cs="Times New Roman"/>
          <w:lang w:val="en-US"/>
        </w:rPr>
        <w:t xml:space="preserve"> this research received formal approval from</w:t>
      </w:r>
      <w:r w:rsidR="00D45D36" w:rsidRPr="00B22C17">
        <w:rPr>
          <w:rFonts w:ascii="Times New Roman" w:hAnsi="Times New Roman" w:cs="Times New Roman"/>
          <w:lang w:val="en-US"/>
        </w:rPr>
        <w:t xml:space="preserve"> the RAND’s Human Subjects Protection Committee</w:t>
      </w:r>
      <w:r w:rsidR="0096580B" w:rsidRPr="00B22C17">
        <w:rPr>
          <w:rFonts w:ascii="Times New Roman" w:hAnsi="Times New Roman" w:cs="Times New Roman"/>
          <w:lang w:val="en-US"/>
        </w:rPr>
        <w:t xml:space="preserve"> </w:t>
      </w:r>
      <w:r w:rsidR="00346B69" w:rsidRPr="00B22C17">
        <w:rPr>
          <w:rFonts w:ascii="Times New Roman" w:hAnsi="Times New Roman" w:cs="Times New Roman"/>
          <w:lang w:val="en-US"/>
        </w:rPr>
        <w:fldChar w:fldCharType="begin"/>
      </w:r>
      <w:r w:rsidR="008926F8" w:rsidRPr="00B22C17">
        <w:rPr>
          <w:rFonts w:ascii="Times New Roman" w:hAnsi="Times New Roman" w:cs="Times New Roman"/>
          <w:lang w:val="en-US"/>
        </w:rPr>
        <w:instrText xml:space="preserve"> ADDIN ZOTERO_ITEM CSL_CITATION {"citationID":"vLtK7Tmr","properties":{"formattedCitation":"[25]","plainCitation":"[25]","noteIndex":0},"citationItems":[{"id":18381,"uris":["http://zotero.org/users/local/hhPVnw6l/items/SSM9XVRI"],"uri":["http://zotero.org/users/local/hhPVnw6l/items/SSM9XVRI"],"itemData":{"id":18381,"type":"article-journal","abstract":"OBJECTIVE: Flu vaccinations are recommended for almost everyone, but uptake may vary because of perceived social norms. We aimed to examine the relationship between perceived social circle vaccine coverage (including family, friends, and acquaintances) and own vaccination behavior as well as potential mediators.\nMETHODS: In 2011, 357 participants from RAND's American Life Panel reported perceived social circle vaccine coverage for the 2010-2011 flu season, own vaccination behavior for the 2009-2010 and 2010-2011 flu seasons, perceived flu risk without and with vaccination, and perceived vaccine safety. In 2012 and 2016, respectively, participants returned to report their own vaccination behavior for the 2011-2012 flu season (N = 338) and 2015-2016 flu season (N = 216).\nRESULTS: Perceiving greater percentage of 2010-2011 social circle vaccine coverage was associated with a greater likelihood of getting vaccinated in the 2010-2011 flu season (odds ratio [OR] = 1.03, 95% confidence interval [CI] = 1.01, 1.04) and the subsequent 2011-2012 flu season (OR = 1.02, 95% CI = 1.01, 1.03) but not the 2015-2016 flu season (OR = 1.00, 95% CI = .99, 1.01), as seen in logistic regressions that controlled for demographics and 2009-2010 vaccination behavior. All significant relationships between social circle vaccine coverage and own vaccination behavior were mediated by perceived flu risk without vaccination.\nCONCLUSIONS: Perceived social circle vaccine coverage is associated with own vaccination behavior in the current and subsequent flu season, establishing behavior patterns that may persist into the future. People's vaccination decisions may be informed by their perceptions of their peers' beliefs and behaviors. We discuss intervention strategies for promoting vaccine uptake by counteracting negative and promoting positive perceived social norms. (PsycINFO Database Record (c) 2019 APA, all rights reserved).","container-title":"Health Psychology: Official Journal of the Division of Health Psychology, American Psychological Association","DOI":"10.1037/hea0000771","ISSN":"1930-7810","issue":"11","journalAbbreviation":"Health Psychol","language":"eng","note":"PMID: 31259597\nPMCID: PMC7038818","page":"975-983","source":"PubMed","title":"Reports of social circles' and own vaccination behavior: A national longitudinal survey","title-short":"Reports of social circles' and own vaccination behavior","volume":"38","author":[{"family":"Bruine de Bruin","given":"Wändi"},{"family":"Parker","given":"Andrew M."},{"family":"Galesic","given":"Mirta"},{"family":"Vardavas","given":"Raffaele"}],"issued":{"date-parts":[["2019",11]]}}}],"schema":"https://github.com/citation-style-language/schema/raw/master/csl-citation.json"} </w:instrText>
      </w:r>
      <w:r w:rsidR="00346B69" w:rsidRPr="00B22C17">
        <w:rPr>
          <w:rFonts w:ascii="Times New Roman" w:hAnsi="Times New Roman" w:cs="Times New Roman"/>
          <w:lang w:val="en-US"/>
        </w:rPr>
        <w:fldChar w:fldCharType="separate"/>
      </w:r>
      <w:r w:rsidR="008926F8" w:rsidRPr="00B22C17">
        <w:rPr>
          <w:rFonts w:ascii="Times New Roman" w:hAnsi="Times New Roman" w:cs="Times New Roman"/>
          <w:noProof/>
          <w:lang w:val="en-US"/>
        </w:rPr>
        <w:t>[25]</w:t>
      </w:r>
      <w:r w:rsidR="00346B69" w:rsidRPr="00B22C17">
        <w:rPr>
          <w:rFonts w:ascii="Times New Roman" w:hAnsi="Times New Roman" w:cs="Times New Roman"/>
          <w:lang w:val="en-US"/>
        </w:rPr>
        <w:fldChar w:fldCharType="end"/>
      </w:r>
      <w:r w:rsidR="00D45D36" w:rsidRPr="00B22C17">
        <w:rPr>
          <w:rFonts w:ascii="Times New Roman" w:hAnsi="Times New Roman" w:cs="Times New Roman"/>
          <w:lang w:val="en-US"/>
        </w:rPr>
        <w:t>.</w:t>
      </w:r>
      <w:r w:rsidR="0096580B" w:rsidRPr="00B22C17">
        <w:rPr>
          <w:rFonts w:ascii="Times New Roman" w:hAnsi="Times New Roman" w:cs="Times New Roman"/>
          <w:vertAlign w:val="superscript"/>
          <w:lang w:val="en-US"/>
        </w:rPr>
        <w:t xml:space="preserve"> </w:t>
      </w:r>
      <w:r w:rsidR="0064545F" w:rsidRPr="00B22C17">
        <w:rPr>
          <w:rFonts w:ascii="Times New Roman" w:hAnsi="Times New Roman" w:cs="Times New Roman"/>
          <w:lang w:val="en-US"/>
        </w:rPr>
        <w:t xml:space="preserve">Finally, the flow chart of study participants is displayed in </w:t>
      </w:r>
      <w:r w:rsidR="0064545F" w:rsidRPr="00B22C17">
        <w:rPr>
          <w:rFonts w:ascii="Times New Roman" w:hAnsi="Times New Roman" w:cs="Times New Roman"/>
          <w:b/>
          <w:bCs/>
          <w:lang w:val="en-US"/>
        </w:rPr>
        <w:t>Figure 1</w:t>
      </w:r>
      <w:r w:rsidR="0064545F" w:rsidRPr="00B22C17">
        <w:rPr>
          <w:rFonts w:ascii="Times New Roman" w:hAnsi="Times New Roman" w:cs="Times New Roman"/>
          <w:lang w:val="en-US"/>
        </w:rPr>
        <w:t xml:space="preserve">. </w:t>
      </w:r>
    </w:p>
    <w:p w14:paraId="28FCAE72" w14:textId="00BD270E" w:rsidR="003A1093" w:rsidRPr="00B22C17" w:rsidRDefault="003A1093" w:rsidP="00374687">
      <w:pPr>
        <w:spacing w:line="480" w:lineRule="auto"/>
        <w:jc w:val="both"/>
        <w:rPr>
          <w:rFonts w:ascii="Times New Roman" w:hAnsi="Times New Roman" w:cs="Times New Roman"/>
          <w:lang w:val="en-US"/>
        </w:rPr>
      </w:pPr>
    </w:p>
    <w:p w14:paraId="738FFD2E" w14:textId="5F8D27B0" w:rsidR="003A1093" w:rsidRPr="00B22C17" w:rsidRDefault="003A1093" w:rsidP="00C65FFB">
      <w:pPr>
        <w:pStyle w:val="Heading2"/>
      </w:pPr>
      <w:r w:rsidRPr="00B22C17">
        <w:t>Variables</w:t>
      </w:r>
    </w:p>
    <w:p w14:paraId="4538653A" w14:textId="2BFDF58F" w:rsidR="003A1093" w:rsidRPr="00C65FFB" w:rsidRDefault="003A1093" w:rsidP="00C65FFB">
      <w:pPr>
        <w:pStyle w:val="Heading3"/>
      </w:pPr>
      <w:r w:rsidRPr="00C65FFB">
        <w:t>Work</w:t>
      </w:r>
      <w:r w:rsidR="00FD5161" w:rsidRPr="00C65FFB">
        <w:t>place</w:t>
      </w:r>
      <w:r w:rsidRPr="00C65FFB">
        <w:t xml:space="preserve"> absenteeism (dependent variable)</w:t>
      </w:r>
    </w:p>
    <w:p w14:paraId="44326799" w14:textId="77C36FE4" w:rsidR="003E57D5" w:rsidRPr="00B22C17" w:rsidRDefault="00C91AEC" w:rsidP="00374687">
      <w:pPr>
        <w:spacing w:line="480" w:lineRule="auto"/>
        <w:jc w:val="both"/>
        <w:rPr>
          <w:rFonts w:ascii="Times New Roman" w:hAnsi="Times New Roman" w:cs="Times New Roman"/>
          <w:lang w:val="en-US"/>
        </w:rPr>
      </w:pPr>
      <w:r w:rsidRPr="00B22C17">
        <w:rPr>
          <w:rFonts w:ascii="Times New Roman" w:hAnsi="Times New Roman" w:cs="Times New Roman"/>
          <w:lang w:val="en-US"/>
        </w:rPr>
        <w:t>Work</w:t>
      </w:r>
      <w:r w:rsidR="00FD5161" w:rsidRPr="00B22C17">
        <w:rPr>
          <w:rFonts w:ascii="Times New Roman" w:hAnsi="Times New Roman" w:cs="Times New Roman"/>
          <w:lang w:val="en-US"/>
        </w:rPr>
        <w:t>place</w:t>
      </w:r>
      <w:r w:rsidRPr="00B22C17">
        <w:rPr>
          <w:rFonts w:ascii="Times New Roman" w:hAnsi="Times New Roman" w:cs="Times New Roman"/>
          <w:lang w:val="en-US"/>
        </w:rPr>
        <w:t xml:space="preserve"> absenteeism was assessed with the question “</w:t>
      </w:r>
      <w:r w:rsidR="001E1C59" w:rsidRPr="00B22C17">
        <w:rPr>
          <w:rFonts w:ascii="Times New Roman" w:hAnsi="Times New Roman" w:cs="Times New Roman"/>
          <w:lang w:val="en-US"/>
        </w:rPr>
        <w:t>Over the past 12 months how many days in total were you absent from work for health-related reasons?</w:t>
      </w:r>
      <w:r w:rsidRPr="00B22C17">
        <w:rPr>
          <w:rFonts w:ascii="Times New Roman" w:hAnsi="Times New Roman" w:cs="Times New Roman"/>
          <w:lang w:val="en-US"/>
        </w:rPr>
        <w:t>”.</w:t>
      </w:r>
      <w:r w:rsidR="00C6413F" w:rsidRPr="00B22C17">
        <w:rPr>
          <w:rFonts w:ascii="Times New Roman" w:hAnsi="Times New Roman" w:cs="Times New Roman"/>
          <w:lang w:val="en-US"/>
        </w:rPr>
        <w:t xml:space="preserve"> </w:t>
      </w:r>
      <w:r w:rsidR="003E57D5" w:rsidRPr="00B22C17">
        <w:rPr>
          <w:rFonts w:ascii="Times New Roman" w:hAnsi="Times New Roman" w:cs="Times New Roman"/>
          <w:lang w:val="en-US"/>
        </w:rPr>
        <w:t>Work</w:t>
      </w:r>
      <w:r w:rsidR="00FD5161" w:rsidRPr="00B22C17">
        <w:rPr>
          <w:rFonts w:ascii="Times New Roman" w:hAnsi="Times New Roman" w:cs="Times New Roman"/>
          <w:lang w:val="en-US"/>
        </w:rPr>
        <w:t>place</w:t>
      </w:r>
      <w:r w:rsidR="003E57D5" w:rsidRPr="00B22C17">
        <w:rPr>
          <w:rFonts w:ascii="Times New Roman" w:hAnsi="Times New Roman" w:cs="Times New Roman"/>
          <w:lang w:val="en-US"/>
        </w:rPr>
        <w:t xml:space="preserve"> absenteeism was either included in the analyses as a </w:t>
      </w:r>
      <w:r w:rsidR="00DD3538" w:rsidRPr="00B22C17">
        <w:rPr>
          <w:rFonts w:ascii="Times New Roman" w:hAnsi="Times New Roman" w:cs="Times New Roman"/>
          <w:lang w:val="en-US"/>
        </w:rPr>
        <w:t>count</w:t>
      </w:r>
      <w:r w:rsidR="003E57D5" w:rsidRPr="00B22C17">
        <w:rPr>
          <w:rFonts w:ascii="Times New Roman" w:hAnsi="Times New Roman" w:cs="Times New Roman"/>
          <w:lang w:val="en-US"/>
        </w:rPr>
        <w:t xml:space="preserve"> variable (i.e., number of days of absence) or as </w:t>
      </w:r>
      <w:r w:rsidR="00D906C4" w:rsidRPr="00B22C17">
        <w:rPr>
          <w:rFonts w:ascii="Times New Roman" w:hAnsi="Times New Roman" w:cs="Times New Roman"/>
          <w:lang w:val="en-US"/>
        </w:rPr>
        <w:t>two</w:t>
      </w:r>
      <w:r w:rsidR="003E57D5" w:rsidRPr="00B22C17">
        <w:rPr>
          <w:rFonts w:ascii="Times New Roman" w:hAnsi="Times New Roman" w:cs="Times New Roman"/>
          <w:lang w:val="en-US"/>
        </w:rPr>
        <w:t xml:space="preserve"> </w:t>
      </w:r>
      <w:r w:rsidR="00230330" w:rsidRPr="00B22C17">
        <w:rPr>
          <w:rFonts w:ascii="Times New Roman" w:hAnsi="Times New Roman" w:cs="Times New Roman"/>
          <w:lang w:val="en-US"/>
        </w:rPr>
        <w:t xml:space="preserve">distinct </w:t>
      </w:r>
      <w:r w:rsidR="003E57D5" w:rsidRPr="00B22C17">
        <w:rPr>
          <w:rFonts w:ascii="Times New Roman" w:hAnsi="Times New Roman" w:cs="Times New Roman"/>
          <w:lang w:val="en-US"/>
        </w:rPr>
        <w:t>categorical variable</w:t>
      </w:r>
      <w:r w:rsidR="00D906C4" w:rsidRPr="00B22C17">
        <w:rPr>
          <w:rFonts w:ascii="Times New Roman" w:hAnsi="Times New Roman" w:cs="Times New Roman"/>
          <w:lang w:val="en-US"/>
        </w:rPr>
        <w:t>s</w:t>
      </w:r>
      <w:r w:rsidR="003E57D5" w:rsidRPr="00B22C17">
        <w:rPr>
          <w:rFonts w:ascii="Times New Roman" w:hAnsi="Times New Roman" w:cs="Times New Roman"/>
          <w:lang w:val="en-US"/>
        </w:rPr>
        <w:t xml:space="preserve"> (i.e., ≥2 </w:t>
      </w:r>
      <w:r w:rsidR="007976B7" w:rsidRPr="00B22C17">
        <w:rPr>
          <w:rFonts w:ascii="Times New Roman" w:hAnsi="Times New Roman" w:cs="Times New Roman"/>
          <w:lang w:val="en-US"/>
        </w:rPr>
        <w:t xml:space="preserve">versus 0-1 </w:t>
      </w:r>
      <w:r w:rsidR="003E57D5" w:rsidRPr="00B22C17">
        <w:rPr>
          <w:rFonts w:ascii="Times New Roman" w:hAnsi="Times New Roman" w:cs="Times New Roman"/>
          <w:lang w:val="en-US"/>
        </w:rPr>
        <w:t>days of absence</w:t>
      </w:r>
      <w:r w:rsidR="00314DAA" w:rsidRPr="00B22C17">
        <w:rPr>
          <w:rFonts w:ascii="Times New Roman" w:hAnsi="Times New Roman" w:cs="Times New Roman"/>
          <w:lang w:val="en-US"/>
        </w:rPr>
        <w:t xml:space="preserve"> and ≥10 </w:t>
      </w:r>
      <w:r w:rsidR="007976B7" w:rsidRPr="00B22C17">
        <w:rPr>
          <w:rFonts w:ascii="Times New Roman" w:hAnsi="Times New Roman" w:cs="Times New Roman"/>
          <w:lang w:val="en-US"/>
        </w:rPr>
        <w:t xml:space="preserve">versus 0-9 </w:t>
      </w:r>
      <w:r w:rsidR="00314DAA" w:rsidRPr="00B22C17">
        <w:rPr>
          <w:rFonts w:ascii="Times New Roman" w:hAnsi="Times New Roman" w:cs="Times New Roman"/>
          <w:lang w:val="en-US"/>
        </w:rPr>
        <w:t>days of absence)</w:t>
      </w:r>
      <w:r w:rsidR="00536EF4" w:rsidRPr="00B22C17">
        <w:rPr>
          <w:rFonts w:ascii="Times New Roman" w:hAnsi="Times New Roman" w:cs="Times New Roman"/>
          <w:lang w:val="en-US"/>
        </w:rPr>
        <w:t xml:space="preserve">. The cutoff used for the first categorical variable </w:t>
      </w:r>
      <w:r w:rsidR="00CC2FDF" w:rsidRPr="00B22C17">
        <w:rPr>
          <w:rFonts w:ascii="Times New Roman" w:hAnsi="Times New Roman" w:cs="Times New Roman"/>
          <w:lang w:val="en-US"/>
        </w:rPr>
        <w:t xml:space="preserve">(i.e., 1 day) </w:t>
      </w:r>
      <w:r w:rsidR="00536EF4" w:rsidRPr="00B22C17">
        <w:rPr>
          <w:rFonts w:ascii="Times New Roman" w:hAnsi="Times New Roman" w:cs="Times New Roman"/>
          <w:lang w:val="en-US"/>
        </w:rPr>
        <w:t xml:space="preserve">corresponded </w:t>
      </w:r>
      <w:r w:rsidR="000D256A" w:rsidRPr="00B22C17">
        <w:rPr>
          <w:rFonts w:ascii="Times New Roman" w:hAnsi="Times New Roman" w:cs="Times New Roman"/>
          <w:lang w:val="en-US"/>
        </w:rPr>
        <w:t xml:space="preserve">to </w:t>
      </w:r>
      <w:r w:rsidR="00536EF4" w:rsidRPr="00B22C17">
        <w:rPr>
          <w:rFonts w:ascii="Times New Roman" w:hAnsi="Times New Roman" w:cs="Times New Roman"/>
          <w:lang w:val="en-US"/>
        </w:rPr>
        <w:t>the median number of days of absence in the study sample</w:t>
      </w:r>
      <w:r w:rsidR="000D256A" w:rsidRPr="00B22C17">
        <w:rPr>
          <w:rFonts w:ascii="Times New Roman" w:hAnsi="Times New Roman" w:cs="Times New Roman"/>
          <w:lang w:val="en-US"/>
        </w:rPr>
        <w:t>.</w:t>
      </w:r>
      <w:r w:rsidR="00536EF4" w:rsidRPr="00B22C17">
        <w:rPr>
          <w:rFonts w:ascii="Times New Roman" w:hAnsi="Times New Roman" w:cs="Times New Roman"/>
          <w:lang w:val="en-US"/>
        </w:rPr>
        <w:t xml:space="preserve"> </w:t>
      </w:r>
      <w:r w:rsidR="000D256A" w:rsidRPr="00B22C17">
        <w:rPr>
          <w:rFonts w:ascii="Times New Roman" w:hAnsi="Times New Roman" w:cs="Times New Roman"/>
          <w:lang w:val="en-US"/>
        </w:rPr>
        <w:t>Based on previous literature</w:t>
      </w:r>
      <w:r w:rsidR="00536EF4" w:rsidRPr="00B22C17">
        <w:rPr>
          <w:rFonts w:ascii="Times New Roman" w:hAnsi="Times New Roman" w:cs="Times New Roman"/>
          <w:lang w:val="en-US"/>
        </w:rPr>
        <w:t xml:space="preserve"> </w:t>
      </w:r>
      <w:r w:rsidR="00324907" w:rsidRPr="00B22C17">
        <w:rPr>
          <w:rFonts w:ascii="Times New Roman" w:hAnsi="Times New Roman" w:cs="Times New Roman"/>
          <w:lang w:val="en-US"/>
        </w:rPr>
        <w:fldChar w:fldCharType="begin"/>
      </w:r>
      <w:r w:rsidR="008926F8" w:rsidRPr="00B22C17">
        <w:rPr>
          <w:rFonts w:ascii="Times New Roman" w:hAnsi="Times New Roman" w:cs="Times New Roman"/>
          <w:lang w:val="en-US"/>
        </w:rPr>
        <w:instrText xml:space="preserve"> ADDIN ZOTERO_ITEM CSL_CITATION {"citationID":"NEoKJoHE","properties":{"formattedCitation":"[26]","plainCitation":"[26]","noteIndex":0},"citationItems":[{"id":21583,"uris":["http://zotero.org/users/local/hhPVnw6l/items/PYJV87SR"],"uri":["http://zotero.org/users/local/hhPVnw6l/items/PYJV87SR"],"itemData":{"id":21583,"type":"article-journal","abstract":"Workplace discrimination may affect the health of the exposed employees, but it is not known whether workplace discrimination is also associated with an increased risk of long-term sickness absence. The aim of this study was to examine the longitudinal associations of changes in and onset of workplace discrimination with the risk of long-term sickness absence. Data on workplace discrimination were obtained from 29,597 employees participating in survey waves 2004, 2006, 2008 and/or 2010 of the Finnish Public Sector Study. Four-year changes in long-term sickness absence (≥10 days of medically certified absence with a mental or non-mental diagnosis) were assessed. This covered successive study waves in analyses of onset of workplace discrimination as well as fixed effect analyses of change in workplace discrimination (concurrent i.e. during the exposure year and 1-year lagged i.e. within one year following exposure), by using each employee as his/her own control. The risk of long-term sickness absence due to mental disorders was greater for employees with vs. without onset of workplace discrimination throughout the 4-year period, reaching a peak at the year when the onset of discrimination was reported (adjusted risk ratio 2.13; 95% confidence interval (CI) 1.80-2.52). The fixed effects analyses showed that workplace discrimination was associated with higher odds of concurrent, but not 1-year lagged, long-term sickness absence due to mental disorders (adjusted odds ratio 1.61; 95% CI 1.33-1.96 and adjusted odds ratio 1.02; 95% CI 0.83-1.25, respectively). Long-term sickness absence due to non-mental conditions was not associated with workplace discrimination. In conclusion, these findings suggest that workplace discrimination is associated with an elevated risk of long-term sickness absence due to mental disorders. Supporting an acute effect, the excess risk was confined to the year when workplace discrimination occurred.","container-title":"PloS One","DOI":"10.1371/journal.pone.0255697","ISSN":"1932-6203","issue":"8","journalAbbreviation":"PLoS One","language":"eng","note":"PMID: 34351965\nPMCID: PMC8341535","page":"e0255697","source":"PubMed","title":"Workplace discrimination as risk factor for long-term sickness absence: Longitudinal analyses of onset and changes in workplace adversity","title-short":"Workplace discrimination as risk factor for long-term sickness absence","volume":"16","author":[{"family":"Clark","given":"Alice"},{"family":"Stenholm","given":"Sari"},{"family":"Pentti","given":"Jaana"},{"family":"Salo","given":"Paula"},{"family":"Lange","given":"Theis"},{"family":"Török","given":"Eszter"},{"family":"Xu","given":"Tianwei"},{"family":"Fabricius","given":"Jesper"},{"family":"Oksanen","given":"Tuula"},{"family":"Kivimäki","given":"Mika"},{"family":"Vahtera","given":"Jussi"},{"family":"Hulvej Rod","given":"Naja"}],"issued":{"date-parts":[["2021"]]}}}],"schema":"https://github.com/citation-style-language/schema/raw/master/csl-citation.json"} </w:instrText>
      </w:r>
      <w:r w:rsidR="00324907" w:rsidRPr="00B22C17">
        <w:rPr>
          <w:rFonts w:ascii="Times New Roman" w:hAnsi="Times New Roman" w:cs="Times New Roman"/>
          <w:lang w:val="en-US"/>
        </w:rPr>
        <w:fldChar w:fldCharType="separate"/>
      </w:r>
      <w:r w:rsidR="008926F8" w:rsidRPr="00B22C17">
        <w:rPr>
          <w:rFonts w:ascii="Times New Roman" w:hAnsi="Times New Roman" w:cs="Times New Roman"/>
          <w:noProof/>
          <w:lang w:val="en-US"/>
        </w:rPr>
        <w:t>[26]</w:t>
      </w:r>
      <w:r w:rsidR="00324907" w:rsidRPr="00B22C17">
        <w:rPr>
          <w:rFonts w:ascii="Times New Roman" w:hAnsi="Times New Roman" w:cs="Times New Roman"/>
          <w:lang w:val="en-US"/>
        </w:rPr>
        <w:fldChar w:fldCharType="end"/>
      </w:r>
      <w:r w:rsidR="000D256A" w:rsidRPr="00B22C17">
        <w:rPr>
          <w:rFonts w:ascii="Times New Roman" w:hAnsi="Times New Roman" w:cs="Times New Roman"/>
          <w:lang w:val="en-US"/>
        </w:rPr>
        <w:t xml:space="preserve">, the second categorical variable corresponded to long-term workplace absenteeism. </w:t>
      </w:r>
    </w:p>
    <w:p w14:paraId="5F69E03E" w14:textId="77777777" w:rsidR="003E57D5" w:rsidRPr="00B22C17" w:rsidRDefault="003E57D5" w:rsidP="00374687">
      <w:pPr>
        <w:spacing w:line="480" w:lineRule="auto"/>
        <w:jc w:val="both"/>
        <w:rPr>
          <w:rFonts w:ascii="Times New Roman" w:hAnsi="Times New Roman" w:cs="Times New Roman"/>
          <w:lang w:val="en-US"/>
        </w:rPr>
      </w:pPr>
    </w:p>
    <w:p w14:paraId="450C56BD" w14:textId="3243F1F5" w:rsidR="003E57D5" w:rsidRPr="00B22C17" w:rsidRDefault="003E57D5" w:rsidP="00C65FFB">
      <w:pPr>
        <w:pStyle w:val="Heading3"/>
      </w:pPr>
      <w:r w:rsidRPr="00B22C17">
        <w:t xml:space="preserve">Back </w:t>
      </w:r>
      <w:r w:rsidR="00FF6FA5" w:rsidRPr="00B22C17">
        <w:t xml:space="preserve">and neck </w:t>
      </w:r>
      <w:r w:rsidRPr="00B22C17">
        <w:t>pain (independent variable)</w:t>
      </w:r>
    </w:p>
    <w:p w14:paraId="5D529DF6" w14:textId="6FA9239D" w:rsidR="003A1093" w:rsidRPr="00B22C17" w:rsidRDefault="00C85ED5" w:rsidP="00374687">
      <w:pPr>
        <w:spacing w:line="480" w:lineRule="auto"/>
        <w:jc w:val="both"/>
        <w:rPr>
          <w:rFonts w:ascii="Times New Roman" w:hAnsi="Times New Roman" w:cs="Times New Roman"/>
          <w:lang w:val="en-US"/>
        </w:rPr>
      </w:pPr>
      <w:r w:rsidRPr="00B22C17">
        <w:rPr>
          <w:rFonts w:ascii="Times New Roman" w:hAnsi="Times New Roman" w:cs="Times New Roman"/>
          <w:lang w:val="en-US"/>
        </w:rPr>
        <w:t>Participants were asked the following question: “Do you suffer from any of the following serious health problems?”</w:t>
      </w:r>
      <w:r w:rsidR="00F03042" w:rsidRPr="00B22C17">
        <w:rPr>
          <w:rFonts w:ascii="Times New Roman" w:hAnsi="Times New Roman" w:cs="Times New Roman"/>
          <w:lang w:val="en-US"/>
        </w:rPr>
        <w:t xml:space="preserve">. </w:t>
      </w:r>
      <w:r w:rsidR="00150875" w:rsidRPr="00B22C17">
        <w:rPr>
          <w:rFonts w:ascii="Times New Roman" w:hAnsi="Times New Roman" w:cs="Times New Roman"/>
          <w:lang w:val="en-US"/>
        </w:rPr>
        <w:t>BNP</w:t>
      </w:r>
      <w:r w:rsidR="00A11CFB" w:rsidRPr="00B22C17">
        <w:rPr>
          <w:rFonts w:ascii="Times New Roman" w:hAnsi="Times New Roman" w:cs="Times New Roman"/>
          <w:lang w:val="en-US"/>
        </w:rPr>
        <w:t xml:space="preserve"> corresponded to the presence of back pain due to spinal stenosis, back pain due to other causes, or neck pain. </w:t>
      </w:r>
    </w:p>
    <w:p w14:paraId="51134B19" w14:textId="6C34E358" w:rsidR="00E02EBC" w:rsidRPr="00B22C17" w:rsidRDefault="00E02EBC" w:rsidP="00374687">
      <w:pPr>
        <w:spacing w:line="480" w:lineRule="auto"/>
        <w:jc w:val="both"/>
        <w:rPr>
          <w:rFonts w:ascii="Times New Roman" w:hAnsi="Times New Roman" w:cs="Times New Roman"/>
          <w:lang w:val="en-US"/>
        </w:rPr>
      </w:pPr>
    </w:p>
    <w:p w14:paraId="4402A6A6" w14:textId="794BFEE5" w:rsidR="00E02EBC" w:rsidRPr="00B22C17" w:rsidRDefault="00E02EBC" w:rsidP="00C65FFB">
      <w:pPr>
        <w:pStyle w:val="Heading3"/>
      </w:pPr>
      <w:r w:rsidRPr="00B22C17">
        <w:t>Control variables</w:t>
      </w:r>
    </w:p>
    <w:p w14:paraId="737E8196" w14:textId="25EB68A3" w:rsidR="00E02EBC" w:rsidRPr="00B22C17" w:rsidRDefault="00E02EBC" w:rsidP="00374687">
      <w:pPr>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Control variables included </w:t>
      </w:r>
      <w:r w:rsidR="00644F9D" w:rsidRPr="00B22C17">
        <w:rPr>
          <w:rFonts w:ascii="Times New Roman" w:hAnsi="Times New Roman" w:cs="Times New Roman"/>
          <w:lang w:val="en-US"/>
        </w:rPr>
        <w:t>sex (male or female), age (in years), ethnicity (White/Caucasian or Other), marital status (married/living in a domestic partnership or single/separated/divorced/widowed), education (≤primary/secondary or ≥tertiary), occupation, annual family income (</w:t>
      </w:r>
      <w:r w:rsidR="006448DA" w:rsidRPr="00B22C17">
        <w:rPr>
          <w:rFonts w:ascii="Times New Roman" w:hAnsi="Times New Roman" w:cs="Times New Roman"/>
          <w:lang w:val="en-US"/>
        </w:rPr>
        <w:t xml:space="preserve">in US dollars; </w:t>
      </w:r>
      <w:r w:rsidR="00644F9D" w:rsidRPr="00B22C17">
        <w:rPr>
          <w:rFonts w:ascii="Times New Roman" w:hAnsi="Times New Roman" w:cs="Times New Roman"/>
          <w:lang w:val="en-US"/>
        </w:rPr>
        <w:t>&lt;$20,000, $20,000–&lt;$40,000, $40,000–&lt;$60,000, $60,000–&lt;$75,000, and ≥$75,000), health insurance (private, Medicare/Medicaid/Veterans Affairs Health Care/Tricare/other</w:t>
      </w:r>
      <w:r w:rsidR="008C5727" w:rsidRPr="00B22C17">
        <w:rPr>
          <w:rFonts w:ascii="Times New Roman" w:hAnsi="Times New Roman" w:cs="Times New Roman"/>
          <w:lang w:val="en-US"/>
        </w:rPr>
        <w:t>,</w:t>
      </w:r>
      <w:r w:rsidR="00644F9D" w:rsidRPr="00B22C17">
        <w:rPr>
          <w:rFonts w:ascii="Times New Roman" w:hAnsi="Times New Roman" w:cs="Times New Roman"/>
          <w:lang w:val="en-US"/>
        </w:rPr>
        <w:t xml:space="preserve"> or none), obesity (</w:t>
      </w:r>
      <w:r w:rsidR="00BE7F12" w:rsidRPr="00B22C17">
        <w:rPr>
          <w:rFonts w:ascii="Times New Roman" w:hAnsi="Times New Roman" w:cs="Times New Roman"/>
          <w:lang w:val="en-US"/>
        </w:rPr>
        <w:t>yes or no), and diabetes (yes or no)</w:t>
      </w:r>
      <w:r w:rsidR="00644F9D" w:rsidRPr="00B22C17">
        <w:rPr>
          <w:rFonts w:ascii="Times New Roman" w:hAnsi="Times New Roman" w:cs="Times New Roman"/>
          <w:lang w:val="en-US"/>
        </w:rPr>
        <w:t xml:space="preserve">. Occupation was defined using the International Standard Classification of Occupations and included eight different categories: </w:t>
      </w:r>
      <w:r w:rsidR="007711F3" w:rsidRPr="00B22C17">
        <w:rPr>
          <w:rFonts w:ascii="Times New Roman" w:hAnsi="Times New Roman" w:cs="Times New Roman"/>
          <w:lang w:val="en-US"/>
        </w:rPr>
        <w:t xml:space="preserve">group 1 (managers), </w:t>
      </w:r>
      <w:r w:rsidR="00644F9D" w:rsidRPr="00B22C17">
        <w:rPr>
          <w:rFonts w:ascii="Times New Roman" w:hAnsi="Times New Roman" w:cs="Times New Roman"/>
          <w:lang w:val="en-US"/>
        </w:rPr>
        <w:t>group 2 (</w:t>
      </w:r>
      <w:r w:rsidR="009613D8" w:rsidRPr="00B22C17">
        <w:rPr>
          <w:rFonts w:ascii="Times New Roman" w:hAnsi="Times New Roman" w:cs="Times New Roman"/>
          <w:lang w:val="en-US"/>
        </w:rPr>
        <w:t>p</w:t>
      </w:r>
      <w:r w:rsidR="00644F9D" w:rsidRPr="00B22C17">
        <w:rPr>
          <w:rFonts w:ascii="Times New Roman" w:hAnsi="Times New Roman" w:cs="Times New Roman"/>
          <w:lang w:val="en-US"/>
        </w:rPr>
        <w:t xml:space="preserve">rofessionals), group 3 </w:t>
      </w:r>
      <w:r w:rsidR="00644F9D" w:rsidRPr="00B22C17">
        <w:rPr>
          <w:rFonts w:ascii="Times New Roman" w:hAnsi="Times New Roman" w:cs="Times New Roman"/>
          <w:lang w:val="en-US"/>
        </w:rPr>
        <w:lastRenderedPageBreak/>
        <w:t>(</w:t>
      </w:r>
      <w:r w:rsidR="009613D8" w:rsidRPr="00B22C17">
        <w:rPr>
          <w:rFonts w:ascii="Times New Roman" w:hAnsi="Times New Roman" w:cs="Times New Roman"/>
          <w:lang w:val="en-US"/>
        </w:rPr>
        <w:t>t</w:t>
      </w:r>
      <w:r w:rsidR="00644F9D" w:rsidRPr="00B22C17">
        <w:rPr>
          <w:rFonts w:ascii="Times New Roman" w:hAnsi="Times New Roman" w:cs="Times New Roman"/>
          <w:lang w:val="en-US"/>
        </w:rPr>
        <w:t>echnicians and associate professionals), group 4 (</w:t>
      </w:r>
      <w:r w:rsidR="009613D8" w:rsidRPr="00B22C17">
        <w:rPr>
          <w:rFonts w:ascii="Times New Roman" w:hAnsi="Times New Roman" w:cs="Times New Roman"/>
          <w:lang w:val="en-US"/>
        </w:rPr>
        <w:t>c</w:t>
      </w:r>
      <w:r w:rsidR="00644F9D" w:rsidRPr="00B22C17">
        <w:rPr>
          <w:rFonts w:ascii="Times New Roman" w:hAnsi="Times New Roman" w:cs="Times New Roman"/>
          <w:lang w:val="en-US"/>
        </w:rPr>
        <w:t>lerical support workers), group 5 (</w:t>
      </w:r>
      <w:r w:rsidR="009613D8" w:rsidRPr="00B22C17">
        <w:rPr>
          <w:rFonts w:ascii="Times New Roman" w:hAnsi="Times New Roman" w:cs="Times New Roman"/>
          <w:lang w:val="en-US"/>
        </w:rPr>
        <w:t>s</w:t>
      </w:r>
      <w:r w:rsidR="00644F9D" w:rsidRPr="00B22C17">
        <w:rPr>
          <w:rFonts w:ascii="Times New Roman" w:hAnsi="Times New Roman" w:cs="Times New Roman"/>
          <w:lang w:val="en-US"/>
        </w:rPr>
        <w:t>ervice and sales workers), group 6 (skilled agricultural, forestry and fishery workers), group 7 (</w:t>
      </w:r>
      <w:r w:rsidR="009613D8" w:rsidRPr="00B22C17">
        <w:rPr>
          <w:rFonts w:ascii="Times New Roman" w:hAnsi="Times New Roman" w:cs="Times New Roman"/>
          <w:lang w:val="en-US"/>
        </w:rPr>
        <w:t>c</w:t>
      </w:r>
      <w:r w:rsidR="00644F9D" w:rsidRPr="00B22C17">
        <w:rPr>
          <w:rFonts w:ascii="Times New Roman" w:hAnsi="Times New Roman" w:cs="Times New Roman"/>
          <w:lang w:val="en-US"/>
        </w:rPr>
        <w:t>raft and related trades workers), and group 9 (</w:t>
      </w:r>
      <w:r w:rsidR="009613D8" w:rsidRPr="00B22C17">
        <w:rPr>
          <w:rFonts w:ascii="Times New Roman" w:hAnsi="Times New Roman" w:cs="Times New Roman"/>
          <w:lang w:val="en-US"/>
        </w:rPr>
        <w:t>e</w:t>
      </w:r>
      <w:r w:rsidR="00644F9D" w:rsidRPr="00B22C17">
        <w:rPr>
          <w:rFonts w:ascii="Times New Roman" w:hAnsi="Times New Roman" w:cs="Times New Roman"/>
          <w:lang w:val="en-US"/>
        </w:rPr>
        <w:t xml:space="preserve">lementary occupations). </w:t>
      </w:r>
      <w:r w:rsidR="004159ED" w:rsidRPr="00B22C17">
        <w:rPr>
          <w:rFonts w:ascii="Times New Roman" w:hAnsi="Times New Roman" w:cs="Times New Roman"/>
          <w:lang w:val="en-US"/>
        </w:rPr>
        <w:t xml:space="preserve">No participant belonged to either group 8 </w:t>
      </w:r>
      <w:r w:rsidR="009613D8" w:rsidRPr="00B22C17">
        <w:rPr>
          <w:rFonts w:ascii="Times New Roman" w:hAnsi="Times New Roman" w:cs="Times New Roman"/>
          <w:lang w:val="en-US"/>
        </w:rPr>
        <w:t xml:space="preserve">(plant and machine operators and assemblers) </w:t>
      </w:r>
      <w:r w:rsidR="004159ED" w:rsidRPr="00B22C17">
        <w:rPr>
          <w:rFonts w:ascii="Times New Roman" w:hAnsi="Times New Roman" w:cs="Times New Roman"/>
          <w:lang w:val="en-US"/>
        </w:rPr>
        <w:t>or group 0</w:t>
      </w:r>
      <w:r w:rsidR="009613D8" w:rsidRPr="00B22C17">
        <w:rPr>
          <w:rFonts w:ascii="Times New Roman" w:hAnsi="Times New Roman" w:cs="Times New Roman"/>
          <w:lang w:val="en-US"/>
        </w:rPr>
        <w:t xml:space="preserve"> (</w:t>
      </w:r>
      <w:r w:rsidR="00FC5CC7" w:rsidRPr="00B22C17">
        <w:rPr>
          <w:rFonts w:ascii="Times New Roman" w:hAnsi="Times New Roman" w:cs="Times New Roman"/>
          <w:lang w:val="en-US"/>
        </w:rPr>
        <w:t>armed forced occupations</w:t>
      </w:r>
      <w:r w:rsidR="009613D8" w:rsidRPr="00B22C17">
        <w:rPr>
          <w:rFonts w:ascii="Times New Roman" w:hAnsi="Times New Roman" w:cs="Times New Roman"/>
          <w:lang w:val="en-US"/>
        </w:rPr>
        <w:t>)</w:t>
      </w:r>
      <w:r w:rsidR="00BF44AB" w:rsidRPr="00B22C17">
        <w:rPr>
          <w:rFonts w:ascii="Times New Roman" w:hAnsi="Times New Roman" w:cs="Times New Roman"/>
          <w:lang w:val="en-US"/>
        </w:rPr>
        <w:t xml:space="preserve"> </w:t>
      </w:r>
      <w:r w:rsidR="00BF44AB" w:rsidRPr="00B22C17">
        <w:rPr>
          <w:rFonts w:ascii="Times New Roman" w:hAnsi="Times New Roman" w:cs="Times New Roman"/>
          <w:lang w:val="en-US"/>
        </w:rPr>
        <w:fldChar w:fldCharType="begin"/>
      </w:r>
      <w:r w:rsidR="00BF44AB" w:rsidRPr="00B22C17">
        <w:rPr>
          <w:rFonts w:ascii="Times New Roman" w:hAnsi="Times New Roman" w:cs="Times New Roman"/>
          <w:lang w:val="en-US"/>
        </w:rPr>
        <w:instrText xml:space="preserve"> ADDIN ZOTERO_ITEM CSL_CITATION {"citationID":"4kvhp4KP","properties":{"formattedCitation":"[27]","plainCitation":"[27]","noteIndex":0},"citationItems":[{"id":21618,"uris":["http://zotero.org/users/local/hhPVnw6l/items/5BEFHBXB"],"uri":["http://zotero.org/users/local/hhPVnw6l/items/5BEFHBXB"],"itemData":{"id":21618,"type":"report","event-place":"Geneva","language":"English","page":"433","publisher-place":"Geneva","title":"International Standard Classification of Occupations","URL":"https://www.ilo.org/wcmsp5/groups/public/---dgreports/---dcomm/---publ/documents/publication/wcms_172572.pdf","author":[{"family":"International Labour Office","given":""}],"accessed":{"date-parts":[["2021",8,12]]},"issued":{"date-parts":[["2012"]]}}}],"schema":"https://github.com/citation-style-language/schema/raw/master/csl-citation.json"} </w:instrText>
      </w:r>
      <w:r w:rsidR="00BF44AB" w:rsidRPr="00B22C17">
        <w:rPr>
          <w:rFonts w:ascii="Times New Roman" w:hAnsi="Times New Roman" w:cs="Times New Roman"/>
          <w:lang w:val="en-US"/>
        </w:rPr>
        <w:fldChar w:fldCharType="separate"/>
      </w:r>
      <w:r w:rsidR="00BF44AB" w:rsidRPr="00B22C17">
        <w:rPr>
          <w:rFonts w:ascii="Times New Roman" w:hAnsi="Times New Roman" w:cs="Times New Roman"/>
          <w:noProof/>
          <w:lang w:val="en-US"/>
        </w:rPr>
        <w:t>[27]</w:t>
      </w:r>
      <w:r w:rsidR="00BF44AB" w:rsidRPr="00B22C17">
        <w:rPr>
          <w:rFonts w:ascii="Times New Roman" w:hAnsi="Times New Roman" w:cs="Times New Roman"/>
          <w:lang w:val="en-US"/>
        </w:rPr>
        <w:fldChar w:fldCharType="end"/>
      </w:r>
      <w:r w:rsidR="004159ED" w:rsidRPr="00B22C17">
        <w:rPr>
          <w:rFonts w:ascii="Times New Roman" w:hAnsi="Times New Roman" w:cs="Times New Roman"/>
          <w:lang w:val="en-US"/>
        </w:rPr>
        <w:t>.</w:t>
      </w:r>
      <w:r w:rsidR="00357A5E" w:rsidRPr="00B22C17">
        <w:rPr>
          <w:rFonts w:ascii="Times New Roman" w:hAnsi="Times New Roman" w:cs="Times New Roman"/>
          <w:lang w:val="en-US"/>
        </w:rPr>
        <w:t xml:space="preserve"> Finally, obesity and diabetes were self-reported.</w:t>
      </w:r>
    </w:p>
    <w:p w14:paraId="1401893E" w14:textId="19FABB22" w:rsidR="000A0BCC" w:rsidRPr="00B22C17" w:rsidRDefault="000A0BCC" w:rsidP="00374687">
      <w:pPr>
        <w:spacing w:line="480" w:lineRule="auto"/>
        <w:jc w:val="both"/>
        <w:rPr>
          <w:rFonts w:ascii="Times New Roman" w:hAnsi="Times New Roman" w:cs="Times New Roman"/>
          <w:lang w:val="en-US"/>
        </w:rPr>
      </w:pPr>
    </w:p>
    <w:p w14:paraId="42E9D640" w14:textId="54DDB6CC" w:rsidR="000A0BCC" w:rsidRPr="00B22C17" w:rsidRDefault="000A0BCC" w:rsidP="00C65FFB">
      <w:pPr>
        <w:pStyle w:val="Heading3"/>
      </w:pPr>
      <w:r w:rsidRPr="00B22C17">
        <w:t>Influential variables</w:t>
      </w:r>
    </w:p>
    <w:p w14:paraId="58BA9E54" w14:textId="4913AD5F" w:rsidR="000A0BCC" w:rsidRPr="00B22C17" w:rsidRDefault="000A0BCC" w:rsidP="00374687">
      <w:pPr>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Influential variables </w:t>
      </w:r>
      <w:r w:rsidR="00D8661B" w:rsidRPr="00B22C17">
        <w:rPr>
          <w:rFonts w:ascii="Times New Roman" w:hAnsi="Times New Roman" w:cs="Times New Roman"/>
          <w:lang w:val="en-US"/>
        </w:rPr>
        <w:t>corresponded to factors that</w:t>
      </w:r>
      <w:r w:rsidR="00AC1234" w:rsidRPr="00B22C17">
        <w:rPr>
          <w:rFonts w:ascii="Times New Roman" w:hAnsi="Times New Roman" w:cs="Times New Roman"/>
          <w:lang w:val="en-US"/>
        </w:rPr>
        <w:t>, in theory,</w:t>
      </w:r>
      <w:r w:rsidR="00D8661B" w:rsidRPr="00B22C17">
        <w:rPr>
          <w:rFonts w:ascii="Times New Roman" w:hAnsi="Times New Roman" w:cs="Times New Roman"/>
          <w:lang w:val="en-US"/>
        </w:rPr>
        <w:t xml:space="preserve"> </w:t>
      </w:r>
      <w:bookmarkStart w:id="0" w:name="_Hlk66700742"/>
      <w:r w:rsidR="00D8661B" w:rsidRPr="00B22C17">
        <w:rPr>
          <w:rFonts w:ascii="Times New Roman" w:hAnsi="Times New Roman" w:cs="Times New Roman"/>
          <w:lang w:val="en-US"/>
        </w:rPr>
        <w:t xml:space="preserve">could play </w:t>
      </w:r>
      <w:bookmarkEnd w:id="0"/>
      <w:r w:rsidR="00D8661B" w:rsidRPr="00B22C17">
        <w:rPr>
          <w:rFonts w:ascii="Times New Roman" w:hAnsi="Times New Roman" w:cs="Times New Roman"/>
          <w:lang w:val="en-US"/>
        </w:rPr>
        <w:t xml:space="preserve">a mediating role in the association between </w:t>
      </w:r>
      <w:r w:rsidR="00334191" w:rsidRPr="00B22C17">
        <w:rPr>
          <w:rFonts w:ascii="Times New Roman" w:hAnsi="Times New Roman" w:cs="Times New Roman"/>
          <w:lang w:val="en-US"/>
        </w:rPr>
        <w:t>BNP</w:t>
      </w:r>
      <w:r w:rsidR="00D8661B" w:rsidRPr="00B22C17">
        <w:rPr>
          <w:rFonts w:ascii="Times New Roman" w:hAnsi="Times New Roman" w:cs="Times New Roman"/>
          <w:lang w:val="en-US"/>
        </w:rPr>
        <w:t xml:space="preserve"> and </w:t>
      </w:r>
      <w:r w:rsidR="00B321BA" w:rsidRPr="00B22C17">
        <w:rPr>
          <w:rFonts w:ascii="Times New Roman" w:hAnsi="Times New Roman" w:cs="Times New Roman"/>
          <w:lang w:val="en-US"/>
        </w:rPr>
        <w:t>workplace</w:t>
      </w:r>
      <w:r w:rsidR="00D8661B" w:rsidRPr="00B22C17">
        <w:rPr>
          <w:rFonts w:ascii="Times New Roman" w:hAnsi="Times New Roman" w:cs="Times New Roman"/>
          <w:lang w:val="en-US"/>
        </w:rPr>
        <w:t xml:space="preserve"> absenteeism. These factors included depression (yes or no)</w:t>
      </w:r>
      <w:r w:rsidR="00826E73" w:rsidRPr="00B22C17">
        <w:rPr>
          <w:rFonts w:ascii="Times New Roman" w:hAnsi="Times New Roman" w:cs="Times New Roman"/>
          <w:lang w:val="en-US"/>
        </w:rPr>
        <w:t xml:space="preserve"> </w:t>
      </w:r>
      <w:r w:rsidR="00826E73" w:rsidRPr="00B22C17">
        <w:rPr>
          <w:rFonts w:ascii="Times New Roman" w:hAnsi="Times New Roman" w:cs="Times New Roman"/>
          <w:lang w:val="en-US"/>
        </w:rPr>
        <w:fldChar w:fldCharType="begin"/>
      </w:r>
      <w:r w:rsidR="00590B58" w:rsidRPr="00B22C17">
        <w:rPr>
          <w:rFonts w:ascii="Times New Roman" w:hAnsi="Times New Roman" w:cs="Times New Roman"/>
          <w:lang w:val="en-US"/>
        </w:rPr>
        <w:instrText xml:space="preserve"> ADDIN ZOTERO_ITEM CSL_CITATION {"citationID":"tB9IWdxn","properties":{"formattedCitation":"[11,12]","plainCitation":"[11,12]","noteIndex":0},"citationItems":[{"id":20258,"uris":["http://zotero.org/users/local/hhPVnw6l/items/32S9SFYK"],"uri":["http://zotero.org/users/local/hhPVnw6l/items/32S9SFYK"],"itemData":{"id":20258,"type":"article-journal","abstract":"Introduction\nThe association between depression, somatization and low back pain has been minimally investigated in a Canadian emerging adult population.\n\nMethods\n1013 first year Canadian university students completed the Modified Zung Depression Index, the Modified Somatic Perception Questionnaire, and a survey about low back pain frequency and intensity. Multinomial logistic regression was used to measure associations between low back pain and depression and somatization, both independently and co-occurring.\n\nResults\nOver 50% of subjects reported low back pain across grades, and both depression and somatization were significantly positively associated with low back pain. Several positive associations between the cooccurrence of somatization and depression with various grades of low back pain were observed.\n\nDiscussion\nThese results suggest that low back pain, depression and somatization are relatively common at the onset of adulthood, and should be considered an important focus of public health.","container-title":"The Journal of the Canadian Chiropractic Association","ISSN":"0008-3194","issue":"2","journalAbbreviation":"J Can Chiropr Assoc","note":"PMID: 28928493\nPMCID: PMC5596967","page":"96-105","source":"PubMed Central","title":"Associations between low back pain and depression and somatization in a Canadian emerging adult population","volume":"61","author":[{"family":"Robertson","given":"David"},{"family":"Kumbhare","given":"Dinesh"},{"family":"Nolet","given":"Paul"},{"family":"Srbely","given":"John"},{"family":"Newton","given":"Genevieve"}],"issued":{"date-parts":[["2017",8]]}}},{"id":20261,"uris":["http://zotero.org/users/local/hhPVnw6l/items/4WT66YBA"],"uri":["http://zotero.org/users/local/hhPVnw6l/items/4WT66YBA"],"itemData":{"id":20261,"type":"article-journal","abstract":"Background\nMental health problems are common within the working population. Depression is both highly prevalent and debilitating and is linked to increases in absenteeism and presenteeism. The use of summed depression scale scores may conceal differential impacts of depressive symptoms on absenteeism and presenteeism. We aimed to explore both the relationship between absenteeism and presenteeism and both depression severity, along with the independent contributions of different symptoms.\nMethods\nParticipants (N = 4953) were employees recruited as part of a larger study to evaluate a mental health smartphone app and were recruited via industry partner organisations and social media. Participants completed in-app assessment which included demographic information, the Patient Health Questionnaire-9 depression tool, and items of the World Health Organization Health and Work Performance Questionnaire. The relationship between depressive symptoms, absenteeism and presenteeism was estimated using both total summed scores and individual symptoms of depression.\nResults\nUnivariate linear regression confirmed a negative linear relationship between depression severity and presenteeism, which remained significant after controlling for age, gender, industry, and work position. Similarly, there was a statistically significant relationship between depression severity and the amount of mental health related sickness absence taken over the preceding 28 days. Johnson's relative weights analysis showed contributory differences amongst depression symptoms in relation to presenteeism and absenteeism.\nDiscussion\nSignificant relationships between depression severity and both absenteeism and presenteeism were present indicating increases in absence and decreases in performance with increasing severity. There existed differences amongst the contribution of specific symptoms of depression to both outcomes of interest. The symptoms that contribute most to absence were more behavioural in nature, whilst those contributing most to presenteeism were more cognitive. These findings have practical implications for clinicians and employers in making treatment and return-to-work decisions.","container-title":"Journal of Affective Disorders","DOI":"10.1016/j.jad.2019.06.041","ISSN":"0165-0327","journalAbbreviation":"Journal of Affective Disorders","language":"en","page":"536-540","source":"ScienceDirect","title":"The relationship between depression symptoms, absenteeism and presenteeism","volume":"256","author":[{"family":"Johnston","given":"D. A."},{"family":"Harvey","given":"S. B."},{"family":"Glozier","given":"N."},{"family":"Calvo","given":"R. A."},{"family":"Christensen","given":"H."},{"family":"Deady","given":"M."}],"issued":{"date-parts":[["2019",9,1]]}}}],"schema":"https://github.com/citation-style-language/schema/raw/master/csl-citation.json"} </w:instrText>
      </w:r>
      <w:r w:rsidR="00826E73" w:rsidRPr="00B22C17">
        <w:rPr>
          <w:rFonts w:ascii="Times New Roman" w:hAnsi="Times New Roman" w:cs="Times New Roman"/>
          <w:lang w:val="en-US"/>
        </w:rPr>
        <w:fldChar w:fldCharType="separate"/>
      </w:r>
      <w:r w:rsidR="00826E73" w:rsidRPr="00B22C17">
        <w:rPr>
          <w:rFonts w:ascii="Times New Roman" w:hAnsi="Times New Roman" w:cs="Times New Roman"/>
          <w:noProof/>
          <w:lang w:val="en-US"/>
        </w:rPr>
        <w:t>[11,12]</w:t>
      </w:r>
      <w:r w:rsidR="00826E73" w:rsidRPr="00B22C17">
        <w:rPr>
          <w:rFonts w:ascii="Times New Roman" w:hAnsi="Times New Roman" w:cs="Times New Roman"/>
          <w:lang w:val="en-US"/>
        </w:rPr>
        <w:fldChar w:fldCharType="end"/>
      </w:r>
      <w:r w:rsidR="00D8661B" w:rsidRPr="00B22C17">
        <w:rPr>
          <w:rFonts w:ascii="Times New Roman" w:hAnsi="Times New Roman" w:cs="Times New Roman"/>
          <w:lang w:val="en-US"/>
        </w:rPr>
        <w:t>,</w:t>
      </w:r>
      <w:r w:rsidR="0096580B" w:rsidRPr="00B22C17">
        <w:rPr>
          <w:rFonts w:ascii="Times New Roman" w:hAnsi="Times New Roman" w:cs="Times New Roman"/>
          <w:lang w:val="en-US"/>
        </w:rPr>
        <w:t xml:space="preserve"> </w:t>
      </w:r>
      <w:r w:rsidR="00D8661B" w:rsidRPr="00B22C17">
        <w:rPr>
          <w:rFonts w:ascii="Times New Roman" w:hAnsi="Times New Roman" w:cs="Times New Roman"/>
          <w:lang w:val="en-US"/>
        </w:rPr>
        <w:t>anxiety</w:t>
      </w:r>
      <w:r w:rsidR="00453E30" w:rsidRPr="00B22C17">
        <w:rPr>
          <w:rFonts w:ascii="Times New Roman" w:hAnsi="Times New Roman" w:cs="Times New Roman"/>
          <w:lang w:val="en-US"/>
        </w:rPr>
        <w:t xml:space="preserve"> </w:t>
      </w:r>
      <w:r w:rsidR="00D8661B" w:rsidRPr="00B22C17">
        <w:rPr>
          <w:rFonts w:ascii="Times New Roman" w:hAnsi="Times New Roman" w:cs="Times New Roman"/>
          <w:lang w:val="en-US"/>
        </w:rPr>
        <w:t xml:space="preserve"> (yes or no)</w:t>
      </w:r>
      <w:r w:rsidR="00453E30" w:rsidRPr="00B22C17">
        <w:rPr>
          <w:rFonts w:ascii="Times New Roman" w:hAnsi="Times New Roman" w:cs="Times New Roman"/>
          <w:lang w:val="en-US"/>
        </w:rPr>
        <w:t xml:space="preserve"> </w:t>
      </w:r>
      <w:r w:rsidR="00453E30" w:rsidRPr="00B22C17">
        <w:rPr>
          <w:rFonts w:ascii="Times New Roman" w:hAnsi="Times New Roman" w:cs="Times New Roman"/>
          <w:lang w:val="en-US"/>
        </w:rPr>
        <w:fldChar w:fldCharType="begin"/>
      </w:r>
      <w:r w:rsidR="00590B58" w:rsidRPr="00B22C17">
        <w:rPr>
          <w:rFonts w:ascii="Times New Roman" w:hAnsi="Times New Roman" w:cs="Times New Roman"/>
          <w:lang w:val="en-US"/>
        </w:rPr>
        <w:instrText xml:space="preserve"> ADDIN ZOTERO_ITEM CSL_CITATION {"citationID":"21NdB1Pf","properties":{"formattedCitation":"[13,14]","plainCitation":"[13,14]","noteIndex":0},"citationItems":[{"id":20265,"uris":["http://zotero.org/users/local/hhPVnw6l/items/DBY76EQF"],"uri":["http://zotero.org/users/local/hhPVnw6l/items/DBY76EQF"],"itemData":{"id":20265,"type":"article-journal","abstract":"BACKGROUND: We investigate one aspect of productivity--sickness absence--and ask whether job insecurity and high work demands are associated with increased sickness absence and, if so, whether mental or physical health mediates this association. We further investigate if having control at work modifies these associations.\nMETHODS: We used cross-sectional survey data from 2,248 employees aged 40-44 years living in two cities of south-eastern Australia. Logistic regressions were used to compare the associations between job insecurity and demands among those with short (1-3 days) or long-term (&gt; 3 days) sickness absence with those who had no sickness absence in the last four weeks. The mediating effects of mental and physical health were assessed by evaluating changes in the magnitude of the association between these work conditions and sickness absence.\nRESULTS: High job insecurity (OR = 3.28; 95% CI 1.54-6.95) and high work demands (OR = 1.62; 95% CI 1.13-2.30) were significantly associated with long-term, but not with short-term, sickness absence. These associations were unaffected by job control. Depression and anxiety explained 61% of the association between high work demands and long-term sickness absence and 30% of the association between job insecurity and long-term sickness absence.\nCONCLUSION: Difficult working conditions may reduce productivity by contributing to longer absences from work.\nIMPLICATIONS: Reforms intended to improve economic performance should address any potential health costs of insecurity or intensification, which could inadvertently decrease productivity, possibly through their impact on mental health.","container-title":"Australian and New Zealand Journal of Public Health","DOI":"10.1111/j.1467-842x.2006.tb00859.x","ISSN":"1326-0200","issue":"3","journalAbbreviation":"Aust N Z J Public Health","language":"eng","note":"PMID: 16800195","page":"205-212","source":"PubMed","title":"Work demands, job insecurity and sickness absence from work. how productive is the new, flexible labour force?","volume":"30","author":[{"family":"D'Souza","given":"Rennie M."},{"family":"Strazdins","given":"Lyndall"},{"family":"Broom","given":"Dorothy H."},{"family":"Rodgers","given":"Bryan"},{"family":"Berry","given":"Helen L."}],"issued":{"date-parts":[["2006",6]]}}},{"id":20263,"uris":["http://zotero.org/users/local/hhPVnw6l/items/BFSP63YI"],"uri":["http://zotero.org/users/local/hhPVnw6l/items/BFSP63YI"],"itemData":{"id":20263,"type":"article-journal","abstract":"OBJECTIVE: To observe the prevalence of anxiety and depression in chronic low back pain population at a tertiary care centre.\nMETHODS: The prospective cross-sectional study was conducted using convenience sampling at the Department of Neurosurgery, at Liaquat National Hospital, Karachi, Pakistan, from January to June 2010. The prevalence of anxiety and depression in chronic low back pain patients was studied according to specified age and gender groups using Hospital Anxiety and Depression Scale.\nRESULTS: Of the 140 patients in the study, 66 (47.14%) were females and 74 (52.85%) were males.The average age of the patients was 43.02+/-13.34 years. The average duration of symptoms was 4.29+/-3.3 years. Abnormal level of anxiety and depression were found in 77 (55%) and 68 (48.57%) patients respectively. Out of them 54 (38.5%) and 51 (36.4%) were borderline abnormal for anxiety and depression respectively, while 23 (16.4%) and 17 (12.1%) were abnormal for anxiety and depression respectively. Among the males, there were 20 (14.28%) and 23 (16.42%) patients with abnormal levels of the corresponding numbers among the females were 57 (40.71%) and 45 (32.14%). There was a significant association in anxiety (p&lt;0.01) and depression (p&lt;0.01) levels with respect to gender and no significant association with respect to age (p&gt;0.05).\nCONCLUSION: Individuals with chronic low back pain were at high risk to experience anxiety and depression.This risk was higher for females.","container-title":"JPMA. The Journal of the Pakistan Medical Association","ISSN":"0030-9982","issue":"6","journalAbbreviation":"J Pak Med Assoc","language":"eng","note":"PMID: 23901665","page":"688-690","source":"PubMed","title":"Association between chronic low back pain, anxiety and depression in patients at a tertiary care centre","volume":"63","author":[{"family":"Sagheer","given":"Muhammad Amir"},{"family":"Khan","given":"Muhammad Farhan"},{"family":"Sharif","given":"Salman"}],"issued":{"date-parts":[["2013",6]]}}}],"schema":"https://github.com/citation-style-language/schema/raw/master/csl-citation.json"} </w:instrText>
      </w:r>
      <w:r w:rsidR="00453E30" w:rsidRPr="00B22C17">
        <w:rPr>
          <w:rFonts w:ascii="Times New Roman" w:hAnsi="Times New Roman" w:cs="Times New Roman"/>
          <w:lang w:val="en-US"/>
        </w:rPr>
        <w:fldChar w:fldCharType="separate"/>
      </w:r>
      <w:r w:rsidR="00453E30" w:rsidRPr="00B22C17">
        <w:rPr>
          <w:rFonts w:ascii="Times New Roman" w:hAnsi="Times New Roman" w:cs="Times New Roman"/>
          <w:noProof/>
          <w:lang w:val="en-US"/>
        </w:rPr>
        <w:t>[13,14]</w:t>
      </w:r>
      <w:r w:rsidR="00453E30" w:rsidRPr="00B22C17">
        <w:rPr>
          <w:rFonts w:ascii="Times New Roman" w:hAnsi="Times New Roman" w:cs="Times New Roman"/>
          <w:lang w:val="en-US"/>
        </w:rPr>
        <w:fldChar w:fldCharType="end"/>
      </w:r>
      <w:r w:rsidR="001755EB" w:rsidRPr="00B22C17">
        <w:rPr>
          <w:rFonts w:ascii="Times New Roman" w:hAnsi="Times New Roman" w:cs="Times New Roman"/>
          <w:lang w:val="en-US"/>
        </w:rPr>
        <w:t>,</w:t>
      </w:r>
      <w:r w:rsidR="0096580B" w:rsidRPr="00B22C17">
        <w:rPr>
          <w:rFonts w:ascii="Times New Roman" w:hAnsi="Times New Roman" w:cs="Times New Roman"/>
          <w:lang w:val="en-US"/>
        </w:rPr>
        <w:t xml:space="preserve"> </w:t>
      </w:r>
      <w:r w:rsidR="001755EB" w:rsidRPr="00B22C17">
        <w:rPr>
          <w:rFonts w:ascii="Times New Roman" w:hAnsi="Times New Roman" w:cs="Times New Roman"/>
          <w:lang w:val="en-US"/>
        </w:rPr>
        <w:t>sleep disorder (yes or no)</w:t>
      </w:r>
      <w:r w:rsidR="0096580B" w:rsidRPr="00B22C17">
        <w:rPr>
          <w:rFonts w:ascii="Times New Roman" w:hAnsi="Times New Roman" w:cs="Times New Roman"/>
          <w:lang w:val="en-US"/>
        </w:rPr>
        <w:t xml:space="preserve"> </w:t>
      </w:r>
      <w:r w:rsidR="00453E30" w:rsidRPr="00B22C17">
        <w:rPr>
          <w:rFonts w:ascii="Times New Roman" w:hAnsi="Times New Roman" w:cs="Times New Roman"/>
          <w:lang w:val="en-US"/>
        </w:rPr>
        <w:fldChar w:fldCharType="begin"/>
      </w:r>
      <w:r w:rsidR="00590B58" w:rsidRPr="00B22C17">
        <w:rPr>
          <w:rFonts w:ascii="Times New Roman" w:hAnsi="Times New Roman" w:cs="Times New Roman"/>
          <w:lang w:val="en-US"/>
        </w:rPr>
        <w:instrText xml:space="preserve"> ADDIN ZOTERO_ITEM CSL_CITATION {"citationID":"OGqABTkx","properties":{"formattedCitation":"[15,16]","plainCitation":"[15,16]","noteIndex":0},"citationItems":[{"id":20268,"uris":["http://zotero.org/users/local/hhPVnw6l/items/8ZZIDE7M"],"uri":["http://zotero.org/users/local/hhPVnw6l/items/8ZZIDE7M"],"itemData":{"id":20268,"type":"article-journal","abstract":"Animal experiments and studies in humans clearly show that the relation between pain (acute and chronic) and sleep quality is two-way: sleep disorders can increase pain, which in turn may cause sleep disorders. Sleep disorders and chronic low back pain are frequent health problems and it is unsurprising that the two can co-exist. This study was conducted to evaluate if sleep disorders and chronic pain associated are more frequently than one would expect. The objective of the study was to compare sleep quality in a population of patients with chronic low back pain and a control population. Sleep quality was assessed in 101 patients with chronic low back pain (CLBP) and in 97 sex- and age-matched healthy control subjects using the Pittsburgh Sleep Quality Index [PSQI; score from 0 (no disorder) to 21]. The French version of the Dallas Pain Questionnaire (DPQ) was used to assess the impact of low back pain on patients’ quality of life. This impact was taken as nil in the healthy controls. The patients with CLBP and the controls were comparable in age, sex, and height, but mean bodyweight was higher in the CLBP group (70.3 ± 14.5 vs. 61.8 ± 11.4 kg; P &lt; 0.05). The patients with CLBP were also more frequently on sick leave than the controls (32.3%; n = 31 vs. 0.0% n = 0; P &lt; 0.001). Coffee, tea, and cola intakes were comparable in the two groups. Patients with CLBP had statistically higher scores in all items of the PSQI than the healthy controls. The mean PSQI was 4.7 ± 3.2 for the healthy controls and 10.9 ± 7.9 for the patients with CLBP (P &lt; 0.0001). Sleep disorders were greater when the impact of CLBP on daily life (the four aspects of the DPQ) was greater [P &lt; 0.0001]). The sleep of the patients with CLBP was significantly altered compared with that of the healthy controls, in proportion to the impact of low back pain on daily life. Our findings do not indicate whether sleep disorders are a cause or a consequence of CLBP.","container-title":"European Spine Journal","DOI":"10.1007/s00586-008-0660-7","ISSN":"1432-0932","issue":"6","journalAbbreviation":"Eur Spine J","language":"en","page":"839-844","source":"Springer Link","title":"Quality of sleep in patients with chronic low back pain: a case-control study","title-short":"Quality of sleep in patients with chronic low back pain","volume":"17","author":[{"family":"Marty","given":"M."},{"family":"Rozenberg","given":"S."},{"family":"Duplan","given":"B."},{"family":"Thomas","given":"P."},{"family":"Duquesnoy","given":"B."},{"family":"Allaert","given":"F."},{"literal":"The Section Rachis de la Société Française de Rhumatologie"}],"issued":{"date-parts":[["2008",6,1]]}}},{"id":20270,"uris":["http://zotero.org/users/local/hhPVnw6l/items/QIIERTYQ"],"uri":["http://zotero.org/users/local/hhPVnw6l/items/QIIERTYQ"],"itemData":{"id":20270,"type":"article-journal","abstract":"Background and purpose\nTo document and provide a micro analysis of the relationship between insomnia and health problems, health-care use, absenteeism, productivity and accidents.\nParticipants and methods\nA population-based sample of 953 French-speaking adults from Québec, Canada. Participants were categorized as having insomnia syndrome (SYND) or insomnia symptoms (SYMPT) or as good sleepers (GS). They completed questionnaires on sleep, health, use of health-care services and products, accidents, work absences and reduced work productivity. Data were also obtained from the Québec-government-administered health insurance board on selected variables (e.g., consultations with health-care professionals, diagnoses).\nResults\nThere were significantly more individuals in the SYND group relative to the GS group reporting at least one chronic health problem (83% vs. 53%; OR: 2.78) and who had consulted a health-care professional in the past year (81% vs. 60%; OR: 2.8). There were also higher proportions of individuals in the SYND group than in the GS group who had used prescription medications (57% vs. 30.7%; OR: 2.8), most notably to treat insomnia, mood and anxiety disorders, or who had used over-the-counter products (75.6% vs. 62.0%; OR: 1.8) and alcohol as a sleep aid (17.8% vs. 3.9%; OR: 4.6). In terms of daytime function, 25.0% of the SYND had been absent from work relative to 17.1% of GS (OR: 1.7), 40.6% reported having experienced reduced productivity compared to 12.3% of GS (OR: 4.8) and non-motor-vehicle accidents occurred at higher rates in the SYND group (12.5% vs. 6.4% for GS; OR: 2.4). No differences were found for hospitalisations or motor-vehicle accidents. Most of the associations remained significant even after controlling for psychiatric comorbidity. Rates for the SYMPT group were situated between SYND and GS on all major dependent variables. Furthermore, insomnia and fatigue were perceived as contributing significantly to accidents, absences and decreased work productivity, regardless of insomnia status.\nConclusions\nThis study indicates that insomnia is associated with significant morbidity in terms of health problems and health-care utilization, work absenteeism and reduced productivity, and risk of non-motor-vehicle accidents. Future studies should evaluate whether treating insomnia can reverse this morbidity.","container-title":"Sleep Medicine","DOI":"10.1016/j.sleep.2008.04.005","ISSN":"1389-9457","issue":"4","journalAbbreviation":"Sleep Medicine","language":"en","page":"427-438","source":"ScienceDirect","title":"Insomnia and its relationship to health-care utilization, work absenteeism, productivity and accidents","volume":"10","author":[{"family":"Daley","given":"M."},{"family":"Morin","given":"C. M."},{"family":"LeBlanc","given":"M."},{"family":"Grégoire","given":"J. P."},{"family":"Savard","given":"J."},{"family":"Baillargeon","given":"L."}],"issued":{"date-parts":[["2009",4,1]]}}}],"schema":"https://github.com/citation-style-language/schema/raw/master/csl-citation.json"} </w:instrText>
      </w:r>
      <w:r w:rsidR="00453E30" w:rsidRPr="00B22C17">
        <w:rPr>
          <w:rFonts w:ascii="Times New Roman" w:hAnsi="Times New Roman" w:cs="Times New Roman"/>
          <w:lang w:val="en-US"/>
        </w:rPr>
        <w:fldChar w:fldCharType="separate"/>
      </w:r>
      <w:r w:rsidR="00453E30" w:rsidRPr="00B22C17">
        <w:rPr>
          <w:rFonts w:ascii="Times New Roman" w:hAnsi="Times New Roman" w:cs="Times New Roman"/>
          <w:noProof/>
          <w:lang w:val="en-US"/>
        </w:rPr>
        <w:t>[15,16]</w:t>
      </w:r>
      <w:r w:rsidR="00453E30" w:rsidRPr="00B22C17">
        <w:rPr>
          <w:rFonts w:ascii="Times New Roman" w:hAnsi="Times New Roman" w:cs="Times New Roman"/>
          <w:lang w:val="en-US"/>
        </w:rPr>
        <w:fldChar w:fldCharType="end"/>
      </w:r>
      <w:r w:rsidR="001755EB" w:rsidRPr="00B22C17">
        <w:rPr>
          <w:rFonts w:ascii="Times New Roman" w:hAnsi="Times New Roman" w:cs="Times New Roman"/>
          <w:lang w:val="en-US"/>
        </w:rPr>
        <w:t>,</w:t>
      </w:r>
      <w:r w:rsidR="0096580B" w:rsidRPr="00B22C17">
        <w:rPr>
          <w:rFonts w:ascii="Times New Roman" w:hAnsi="Times New Roman" w:cs="Times New Roman"/>
          <w:lang w:val="en-US"/>
        </w:rPr>
        <w:t xml:space="preserve"> </w:t>
      </w:r>
      <w:r w:rsidR="001755EB" w:rsidRPr="00B22C17">
        <w:rPr>
          <w:rFonts w:ascii="Times New Roman" w:hAnsi="Times New Roman" w:cs="Times New Roman"/>
          <w:lang w:val="en-US"/>
        </w:rPr>
        <w:t>alcohol dependence (yes or no)</w:t>
      </w:r>
      <w:r w:rsidR="0096580B" w:rsidRPr="00B22C17">
        <w:rPr>
          <w:rFonts w:ascii="Times New Roman" w:hAnsi="Times New Roman" w:cs="Times New Roman"/>
          <w:lang w:val="en-US"/>
        </w:rPr>
        <w:t xml:space="preserve"> </w:t>
      </w:r>
      <w:r w:rsidR="00453E30" w:rsidRPr="00B22C17">
        <w:rPr>
          <w:rFonts w:ascii="Times New Roman" w:hAnsi="Times New Roman" w:cs="Times New Roman"/>
          <w:lang w:val="en-US"/>
        </w:rPr>
        <w:fldChar w:fldCharType="begin"/>
      </w:r>
      <w:r w:rsidR="0085295D" w:rsidRPr="00B22C17">
        <w:rPr>
          <w:rFonts w:ascii="Times New Roman" w:hAnsi="Times New Roman" w:cs="Times New Roman"/>
          <w:lang w:val="en-US"/>
        </w:rPr>
        <w:instrText xml:space="preserve"> ADDIN ZOTERO_ITEM CSL_CITATION {"citationID":"6SFuJOgR","properties":{"formattedCitation":"[18,19]","plainCitation":"[18,19]","noteIndex":0},"citationItems":[{"id":20275,"uris":["http://zotero.org/users/local/hhPVnw6l/items/CVXA84VH"],"uri":["http://zotero.org/users/local/hhPVnw6l/items/CVXA84VH"],"itemData":{"id":20275,"type":"article-journal","abstract":"Objectives The aim of this review was to explore the notion of alcohol-related presenteeism; that is, whether evidence in the research literature supports an association between employee alcohol consumption and impaired work performance.\nDesign Systematic review of observational studies.\nData sources MEDLINE, Web of Science, PsycINFO, CINAHL, AMED, Embase and Swemed+ were searched through October 2018. Reference lists in included studies were hand searched for potential relevant studies.\nEligibility criteria We included observational studies, published 1990 or later as full-text empirical articles in peer-reviewed journals in English or a Scandinavian language, containing one or more statistical tests regarding a relationship between a measure of alcohol consumption and a measure of work performance.\nData extraction and synthesis Two independent reviewers extracted data. Tested associations between alcohol consumption and work performance within the included studies were quality assessed and analysed with frequency tables, cross-tabulations and χ2 tests of independence.\nResults Twenty-six studies were included, containing 132 tested associations. The vast majority of associations (77%) indicated that higher levels of alcohol consumption were associated with higher levels of impaired work performance, and these positive associations were considerably more likely than negative associations to be statistically significant (OR=14.00, phi=0.37, p&lt;0.001). Alcohol exposure measured by hangover episodes and composite instruments were over-represented among significant positive associations of moderate and high quality (15 of 17 associations). Overall, 61% of the associations were characterised by low quality.\nConclusions Evidence does provide some support for the notion of alcohol-related presenteeism. However, due to low research quality and lack of longitudinal designs, evidence should be characterised as somewhat inconclusive. More robust and less heterogeneous research is warranted. This review, however, does provide support for targeting alcohol consumption within the frame of workplace interventions aimed at improving employee health and productivity.\nPROSPERO registration number CRD42017059620.","container-title":"BMJ Open","DOI":"10.1136/bmjopen-2019-029184","ISSN":"2044-6055, 2044-6055","issue":"7","language":"en","note":"publisher: British Medical Journal Publishing Group\nsection: Public health\nPMID: 31315869","page":"e029184","source":"bmjopen.bmj.com","title":"Association between alcohol consumption and impaired work performance (presenteeism): a systematic review","title-short":"Association between alcohol consumption and impaired work performance (presenteeism)","volume":"9","author":[{"family":"Thørrisen","given":"Mikkel Magnus"},{"family":"Bonsaksen","given":"Tore"},{"family":"Hashemi","given":"Neda"},{"family":"Kjeken","given":"Ingvild"},{"family":"Mechelen","given":"Willem","dropping-particle":"van"},{"family":"Aas","given":"Randi Wågø"}],"issued":{"date-parts":[["2019",7,1]]}}},{"id":20273,"uris":["http://zotero.org/users/local/hhPVnw6l/items/6SLKHDIP"],"uri":["http://zotero.org/users/local/hhPVnw6l/items/6SLKHDIP"],"itemData":{"id":20273,"type":"article-journal","abstract":"Alcohol use has been associated with opioid misuse and dependence among adults with chronic pain. Yet, mechanisms underlying the relation between alcohol use problems and opioid misuse and dependence have yet to be fully explored among this population. Distress tolerance, reflecting the perceived ability to withstand negative emotional states, has demonstrated independent associations with alcohol use problems and opioid misuse, but these associations have not been explored among persons with chronic pain. The present study examined the moderating role of distress tolerance in terms of the association between alcohol use problems with opioid misuse and severity of opioid dependence. Participants included 424 adults (74.1% female; Mage = 38.3, SD = 11.1) reporting current chronic pain and opioid medication use. Results indicated that alcohol use problems were significantly associated with current opioid misuse (B = 0.54, p &lt; .001) and severity of opioid dependence (B = 0.08, p = .002) only for those with lower distress tolerance. These findings suggest that among individuals with chronic pain, the association between alcohol use problems and opioid misuse as well as opioid dependence severity is amplified among those with lower perceived distress tolerance. (PsycInfo Database Record (c) 2020 APA, all rights reserved).","container-title":"Psychology of Addictive Behaviors: Journal of the Society of Psychologists in Addictive Behaviors","DOI":"10.1037/adb0000587","ISSN":"1939-1501","journalAbbreviation":"Psychol Addict Behav","language":"eng","note":"PMID: 32364397","source":"PubMed","title":"Alcohol use problems and opioid misuse and dependence among adults with chronic pain: The role of distress tolerance","title-short":"Alcohol use problems and opioid misuse and dependence among adults with chronic pain","author":[{"family":"Zegel","given":"Maya"},{"family":"Rogers","given":"Andrew H."},{"family":"Vujanovic","given":"Anka A."},{"family":"Zvolensky","given":"Michael J."}],"issued":{"date-parts":[["2020",5,4]]}}}],"schema":"https://github.com/citation-style-language/schema/raw/master/csl-citation.json"} </w:instrText>
      </w:r>
      <w:r w:rsidR="00453E30" w:rsidRPr="00B22C17">
        <w:rPr>
          <w:rFonts w:ascii="Times New Roman" w:hAnsi="Times New Roman" w:cs="Times New Roman"/>
          <w:lang w:val="en-US"/>
        </w:rPr>
        <w:fldChar w:fldCharType="separate"/>
      </w:r>
      <w:r w:rsidR="0085295D" w:rsidRPr="00B22C17">
        <w:rPr>
          <w:rFonts w:ascii="Times New Roman" w:hAnsi="Times New Roman" w:cs="Times New Roman"/>
          <w:noProof/>
          <w:lang w:val="en-US"/>
        </w:rPr>
        <w:t>[18,19]</w:t>
      </w:r>
      <w:r w:rsidR="00453E30" w:rsidRPr="00B22C17">
        <w:rPr>
          <w:rFonts w:ascii="Times New Roman" w:hAnsi="Times New Roman" w:cs="Times New Roman"/>
          <w:lang w:val="en-US"/>
        </w:rPr>
        <w:fldChar w:fldCharType="end"/>
      </w:r>
      <w:r w:rsidR="001755EB" w:rsidRPr="00B22C17">
        <w:rPr>
          <w:rFonts w:ascii="Times New Roman" w:hAnsi="Times New Roman" w:cs="Times New Roman"/>
          <w:lang w:val="en-US"/>
        </w:rPr>
        <w:t>,</w:t>
      </w:r>
      <w:r w:rsidR="0096580B" w:rsidRPr="00B22C17">
        <w:rPr>
          <w:rFonts w:ascii="Times New Roman" w:hAnsi="Times New Roman" w:cs="Times New Roman"/>
          <w:lang w:val="en-US"/>
        </w:rPr>
        <w:t xml:space="preserve"> </w:t>
      </w:r>
      <w:r w:rsidR="001755EB" w:rsidRPr="00B22C17">
        <w:rPr>
          <w:rFonts w:ascii="Times New Roman" w:hAnsi="Times New Roman" w:cs="Times New Roman"/>
          <w:lang w:val="en-US"/>
        </w:rPr>
        <w:t>opioid dependence (yes or no)</w:t>
      </w:r>
      <w:r w:rsidR="0096580B" w:rsidRPr="00B22C17">
        <w:rPr>
          <w:rFonts w:ascii="Times New Roman" w:hAnsi="Times New Roman" w:cs="Times New Roman"/>
          <w:lang w:val="en-US"/>
        </w:rPr>
        <w:t xml:space="preserve"> </w:t>
      </w:r>
      <w:r w:rsidR="00453E30" w:rsidRPr="00B22C17">
        <w:rPr>
          <w:rFonts w:ascii="Times New Roman" w:hAnsi="Times New Roman" w:cs="Times New Roman"/>
          <w:lang w:val="en-US"/>
        </w:rPr>
        <w:fldChar w:fldCharType="begin"/>
      </w:r>
      <w:r w:rsidR="008926F8" w:rsidRPr="00B22C17">
        <w:rPr>
          <w:rFonts w:ascii="Times New Roman" w:hAnsi="Times New Roman" w:cs="Times New Roman"/>
          <w:lang w:val="en-US"/>
        </w:rPr>
        <w:instrText xml:space="preserve"> ADDIN ZOTERO_ITEM CSL_CITATION {"citationID":"lsvR8Dem","properties":{"formattedCitation":"[19,21]","plainCitation":"[19,21]","noteIndex":0},"citationItems":[{"id":20273,"uris":["http://zotero.org/users/local/hhPVnw6l/items/6SLKHDIP"],"uri":["http://zotero.org/users/local/hhPVnw6l/items/6SLKHDIP"],"itemData":{"id":20273,"type":"article-journal","abstract":"Alcohol use has been associated with opioid misuse and dependence among adults with chronic pain. Yet, mechanisms underlying the relation between alcohol use problems and opioid misuse and dependence have yet to be fully explored among this population. Distress tolerance, reflecting the perceived ability to withstand negative emotional states, has demonstrated independent associations with alcohol use problems and opioid misuse, but these associations have not been explored among persons with chronic pain. The present study examined the moderating role of distress tolerance in terms of the association between alcohol use problems with opioid misuse and severity of opioid dependence. Participants included 424 adults (74.1% female; Mage = 38.3, SD = 11.1) reporting current chronic pain and opioid medication use. Results indicated that alcohol use problems were significantly associated with current opioid misuse (B = 0.54, p &lt; .001) and severity of opioid dependence (B = 0.08, p = .002) only for those with lower distress tolerance. These findings suggest that among individuals with chronic pain, the association between alcohol use problems and opioid misuse as well as opioid dependence severity is amplified among those with lower perceived distress tolerance. (PsycInfo Database Record (c) 2020 APA, all rights reserved).","container-title":"Psychology of Addictive Behaviors: Journal of the Society of Psychologists in Addictive Behaviors","DOI":"10.1037/adb0000587","ISSN":"1939-1501","journalAbbreviation":"Psychol Addict Behav","language":"eng","note":"PMID: 32364397","source":"PubMed","title":"Alcohol use problems and opioid misuse and dependence among adults with chronic pain: The role of distress tolerance","title-short":"Alcohol use problems and opioid misuse and dependence among adults with chronic pain","author":[{"family":"Zegel","given":"Maya"},{"family":"Rogers","given":"Andrew H."},{"family":"Vujanovic","given":"Anka A."},{"family":"Zvolensky","given":"Michael J."}],"issued":{"date-parts":[["2020",5,4]]}}},{"id":20279,"uris":["http://zotero.org/users/local/hhPVnw6l/items/N59LSJCJ"],"uri":["http://zotero.org/users/local/hhPVnw6l/items/N59LSJCJ"],"itemData":{"id":20279,"type":"article-journal","abstract":"OBJECTIVE: To measure the prevalence of opioid use disorder (OUD) and employee health care and productivity costs with and without OUD and to assess whether utilization of pharmacotherapy for OUD reduces those costs.\nMETHODS: We conducted a cross-sectional analysis of 2016 to 2017 commercial enrollment, health care, and pharmacy claims and health risk assessment data using the IBM MarketScan Databases (Ann Arbor, MI). We estimated regression models to assess the association between OUD and annual employee health care and productivity costs.\nRESULTS: Health care and productivity costs for employees with OUD who did and did not receive pharmacotherapy were approximately $6294 and $21,570 more than for other employees, respectively.\nCONCLUSIONS: Employers can make a business case for expanding access to pharmacotherapy treatment for OUD based on our finding that receipt of pharmacotherapy significantly reduces overall health care costs.","container-title":"Journal of Occupational and Environmental Medicine","DOI":"10.1097/JOM.0000000000001830","ISSN":"1536-5948","issue":"5","journalAbbreviation":"J Occup Environ Med","language":"eng","note":"PMID: 32049873","page":"344-349","source":"PubMed","title":"Opioid Use Disorder and Employee Work Presenteeism, Absences, and Health Care Costs","volume":"62","author":[{"family":"Henke","given":"Rachel Mosher"},{"family":"Ellsworth","given":"David"},{"family":"Wier","given":"Lauren"},{"family":"Snowdon","given":"Jane"}],"issued":{"date-parts":[["2020",5]]}}}],"schema":"https://github.com/citation-style-language/schema/raw/master/csl-citation.json"} </w:instrText>
      </w:r>
      <w:r w:rsidR="00453E30" w:rsidRPr="00B22C17">
        <w:rPr>
          <w:rFonts w:ascii="Times New Roman" w:hAnsi="Times New Roman" w:cs="Times New Roman"/>
          <w:lang w:val="en-US"/>
        </w:rPr>
        <w:fldChar w:fldCharType="separate"/>
      </w:r>
      <w:r w:rsidR="008926F8" w:rsidRPr="00B22C17">
        <w:rPr>
          <w:rFonts w:ascii="Times New Roman" w:hAnsi="Times New Roman" w:cs="Times New Roman"/>
          <w:noProof/>
          <w:lang w:val="en-US"/>
        </w:rPr>
        <w:t>[19,21]</w:t>
      </w:r>
      <w:r w:rsidR="00453E30" w:rsidRPr="00B22C17">
        <w:rPr>
          <w:rFonts w:ascii="Times New Roman" w:hAnsi="Times New Roman" w:cs="Times New Roman"/>
          <w:lang w:val="en-US"/>
        </w:rPr>
        <w:fldChar w:fldCharType="end"/>
      </w:r>
      <w:r w:rsidR="001755EB" w:rsidRPr="00B22C17">
        <w:rPr>
          <w:rFonts w:ascii="Times New Roman" w:hAnsi="Times New Roman" w:cs="Times New Roman"/>
          <w:lang w:val="en-US"/>
        </w:rPr>
        <w:t>,</w:t>
      </w:r>
      <w:r w:rsidR="0096580B" w:rsidRPr="00B22C17">
        <w:rPr>
          <w:rFonts w:ascii="Times New Roman" w:hAnsi="Times New Roman" w:cs="Times New Roman"/>
          <w:lang w:val="en-US"/>
        </w:rPr>
        <w:t xml:space="preserve"> </w:t>
      </w:r>
      <w:r w:rsidR="001755EB" w:rsidRPr="00B22C17">
        <w:rPr>
          <w:rFonts w:ascii="Times New Roman" w:hAnsi="Times New Roman" w:cs="Times New Roman"/>
          <w:lang w:val="en-US"/>
        </w:rPr>
        <w:t>walking difficulty, standing difficulty, and sitting difficulty</w:t>
      </w:r>
      <w:r w:rsidR="0096580B" w:rsidRPr="00B22C17">
        <w:rPr>
          <w:rFonts w:ascii="Times New Roman" w:hAnsi="Times New Roman" w:cs="Times New Roman"/>
          <w:lang w:val="en-US"/>
        </w:rPr>
        <w:t xml:space="preserve"> </w:t>
      </w:r>
      <w:r w:rsidR="00453E30" w:rsidRPr="00B22C17">
        <w:rPr>
          <w:rFonts w:ascii="Times New Roman" w:hAnsi="Times New Roman" w:cs="Times New Roman"/>
          <w:lang w:val="en-US"/>
        </w:rPr>
        <w:fldChar w:fldCharType="begin"/>
      </w:r>
      <w:r w:rsidR="008926F8" w:rsidRPr="00B22C17">
        <w:rPr>
          <w:rFonts w:ascii="Times New Roman" w:hAnsi="Times New Roman" w:cs="Times New Roman"/>
          <w:lang w:val="en-US"/>
        </w:rPr>
        <w:instrText xml:space="preserve"> ADDIN ZOTERO_ITEM CSL_CITATION {"citationID":"OoK3UeyR","properties":{"formattedCitation":"[22,23]","plainCitation":"[22,23]","noteIndex":0},"citationItems":[{"id":20284,"uris":["http://zotero.org/users/local/hhPVnw6l/items/BEA6NXRR"],"uri":["http://zotero.org/users/local/hhPVnw6l/items/BEA6NXRR"],"itemData":{"id":20284,"type":"article-journal","abstract":"Low back pain (LBP) is a widely prevalent chronic pain disorder associated with a high burden on individuals and society. In the subjective perception of patients with LBP, probably the most important health outcomes associated with LBP are those that effect everyday performance. Such outcomes include reduction in activities of daily living (ADL), in work ability (WA), and in sexual function. This narrative review aimed to (1) examine the association between LBP and the three mentioned outcomes of everyday performance, (2) to explain possible mediating factors promoting these associations, and (3) to discuss possible implications for treatment and rehabilitation. Studies have shown that LBP can generate anxiety of movement leading to movement avoidance (fear-avoidance beliefs), which may lead to deconditioning and further increasing problems with ADL, WA and decreasing sexual function. Furthermore, common mental disorders, such as depression, anxiety, and stress-related disorders, which also often co-occur with LBP can lead to adverse effects on everyday performance and vice versa, can be the consequence of such problems and aggravate LBP. Although there is no universally accepted treatment modality that fits every patient with LBP, physical training, comprehensive patient education, and workplace or home modifications have been shown to be able to interrupt the mutual influence between LBP and the described mediating factors, and have a beneficial effect on ADL, WA, and sexual function. For this, a multidisciplinary approach is necessary which includes multiprofessional care teams, participation of the patients, and involvement of different settings, such as workplace, home, and physical training facilities.","container-title":"Wiener Klinische Wochenschrift","DOI":"10.1007/s00508-019-01542-7","ISSN":"1613-7671","issue":"21-22","journalAbbreviation":"Wien Klin Wochenschr","language":"eng","note":"PMID: 31493101\nPMCID: PMC6851039","page":"541-549","source":"PubMed","title":"Association between low back pain and various everyday performances : Activities of daily living, ability to work and sexual function","title-short":"Association between low back pain and various everyday performances","volume":"131","author":[{"family":"Grabovac","given":"Igor"},{"family":"Dorner","given":"Thomas Ernst"}],"issued":{"date-parts":[["2019",11]]}}},{"id":20281,"uris":["http://zotero.org/users/local/hhPVnw6l/items/TNGCDW2H"],"uri":["http://zotero.org/users/local/hhPVnw6l/items/TNGCDW2H"],"itemData":{"id":20281,"type":"article-journal","abstract":"Background Excess weight can increase absenteeism of workers and can have a negative influence on their productivity. Current evidence on this association is mostly based on cross-sectional data and there is little evidence concerning the longitudinal relationship between obesity, and disability with workplace absenteeism. Further, gender differences in this association have often ignored in the existing literature. Objectives This study aims to examine gender differences in the longitudinal association between obesity, and disability with absenteeism in the workplace. Methods Data from thirteen waves (2006 to 2018) of the Household, Income and Labour Dynamics in Australia (HILDA) survey were pooled, resulting in 117,769 observations for 19,851 adult employees. The Zero-Inflated Negative Binomial (ZINB) regression model was deployed to investigate the links between obesity, and disability with workplace absenteeism for the total sample and stratified by gender. Results The findings showed that overweight (Incidence Rate Ratio [IRR]: 1.23, 95% confidence interval [CI]: 1.02–1.47), obesity (IRR: 1.35, 95% CI: 1.12–1.64) and disability (IRR: 2.83, 95% CI: 2.36–3.38) were associated with prolonged workplace absenteeism irrespective of gender. This study found that the multiplicative interaction between weight status and gender is significantly associated with absenteeism. The results reveal that the rate of absenteeism was 2.79 times (IRR: 2.79, 95% CI: 1.96–3.97) and 1.73 times (IRR: 1.73, 95% CI: 1.20–2.48) higher among overweight and obese women than male counterparts, respectively. Moreover, this study found that the weight status of male workers is not associated with absenteeism. However, disability (IRR: 3.14, 95% CI: 2.43–4.05) is positively associated with longer days of absence among male workers. Finally, the study results showed that the rate of absenteeism is 1.82 (IRR: 1.82, 95% CI: 1.36–2.44), 1.61 (IRR: 1.61, 95% CI: 1.21–2.13), and 2.63 (IRR: 2.63, 95% CI: 1.99–3.48) times higher among overweight, obese, and female workers with a disability, respectively, compared with their lower weight counterparts. Conclusions Workplace absenteeism is significantly associated with overweight and obesity among Australian workers. An active workplace health promotion program is very important for weight management of overweight and obese workers and thus to reduce workplace absenteeism. For example, employers may provide incentives for maintaining recommended body weights, encourage exercise, and promote healthy diets amongst their workers.","container-title":"PLOS ONE","DOI":"10.1371/journal.pone.0233512","ISSN":"1932-6203","issue":"5","journalAbbreviation":"PLOS ONE","language":"en","note":"publisher: Public Library of Science","page":"e0233512","source":"PLoS Journals","title":"Gender differences in the longitudinal association between obesity, and disability with workplace absenteeism in the Australian working population","volume":"15","author":[{"family":"Keramat","given":"Syed Afroz"},{"family":"Alam","given":"Khorshed"},{"family":"Gow","given":"Jeff"},{"family":"Biddle","given":"Stuart J. H."}],"issued":{"date-parts":[["2020",5,27]]}}}],"schema":"https://github.com/citation-style-language/schema/raw/master/csl-citation.json"} </w:instrText>
      </w:r>
      <w:r w:rsidR="00453E30" w:rsidRPr="00B22C17">
        <w:rPr>
          <w:rFonts w:ascii="Times New Roman" w:hAnsi="Times New Roman" w:cs="Times New Roman"/>
          <w:lang w:val="en-US"/>
        </w:rPr>
        <w:fldChar w:fldCharType="separate"/>
      </w:r>
      <w:r w:rsidR="008926F8" w:rsidRPr="00B22C17">
        <w:rPr>
          <w:rFonts w:ascii="Times New Roman" w:hAnsi="Times New Roman" w:cs="Times New Roman"/>
          <w:noProof/>
          <w:lang w:val="en-US"/>
        </w:rPr>
        <w:t>[22,23]</w:t>
      </w:r>
      <w:r w:rsidR="00453E30" w:rsidRPr="00B22C17">
        <w:rPr>
          <w:rFonts w:ascii="Times New Roman" w:hAnsi="Times New Roman" w:cs="Times New Roman"/>
          <w:lang w:val="en-US"/>
        </w:rPr>
        <w:fldChar w:fldCharType="end"/>
      </w:r>
      <w:r w:rsidR="0096580B" w:rsidRPr="00B22C17">
        <w:rPr>
          <w:rFonts w:ascii="Times New Roman" w:hAnsi="Times New Roman" w:cs="Times New Roman"/>
          <w:lang w:val="en-US"/>
        </w:rPr>
        <w:t xml:space="preserve">. </w:t>
      </w:r>
      <w:r w:rsidR="00434BD1" w:rsidRPr="00B22C17">
        <w:rPr>
          <w:rFonts w:ascii="Times New Roman" w:hAnsi="Times New Roman" w:cs="Times New Roman"/>
          <w:lang w:val="en-US"/>
        </w:rPr>
        <w:t>Walking difficulty</w:t>
      </w:r>
      <w:r w:rsidR="005830E9" w:rsidRPr="00B22C17">
        <w:rPr>
          <w:rFonts w:ascii="Times New Roman" w:hAnsi="Times New Roman" w:cs="Times New Roman"/>
          <w:lang w:val="en-US"/>
        </w:rPr>
        <w:t xml:space="preserve"> corresponded to not being able to walk independently from place to place, not being able to walk for one hour at a time without stopping, or not being able to walk for most of an eight-hour working day. Standing difficulty corresponded to not being able to stand for one hour without resting or not being able to stand for most of an eight-hour working day. Finally, sitting difficulty corresponded to not being able to sit for two hours without needing to get up or not being able to sit for at least eight hours in a working day.</w:t>
      </w:r>
    </w:p>
    <w:p w14:paraId="4030ED35" w14:textId="3008E239" w:rsidR="005830E9" w:rsidRPr="00B22C17" w:rsidRDefault="005830E9" w:rsidP="00374687">
      <w:pPr>
        <w:spacing w:line="480" w:lineRule="auto"/>
        <w:jc w:val="both"/>
        <w:rPr>
          <w:rFonts w:ascii="Times New Roman" w:hAnsi="Times New Roman" w:cs="Times New Roman"/>
          <w:lang w:val="en-US"/>
        </w:rPr>
      </w:pPr>
    </w:p>
    <w:p w14:paraId="5FDB619F" w14:textId="4546A6CF" w:rsidR="005830E9" w:rsidRPr="00B22C17" w:rsidRDefault="005830E9" w:rsidP="00C65FFB">
      <w:pPr>
        <w:pStyle w:val="Heading2"/>
      </w:pPr>
      <w:r w:rsidRPr="00B22C17">
        <w:t>Statistical analyses</w:t>
      </w:r>
    </w:p>
    <w:p w14:paraId="427A1B95" w14:textId="206CF66B" w:rsidR="005830E9" w:rsidRPr="00B22C17" w:rsidRDefault="000D6343" w:rsidP="00374687">
      <w:pPr>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Differences in the sample characteristics by </w:t>
      </w:r>
      <w:r w:rsidR="006724C3" w:rsidRPr="00B22C17">
        <w:rPr>
          <w:rFonts w:ascii="Times New Roman" w:hAnsi="Times New Roman" w:cs="Times New Roman"/>
          <w:lang w:val="en-US"/>
        </w:rPr>
        <w:t>BNP</w:t>
      </w:r>
      <w:r w:rsidRPr="00B22C17">
        <w:rPr>
          <w:rFonts w:ascii="Times New Roman" w:hAnsi="Times New Roman" w:cs="Times New Roman"/>
          <w:lang w:val="en-US"/>
        </w:rPr>
        <w:t xml:space="preserve"> and work</w:t>
      </w:r>
      <w:r w:rsidR="00592F7D" w:rsidRPr="00B22C17">
        <w:rPr>
          <w:rFonts w:ascii="Times New Roman" w:hAnsi="Times New Roman" w:cs="Times New Roman"/>
          <w:lang w:val="en-US"/>
        </w:rPr>
        <w:t>place</w:t>
      </w:r>
      <w:r w:rsidRPr="00B22C17">
        <w:rPr>
          <w:rFonts w:ascii="Times New Roman" w:hAnsi="Times New Roman" w:cs="Times New Roman"/>
          <w:lang w:val="en-US"/>
        </w:rPr>
        <w:t xml:space="preserve"> absenteeism status</w:t>
      </w:r>
      <w:r w:rsidR="00A42707" w:rsidRPr="00B22C17">
        <w:rPr>
          <w:rFonts w:ascii="Times New Roman" w:hAnsi="Times New Roman" w:cs="Times New Roman"/>
          <w:lang w:val="en-US"/>
        </w:rPr>
        <w:t xml:space="preserve"> (</w:t>
      </w:r>
      <w:r w:rsidR="00CB57A6" w:rsidRPr="00B22C17">
        <w:rPr>
          <w:rFonts w:ascii="Times New Roman" w:hAnsi="Times New Roman" w:cs="Times New Roman"/>
          <w:lang w:val="en-US"/>
        </w:rPr>
        <w:t>i.e., ≥2 versus 0-1 days of absence</w:t>
      </w:r>
      <w:r w:rsidR="00A42707" w:rsidRPr="00B22C17">
        <w:rPr>
          <w:rFonts w:ascii="Times New Roman" w:hAnsi="Times New Roman" w:cs="Times New Roman"/>
          <w:lang w:val="en-US"/>
        </w:rPr>
        <w:t>)</w:t>
      </w:r>
      <w:r w:rsidRPr="00B22C17">
        <w:rPr>
          <w:rFonts w:ascii="Times New Roman" w:hAnsi="Times New Roman" w:cs="Times New Roman"/>
          <w:lang w:val="en-US"/>
        </w:rPr>
        <w:t xml:space="preserve"> were assessed using chi-squared tests for all variables except </w:t>
      </w:r>
      <w:r w:rsidR="00D244C9" w:rsidRPr="00B22C17">
        <w:rPr>
          <w:rFonts w:ascii="Times New Roman" w:hAnsi="Times New Roman" w:cs="Times New Roman"/>
          <w:lang w:val="en-US"/>
        </w:rPr>
        <w:t xml:space="preserve">continuous </w:t>
      </w:r>
      <w:r w:rsidRPr="00B22C17">
        <w:rPr>
          <w:rFonts w:ascii="Times New Roman" w:hAnsi="Times New Roman" w:cs="Times New Roman"/>
          <w:lang w:val="en-US"/>
        </w:rPr>
        <w:t>age (Student’s t-tests).</w:t>
      </w:r>
      <w:r w:rsidR="005A322A" w:rsidRPr="00B22C17">
        <w:rPr>
          <w:rFonts w:ascii="Times New Roman" w:hAnsi="Times New Roman" w:cs="Times New Roman"/>
          <w:lang w:val="en-US"/>
        </w:rPr>
        <w:t xml:space="preserve"> The number of days of absence for health-related reasons was further compared between participants with and those without </w:t>
      </w:r>
      <w:r w:rsidR="00335476" w:rsidRPr="00B22C17">
        <w:rPr>
          <w:rFonts w:ascii="Times New Roman" w:hAnsi="Times New Roman" w:cs="Times New Roman"/>
          <w:lang w:val="en-US"/>
        </w:rPr>
        <w:t>BNP</w:t>
      </w:r>
      <w:r w:rsidR="005A322A" w:rsidRPr="00B22C17">
        <w:rPr>
          <w:rFonts w:ascii="Times New Roman" w:hAnsi="Times New Roman" w:cs="Times New Roman"/>
          <w:lang w:val="en-US"/>
        </w:rPr>
        <w:t xml:space="preserve"> with a Student’s t test</w:t>
      </w:r>
      <w:r w:rsidR="005515BA" w:rsidRPr="00B22C17">
        <w:rPr>
          <w:rFonts w:ascii="Times New Roman" w:hAnsi="Times New Roman" w:cs="Times New Roman"/>
          <w:lang w:val="en-US"/>
        </w:rPr>
        <w:t xml:space="preserve">, while the prevalence of </w:t>
      </w:r>
      <w:r w:rsidR="00A024DA" w:rsidRPr="00B22C17">
        <w:rPr>
          <w:rFonts w:ascii="Times New Roman" w:hAnsi="Times New Roman" w:cs="Times New Roman"/>
          <w:lang w:val="en-US"/>
        </w:rPr>
        <w:t xml:space="preserve">≥2 </w:t>
      </w:r>
      <w:r w:rsidR="00CE05D4" w:rsidRPr="00B22C17">
        <w:rPr>
          <w:rFonts w:ascii="Times New Roman" w:hAnsi="Times New Roman" w:cs="Times New Roman"/>
          <w:lang w:val="en-US"/>
        </w:rPr>
        <w:t xml:space="preserve">and ≥10 </w:t>
      </w:r>
      <w:r w:rsidR="00A024DA" w:rsidRPr="00B22C17">
        <w:rPr>
          <w:rFonts w:ascii="Times New Roman" w:hAnsi="Times New Roman" w:cs="Times New Roman"/>
          <w:lang w:val="en-US"/>
        </w:rPr>
        <w:t>days of absence</w:t>
      </w:r>
      <w:r w:rsidR="00CE05D4" w:rsidRPr="00B22C17">
        <w:rPr>
          <w:rFonts w:ascii="Times New Roman" w:hAnsi="Times New Roman" w:cs="Times New Roman"/>
          <w:lang w:val="en-US"/>
        </w:rPr>
        <w:t xml:space="preserve"> </w:t>
      </w:r>
      <w:r w:rsidR="005515BA" w:rsidRPr="00B22C17">
        <w:rPr>
          <w:rFonts w:ascii="Times New Roman" w:hAnsi="Times New Roman" w:cs="Times New Roman"/>
          <w:lang w:val="en-US"/>
        </w:rPr>
        <w:t xml:space="preserve">was compared between the </w:t>
      </w:r>
      <w:r w:rsidR="00C501EC" w:rsidRPr="00B22C17">
        <w:rPr>
          <w:rFonts w:ascii="Times New Roman" w:hAnsi="Times New Roman" w:cs="Times New Roman"/>
          <w:lang w:val="en-US"/>
        </w:rPr>
        <w:t xml:space="preserve">BNP and no </w:t>
      </w:r>
      <w:r w:rsidR="00C501EC" w:rsidRPr="00B22C17">
        <w:rPr>
          <w:rFonts w:ascii="Times New Roman" w:hAnsi="Times New Roman" w:cs="Times New Roman"/>
          <w:lang w:val="en-US"/>
        </w:rPr>
        <w:lastRenderedPageBreak/>
        <w:t>BNP</w:t>
      </w:r>
      <w:r w:rsidR="005515BA" w:rsidRPr="00B22C17">
        <w:rPr>
          <w:rFonts w:ascii="Times New Roman" w:hAnsi="Times New Roman" w:cs="Times New Roman"/>
          <w:lang w:val="en-US"/>
        </w:rPr>
        <w:t xml:space="preserve"> groups using chi-squared tests</w:t>
      </w:r>
      <w:r w:rsidR="005A322A" w:rsidRPr="00B22C17">
        <w:rPr>
          <w:rFonts w:ascii="Times New Roman" w:hAnsi="Times New Roman" w:cs="Times New Roman"/>
          <w:lang w:val="en-US"/>
        </w:rPr>
        <w:t>.</w:t>
      </w:r>
      <w:r w:rsidR="00E50D1D" w:rsidRPr="00B22C17">
        <w:rPr>
          <w:rFonts w:ascii="Times New Roman" w:hAnsi="Times New Roman" w:cs="Times New Roman"/>
          <w:lang w:val="en-US"/>
        </w:rPr>
        <w:t xml:space="preserve"> The association between </w:t>
      </w:r>
      <w:r w:rsidR="006E30F9" w:rsidRPr="00B22C17">
        <w:rPr>
          <w:rFonts w:ascii="Times New Roman" w:hAnsi="Times New Roman" w:cs="Times New Roman"/>
          <w:lang w:val="en-US"/>
        </w:rPr>
        <w:t>BNP</w:t>
      </w:r>
      <w:r w:rsidR="0043087F" w:rsidRPr="00B22C17">
        <w:rPr>
          <w:rFonts w:ascii="Times New Roman" w:hAnsi="Times New Roman" w:cs="Times New Roman"/>
          <w:lang w:val="en-US"/>
        </w:rPr>
        <w:t xml:space="preserve"> </w:t>
      </w:r>
      <w:r w:rsidR="00E50D1D" w:rsidRPr="00B22C17">
        <w:rPr>
          <w:rFonts w:ascii="Times New Roman" w:hAnsi="Times New Roman" w:cs="Times New Roman"/>
          <w:lang w:val="en-US"/>
        </w:rPr>
        <w:t xml:space="preserve">and </w:t>
      </w:r>
      <w:r w:rsidR="00BE50FE" w:rsidRPr="00B22C17">
        <w:rPr>
          <w:rFonts w:ascii="Times New Roman" w:hAnsi="Times New Roman" w:cs="Times New Roman"/>
          <w:lang w:val="en-US"/>
        </w:rPr>
        <w:t>the number of days of absence</w:t>
      </w:r>
      <w:r w:rsidR="00A42707" w:rsidRPr="00B22C17">
        <w:rPr>
          <w:rFonts w:ascii="Times New Roman" w:hAnsi="Times New Roman" w:cs="Times New Roman"/>
          <w:lang w:val="en-US"/>
        </w:rPr>
        <w:t xml:space="preserve"> </w:t>
      </w:r>
      <w:r w:rsidR="00E50D1D" w:rsidRPr="00B22C17">
        <w:rPr>
          <w:rFonts w:ascii="Times New Roman" w:hAnsi="Times New Roman" w:cs="Times New Roman"/>
          <w:lang w:val="en-US"/>
        </w:rPr>
        <w:t>was analyzed using a negative binomial regression model adjusted for sex, age, ethnicity, marital status, education, occupation, annual family income, health insurance, obesity, and diabetes</w:t>
      </w:r>
      <w:r w:rsidR="00620F36" w:rsidRPr="00B22C17">
        <w:rPr>
          <w:rFonts w:ascii="Times New Roman" w:hAnsi="Times New Roman" w:cs="Times New Roman"/>
          <w:lang w:val="en-US"/>
        </w:rPr>
        <w:t xml:space="preserve"> (base model)</w:t>
      </w:r>
      <w:r w:rsidR="00E50D1D" w:rsidRPr="00B22C17">
        <w:rPr>
          <w:rFonts w:ascii="Times New Roman" w:hAnsi="Times New Roman" w:cs="Times New Roman"/>
          <w:lang w:val="en-US"/>
        </w:rPr>
        <w:t xml:space="preserve">. A negative binomial regression model was preferred over a Poisson regression model because data </w:t>
      </w:r>
      <w:r w:rsidR="00EB42EE" w:rsidRPr="00B22C17">
        <w:rPr>
          <w:rFonts w:ascii="Times New Roman" w:hAnsi="Times New Roman" w:cs="Times New Roman"/>
          <w:lang w:val="en-US"/>
        </w:rPr>
        <w:t xml:space="preserve">on </w:t>
      </w:r>
      <w:r w:rsidR="00550269" w:rsidRPr="00B22C17">
        <w:rPr>
          <w:rFonts w:ascii="Times New Roman" w:hAnsi="Times New Roman" w:cs="Times New Roman"/>
          <w:lang w:val="en-US"/>
        </w:rPr>
        <w:t>the number of days of absence</w:t>
      </w:r>
      <w:r w:rsidR="00EB42EE" w:rsidRPr="00B22C17">
        <w:rPr>
          <w:rFonts w:ascii="Times New Roman" w:hAnsi="Times New Roman" w:cs="Times New Roman"/>
          <w:lang w:val="en-US"/>
        </w:rPr>
        <w:t xml:space="preserve"> </w:t>
      </w:r>
      <w:r w:rsidR="00E50D1D" w:rsidRPr="00B22C17">
        <w:rPr>
          <w:rFonts w:ascii="Times New Roman" w:hAnsi="Times New Roman" w:cs="Times New Roman"/>
          <w:lang w:val="en-US"/>
        </w:rPr>
        <w:t xml:space="preserve">were </w:t>
      </w:r>
      <w:proofErr w:type="spellStart"/>
      <w:r w:rsidR="00E50D1D" w:rsidRPr="00B22C17">
        <w:rPr>
          <w:rFonts w:ascii="Times New Roman" w:hAnsi="Times New Roman" w:cs="Times New Roman"/>
          <w:lang w:val="en-US"/>
        </w:rPr>
        <w:t>overdispersed</w:t>
      </w:r>
      <w:proofErr w:type="spellEnd"/>
      <w:r w:rsidR="00E50D1D" w:rsidRPr="00B22C17">
        <w:rPr>
          <w:rFonts w:ascii="Times New Roman" w:hAnsi="Times New Roman" w:cs="Times New Roman"/>
          <w:lang w:val="en-US"/>
        </w:rPr>
        <w:t xml:space="preserve">. </w:t>
      </w:r>
      <w:r w:rsidR="009A21B6" w:rsidRPr="00B22C17">
        <w:rPr>
          <w:rFonts w:ascii="Times New Roman" w:hAnsi="Times New Roman" w:cs="Times New Roman"/>
          <w:lang w:val="en-US"/>
        </w:rPr>
        <w:t>Given that sex</w:t>
      </w:r>
      <w:r w:rsidR="0097156F" w:rsidRPr="00B22C17">
        <w:rPr>
          <w:rFonts w:ascii="Times New Roman" w:hAnsi="Times New Roman" w:cs="Times New Roman"/>
          <w:lang w:val="en-US"/>
        </w:rPr>
        <w:t xml:space="preserve"> </w:t>
      </w:r>
      <w:r w:rsidR="009A21B6" w:rsidRPr="00B22C17">
        <w:rPr>
          <w:rFonts w:ascii="Times New Roman" w:hAnsi="Times New Roman" w:cs="Times New Roman"/>
          <w:lang w:val="en-US"/>
        </w:rPr>
        <w:t xml:space="preserve">and age </w:t>
      </w:r>
      <w:r w:rsidR="00446077" w:rsidRPr="00B22C17">
        <w:rPr>
          <w:rFonts w:ascii="Times New Roman" w:hAnsi="Times New Roman" w:cs="Times New Roman"/>
          <w:lang w:val="en-US"/>
        </w:rPr>
        <w:t>have been found to</w:t>
      </w:r>
      <w:r w:rsidR="0055088C" w:rsidRPr="00B22C17">
        <w:rPr>
          <w:rFonts w:ascii="Times New Roman" w:hAnsi="Times New Roman" w:cs="Times New Roman"/>
          <w:lang w:val="en-US"/>
        </w:rPr>
        <w:t xml:space="preserve"> play a substantial role</w:t>
      </w:r>
      <w:r w:rsidR="0097156F" w:rsidRPr="00B22C17">
        <w:rPr>
          <w:rFonts w:ascii="Times New Roman" w:hAnsi="Times New Roman" w:cs="Times New Roman"/>
          <w:lang w:val="en-US"/>
        </w:rPr>
        <w:t xml:space="preserve"> </w:t>
      </w:r>
      <w:r w:rsidR="009A21B6" w:rsidRPr="00B22C17">
        <w:rPr>
          <w:rFonts w:ascii="Times New Roman" w:hAnsi="Times New Roman" w:cs="Times New Roman"/>
          <w:lang w:val="en-US"/>
        </w:rPr>
        <w:t>in the epidemiology of B</w:t>
      </w:r>
      <w:r w:rsidR="009E4F90" w:rsidRPr="00B22C17">
        <w:rPr>
          <w:rFonts w:ascii="Times New Roman" w:hAnsi="Times New Roman" w:cs="Times New Roman"/>
          <w:lang w:val="en-US"/>
        </w:rPr>
        <w:t>N</w:t>
      </w:r>
      <w:r w:rsidR="009A21B6" w:rsidRPr="00B22C17">
        <w:rPr>
          <w:rFonts w:ascii="Times New Roman" w:hAnsi="Times New Roman" w:cs="Times New Roman"/>
          <w:lang w:val="en-US"/>
        </w:rPr>
        <w:t xml:space="preserve">P </w:t>
      </w:r>
      <w:r w:rsidR="00A46D53" w:rsidRPr="00B22C17">
        <w:rPr>
          <w:rFonts w:ascii="Times New Roman" w:hAnsi="Times New Roman" w:cs="Times New Roman"/>
          <w:lang w:val="en-US"/>
        </w:rPr>
        <w:fldChar w:fldCharType="begin"/>
      </w:r>
      <w:r w:rsidR="00BF44AB" w:rsidRPr="00B22C17">
        <w:rPr>
          <w:rFonts w:ascii="Times New Roman" w:hAnsi="Times New Roman" w:cs="Times New Roman"/>
          <w:lang w:val="en-US"/>
        </w:rPr>
        <w:instrText xml:space="preserve"> ADDIN ZOTERO_ITEM CSL_CITATION {"citationID":"wfxbHofk","properties":{"formattedCitation":"[28\\uc0\\u8211{}30]","plainCitation":"[28–30]","noteIndex":0},"citationItems":[{"id":21591,"uris":["http://zotero.org/users/local/hhPVnw6l/items/YMZPVWCL"],"uri":["http://zotero.org/users/local/hhPVnw6l/items/YMZPVWCL"],"itemData":{"id":21591,"type":"article-journal","abstract":"BACKGROUND: Neck pain is very common but the occurrence of bothersome neck pain is not well described. Therefore our objective was to report on the prevalence and incidence of, as well as the rate of recovery from, bothersome neck pain in men and women of different ages in the general population.\nMETHODS: We used data from a recently conducted population-based cohort study, comprising 23,794 individuals in Stockholm County, Sweden. Study participants were surveyed with a self-administered questionnaire in 2002/2003 and 2007, and information on episodes of neck pain was gathered at baseline and at follow-up. We then measured bothersome neck pain in 2005 and 2006 retrospectively in 2007 using the follow-up questionnaire.\nRESULTS: The one-year prevalence of bothersome neck pain for at least seven consecutive days was 25% (95% confidence interval (CI): 24-25) among women and 16% (95% CI: 15-16) among men, peaking in individuals aged 30-59 years. The one-year incidence proportion of bothersome neck pain was 7% (95% CI: 6-7) among women, and 4% (95% CI: 4-5) among men. Women recovered more infrequently than men. The one-year incidence proportion of recovery (of at least one year duration) was 11% (95% CI: 10-12) among women and 14% (95% CI: 12-16) among men.\nCONCLUSION: Bothersome neck pain is most common in middle-aged individuals. Women are more likely than men to have and to develop bothersome neck pain, and less likely to recover from such pain. Younger men and women have a higher incidence, but recover more often from bothersome neck pain than older individuals.","container-title":"BMC musculoskeletal disorders","DOI":"10.1186/1471-2474-13-185","ISSN":"1471-2474","journalAbbreviation":"BMC Musculoskelet Disord","language":"eng","note":"PMID: 23006655\nPMCID: PMC3517780","page":"185","source":"PubMed","title":"The age- and sex-specific occurrence of bothersome neck pain in the general population--results from the Stockholm public health cohort","volume":"13","author":[{"family":"Skillgate","given":"Eva"},{"family":"Magnusson","given":"Cecilia"},{"family":"Lundberg","given":"Michael"},{"family":"Hallqvist","given":"Johan"}],"issued":{"date-parts":[["2012",9,24]]}}},{"id":21589,"uris":["http://zotero.org/users/local/hhPVnw6l/items/BJ7FARRZ"],"uri":["http://zotero.org/users/local/hhPVnw6l/items/BJ7FARRZ"],"itemData":{"id":21589,"type":"article-journal","abstract":"BACKGROUND CONTEXT: Low back pain is prevalent in the United States. At the present time, no large longitudinal study is available characterizing the incidence of this condition in the US population or identifying potential risk factors for its development.\nPURPOSE: To characterize the incidence of acute low back pain requiring medical evaluation in the emergency department and establish risk factors for its development.\nSTUDY DESIGN: Cross-sectional study.\nPATIENT SAMPLE: United States population estimates.\nOUTCOME MEASURES: Incidence rate ratios were calculated to determine the influence of age, sex, and race on the development of low back pain requiring emergent medical evaluation.\nMETHODS: The National Electronic Injury Surveillance System was queried for all cases of low back pain presenting to emergency departments between 2004 and 2008. Incidence rate ratios were then calculated with respect to age, sex, and race. The chi-square statistic was used to identify statistically significant differences in the incidence of low back pain requiring emergent medical evaluation between subgroups.\nRESULTS: An estimated 2.06 million episodes of low back pain occurred among a population at risk of over 1.48 billion person-years for an incidence rate of 1.39 per 1,000 person-years in the United States. Low back pain accounted for 3.15% of all emergency visits. Injuries sustained at home (65%) accounted for most patients presenting with low back pain. Low back pain demonstrates a bimodal distribution with peaks between 25 and 29 years of age (2.58/1,000 person-years) and 95 to 99 years of age (1.47/1,000) without differentiation by underlying etiology. When compared with females, males showed no significant differences in the rates of low back pain. However, when analyzed by 5-year age group, males aged 10 to 49 years and females aged 65 to 94 years had increased risk of low back pain than their opposite sex counterparts. When compared with Asian race, patients of black and white race were found to have significantly higher rates of low back pain. Older patients were found to be at a greater risk of hospital admission for low back pain.\nCONCLUSION: Age, sex, and race are significant risk factors for the development of low back pain necessitating treatment in an emergency department.","container-title":"The Spine Journal: Official Journal of the North American Spine Society","DOI":"10.1016/j.spinee.2011.09.002","ISSN":"1878-1632","issue":"1","journalAbbreviation":"Spine J","language":"eng","note":"PMID: 21978519","page":"63-70","source":"PubMed","title":"Low back pain in the United States: incidence and risk factors for presentation in the emergency setting","title-short":"Low back pain in the United States","volume":"12","author":[{"family":"Waterman","given":"Brian R."},{"family":"Belmont","given":"Philip J."},{"family":"Schoenfeld","given":"Andrew J."}],"issued":{"date-parts":[["2012",1]]}}},{"id":21587,"uris":["http://zotero.org/users/local/hhPVnw6l/items/VUXG5XG4"],"uri":["http://zotero.org/users/local/hhPVnw6l/items/VUXG5XG4"],"itemData":{"id":21587,"type":"article-journal","abstract":"OBJECTIVE: To assess the prevalence and characteristics of chronic neck pain, chronic low back pain, and migraine or frequent headaches among Spanish adults in 2014 according to gender, to identify predictors for each of these types of pains, and to compare the prevalence with those found in 2009.\nDESIGN: Cross-sectional study.\nSETTING: Spain.\nMETHODS: We used data collected from the 2014 European Health Interview Survey (N = 22,842). Sociodemographic features, self-rated health status, lifestyle habits, comorbid conditions, pain characteristics, and self-reported use of medications were analyzed.\nRESULTS: The prevalence of all types of pain was significantly higher among women than men. For chronic neck pain, the figures were 25.68% vs 12.54%, for chronic low back pain, 27.03% vs 18.83%, and for migraine or frequent headaches, 15.93% vs 6.74%, in women and men, respectively. Predictors of these types of pain included female gender, advanced age, poor self-rated health, psychological distress, comorbidities, and obesity. The prevalence of neck pain and low back pain increased from 2009 to 2014 for both sexes, and the prevalence of migraine or frequent headaches remained stable over time.\nCONCLUSIONS: The prevalence and intensity of all the forms of chronic pain were higher among women. Women experiencing pain used prescribed medications for pain, anxiety, and/or depression and sleeping pills more than men. The prevalence of chronic neck and low back has increased in the last five years in Spain, and the prevalence of migraine or frequent headaches has remained stable.","container-title":"Pain Medicine (Malden, Mass.)","DOI":"10.1093/pm/pnz004","ISSN":"1526-4637","issue":"12","journalAbbreviation":"Pain Med","language":"eng","note":"PMID: 30789640","page":"2349-2359","source":"PubMed","title":"Gender Differences in the Prevalence and Characteristics of Pain in Spain: Report from a Population-Based Study","title-short":"Gender Differences in the Prevalence and Characteristics of Pain in Spain","volume":"20","author":[{"family":"Jiménez-Trujillo","given":"Isabel"},{"family":"López-de-Andrés","given":"Ana"},{"family":"Del Barrio","given":"José Luis"},{"family":"Hernández-Barrera","given":"Valentín"},{"family":"Valero-de-Bernabé","given":"Marisa"},{"family":"Jiménez-García","given":"Rodrigo"}],"issued":{"date-parts":[["2019",12,1]]}}}],"schema":"https://github.com/citation-style-language/schema/raw/master/csl-citation.json"} </w:instrText>
      </w:r>
      <w:r w:rsidR="00A46D53" w:rsidRPr="00B22C17">
        <w:rPr>
          <w:rFonts w:ascii="Times New Roman" w:hAnsi="Times New Roman" w:cs="Times New Roman"/>
          <w:lang w:val="en-US"/>
        </w:rPr>
        <w:fldChar w:fldCharType="separate"/>
      </w:r>
      <w:r w:rsidR="00BF44AB" w:rsidRPr="00B22C17">
        <w:rPr>
          <w:rFonts w:ascii="Times New Roman" w:hAnsi="Times New Roman" w:cs="Times New Roman"/>
        </w:rPr>
        <w:t>[28–30]</w:t>
      </w:r>
      <w:r w:rsidR="00A46D53" w:rsidRPr="00B22C17">
        <w:rPr>
          <w:rFonts w:ascii="Times New Roman" w:hAnsi="Times New Roman" w:cs="Times New Roman"/>
          <w:lang w:val="en-US"/>
        </w:rPr>
        <w:fldChar w:fldCharType="end"/>
      </w:r>
      <w:r w:rsidR="00A46D53" w:rsidRPr="00B22C17">
        <w:rPr>
          <w:rFonts w:ascii="Times New Roman" w:hAnsi="Times New Roman" w:cs="Times New Roman"/>
          <w:lang w:val="en-US"/>
        </w:rPr>
        <w:t xml:space="preserve"> </w:t>
      </w:r>
      <w:r w:rsidR="009A21B6" w:rsidRPr="00B22C17">
        <w:rPr>
          <w:rFonts w:ascii="Times New Roman" w:hAnsi="Times New Roman" w:cs="Times New Roman"/>
          <w:lang w:val="en-US"/>
        </w:rPr>
        <w:t>and workplace absenteeism</w:t>
      </w:r>
      <w:r w:rsidR="00D864D3" w:rsidRPr="00B22C17">
        <w:rPr>
          <w:rFonts w:ascii="Times New Roman" w:hAnsi="Times New Roman" w:cs="Times New Roman"/>
          <w:lang w:val="en-US"/>
        </w:rPr>
        <w:t xml:space="preserve"> </w:t>
      </w:r>
      <w:r w:rsidR="00D864D3" w:rsidRPr="00B22C17">
        <w:rPr>
          <w:rFonts w:ascii="Times New Roman" w:hAnsi="Times New Roman" w:cs="Times New Roman"/>
          <w:lang w:val="en-US"/>
        </w:rPr>
        <w:fldChar w:fldCharType="begin"/>
      </w:r>
      <w:r w:rsidR="00BF44AB" w:rsidRPr="00B22C17">
        <w:rPr>
          <w:rFonts w:ascii="Times New Roman" w:hAnsi="Times New Roman" w:cs="Times New Roman"/>
          <w:lang w:val="en-US"/>
        </w:rPr>
        <w:instrText xml:space="preserve"> ADDIN ZOTERO_ITEM CSL_CITATION {"citationID":"mfEQkoK0","properties":{"formattedCitation":"[31,32]","plainCitation":"[31,32]","noteIndex":0},"citationItems":[{"id":21594,"uris":["http://zotero.org/users/local/hhPVnw6l/items/XTS4K9AX"],"uri":["http://zotero.org/users/local/hhPVnw6l/items/XTS4K9AX"],"itemData":{"id":21594,"type":"article-journal","abstract":"Meta-analyses were performed on 34 samples that included correlations of the age and employee absenteeism relationship. Samples were categorized into 2 groups for voluntary absenteeism and involuntary absenteeism based on the frequency index and the time-lost index, respectively. Results indicated that both voluntary and involuntary absence are inversely related to age. Unexplained variance remained for each of the absence measures after variance due to sampling error and measurement unreliability was statistically estimated. Work demand was negatively associated with age, but not in the expected direction. Work demand did not moderate the age-absence relationship for either voluntary or involuntary absence. Sex moderated the relationship between age and voluntary absenteeism only. For men, the relationships were negative; for women, they did not differ significantly from 0. Implications for research and human resource management practices regarding aging and absenteeism are discussed.","container-title":"Psychology and Aging","DOI":"10.1037//0882-7974.4.4.409","ISSN":"0882-7974","issue":"4","journalAbbreviation":"Psychol Aging","language":"eng","note":"PMID: 2619948","page":"409-414","source":"PubMed","title":"Age-related differences in employee absenteeism: a meta-analysis","title-short":"Age-related differences in employee absenteeism","volume":"4","author":[{"family":"Martocchio","given":"J. J."}],"issued":{"date-parts":[["1989",12]]}}},{"id":21596,"uris":["http://zotero.org/users/local/hhPVnw6l/items/RAVC6V49"],"uri":["http://zotero.org/users/local/hhPVnw6l/items/RAVC6V49"],"itemData":{"id":21596,"type":"article-journal","abstract":"Background: In many western countries, women have a much higher rate of sickness absence than men. To what degree the gender differences in sickness absence are caused by gender differences in health is largely unknown.\nAims: To assess to what degree the gender gap in sickness absence can be explained by health factors and work- and family-related stressors.\nMethods: Norwegian parents participating in the Tracking Opportunities and Problems (TOPP) study were asked about sickness absence and a range of factors possibly contributing to gender differences in sickness absence, including somatic and mental health, sleep problems, job control/demands, work-home conflicts, parent-child conflicts and stressful life events. Using a cross-sectional design, we did linear regression analyses, to assess the relative contribution from health and stressors.\nResults: There were 557 study participants. Adjusting for health factors reduced the gender difference in sickness absence by 24%, while adjusting for stressors in the family and at work reduced the difference by 22%. A simultaneous adjustment for health factors and stressors reduced the difference in sickness absence by about 28%.\nConclusions: Despite adjusting for a large number of factors, including both previously well-studied factors (e.g. health, job control/demands) and lesser-studied factors (parent-child conflict and sexual assault), this study found that most of the gender gap in sickness absence remains unexplained. Gender differences in health and stressors account for only part of the differences in sickness absence. Other factors must, therefore, exist outside the domains of health, work and family stressors.","container-title":"Occupational Medicine (Oxford, England)","DOI":"10.1093/occmed/kqy062","ISSN":"1471-8405","issue":"5","journalAbbreviation":"Occup Med (Lond)","language":"eng","note":"PMID: 29672758","page":"320-326","source":"PubMed","title":"Explaining the gender gap in sickness absence","volume":"68","author":[{"family":"Østby","given":"K. A."},{"family":"Mykletun","given":"A."},{"family":"Nilsen","given":"W."}],"issued":{"date-parts":[["2018",6,20]]}}}],"schema":"https://github.com/citation-style-language/schema/raw/master/csl-citation.json"} </w:instrText>
      </w:r>
      <w:r w:rsidR="00D864D3" w:rsidRPr="00B22C17">
        <w:rPr>
          <w:rFonts w:ascii="Times New Roman" w:hAnsi="Times New Roman" w:cs="Times New Roman"/>
          <w:lang w:val="en-US"/>
        </w:rPr>
        <w:fldChar w:fldCharType="separate"/>
      </w:r>
      <w:r w:rsidR="00BF44AB" w:rsidRPr="00B22C17">
        <w:rPr>
          <w:rFonts w:ascii="Times New Roman" w:hAnsi="Times New Roman" w:cs="Times New Roman"/>
          <w:noProof/>
          <w:lang w:val="en-US"/>
        </w:rPr>
        <w:t>[31,32]</w:t>
      </w:r>
      <w:r w:rsidR="00D864D3" w:rsidRPr="00B22C17">
        <w:rPr>
          <w:rFonts w:ascii="Times New Roman" w:hAnsi="Times New Roman" w:cs="Times New Roman"/>
          <w:lang w:val="en-US"/>
        </w:rPr>
        <w:fldChar w:fldCharType="end"/>
      </w:r>
      <w:r w:rsidR="009A21B6" w:rsidRPr="00B22C17">
        <w:rPr>
          <w:rFonts w:ascii="Times New Roman" w:hAnsi="Times New Roman" w:cs="Times New Roman"/>
          <w:lang w:val="en-US"/>
        </w:rPr>
        <w:t xml:space="preserve">, </w:t>
      </w:r>
      <w:r w:rsidR="008E73C6" w:rsidRPr="00B22C17">
        <w:rPr>
          <w:rFonts w:ascii="Times New Roman" w:hAnsi="Times New Roman" w:cs="Times New Roman"/>
          <w:lang w:val="en-US"/>
        </w:rPr>
        <w:t xml:space="preserve">a potential interaction between BNP and sex </w:t>
      </w:r>
      <w:r w:rsidR="00121AE6" w:rsidRPr="00B22C17">
        <w:rPr>
          <w:rFonts w:ascii="Times New Roman" w:hAnsi="Times New Roman" w:cs="Times New Roman"/>
          <w:lang w:val="en-US"/>
        </w:rPr>
        <w:t>and</w:t>
      </w:r>
      <w:r w:rsidR="008E73C6" w:rsidRPr="00B22C17">
        <w:rPr>
          <w:rFonts w:ascii="Times New Roman" w:hAnsi="Times New Roman" w:cs="Times New Roman"/>
          <w:lang w:val="en-US"/>
        </w:rPr>
        <w:t xml:space="preserve"> age in the association with the number of days of absence from work</w:t>
      </w:r>
      <w:r w:rsidR="009A21B6" w:rsidRPr="00B22C17">
        <w:rPr>
          <w:rFonts w:ascii="Times New Roman" w:hAnsi="Times New Roman" w:cs="Times New Roman"/>
          <w:lang w:val="en-US"/>
        </w:rPr>
        <w:t xml:space="preserve"> was also assessed by including interaction terms of “BNP X sex” and “BNP X age”</w:t>
      </w:r>
      <w:r w:rsidR="00812378" w:rsidRPr="00B22C17">
        <w:rPr>
          <w:rFonts w:ascii="Times New Roman" w:hAnsi="Times New Roman" w:cs="Times New Roman"/>
          <w:lang w:val="en-US"/>
        </w:rPr>
        <w:t xml:space="preserve"> in the negative binomial regression model</w:t>
      </w:r>
      <w:r w:rsidR="009A21B6" w:rsidRPr="00B22C17">
        <w:rPr>
          <w:rFonts w:ascii="Times New Roman" w:hAnsi="Times New Roman" w:cs="Times New Roman"/>
          <w:lang w:val="en-US"/>
        </w:rPr>
        <w:t xml:space="preserve">. </w:t>
      </w:r>
      <w:r w:rsidR="00620F36" w:rsidRPr="00B22C17">
        <w:rPr>
          <w:rFonts w:ascii="Times New Roman" w:hAnsi="Times New Roman" w:cs="Times New Roman"/>
          <w:lang w:val="en-US"/>
        </w:rPr>
        <w:t xml:space="preserve">Results of the negative binomial regression analysis are presented using incidence rate ratios (IRRs) and 95% confidence intervals (CIs). </w:t>
      </w:r>
      <w:r w:rsidR="00CD7DD0" w:rsidRPr="00B22C17">
        <w:rPr>
          <w:rFonts w:ascii="Times New Roman" w:hAnsi="Times New Roman" w:cs="Times New Roman"/>
          <w:lang w:val="en-US"/>
        </w:rPr>
        <w:t xml:space="preserve">Sensitivity analyses were conducted using logistic regression models including the same set of independent variables and the </w:t>
      </w:r>
      <w:r w:rsidR="008A0F5F" w:rsidRPr="00B22C17">
        <w:rPr>
          <w:rFonts w:ascii="Times New Roman" w:hAnsi="Times New Roman" w:cs="Times New Roman"/>
          <w:lang w:val="en-US"/>
        </w:rPr>
        <w:t xml:space="preserve">two </w:t>
      </w:r>
      <w:r w:rsidR="00CD7DD0" w:rsidRPr="00B22C17">
        <w:rPr>
          <w:rFonts w:ascii="Times New Roman" w:hAnsi="Times New Roman" w:cs="Times New Roman"/>
          <w:lang w:val="en-US"/>
        </w:rPr>
        <w:t xml:space="preserve">workplace absenteeism categorical variables </w:t>
      </w:r>
      <w:r w:rsidR="00EA4DC1" w:rsidRPr="00B22C17">
        <w:rPr>
          <w:rFonts w:ascii="Times New Roman" w:hAnsi="Times New Roman" w:cs="Times New Roman"/>
          <w:lang w:val="en-US"/>
        </w:rPr>
        <w:t xml:space="preserve">(i.e., ≥2 </w:t>
      </w:r>
      <w:r w:rsidR="00A57000" w:rsidRPr="00B22C17">
        <w:rPr>
          <w:rFonts w:ascii="Times New Roman" w:hAnsi="Times New Roman" w:cs="Times New Roman"/>
          <w:lang w:val="en-US"/>
        </w:rPr>
        <w:t xml:space="preserve">versus 0-1 </w:t>
      </w:r>
      <w:r w:rsidR="00EA4DC1" w:rsidRPr="00B22C17">
        <w:rPr>
          <w:rFonts w:ascii="Times New Roman" w:hAnsi="Times New Roman" w:cs="Times New Roman"/>
          <w:lang w:val="en-US"/>
        </w:rPr>
        <w:t>days of absence and ≥10</w:t>
      </w:r>
      <w:r w:rsidR="00A57000" w:rsidRPr="00B22C17">
        <w:rPr>
          <w:rFonts w:ascii="Times New Roman" w:hAnsi="Times New Roman" w:cs="Times New Roman"/>
          <w:lang w:val="en-US"/>
        </w:rPr>
        <w:t xml:space="preserve"> versus 0-9</w:t>
      </w:r>
      <w:r w:rsidR="00EA4DC1" w:rsidRPr="00B22C17">
        <w:rPr>
          <w:rFonts w:ascii="Times New Roman" w:hAnsi="Times New Roman" w:cs="Times New Roman"/>
          <w:lang w:val="en-US"/>
        </w:rPr>
        <w:t xml:space="preserve"> days of absence) </w:t>
      </w:r>
      <w:r w:rsidR="00CD7DD0" w:rsidRPr="00B22C17">
        <w:rPr>
          <w:rFonts w:ascii="Times New Roman" w:hAnsi="Times New Roman" w:cs="Times New Roman"/>
          <w:lang w:val="en-US"/>
        </w:rPr>
        <w:t>as dependent variables.</w:t>
      </w:r>
      <w:r w:rsidR="00265F5D" w:rsidRPr="00B22C17">
        <w:rPr>
          <w:rFonts w:ascii="Times New Roman" w:hAnsi="Times New Roman" w:cs="Times New Roman"/>
          <w:lang w:val="en-US"/>
        </w:rPr>
        <w:t xml:space="preserve"> Results of the logistic regression analys</w:t>
      </w:r>
      <w:r w:rsidR="00DF1053" w:rsidRPr="00B22C17">
        <w:rPr>
          <w:rFonts w:ascii="Times New Roman" w:hAnsi="Times New Roman" w:cs="Times New Roman"/>
          <w:lang w:val="en-US"/>
        </w:rPr>
        <w:t>e</w:t>
      </w:r>
      <w:r w:rsidR="00265F5D" w:rsidRPr="00B22C17">
        <w:rPr>
          <w:rFonts w:ascii="Times New Roman" w:hAnsi="Times New Roman" w:cs="Times New Roman"/>
          <w:lang w:val="en-US"/>
        </w:rPr>
        <w:t>s are presented using odds ratios (ORs) and 95% CI</w:t>
      </w:r>
      <w:r w:rsidR="00E77BBF" w:rsidRPr="00B22C17">
        <w:rPr>
          <w:rFonts w:ascii="Times New Roman" w:hAnsi="Times New Roman" w:cs="Times New Roman"/>
          <w:lang w:val="en-US"/>
        </w:rPr>
        <w:t>s</w:t>
      </w:r>
      <w:r w:rsidR="00265F5D" w:rsidRPr="00B22C17">
        <w:rPr>
          <w:rFonts w:ascii="Times New Roman" w:hAnsi="Times New Roman" w:cs="Times New Roman"/>
          <w:lang w:val="en-US"/>
        </w:rPr>
        <w:t>.</w:t>
      </w:r>
      <w:r w:rsidR="00EA4DC1" w:rsidRPr="00B22C17">
        <w:rPr>
          <w:rFonts w:ascii="Times New Roman" w:hAnsi="Times New Roman" w:cs="Times New Roman"/>
          <w:lang w:val="en-US"/>
        </w:rPr>
        <w:t xml:space="preserve"> </w:t>
      </w:r>
      <w:r w:rsidR="00BE39F5" w:rsidRPr="00B22C17">
        <w:rPr>
          <w:rFonts w:ascii="Times New Roman" w:hAnsi="Times New Roman" w:cs="Times New Roman"/>
          <w:lang w:val="en-US"/>
        </w:rPr>
        <w:t>Finally, t</w:t>
      </w:r>
      <w:r w:rsidR="00620F36" w:rsidRPr="00B22C17">
        <w:rPr>
          <w:rFonts w:ascii="Times New Roman" w:hAnsi="Times New Roman" w:cs="Times New Roman"/>
          <w:lang w:val="en-US"/>
        </w:rPr>
        <w:t xml:space="preserve">he effect of each influential factor </w:t>
      </w:r>
      <w:r w:rsidR="005D794A" w:rsidRPr="00B22C17">
        <w:rPr>
          <w:rFonts w:ascii="Times New Roman" w:hAnsi="Times New Roman" w:cs="Times New Roman"/>
          <w:lang w:val="en-US"/>
        </w:rPr>
        <w:t xml:space="preserve">and all influential factors together </w:t>
      </w:r>
      <w:r w:rsidR="00620F36" w:rsidRPr="00B22C17">
        <w:rPr>
          <w:rFonts w:ascii="Times New Roman" w:hAnsi="Times New Roman" w:cs="Times New Roman"/>
          <w:lang w:val="en-US"/>
        </w:rPr>
        <w:t xml:space="preserve">was analyzed by including the factor of interest </w:t>
      </w:r>
      <w:r w:rsidR="005E5911" w:rsidRPr="00B22C17">
        <w:rPr>
          <w:rFonts w:ascii="Times New Roman" w:hAnsi="Times New Roman" w:cs="Times New Roman"/>
          <w:lang w:val="en-US"/>
        </w:rPr>
        <w:t xml:space="preserve">or all factors </w:t>
      </w:r>
      <w:r w:rsidR="00620F36" w:rsidRPr="00B22C17">
        <w:rPr>
          <w:rFonts w:ascii="Times New Roman" w:hAnsi="Times New Roman" w:cs="Times New Roman"/>
          <w:lang w:val="en-US"/>
        </w:rPr>
        <w:t xml:space="preserve">in the base </w:t>
      </w:r>
      <w:r w:rsidR="00AB287E" w:rsidRPr="00B22C17">
        <w:rPr>
          <w:rFonts w:ascii="Times New Roman" w:hAnsi="Times New Roman" w:cs="Times New Roman"/>
          <w:lang w:val="en-US"/>
        </w:rPr>
        <w:t xml:space="preserve">negative binomial regression </w:t>
      </w:r>
      <w:r w:rsidR="00620F36" w:rsidRPr="00B22C17">
        <w:rPr>
          <w:rFonts w:ascii="Times New Roman" w:hAnsi="Times New Roman" w:cs="Times New Roman"/>
          <w:lang w:val="en-US"/>
        </w:rPr>
        <w:t xml:space="preserve">model and estimating the percent decrease in the log IRR. </w:t>
      </w:r>
      <w:r w:rsidR="00BE39F5" w:rsidRPr="00B22C17">
        <w:rPr>
          <w:rFonts w:ascii="Times New Roman" w:hAnsi="Times New Roman" w:cs="Times New Roman"/>
          <w:lang w:val="en-US"/>
        </w:rPr>
        <w:t xml:space="preserve">The sample weighting was taken into account in the descriptive and inferential analyses. Significance was set at p-value&lt;0.05. All analyses were conducted using R </w:t>
      </w:r>
      <w:r w:rsidR="00360BFF" w:rsidRPr="00B22C17">
        <w:rPr>
          <w:rFonts w:ascii="Times New Roman" w:hAnsi="Times New Roman" w:cs="Times New Roman"/>
          <w:lang w:val="en-US"/>
        </w:rPr>
        <w:t>4.1.0</w:t>
      </w:r>
      <w:r w:rsidR="00194011" w:rsidRPr="00B22C17">
        <w:rPr>
          <w:rFonts w:ascii="Times New Roman" w:hAnsi="Times New Roman" w:cs="Times New Roman"/>
          <w:lang w:val="en-US"/>
        </w:rPr>
        <w:t xml:space="preserve"> (The R Foundation)</w:t>
      </w:r>
      <w:r w:rsidR="005368D6" w:rsidRPr="00B22C17">
        <w:rPr>
          <w:rFonts w:ascii="Times New Roman" w:hAnsi="Times New Roman" w:cs="Times New Roman"/>
          <w:lang w:val="en-US"/>
        </w:rPr>
        <w:t xml:space="preserve"> </w:t>
      </w:r>
      <w:r w:rsidR="00590B58" w:rsidRPr="00B22C17">
        <w:rPr>
          <w:rFonts w:ascii="Times New Roman" w:hAnsi="Times New Roman" w:cs="Times New Roman"/>
          <w:lang w:val="en-US"/>
        </w:rPr>
        <w:fldChar w:fldCharType="begin"/>
      </w:r>
      <w:r w:rsidR="00BF44AB" w:rsidRPr="00B22C17">
        <w:rPr>
          <w:rFonts w:ascii="Times New Roman" w:hAnsi="Times New Roman" w:cs="Times New Roman"/>
          <w:lang w:val="en-US"/>
        </w:rPr>
        <w:instrText xml:space="preserve"> ADDIN ZOTERO_ITEM CSL_CITATION {"citationID":"vEBFTOUf","properties":{"formattedCitation":"[33]","plainCitation":"[33]","noteIndex":0},"citationItems":[{"id":2567,"uris":["http://zotero.org/users/local/hhPVnw6l/items/5P64JDHA"],"uri":["http://zotero.org/users/local/hhPVnw6l/items/5P64JDHA"],"itemData":{"id":2567,"type":"report","event-place":"Vienna, Austria","language":"eng","publisher":"R Foundation for Statistical Computing","publisher-place":"Vienna, Austria","title":"R: A language and environment for statistical computing","URL":"https://www.R-project.org/","author":[{"family":"R Core Team","given":""}],"issued":{"date-parts":[["2021"]]}}}],"schema":"https://github.com/citation-style-language/schema/raw/master/csl-citation.json"} </w:instrText>
      </w:r>
      <w:r w:rsidR="00590B58" w:rsidRPr="00B22C17">
        <w:rPr>
          <w:rFonts w:ascii="Times New Roman" w:hAnsi="Times New Roman" w:cs="Times New Roman"/>
          <w:lang w:val="en-US"/>
        </w:rPr>
        <w:fldChar w:fldCharType="separate"/>
      </w:r>
      <w:r w:rsidR="00BF44AB" w:rsidRPr="00B22C17">
        <w:rPr>
          <w:rFonts w:ascii="Times New Roman" w:hAnsi="Times New Roman" w:cs="Times New Roman"/>
          <w:noProof/>
          <w:lang w:val="en-US"/>
        </w:rPr>
        <w:t>[33]</w:t>
      </w:r>
      <w:r w:rsidR="00590B58" w:rsidRPr="00B22C17">
        <w:rPr>
          <w:rFonts w:ascii="Times New Roman" w:hAnsi="Times New Roman" w:cs="Times New Roman"/>
          <w:lang w:val="en-US"/>
        </w:rPr>
        <w:fldChar w:fldCharType="end"/>
      </w:r>
      <w:r w:rsidR="00194011" w:rsidRPr="00B22C17">
        <w:rPr>
          <w:rFonts w:ascii="Times New Roman" w:hAnsi="Times New Roman" w:cs="Times New Roman"/>
          <w:lang w:val="en-US"/>
        </w:rPr>
        <w:t>.</w:t>
      </w:r>
    </w:p>
    <w:p w14:paraId="62796DC1" w14:textId="77777777" w:rsidR="00EE1BBD" w:rsidRPr="00B22C17" w:rsidRDefault="00EE1BBD" w:rsidP="00374687">
      <w:pPr>
        <w:spacing w:line="480" w:lineRule="auto"/>
        <w:jc w:val="both"/>
        <w:rPr>
          <w:rFonts w:ascii="Times New Roman" w:hAnsi="Times New Roman" w:cs="Times New Roman"/>
          <w:b/>
          <w:bCs/>
          <w:lang w:val="en-US"/>
        </w:rPr>
      </w:pPr>
    </w:p>
    <w:p w14:paraId="38AF1BB9" w14:textId="7F079F5B" w:rsidR="00634F4D" w:rsidRPr="00B22C17" w:rsidRDefault="00616976" w:rsidP="00C65FFB">
      <w:pPr>
        <w:pStyle w:val="Heading1"/>
      </w:pPr>
      <w:r w:rsidRPr="00B22C17">
        <w:t>Results</w:t>
      </w:r>
    </w:p>
    <w:p w14:paraId="16EF8FDC" w14:textId="792F091E" w:rsidR="00616976" w:rsidRPr="00B22C17" w:rsidRDefault="00616976" w:rsidP="00374687">
      <w:pPr>
        <w:spacing w:line="480" w:lineRule="auto"/>
        <w:jc w:val="both"/>
        <w:rPr>
          <w:rFonts w:ascii="Times New Roman" w:hAnsi="Times New Roman" w:cs="Times New Roman"/>
          <w:lang w:val="en-US"/>
        </w:rPr>
      </w:pPr>
    </w:p>
    <w:p w14:paraId="1C7DB8DD" w14:textId="7B5FB9D6" w:rsidR="00673677" w:rsidRDefault="00BE31A6" w:rsidP="00374687">
      <w:pPr>
        <w:spacing w:line="480" w:lineRule="auto"/>
        <w:jc w:val="both"/>
        <w:rPr>
          <w:rFonts w:ascii="Times New Roman" w:hAnsi="Times New Roman" w:cs="Times New Roman"/>
          <w:lang w:val="en-US"/>
        </w:rPr>
      </w:pPr>
      <w:r w:rsidRPr="00B22C17">
        <w:rPr>
          <w:rFonts w:ascii="Times New Roman" w:hAnsi="Times New Roman" w:cs="Times New Roman"/>
          <w:lang w:val="en-US"/>
        </w:rPr>
        <w:t>There were 1,471 adults aged 22-83 years included in this study (52.9% of men; mean [standard deviation] age 44.5 [13.0] years).</w:t>
      </w:r>
      <w:r w:rsidR="00F0627E" w:rsidRPr="00B22C17">
        <w:rPr>
          <w:rFonts w:ascii="Times New Roman" w:hAnsi="Times New Roman" w:cs="Times New Roman"/>
          <w:lang w:val="en-US"/>
        </w:rPr>
        <w:t xml:space="preserve"> Sample characteristics by </w:t>
      </w:r>
      <w:r w:rsidR="00ED328A" w:rsidRPr="00B22C17">
        <w:rPr>
          <w:rFonts w:ascii="Times New Roman" w:hAnsi="Times New Roman" w:cs="Times New Roman"/>
          <w:lang w:val="en-US"/>
        </w:rPr>
        <w:t>BNP</w:t>
      </w:r>
      <w:r w:rsidR="00F0627E" w:rsidRPr="00B22C17">
        <w:rPr>
          <w:rFonts w:ascii="Times New Roman" w:hAnsi="Times New Roman" w:cs="Times New Roman"/>
          <w:lang w:val="en-US"/>
        </w:rPr>
        <w:t xml:space="preserve"> and work</w:t>
      </w:r>
      <w:r w:rsidR="00790183" w:rsidRPr="00B22C17">
        <w:rPr>
          <w:rFonts w:ascii="Times New Roman" w:hAnsi="Times New Roman" w:cs="Times New Roman"/>
          <w:lang w:val="en-US"/>
        </w:rPr>
        <w:t>place</w:t>
      </w:r>
      <w:r w:rsidR="00F0627E" w:rsidRPr="00B22C17">
        <w:rPr>
          <w:rFonts w:ascii="Times New Roman" w:hAnsi="Times New Roman" w:cs="Times New Roman"/>
          <w:lang w:val="en-US"/>
        </w:rPr>
        <w:t xml:space="preserve"> absenteeism </w:t>
      </w:r>
      <w:r w:rsidR="00F0627E" w:rsidRPr="00B22C17">
        <w:rPr>
          <w:rFonts w:ascii="Times New Roman" w:hAnsi="Times New Roman" w:cs="Times New Roman"/>
          <w:lang w:val="en-US"/>
        </w:rPr>
        <w:lastRenderedPageBreak/>
        <w:t xml:space="preserve">status are displayed in </w:t>
      </w:r>
      <w:r w:rsidR="00F0627E" w:rsidRPr="00B22C17">
        <w:rPr>
          <w:rFonts w:ascii="Times New Roman" w:hAnsi="Times New Roman" w:cs="Times New Roman"/>
          <w:b/>
          <w:bCs/>
          <w:lang w:val="en-US"/>
        </w:rPr>
        <w:t>Table 1</w:t>
      </w:r>
      <w:r w:rsidR="00F0627E" w:rsidRPr="00B22C17">
        <w:rPr>
          <w:rFonts w:ascii="Times New Roman" w:hAnsi="Times New Roman" w:cs="Times New Roman"/>
          <w:lang w:val="en-US"/>
        </w:rPr>
        <w:t xml:space="preserve">. Older age, obesity, depression, sleep disorder, walking difficulty, standing difficulty, and sitting difficulty were more frequent in those with </w:t>
      </w:r>
      <w:r w:rsidR="008F75D0" w:rsidRPr="00B22C17">
        <w:rPr>
          <w:rFonts w:ascii="Times New Roman" w:hAnsi="Times New Roman" w:cs="Times New Roman"/>
          <w:lang w:val="en-US"/>
        </w:rPr>
        <w:t>BNP</w:t>
      </w:r>
      <w:r w:rsidR="0061348A" w:rsidRPr="00B22C17">
        <w:rPr>
          <w:rFonts w:ascii="Times New Roman" w:hAnsi="Times New Roman" w:cs="Times New Roman"/>
          <w:lang w:val="en-US"/>
        </w:rPr>
        <w:t xml:space="preserve"> </w:t>
      </w:r>
      <w:r w:rsidR="00F0627E" w:rsidRPr="00B22C17">
        <w:rPr>
          <w:rFonts w:ascii="Times New Roman" w:hAnsi="Times New Roman" w:cs="Times New Roman"/>
          <w:lang w:val="en-US"/>
        </w:rPr>
        <w:t xml:space="preserve">than in those without </w:t>
      </w:r>
      <w:r w:rsidR="008F75D0" w:rsidRPr="00B22C17">
        <w:rPr>
          <w:rFonts w:ascii="Times New Roman" w:hAnsi="Times New Roman" w:cs="Times New Roman"/>
          <w:lang w:val="en-US"/>
        </w:rPr>
        <w:t>BNP</w:t>
      </w:r>
      <w:r w:rsidR="00F0627E" w:rsidRPr="00B22C17">
        <w:rPr>
          <w:rFonts w:ascii="Times New Roman" w:hAnsi="Times New Roman" w:cs="Times New Roman"/>
          <w:lang w:val="en-US"/>
        </w:rPr>
        <w:t xml:space="preserve">. </w:t>
      </w:r>
      <w:r w:rsidR="00756B66" w:rsidRPr="00B22C17">
        <w:rPr>
          <w:rFonts w:ascii="Times New Roman" w:hAnsi="Times New Roman" w:cs="Times New Roman"/>
          <w:lang w:val="en-US"/>
        </w:rPr>
        <w:t xml:space="preserve">The </w:t>
      </w:r>
      <w:r w:rsidR="00A935F6" w:rsidRPr="00B22C17">
        <w:rPr>
          <w:rFonts w:ascii="Times New Roman" w:hAnsi="Times New Roman" w:cs="Times New Roman"/>
          <w:lang w:val="en-US"/>
        </w:rPr>
        <w:t xml:space="preserve">mean </w:t>
      </w:r>
      <w:r w:rsidR="00756B66" w:rsidRPr="00B22C17">
        <w:rPr>
          <w:rFonts w:ascii="Times New Roman" w:hAnsi="Times New Roman" w:cs="Times New Roman"/>
          <w:lang w:val="en-US"/>
        </w:rPr>
        <w:t xml:space="preserve">number of days of absence </w:t>
      </w:r>
      <w:r w:rsidR="00593603" w:rsidRPr="00B22C17">
        <w:rPr>
          <w:rFonts w:ascii="Times New Roman" w:hAnsi="Times New Roman" w:cs="Times New Roman"/>
          <w:lang w:val="en-US"/>
        </w:rPr>
        <w:t>from work</w:t>
      </w:r>
      <w:r w:rsidR="00756B66" w:rsidRPr="00B22C17">
        <w:rPr>
          <w:rFonts w:ascii="Times New Roman" w:hAnsi="Times New Roman" w:cs="Times New Roman"/>
          <w:lang w:val="en-US"/>
        </w:rPr>
        <w:t xml:space="preserve"> in the last year was significantly higher in the </w:t>
      </w:r>
      <w:r w:rsidR="00BE4997" w:rsidRPr="00B22C17">
        <w:rPr>
          <w:rFonts w:ascii="Times New Roman" w:hAnsi="Times New Roman" w:cs="Times New Roman"/>
          <w:lang w:val="en-US"/>
        </w:rPr>
        <w:t>BNP</w:t>
      </w:r>
      <w:r w:rsidR="00756B66" w:rsidRPr="00B22C17">
        <w:rPr>
          <w:rFonts w:ascii="Times New Roman" w:hAnsi="Times New Roman" w:cs="Times New Roman"/>
          <w:lang w:val="en-US"/>
        </w:rPr>
        <w:t xml:space="preserve"> group than in the no </w:t>
      </w:r>
      <w:r w:rsidR="00BE4997" w:rsidRPr="00B22C17">
        <w:rPr>
          <w:rFonts w:ascii="Times New Roman" w:hAnsi="Times New Roman" w:cs="Times New Roman"/>
          <w:lang w:val="en-US"/>
        </w:rPr>
        <w:t>BNP</w:t>
      </w:r>
      <w:r w:rsidR="00756B66" w:rsidRPr="00B22C17">
        <w:rPr>
          <w:rFonts w:ascii="Times New Roman" w:hAnsi="Times New Roman" w:cs="Times New Roman"/>
          <w:lang w:val="en-US"/>
        </w:rPr>
        <w:t xml:space="preserve"> group</w:t>
      </w:r>
      <w:r w:rsidR="00A935F6" w:rsidRPr="00B22C17">
        <w:rPr>
          <w:rFonts w:ascii="Times New Roman" w:hAnsi="Times New Roman" w:cs="Times New Roman"/>
          <w:lang w:val="en-US"/>
        </w:rPr>
        <w:t xml:space="preserve"> (4.4 </w:t>
      </w:r>
      <w:r w:rsidR="00EE1BBD" w:rsidRPr="00B22C17">
        <w:rPr>
          <w:rFonts w:ascii="Times New Roman" w:hAnsi="Times New Roman" w:cs="Times New Roman"/>
          <w:lang w:val="en-US"/>
        </w:rPr>
        <w:t xml:space="preserve">days </w:t>
      </w:r>
      <w:r w:rsidR="00A935F6" w:rsidRPr="00B22C17">
        <w:rPr>
          <w:rFonts w:ascii="Times New Roman" w:hAnsi="Times New Roman" w:cs="Times New Roman"/>
          <w:lang w:val="en-US"/>
        </w:rPr>
        <w:t>versus 2.9 days, p-value=0.012)</w:t>
      </w:r>
      <w:r w:rsidR="00756B66" w:rsidRPr="00B22C17">
        <w:rPr>
          <w:rFonts w:ascii="Times New Roman" w:hAnsi="Times New Roman" w:cs="Times New Roman"/>
          <w:lang w:val="en-US"/>
        </w:rPr>
        <w:t xml:space="preserve">. </w:t>
      </w:r>
      <w:r w:rsidR="00832CA2" w:rsidRPr="00B22C17">
        <w:rPr>
          <w:rFonts w:ascii="Times New Roman" w:hAnsi="Times New Roman" w:cs="Times New Roman"/>
          <w:lang w:val="en-US"/>
        </w:rPr>
        <w:t>Moreover, t</w:t>
      </w:r>
      <w:r w:rsidR="00C5436D" w:rsidRPr="00B22C17">
        <w:rPr>
          <w:rFonts w:ascii="Times New Roman" w:hAnsi="Times New Roman" w:cs="Times New Roman"/>
          <w:lang w:val="en-US"/>
        </w:rPr>
        <w:t>he prevalence of ≥10 (12.4% versus 5.5%</w:t>
      </w:r>
      <w:r w:rsidR="00420A1F" w:rsidRPr="00B22C17">
        <w:rPr>
          <w:rFonts w:ascii="Times New Roman" w:hAnsi="Times New Roman" w:cs="Times New Roman"/>
          <w:lang w:val="en-US"/>
        </w:rPr>
        <w:t>,</w:t>
      </w:r>
      <w:r w:rsidR="00C5436D" w:rsidRPr="00B22C17">
        <w:rPr>
          <w:rFonts w:ascii="Times New Roman" w:hAnsi="Times New Roman" w:cs="Times New Roman"/>
          <w:lang w:val="en-US"/>
        </w:rPr>
        <w:t xml:space="preserve"> p-value&lt;0.001) but not ≥2 days of absence from work (50.4% versus 46.1%</w:t>
      </w:r>
      <w:r w:rsidR="00420A1F" w:rsidRPr="00B22C17">
        <w:rPr>
          <w:rFonts w:ascii="Times New Roman" w:hAnsi="Times New Roman" w:cs="Times New Roman"/>
          <w:lang w:val="en-US"/>
        </w:rPr>
        <w:t>,</w:t>
      </w:r>
      <w:r w:rsidR="00C5436D" w:rsidRPr="00B22C17">
        <w:rPr>
          <w:rFonts w:ascii="Times New Roman" w:hAnsi="Times New Roman" w:cs="Times New Roman"/>
          <w:lang w:val="en-US"/>
        </w:rPr>
        <w:t xml:space="preserve"> p-value=0.386) was significantly higher in individuals with than in those without BNP (</w:t>
      </w:r>
      <w:r w:rsidR="00C5436D" w:rsidRPr="00B22C17">
        <w:rPr>
          <w:rFonts w:ascii="Times New Roman" w:hAnsi="Times New Roman" w:cs="Times New Roman"/>
          <w:b/>
          <w:bCs/>
          <w:lang w:val="en-US"/>
        </w:rPr>
        <w:t>Figure 2</w:t>
      </w:r>
      <w:r w:rsidR="00C5436D" w:rsidRPr="00B22C17">
        <w:rPr>
          <w:rFonts w:ascii="Times New Roman" w:hAnsi="Times New Roman" w:cs="Times New Roman"/>
          <w:lang w:val="en-US"/>
        </w:rPr>
        <w:t xml:space="preserve">). </w:t>
      </w:r>
      <w:r w:rsidR="00A41191" w:rsidRPr="00B22C17">
        <w:rPr>
          <w:rFonts w:ascii="Times New Roman" w:hAnsi="Times New Roman" w:cs="Times New Roman"/>
          <w:lang w:val="en-US"/>
        </w:rPr>
        <w:t xml:space="preserve">The results of the negative binomial regression are displayed in </w:t>
      </w:r>
      <w:r w:rsidR="00A41191" w:rsidRPr="00B22C17">
        <w:rPr>
          <w:rFonts w:ascii="Times New Roman" w:hAnsi="Times New Roman" w:cs="Times New Roman"/>
          <w:b/>
          <w:bCs/>
          <w:lang w:val="en-US"/>
        </w:rPr>
        <w:t xml:space="preserve">Figure </w:t>
      </w:r>
      <w:r w:rsidR="00420A1F" w:rsidRPr="00B22C17">
        <w:rPr>
          <w:rFonts w:ascii="Times New Roman" w:hAnsi="Times New Roman" w:cs="Times New Roman"/>
          <w:b/>
          <w:bCs/>
          <w:lang w:val="en-US"/>
        </w:rPr>
        <w:t>3</w:t>
      </w:r>
      <w:r w:rsidR="00A41191" w:rsidRPr="00B22C17">
        <w:rPr>
          <w:rFonts w:ascii="Times New Roman" w:hAnsi="Times New Roman" w:cs="Times New Roman"/>
          <w:lang w:val="en-US"/>
        </w:rPr>
        <w:t>. After adjusting for several potential confounding factors (</w:t>
      </w:r>
      <w:r w:rsidR="00322DAD" w:rsidRPr="00B22C17">
        <w:rPr>
          <w:rFonts w:ascii="Times New Roman" w:hAnsi="Times New Roman" w:cs="Times New Roman"/>
          <w:lang w:val="en-US"/>
        </w:rPr>
        <w:t xml:space="preserve">i.e., </w:t>
      </w:r>
      <w:r w:rsidR="00A41191" w:rsidRPr="00B22C17">
        <w:rPr>
          <w:rFonts w:ascii="Times New Roman" w:hAnsi="Times New Roman" w:cs="Times New Roman"/>
          <w:lang w:val="en-US"/>
        </w:rPr>
        <w:t xml:space="preserve">sex, age, ethnicity, marital status, education, occupation, annual family income, health insurance, obesity, and diabetes), there was a positive and significant association between </w:t>
      </w:r>
      <w:r w:rsidR="000460B7" w:rsidRPr="00B22C17">
        <w:rPr>
          <w:rFonts w:ascii="Times New Roman" w:hAnsi="Times New Roman" w:cs="Times New Roman"/>
          <w:lang w:val="en-US"/>
        </w:rPr>
        <w:t>BNP</w:t>
      </w:r>
      <w:r w:rsidR="00A41191" w:rsidRPr="00B22C17">
        <w:rPr>
          <w:rFonts w:ascii="Times New Roman" w:hAnsi="Times New Roman" w:cs="Times New Roman"/>
          <w:lang w:val="en-US"/>
        </w:rPr>
        <w:t xml:space="preserve"> and </w:t>
      </w:r>
      <w:r w:rsidR="004263DB" w:rsidRPr="00B22C17">
        <w:rPr>
          <w:rFonts w:ascii="Times New Roman" w:hAnsi="Times New Roman" w:cs="Times New Roman"/>
          <w:lang w:val="en-US"/>
        </w:rPr>
        <w:t>the number of days of absence from work</w:t>
      </w:r>
      <w:r w:rsidR="00A41191" w:rsidRPr="00B22C17">
        <w:rPr>
          <w:rFonts w:ascii="Times New Roman" w:hAnsi="Times New Roman" w:cs="Times New Roman"/>
          <w:lang w:val="en-US"/>
        </w:rPr>
        <w:t xml:space="preserve"> (IRR=1.40, 95% CI: 1.07-1.83).</w:t>
      </w:r>
      <w:r w:rsidR="00224247" w:rsidRPr="00B22C17">
        <w:rPr>
          <w:rFonts w:ascii="Times New Roman" w:hAnsi="Times New Roman" w:cs="Times New Roman"/>
          <w:lang w:val="en-US"/>
        </w:rPr>
        <w:t xml:space="preserve"> </w:t>
      </w:r>
      <w:r w:rsidR="00DB3393" w:rsidRPr="00B22C17">
        <w:rPr>
          <w:rFonts w:ascii="Times New Roman" w:hAnsi="Times New Roman" w:cs="Times New Roman"/>
          <w:lang w:val="en-US"/>
        </w:rPr>
        <w:t>Neither sex nor age played a significant interacting role in this relationship</w:t>
      </w:r>
      <w:r w:rsidR="00224247" w:rsidRPr="00B22C17">
        <w:rPr>
          <w:rFonts w:ascii="Times New Roman" w:hAnsi="Times New Roman" w:cs="Times New Roman"/>
          <w:lang w:val="en-US"/>
        </w:rPr>
        <w:t>.</w:t>
      </w:r>
      <w:r w:rsidR="00A17FAE" w:rsidRPr="00B22C17">
        <w:rPr>
          <w:rFonts w:ascii="Times New Roman" w:hAnsi="Times New Roman" w:cs="Times New Roman"/>
          <w:lang w:val="en-US"/>
        </w:rPr>
        <w:t xml:space="preserve"> </w:t>
      </w:r>
      <w:r w:rsidR="0010468D" w:rsidRPr="00B22C17">
        <w:rPr>
          <w:rFonts w:ascii="Times New Roman" w:hAnsi="Times New Roman" w:cs="Times New Roman"/>
          <w:lang w:val="en-US"/>
        </w:rPr>
        <w:t xml:space="preserve">Sensitivity analyses further revealed that BNP was significantly associated with </w:t>
      </w:r>
      <w:r w:rsidR="00621AF6" w:rsidRPr="00B22C17">
        <w:rPr>
          <w:rFonts w:ascii="Times New Roman" w:hAnsi="Times New Roman" w:cs="Times New Roman"/>
          <w:lang w:val="en-US"/>
        </w:rPr>
        <w:t xml:space="preserve">≥10 </w:t>
      </w:r>
      <w:r w:rsidR="0010468D" w:rsidRPr="00B22C17">
        <w:rPr>
          <w:rFonts w:ascii="Times New Roman" w:hAnsi="Times New Roman" w:cs="Times New Roman"/>
          <w:lang w:val="en-US"/>
        </w:rPr>
        <w:t>(</w:t>
      </w:r>
      <w:r w:rsidR="00621AF6" w:rsidRPr="00B22C17">
        <w:rPr>
          <w:rFonts w:ascii="Times New Roman" w:hAnsi="Times New Roman" w:cs="Times New Roman"/>
          <w:lang w:val="en-US"/>
        </w:rPr>
        <w:t xml:space="preserve">versus 0-9 days; </w:t>
      </w:r>
      <w:r w:rsidR="0010468D" w:rsidRPr="00B22C17">
        <w:rPr>
          <w:rFonts w:ascii="Times New Roman" w:hAnsi="Times New Roman" w:cs="Times New Roman"/>
          <w:lang w:val="en-US"/>
        </w:rPr>
        <w:t>OR=2.11, 95% CI: 1.23-3.60) but not</w:t>
      </w:r>
      <w:r w:rsidR="00956EA9" w:rsidRPr="00B22C17">
        <w:rPr>
          <w:rFonts w:ascii="Times New Roman" w:hAnsi="Times New Roman" w:cs="Times New Roman"/>
          <w:lang w:val="en-US"/>
        </w:rPr>
        <w:t xml:space="preserve"> </w:t>
      </w:r>
      <w:r w:rsidR="00621AF6" w:rsidRPr="00B22C17">
        <w:rPr>
          <w:rFonts w:ascii="Times New Roman" w:hAnsi="Times New Roman" w:cs="Times New Roman"/>
          <w:lang w:val="en-US"/>
        </w:rPr>
        <w:t xml:space="preserve">≥2 days of absence </w:t>
      </w:r>
      <w:r w:rsidR="006F2A9A" w:rsidRPr="00B22C17">
        <w:rPr>
          <w:rFonts w:ascii="Times New Roman" w:hAnsi="Times New Roman" w:cs="Times New Roman"/>
          <w:lang w:val="en-US"/>
        </w:rPr>
        <w:t xml:space="preserve">from work </w:t>
      </w:r>
      <w:r w:rsidR="00621AF6" w:rsidRPr="00B22C17">
        <w:rPr>
          <w:rFonts w:ascii="Times New Roman" w:hAnsi="Times New Roman" w:cs="Times New Roman"/>
          <w:lang w:val="en-US"/>
        </w:rPr>
        <w:t>(versus 0-1 day; OR=</w:t>
      </w:r>
      <w:r w:rsidR="003C4DAF" w:rsidRPr="00B22C17">
        <w:rPr>
          <w:rFonts w:ascii="Times New Roman" w:hAnsi="Times New Roman" w:cs="Times New Roman"/>
          <w:lang w:val="en-US"/>
        </w:rPr>
        <w:t>1.27, 95% CI: 0.88-1.83</w:t>
      </w:r>
      <w:r w:rsidR="00FA1DFE" w:rsidRPr="00B22C17">
        <w:rPr>
          <w:rFonts w:ascii="Times New Roman" w:hAnsi="Times New Roman" w:cs="Times New Roman"/>
          <w:lang w:val="en-US"/>
        </w:rPr>
        <w:t xml:space="preserve">; data </w:t>
      </w:r>
      <w:r w:rsidR="00573D9C" w:rsidRPr="00B22C17">
        <w:rPr>
          <w:rFonts w:ascii="Times New Roman" w:hAnsi="Times New Roman" w:cs="Times New Roman"/>
          <w:lang w:val="en-US"/>
        </w:rPr>
        <w:t>only</w:t>
      </w:r>
      <w:r w:rsidR="00FA1DFE" w:rsidRPr="00B22C17">
        <w:rPr>
          <w:rFonts w:ascii="Times New Roman" w:hAnsi="Times New Roman" w:cs="Times New Roman"/>
          <w:lang w:val="en-US"/>
        </w:rPr>
        <w:t xml:space="preserve"> shown in the text</w:t>
      </w:r>
      <w:r w:rsidR="00621AF6" w:rsidRPr="00B22C17">
        <w:rPr>
          <w:rFonts w:ascii="Times New Roman" w:hAnsi="Times New Roman" w:cs="Times New Roman"/>
          <w:lang w:val="en-US"/>
        </w:rPr>
        <w:t>)</w:t>
      </w:r>
      <w:r w:rsidR="0010468D" w:rsidRPr="00B22C17">
        <w:rPr>
          <w:rFonts w:ascii="Times New Roman" w:hAnsi="Times New Roman" w:cs="Times New Roman"/>
          <w:lang w:val="en-US"/>
        </w:rPr>
        <w:t>.</w:t>
      </w:r>
      <w:r w:rsidR="003C4DAF" w:rsidRPr="00B22C17">
        <w:rPr>
          <w:rFonts w:ascii="Times New Roman" w:hAnsi="Times New Roman" w:cs="Times New Roman"/>
          <w:lang w:val="en-US"/>
        </w:rPr>
        <w:t xml:space="preserve"> </w:t>
      </w:r>
      <w:r w:rsidR="00A17FAE" w:rsidRPr="00B22C17">
        <w:rPr>
          <w:rFonts w:ascii="Times New Roman" w:hAnsi="Times New Roman" w:cs="Times New Roman"/>
          <w:lang w:val="en-US"/>
        </w:rPr>
        <w:t xml:space="preserve">Interestingly, standing difficulty, sitting difficulty and walking difficulty explained 43%, 41% and 24% of the </w:t>
      </w:r>
      <w:r w:rsidR="00950F98" w:rsidRPr="00B22C17">
        <w:rPr>
          <w:rFonts w:ascii="Times New Roman" w:hAnsi="Times New Roman" w:cs="Times New Roman"/>
          <w:lang w:val="en-US"/>
        </w:rPr>
        <w:t xml:space="preserve">relationship between </w:t>
      </w:r>
      <w:r w:rsidR="00F8191F" w:rsidRPr="00B22C17">
        <w:rPr>
          <w:rFonts w:ascii="Times New Roman" w:hAnsi="Times New Roman" w:cs="Times New Roman"/>
          <w:lang w:val="en-US"/>
        </w:rPr>
        <w:t>BNP</w:t>
      </w:r>
      <w:r w:rsidR="00950F98" w:rsidRPr="00B22C17">
        <w:rPr>
          <w:rFonts w:ascii="Times New Roman" w:hAnsi="Times New Roman" w:cs="Times New Roman"/>
          <w:lang w:val="en-US"/>
        </w:rPr>
        <w:t xml:space="preserve"> and the number of days of absence from work</w:t>
      </w:r>
      <w:r w:rsidR="00A17FAE" w:rsidRPr="00B22C17">
        <w:rPr>
          <w:rFonts w:ascii="Times New Roman" w:hAnsi="Times New Roman" w:cs="Times New Roman"/>
          <w:lang w:val="en-US"/>
        </w:rPr>
        <w:t xml:space="preserve"> (</w:t>
      </w:r>
      <w:r w:rsidR="00A17FAE" w:rsidRPr="00B22C17">
        <w:rPr>
          <w:rFonts w:ascii="Times New Roman" w:hAnsi="Times New Roman" w:cs="Times New Roman"/>
          <w:b/>
          <w:bCs/>
          <w:lang w:val="en-US"/>
        </w:rPr>
        <w:t>Table 2</w:t>
      </w:r>
      <w:r w:rsidR="00A17FAE" w:rsidRPr="00B22C17">
        <w:rPr>
          <w:rFonts w:ascii="Times New Roman" w:hAnsi="Times New Roman" w:cs="Times New Roman"/>
          <w:lang w:val="en-US"/>
        </w:rPr>
        <w:t xml:space="preserve">). </w:t>
      </w:r>
      <w:r w:rsidR="00980279" w:rsidRPr="00B22C17">
        <w:rPr>
          <w:rFonts w:ascii="Times New Roman" w:hAnsi="Times New Roman" w:cs="Times New Roman"/>
          <w:lang w:val="en-US"/>
        </w:rPr>
        <w:t xml:space="preserve">Depression further explained 17% of the association between BNP and the number of days of absence from work. </w:t>
      </w:r>
      <w:proofErr w:type="gramStart"/>
      <w:r w:rsidR="00A17FAE" w:rsidRPr="00B22C17">
        <w:rPr>
          <w:rFonts w:ascii="Times New Roman" w:hAnsi="Times New Roman" w:cs="Times New Roman"/>
          <w:lang w:val="en-US"/>
        </w:rPr>
        <w:t xml:space="preserve">All </w:t>
      </w:r>
      <w:r w:rsidR="00E25F4F" w:rsidRPr="00B22C17">
        <w:rPr>
          <w:rFonts w:ascii="Times New Roman" w:hAnsi="Times New Roman" w:cs="Times New Roman"/>
          <w:lang w:val="en-US"/>
        </w:rPr>
        <w:t>of</w:t>
      </w:r>
      <w:proofErr w:type="gramEnd"/>
      <w:r w:rsidR="00E25F4F" w:rsidRPr="00B22C17">
        <w:rPr>
          <w:rFonts w:ascii="Times New Roman" w:hAnsi="Times New Roman" w:cs="Times New Roman"/>
          <w:lang w:val="en-US"/>
        </w:rPr>
        <w:t xml:space="preserve"> the </w:t>
      </w:r>
      <w:r w:rsidR="00A17FAE" w:rsidRPr="00B22C17">
        <w:rPr>
          <w:rFonts w:ascii="Times New Roman" w:hAnsi="Times New Roman" w:cs="Times New Roman"/>
          <w:lang w:val="en-US"/>
        </w:rPr>
        <w:t xml:space="preserve">influential factors </w:t>
      </w:r>
      <w:r w:rsidR="00E25F4F" w:rsidRPr="00B22C17">
        <w:rPr>
          <w:rFonts w:ascii="Times New Roman" w:hAnsi="Times New Roman" w:cs="Times New Roman"/>
          <w:lang w:val="en-US"/>
        </w:rPr>
        <w:t xml:space="preserve">considered </w:t>
      </w:r>
      <w:r w:rsidR="00A17FAE" w:rsidRPr="00B22C17">
        <w:rPr>
          <w:rFonts w:ascii="Times New Roman" w:hAnsi="Times New Roman" w:cs="Times New Roman"/>
          <w:lang w:val="en-US"/>
        </w:rPr>
        <w:t>(</w:t>
      </w:r>
      <w:r w:rsidR="0067093A" w:rsidRPr="00B22C17">
        <w:rPr>
          <w:rFonts w:ascii="Times New Roman" w:hAnsi="Times New Roman" w:cs="Times New Roman"/>
          <w:lang w:val="en-US"/>
        </w:rPr>
        <w:t xml:space="preserve">i.e., </w:t>
      </w:r>
      <w:r w:rsidR="00A17FAE" w:rsidRPr="00B22C17">
        <w:rPr>
          <w:rFonts w:ascii="Times New Roman" w:hAnsi="Times New Roman" w:cs="Times New Roman"/>
          <w:lang w:val="en-US"/>
        </w:rPr>
        <w:t xml:space="preserve">depression, anxiety, sleep disorder, alcohol dependence, opioid dependence, walking difficulty, standing difficulty, and sitting difficulty) collectively explained 66% of the association between </w:t>
      </w:r>
      <w:r w:rsidR="00472D56" w:rsidRPr="00B22C17">
        <w:rPr>
          <w:rFonts w:ascii="Times New Roman" w:hAnsi="Times New Roman" w:cs="Times New Roman"/>
          <w:lang w:val="en-US"/>
        </w:rPr>
        <w:t>BNP</w:t>
      </w:r>
      <w:r w:rsidR="00A17FAE" w:rsidRPr="00B22C17">
        <w:rPr>
          <w:rFonts w:ascii="Times New Roman" w:hAnsi="Times New Roman" w:cs="Times New Roman"/>
          <w:lang w:val="en-US"/>
        </w:rPr>
        <w:t xml:space="preserve"> and work</w:t>
      </w:r>
      <w:r w:rsidR="00627CFD" w:rsidRPr="00B22C17">
        <w:rPr>
          <w:rFonts w:ascii="Times New Roman" w:hAnsi="Times New Roman" w:cs="Times New Roman"/>
          <w:lang w:val="en-US"/>
        </w:rPr>
        <w:t>place</w:t>
      </w:r>
      <w:r w:rsidR="00A17FAE" w:rsidRPr="00B22C17">
        <w:rPr>
          <w:rFonts w:ascii="Times New Roman" w:hAnsi="Times New Roman" w:cs="Times New Roman"/>
          <w:lang w:val="en-US"/>
        </w:rPr>
        <w:t xml:space="preserve"> absenteeism.</w:t>
      </w:r>
    </w:p>
    <w:p w14:paraId="22695196" w14:textId="3D6BB14C" w:rsidR="00C65FFB" w:rsidRDefault="00C65FFB" w:rsidP="00374687">
      <w:pPr>
        <w:spacing w:line="480" w:lineRule="auto"/>
        <w:jc w:val="both"/>
        <w:rPr>
          <w:rFonts w:ascii="Times New Roman" w:hAnsi="Times New Roman" w:cs="Times New Roman"/>
          <w:lang w:val="en-US"/>
        </w:rPr>
      </w:pPr>
    </w:p>
    <w:p w14:paraId="677D8739" w14:textId="55B99502" w:rsidR="00C65FFB" w:rsidRDefault="00C65FFB" w:rsidP="00374687">
      <w:pPr>
        <w:spacing w:line="480" w:lineRule="auto"/>
        <w:jc w:val="both"/>
        <w:rPr>
          <w:rFonts w:ascii="Times New Roman" w:hAnsi="Times New Roman" w:cs="Times New Roman"/>
          <w:lang w:val="en-US"/>
        </w:rPr>
      </w:pPr>
    </w:p>
    <w:p w14:paraId="4B965EDE" w14:textId="77777777" w:rsidR="00C65FFB" w:rsidRPr="00B22C17" w:rsidRDefault="00C65FFB" w:rsidP="00374687">
      <w:pPr>
        <w:spacing w:line="480" w:lineRule="auto"/>
        <w:jc w:val="both"/>
        <w:rPr>
          <w:rFonts w:ascii="Times New Roman" w:hAnsi="Times New Roman" w:cs="Times New Roman"/>
          <w:lang w:val="en-US"/>
        </w:rPr>
      </w:pPr>
    </w:p>
    <w:p w14:paraId="0CE7F9DA" w14:textId="77777777" w:rsidR="00FB4DC3" w:rsidRPr="00B22C17" w:rsidRDefault="00FB4DC3" w:rsidP="00374687">
      <w:pPr>
        <w:spacing w:line="480" w:lineRule="auto"/>
        <w:jc w:val="both"/>
        <w:rPr>
          <w:rFonts w:ascii="Times New Roman" w:hAnsi="Times New Roman" w:cs="Times New Roman"/>
          <w:lang w:val="en-US"/>
        </w:rPr>
      </w:pPr>
    </w:p>
    <w:p w14:paraId="20192009" w14:textId="77777777" w:rsidR="00FB4DC3" w:rsidRPr="00B22C17" w:rsidRDefault="00FB4DC3" w:rsidP="00C65FFB">
      <w:pPr>
        <w:pStyle w:val="Heading1"/>
      </w:pPr>
      <w:r w:rsidRPr="00B22C17">
        <w:lastRenderedPageBreak/>
        <w:t>Discussion</w:t>
      </w:r>
    </w:p>
    <w:p w14:paraId="3D66DD79" w14:textId="77777777" w:rsidR="00FB4DC3" w:rsidRPr="00B22C17" w:rsidRDefault="00FB4DC3" w:rsidP="00374687">
      <w:pPr>
        <w:spacing w:line="480" w:lineRule="auto"/>
        <w:jc w:val="both"/>
        <w:rPr>
          <w:rFonts w:ascii="Times New Roman" w:hAnsi="Times New Roman" w:cs="Times New Roman"/>
          <w:b/>
          <w:lang w:val="en-US"/>
        </w:rPr>
      </w:pPr>
    </w:p>
    <w:p w14:paraId="523D3C65" w14:textId="02EE9F18" w:rsidR="00C549BC" w:rsidRPr="00B22C17" w:rsidRDefault="00690D17" w:rsidP="00374687">
      <w:pPr>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In this large sample of </w:t>
      </w:r>
      <w:r w:rsidR="00FB4DC3" w:rsidRPr="00B22C17">
        <w:rPr>
          <w:rFonts w:ascii="Times New Roman" w:hAnsi="Times New Roman" w:cs="Times New Roman"/>
          <w:lang w:val="en-US"/>
        </w:rPr>
        <w:t>working adults</w:t>
      </w:r>
      <w:r w:rsidRPr="00B22C17">
        <w:rPr>
          <w:rFonts w:ascii="Times New Roman" w:hAnsi="Times New Roman" w:cs="Times New Roman"/>
          <w:lang w:val="en-US"/>
        </w:rPr>
        <w:t xml:space="preserve"> in the </w:t>
      </w:r>
      <w:r w:rsidR="00B732C7" w:rsidRPr="00B22C17">
        <w:rPr>
          <w:rFonts w:ascii="Times New Roman" w:hAnsi="Times New Roman" w:cs="Times New Roman"/>
          <w:lang w:val="en-US"/>
        </w:rPr>
        <w:t>United States</w:t>
      </w:r>
      <w:r w:rsidR="00627CFD" w:rsidRPr="00B22C17">
        <w:rPr>
          <w:rFonts w:ascii="Times New Roman" w:hAnsi="Times New Roman" w:cs="Times New Roman"/>
          <w:lang w:val="en-US"/>
        </w:rPr>
        <w:t>,</w:t>
      </w:r>
      <w:r w:rsidR="00FB4DC3" w:rsidRPr="00B22C17">
        <w:rPr>
          <w:rFonts w:ascii="Times New Roman" w:hAnsi="Times New Roman" w:cs="Times New Roman"/>
          <w:lang w:val="en-US"/>
        </w:rPr>
        <w:t xml:space="preserve"> there was a positive and significant association between </w:t>
      </w:r>
      <w:r w:rsidR="00415E16" w:rsidRPr="00B22C17">
        <w:rPr>
          <w:rFonts w:ascii="Times New Roman" w:hAnsi="Times New Roman" w:cs="Times New Roman"/>
          <w:lang w:val="en-US"/>
        </w:rPr>
        <w:t>BNP</w:t>
      </w:r>
      <w:r w:rsidR="00FB4DC3" w:rsidRPr="00B22C17">
        <w:rPr>
          <w:rFonts w:ascii="Times New Roman" w:hAnsi="Times New Roman" w:cs="Times New Roman"/>
          <w:lang w:val="en-US"/>
        </w:rPr>
        <w:t xml:space="preserve"> and </w:t>
      </w:r>
      <w:r w:rsidR="00CC0016" w:rsidRPr="00B22C17">
        <w:rPr>
          <w:rFonts w:ascii="Times New Roman" w:hAnsi="Times New Roman" w:cs="Times New Roman"/>
          <w:lang w:val="en-US"/>
        </w:rPr>
        <w:t xml:space="preserve">the number of days of absence </w:t>
      </w:r>
      <w:r w:rsidR="009142D2" w:rsidRPr="00B22C17">
        <w:rPr>
          <w:rFonts w:ascii="Times New Roman" w:hAnsi="Times New Roman" w:cs="Times New Roman"/>
          <w:lang w:val="en-US"/>
        </w:rPr>
        <w:t>from</w:t>
      </w:r>
      <w:r w:rsidR="00CC0016" w:rsidRPr="00B22C17">
        <w:rPr>
          <w:rFonts w:ascii="Times New Roman" w:hAnsi="Times New Roman" w:cs="Times New Roman"/>
          <w:lang w:val="en-US"/>
        </w:rPr>
        <w:t xml:space="preserve"> work</w:t>
      </w:r>
      <w:r w:rsidR="00FB4DC3" w:rsidRPr="00B22C17">
        <w:rPr>
          <w:rFonts w:ascii="Times New Roman" w:hAnsi="Times New Roman" w:cs="Times New Roman"/>
          <w:lang w:val="en-US"/>
        </w:rPr>
        <w:t xml:space="preserve"> after controlling for </w:t>
      </w:r>
      <w:r w:rsidR="00A87505" w:rsidRPr="00B22C17">
        <w:rPr>
          <w:rFonts w:ascii="Times New Roman" w:hAnsi="Times New Roman" w:cs="Times New Roman"/>
          <w:lang w:val="en-US"/>
        </w:rPr>
        <w:t>sociodemographic and clinical factors</w:t>
      </w:r>
      <w:r w:rsidR="00FB4DC3" w:rsidRPr="00B22C17">
        <w:rPr>
          <w:rFonts w:ascii="Times New Roman" w:hAnsi="Times New Roman" w:cs="Times New Roman"/>
          <w:lang w:val="en-US"/>
        </w:rPr>
        <w:t xml:space="preserve">. </w:t>
      </w:r>
      <w:r w:rsidR="005E40A6" w:rsidRPr="00B22C17">
        <w:rPr>
          <w:rFonts w:ascii="Times New Roman" w:hAnsi="Times New Roman" w:cs="Times New Roman"/>
          <w:lang w:val="en-US"/>
        </w:rPr>
        <w:t xml:space="preserve">In addition, sensitivity analyses showed that BNP was </w:t>
      </w:r>
      <w:r w:rsidR="009318AA" w:rsidRPr="00B22C17">
        <w:rPr>
          <w:rFonts w:ascii="Times New Roman" w:hAnsi="Times New Roman" w:cs="Times New Roman"/>
          <w:lang w:val="en-US"/>
        </w:rPr>
        <w:t>also</w:t>
      </w:r>
      <w:r w:rsidR="005E40A6" w:rsidRPr="00B22C17">
        <w:rPr>
          <w:rFonts w:ascii="Times New Roman" w:hAnsi="Times New Roman" w:cs="Times New Roman"/>
          <w:lang w:val="en-US"/>
        </w:rPr>
        <w:t xml:space="preserve"> associated with long-term workplace absenteeism</w:t>
      </w:r>
      <w:r w:rsidR="009318AA" w:rsidRPr="00B22C17">
        <w:rPr>
          <w:rFonts w:ascii="Times New Roman" w:hAnsi="Times New Roman" w:cs="Times New Roman"/>
          <w:lang w:val="en-US"/>
        </w:rPr>
        <w:t xml:space="preserve"> (i.e., ≥10 days of absence</w:t>
      </w:r>
      <w:r w:rsidR="00C96AC7" w:rsidRPr="00B22C17">
        <w:rPr>
          <w:rFonts w:ascii="Times New Roman" w:hAnsi="Times New Roman" w:cs="Times New Roman"/>
          <w:lang w:val="en-US"/>
        </w:rPr>
        <w:t xml:space="preserve"> from work</w:t>
      </w:r>
      <w:r w:rsidR="009318AA" w:rsidRPr="00B22C17">
        <w:rPr>
          <w:rFonts w:ascii="Times New Roman" w:hAnsi="Times New Roman" w:cs="Times New Roman"/>
          <w:lang w:val="en-US"/>
        </w:rPr>
        <w:t>)</w:t>
      </w:r>
      <w:r w:rsidR="005E40A6" w:rsidRPr="00B22C17">
        <w:rPr>
          <w:rFonts w:ascii="Times New Roman" w:hAnsi="Times New Roman" w:cs="Times New Roman"/>
          <w:lang w:val="en-US"/>
        </w:rPr>
        <w:t xml:space="preserve">. </w:t>
      </w:r>
      <w:r w:rsidR="00D12F4B" w:rsidRPr="00B22C17">
        <w:rPr>
          <w:rFonts w:ascii="Times New Roman" w:hAnsi="Times New Roman" w:cs="Times New Roman"/>
          <w:lang w:val="en-US"/>
        </w:rPr>
        <w:t>Finally</w:t>
      </w:r>
      <w:r w:rsidR="00FB4DC3" w:rsidRPr="00B22C17">
        <w:rPr>
          <w:rFonts w:ascii="Times New Roman" w:hAnsi="Times New Roman" w:cs="Times New Roman"/>
          <w:lang w:val="en-US"/>
        </w:rPr>
        <w:t xml:space="preserve">, </w:t>
      </w:r>
      <w:r w:rsidR="00496BF3" w:rsidRPr="00B22C17">
        <w:rPr>
          <w:rFonts w:ascii="Times New Roman" w:hAnsi="Times New Roman" w:cs="Times New Roman"/>
          <w:lang w:val="en-US"/>
        </w:rPr>
        <w:t>walking</w:t>
      </w:r>
      <w:r w:rsidR="00FB4DC3" w:rsidRPr="00B22C17">
        <w:rPr>
          <w:rFonts w:ascii="Times New Roman" w:hAnsi="Times New Roman" w:cs="Times New Roman"/>
          <w:lang w:val="en-US"/>
        </w:rPr>
        <w:t xml:space="preserve"> difficulty, </w:t>
      </w:r>
      <w:r w:rsidR="00496BF3" w:rsidRPr="00B22C17">
        <w:rPr>
          <w:rFonts w:ascii="Times New Roman" w:hAnsi="Times New Roman" w:cs="Times New Roman"/>
          <w:lang w:val="en-US"/>
        </w:rPr>
        <w:t>standing</w:t>
      </w:r>
      <w:r w:rsidR="00FB4DC3" w:rsidRPr="00B22C17">
        <w:rPr>
          <w:rFonts w:ascii="Times New Roman" w:hAnsi="Times New Roman" w:cs="Times New Roman"/>
          <w:lang w:val="en-US"/>
        </w:rPr>
        <w:t xml:space="preserve"> difficulty and </w:t>
      </w:r>
      <w:r w:rsidR="00496BF3" w:rsidRPr="00B22C17">
        <w:rPr>
          <w:rFonts w:ascii="Times New Roman" w:hAnsi="Times New Roman" w:cs="Times New Roman"/>
          <w:lang w:val="en-US"/>
        </w:rPr>
        <w:t>sitting</w:t>
      </w:r>
      <w:r w:rsidR="00FB4DC3" w:rsidRPr="00B22C17">
        <w:rPr>
          <w:rFonts w:ascii="Times New Roman" w:hAnsi="Times New Roman" w:cs="Times New Roman"/>
          <w:lang w:val="en-US"/>
        </w:rPr>
        <w:t xml:space="preserve"> difficulty explained the largest proportion of the </w:t>
      </w:r>
      <w:r w:rsidR="008B6C43" w:rsidRPr="00B22C17">
        <w:rPr>
          <w:rFonts w:ascii="Times New Roman" w:hAnsi="Times New Roman" w:cs="Times New Roman"/>
          <w:lang w:val="en-US"/>
        </w:rPr>
        <w:t xml:space="preserve">relationship between </w:t>
      </w:r>
      <w:r w:rsidR="00B05319" w:rsidRPr="00B22C17">
        <w:rPr>
          <w:rFonts w:ascii="Times New Roman" w:hAnsi="Times New Roman" w:cs="Times New Roman"/>
          <w:lang w:val="en-US"/>
        </w:rPr>
        <w:t>BNP</w:t>
      </w:r>
      <w:r w:rsidR="008B6C43" w:rsidRPr="00B22C17">
        <w:rPr>
          <w:rFonts w:ascii="Times New Roman" w:hAnsi="Times New Roman" w:cs="Times New Roman"/>
          <w:lang w:val="en-US"/>
        </w:rPr>
        <w:t xml:space="preserve"> and the number of days of absence from work</w:t>
      </w:r>
      <w:r w:rsidR="00E672FE" w:rsidRPr="00B22C17">
        <w:rPr>
          <w:rFonts w:ascii="Times New Roman" w:hAnsi="Times New Roman" w:cs="Times New Roman"/>
          <w:lang w:val="en-US"/>
        </w:rPr>
        <w:t>,</w:t>
      </w:r>
      <w:r w:rsidR="00FB4DC3" w:rsidRPr="00B22C17">
        <w:rPr>
          <w:rFonts w:ascii="Times New Roman" w:hAnsi="Times New Roman" w:cs="Times New Roman"/>
          <w:lang w:val="en-US"/>
        </w:rPr>
        <w:t xml:space="preserve"> and all influential factors combined explained 66% of the association.  </w:t>
      </w:r>
    </w:p>
    <w:p w14:paraId="3C061B5B" w14:textId="77777777" w:rsidR="00C549BC" w:rsidRPr="00B22C17" w:rsidRDefault="00C549BC" w:rsidP="00374687">
      <w:pPr>
        <w:spacing w:line="480" w:lineRule="auto"/>
        <w:jc w:val="both"/>
        <w:rPr>
          <w:rFonts w:ascii="Times New Roman" w:hAnsi="Times New Roman" w:cs="Times New Roman"/>
          <w:lang w:val="en-US"/>
        </w:rPr>
      </w:pPr>
    </w:p>
    <w:p w14:paraId="6BC23E5E" w14:textId="6123DAD4" w:rsidR="00AC18E2" w:rsidRPr="00B22C17" w:rsidRDefault="00C549BC" w:rsidP="00374687">
      <w:pPr>
        <w:spacing w:line="480" w:lineRule="auto"/>
        <w:jc w:val="both"/>
        <w:rPr>
          <w:rFonts w:ascii="Times New Roman" w:hAnsi="Times New Roman" w:cs="Times New Roman"/>
          <w:lang w:val="en-US"/>
        </w:rPr>
      </w:pPr>
      <w:r w:rsidRPr="00B22C17">
        <w:rPr>
          <w:rFonts w:ascii="Times New Roman" w:hAnsi="Times New Roman" w:cs="Times New Roman"/>
          <w:lang w:val="en-US"/>
        </w:rPr>
        <w:t>The findings from the present study both support and add to existing literature</w:t>
      </w:r>
      <w:r w:rsidR="00B7132B" w:rsidRPr="00B22C17">
        <w:rPr>
          <w:rFonts w:ascii="Times New Roman" w:hAnsi="Times New Roman" w:cs="Times New Roman"/>
          <w:lang w:val="en-US"/>
        </w:rPr>
        <w:t>.</w:t>
      </w:r>
      <w:r w:rsidRPr="00B22C17">
        <w:rPr>
          <w:rFonts w:ascii="Times New Roman" w:hAnsi="Times New Roman" w:cs="Times New Roman"/>
          <w:lang w:val="en-US"/>
        </w:rPr>
        <w:t xml:space="preserve"> </w:t>
      </w:r>
      <w:r w:rsidR="001554EA" w:rsidRPr="00B22C17">
        <w:rPr>
          <w:rFonts w:ascii="Times New Roman" w:hAnsi="Times New Roman" w:cs="Times New Roman"/>
          <w:lang w:val="en-US"/>
        </w:rPr>
        <w:t>Indeed, t</w:t>
      </w:r>
      <w:r w:rsidR="00164333" w:rsidRPr="00B22C17">
        <w:rPr>
          <w:rFonts w:ascii="Times New Roman" w:hAnsi="Times New Roman" w:cs="Times New Roman"/>
          <w:lang w:val="en-US"/>
        </w:rPr>
        <w:t>hese results</w:t>
      </w:r>
      <w:r w:rsidRPr="00B22C17">
        <w:rPr>
          <w:rFonts w:ascii="Times New Roman" w:hAnsi="Times New Roman" w:cs="Times New Roman"/>
          <w:lang w:val="en-US"/>
        </w:rPr>
        <w:t xml:space="preserve"> support existing literature through further confirming that </w:t>
      </w:r>
      <w:r w:rsidR="00253F4B" w:rsidRPr="00B22C17">
        <w:rPr>
          <w:rFonts w:ascii="Times New Roman" w:hAnsi="Times New Roman" w:cs="Times New Roman"/>
          <w:lang w:val="en-US"/>
        </w:rPr>
        <w:t>BNP</w:t>
      </w:r>
      <w:r w:rsidR="00C728ED" w:rsidRPr="00B22C17">
        <w:rPr>
          <w:rFonts w:ascii="Times New Roman" w:hAnsi="Times New Roman" w:cs="Times New Roman"/>
          <w:lang w:val="en-US"/>
        </w:rPr>
        <w:t xml:space="preserve"> is </w:t>
      </w:r>
      <w:r w:rsidR="001554EA" w:rsidRPr="00B22C17">
        <w:rPr>
          <w:rFonts w:ascii="Times New Roman" w:hAnsi="Times New Roman" w:cs="Times New Roman"/>
          <w:lang w:val="en-US"/>
        </w:rPr>
        <w:t xml:space="preserve">positively and significantly </w:t>
      </w:r>
      <w:r w:rsidR="00C728ED" w:rsidRPr="00B22C17">
        <w:rPr>
          <w:rFonts w:ascii="Times New Roman" w:hAnsi="Times New Roman" w:cs="Times New Roman"/>
          <w:lang w:val="en-US"/>
        </w:rPr>
        <w:t xml:space="preserve">associated with </w:t>
      </w:r>
      <w:r w:rsidR="00BC1C68" w:rsidRPr="00B22C17">
        <w:rPr>
          <w:rFonts w:ascii="Times New Roman" w:hAnsi="Times New Roman" w:cs="Times New Roman"/>
          <w:lang w:val="en-US"/>
        </w:rPr>
        <w:t>workplace absenteeism</w:t>
      </w:r>
      <w:r w:rsidR="005368D6" w:rsidRPr="00B22C17">
        <w:rPr>
          <w:rFonts w:ascii="Times New Roman" w:hAnsi="Times New Roman" w:cs="Times New Roman"/>
          <w:lang w:val="en-US"/>
        </w:rPr>
        <w:t xml:space="preserve"> </w:t>
      </w:r>
      <w:r w:rsidR="00203E41" w:rsidRPr="00B22C17">
        <w:rPr>
          <w:rFonts w:ascii="Times New Roman" w:hAnsi="Times New Roman" w:cs="Times New Roman"/>
          <w:lang w:val="en-US"/>
        </w:rPr>
        <w:fldChar w:fldCharType="begin"/>
      </w:r>
      <w:r w:rsidR="00BF44AB" w:rsidRPr="00B22C17">
        <w:rPr>
          <w:rFonts w:ascii="Times New Roman" w:hAnsi="Times New Roman" w:cs="Times New Roman"/>
          <w:lang w:val="en-US"/>
        </w:rPr>
        <w:instrText xml:space="preserve"> ADDIN ZOTERO_ITEM CSL_CITATION {"citationID":"Pr2V6ZVL","properties":{"formattedCitation":"[3\\uc0\\u8211{}6,34,35]","plainCitation":"[3–6,34,35]","noteIndex":0},"citationItems":[{"id":21582,"uris":["http://zotero.org/users/local/hhPVnw6l/items/YYEAYLDG"],"uri":["http://zotero.org/users/local/hhPVnw6l/items/YYEAYLDG"],"itemData":{"id":21582,"type":"report","language":"English","page":"8","publisher":"The Work Foundation","title":"The Impact of Back Pain on Sickness Absence in Europe","URL":"https://www.bl.uk/collection-items/impact-of-back-pain-on-sickness-absence-in-europe","author":[{"family":"Bevan","given":"Stephen"}],"accessed":{"date-parts":[["2021",8,10]]},"issued":{"date-parts":[["2012"]]}}},{"id":20245,"uris":["http://zotero.org/users/local/hhPVnw6l/items/DM46K62H"],"uri":["http://zotero.org/users/local/hhPVnw6l/items/DM46K62H"],"itemData":{"id":20245,"type":"article-journal","abstract":"Although quite a lot is known about the risk factors for low back symptoms (LBS), less is known about the risk factors for the consequences of LBS. A sample of 3003 men and women randomly selected from the New Zealand Electoral Roll, were interviewed by telephone about self reported physical, psychosocial, organizational, environmental factors and the consequences of LBS (i.e. self-reported reduced activities and absenteeism). The 12-month period prevalence of reduced activities and absenteeism were 18% and 9%, respectively. Lifting (OR 1.79 95% CI 1.16-2.77) increased the risk of reduced activities. Working in awkward/tiring positions (OR 2.11 95% CI 1.20-3.70) and in a cold/damp environment (OR 2.18 95% CI 1.11-4.28) increased the risk of absenteeism. Among those with LBS, reduced activities increased with working in a hot/warm environment (OR 2.14 95% CI 1.22-3.76) and absenteeism was increased with work in awkward/tiring positions (OR 2.06 95% CI 1.13-3.77), tight deadlines (OR 1.89 95% CI 1.02-3.50), and a hot/warm environment (OR 3.35 95% CI 1.68-6.68). Interventions to reduce the consequences of LBS should aim to reduce awkward/tiring positions, lifting and work in a cold/damp environment. For individuals with LBS, additional focus should be to reduce tight deadlines, and work in hot/warm environments.","container-title":"Applied Ergonomics","DOI":"10.1016/j.apergo.2011.11.004","ISSN":"1872-9126","issue":"4","journalAbbreviation":"Appl Ergon","language":"eng","note":"PMID: 22123534","page":"727-737","source":"PubMed","title":"Prevalence and work-related risk factors for reduced activities and absenteeism due to low back symptoms","volume":"43","author":[{"family":"Widanarko","given":"Baiduri"},{"family":"Legg","given":"Stephen"},{"family":"Stevenson","given":"Mark"},{"family":"Devereux","given":"Jason"},{"family":"Eng","given":"Amanda"},{"family":"Mannetje","given":"Andrea","non-dropping-particle":"'t"},{"family":"Cheng","given":"Soo"},{"family":"Pearce","given":"Neil"}],"issued":{"date-parts":[["2012",7]]}}},{"id":20247,"uris":["http://zotero.org/users/local/hhPVnw6l/items/HQZLYAUW"],"uri":["http://zotero.org/users/local/hhPVnw6l/items/HQZLYAUW"],"itemData":{"id":20247,"type":"article-journal","abstract":"BACKGROUND: The health services sector has been identified as a high-risk work sector for low back pain (LBP) and related absenteeism.\nAIMS: To establish levels and predictors of LBP prevalence and associated sick leave among health service workers. To identify if levels of LBP or related absenteeism differ between occupational groups.\nMETHODS: A postal survey using a standardized questionnaire and disproportionate random sampling of occupational groups was conducted at a single Dublin hospital. Overall hospital LBP prevalence and sickness absence were calculated using weighted analysis methods. Univariate analysis included the use of Chi-square, Fisher's exact and Mann-Whitney tests. Multivariate logistic regression techniques were used to explore for independent predictors of lifetime LBP prevalence and LBP-related sickness absence.\nRESULTS: An overall response rate of 62% (n = 246) was achieved. Lifetime, annual and point prevalence rates for the hospital employees were calculated at 46, 30 and 15.5%, respectively. No significant difference in prevalence was found between occupational groups but sick leave did differ with the highest level among general support and nursing staff. Multivariate analysis confirmed that occupation was an independent predictor for LBP-related sick leave (P &lt; 0.05).\nCONCLUSIONS: LBP prevalence rates did not differ significantly between occupational groups but occupation was found to be an independent predictor of LBP-related sick leave. Involvement in manual handling did not predict either LBP or related sick leave.","container-title":"Occupational Medicine (Oxford, England)","DOI":"10.1093/occmed/kql056","ISSN":"0962-7480","issue":"7","journalAbbreviation":"Occup Med (Lond)","language":"eng","note":"PMID: 16793854","page":"447-454","source":"PubMed","title":"Low back pain and occupation among Irish health service workers","volume":"56","author":[{"family":"Cunningham","given":"C."},{"family":"Flynn","given":"T."},{"family":"Blake","given":"C."}],"issued":{"date-parts":[["2006",10]]}}},{"id":20382,"uris":["http://zotero.org/users/local/hhPVnw6l/items/79BBAIHE"],"uri":["http://zotero.org/users/local/hhPVnw6l/items/79BBAIHE"],"itemData":{"id":20382,"type":"article-journal","abstract":"In Sweden, musculoskeletal disorders, in particular low back disorders (LBD) and neck–shoulder disorders (NSD) constitute by far the most common disorders, causing sick leave and early retirement. Studies that compare sickness absence in individuals with LBD and individuals with NSD are lacking. Moreover, it is likely that having concurrent complaints from the low back region and the neck–shoulder region could influence sickness absence. The purpose of the present study was to explore potential differences in sickness absence and in long-term sickness absence during a 5-year period, 1995–2001, among individuals with (1) solely LBD, (2) solely NSD, and (3) concurrent LBD and NSD. The present study was based on 817 subjects from the MUSIC-Norrtälje study, whom were working at baseline and whom at both baseline and follow-up reported LBD and/or NSD. Three groups were identified based on pain and pain-related disability at both baseline and follow-up: (1) solely LBD, (2) solely NSD, and (3) concurrent LBD and NSD. Subjects who did not give consistent answers at both the baseline and follow-up occasions  were assigned a fourth group: (4) migrating LBD/NSD. Two outcomes were analysed: (1) prevalence of sickness absence, and (2) long-term sickness absence among those with sickness absence days. Logistic regression analysis was used to calculate odds ratios (OR) for sickness absence in the different disorder groups, taking into account confounding factors such as gender, age and other non-musculoskeletal-related disorders. In the group concurrent LBD and NSD, 59% had been sickness absent between baseline and follow up, compared to 42% in the group solely LBD, 41% in the group solely NSD, and 46% in the group migrating LBD/NSD. No difference in sickness absence was found between the group solely LBD compared to the group solely NSD [OR 0.65 (0.36–1.17)]. The adjusted OR for sickness absence in the group concurrent LBD and NSD compared to subjects with solely LBD or solely NSD was [OR 1.69 (1.14–2.51)]. The adjusted OR for having long-term sickness absence was 2.48 (95% CI = 1.32–4.66) for the group concurrent LBD and NSD. In the present study, having concurrent LBD and NSD were associated with a higher risk for sickness absence and also long-term sickness absence. This suggests that, when research on sickness absence and return to work after a period of LBD or NSD is performed, it is important to take into consideration any concurrent pain from the other spinal region. The study also implies that spinal co-morbidity is an important factor to be considered by clinicians and occupational health providers in planning treatment, or in prevention of these disorders.","container-title":"European Spine Journal","DOI":"10.1007/s00586-006-0152-6","ISSN":"0940-6719","issue":"5","journalAbbreviation":"Eur Spine J","note":"PMID: 16741741\nPMCID: PMC2213552","page":"631-638","source":"PubMed Central","title":"Sickness absence and concurrent low back and neck–shoulder pain: results from the MUSIC-Norrtälje study","title-short":"Sickness absence and concurrent low back and neck–shoulder pain","volume":"16","author":[{"family":"Nyman","given":"Teresia"},{"family":"Grooten","given":"Wilhelmus Johannes Andreas"},{"family":"Wiktorin","given":"Christina"},{"family":"Liwing","given":"Johan"},{"family":"Norrman","given":"Linda"}],"issued":{"date-parts":[["2007",5]]}}},{"id":21606,"uris":["http://zotero.org/users/local/hhPVnw6l/items/JM98SZLV"],"uri":["http://zotero.org/users/local/hhPVnw6l/items/JM98SZLV"],"itemData":{"id":21606,"type":"article-journal","abstract":"OBJECTIVE: To study whether having ever had local low back pain (LBP), sciatica, neck pain (NP), or some combination of LBP and NP, predicts sickness absence among municipal employees.\nMETHODS: The study sample (n=6911, 80% women, response rate 67%) included employees of the City of Helsinki who reached the age of 40, 45, 50, 55, or 60 years between 2000-02. Survey data on pain, working conditions, and health behaviours were linked to register data on sickness absence for three subsequent years. Sickness absence was categorised as self-certified (lasting for 1-3 days) and medically certified (lasting for 4 days or more) and the number of spells during the follow up was analysed using Poisson regression analysis.\nRESULTS: In women, medically certified sickness absence was predicted by sciatica (rate ratio, RR, 1.3, 95% CI 1.1-1.6), NP (RR 1.3, 95% CI 1.2-1.5) and the combination of sciatica and NP (RR 1.8, 95% CI 1.6-2.1), allowing for working conditions, body mass index, and smoking. In men, the corresponding RRs were 1.5 (95% CI 1.0-2.1), 1.7 (95% CI 1.2-2.4), and 2.2 (95% CI 1.6-2.9). Local LBP did not predict medically certified sickness absence. Self-certified sickness absence was modestly predicted by all pain categories in women (RRs between 1.2 and 1.5) and by NP alone and with local LBP or sciatica in men (RRs between 1.4 and 1.6).\nCONCLUSIONS: Medically certified sickness absence was predicted by sciatica and NP, but not by local LBP. The association was accentuated in those with both sciatica and NP. Pain combinations may have a stronger effect on work ability than pain in one location.","container-title":"Scandinavian Journal of Public Health","DOI":"10.1177/1403494811435490","ISSN":"1651-1905","issue":"2","journalAbbreviation":"Scand J Public Health","language":"eng","note":"PMID: 22307994","page":"150-156","source":"PubMed","title":"Low back pain and neck pain as predictors of sickness absence among municipal employees","volume":"40","author":[{"family":"Kääriä","given":"Sanna"},{"family":"Laaksonen","given":"Mikko"},{"family":"Leino-Arjas","given":"Päivi"},{"family":"Saastamoinen","given":"Peppiina"},{"family":"Lahelma","given":"Eero"}],"issued":{"date-parts":[["2012",3]]}}},{"id":20319,"uris":["http://zotero.org/users/local/hhPVnw6l/items/LDTE2LEL"],"uri":["http://zotero.org/users/local/hhPVnw6l/items/LDTE2LEL"],"itemData":{"id":20319,"type":"article-journal","abstract":"STUDY DESIGN: Cross-sectional.\nOBJECTIVE: To examine whether 3 types of chronic pain are associated with absenteeism and with the number of days absent from work in the general population of Spain.\nSUMMARY OF BACKGROUND DATA: Chronic pain has been associated with absenteeism, but most of the evidence is based on unadjusted analyses and on specific professional categories.\nMETHODS: A cross-sectional analysis was performed on the basis of data of 8283 Spanish workers. Chronic pain was ascertained from self-reported information on frequent symptoms of pain in the low back and neck and/or migraine in the last 12 months. Absenteeism was defined as missing at least 1 day from work because of health problems. Multivariate regression models were adjusted for the main confounders.\nRESULTS: Health-related absenteeism was reported by 27.8% of subjects. The prevalence of chronic pain was reported to be 12.3% in the neck, 14.1% in the low back, and 10.3% migraine. In adjusted analyses, absenteeism was associated with chronic neck pain (odds ratio: 1.20; 95% confidence interval [CI], 1.02-1.40), low back pain (odds ratio: 1.22; 95% CI, 1.06-1.42), and migraine (odds ratio: 1.22; 95% CI, 1.04-1.44). These associations were strongest in younger (18-34 yr) rather than in older workers. Furthermore, those who reported frequent pain in the neck and low back were 44% more likely to be absent for more than 30 days in the past year than those who did not report these symptoms.\nCONCLUSION: Spanish workers with chronic pain were more likely to be absent from work and to stay absent from work for longer. These associations are independent of sociodemographic characteristics, occupation, lifestyle, health status, and analgesics use.\nLEVEL OF EVIDENCE: N/A.","container-title":"Spine","DOI":"10.1097/BRS.0000000000000387","ISSN":"1528-1159","issue":"15","journalAbbreviation":"Spine (Phila Pa 1976)","language":"eng","note":"PMID: 24825151","page":"1243-1253","source":"PubMed","title":"The association of chronic neck pain, low back pain, and migraine with absenteeism due to health problems in Spanish workers","volume":"39","author":[{"family":"Mesas","given":"Arthur Eumann"},{"family":"González","given":"Alberto Durán"},{"family":"Mesas","given":"Cézar Eumann"},{"family":"Andrade","given":"Selma Maffei","non-dropping-particle":"de"},{"family":"Magro","given":"Isabel Sánchez"},{"family":"Llano","given":"Juan","non-dropping-particle":"del"}],"issued":{"date-parts":[["2014",7,1]]}}}],"schema":"https://github.com/citation-style-language/schema/raw/master/csl-citation.json"} </w:instrText>
      </w:r>
      <w:r w:rsidR="00203E41" w:rsidRPr="00B22C17">
        <w:rPr>
          <w:rFonts w:ascii="Times New Roman" w:hAnsi="Times New Roman" w:cs="Times New Roman"/>
          <w:lang w:val="en-US"/>
        </w:rPr>
        <w:fldChar w:fldCharType="separate"/>
      </w:r>
      <w:r w:rsidR="00BF44AB" w:rsidRPr="00B22C17">
        <w:rPr>
          <w:rFonts w:ascii="Times New Roman" w:hAnsi="Times New Roman" w:cs="Times New Roman"/>
          <w:lang w:val="en-US"/>
        </w:rPr>
        <w:t>[3–6,34,35]</w:t>
      </w:r>
      <w:r w:rsidR="00203E41" w:rsidRPr="00B22C17">
        <w:rPr>
          <w:rFonts w:ascii="Times New Roman" w:hAnsi="Times New Roman" w:cs="Times New Roman"/>
          <w:lang w:val="en-US"/>
        </w:rPr>
        <w:fldChar w:fldCharType="end"/>
      </w:r>
      <w:r w:rsidR="001554EA" w:rsidRPr="00B22C17">
        <w:rPr>
          <w:rFonts w:ascii="Times New Roman" w:hAnsi="Times New Roman" w:cs="Times New Roman"/>
          <w:lang w:val="en-US"/>
        </w:rPr>
        <w:t>.</w:t>
      </w:r>
      <w:r w:rsidR="006A1F19" w:rsidRPr="00B22C17">
        <w:rPr>
          <w:rFonts w:ascii="Times New Roman" w:hAnsi="Times New Roman" w:cs="Times New Roman"/>
          <w:lang w:val="en-US"/>
        </w:rPr>
        <w:t xml:space="preserve"> For example, a cross-sectional study of 8,283 workers from Spain found a significant relationship between chronic neck pain, low back pain and workplace absenteeism </w:t>
      </w:r>
      <w:r w:rsidR="006A1F19" w:rsidRPr="00B22C17">
        <w:rPr>
          <w:rFonts w:ascii="Times New Roman" w:hAnsi="Times New Roman" w:cs="Times New Roman"/>
          <w:lang w:val="en-US"/>
        </w:rPr>
        <w:fldChar w:fldCharType="begin"/>
      </w:r>
      <w:r w:rsidR="00BF44AB" w:rsidRPr="00B22C17">
        <w:rPr>
          <w:rFonts w:ascii="Times New Roman" w:hAnsi="Times New Roman" w:cs="Times New Roman"/>
          <w:lang w:val="en-US"/>
        </w:rPr>
        <w:instrText xml:space="preserve"> ADDIN ZOTERO_ITEM CSL_CITATION {"citationID":"dov3XDQY","properties":{"formattedCitation":"[35]","plainCitation":"[35]","noteIndex":0},"citationItems":[{"id":20319,"uris":["http://zotero.org/users/local/hhPVnw6l/items/LDTE2LEL"],"uri":["http://zotero.org/users/local/hhPVnw6l/items/LDTE2LEL"],"itemData":{"id":20319,"type":"article-journal","abstract":"STUDY DESIGN: Cross-sectional.\nOBJECTIVE: To examine whether 3 types of chronic pain are associated with absenteeism and with the number of days absent from work in the general population of Spain.\nSUMMARY OF BACKGROUND DATA: Chronic pain has been associated with absenteeism, but most of the evidence is based on unadjusted analyses and on specific professional categories.\nMETHODS: A cross-sectional analysis was performed on the basis of data of 8283 Spanish workers. Chronic pain was ascertained from self-reported information on frequent symptoms of pain in the low back and neck and/or migraine in the last 12 months. Absenteeism was defined as missing at least 1 day from work because of health problems. Multivariate regression models were adjusted for the main confounders.\nRESULTS: Health-related absenteeism was reported by 27.8% of subjects. The prevalence of chronic pain was reported to be 12.3% in the neck, 14.1% in the low back, and 10.3% migraine. In adjusted analyses, absenteeism was associated with chronic neck pain (odds ratio: 1.20; 95% confidence interval [CI], 1.02-1.40), low back pain (odds ratio: 1.22; 95% CI, 1.06-1.42), and migraine (odds ratio: 1.22; 95% CI, 1.04-1.44). These associations were strongest in younger (18-34 yr) rather than in older workers. Furthermore, those who reported frequent pain in the neck and low back were 44% more likely to be absent for more than 30 days in the past year than those who did not report these symptoms.\nCONCLUSION: Spanish workers with chronic pain were more likely to be absent from work and to stay absent from work for longer. These associations are independent of sociodemographic characteristics, occupation, lifestyle, health status, and analgesics use.\nLEVEL OF EVIDENCE: N/A.","container-title":"Spine","DOI":"10.1097/BRS.0000000000000387","ISSN":"1528-1159","issue":"15","journalAbbreviation":"Spine (Phila Pa 1976)","language":"eng","note":"PMID: 24825151","page":"1243-1253","source":"PubMed","title":"The association of chronic neck pain, low back pain, and migraine with absenteeism due to health problems in Spanish workers","volume":"39","author":[{"family":"Mesas","given":"Arthur Eumann"},{"family":"González","given":"Alberto Durán"},{"family":"Mesas","given":"Cézar Eumann"},{"family":"Andrade","given":"Selma Maffei","non-dropping-particle":"de"},{"family":"Magro","given":"Isabel Sánchez"},{"family":"Llano","given":"Juan","non-dropping-particle":"del"}],"issued":{"date-parts":[["2014",7,1]]}}}],"schema":"https://github.com/citation-style-language/schema/raw/master/csl-citation.json"} </w:instrText>
      </w:r>
      <w:r w:rsidR="006A1F19" w:rsidRPr="00B22C17">
        <w:rPr>
          <w:rFonts w:ascii="Times New Roman" w:hAnsi="Times New Roman" w:cs="Times New Roman"/>
          <w:lang w:val="en-US"/>
        </w:rPr>
        <w:fldChar w:fldCharType="separate"/>
      </w:r>
      <w:r w:rsidR="00BF44AB" w:rsidRPr="00B22C17">
        <w:rPr>
          <w:rFonts w:ascii="Times New Roman" w:hAnsi="Times New Roman" w:cs="Times New Roman"/>
          <w:noProof/>
          <w:lang w:val="en-US"/>
        </w:rPr>
        <w:t>[35]</w:t>
      </w:r>
      <w:r w:rsidR="006A1F19" w:rsidRPr="00B22C17">
        <w:rPr>
          <w:rFonts w:ascii="Times New Roman" w:hAnsi="Times New Roman" w:cs="Times New Roman"/>
          <w:lang w:val="en-US"/>
        </w:rPr>
        <w:fldChar w:fldCharType="end"/>
      </w:r>
      <w:r w:rsidR="006A1F19" w:rsidRPr="00B22C17">
        <w:rPr>
          <w:rFonts w:ascii="Times New Roman" w:hAnsi="Times New Roman" w:cs="Times New Roman"/>
          <w:lang w:val="en-US"/>
        </w:rPr>
        <w:t>.</w:t>
      </w:r>
      <w:r w:rsidR="00AF7517" w:rsidRPr="00B22C17">
        <w:rPr>
          <w:rFonts w:ascii="Times New Roman" w:hAnsi="Times New Roman" w:cs="Times New Roman"/>
          <w:lang w:val="en-US"/>
        </w:rPr>
        <w:t xml:space="preserve"> It was further observed in a</w:t>
      </w:r>
      <w:r w:rsidR="006E2573" w:rsidRPr="00B22C17">
        <w:rPr>
          <w:rFonts w:ascii="Times New Roman" w:hAnsi="Times New Roman" w:cs="Times New Roman"/>
          <w:lang w:val="en-US"/>
        </w:rPr>
        <w:t xml:space="preserve">nother </w:t>
      </w:r>
      <w:r w:rsidR="00AF7517" w:rsidRPr="00B22C17">
        <w:rPr>
          <w:rFonts w:ascii="Times New Roman" w:hAnsi="Times New Roman" w:cs="Times New Roman"/>
          <w:lang w:val="en-US"/>
        </w:rPr>
        <w:t xml:space="preserve">study, including 6,911 individuals living in Finland, that both sciatica and neck pain predicted medically certified sickness absence </w:t>
      </w:r>
      <w:r w:rsidR="00AF7517" w:rsidRPr="00B22C17">
        <w:rPr>
          <w:rFonts w:ascii="Times New Roman" w:hAnsi="Times New Roman" w:cs="Times New Roman"/>
          <w:lang w:val="en-US"/>
        </w:rPr>
        <w:fldChar w:fldCharType="begin"/>
      </w:r>
      <w:r w:rsidR="00BF44AB" w:rsidRPr="00B22C17">
        <w:rPr>
          <w:rFonts w:ascii="Times New Roman" w:hAnsi="Times New Roman" w:cs="Times New Roman"/>
          <w:lang w:val="en-US"/>
        </w:rPr>
        <w:instrText xml:space="preserve"> ADDIN ZOTERO_ITEM CSL_CITATION {"citationID":"sKjGWfi3","properties":{"formattedCitation":"[34]","plainCitation":"[34]","noteIndex":0},"citationItems":[{"id":21606,"uris":["http://zotero.org/users/local/hhPVnw6l/items/JM98SZLV"],"uri":["http://zotero.org/users/local/hhPVnw6l/items/JM98SZLV"],"itemData":{"id":21606,"type":"article-journal","abstract":"OBJECTIVE: To study whether having ever had local low back pain (LBP), sciatica, neck pain (NP), or some combination of LBP and NP, predicts sickness absence among municipal employees.\nMETHODS: The study sample (n=6911, 80% women, response rate 67%) included employees of the City of Helsinki who reached the age of 40, 45, 50, 55, or 60 years between 2000-02. Survey data on pain, working conditions, and health behaviours were linked to register data on sickness absence for three subsequent years. Sickness absence was categorised as self-certified (lasting for 1-3 days) and medically certified (lasting for 4 days or more) and the number of spells during the follow up was analysed using Poisson regression analysis.\nRESULTS: In women, medically certified sickness absence was predicted by sciatica (rate ratio, RR, 1.3, 95% CI 1.1-1.6), NP (RR 1.3, 95% CI 1.2-1.5) and the combination of sciatica and NP (RR 1.8, 95% CI 1.6-2.1), allowing for working conditions, body mass index, and smoking. In men, the corresponding RRs were 1.5 (95% CI 1.0-2.1), 1.7 (95% CI 1.2-2.4), and 2.2 (95% CI 1.6-2.9). Local LBP did not predict medically certified sickness absence. Self-certified sickness absence was modestly predicted by all pain categories in women (RRs between 1.2 and 1.5) and by NP alone and with local LBP or sciatica in men (RRs between 1.4 and 1.6).\nCONCLUSIONS: Medically certified sickness absence was predicted by sciatica and NP, but not by local LBP. The association was accentuated in those with both sciatica and NP. Pain combinations may have a stronger effect on work ability than pain in one location.","container-title":"Scandinavian Journal of Public Health","DOI":"10.1177/1403494811435490","ISSN":"1651-1905","issue":"2","journalAbbreviation":"Scand J Public Health","language":"eng","note":"PMID: 22307994","page":"150-156","source":"PubMed","title":"Low back pain and neck pain as predictors of sickness absence among municipal employees","volume":"40","author":[{"family":"Kääriä","given":"Sanna"},{"family":"Laaksonen","given":"Mikko"},{"family":"Leino-Arjas","given":"Päivi"},{"family":"Saastamoinen","given":"Peppiina"},{"family":"Lahelma","given":"Eero"}],"issued":{"date-parts":[["2012",3]]}}}],"schema":"https://github.com/citation-style-language/schema/raw/master/csl-citation.json"} </w:instrText>
      </w:r>
      <w:r w:rsidR="00AF7517" w:rsidRPr="00B22C17">
        <w:rPr>
          <w:rFonts w:ascii="Times New Roman" w:hAnsi="Times New Roman" w:cs="Times New Roman"/>
          <w:lang w:val="en-US"/>
        </w:rPr>
        <w:fldChar w:fldCharType="separate"/>
      </w:r>
      <w:r w:rsidR="00BF44AB" w:rsidRPr="00B22C17">
        <w:rPr>
          <w:rFonts w:ascii="Times New Roman" w:hAnsi="Times New Roman" w:cs="Times New Roman"/>
          <w:noProof/>
          <w:lang w:val="en-US"/>
        </w:rPr>
        <w:t>[34]</w:t>
      </w:r>
      <w:r w:rsidR="00AF7517" w:rsidRPr="00B22C17">
        <w:rPr>
          <w:rFonts w:ascii="Times New Roman" w:hAnsi="Times New Roman" w:cs="Times New Roman"/>
          <w:lang w:val="en-US"/>
        </w:rPr>
        <w:fldChar w:fldCharType="end"/>
      </w:r>
      <w:r w:rsidR="00AF7517" w:rsidRPr="00B22C17">
        <w:rPr>
          <w:rFonts w:ascii="Times New Roman" w:hAnsi="Times New Roman" w:cs="Times New Roman"/>
          <w:lang w:val="en-US"/>
        </w:rPr>
        <w:t>. The findings of the present study also</w:t>
      </w:r>
      <w:r w:rsidRPr="00B22C17">
        <w:rPr>
          <w:rFonts w:ascii="Times New Roman" w:hAnsi="Times New Roman" w:cs="Times New Roman"/>
          <w:lang w:val="en-US"/>
        </w:rPr>
        <w:t xml:space="preserve"> add to existing literature through explaining 66% of the </w:t>
      </w:r>
      <w:r w:rsidR="009E51C2" w:rsidRPr="00B22C17">
        <w:rPr>
          <w:rFonts w:ascii="Times New Roman" w:hAnsi="Times New Roman" w:cs="Times New Roman"/>
          <w:lang w:val="en-US"/>
        </w:rPr>
        <w:t>BNP</w:t>
      </w:r>
      <w:r w:rsidRPr="00B22C17">
        <w:rPr>
          <w:rFonts w:ascii="Times New Roman" w:hAnsi="Times New Roman" w:cs="Times New Roman"/>
          <w:lang w:val="en-US"/>
        </w:rPr>
        <w:t>-work</w:t>
      </w:r>
      <w:r w:rsidR="00497818" w:rsidRPr="00B22C17">
        <w:rPr>
          <w:rFonts w:ascii="Times New Roman" w:hAnsi="Times New Roman" w:cs="Times New Roman"/>
          <w:lang w:val="en-US"/>
        </w:rPr>
        <w:t>place</w:t>
      </w:r>
      <w:r w:rsidRPr="00B22C17">
        <w:rPr>
          <w:rFonts w:ascii="Times New Roman" w:hAnsi="Times New Roman" w:cs="Times New Roman"/>
          <w:lang w:val="en-US"/>
        </w:rPr>
        <w:t xml:space="preserve"> absenteeism relationship. Interestingly, the largest proportion of the </w:t>
      </w:r>
      <w:r w:rsidR="00B90EB1" w:rsidRPr="00B22C17">
        <w:rPr>
          <w:rFonts w:ascii="Times New Roman" w:hAnsi="Times New Roman" w:cs="Times New Roman"/>
          <w:lang w:val="en-US"/>
        </w:rPr>
        <w:t>association</w:t>
      </w:r>
      <w:r w:rsidRPr="00B22C17">
        <w:rPr>
          <w:rFonts w:ascii="Times New Roman" w:hAnsi="Times New Roman" w:cs="Times New Roman"/>
          <w:lang w:val="en-US"/>
        </w:rPr>
        <w:t xml:space="preserve"> was explained by walking</w:t>
      </w:r>
      <w:r w:rsidR="00F2098A" w:rsidRPr="00B22C17">
        <w:rPr>
          <w:rFonts w:ascii="Times New Roman" w:hAnsi="Times New Roman" w:cs="Times New Roman"/>
          <w:lang w:val="en-US"/>
        </w:rPr>
        <w:t>, standing and sitting</w:t>
      </w:r>
      <w:r w:rsidRPr="00B22C17">
        <w:rPr>
          <w:rFonts w:ascii="Times New Roman" w:hAnsi="Times New Roman" w:cs="Times New Roman"/>
          <w:lang w:val="en-US"/>
        </w:rPr>
        <w:t xml:space="preserve"> difficulties. It is plausible to assume that if individuals have difficulties in one or all of these domains the working environment may become difficult to tolerate</w:t>
      </w:r>
      <w:r w:rsidR="00497818" w:rsidRPr="00B22C17">
        <w:rPr>
          <w:rFonts w:ascii="Times New Roman" w:hAnsi="Times New Roman" w:cs="Times New Roman"/>
          <w:lang w:val="en-US"/>
        </w:rPr>
        <w:t>.</w:t>
      </w:r>
      <w:r w:rsidRPr="00B22C17">
        <w:rPr>
          <w:rFonts w:ascii="Times New Roman" w:hAnsi="Times New Roman" w:cs="Times New Roman"/>
          <w:lang w:val="en-US"/>
        </w:rPr>
        <w:t xml:space="preserve"> </w:t>
      </w:r>
      <w:r w:rsidR="00497818" w:rsidRPr="00B22C17">
        <w:rPr>
          <w:rFonts w:ascii="Times New Roman" w:hAnsi="Times New Roman" w:cs="Times New Roman"/>
          <w:lang w:val="en-US"/>
        </w:rPr>
        <w:t>I</w:t>
      </w:r>
      <w:r w:rsidRPr="00B22C17">
        <w:rPr>
          <w:rFonts w:ascii="Times New Roman" w:hAnsi="Times New Roman" w:cs="Times New Roman"/>
          <w:lang w:val="en-US"/>
        </w:rPr>
        <w:t>ndeed, the workplace often requires prolonged periods in each of these positions</w:t>
      </w:r>
      <w:r w:rsidR="005368D6" w:rsidRPr="00B22C17">
        <w:rPr>
          <w:rFonts w:ascii="Times New Roman" w:hAnsi="Times New Roman" w:cs="Times New Roman"/>
          <w:lang w:val="en-US"/>
        </w:rPr>
        <w:t xml:space="preserve"> </w:t>
      </w:r>
      <w:r w:rsidR="003C2725" w:rsidRPr="00B22C17">
        <w:rPr>
          <w:rFonts w:ascii="Times New Roman" w:hAnsi="Times New Roman" w:cs="Times New Roman"/>
          <w:lang w:val="en-US"/>
        </w:rPr>
        <w:fldChar w:fldCharType="begin"/>
      </w:r>
      <w:r w:rsidR="00BF44AB" w:rsidRPr="00B22C17">
        <w:rPr>
          <w:rFonts w:ascii="Times New Roman" w:hAnsi="Times New Roman" w:cs="Times New Roman"/>
          <w:lang w:val="en-US"/>
        </w:rPr>
        <w:instrText xml:space="preserve"> ADDIN ZOTERO_ITEM CSL_CITATION {"citationID":"0fCP7nEL","properties":{"formattedCitation":"[36]","plainCitation":"[36]","noteIndex":0},"citationItems":[{"id":20289,"uris":["http://zotero.org/users/local/hhPVnw6l/items/VKI7MUNW"],"uri":["http://zotero.org/users/local/hhPVnw6l/items/VKI7MUNW"],"itemData":{"id":20289,"type":"article-journal","abstract":"There is a growing body of research into the total amount and patterns of sitting, standing and stepping in office-based workers and few studies using objectively measured sitting and standing. Understanding these patterns may identify daily times opportune for interventions to displace sitting with activity.","container-title":"BMC Public Health","DOI":"10.1186/s12889-014-1338-1","ISSN":"1471-2458","issue":"1","journalAbbreviation":"BMC Public Health","page":"9","source":"BioMed Central","title":"Weekday and weekend patterns of objectively measured sitting, standing, and stepping in a sample of office-based workers: the active buildings study","title-short":"Weekday and weekend patterns of objectively measured sitting, standing, and stepping in a sample of office-based workers","volume":"15","author":[{"family":"Smith","given":"Lee"},{"family":"Hamer","given":"Mark"},{"family":"Ucci","given":"Marcella"},{"family":"Marmot","given":"Alexi"},{"family":"Gardner","given":"Benjamin"},{"family":"Sawyer","given":"Alexia"},{"family":"Wardle","given":"Jane"},{"family":"Fisher","given":"Abigail"}],"issued":{"date-parts":[["2015",1,17]]}}}],"schema":"https://github.com/citation-style-language/schema/raw/master/csl-citation.json"} </w:instrText>
      </w:r>
      <w:r w:rsidR="003C2725" w:rsidRPr="00B22C17">
        <w:rPr>
          <w:rFonts w:ascii="Times New Roman" w:hAnsi="Times New Roman" w:cs="Times New Roman"/>
          <w:lang w:val="en-US"/>
        </w:rPr>
        <w:fldChar w:fldCharType="separate"/>
      </w:r>
      <w:r w:rsidR="00BF44AB" w:rsidRPr="00B22C17">
        <w:rPr>
          <w:rFonts w:ascii="Times New Roman" w:hAnsi="Times New Roman" w:cs="Times New Roman"/>
          <w:noProof/>
          <w:lang w:val="en-US"/>
        </w:rPr>
        <w:t>[36]</w:t>
      </w:r>
      <w:r w:rsidR="003C2725" w:rsidRPr="00B22C17">
        <w:rPr>
          <w:rFonts w:ascii="Times New Roman" w:hAnsi="Times New Roman" w:cs="Times New Roman"/>
          <w:lang w:val="en-US"/>
        </w:rPr>
        <w:fldChar w:fldCharType="end"/>
      </w:r>
      <w:r w:rsidR="00497818" w:rsidRPr="00B22C17">
        <w:rPr>
          <w:rFonts w:ascii="Times New Roman" w:hAnsi="Times New Roman" w:cs="Times New Roman"/>
          <w:lang w:val="en-US"/>
        </w:rPr>
        <w:t>.</w:t>
      </w:r>
      <w:r w:rsidR="005368D6" w:rsidRPr="00B22C17">
        <w:rPr>
          <w:rFonts w:ascii="Times New Roman" w:hAnsi="Times New Roman" w:cs="Times New Roman"/>
          <w:vertAlign w:val="superscript"/>
          <w:lang w:val="en-US"/>
        </w:rPr>
        <w:t xml:space="preserve"> </w:t>
      </w:r>
      <w:r w:rsidRPr="00B22C17">
        <w:rPr>
          <w:rFonts w:ascii="Times New Roman" w:hAnsi="Times New Roman" w:cs="Times New Roman"/>
          <w:lang w:val="en-US"/>
        </w:rPr>
        <w:t>This finding suggests that interventions to prevent work</w:t>
      </w:r>
      <w:r w:rsidR="009E7478" w:rsidRPr="00B22C17">
        <w:rPr>
          <w:rFonts w:ascii="Times New Roman" w:hAnsi="Times New Roman" w:cs="Times New Roman"/>
          <w:lang w:val="en-US"/>
        </w:rPr>
        <w:t>place</w:t>
      </w:r>
      <w:r w:rsidRPr="00B22C17">
        <w:rPr>
          <w:rFonts w:ascii="Times New Roman" w:hAnsi="Times New Roman" w:cs="Times New Roman"/>
          <w:lang w:val="en-US"/>
        </w:rPr>
        <w:t xml:space="preserve"> absenteeism owing to </w:t>
      </w:r>
      <w:r w:rsidR="00BF3B50" w:rsidRPr="00B22C17">
        <w:rPr>
          <w:rFonts w:ascii="Times New Roman" w:hAnsi="Times New Roman" w:cs="Times New Roman"/>
          <w:lang w:val="en-US"/>
        </w:rPr>
        <w:t>BNP</w:t>
      </w:r>
      <w:r w:rsidRPr="00B22C17">
        <w:rPr>
          <w:rFonts w:ascii="Times New Roman" w:hAnsi="Times New Roman" w:cs="Times New Roman"/>
          <w:lang w:val="en-US"/>
        </w:rPr>
        <w:t xml:space="preserve"> should focus on</w:t>
      </w:r>
      <w:r w:rsidR="00AC18E2" w:rsidRPr="00B22C17">
        <w:rPr>
          <w:rFonts w:ascii="Times New Roman" w:hAnsi="Times New Roman" w:cs="Times New Roman"/>
          <w:lang w:val="en-US"/>
        </w:rPr>
        <w:t xml:space="preserve"> physical exercise</w:t>
      </w:r>
      <w:r w:rsidR="008D3527" w:rsidRPr="00B22C17">
        <w:rPr>
          <w:rFonts w:ascii="Times New Roman" w:hAnsi="Times New Roman" w:cs="Times New Roman"/>
          <w:lang w:val="en-US"/>
        </w:rPr>
        <w:t xml:space="preserve">, physical therapy, or ergonomic interventions which may not only improve </w:t>
      </w:r>
      <w:r w:rsidR="000A491C" w:rsidRPr="00B22C17">
        <w:rPr>
          <w:rFonts w:ascii="Times New Roman" w:hAnsi="Times New Roman" w:cs="Times New Roman"/>
          <w:lang w:val="en-US"/>
        </w:rPr>
        <w:t>BNP</w:t>
      </w:r>
      <w:r w:rsidR="008D3527" w:rsidRPr="00B22C17">
        <w:rPr>
          <w:rFonts w:ascii="Times New Roman" w:hAnsi="Times New Roman" w:cs="Times New Roman"/>
          <w:lang w:val="en-US"/>
        </w:rPr>
        <w:t xml:space="preserve"> but also reduce difficulties experienced in sitting, </w:t>
      </w:r>
      <w:r w:rsidR="0030678A" w:rsidRPr="00B22C17">
        <w:rPr>
          <w:rFonts w:ascii="Times New Roman" w:hAnsi="Times New Roman" w:cs="Times New Roman"/>
          <w:lang w:val="en-US"/>
        </w:rPr>
        <w:t>standing</w:t>
      </w:r>
      <w:r w:rsidR="008D3527" w:rsidRPr="00B22C17">
        <w:rPr>
          <w:rFonts w:ascii="Times New Roman" w:hAnsi="Times New Roman" w:cs="Times New Roman"/>
          <w:lang w:val="en-US"/>
        </w:rPr>
        <w:t xml:space="preserve"> and </w:t>
      </w:r>
      <w:r w:rsidR="0030678A" w:rsidRPr="00B22C17">
        <w:rPr>
          <w:rFonts w:ascii="Times New Roman" w:hAnsi="Times New Roman" w:cs="Times New Roman"/>
          <w:lang w:val="en-US"/>
        </w:rPr>
        <w:t>walking</w:t>
      </w:r>
      <w:r w:rsidR="005368D6" w:rsidRPr="00B22C17">
        <w:rPr>
          <w:rFonts w:ascii="Times New Roman" w:hAnsi="Times New Roman" w:cs="Times New Roman"/>
          <w:lang w:val="en-US"/>
        </w:rPr>
        <w:t xml:space="preserve"> </w:t>
      </w:r>
      <w:r w:rsidR="00751C36" w:rsidRPr="00B22C17">
        <w:rPr>
          <w:rFonts w:ascii="Times New Roman" w:hAnsi="Times New Roman" w:cs="Times New Roman"/>
          <w:lang w:val="en-US"/>
        </w:rPr>
        <w:fldChar w:fldCharType="begin"/>
      </w:r>
      <w:r w:rsidR="00BF44AB" w:rsidRPr="00B22C17">
        <w:rPr>
          <w:rFonts w:ascii="Times New Roman" w:hAnsi="Times New Roman" w:cs="Times New Roman"/>
          <w:lang w:val="en-US"/>
        </w:rPr>
        <w:instrText xml:space="preserve"> ADDIN ZOTERO_ITEM CSL_CITATION {"citationID":"7O3gnhpr","properties":{"formattedCitation":"[37,38]","plainCitation":"[37,38]","noteIndex":0},"citationItems":[{"id":20294,"uris":["http://zotero.org/users/local/hhPVnw6l/items/HB2TV5KZ"],"uri":["http://zotero.org/users/local/hhPVnw6l/items/HB2TV5KZ"],"itemData":{"id":20294,"type":"article-journal","abstract":"To synthesise the evidence relating to the effectiveness of advice, the relevance of its content and frequency, and to compare the advice being offered to acute, subacute and chronic low back pain (LBP) patients. A systematic review of Randomised Controlled Trials (RCTs) using advice, either alone or with another intervention. The QUOROM guidelines and the Cochrane Collaboration Back Review Group Guidelines for Systematic Reviews were followed throughout: methodological assessment identified RCTs of 'high' or 'medium' methodological quality, based on their inclusion of at least 50% of the specified internal validity criteria. Outcome measures were analysed based on five recommended core outcome domains; pain, work disability, back-specific function, generic health status and satisfaction with care. Relevant RCTs (n=56) were scored for methodological quality; 39 RCTs involving 7347 patients qualified for inclusion, based upon their methodological quality. Advice as an adjunct to exercise was most effective for improving pain, back-specific function and work disability in chronic LBP but, for acute LBP, was no more effective for improving these outcomes than simple advice to stay active. Advice as part of a back school was most effective for improving back-specific function in subacute LBP; these trials generally demonstrated long-term positive results. Advice as an adjunct to exercise was the most common form of treatment for acute and chronic LBP; advice as part of a back school was most commonly used for subacute LBP. Fifteen percent of acute LBP trials had a positive outcome, compared to 86% and 74% of subacute and chronic LBP trials respectively. A wide variety of outcome measures were used, making valid comparisons between treatment outcomes difficult. The advice provided to patients with LBP within RCTs varied considerably depending on symptom duration. The findings of this review have important implications for clinical practice, and for the design of further clinical trials in this area. Advice to stay active is sufficient for acute LBP; however, it appears that RCTs do not commonly reflect these recommendations. No conclusions could be drawn as to the content and frequency of advice that is most effective for subacute LBP, due to the limited number and poor quality of RCTs in this area: this review provides preliminary support for advice as part of a back school approach. Given that the effectiveness of treatment for subacute symptoms will directly influence the development of chronicity, these results would suggest that education and awareness of the causes and consequences of back pain may be a valuable treatment component for this patient subgroup. For chronic LBP there is strong evidence to support the use of advice to remain active in addition to specific advice relating to the most appropriate exercise, and/or functional activities to promote active self-management. More investigation is needed into the role of follow-up advice for chronic LBP patients.","container-title":"Manual Therapy","DOI":"10.1016/j.math.2006.12.009","ISSN":"1532-2769","issue":"4","journalAbbreviation":"Man Ther","language":"eng","note":"PMID: 17395522","page":"310-327","source":"PubMed","title":"Advice for the management of low back pain: a systematic review of randomised controlled trials","title-short":"Advice for the management of low back pain","volume":"12","author":[{"family":"Liddle","given":"S. Dianne"},{"family":"Gracey","given":"Jacqueline H."},{"family":"Baxter","given":"G. David"}],"issued":{"date-parts":[["2007",11]]}}},{"id":20292,"uris":["http://zotero.org/users/local/hhPVnw6l/items/G3NKSGCI"],"uri":["http://zotero.org/users/local/hhPVnw6l/items/G3NKSGCI"],"itemData":{"id":20292,"type":"article-journal","abstract":"Despite all the efforts in studying work-related risk factors for low back pain (LBP), interventions targeting these risk factors to prevent LBP have no proven cost-effectiveness. Even with adequate implementation strategies for these interventions on group level, these did not result in the reduction of incident LBP. Physical exercise, however, does have a primary preventive effect on LBP. For secondary prevention, it seems that there are more opportunities to cost-effectively intervene in reducing the risk of long-term sickness absence due to LBP. Starting at the earliest moment possible with proper assessment of risk factors for long-term sickness absence related to the individual, the underlying mechanisms of the LBP, and also factors related to the workplace by a well-trained clinician, may increase the potential of effective return to work (RTW) management. More research on how to overcome barriers in the uptake of these effective interventions in relation to policy-specific environments, and with regard to proper financing of RTW management is necessary.","collection-title":"Occupation and Musculoskeletal Disorders","container-title":"Best Practice &amp; Research Clinical Rheumatology","DOI":"10.1016/j.berh.2015.04.028","ISSN":"1521-6942","issue":"3","journalAbbreviation":"Best Practice &amp; Research Clinical Rheumatology","language":"en","page":"483-494","source":"ScienceDirect","title":"Back pain: Prevention and management in the workplace","title-short":"Back pain","volume":"29","author":[{"family":"Schaafsma","given":"Frederieke G."},{"family":"Anema","given":"Johannes R."},{"family":"Beek","given":"Allard J.","non-dropping-particle":"van der"}],"issued":{"date-parts":[["2015",6,1]]}}}],"schema":"https://github.com/citation-style-language/schema/raw/master/csl-citation.json"} </w:instrText>
      </w:r>
      <w:r w:rsidR="00751C36" w:rsidRPr="00B22C17">
        <w:rPr>
          <w:rFonts w:ascii="Times New Roman" w:hAnsi="Times New Roman" w:cs="Times New Roman"/>
          <w:lang w:val="en-US"/>
        </w:rPr>
        <w:fldChar w:fldCharType="separate"/>
      </w:r>
      <w:r w:rsidR="00BF44AB" w:rsidRPr="00B22C17">
        <w:rPr>
          <w:rFonts w:ascii="Times New Roman" w:hAnsi="Times New Roman" w:cs="Times New Roman"/>
          <w:noProof/>
          <w:lang w:val="en-US"/>
        </w:rPr>
        <w:t>[37,38]</w:t>
      </w:r>
      <w:r w:rsidR="00751C36" w:rsidRPr="00B22C17">
        <w:rPr>
          <w:rFonts w:ascii="Times New Roman" w:hAnsi="Times New Roman" w:cs="Times New Roman"/>
          <w:lang w:val="en-US"/>
        </w:rPr>
        <w:fldChar w:fldCharType="end"/>
      </w:r>
      <w:r w:rsidR="008D3527" w:rsidRPr="00B22C17">
        <w:rPr>
          <w:rFonts w:ascii="Times New Roman" w:hAnsi="Times New Roman" w:cs="Times New Roman"/>
          <w:lang w:val="en-US"/>
        </w:rPr>
        <w:t>.</w:t>
      </w:r>
      <w:r w:rsidR="00AC18E2" w:rsidRPr="00B22C17">
        <w:rPr>
          <w:rFonts w:ascii="Times New Roman" w:hAnsi="Times New Roman" w:cs="Times New Roman"/>
          <w:lang w:val="en-US"/>
        </w:rPr>
        <w:t xml:space="preserve"> </w:t>
      </w:r>
      <w:r w:rsidR="00BC2118" w:rsidRPr="00B22C17">
        <w:rPr>
          <w:rFonts w:ascii="Times New Roman" w:hAnsi="Times New Roman" w:cs="Times New Roman"/>
          <w:lang w:val="en-US"/>
        </w:rPr>
        <w:t xml:space="preserve">Another factor </w:t>
      </w:r>
      <w:r w:rsidR="00BC2118" w:rsidRPr="00B22C17">
        <w:rPr>
          <w:rFonts w:ascii="Times New Roman" w:hAnsi="Times New Roman" w:cs="Times New Roman"/>
          <w:lang w:val="en-US"/>
        </w:rPr>
        <w:lastRenderedPageBreak/>
        <w:t xml:space="preserve">playing a substantial role in the association between BNP and workplace absenteeism in this study </w:t>
      </w:r>
      <w:r w:rsidR="00AC3A1C" w:rsidRPr="00B22C17">
        <w:rPr>
          <w:rFonts w:ascii="Times New Roman" w:hAnsi="Times New Roman" w:cs="Times New Roman"/>
          <w:lang w:val="en-US"/>
        </w:rPr>
        <w:t>was</w:t>
      </w:r>
      <w:r w:rsidR="00BC2118" w:rsidRPr="00B22C17">
        <w:rPr>
          <w:rFonts w:ascii="Times New Roman" w:hAnsi="Times New Roman" w:cs="Times New Roman"/>
          <w:lang w:val="en-US"/>
        </w:rPr>
        <w:t xml:space="preserve"> depression</w:t>
      </w:r>
      <w:r w:rsidR="00156B88" w:rsidRPr="00B22C17">
        <w:rPr>
          <w:rFonts w:ascii="Times New Roman" w:hAnsi="Times New Roman" w:cs="Times New Roman"/>
          <w:lang w:val="en-US"/>
        </w:rPr>
        <w:t xml:space="preserve"> (percent decrease=17)</w:t>
      </w:r>
      <w:r w:rsidR="00022F24" w:rsidRPr="00B22C17">
        <w:rPr>
          <w:rFonts w:ascii="Times New Roman" w:hAnsi="Times New Roman" w:cs="Times New Roman"/>
          <w:lang w:val="en-US"/>
        </w:rPr>
        <w:t xml:space="preserve">. </w:t>
      </w:r>
      <w:r w:rsidR="0075020A" w:rsidRPr="00B22C17">
        <w:rPr>
          <w:rFonts w:ascii="Times New Roman" w:hAnsi="Times New Roman" w:cs="Times New Roman"/>
          <w:lang w:val="en-US"/>
        </w:rPr>
        <w:t>As a matter of fact</w:t>
      </w:r>
      <w:r w:rsidR="00420369" w:rsidRPr="00B22C17">
        <w:rPr>
          <w:rFonts w:ascii="Times New Roman" w:hAnsi="Times New Roman" w:cs="Times New Roman"/>
          <w:lang w:val="en-US"/>
        </w:rPr>
        <w:t>, both low back and neck pain are associated with depression</w:t>
      </w:r>
      <w:r w:rsidR="001D4A54" w:rsidRPr="00B22C17">
        <w:rPr>
          <w:rFonts w:ascii="Times New Roman" w:hAnsi="Times New Roman" w:cs="Times New Roman"/>
          <w:lang w:val="en-US"/>
        </w:rPr>
        <w:t xml:space="preserve"> </w:t>
      </w:r>
      <w:r w:rsidR="001D4A54" w:rsidRPr="00B22C17">
        <w:rPr>
          <w:rFonts w:ascii="Times New Roman" w:hAnsi="Times New Roman" w:cs="Times New Roman"/>
          <w:lang w:val="en-US"/>
        </w:rPr>
        <w:fldChar w:fldCharType="begin"/>
      </w:r>
      <w:r w:rsidR="00BF44AB" w:rsidRPr="00B22C17">
        <w:rPr>
          <w:rFonts w:ascii="Times New Roman" w:hAnsi="Times New Roman" w:cs="Times New Roman"/>
          <w:lang w:val="en-US"/>
        </w:rPr>
        <w:instrText xml:space="preserve"> ADDIN ZOTERO_ITEM CSL_CITATION {"citationID":"SuLRbV2O","properties":{"formattedCitation":"[39]","plainCitation":"[39]","noteIndex":0},"citationItems":[{"id":21610,"uris":["http://zotero.org/users/local/hhPVnw6l/items/WNUGEXSV"],"uri":["http://zotero.org/users/local/hhPVnw6l/items/WNUGEXSV"],"itemData":{"id":21610,"type":"article-journal","abstract":"BACKGROUND: Clinical and epidemiological studies have shown an association between anxiety and depression and pain in the back and neck. The nature of this relationship is not clear. This study aimed to investigate the extent to which common genetic and environmental aetiological factors contribute to the covariance between symptoms of anxiety and depression and back-neck pain.\nMETHODS: Measures of back-neck pain and symptoms of anxiety and depression were part of a self-report questionnaire sent in 1992 to twins born in Norway between 1967 and 1974 (3996 pairs). Structural equation modelling was applied to determine to what extent back-neck pain and symptoms of anxiety and depression share genetic and environmental liability factors.\nRESULTS: The phenotypic correlation between symptoms of anxiety and depression and back-neck pain was 0.31. Individual differences in both anxiety and depression and back-neck pain were best accounted for by additive genetic and individual environmental factors. Heritability estimates were 0.53 and 0.30 respectively. For back-neck pain, however, a model specifying only shared- and individual environmental effects could not be rejected. Bivariate analyses revealed that the correlation between back-neck pain and symptoms of anxiety and depression was best explained by additive genetic and individual environmental factors. Genetic factors affecting both phenotypes accounted for 60% of the covariation. There were no significant sex differences.\nCONCLUSION: The results support previous findings of a moderate association between back-neck pain and symptoms of anxiety and depression, and suggest that this association is primarily due to common genetic effects.","container-title":"Psychological Medicine","DOI":"10.1017/s0033291702005950","ISSN":"0033-2917","issue":"6","journalAbbreviation":"Psychol Med","language":"eng","note":"PMID: 12214782","page":"1009-1020","source":"PubMed","title":"Back-neck pain and symptoms of anxiety and depression: a population-based twin study","title-short":"Back-neck pain and symptoms of anxiety and depression","volume":"32","author":[{"family":"Reichborn-Kjennerud","given":"T."},{"family":"Stoltenberg","given":"C."},{"family":"Tambs","given":"K."},{"family":"Roysamb","given":"E."},{"family":"Kringlen","given":"E."},{"family":"Torgersen","given":"S."},{"family":"Harris","given":"J. R."}],"issued":{"date-parts":[["2002",8]]}}}],"schema":"https://github.com/citation-style-language/schema/raw/master/csl-citation.json"} </w:instrText>
      </w:r>
      <w:r w:rsidR="001D4A54" w:rsidRPr="00B22C17">
        <w:rPr>
          <w:rFonts w:ascii="Times New Roman" w:hAnsi="Times New Roman" w:cs="Times New Roman"/>
          <w:lang w:val="en-US"/>
        </w:rPr>
        <w:fldChar w:fldCharType="separate"/>
      </w:r>
      <w:r w:rsidR="00BF44AB" w:rsidRPr="00B22C17">
        <w:rPr>
          <w:rFonts w:ascii="Times New Roman" w:hAnsi="Times New Roman" w:cs="Times New Roman"/>
          <w:noProof/>
          <w:lang w:val="en-US"/>
        </w:rPr>
        <w:t>[39]</w:t>
      </w:r>
      <w:r w:rsidR="001D4A54" w:rsidRPr="00B22C17">
        <w:rPr>
          <w:rFonts w:ascii="Times New Roman" w:hAnsi="Times New Roman" w:cs="Times New Roman"/>
          <w:lang w:val="en-US"/>
        </w:rPr>
        <w:fldChar w:fldCharType="end"/>
      </w:r>
      <w:r w:rsidR="00420369" w:rsidRPr="00B22C17">
        <w:rPr>
          <w:rFonts w:ascii="Times New Roman" w:hAnsi="Times New Roman" w:cs="Times New Roman"/>
          <w:lang w:val="en-US"/>
        </w:rPr>
        <w:t xml:space="preserve">, while depression </w:t>
      </w:r>
      <w:r w:rsidR="00C408EE" w:rsidRPr="00B22C17">
        <w:rPr>
          <w:rFonts w:ascii="Times New Roman" w:hAnsi="Times New Roman" w:cs="Times New Roman"/>
          <w:lang w:val="en-US"/>
        </w:rPr>
        <w:t>leads to</w:t>
      </w:r>
      <w:r w:rsidR="00420369" w:rsidRPr="00B22C17">
        <w:rPr>
          <w:rFonts w:ascii="Times New Roman" w:hAnsi="Times New Roman" w:cs="Times New Roman"/>
          <w:lang w:val="en-US"/>
        </w:rPr>
        <w:t xml:space="preserve"> decreased workplace presenteeism</w:t>
      </w:r>
      <w:r w:rsidR="00A26101" w:rsidRPr="00B22C17">
        <w:rPr>
          <w:rFonts w:ascii="Times New Roman" w:hAnsi="Times New Roman" w:cs="Times New Roman"/>
          <w:lang w:val="en-US"/>
        </w:rPr>
        <w:t xml:space="preserve"> </w:t>
      </w:r>
      <w:r w:rsidR="00A26101" w:rsidRPr="00B22C17">
        <w:rPr>
          <w:rFonts w:ascii="Times New Roman" w:hAnsi="Times New Roman" w:cs="Times New Roman"/>
          <w:lang w:val="en-US"/>
        </w:rPr>
        <w:fldChar w:fldCharType="begin"/>
      </w:r>
      <w:r w:rsidR="00A26101" w:rsidRPr="00B22C17">
        <w:rPr>
          <w:rFonts w:ascii="Times New Roman" w:hAnsi="Times New Roman" w:cs="Times New Roman"/>
          <w:lang w:val="en-US"/>
        </w:rPr>
        <w:instrText xml:space="preserve"> ADDIN ZOTERO_ITEM CSL_CITATION {"citationID":"FEiuGLSp","properties":{"formattedCitation":"[12]","plainCitation":"[12]","noteIndex":0},"citationItems":[{"id":20261,"uris":["http://zotero.org/users/local/hhPVnw6l/items/4WT66YBA"],"uri":["http://zotero.org/users/local/hhPVnw6l/items/4WT66YBA"],"itemData":{"id":20261,"type":"article-journal","abstract":"Background\nMental health problems are common within the working population. Depression is both highly prevalent and debilitating and is linked to increases in absenteeism and presenteeism. The use of summed depression scale scores may conceal differential impacts of depressive symptoms on absenteeism and presenteeism. We aimed to explore both the relationship between absenteeism and presenteeism and both depression severity, along with the independent contributions of different symptoms.\nMethods\nParticipants (N = 4953) were employees recruited as part of a larger study to evaluate a mental health smartphone app and were recruited via industry partner organisations and social media. Participants completed in-app assessment which included demographic information, the Patient Health Questionnaire-9 depression tool, and items of the World Health Organization Health and Work Performance Questionnaire. The relationship between depressive symptoms, absenteeism and presenteeism was estimated using both total summed scores and individual symptoms of depression.\nResults\nUnivariate linear regression confirmed a negative linear relationship between depression severity and presenteeism, which remained significant after controlling for age, gender, industry, and work position. Similarly, there was a statistically significant relationship between depression severity and the amount of mental health related sickness absence taken over the preceding 28 days. Johnson's relative weights analysis showed contributory differences amongst depression symptoms in relation to presenteeism and absenteeism.\nDiscussion\nSignificant relationships between depression severity and both absenteeism and presenteeism were present indicating increases in absence and decreases in performance with increasing severity. There existed differences amongst the contribution of specific symptoms of depression to both outcomes of interest. The symptoms that contribute most to absence were more behavioural in nature, whilst those contributing most to presenteeism were more cognitive. These findings have practical implications for clinicians and employers in making treatment and return-to-work decisions.","container-title":"Journal of Affective Disorders","DOI":"10.1016/j.jad.2019.06.041","ISSN":"0165-0327","journalAbbreviation":"Journal of Affective Disorders","language":"en","page":"536-540","source":"ScienceDirect","title":"The relationship between depression symptoms, absenteeism and presenteeism","volume":"256","author":[{"family":"Johnston","given":"D. A."},{"family":"Harvey","given":"S. B."},{"family":"Glozier","given":"N."},{"family":"Calvo","given":"R. A."},{"family":"Christensen","given":"H."},{"family":"Deady","given":"M."}],"issued":{"date-parts":[["2019",9,1]]}}}],"schema":"https://github.com/citation-style-language/schema/raw/master/csl-citation.json"} </w:instrText>
      </w:r>
      <w:r w:rsidR="00A26101" w:rsidRPr="00B22C17">
        <w:rPr>
          <w:rFonts w:ascii="Times New Roman" w:hAnsi="Times New Roman" w:cs="Times New Roman"/>
          <w:lang w:val="en-US"/>
        </w:rPr>
        <w:fldChar w:fldCharType="separate"/>
      </w:r>
      <w:r w:rsidR="00A26101" w:rsidRPr="00B22C17">
        <w:rPr>
          <w:rFonts w:ascii="Times New Roman" w:hAnsi="Times New Roman" w:cs="Times New Roman"/>
          <w:noProof/>
          <w:lang w:val="en-US"/>
        </w:rPr>
        <w:t>[12]</w:t>
      </w:r>
      <w:r w:rsidR="00A26101" w:rsidRPr="00B22C17">
        <w:rPr>
          <w:rFonts w:ascii="Times New Roman" w:hAnsi="Times New Roman" w:cs="Times New Roman"/>
          <w:lang w:val="en-US"/>
        </w:rPr>
        <w:fldChar w:fldCharType="end"/>
      </w:r>
      <w:r w:rsidR="0075020A" w:rsidRPr="00B22C17">
        <w:rPr>
          <w:rFonts w:ascii="Times New Roman" w:hAnsi="Times New Roman" w:cs="Times New Roman"/>
          <w:lang w:val="en-US"/>
        </w:rPr>
        <w:t>.</w:t>
      </w:r>
      <w:r w:rsidR="00420369" w:rsidRPr="00B22C17">
        <w:rPr>
          <w:rFonts w:ascii="Times New Roman" w:hAnsi="Times New Roman" w:cs="Times New Roman"/>
          <w:lang w:val="en-US"/>
        </w:rPr>
        <w:t xml:space="preserve"> In this context, </w:t>
      </w:r>
      <w:r w:rsidR="00390F06" w:rsidRPr="00B22C17">
        <w:rPr>
          <w:rFonts w:ascii="Times New Roman" w:hAnsi="Times New Roman" w:cs="Times New Roman"/>
          <w:lang w:val="en-US"/>
        </w:rPr>
        <w:t xml:space="preserve">psychological interventions are </w:t>
      </w:r>
      <w:r w:rsidR="005D5B61" w:rsidRPr="00B22C17">
        <w:rPr>
          <w:rFonts w:ascii="Times New Roman" w:hAnsi="Times New Roman" w:cs="Times New Roman"/>
          <w:lang w:val="en-US"/>
        </w:rPr>
        <w:t xml:space="preserve">also </w:t>
      </w:r>
      <w:r w:rsidR="00390F06" w:rsidRPr="00B22C17">
        <w:rPr>
          <w:rFonts w:ascii="Times New Roman" w:hAnsi="Times New Roman" w:cs="Times New Roman"/>
          <w:lang w:val="en-US"/>
        </w:rPr>
        <w:t>an important aspect of the management of BNP, and these interventions may include</w:t>
      </w:r>
      <w:r w:rsidR="00CE7FD9" w:rsidRPr="00B22C17">
        <w:rPr>
          <w:rFonts w:ascii="Times New Roman" w:hAnsi="Times New Roman" w:cs="Times New Roman"/>
          <w:lang w:val="en-US"/>
        </w:rPr>
        <w:t xml:space="preserve"> behavioural therapy, fear-avoidance training and patient education </w:t>
      </w:r>
      <w:r w:rsidR="00225F01" w:rsidRPr="00B22C17">
        <w:rPr>
          <w:rFonts w:ascii="Times New Roman" w:hAnsi="Times New Roman" w:cs="Times New Roman"/>
          <w:lang w:val="en-US"/>
        </w:rPr>
        <w:fldChar w:fldCharType="begin"/>
      </w:r>
      <w:r w:rsidR="00BF44AB" w:rsidRPr="00B22C17">
        <w:rPr>
          <w:rFonts w:ascii="Times New Roman" w:hAnsi="Times New Roman" w:cs="Times New Roman"/>
          <w:lang w:val="en-US"/>
        </w:rPr>
        <w:instrText xml:space="preserve"> ADDIN ZOTERO_ITEM CSL_CITATION {"citationID":"WGTQdM94","properties":{"formattedCitation":"[40]","plainCitation":"[40]","noteIndex":0},"citationItems":[{"id":21612,"uris":["http://zotero.org/users/local/hhPVnw6l/items/Q5T9SHUS"],"uri":["http://zotero.org/users/local/hhPVnw6l/items/Q5T9SHUS"],"itemData":{"id":21612,"type":"article-journal","abstract":"The purpose of the article is to summarize evidence and recommendations for psychological interventions in the rehabilitation of patients with chronic low back pain. We carried out a systematic literature search in several databases and on the websites of professional associations to identify relevant reviews and guidelines. In addition to the electronic search, a handsearch was carried out. Eligible publications were selected. We extracted and summarized both evidence for psychological interventions and recommendations on psychological diagnostics and interventions. Six systematic reviews and 14 guidelines were included. We collected recommendations and partially restricted evidence on the following psychological interventions: behavioural therapy, fear-avoidance training, stress management, relaxation therapy, patient education and back school. Most available evidence for psychological interventions in the rehabilitation of patients with chronic low back pain is of moderate to low quality. In addition, some of the older evidence is inapplicable to modern interventions using a biopsychosocial approach. Thus, high quality and current evidence is needed. The summary of guidelines shows that multimodal, multidisciplinary programmes including psychological interventions have become standard in the rehabilitation of patients with chronic low back pain. In most guidelines, however, there are no recommendations on which (psychological) intervention should be considered for which specific problem (problem-treatment pairs). Suggestions for future research and future guidelines are made.","container-title":"International Journal of Rehabilitation Research. Internationale Zeitschrift Fur Rehabilitationsforschung. Revue Internationale De Recherches De Readaptation","DOI":"10.1097/MRR.0b013e32835acfec","ISSN":"1473-5660","issue":"1","journalAbbreviation":"Int J Rehabil Res","language":"eng","note":"PMID: 23168359","page":"6-12","source":"PubMed","title":"Psychological interventions in the rehabilitation of patients with chronic low back pain:  evidence and recommendations from systematic reviews and guidelines","title-short":"Psychological interventions in the rehabilitation of patients with chronic low back pain","volume":"36","author":[{"family":"Reese","given":"Christina"},{"family":"Mittag","given":"Oskar"}],"issued":{"date-parts":[["2013",3]]}}}],"schema":"https://github.com/citation-style-language/schema/raw/master/csl-citation.json"} </w:instrText>
      </w:r>
      <w:r w:rsidR="00225F01" w:rsidRPr="00B22C17">
        <w:rPr>
          <w:rFonts w:ascii="Times New Roman" w:hAnsi="Times New Roman" w:cs="Times New Roman"/>
          <w:lang w:val="en-US"/>
        </w:rPr>
        <w:fldChar w:fldCharType="separate"/>
      </w:r>
      <w:r w:rsidR="00BF44AB" w:rsidRPr="00B22C17">
        <w:rPr>
          <w:rFonts w:ascii="Times New Roman" w:hAnsi="Times New Roman" w:cs="Times New Roman"/>
          <w:noProof/>
          <w:lang w:val="en-US"/>
        </w:rPr>
        <w:t>[40]</w:t>
      </w:r>
      <w:r w:rsidR="00225F01" w:rsidRPr="00B22C17">
        <w:rPr>
          <w:rFonts w:ascii="Times New Roman" w:hAnsi="Times New Roman" w:cs="Times New Roman"/>
          <w:lang w:val="en-US"/>
        </w:rPr>
        <w:fldChar w:fldCharType="end"/>
      </w:r>
      <w:r w:rsidR="00390F06" w:rsidRPr="00B22C17">
        <w:rPr>
          <w:rFonts w:ascii="Times New Roman" w:hAnsi="Times New Roman" w:cs="Times New Roman"/>
          <w:lang w:val="en-US"/>
        </w:rPr>
        <w:t>.</w:t>
      </w:r>
    </w:p>
    <w:p w14:paraId="26FFAD76" w14:textId="77777777" w:rsidR="00AC18E2" w:rsidRPr="00B22C17" w:rsidRDefault="00AC18E2" w:rsidP="00374687">
      <w:pPr>
        <w:spacing w:line="480" w:lineRule="auto"/>
        <w:jc w:val="both"/>
        <w:rPr>
          <w:rFonts w:ascii="Times New Roman" w:hAnsi="Times New Roman" w:cs="Times New Roman"/>
          <w:lang w:val="en-US"/>
        </w:rPr>
      </w:pPr>
    </w:p>
    <w:p w14:paraId="11C86FE8" w14:textId="1F25EA54" w:rsidR="008E6ACD" w:rsidRPr="00B22C17" w:rsidRDefault="00B8493F" w:rsidP="00374687">
      <w:pPr>
        <w:spacing w:line="480" w:lineRule="auto"/>
        <w:jc w:val="both"/>
        <w:rPr>
          <w:rFonts w:ascii="Times New Roman" w:hAnsi="Times New Roman" w:cs="Times New Roman"/>
          <w:lang w:val="en-US"/>
        </w:rPr>
      </w:pPr>
      <w:r w:rsidRPr="00B22C17">
        <w:rPr>
          <w:rFonts w:ascii="Times New Roman" w:hAnsi="Times New Roman" w:cs="Times New Roman"/>
          <w:lang w:val="en-US"/>
        </w:rPr>
        <w:t>Two</w:t>
      </w:r>
      <w:r w:rsidR="00AC18E2" w:rsidRPr="00B22C17">
        <w:rPr>
          <w:rFonts w:ascii="Times New Roman" w:hAnsi="Times New Roman" w:cs="Times New Roman"/>
          <w:lang w:val="en-US"/>
        </w:rPr>
        <w:t xml:space="preserve"> strength</w:t>
      </w:r>
      <w:r w:rsidRPr="00B22C17">
        <w:rPr>
          <w:rFonts w:ascii="Times New Roman" w:hAnsi="Times New Roman" w:cs="Times New Roman"/>
          <w:lang w:val="en-US"/>
        </w:rPr>
        <w:t>s</w:t>
      </w:r>
      <w:r w:rsidR="00AC18E2" w:rsidRPr="00B22C17">
        <w:rPr>
          <w:rFonts w:ascii="Times New Roman" w:hAnsi="Times New Roman" w:cs="Times New Roman"/>
          <w:lang w:val="en-US"/>
        </w:rPr>
        <w:t xml:space="preserve"> of the present study </w:t>
      </w:r>
      <w:r w:rsidR="00BA2382" w:rsidRPr="00B22C17">
        <w:rPr>
          <w:rFonts w:ascii="Times New Roman" w:hAnsi="Times New Roman" w:cs="Times New Roman"/>
          <w:lang w:val="en-US"/>
        </w:rPr>
        <w:t>are</w:t>
      </w:r>
      <w:r w:rsidR="00AC18E2" w:rsidRPr="00B22C17">
        <w:rPr>
          <w:rFonts w:ascii="Times New Roman" w:hAnsi="Times New Roman" w:cs="Times New Roman"/>
          <w:lang w:val="en-US"/>
        </w:rPr>
        <w:t xml:space="preserve"> the </w:t>
      </w:r>
      <w:r w:rsidR="00E47735" w:rsidRPr="00B22C17">
        <w:rPr>
          <w:rFonts w:ascii="Times New Roman" w:hAnsi="Times New Roman" w:cs="Times New Roman"/>
          <w:lang w:val="en-US"/>
        </w:rPr>
        <w:t>use of a large sample size</w:t>
      </w:r>
      <w:r w:rsidR="00AC18E2" w:rsidRPr="00B22C17">
        <w:rPr>
          <w:rFonts w:ascii="Times New Roman" w:hAnsi="Times New Roman" w:cs="Times New Roman"/>
          <w:lang w:val="en-US"/>
        </w:rPr>
        <w:t xml:space="preserve"> and the investigation of novel influential factors between </w:t>
      </w:r>
      <w:r w:rsidR="005F3315" w:rsidRPr="00B22C17">
        <w:rPr>
          <w:rFonts w:ascii="Times New Roman" w:hAnsi="Times New Roman" w:cs="Times New Roman"/>
          <w:lang w:val="en-US"/>
        </w:rPr>
        <w:t>BNP</w:t>
      </w:r>
      <w:r w:rsidR="00AC18E2" w:rsidRPr="00B22C17">
        <w:rPr>
          <w:rFonts w:ascii="Times New Roman" w:hAnsi="Times New Roman" w:cs="Times New Roman"/>
          <w:lang w:val="en-US"/>
        </w:rPr>
        <w:t xml:space="preserve"> and </w:t>
      </w:r>
      <w:r w:rsidR="0054730A" w:rsidRPr="00B22C17">
        <w:rPr>
          <w:rFonts w:ascii="Times New Roman" w:hAnsi="Times New Roman" w:cs="Times New Roman"/>
          <w:lang w:val="en-US"/>
        </w:rPr>
        <w:t xml:space="preserve">workplace </w:t>
      </w:r>
      <w:r w:rsidR="00AC18E2" w:rsidRPr="00B22C17">
        <w:rPr>
          <w:rFonts w:ascii="Times New Roman" w:hAnsi="Times New Roman" w:cs="Times New Roman"/>
          <w:lang w:val="en-US"/>
        </w:rPr>
        <w:t>absenteeism. However, findings from the present study must be interpreted in light of its limitations. First</w:t>
      </w:r>
      <w:r w:rsidR="004A0D3C" w:rsidRPr="00B22C17">
        <w:rPr>
          <w:rFonts w:ascii="Times New Roman" w:hAnsi="Times New Roman" w:cs="Times New Roman"/>
          <w:lang w:val="en-US"/>
        </w:rPr>
        <w:t>ly</w:t>
      </w:r>
      <w:r w:rsidR="00AC18E2" w:rsidRPr="00B22C17">
        <w:rPr>
          <w:rFonts w:ascii="Times New Roman" w:hAnsi="Times New Roman" w:cs="Times New Roman"/>
          <w:lang w:val="en-US"/>
        </w:rPr>
        <w:t xml:space="preserve">, all variables included in </w:t>
      </w:r>
      <w:r w:rsidR="00FF1058" w:rsidRPr="00B22C17">
        <w:rPr>
          <w:rFonts w:ascii="Times New Roman" w:hAnsi="Times New Roman" w:cs="Times New Roman"/>
          <w:lang w:val="en-US"/>
        </w:rPr>
        <w:t xml:space="preserve">the </w:t>
      </w:r>
      <w:r w:rsidR="00AC18E2" w:rsidRPr="00B22C17">
        <w:rPr>
          <w:rFonts w:ascii="Times New Roman" w:hAnsi="Times New Roman" w:cs="Times New Roman"/>
          <w:lang w:val="en-US"/>
        </w:rPr>
        <w:t>statistical analyses were self-reported</w:t>
      </w:r>
      <w:r w:rsidR="00C463FD" w:rsidRPr="00B22C17">
        <w:rPr>
          <w:rFonts w:ascii="Times New Roman" w:hAnsi="Times New Roman" w:cs="Times New Roman"/>
          <w:lang w:val="en-US"/>
        </w:rPr>
        <w:t>,</w:t>
      </w:r>
      <w:r w:rsidR="00AC18E2" w:rsidRPr="00B22C17">
        <w:rPr>
          <w:rFonts w:ascii="Times New Roman" w:hAnsi="Times New Roman" w:cs="Times New Roman"/>
          <w:lang w:val="en-US"/>
        </w:rPr>
        <w:t xml:space="preserve"> potentially introducing reporting and recall bias into the findings. Second</w:t>
      </w:r>
      <w:r w:rsidR="004A0D3C" w:rsidRPr="00B22C17">
        <w:rPr>
          <w:rFonts w:ascii="Times New Roman" w:hAnsi="Times New Roman" w:cs="Times New Roman"/>
          <w:lang w:val="en-US"/>
        </w:rPr>
        <w:t>ly</w:t>
      </w:r>
      <w:r w:rsidR="00AC18E2" w:rsidRPr="00B22C17">
        <w:rPr>
          <w:rFonts w:ascii="Times New Roman" w:hAnsi="Times New Roman" w:cs="Times New Roman"/>
          <w:lang w:val="en-US"/>
        </w:rPr>
        <w:t>, the measure o</w:t>
      </w:r>
      <w:r w:rsidR="004A0D3C" w:rsidRPr="00B22C17">
        <w:rPr>
          <w:rFonts w:ascii="Times New Roman" w:hAnsi="Times New Roman" w:cs="Times New Roman"/>
          <w:lang w:val="en-US"/>
        </w:rPr>
        <w:t>f</w:t>
      </w:r>
      <w:r w:rsidR="00AC18E2" w:rsidRPr="00B22C17">
        <w:rPr>
          <w:rFonts w:ascii="Times New Roman" w:hAnsi="Times New Roman" w:cs="Times New Roman"/>
          <w:lang w:val="en-US"/>
        </w:rPr>
        <w:t xml:space="preserve"> </w:t>
      </w:r>
      <w:r w:rsidR="00693AA8" w:rsidRPr="00B22C17">
        <w:rPr>
          <w:rFonts w:ascii="Times New Roman" w:hAnsi="Times New Roman" w:cs="Times New Roman"/>
          <w:lang w:val="en-US"/>
        </w:rPr>
        <w:t>BNP</w:t>
      </w:r>
      <w:r w:rsidR="00AC18E2" w:rsidRPr="00B22C17">
        <w:rPr>
          <w:rFonts w:ascii="Times New Roman" w:hAnsi="Times New Roman" w:cs="Times New Roman"/>
          <w:lang w:val="en-US"/>
        </w:rPr>
        <w:t xml:space="preserve"> </w:t>
      </w:r>
      <w:r w:rsidR="00CA49F7" w:rsidRPr="00B22C17">
        <w:rPr>
          <w:rFonts w:ascii="Times New Roman" w:hAnsi="Times New Roman" w:cs="Times New Roman"/>
          <w:lang w:val="en-US"/>
        </w:rPr>
        <w:t xml:space="preserve">indifferently </w:t>
      </w:r>
      <w:r w:rsidR="00AC18E2" w:rsidRPr="00B22C17">
        <w:rPr>
          <w:rFonts w:ascii="Times New Roman" w:hAnsi="Times New Roman" w:cs="Times New Roman"/>
          <w:lang w:val="en-US"/>
        </w:rPr>
        <w:t xml:space="preserve">included all </w:t>
      </w:r>
      <w:r w:rsidR="00C46CA2" w:rsidRPr="00B22C17">
        <w:rPr>
          <w:rFonts w:ascii="Times New Roman" w:hAnsi="Times New Roman" w:cs="Times New Roman"/>
          <w:lang w:val="en-US"/>
        </w:rPr>
        <w:t xml:space="preserve">types of </w:t>
      </w:r>
      <w:r w:rsidR="00EB1921" w:rsidRPr="00B22C17">
        <w:rPr>
          <w:rFonts w:ascii="Times New Roman" w:hAnsi="Times New Roman" w:cs="Times New Roman"/>
          <w:lang w:val="en-US"/>
        </w:rPr>
        <w:t xml:space="preserve">pain of the back and the neck. </w:t>
      </w:r>
      <w:r w:rsidR="00B1422A" w:rsidRPr="00B22C17">
        <w:rPr>
          <w:rFonts w:ascii="Times New Roman" w:hAnsi="Times New Roman" w:cs="Times New Roman"/>
          <w:lang w:val="en-US"/>
        </w:rPr>
        <w:t xml:space="preserve">Given that the </w:t>
      </w:r>
      <w:r w:rsidR="004554E0" w:rsidRPr="00B22C17">
        <w:rPr>
          <w:rFonts w:ascii="Times New Roman" w:hAnsi="Times New Roman" w:cs="Times New Roman"/>
          <w:lang w:val="en-US"/>
        </w:rPr>
        <w:t xml:space="preserve">deleterious </w:t>
      </w:r>
      <w:r w:rsidR="00B1422A" w:rsidRPr="00B22C17">
        <w:rPr>
          <w:rFonts w:ascii="Times New Roman" w:hAnsi="Times New Roman" w:cs="Times New Roman"/>
          <w:lang w:val="en-US"/>
        </w:rPr>
        <w:t>effects of BNP on workplace absenteeism may differ by</w:t>
      </w:r>
      <w:r w:rsidR="004554E0" w:rsidRPr="00B22C17">
        <w:rPr>
          <w:rFonts w:ascii="Times New Roman" w:hAnsi="Times New Roman" w:cs="Times New Roman"/>
          <w:lang w:val="en-US"/>
        </w:rPr>
        <w:t xml:space="preserve"> type and severity of </w:t>
      </w:r>
      <w:r w:rsidR="00A3045E" w:rsidRPr="00B22C17">
        <w:rPr>
          <w:rFonts w:ascii="Times New Roman" w:hAnsi="Times New Roman" w:cs="Times New Roman"/>
          <w:lang w:val="en-US"/>
        </w:rPr>
        <w:t>pain</w:t>
      </w:r>
      <w:r w:rsidR="004554E0" w:rsidRPr="00B22C17">
        <w:rPr>
          <w:rFonts w:ascii="Times New Roman" w:hAnsi="Times New Roman" w:cs="Times New Roman"/>
          <w:lang w:val="en-US"/>
        </w:rPr>
        <w:t xml:space="preserve">, more </w:t>
      </w:r>
      <w:r w:rsidR="00914731" w:rsidRPr="00B22C17">
        <w:rPr>
          <w:rFonts w:ascii="Times New Roman" w:hAnsi="Times New Roman" w:cs="Times New Roman"/>
          <w:lang w:val="en-US"/>
        </w:rPr>
        <w:t xml:space="preserve">data on </w:t>
      </w:r>
      <w:r w:rsidR="004554E0" w:rsidRPr="00B22C17">
        <w:rPr>
          <w:rFonts w:ascii="Times New Roman" w:hAnsi="Times New Roman" w:cs="Times New Roman"/>
          <w:lang w:val="en-US"/>
        </w:rPr>
        <w:t>BNP</w:t>
      </w:r>
      <w:r w:rsidR="00914731" w:rsidRPr="00B22C17">
        <w:rPr>
          <w:rFonts w:ascii="Times New Roman" w:hAnsi="Times New Roman" w:cs="Times New Roman"/>
          <w:lang w:val="en-US"/>
        </w:rPr>
        <w:t xml:space="preserve"> may have allowed more detailed analyses and have strengthened the study results. </w:t>
      </w:r>
      <w:r w:rsidR="00FF62EF" w:rsidRPr="00B22C17">
        <w:rPr>
          <w:rFonts w:ascii="Times New Roman" w:hAnsi="Times New Roman" w:cs="Times New Roman"/>
          <w:lang w:val="en-US"/>
        </w:rPr>
        <w:t xml:space="preserve">Thirdly, there was no data on </w:t>
      </w:r>
      <w:r w:rsidR="00E33F93" w:rsidRPr="00B22C17">
        <w:rPr>
          <w:rFonts w:ascii="Times New Roman" w:hAnsi="Times New Roman" w:cs="Times New Roman"/>
          <w:lang w:val="en-US"/>
        </w:rPr>
        <w:t xml:space="preserve">financial </w:t>
      </w:r>
      <w:r w:rsidR="00FF62EF" w:rsidRPr="00B22C17">
        <w:rPr>
          <w:rFonts w:ascii="Times New Roman" w:hAnsi="Times New Roman" w:cs="Times New Roman"/>
          <w:lang w:val="en-US"/>
        </w:rPr>
        <w:t>compensations</w:t>
      </w:r>
      <w:r w:rsidR="00306215" w:rsidRPr="00B22C17">
        <w:rPr>
          <w:rFonts w:ascii="Times New Roman" w:hAnsi="Times New Roman" w:cs="Times New Roman"/>
          <w:lang w:val="en-US"/>
        </w:rPr>
        <w:t xml:space="preserve"> potentially</w:t>
      </w:r>
      <w:r w:rsidR="00FF62EF" w:rsidRPr="00B22C17">
        <w:rPr>
          <w:rFonts w:ascii="Times New Roman" w:hAnsi="Times New Roman" w:cs="Times New Roman"/>
          <w:lang w:val="en-US"/>
        </w:rPr>
        <w:t xml:space="preserve"> received when </w:t>
      </w:r>
      <w:r w:rsidR="00306215" w:rsidRPr="00B22C17">
        <w:rPr>
          <w:rFonts w:ascii="Times New Roman" w:hAnsi="Times New Roman" w:cs="Times New Roman"/>
          <w:lang w:val="en-US"/>
        </w:rPr>
        <w:t>people</w:t>
      </w:r>
      <w:r w:rsidR="00FF62EF" w:rsidRPr="00B22C17">
        <w:rPr>
          <w:rFonts w:ascii="Times New Roman" w:hAnsi="Times New Roman" w:cs="Times New Roman"/>
          <w:lang w:val="en-US"/>
        </w:rPr>
        <w:t xml:space="preserve"> were away from work, although these </w:t>
      </w:r>
      <w:r w:rsidR="00306215" w:rsidRPr="00B22C17">
        <w:rPr>
          <w:rFonts w:ascii="Times New Roman" w:hAnsi="Times New Roman" w:cs="Times New Roman"/>
          <w:lang w:val="en-US"/>
        </w:rPr>
        <w:t xml:space="preserve">financial </w:t>
      </w:r>
      <w:r w:rsidR="00FF62EF" w:rsidRPr="00B22C17">
        <w:rPr>
          <w:rFonts w:ascii="Times New Roman" w:hAnsi="Times New Roman" w:cs="Times New Roman"/>
          <w:lang w:val="en-US"/>
        </w:rPr>
        <w:t xml:space="preserve">compensations may have impacted </w:t>
      </w:r>
      <w:r w:rsidR="00A00D5C" w:rsidRPr="00B22C17">
        <w:rPr>
          <w:rFonts w:ascii="Times New Roman" w:hAnsi="Times New Roman" w:cs="Times New Roman"/>
          <w:lang w:val="en-US"/>
        </w:rPr>
        <w:t xml:space="preserve">the odds of </w:t>
      </w:r>
      <w:r w:rsidR="00FF62EF" w:rsidRPr="00B22C17">
        <w:rPr>
          <w:rFonts w:ascii="Times New Roman" w:hAnsi="Times New Roman" w:cs="Times New Roman"/>
          <w:lang w:val="en-US"/>
        </w:rPr>
        <w:t>workplace absenteeism. Fourthly</w:t>
      </w:r>
      <w:r w:rsidR="008E6ACD" w:rsidRPr="00B22C17">
        <w:rPr>
          <w:rFonts w:ascii="Times New Roman" w:hAnsi="Times New Roman" w:cs="Times New Roman"/>
          <w:lang w:val="en-US"/>
        </w:rPr>
        <w:t xml:space="preserve">, all </w:t>
      </w:r>
      <w:r w:rsidR="006B4D99" w:rsidRPr="00B22C17">
        <w:rPr>
          <w:rFonts w:ascii="Times New Roman" w:hAnsi="Times New Roman" w:cs="Times New Roman"/>
          <w:lang w:val="en-US"/>
        </w:rPr>
        <w:t xml:space="preserve">of the </w:t>
      </w:r>
      <w:r w:rsidR="004A0D3C" w:rsidRPr="00B22C17">
        <w:rPr>
          <w:rFonts w:ascii="Times New Roman" w:hAnsi="Times New Roman" w:cs="Times New Roman"/>
          <w:lang w:val="en-US"/>
        </w:rPr>
        <w:t xml:space="preserve">mediating </w:t>
      </w:r>
      <w:r w:rsidR="008E6ACD" w:rsidRPr="00B22C17">
        <w:rPr>
          <w:rFonts w:ascii="Times New Roman" w:hAnsi="Times New Roman" w:cs="Times New Roman"/>
          <w:lang w:val="en-US"/>
        </w:rPr>
        <w:t xml:space="preserve">variables studied could explain </w:t>
      </w:r>
      <w:r w:rsidR="006B4D99" w:rsidRPr="00B22C17">
        <w:rPr>
          <w:rFonts w:ascii="Times New Roman" w:hAnsi="Times New Roman" w:cs="Times New Roman"/>
          <w:lang w:val="en-US"/>
        </w:rPr>
        <w:t xml:space="preserve">only </w:t>
      </w:r>
      <w:r w:rsidR="008E6ACD" w:rsidRPr="00B22C17">
        <w:rPr>
          <w:rFonts w:ascii="Times New Roman" w:hAnsi="Times New Roman" w:cs="Times New Roman"/>
          <w:lang w:val="en-US"/>
        </w:rPr>
        <w:t xml:space="preserve">66% </w:t>
      </w:r>
      <w:r w:rsidR="00690D17" w:rsidRPr="00B22C17">
        <w:rPr>
          <w:rFonts w:ascii="Times New Roman" w:hAnsi="Times New Roman" w:cs="Times New Roman"/>
          <w:lang w:val="en-US"/>
        </w:rPr>
        <w:t>of the association</w:t>
      </w:r>
      <w:r w:rsidR="00814452" w:rsidRPr="00B22C17">
        <w:rPr>
          <w:rFonts w:ascii="Times New Roman" w:hAnsi="Times New Roman" w:cs="Times New Roman"/>
          <w:lang w:val="en-US"/>
        </w:rPr>
        <w:t>,</w:t>
      </w:r>
      <w:r w:rsidR="008E6ACD" w:rsidRPr="00B22C17">
        <w:rPr>
          <w:rFonts w:ascii="Times New Roman" w:hAnsi="Times New Roman" w:cs="Times New Roman"/>
          <w:lang w:val="en-US"/>
        </w:rPr>
        <w:t xml:space="preserve"> leaving 34% unaccounted for. Future research should hypothesize other potential influential variables and investigate their potential contribution to the association between </w:t>
      </w:r>
      <w:r w:rsidR="00E97C87" w:rsidRPr="00B22C17">
        <w:rPr>
          <w:rFonts w:ascii="Times New Roman" w:hAnsi="Times New Roman" w:cs="Times New Roman"/>
          <w:lang w:val="en-US"/>
        </w:rPr>
        <w:t>BNP</w:t>
      </w:r>
      <w:r w:rsidR="008E6ACD" w:rsidRPr="00B22C17">
        <w:rPr>
          <w:rFonts w:ascii="Times New Roman" w:hAnsi="Times New Roman" w:cs="Times New Roman"/>
          <w:lang w:val="en-US"/>
        </w:rPr>
        <w:t xml:space="preserve"> and </w:t>
      </w:r>
      <w:r w:rsidR="0054730A" w:rsidRPr="00B22C17">
        <w:rPr>
          <w:rFonts w:ascii="Times New Roman" w:hAnsi="Times New Roman" w:cs="Times New Roman"/>
          <w:lang w:val="en-US"/>
        </w:rPr>
        <w:t xml:space="preserve">workplace </w:t>
      </w:r>
      <w:r w:rsidR="008E6ACD" w:rsidRPr="00B22C17">
        <w:rPr>
          <w:rFonts w:ascii="Times New Roman" w:hAnsi="Times New Roman" w:cs="Times New Roman"/>
          <w:lang w:val="en-US"/>
        </w:rPr>
        <w:t>absenteeism.</w:t>
      </w:r>
      <w:r w:rsidR="000D43E0" w:rsidRPr="00B22C17">
        <w:rPr>
          <w:rFonts w:ascii="Times New Roman" w:hAnsi="Times New Roman" w:cs="Times New Roman"/>
          <w:lang w:val="en-US"/>
        </w:rPr>
        <w:t xml:space="preserve"> Fifthly, although the prevalence of BNP is relatively high in military personnel</w:t>
      </w:r>
      <w:r w:rsidR="00987C27" w:rsidRPr="00B22C17">
        <w:rPr>
          <w:rFonts w:ascii="Times New Roman" w:hAnsi="Times New Roman" w:cs="Times New Roman"/>
          <w:lang w:val="en-US"/>
        </w:rPr>
        <w:t xml:space="preserve"> </w:t>
      </w:r>
      <w:r w:rsidR="00987C27" w:rsidRPr="00B22C17">
        <w:rPr>
          <w:rFonts w:ascii="Times New Roman" w:hAnsi="Times New Roman" w:cs="Times New Roman"/>
          <w:lang w:val="en-US"/>
        </w:rPr>
        <w:fldChar w:fldCharType="begin"/>
      </w:r>
      <w:r w:rsidR="00BF44AB" w:rsidRPr="00B22C17">
        <w:rPr>
          <w:rFonts w:ascii="Times New Roman" w:hAnsi="Times New Roman" w:cs="Times New Roman"/>
          <w:lang w:val="en-US"/>
        </w:rPr>
        <w:instrText xml:space="preserve"> ADDIN ZOTERO_ITEM CSL_CITATION {"citationID":"5BxKtGGj","properties":{"formattedCitation":"[41]","plainCitation":"[41]","noteIndex":0},"citationItems":[{"id":21601,"uris":["http://zotero.org/users/local/hhPVnw6l/items/RKCA2F45"],"uri":["http://zotero.org/users/local/hhPVnw6l/items/RKCA2F45"],"itemData":{"id":21601,"type":"article-journal","abstract":"INTRODUCTION: Soldiers are at risk for acute and chronic pain due to the mental and physical challenges of military duties and ongoing training for force readiness. With the burden of pain on any individual attributable across pain sources, a broad perspective that goes beyond prior characterizations of pain is important. We aim to further the understanding of pain's effects among non-deployed active duty soldiers and the Military Health System (MHS), by describing prevalence of 10 painful conditions, reported pain levels, duration of pain and impact of pain on military duty limitations.\nMETHODS: Data are from the MHS Data Repository including outpatient MHS direct care encounters, claims for outpatient purchased care from civilian providers, and vital records, for all soldiers continuously enrolled in TRICARE and not deployed in FY 2012. Ten pain-related diagnostic categories were conceptually derived for this analysis and identified using ICD-9-CM diagnostic codes. We report the FY 2012 prevalence at the soldier-level (N = 297,120) for each pain category as a primary diagnosis, as well as in any diagnostic position, and at the soldier-level for reported pain level, duration, and military duty limitations. Institutional Review Board approval was obtained prior to analyses.\nRESULTS: Overall, 63% of soldiers had at least one pain diagnosis and 59% had a primary pain diagnosis during FY 2012. Back and neck pain (22%), non-traumatic joint disorders (28%), and other musculoskeletal pain (30%) were the most frequent categories for primary diagnosis. Nearly two-thirds of soldiers had a primary pain diagnosis in more than one category, and 23% in four or more categories. Moderate or severe pain levels were reported at least once during the year by 55% of soldiers who had a primary pain diagnosis. In the subsample of soldiers with primary pain in the first quarter, duration and chronicity of pain diagnoses varied by pain category: the back and neck pain category was the most common for both persistent pain occurring in each quarter of FY 2012 (23%) and chronic pain lasting for at least 3 mo (62%). In most pain categories, the majority of soldiers were released without duty limitations.\nCONCLUSION: These data provide a deeper understanding of pain diagnoses and burden of pain among active duty soldiers. A substantial proportion of soldiers with pain diagnoses were seen for pain self-reported as only mild, or that did not result in significant restrictions in military duty limitations. However, given the prevalence of multiple pain diagnoses and common reports of moderate or severe pain and long duration, complex interventions may be required to minimize the effect of pain on force readiness. This encounters-based analysis is likely an underestimate of presence of pain, and does not include contextual factors that could better describe the true effect of pain among this population.","container-title":"Military Medicine","DOI":"10.1093/milmed/usx200","ISSN":"1930-613X","issue":"9-10","journalAbbreviation":"Mil Med","language":"eng","note":"PMID: 29547946\nPMCID: PMC6115865","page":"e330-e337","source":"PubMed","title":"Prevalence of Pain Diagnoses and Burden of Pain Among Active Duty Soldiers, FY2012","volume":"183","author":[{"family":"Reif","given":"Sharon"},{"family":"Adams","given":"Rachel Sayko"},{"family":"Ritter","given":"Grant A."},{"family":"Williams","given":"Thomas V."},{"family":"Larson","given":"Mary Jo"}],"issued":{"date-parts":[["2018",9,1]]}}}],"schema":"https://github.com/citation-style-language/schema/raw/master/csl-citation.json"} </w:instrText>
      </w:r>
      <w:r w:rsidR="00987C27" w:rsidRPr="00B22C17">
        <w:rPr>
          <w:rFonts w:ascii="Times New Roman" w:hAnsi="Times New Roman" w:cs="Times New Roman"/>
          <w:lang w:val="en-US"/>
        </w:rPr>
        <w:fldChar w:fldCharType="separate"/>
      </w:r>
      <w:r w:rsidR="00BF44AB" w:rsidRPr="00B22C17">
        <w:rPr>
          <w:rFonts w:ascii="Times New Roman" w:hAnsi="Times New Roman" w:cs="Times New Roman"/>
          <w:noProof/>
          <w:lang w:val="en-US"/>
        </w:rPr>
        <w:t>[41]</w:t>
      </w:r>
      <w:r w:rsidR="00987C27" w:rsidRPr="00B22C17">
        <w:rPr>
          <w:rFonts w:ascii="Times New Roman" w:hAnsi="Times New Roman" w:cs="Times New Roman"/>
          <w:lang w:val="en-US"/>
        </w:rPr>
        <w:fldChar w:fldCharType="end"/>
      </w:r>
      <w:r w:rsidR="000D43E0" w:rsidRPr="00B22C17">
        <w:rPr>
          <w:rFonts w:ascii="Times New Roman" w:hAnsi="Times New Roman" w:cs="Times New Roman"/>
          <w:lang w:val="en-US"/>
        </w:rPr>
        <w:t xml:space="preserve">, this population was not included in the RAND ALP survey, and the study findings may not be </w:t>
      </w:r>
      <w:r w:rsidR="00987C27" w:rsidRPr="00B22C17">
        <w:rPr>
          <w:rFonts w:ascii="Times New Roman" w:hAnsi="Times New Roman" w:cs="Times New Roman"/>
          <w:lang w:val="en-US"/>
        </w:rPr>
        <w:t>generalizable</w:t>
      </w:r>
      <w:r w:rsidR="000D43E0" w:rsidRPr="00B22C17">
        <w:rPr>
          <w:rFonts w:ascii="Times New Roman" w:hAnsi="Times New Roman" w:cs="Times New Roman"/>
          <w:lang w:val="en-US"/>
        </w:rPr>
        <w:t xml:space="preserve"> to this occupational group.  </w:t>
      </w:r>
    </w:p>
    <w:p w14:paraId="2C3E2BC5" w14:textId="77777777" w:rsidR="008E6ACD" w:rsidRPr="00B22C17" w:rsidRDefault="008E6ACD" w:rsidP="00374687">
      <w:pPr>
        <w:spacing w:line="480" w:lineRule="auto"/>
        <w:jc w:val="both"/>
        <w:rPr>
          <w:rFonts w:ascii="Times New Roman" w:hAnsi="Times New Roman" w:cs="Times New Roman"/>
          <w:lang w:val="en-US"/>
        </w:rPr>
      </w:pPr>
    </w:p>
    <w:p w14:paraId="4889FF90" w14:textId="4242A466" w:rsidR="00673677" w:rsidRPr="00B22C17" w:rsidRDefault="008E6ACD" w:rsidP="00374687">
      <w:pPr>
        <w:spacing w:line="480" w:lineRule="auto"/>
        <w:jc w:val="both"/>
        <w:rPr>
          <w:rFonts w:ascii="Times New Roman" w:hAnsi="Times New Roman" w:cs="Times New Roman"/>
          <w:lang w:val="en-US"/>
        </w:rPr>
      </w:pPr>
      <w:r w:rsidRPr="00B22C17">
        <w:rPr>
          <w:rFonts w:ascii="Times New Roman" w:hAnsi="Times New Roman" w:cs="Times New Roman"/>
          <w:lang w:val="en-US"/>
        </w:rPr>
        <w:lastRenderedPageBreak/>
        <w:t>In conclusion, in this large sample of adults</w:t>
      </w:r>
      <w:r w:rsidR="005241C2" w:rsidRPr="00B22C17">
        <w:rPr>
          <w:rFonts w:ascii="Times New Roman" w:hAnsi="Times New Roman" w:cs="Times New Roman"/>
          <w:lang w:val="en-US"/>
        </w:rPr>
        <w:t xml:space="preserve"> from the United States</w:t>
      </w:r>
      <w:r w:rsidR="008637CA" w:rsidRPr="00B22C17">
        <w:rPr>
          <w:rFonts w:ascii="Times New Roman" w:hAnsi="Times New Roman" w:cs="Times New Roman"/>
          <w:lang w:val="en-US"/>
        </w:rPr>
        <w:t>,</w:t>
      </w:r>
      <w:r w:rsidRPr="00B22C17">
        <w:rPr>
          <w:rFonts w:ascii="Times New Roman" w:hAnsi="Times New Roman" w:cs="Times New Roman"/>
          <w:lang w:val="en-US"/>
        </w:rPr>
        <w:t xml:space="preserve"> it was found that </w:t>
      </w:r>
      <w:r w:rsidR="00B2612B" w:rsidRPr="00B22C17">
        <w:rPr>
          <w:rFonts w:ascii="Times New Roman" w:hAnsi="Times New Roman" w:cs="Times New Roman"/>
          <w:lang w:val="en-US"/>
        </w:rPr>
        <w:t>BNP</w:t>
      </w:r>
      <w:r w:rsidRPr="00B22C17">
        <w:rPr>
          <w:rFonts w:ascii="Times New Roman" w:hAnsi="Times New Roman" w:cs="Times New Roman"/>
          <w:lang w:val="en-US"/>
        </w:rPr>
        <w:t xml:space="preserve"> was associated with a </w:t>
      </w:r>
      <w:r w:rsidR="0016683D" w:rsidRPr="00B22C17">
        <w:rPr>
          <w:rFonts w:ascii="Times New Roman" w:hAnsi="Times New Roman" w:cs="Times New Roman"/>
          <w:lang w:val="en-US"/>
        </w:rPr>
        <w:t xml:space="preserve">significant increase in the </w:t>
      </w:r>
      <w:r w:rsidR="00B82791" w:rsidRPr="00B22C17">
        <w:rPr>
          <w:rFonts w:ascii="Times New Roman" w:hAnsi="Times New Roman" w:cs="Times New Roman"/>
          <w:lang w:val="en-US"/>
        </w:rPr>
        <w:t xml:space="preserve">past-year </w:t>
      </w:r>
      <w:r w:rsidR="0016683D" w:rsidRPr="00B22C17">
        <w:rPr>
          <w:rFonts w:ascii="Times New Roman" w:hAnsi="Times New Roman" w:cs="Times New Roman"/>
          <w:lang w:val="en-US"/>
        </w:rPr>
        <w:t xml:space="preserve">number of days of absence from work </w:t>
      </w:r>
      <w:r w:rsidR="00B82791" w:rsidRPr="00B22C17">
        <w:rPr>
          <w:rFonts w:ascii="Times New Roman" w:hAnsi="Times New Roman" w:cs="Times New Roman"/>
          <w:lang w:val="en-US"/>
        </w:rPr>
        <w:t xml:space="preserve">for health-related </w:t>
      </w:r>
      <w:r w:rsidR="00C13110" w:rsidRPr="00B22C17">
        <w:rPr>
          <w:rFonts w:ascii="Times New Roman" w:hAnsi="Times New Roman" w:cs="Times New Roman"/>
          <w:lang w:val="en-US"/>
        </w:rPr>
        <w:t>reasons.</w:t>
      </w:r>
      <w:r w:rsidRPr="00B22C17">
        <w:rPr>
          <w:rFonts w:ascii="Times New Roman" w:hAnsi="Times New Roman" w:cs="Times New Roman"/>
          <w:lang w:val="en-US"/>
        </w:rPr>
        <w:t xml:space="preserve"> </w:t>
      </w:r>
      <w:r w:rsidR="0053671D" w:rsidRPr="00B22C17">
        <w:rPr>
          <w:rFonts w:ascii="Times New Roman" w:hAnsi="Times New Roman" w:cs="Times New Roman"/>
          <w:lang w:val="en-US"/>
        </w:rPr>
        <w:t>The present study was able to explain 66% of the studied association</w:t>
      </w:r>
      <w:r w:rsidR="007C2B20" w:rsidRPr="00B22C17">
        <w:rPr>
          <w:rFonts w:ascii="Times New Roman" w:hAnsi="Times New Roman" w:cs="Times New Roman"/>
          <w:lang w:val="en-US"/>
        </w:rPr>
        <w:t>,</w:t>
      </w:r>
      <w:r w:rsidR="0053671D" w:rsidRPr="00B22C17">
        <w:rPr>
          <w:rFonts w:ascii="Times New Roman" w:hAnsi="Times New Roman" w:cs="Times New Roman"/>
          <w:lang w:val="en-US"/>
        </w:rPr>
        <w:t xml:space="preserve"> and future studies should </w:t>
      </w:r>
      <w:r w:rsidR="007C2B20" w:rsidRPr="00B22C17">
        <w:rPr>
          <w:rFonts w:ascii="Times New Roman" w:hAnsi="Times New Roman" w:cs="Times New Roman"/>
          <w:lang w:val="en-US"/>
        </w:rPr>
        <w:t xml:space="preserve">thus </w:t>
      </w:r>
      <w:r w:rsidR="0053671D" w:rsidRPr="00B22C17">
        <w:rPr>
          <w:rFonts w:ascii="Times New Roman" w:hAnsi="Times New Roman" w:cs="Times New Roman"/>
          <w:lang w:val="en-US"/>
        </w:rPr>
        <w:t xml:space="preserve">seek to identify those variables that explain the remaining 34%. </w:t>
      </w:r>
      <w:r w:rsidR="003A17F3" w:rsidRPr="00B22C17">
        <w:rPr>
          <w:rFonts w:ascii="Times New Roman" w:hAnsi="Times New Roman" w:cs="Times New Roman"/>
          <w:lang w:val="en-US"/>
        </w:rPr>
        <w:t>W</w:t>
      </w:r>
      <w:r w:rsidRPr="00B22C17">
        <w:rPr>
          <w:rFonts w:ascii="Times New Roman" w:hAnsi="Times New Roman" w:cs="Times New Roman"/>
          <w:lang w:val="en-US"/>
        </w:rPr>
        <w:t>alking</w:t>
      </w:r>
      <w:r w:rsidR="003A17F3" w:rsidRPr="00B22C17">
        <w:rPr>
          <w:rFonts w:ascii="Times New Roman" w:hAnsi="Times New Roman" w:cs="Times New Roman"/>
          <w:lang w:val="en-US"/>
        </w:rPr>
        <w:t>, standing and sitting</w:t>
      </w:r>
      <w:r w:rsidRPr="00B22C17">
        <w:rPr>
          <w:rFonts w:ascii="Times New Roman" w:hAnsi="Times New Roman" w:cs="Times New Roman"/>
          <w:lang w:val="en-US"/>
        </w:rPr>
        <w:t xml:space="preserve"> difficulties explained the greatest proportion of the </w:t>
      </w:r>
      <w:r w:rsidR="00F846D1" w:rsidRPr="00B22C17">
        <w:rPr>
          <w:rFonts w:ascii="Times New Roman" w:hAnsi="Times New Roman" w:cs="Times New Roman"/>
          <w:lang w:val="en-US"/>
        </w:rPr>
        <w:t>association</w:t>
      </w:r>
      <w:r w:rsidRPr="00B22C17">
        <w:rPr>
          <w:rFonts w:ascii="Times New Roman" w:hAnsi="Times New Roman" w:cs="Times New Roman"/>
          <w:lang w:val="en-US"/>
        </w:rPr>
        <w:t xml:space="preserve"> out of all influential factors studied. Workplace interventions that focus on the management of </w:t>
      </w:r>
      <w:r w:rsidR="0036168D" w:rsidRPr="00B22C17">
        <w:rPr>
          <w:rFonts w:ascii="Times New Roman" w:hAnsi="Times New Roman" w:cs="Times New Roman"/>
          <w:lang w:val="en-US"/>
        </w:rPr>
        <w:t>BNP</w:t>
      </w:r>
      <w:r w:rsidRPr="00B22C17">
        <w:rPr>
          <w:rFonts w:ascii="Times New Roman" w:hAnsi="Times New Roman" w:cs="Times New Roman"/>
          <w:lang w:val="en-US"/>
        </w:rPr>
        <w:t xml:space="preserve"> and overcoming difficulties in </w:t>
      </w:r>
      <w:r w:rsidR="00B403F4" w:rsidRPr="00B22C17">
        <w:rPr>
          <w:rFonts w:ascii="Times New Roman" w:hAnsi="Times New Roman" w:cs="Times New Roman"/>
          <w:lang w:val="en-US"/>
        </w:rPr>
        <w:t>walking</w:t>
      </w:r>
      <w:r w:rsidRPr="00B22C17">
        <w:rPr>
          <w:rFonts w:ascii="Times New Roman" w:hAnsi="Times New Roman" w:cs="Times New Roman"/>
          <w:lang w:val="en-US"/>
        </w:rPr>
        <w:t xml:space="preserve">, standing and </w:t>
      </w:r>
      <w:r w:rsidR="00B403F4" w:rsidRPr="00B22C17">
        <w:rPr>
          <w:rFonts w:ascii="Times New Roman" w:hAnsi="Times New Roman" w:cs="Times New Roman"/>
          <w:lang w:val="en-US"/>
        </w:rPr>
        <w:t>sitting</w:t>
      </w:r>
      <w:r w:rsidRPr="00B22C17">
        <w:rPr>
          <w:rFonts w:ascii="Times New Roman" w:hAnsi="Times New Roman" w:cs="Times New Roman"/>
          <w:lang w:val="en-US"/>
        </w:rPr>
        <w:t>, potentially utilizing exercise, therapy, and ergonomic interventions</w:t>
      </w:r>
      <w:r w:rsidR="0061366A" w:rsidRPr="00B22C17">
        <w:rPr>
          <w:rFonts w:ascii="Times New Roman" w:hAnsi="Times New Roman" w:cs="Times New Roman"/>
          <w:lang w:val="en-US"/>
        </w:rPr>
        <w:t>,</w:t>
      </w:r>
      <w:r w:rsidRPr="00B22C17">
        <w:rPr>
          <w:rFonts w:ascii="Times New Roman" w:hAnsi="Times New Roman" w:cs="Times New Roman"/>
          <w:lang w:val="en-US"/>
        </w:rPr>
        <w:t xml:space="preserve"> may prevent </w:t>
      </w:r>
      <w:r w:rsidR="00C3679E" w:rsidRPr="00B22C17">
        <w:rPr>
          <w:rFonts w:ascii="Times New Roman" w:hAnsi="Times New Roman" w:cs="Times New Roman"/>
          <w:lang w:val="en-US"/>
        </w:rPr>
        <w:t xml:space="preserve">workplace </w:t>
      </w:r>
      <w:r w:rsidRPr="00B22C17">
        <w:rPr>
          <w:rFonts w:ascii="Times New Roman" w:hAnsi="Times New Roman" w:cs="Times New Roman"/>
          <w:lang w:val="en-US"/>
        </w:rPr>
        <w:t xml:space="preserve">absenteeism. </w:t>
      </w:r>
      <w:r w:rsidR="00673677" w:rsidRPr="00B22C17">
        <w:rPr>
          <w:rFonts w:ascii="Times New Roman" w:hAnsi="Times New Roman" w:cs="Times New Roman"/>
          <w:lang w:val="en-US"/>
        </w:rPr>
        <w:br w:type="page"/>
      </w:r>
    </w:p>
    <w:p w14:paraId="5B4F1D1F" w14:textId="72811C54" w:rsidR="00BE31A6" w:rsidRPr="00B22C17" w:rsidRDefault="00673677" w:rsidP="00C65FFB">
      <w:pPr>
        <w:pStyle w:val="Heading1"/>
      </w:pPr>
      <w:r w:rsidRPr="00B22C17">
        <w:lastRenderedPageBreak/>
        <w:t>References</w:t>
      </w:r>
    </w:p>
    <w:p w14:paraId="5E28B00F" w14:textId="77777777" w:rsidR="00231F78" w:rsidRPr="00B22C17" w:rsidRDefault="00231F78" w:rsidP="00596729">
      <w:pPr>
        <w:spacing w:line="480" w:lineRule="auto"/>
        <w:jc w:val="both"/>
        <w:rPr>
          <w:rFonts w:ascii="Times New Roman" w:hAnsi="Times New Roman" w:cs="Times New Roman"/>
          <w:b/>
          <w:bCs/>
          <w:lang w:val="en-US"/>
        </w:rPr>
      </w:pPr>
    </w:p>
    <w:p w14:paraId="190FF356" w14:textId="519DD517" w:rsidR="00BF44AB" w:rsidRPr="00B22C17" w:rsidRDefault="00673677"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rPr>
        <w:fldChar w:fldCharType="begin"/>
      </w:r>
      <w:r w:rsidRPr="00B22C17">
        <w:rPr>
          <w:rFonts w:ascii="Times New Roman" w:hAnsi="Times New Roman" w:cs="Times New Roman"/>
          <w:lang w:val="en-US"/>
        </w:rPr>
        <w:instrText xml:space="preserve"> ADDIN ZOTERO_BIBL {"uncited":[],"omitted":[],"custom":[]} CSL_BIBLIOGRAPHY </w:instrText>
      </w:r>
      <w:r w:rsidRPr="00B22C17">
        <w:rPr>
          <w:rFonts w:ascii="Times New Roman" w:hAnsi="Times New Roman" w:cs="Times New Roman"/>
        </w:rPr>
        <w:fldChar w:fldCharType="separate"/>
      </w:r>
      <w:r w:rsidR="00BF44AB" w:rsidRPr="00B22C17">
        <w:rPr>
          <w:rFonts w:ascii="Times New Roman" w:hAnsi="Times New Roman" w:cs="Times New Roman"/>
          <w:lang w:val="en-US"/>
        </w:rPr>
        <w:t xml:space="preserve">1. </w:t>
      </w:r>
      <w:r w:rsidR="00BF44AB" w:rsidRPr="00B22C17">
        <w:rPr>
          <w:rFonts w:ascii="Times New Roman" w:hAnsi="Times New Roman" w:cs="Times New Roman"/>
          <w:lang w:val="en-US"/>
        </w:rPr>
        <w:tab/>
        <w:t>Tarro L, Llauradó E, Ul</w:t>
      </w:r>
      <w:r w:rsidR="00C2481B" w:rsidRPr="00B22C17">
        <w:rPr>
          <w:rFonts w:ascii="Times New Roman" w:hAnsi="Times New Roman" w:cs="Times New Roman"/>
          <w:lang w:val="en-US"/>
        </w:rPr>
        <w:t xml:space="preserve">ldemolins G, Hermoso P, Solà R (2020) </w:t>
      </w:r>
      <w:r w:rsidR="00BF44AB" w:rsidRPr="00B22C17">
        <w:rPr>
          <w:rFonts w:ascii="Times New Roman" w:hAnsi="Times New Roman" w:cs="Times New Roman"/>
          <w:lang w:val="en-US"/>
        </w:rPr>
        <w:t xml:space="preserve">Effectiveness of Workplace Interventions for Improving Absenteeism, Productivity, and Work Ability of Employees: A Systematic Review and Meta-Analysis of Randomized Controlled Trials. Int J </w:t>
      </w:r>
      <w:r w:rsidR="00C2481B" w:rsidRPr="00B22C17">
        <w:rPr>
          <w:rFonts w:ascii="Times New Roman" w:hAnsi="Times New Roman" w:cs="Times New Roman"/>
          <w:lang w:val="en-US"/>
        </w:rPr>
        <w:t xml:space="preserve">Environ Res Public Health </w:t>
      </w:r>
      <w:r w:rsidR="00BF44AB" w:rsidRPr="00B22C17">
        <w:rPr>
          <w:rFonts w:ascii="Times New Roman" w:hAnsi="Times New Roman" w:cs="Times New Roman"/>
          <w:lang w:val="en-US"/>
        </w:rPr>
        <w:t>17. doi:10.3390/ijerph17061901</w:t>
      </w:r>
    </w:p>
    <w:p w14:paraId="13F6F76C" w14:textId="6F25EBE4" w:rsidR="00BF44AB" w:rsidRPr="00B22C17" w:rsidRDefault="00C2481B" w:rsidP="00596729">
      <w:pPr>
        <w:widowControl w:val="0"/>
        <w:autoSpaceDE w:val="0"/>
        <w:autoSpaceDN w:val="0"/>
        <w:adjustRightInd w:val="0"/>
        <w:spacing w:line="480" w:lineRule="auto"/>
        <w:jc w:val="both"/>
        <w:rPr>
          <w:rFonts w:ascii="Times New Roman" w:hAnsi="Times New Roman" w:cs="Times New Roman"/>
        </w:rPr>
      </w:pPr>
      <w:r w:rsidRPr="00B22C17">
        <w:rPr>
          <w:rFonts w:ascii="Times New Roman" w:hAnsi="Times New Roman" w:cs="Times New Roman"/>
          <w:lang w:val="en-US"/>
        </w:rPr>
        <w:t xml:space="preserve">2. </w:t>
      </w:r>
      <w:r w:rsidRPr="00B22C17">
        <w:rPr>
          <w:rFonts w:ascii="Times New Roman" w:hAnsi="Times New Roman" w:cs="Times New Roman"/>
          <w:lang w:val="en-US"/>
        </w:rPr>
        <w:tab/>
        <w:t>CDC Foundation (2015)</w:t>
      </w:r>
      <w:r w:rsidR="00BF44AB" w:rsidRPr="00B22C17">
        <w:rPr>
          <w:rFonts w:ascii="Times New Roman" w:hAnsi="Times New Roman" w:cs="Times New Roman"/>
          <w:lang w:val="en-US"/>
        </w:rPr>
        <w:t xml:space="preserve"> Worker Illness and Injury Costs U.S. Emp</w:t>
      </w:r>
      <w:r w:rsidRPr="00B22C17">
        <w:rPr>
          <w:rFonts w:ascii="Times New Roman" w:hAnsi="Times New Roman" w:cs="Times New Roman"/>
          <w:lang w:val="en-US"/>
        </w:rPr>
        <w:t xml:space="preserve">loyers $225.8 Billion Annually. </w:t>
      </w:r>
      <w:r w:rsidR="00BF44AB" w:rsidRPr="00B22C17">
        <w:rPr>
          <w:rFonts w:ascii="Times New Roman" w:hAnsi="Times New Roman" w:cs="Times New Roman"/>
        </w:rPr>
        <w:t>Available: https://www.cdcfoundation.org/pr/2015/worker-illness-and-injury-costs-us-employers-225-billion-annually</w:t>
      </w:r>
    </w:p>
    <w:p w14:paraId="047EA129" w14:textId="3C44727C" w:rsidR="00BF44AB" w:rsidRPr="00B22C17" w:rsidRDefault="00C2481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3. </w:t>
      </w:r>
      <w:r w:rsidRPr="00B22C17">
        <w:rPr>
          <w:rFonts w:ascii="Times New Roman" w:hAnsi="Times New Roman" w:cs="Times New Roman"/>
          <w:lang w:val="en-US"/>
        </w:rPr>
        <w:tab/>
        <w:t>Bevan S (2012)</w:t>
      </w:r>
      <w:r w:rsidR="00BF44AB" w:rsidRPr="00B22C17">
        <w:rPr>
          <w:rFonts w:ascii="Times New Roman" w:hAnsi="Times New Roman" w:cs="Times New Roman"/>
          <w:lang w:val="en-US"/>
        </w:rPr>
        <w:t xml:space="preserve"> The Impact of Back Pain on Sickness Absence in Europe. The W</w:t>
      </w:r>
      <w:r w:rsidRPr="00B22C17">
        <w:rPr>
          <w:rFonts w:ascii="Times New Roman" w:hAnsi="Times New Roman" w:cs="Times New Roman"/>
          <w:lang w:val="en-US"/>
        </w:rPr>
        <w:t xml:space="preserve">ork Foundation; </w:t>
      </w:r>
      <w:r w:rsidR="00BF44AB" w:rsidRPr="00B22C17">
        <w:rPr>
          <w:rFonts w:ascii="Times New Roman" w:hAnsi="Times New Roman" w:cs="Times New Roman"/>
          <w:lang w:val="en-US"/>
        </w:rPr>
        <w:t>p. 8. Available: https://www.bl.uk/collection-items/impact-of-back-pain-on-sickness-absence-in-europe</w:t>
      </w:r>
    </w:p>
    <w:p w14:paraId="08F95AD8" w14:textId="2B84986C"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4. </w:t>
      </w:r>
      <w:r w:rsidRPr="00B22C17">
        <w:rPr>
          <w:rFonts w:ascii="Times New Roman" w:hAnsi="Times New Roman" w:cs="Times New Roman"/>
          <w:lang w:val="en-US"/>
        </w:rPr>
        <w:tab/>
        <w:t>Widanarko B, Legg S, Stevenson M, Devereux</w:t>
      </w:r>
      <w:r w:rsidR="00C2481B" w:rsidRPr="00B22C17">
        <w:rPr>
          <w:rFonts w:ascii="Times New Roman" w:hAnsi="Times New Roman" w:cs="Times New Roman"/>
          <w:lang w:val="en-US"/>
        </w:rPr>
        <w:t xml:space="preserve"> J, Eng A, ’t Mannetje A, et al (2012)</w:t>
      </w:r>
      <w:r w:rsidRPr="00B22C17">
        <w:rPr>
          <w:rFonts w:ascii="Times New Roman" w:hAnsi="Times New Roman" w:cs="Times New Roman"/>
          <w:lang w:val="en-US"/>
        </w:rPr>
        <w:t xml:space="preserve"> Prevalence and work-related risk factors for reduced activities and absenteeism due to low </w:t>
      </w:r>
      <w:r w:rsidR="00C2481B" w:rsidRPr="00B22C17">
        <w:rPr>
          <w:rFonts w:ascii="Times New Roman" w:hAnsi="Times New Roman" w:cs="Times New Roman"/>
          <w:lang w:val="en-US"/>
        </w:rPr>
        <w:t xml:space="preserve">back symptoms. Appl Ergon </w:t>
      </w:r>
      <w:r w:rsidRPr="00B22C17">
        <w:rPr>
          <w:rFonts w:ascii="Times New Roman" w:hAnsi="Times New Roman" w:cs="Times New Roman"/>
          <w:lang w:val="en-US"/>
        </w:rPr>
        <w:t>43: 727–737. doi:10.1016/j.apergo.2011.11.004</w:t>
      </w:r>
    </w:p>
    <w:p w14:paraId="611EC5BE" w14:textId="7C2C1F13"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5. </w:t>
      </w:r>
      <w:r w:rsidRPr="00B22C17">
        <w:rPr>
          <w:rFonts w:ascii="Times New Roman" w:hAnsi="Times New Roman" w:cs="Times New Roman"/>
          <w:lang w:val="en-US"/>
        </w:rPr>
        <w:tab/>
      </w:r>
      <w:r w:rsidR="00C2481B" w:rsidRPr="00B22C17">
        <w:rPr>
          <w:rFonts w:ascii="Times New Roman" w:hAnsi="Times New Roman" w:cs="Times New Roman"/>
          <w:lang w:val="en-US"/>
        </w:rPr>
        <w:t xml:space="preserve">Cunningham C, Flynn T, Blake C (2006) </w:t>
      </w:r>
      <w:r w:rsidRPr="00B22C17">
        <w:rPr>
          <w:rFonts w:ascii="Times New Roman" w:hAnsi="Times New Roman" w:cs="Times New Roman"/>
          <w:lang w:val="en-US"/>
        </w:rPr>
        <w:t xml:space="preserve">Low back pain and occupation among Irish health service </w:t>
      </w:r>
      <w:r w:rsidR="00C2481B" w:rsidRPr="00B22C17">
        <w:rPr>
          <w:rFonts w:ascii="Times New Roman" w:hAnsi="Times New Roman" w:cs="Times New Roman"/>
          <w:lang w:val="en-US"/>
        </w:rPr>
        <w:t xml:space="preserve">workers. Occup Med (Lond) </w:t>
      </w:r>
      <w:r w:rsidRPr="00B22C17">
        <w:rPr>
          <w:rFonts w:ascii="Times New Roman" w:hAnsi="Times New Roman" w:cs="Times New Roman"/>
          <w:lang w:val="en-US"/>
        </w:rPr>
        <w:t>56: 447–454. doi:10.1093/occmed/kql056</w:t>
      </w:r>
    </w:p>
    <w:p w14:paraId="7494E97B" w14:textId="2345690E"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6. </w:t>
      </w:r>
      <w:r w:rsidRPr="00B22C17">
        <w:rPr>
          <w:rFonts w:ascii="Times New Roman" w:hAnsi="Times New Roman" w:cs="Times New Roman"/>
          <w:lang w:val="en-US"/>
        </w:rPr>
        <w:tab/>
        <w:t>Nyman T, Grooten WJA, W</w:t>
      </w:r>
      <w:r w:rsidR="00C2481B" w:rsidRPr="00B22C17">
        <w:rPr>
          <w:rFonts w:ascii="Times New Roman" w:hAnsi="Times New Roman" w:cs="Times New Roman"/>
          <w:lang w:val="en-US"/>
        </w:rPr>
        <w:t xml:space="preserve">iktorin C, Liwing J, Norrman L (2007) </w:t>
      </w:r>
      <w:r w:rsidRPr="00B22C17">
        <w:rPr>
          <w:rFonts w:ascii="Times New Roman" w:hAnsi="Times New Roman" w:cs="Times New Roman"/>
          <w:lang w:val="en-US"/>
        </w:rPr>
        <w:t>Sickness absence and concurrent low back and neck–shoulder pain: results from the MUSIC-Nor</w:t>
      </w:r>
      <w:r w:rsidR="00C2481B" w:rsidRPr="00B22C17">
        <w:rPr>
          <w:rFonts w:ascii="Times New Roman" w:hAnsi="Times New Roman" w:cs="Times New Roman"/>
          <w:lang w:val="en-US"/>
        </w:rPr>
        <w:t xml:space="preserve">rtälje study. Eur Spine J </w:t>
      </w:r>
      <w:r w:rsidRPr="00B22C17">
        <w:rPr>
          <w:rFonts w:ascii="Times New Roman" w:hAnsi="Times New Roman" w:cs="Times New Roman"/>
          <w:lang w:val="en-US"/>
        </w:rPr>
        <w:t>16: 631–638. doi:10.1007/s00586-006-0152-6</w:t>
      </w:r>
    </w:p>
    <w:p w14:paraId="0FCDFD43" w14:textId="6169EFF1"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7. </w:t>
      </w:r>
      <w:r w:rsidRPr="00B22C17">
        <w:rPr>
          <w:rFonts w:ascii="Times New Roman" w:hAnsi="Times New Roman" w:cs="Times New Roman"/>
          <w:lang w:val="en-US"/>
        </w:rPr>
        <w:tab/>
        <w:t>Steffens D, Maher CG, Pereira LSM, Stevens ML</w:t>
      </w:r>
      <w:r w:rsidR="00C2481B" w:rsidRPr="00B22C17">
        <w:rPr>
          <w:rFonts w:ascii="Times New Roman" w:hAnsi="Times New Roman" w:cs="Times New Roman"/>
          <w:lang w:val="en-US"/>
        </w:rPr>
        <w:t>, Oliveira VC, Chapple M, et al (2016)</w:t>
      </w:r>
      <w:r w:rsidRPr="00B22C17">
        <w:rPr>
          <w:rFonts w:ascii="Times New Roman" w:hAnsi="Times New Roman" w:cs="Times New Roman"/>
          <w:lang w:val="en-US"/>
        </w:rPr>
        <w:t xml:space="preserve"> Prevention of Low Back Pain: A Systematic Review and Meta-analysi</w:t>
      </w:r>
      <w:r w:rsidR="00C2481B" w:rsidRPr="00B22C17">
        <w:rPr>
          <w:rFonts w:ascii="Times New Roman" w:hAnsi="Times New Roman" w:cs="Times New Roman"/>
          <w:lang w:val="en-US"/>
        </w:rPr>
        <w:t xml:space="preserve">s. JAMA Internal Medicine </w:t>
      </w:r>
      <w:r w:rsidRPr="00B22C17">
        <w:rPr>
          <w:rFonts w:ascii="Times New Roman" w:hAnsi="Times New Roman" w:cs="Times New Roman"/>
          <w:lang w:val="en-US"/>
        </w:rPr>
        <w:t>176: 199–208. doi:10.1001/jamainternmed.2015.7431</w:t>
      </w:r>
    </w:p>
    <w:p w14:paraId="6C79A444" w14:textId="1B242F6A"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8. </w:t>
      </w:r>
      <w:r w:rsidRPr="00B22C17">
        <w:rPr>
          <w:rFonts w:ascii="Times New Roman" w:hAnsi="Times New Roman" w:cs="Times New Roman"/>
          <w:lang w:val="en-US"/>
        </w:rPr>
        <w:tab/>
        <w:t>Shiri R, Coggon D, Falah-Hassani</w:t>
      </w:r>
      <w:r w:rsidR="00C2481B" w:rsidRPr="00B22C17">
        <w:rPr>
          <w:rFonts w:ascii="Times New Roman" w:hAnsi="Times New Roman" w:cs="Times New Roman"/>
          <w:lang w:val="en-US"/>
        </w:rPr>
        <w:t xml:space="preserve"> K (2018) </w:t>
      </w:r>
      <w:r w:rsidRPr="00B22C17">
        <w:rPr>
          <w:rFonts w:ascii="Times New Roman" w:hAnsi="Times New Roman" w:cs="Times New Roman"/>
          <w:lang w:val="en-US"/>
        </w:rPr>
        <w:t xml:space="preserve">Exercise for the Prevention of Low Back Pain: Systematic Review and Meta-Analysis of Controlled Trials. American Journal of </w:t>
      </w:r>
      <w:r w:rsidR="00C2481B" w:rsidRPr="00B22C17">
        <w:rPr>
          <w:rFonts w:ascii="Times New Roman" w:hAnsi="Times New Roman" w:cs="Times New Roman"/>
          <w:lang w:val="en-US"/>
        </w:rPr>
        <w:lastRenderedPageBreak/>
        <w:t xml:space="preserve">Epidemiology </w:t>
      </w:r>
      <w:r w:rsidRPr="00B22C17">
        <w:rPr>
          <w:rFonts w:ascii="Times New Roman" w:hAnsi="Times New Roman" w:cs="Times New Roman"/>
          <w:lang w:val="en-US"/>
        </w:rPr>
        <w:t>187: 1093–1101. doi:10.1093/aje/kwx337</w:t>
      </w:r>
    </w:p>
    <w:p w14:paraId="119FB5FF" w14:textId="040D924B"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9. </w:t>
      </w:r>
      <w:r w:rsidRPr="00B22C17">
        <w:rPr>
          <w:rFonts w:ascii="Times New Roman" w:hAnsi="Times New Roman" w:cs="Times New Roman"/>
          <w:lang w:val="en-US"/>
        </w:rPr>
        <w:tab/>
        <w:t>Sundstrup E, Seebe</w:t>
      </w:r>
      <w:r w:rsidR="00C2481B" w:rsidRPr="00B22C17">
        <w:rPr>
          <w:rFonts w:ascii="Times New Roman" w:hAnsi="Times New Roman" w:cs="Times New Roman"/>
          <w:lang w:val="en-US"/>
        </w:rPr>
        <w:t>rg KGV, Bengtsen E, Andersen LL (2020)</w:t>
      </w:r>
      <w:r w:rsidRPr="00B22C17">
        <w:rPr>
          <w:rFonts w:ascii="Times New Roman" w:hAnsi="Times New Roman" w:cs="Times New Roman"/>
          <w:lang w:val="en-US"/>
        </w:rPr>
        <w:t xml:space="preserve"> A Systematic Review of Workplace Interventions to Rehabilitate Musculoskeletal Disorders Among Employees with Physical Demand</w:t>
      </w:r>
      <w:r w:rsidR="00C2481B" w:rsidRPr="00B22C17">
        <w:rPr>
          <w:rFonts w:ascii="Times New Roman" w:hAnsi="Times New Roman" w:cs="Times New Roman"/>
          <w:lang w:val="en-US"/>
        </w:rPr>
        <w:t xml:space="preserve">ing Work. J Occup Rehabil </w:t>
      </w:r>
      <w:r w:rsidRPr="00B22C17">
        <w:rPr>
          <w:rFonts w:ascii="Times New Roman" w:hAnsi="Times New Roman" w:cs="Times New Roman"/>
          <w:lang w:val="en-US"/>
        </w:rPr>
        <w:t>30: 588–612. doi:10.1007/s10926-020-09879-x</w:t>
      </w:r>
    </w:p>
    <w:p w14:paraId="3715C3B1" w14:textId="7193BF0B"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10. </w:t>
      </w:r>
      <w:r w:rsidRPr="00B22C17">
        <w:rPr>
          <w:rFonts w:ascii="Times New Roman" w:hAnsi="Times New Roman" w:cs="Times New Roman"/>
          <w:lang w:val="en-US"/>
        </w:rPr>
        <w:tab/>
        <w:t>Sihawong R, Janwantanakul P</w:t>
      </w:r>
      <w:r w:rsidR="00C2481B" w:rsidRPr="00B22C17">
        <w:rPr>
          <w:rFonts w:ascii="Times New Roman" w:hAnsi="Times New Roman" w:cs="Times New Roman"/>
          <w:lang w:val="en-US"/>
        </w:rPr>
        <w:t>, Sitthipornvorakul E, Pensri P (2011)</w:t>
      </w:r>
      <w:r w:rsidRPr="00B22C17">
        <w:rPr>
          <w:rFonts w:ascii="Times New Roman" w:hAnsi="Times New Roman" w:cs="Times New Roman"/>
          <w:lang w:val="en-US"/>
        </w:rPr>
        <w:t xml:space="preserve"> Exercise therapy for office workers with nonspecific neck pain: a systematic review. J </w:t>
      </w:r>
      <w:r w:rsidR="00C2481B" w:rsidRPr="00B22C17">
        <w:rPr>
          <w:rFonts w:ascii="Times New Roman" w:hAnsi="Times New Roman" w:cs="Times New Roman"/>
          <w:lang w:val="en-US"/>
        </w:rPr>
        <w:t xml:space="preserve">Manipulative Physiol Ther </w:t>
      </w:r>
      <w:r w:rsidRPr="00B22C17">
        <w:rPr>
          <w:rFonts w:ascii="Times New Roman" w:hAnsi="Times New Roman" w:cs="Times New Roman"/>
          <w:lang w:val="en-US"/>
        </w:rPr>
        <w:t>34: 62–71. doi:10.1016/j.jmpt.2010.11.005</w:t>
      </w:r>
    </w:p>
    <w:p w14:paraId="59011EC9" w14:textId="7C5441FD"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11. </w:t>
      </w:r>
      <w:r w:rsidRPr="00B22C17">
        <w:rPr>
          <w:rFonts w:ascii="Times New Roman" w:hAnsi="Times New Roman" w:cs="Times New Roman"/>
          <w:lang w:val="en-US"/>
        </w:rPr>
        <w:tab/>
        <w:t xml:space="preserve">Robertson D, Kumbhare </w:t>
      </w:r>
      <w:r w:rsidR="00C2481B" w:rsidRPr="00B22C17">
        <w:rPr>
          <w:rFonts w:ascii="Times New Roman" w:hAnsi="Times New Roman" w:cs="Times New Roman"/>
          <w:lang w:val="en-US"/>
        </w:rPr>
        <w:t xml:space="preserve">D, Nolet P, Srbely J, Newton G (2017) </w:t>
      </w:r>
      <w:r w:rsidRPr="00B22C17">
        <w:rPr>
          <w:rFonts w:ascii="Times New Roman" w:hAnsi="Times New Roman" w:cs="Times New Roman"/>
          <w:lang w:val="en-US"/>
        </w:rPr>
        <w:t>Associations between low back pain and depression and somatization in a Canadian emerging adult popula</w:t>
      </w:r>
      <w:r w:rsidR="00C2481B" w:rsidRPr="00B22C17">
        <w:rPr>
          <w:rFonts w:ascii="Times New Roman" w:hAnsi="Times New Roman" w:cs="Times New Roman"/>
          <w:lang w:val="en-US"/>
        </w:rPr>
        <w:t xml:space="preserve">tion. J Can Chiropr Assoc </w:t>
      </w:r>
      <w:r w:rsidRPr="00B22C17">
        <w:rPr>
          <w:rFonts w:ascii="Times New Roman" w:hAnsi="Times New Roman" w:cs="Times New Roman"/>
          <w:lang w:val="en-US"/>
        </w:rPr>
        <w:t xml:space="preserve">61: 96–105. </w:t>
      </w:r>
    </w:p>
    <w:p w14:paraId="1B06FBC9" w14:textId="502D31F4"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12. </w:t>
      </w:r>
      <w:r w:rsidRPr="00B22C17">
        <w:rPr>
          <w:rFonts w:ascii="Times New Roman" w:hAnsi="Times New Roman" w:cs="Times New Roman"/>
          <w:lang w:val="en-US"/>
        </w:rPr>
        <w:tab/>
        <w:t>Johnston DA, Harvey SB, Glozier N, Ca</w:t>
      </w:r>
      <w:r w:rsidR="00C2481B" w:rsidRPr="00B22C17">
        <w:rPr>
          <w:rFonts w:ascii="Times New Roman" w:hAnsi="Times New Roman" w:cs="Times New Roman"/>
          <w:lang w:val="en-US"/>
        </w:rPr>
        <w:t xml:space="preserve">lvo RA, Christensen H, Deady M (2019) </w:t>
      </w:r>
      <w:r w:rsidRPr="00B22C17">
        <w:rPr>
          <w:rFonts w:ascii="Times New Roman" w:hAnsi="Times New Roman" w:cs="Times New Roman"/>
          <w:lang w:val="en-US"/>
        </w:rPr>
        <w:t>The relationship between depression symptoms, absenteeism and presenteeism. Journ</w:t>
      </w:r>
      <w:r w:rsidR="00C2481B" w:rsidRPr="00B22C17">
        <w:rPr>
          <w:rFonts w:ascii="Times New Roman" w:hAnsi="Times New Roman" w:cs="Times New Roman"/>
          <w:lang w:val="en-US"/>
        </w:rPr>
        <w:t xml:space="preserve">al of Affective Disorders </w:t>
      </w:r>
      <w:r w:rsidRPr="00B22C17">
        <w:rPr>
          <w:rFonts w:ascii="Times New Roman" w:hAnsi="Times New Roman" w:cs="Times New Roman"/>
          <w:lang w:val="en-US"/>
        </w:rPr>
        <w:t>256: 536–540. doi:10.1016/j.jad.2019.06.041</w:t>
      </w:r>
    </w:p>
    <w:p w14:paraId="75F5FDAC" w14:textId="161B1E1D"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13. </w:t>
      </w:r>
      <w:r w:rsidRPr="00B22C17">
        <w:rPr>
          <w:rFonts w:ascii="Times New Roman" w:hAnsi="Times New Roman" w:cs="Times New Roman"/>
          <w:lang w:val="en-US"/>
        </w:rPr>
        <w:tab/>
        <w:t>D’Souza RM, Strazdins L, Broom DH, Rodgers B, Berry H</w:t>
      </w:r>
      <w:r w:rsidR="008013DD" w:rsidRPr="00B22C17">
        <w:rPr>
          <w:rFonts w:ascii="Times New Roman" w:hAnsi="Times New Roman" w:cs="Times New Roman"/>
          <w:lang w:val="en-US"/>
        </w:rPr>
        <w:t xml:space="preserve">L (2006) </w:t>
      </w:r>
      <w:r w:rsidRPr="00B22C17">
        <w:rPr>
          <w:rFonts w:ascii="Times New Roman" w:hAnsi="Times New Roman" w:cs="Times New Roman"/>
          <w:lang w:val="en-US"/>
        </w:rPr>
        <w:t>Work demands, job insecurity and sickness absence from work. how productive is the new, flexible labour force?</w:t>
      </w:r>
      <w:r w:rsidR="008013DD" w:rsidRPr="00B22C17">
        <w:rPr>
          <w:rFonts w:ascii="Times New Roman" w:hAnsi="Times New Roman" w:cs="Times New Roman"/>
          <w:lang w:val="en-US"/>
        </w:rPr>
        <w:t xml:space="preserve"> Aust N Z J Public Health </w:t>
      </w:r>
      <w:r w:rsidRPr="00B22C17">
        <w:rPr>
          <w:rFonts w:ascii="Times New Roman" w:hAnsi="Times New Roman" w:cs="Times New Roman"/>
          <w:lang w:val="en-US"/>
        </w:rPr>
        <w:t>30: 205–212. doi:10.1111/j.1467-842x.2006.tb00859.x</w:t>
      </w:r>
    </w:p>
    <w:p w14:paraId="79119D67" w14:textId="31FD82B3"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14. </w:t>
      </w:r>
      <w:r w:rsidR="008013DD" w:rsidRPr="00B22C17">
        <w:rPr>
          <w:rFonts w:ascii="Times New Roman" w:hAnsi="Times New Roman" w:cs="Times New Roman"/>
          <w:lang w:val="en-US"/>
        </w:rPr>
        <w:tab/>
        <w:t xml:space="preserve">Sagheer MA, Khan MF, Sharif S (2013) </w:t>
      </w:r>
      <w:r w:rsidRPr="00B22C17">
        <w:rPr>
          <w:rFonts w:ascii="Times New Roman" w:hAnsi="Times New Roman" w:cs="Times New Roman"/>
          <w:lang w:val="en-US"/>
        </w:rPr>
        <w:t>Association between chronic low back pain, anxiety and depression in patients at a tertiary car</w:t>
      </w:r>
      <w:r w:rsidR="008013DD" w:rsidRPr="00B22C17">
        <w:rPr>
          <w:rFonts w:ascii="Times New Roman" w:hAnsi="Times New Roman" w:cs="Times New Roman"/>
          <w:lang w:val="en-US"/>
        </w:rPr>
        <w:t xml:space="preserve">e centre. J Pak Med Assoc </w:t>
      </w:r>
      <w:r w:rsidRPr="00B22C17">
        <w:rPr>
          <w:rFonts w:ascii="Times New Roman" w:hAnsi="Times New Roman" w:cs="Times New Roman"/>
          <w:lang w:val="en-US"/>
        </w:rPr>
        <w:t xml:space="preserve">63: 688–690. </w:t>
      </w:r>
    </w:p>
    <w:p w14:paraId="33D0643E" w14:textId="68EE4118"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15. </w:t>
      </w:r>
      <w:r w:rsidRPr="00B22C17">
        <w:rPr>
          <w:rFonts w:ascii="Times New Roman" w:hAnsi="Times New Roman" w:cs="Times New Roman"/>
          <w:lang w:val="en-US"/>
        </w:rPr>
        <w:tab/>
        <w:t>Marty M, Rozenberg S, Duplan B, Thomas P,</w:t>
      </w:r>
      <w:r w:rsidR="008013DD" w:rsidRPr="00B22C17">
        <w:rPr>
          <w:rFonts w:ascii="Times New Roman" w:hAnsi="Times New Roman" w:cs="Times New Roman"/>
          <w:lang w:val="en-US"/>
        </w:rPr>
        <w:t xml:space="preserve"> Duquesnoy B, Allaert F, et al (2008) </w:t>
      </w:r>
      <w:r w:rsidRPr="00B22C17">
        <w:rPr>
          <w:rFonts w:ascii="Times New Roman" w:hAnsi="Times New Roman" w:cs="Times New Roman"/>
          <w:lang w:val="en-US"/>
        </w:rPr>
        <w:t>Quality of sleep in patients with chronic low back pain: a case-c</w:t>
      </w:r>
      <w:r w:rsidR="008013DD" w:rsidRPr="00B22C17">
        <w:rPr>
          <w:rFonts w:ascii="Times New Roman" w:hAnsi="Times New Roman" w:cs="Times New Roman"/>
          <w:lang w:val="en-US"/>
        </w:rPr>
        <w:t xml:space="preserve">ontrol study. Eur Spine J </w:t>
      </w:r>
      <w:r w:rsidRPr="00B22C17">
        <w:rPr>
          <w:rFonts w:ascii="Times New Roman" w:hAnsi="Times New Roman" w:cs="Times New Roman"/>
          <w:lang w:val="en-US"/>
        </w:rPr>
        <w:t>17: 839–844. doi:10.1007/s00586-008-0660-7</w:t>
      </w:r>
    </w:p>
    <w:p w14:paraId="5CA260AF" w14:textId="58A0082E"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16. </w:t>
      </w:r>
      <w:r w:rsidRPr="00B22C17">
        <w:rPr>
          <w:rFonts w:ascii="Times New Roman" w:hAnsi="Times New Roman" w:cs="Times New Roman"/>
          <w:lang w:val="en-US"/>
        </w:rPr>
        <w:tab/>
        <w:t>Daley M, Morin CM, LeBlanc M, Grégo</w:t>
      </w:r>
      <w:r w:rsidR="008013DD" w:rsidRPr="00B22C17">
        <w:rPr>
          <w:rFonts w:ascii="Times New Roman" w:hAnsi="Times New Roman" w:cs="Times New Roman"/>
          <w:lang w:val="en-US"/>
        </w:rPr>
        <w:t>ire JP, Savard J, Baillargeon L (2009)</w:t>
      </w:r>
      <w:r w:rsidRPr="00B22C17">
        <w:rPr>
          <w:rFonts w:ascii="Times New Roman" w:hAnsi="Times New Roman" w:cs="Times New Roman"/>
          <w:lang w:val="en-US"/>
        </w:rPr>
        <w:t xml:space="preserve"> Insomnia and its relationship to health-care utilization, work absenteeism, productivity and accidents.</w:t>
      </w:r>
      <w:r w:rsidR="008013DD" w:rsidRPr="00B22C17">
        <w:rPr>
          <w:rFonts w:ascii="Times New Roman" w:hAnsi="Times New Roman" w:cs="Times New Roman"/>
          <w:lang w:val="en-US"/>
        </w:rPr>
        <w:t xml:space="preserve"> Sleep Medicine </w:t>
      </w:r>
      <w:r w:rsidRPr="00B22C17">
        <w:rPr>
          <w:rFonts w:ascii="Times New Roman" w:hAnsi="Times New Roman" w:cs="Times New Roman"/>
          <w:lang w:val="en-US"/>
        </w:rPr>
        <w:t>10: 427–438. doi:10.1016/j.sleep.2008.04.005</w:t>
      </w:r>
    </w:p>
    <w:p w14:paraId="5C640253" w14:textId="3780B8CB"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17. </w:t>
      </w:r>
      <w:r w:rsidRPr="00B22C17">
        <w:rPr>
          <w:rFonts w:ascii="Times New Roman" w:hAnsi="Times New Roman" w:cs="Times New Roman"/>
          <w:lang w:val="en-US"/>
        </w:rPr>
        <w:tab/>
        <w:t>Sandström</w:t>
      </w:r>
      <w:r w:rsidR="008013DD" w:rsidRPr="00B22C17">
        <w:rPr>
          <w:rFonts w:ascii="Times New Roman" w:hAnsi="Times New Roman" w:cs="Times New Roman"/>
          <w:lang w:val="en-US"/>
        </w:rPr>
        <w:t xml:space="preserve"> J, Andersson GB, Wallerstedt S (1984)</w:t>
      </w:r>
      <w:r w:rsidRPr="00B22C17">
        <w:rPr>
          <w:rFonts w:ascii="Times New Roman" w:hAnsi="Times New Roman" w:cs="Times New Roman"/>
          <w:lang w:val="en-US"/>
        </w:rPr>
        <w:t xml:space="preserve"> The role of alcohol abuse in working </w:t>
      </w:r>
      <w:r w:rsidRPr="00B22C17">
        <w:rPr>
          <w:rFonts w:ascii="Times New Roman" w:hAnsi="Times New Roman" w:cs="Times New Roman"/>
          <w:lang w:val="en-US"/>
        </w:rPr>
        <w:lastRenderedPageBreak/>
        <w:t xml:space="preserve">disability in patients with low back </w:t>
      </w:r>
      <w:r w:rsidR="008013DD" w:rsidRPr="00B22C17">
        <w:rPr>
          <w:rFonts w:ascii="Times New Roman" w:hAnsi="Times New Roman" w:cs="Times New Roman"/>
          <w:lang w:val="en-US"/>
        </w:rPr>
        <w:t xml:space="preserve">pain. Scand J Rehabil Med </w:t>
      </w:r>
      <w:r w:rsidRPr="00B22C17">
        <w:rPr>
          <w:rFonts w:ascii="Times New Roman" w:hAnsi="Times New Roman" w:cs="Times New Roman"/>
          <w:lang w:val="en-US"/>
        </w:rPr>
        <w:t xml:space="preserve">16: 147–149. </w:t>
      </w:r>
    </w:p>
    <w:p w14:paraId="03BA0173" w14:textId="5CAB13B5"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18. </w:t>
      </w:r>
      <w:r w:rsidRPr="00B22C17">
        <w:rPr>
          <w:rFonts w:ascii="Times New Roman" w:hAnsi="Times New Roman" w:cs="Times New Roman"/>
          <w:lang w:val="en-US"/>
        </w:rPr>
        <w:tab/>
        <w:t>Thørrisen MM, Bonsaksen T, Hashemi N, K</w:t>
      </w:r>
      <w:r w:rsidR="008013DD" w:rsidRPr="00B22C17">
        <w:rPr>
          <w:rFonts w:ascii="Times New Roman" w:hAnsi="Times New Roman" w:cs="Times New Roman"/>
          <w:lang w:val="en-US"/>
        </w:rPr>
        <w:t>jeken I, Mechelen W van, Aas RW (2019)</w:t>
      </w:r>
      <w:r w:rsidRPr="00B22C17">
        <w:rPr>
          <w:rFonts w:ascii="Times New Roman" w:hAnsi="Times New Roman" w:cs="Times New Roman"/>
          <w:lang w:val="en-US"/>
        </w:rPr>
        <w:t xml:space="preserve"> Association between alcohol consumption and impaired work performance (presenteeism): a sy</w:t>
      </w:r>
      <w:r w:rsidR="008013DD" w:rsidRPr="00B22C17">
        <w:rPr>
          <w:rFonts w:ascii="Times New Roman" w:hAnsi="Times New Roman" w:cs="Times New Roman"/>
          <w:lang w:val="en-US"/>
        </w:rPr>
        <w:t xml:space="preserve">stematic review. BMJ Open </w:t>
      </w:r>
      <w:r w:rsidRPr="00B22C17">
        <w:rPr>
          <w:rFonts w:ascii="Times New Roman" w:hAnsi="Times New Roman" w:cs="Times New Roman"/>
          <w:lang w:val="en-US"/>
        </w:rPr>
        <w:t>9: e029184. doi:10.1136/bmjopen-2019-029184</w:t>
      </w:r>
    </w:p>
    <w:p w14:paraId="11D63D58" w14:textId="5E3BDF4E"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19. </w:t>
      </w:r>
      <w:r w:rsidRPr="00B22C17">
        <w:rPr>
          <w:rFonts w:ascii="Times New Roman" w:hAnsi="Times New Roman" w:cs="Times New Roman"/>
          <w:lang w:val="en-US"/>
        </w:rPr>
        <w:tab/>
        <w:t xml:space="preserve">Zegel M, Rogers AH, Vujanovic </w:t>
      </w:r>
      <w:r w:rsidR="008013DD" w:rsidRPr="00B22C17">
        <w:rPr>
          <w:rFonts w:ascii="Times New Roman" w:hAnsi="Times New Roman" w:cs="Times New Roman"/>
          <w:lang w:val="en-US"/>
        </w:rPr>
        <w:t xml:space="preserve">AA, Zvolensky MJ (2020) </w:t>
      </w:r>
      <w:r w:rsidRPr="00B22C17">
        <w:rPr>
          <w:rFonts w:ascii="Times New Roman" w:hAnsi="Times New Roman" w:cs="Times New Roman"/>
          <w:lang w:val="en-US"/>
        </w:rPr>
        <w:t>Alcohol use problems and opioid misuse and dependence among adults with chronic pain: The role of distress toleran</w:t>
      </w:r>
      <w:r w:rsidR="008013DD" w:rsidRPr="00B22C17">
        <w:rPr>
          <w:rFonts w:ascii="Times New Roman" w:hAnsi="Times New Roman" w:cs="Times New Roman"/>
          <w:lang w:val="en-US"/>
        </w:rPr>
        <w:t xml:space="preserve">ce. Psychol Addict Behav. </w:t>
      </w:r>
      <w:r w:rsidRPr="00B22C17">
        <w:rPr>
          <w:rFonts w:ascii="Times New Roman" w:hAnsi="Times New Roman" w:cs="Times New Roman"/>
          <w:lang w:val="en-US"/>
        </w:rPr>
        <w:t>doi:10.1037/adb0000587</w:t>
      </w:r>
    </w:p>
    <w:p w14:paraId="62FC2505" w14:textId="734FA98A"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20. </w:t>
      </w:r>
      <w:r w:rsidRPr="00B22C17">
        <w:rPr>
          <w:rFonts w:ascii="Times New Roman" w:hAnsi="Times New Roman" w:cs="Times New Roman"/>
          <w:lang w:val="en-US"/>
        </w:rPr>
        <w:tab/>
        <w:t>Martell BA, O’Connor PG, Kerns RD, Becker WC, Morales KH, Kosten</w:t>
      </w:r>
      <w:r w:rsidR="008013DD" w:rsidRPr="00B22C17">
        <w:rPr>
          <w:rFonts w:ascii="Times New Roman" w:hAnsi="Times New Roman" w:cs="Times New Roman"/>
          <w:lang w:val="en-US"/>
        </w:rPr>
        <w:t xml:space="preserve"> TR, et al (2007)</w:t>
      </w:r>
      <w:r w:rsidRPr="00B22C17">
        <w:rPr>
          <w:rFonts w:ascii="Times New Roman" w:hAnsi="Times New Roman" w:cs="Times New Roman"/>
          <w:lang w:val="en-US"/>
        </w:rPr>
        <w:t xml:space="preserve"> Systematic review: opioid treatment for chronic back pain: prevalence, efficacy, and association with </w:t>
      </w:r>
      <w:r w:rsidR="008013DD" w:rsidRPr="00B22C17">
        <w:rPr>
          <w:rFonts w:ascii="Times New Roman" w:hAnsi="Times New Roman" w:cs="Times New Roman"/>
          <w:lang w:val="en-US"/>
        </w:rPr>
        <w:t xml:space="preserve">addiction. Ann Intern Med </w:t>
      </w:r>
      <w:r w:rsidRPr="00B22C17">
        <w:rPr>
          <w:rFonts w:ascii="Times New Roman" w:hAnsi="Times New Roman" w:cs="Times New Roman"/>
          <w:lang w:val="en-US"/>
        </w:rPr>
        <w:t>146: 116–127. doi:10.7326/0003-4819-146-2-200701160-00006</w:t>
      </w:r>
    </w:p>
    <w:p w14:paraId="7E2518AA" w14:textId="605FA9E9"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21. </w:t>
      </w:r>
      <w:r w:rsidRPr="00B22C17">
        <w:rPr>
          <w:rFonts w:ascii="Times New Roman" w:hAnsi="Times New Roman" w:cs="Times New Roman"/>
          <w:lang w:val="en-US"/>
        </w:rPr>
        <w:tab/>
        <w:t xml:space="preserve">Henke RM, </w:t>
      </w:r>
      <w:r w:rsidR="008013DD" w:rsidRPr="00B22C17">
        <w:rPr>
          <w:rFonts w:ascii="Times New Roman" w:hAnsi="Times New Roman" w:cs="Times New Roman"/>
          <w:lang w:val="en-US"/>
        </w:rPr>
        <w:t xml:space="preserve">Ellsworth D, Wier L, Snowdon J (2020) </w:t>
      </w:r>
      <w:r w:rsidRPr="00B22C17">
        <w:rPr>
          <w:rFonts w:ascii="Times New Roman" w:hAnsi="Times New Roman" w:cs="Times New Roman"/>
          <w:lang w:val="en-US"/>
        </w:rPr>
        <w:t>Opioid Use Disorder and Employee Work Presenteeism, Absences, and Health Care C</w:t>
      </w:r>
      <w:r w:rsidR="008013DD" w:rsidRPr="00B22C17">
        <w:rPr>
          <w:rFonts w:ascii="Times New Roman" w:hAnsi="Times New Roman" w:cs="Times New Roman"/>
          <w:lang w:val="en-US"/>
        </w:rPr>
        <w:t xml:space="preserve">osts. J Occup Environ Med </w:t>
      </w:r>
      <w:r w:rsidRPr="00B22C17">
        <w:rPr>
          <w:rFonts w:ascii="Times New Roman" w:hAnsi="Times New Roman" w:cs="Times New Roman"/>
          <w:lang w:val="en-US"/>
        </w:rPr>
        <w:t>62: 344–349. doi:10.1097/JOM.0000000000001830</w:t>
      </w:r>
    </w:p>
    <w:p w14:paraId="70302884" w14:textId="69F91DC6" w:rsidR="00BF44AB" w:rsidRPr="00B22C17" w:rsidRDefault="008013DD"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22. </w:t>
      </w:r>
      <w:r w:rsidRPr="00B22C17">
        <w:rPr>
          <w:rFonts w:ascii="Times New Roman" w:hAnsi="Times New Roman" w:cs="Times New Roman"/>
          <w:lang w:val="en-US"/>
        </w:rPr>
        <w:tab/>
        <w:t xml:space="preserve">Grabovac I, Dorner TE (2019) </w:t>
      </w:r>
      <w:r w:rsidR="00BF44AB" w:rsidRPr="00B22C17">
        <w:rPr>
          <w:rFonts w:ascii="Times New Roman" w:hAnsi="Times New Roman" w:cs="Times New Roman"/>
          <w:lang w:val="en-US"/>
        </w:rPr>
        <w:t>Association between low back pain and various everyday performances : Activities of daily living, ability to work and sexual funct</w:t>
      </w:r>
      <w:r w:rsidRPr="00B22C17">
        <w:rPr>
          <w:rFonts w:ascii="Times New Roman" w:hAnsi="Times New Roman" w:cs="Times New Roman"/>
          <w:lang w:val="en-US"/>
        </w:rPr>
        <w:t xml:space="preserve">ion. Wien Klin Wochenschr </w:t>
      </w:r>
      <w:r w:rsidR="00BF44AB" w:rsidRPr="00B22C17">
        <w:rPr>
          <w:rFonts w:ascii="Times New Roman" w:hAnsi="Times New Roman" w:cs="Times New Roman"/>
          <w:lang w:val="en-US"/>
        </w:rPr>
        <w:t>131: 541–549. doi:10.1007/s00508-019-01542-7</w:t>
      </w:r>
    </w:p>
    <w:p w14:paraId="028F4C6A" w14:textId="665A61CA"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23. </w:t>
      </w:r>
      <w:r w:rsidRPr="00B22C17">
        <w:rPr>
          <w:rFonts w:ascii="Times New Roman" w:hAnsi="Times New Roman" w:cs="Times New Roman"/>
          <w:lang w:val="en-US"/>
        </w:rPr>
        <w:tab/>
        <w:t>Keramat SA, Alam</w:t>
      </w:r>
      <w:r w:rsidR="008013DD" w:rsidRPr="00B22C17">
        <w:rPr>
          <w:rFonts w:ascii="Times New Roman" w:hAnsi="Times New Roman" w:cs="Times New Roman"/>
          <w:lang w:val="en-US"/>
        </w:rPr>
        <w:t xml:space="preserve"> K, Gow J, Biddle SJH (2020) </w:t>
      </w:r>
      <w:r w:rsidRPr="00B22C17">
        <w:rPr>
          <w:rFonts w:ascii="Times New Roman" w:hAnsi="Times New Roman" w:cs="Times New Roman"/>
          <w:lang w:val="en-US"/>
        </w:rPr>
        <w:t>Gender differences in the longitudinal association between obesity, and disability with workplace absenteeism in the Australian wor</w:t>
      </w:r>
      <w:r w:rsidR="008013DD" w:rsidRPr="00B22C17">
        <w:rPr>
          <w:rFonts w:ascii="Times New Roman" w:hAnsi="Times New Roman" w:cs="Times New Roman"/>
          <w:lang w:val="en-US"/>
        </w:rPr>
        <w:t xml:space="preserve">king population. Plos One </w:t>
      </w:r>
      <w:r w:rsidRPr="00B22C17">
        <w:rPr>
          <w:rFonts w:ascii="Times New Roman" w:hAnsi="Times New Roman" w:cs="Times New Roman"/>
          <w:lang w:val="en-US"/>
        </w:rPr>
        <w:t>15: e0233512. doi:10.1371/journal.pone.0233512</w:t>
      </w:r>
    </w:p>
    <w:p w14:paraId="4E7326BE" w14:textId="0B72AFA2"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24. </w:t>
      </w:r>
      <w:r w:rsidRPr="00B22C17">
        <w:rPr>
          <w:rFonts w:ascii="Times New Roman" w:hAnsi="Times New Roman" w:cs="Times New Roman"/>
          <w:lang w:val="en-US"/>
        </w:rPr>
        <w:tab/>
        <w:t xml:space="preserve">Pollard MS, Baird </w:t>
      </w:r>
      <w:r w:rsidR="008013DD" w:rsidRPr="00B22C17">
        <w:rPr>
          <w:rFonts w:ascii="Times New Roman" w:hAnsi="Times New Roman" w:cs="Times New Roman"/>
          <w:lang w:val="en-US"/>
        </w:rPr>
        <w:t>MD (2017)</w:t>
      </w:r>
      <w:r w:rsidRPr="00B22C17">
        <w:rPr>
          <w:rFonts w:ascii="Times New Roman" w:hAnsi="Times New Roman" w:cs="Times New Roman"/>
          <w:lang w:val="en-US"/>
        </w:rPr>
        <w:t xml:space="preserve"> The RAND American Life Panel: Technical Description. Sant</w:t>
      </w:r>
      <w:r w:rsidR="008013DD" w:rsidRPr="00B22C17">
        <w:rPr>
          <w:rFonts w:ascii="Times New Roman" w:hAnsi="Times New Roman" w:cs="Times New Roman"/>
          <w:lang w:val="en-US"/>
        </w:rPr>
        <w:t>a Monica: RAND Corporation</w:t>
      </w:r>
      <w:r w:rsidRPr="00B22C17">
        <w:rPr>
          <w:rFonts w:ascii="Times New Roman" w:hAnsi="Times New Roman" w:cs="Times New Roman"/>
          <w:lang w:val="en-US"/>
        </w:rPr>
        <w:t>. Available: https://www.rand.org/pubs/research_reports/RR1651.html</w:t>
      </w:r>
    </w:p>
    <w:p w14:paraId="32A2359F" w14:textId="06E622F2"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25. </w:t>
      </w:r>
      <w:r w:rsidRPr="00B22C17">
        <w:rPr>
          <w:rFonts w:ascii="Times New Roman" w:hAnsi="Times New Roman" w:cs="Times New Roman"/>
          <w:lang w:val="en-US"/>
        </w:rPr>
        <w:tab/>
        <w:t>Bruine de Bruin W, Pa</w:t>
      </w:r>
      <w:r w:rsidR="008013DD" w:rsidRPr="00B22C17">
        <w:rPr>
          <w:rFonts w:ascii="Times New Roman" w:hAnsi="Times New Roman" w:cs="Times New Roman"/>
          <w:lang w:val="en-US"/>
        </w:rPr>
        <w:t xml:space="preserve">rker AM, Galesic M, Vardavas R (2019) </w:t>
      </w:r>
      <w:r w:rsidRPr="00B22C17">
        <w:rPr>
          <w:rFonts w:ascii="Times New Roman" w:hAnsi="Times New Roman" w:cs="Times New Roman"/>
          <w:lang w:val="en-US"/>
        </w:rPr>
        <w:t>Reports of social circles’ and own vaccination behavior: A national longitudin</w:t>
      </w:r>
      <w:r w:rsidR="008013DD" w:rsidRPr="00B22C17">
        <w:rPr>
          <w:rFonts w:ascii="Times New Roman" w:hAnsi="Times New Roman" w:cs="Times New Roman"/>
          <w:lang w:val="en-US"/>
        </w:rPr>
        <w:t xml:space="preserve">al survey. Health Psychol </w:t>
      </w:r>
      <w:r w:rsidRPr="00B22C17">
        <w:rPr>
          <w:rFonts w:ascii="Times New Roman" w:hAnsi="Times New Roman" w:cs="Times New Roman"/>
          <w:lang w:val="en-US"/>
        </w:rPr>
        <w:t xml:space="preserve">38: 975–983. </w:t>
      </w:r>
      <w:r w:rsidRPr="00B22C17">
        <w:rPr>
          <w:rFonts w:ascii="Times New Roman" w:hAnsi="Times New Roman" w:cs="Times New Roman"/>
          <w:lang w:val="en-US"/>
        </w:rPr>
        <w:lastRenderedPageBreak/>
        <w:t>doi:10.1037/hea0000771</w:t>
      </w:r>
    </w:p>
    <w:p w14:paraId="13EFE324" w14:textId="02955605"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26. </w:t>
      </w:r>
      <w:r w:rsidRPr="00B22C17">
        <w:rPr>
          <w:rFonts w:ascii="Times New Roman" w:hAnsi="Times New Roman" w:cs="Times New Roman"/>
          <w:lang w:val="en-US"/>
        </w:rPr>
        <w:tab/>
        <w:t>Clark A, Stenholm S, Pentti J, S</w:t>
      </w:r>
      <w:r w:rsidR="008013DD" w:rsidRPr="00B22C17">
        <w:rPr>
          <w:rFonts w:ascii="Times New Roman" w:hAnsi="Times New Roman" w:cs="Times New Roman"/>
          <w:lang w:val="en-US"/>
        </w:rPr>
        <w:t xml:space="preserve">alo P, Lange T, Török E, et al (2021) </w:t>
      </w:r>
      <w:r w:rsidRPr="00B22C17">
        <w:rPr>
          <w:rFonts w:ascii="Times New Roman" w:hAnsi="Times New Roman" w:cs="Times New Roman"/>
          <w:lang w:val="en-US"/>
        </w:rPr>
        <w:t>Workplace discrimination as risk factor for long-term sickness absence: Longitudinal analyses of onset and changes in wor</w:t>
      </w:r>
      <w:r w:rsidR="008013DD" w:rsidRPr="00B22C17">
        <w:rPr>
          <w:rFonts w:ascii="Times New Roman" w:hAnsi="Times New Roman" w:cs="Times New Roman"/>
          <w:lang w:val="en-US"/>
        </w:rPr>
        <w:t xml:space="preserve">kplace adversity. PLoS One </w:t>
      </w:r>
      <w:r w:rsidRPr="00B22C17">
        <w:rPr>
          <w:rFonts w:ascii="Times New Roman" w:hAnsi="Times New Roman" w:cs="Times New Roman"/>
          <w:lang w:val="en-US"/>
        </w:rPr>
        <w:t>16: e0255697. doi:10.1371/journal.pone.0255697</w:t>
      </w:r>
    </w:p>
    <w:p w14:paraId="74E98F67" w14:textId="3E95F6DD"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2</w:t>
      </w:r>
      <w:r w:rsidR="008013DD" w:rsidRPr="00B22C17">
        <w:rPr>
          <w:rFonts w:ascii="Times New Roman" w:hAnsi="Times New Roman" w:cs="Times New Roman"/>
          <w:lang w:val="en-US"/>
        </w:rPr>
        <w:t xml:space="preserve">7. </w:t>
      </w:r>
      <w:r w:rsidR="008013DD" w:rsidRPr="00B22C17">
        <w:rPr>
          <w:rFonts w:ascii="Times New Roman" w:hAnsi="Times New Roman" w:cs="Times New Roman"/>
          <w:lang w:val="en-US"/>
        </w:rPr>
        <w:tab/>
        <w:t>International Labour Office (2012)</w:t>
      </w:r>
      <w:r w:rsidRPr="00B22C17">
        <w:rPr>
          <w:rFonts w:ascii="Times New Roman" w:hAnsi="Times New Roman" w:cs="Times New Roman"/>
          <w:lang w:val="en-US"/>
        </w:rPr>
        <w:t xml:space="preserve"> International Standard Classificat</w:t>
      </w:r>
      <w:r w:rsidR="008013DD" w:rsidRPr="00B22C17">
        <w:rPr>
          <w:rFonts w:ascii="Times New Roman" w:hAnsi="Times New Roman" w:cs="Times New Roman"/>
          <w:lang w:val="en-US"/>
        </w:rPr>
        <w:t xml:space="preserve">ion of Occupations. Geneva. </w:t>
      </w:r>
      <w:r w:rsidRPr="00B22C17">
        <w:rPr>
          <w:rFonts w:ascii="Times New Roman" w:hAnsi="Times New Roman" w:cs="Times New Roman"/>
          <w:lang w:val="en-US"/>
        </w:rPr>
        <w:t>p. 433. Available: https://www.ilo.org/wcmsp5/groups/public/---dgreports/---dcomm/---publ/documents/publication/wcms_172572.pdf</w:t>
      </w:r>
    </w:p>
    <w:p w14:paraId="3F2F4C84" w14:textId="2DC07DBA"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28. </w:t>
      </w:r>
      <w:r w:rsidRPr="00B22C17">
        <w:rPr>
          <w:rFonts w:ascii="Times New Roman" w:hAnsi="Times New Roman" w:cs="Times New Roman"/>
          <w:lang w:val="en-US"/>
        </w:rPr>
        <w:tab/>
        <w:t>Skillgate E, Magnus</w:t>
      </w:r>
      <w:r w:rsidR="008013DD" w:rsidRPr="00B22C17">
        <w:rPr>
          <w:rFonts w:ascii="Times New Roman" w:hAnsi="Times New Roman" w:cs="Times New Roman"/>
          <w:lang w:val="en-US"/>
        </w:rPr>
        <w:t xml:space="preserve">son C, Lundberg M, Hallqvist J (2012) </w:t>
      </w:r>
      <w:r w:rsidRPr="00B22C17">
        <w:rPr>
          <w:rFonts w:ascii="Times New Roman" w:hAnsi="Times New Roman" w:cs="Times New Roman"/>
          <w:lang w:val="en-US"/>
        </w:rPr>
        <w:t>The age- and sex-specific occurrence of bothersome neck pain in the general population--results from the Stockholm public health cohort.</w:t>
      </w:r>
      <w:r w:rsidR="008013DD" w:rsidRPr="00B22C17">
        <w:rPr>
          <w:rFonts w:ascii="Times New Roman" w:hAnsi="Times New Roman" w:cs="Times New Roman"/>
          <w:lang w:val="en-US"/>
        </w:rPr>
        <w:t xml:space="preserve"> BMC Musculoskelet Disord </w:t>
      </w:r>
      <w:r w:rsidRPr="00B22C17">
        <w:rPr>
          <w:rFonts w:ascii="Times New Roman" w:hAnsi="Times New Roman" w:cs="Times New Roman"/>
          <w:lang w:val="en-US"/>
        </w:rPr>
        <w:t>13: 185. doi:10.1186/1471-2474-13-185</w:t>
      </w:r>
    </w:p>
    <w:p w14:paraId="14974596" w14:textId="14C92943"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29. </w:t>
      </w:r>
      <w:r w:rsidRPr="00B22C17">
        <w:rPr>
          <w:rFonts w:ascii="Times New Roman" w:hAnsi="Times New Roman" w:cs="Times New Roman"/>
          <w:lang w:val="en-US"/>
        </w:rPr>
        <w:tab/>
        <w:t>Waterma</w:t>
      </w:r>
      <w:r w:rsidR="008013DD" w:rsidRPr="00B22C17">
        <w:rPr>
          <w:rFonts w:ascii="Times New Roman" w:hAnsi="Times New Roman" w:cs="Times New Roman"/>
          <w:lang w:val="en-US"/>
        </w:rPr>
        <w:t>n BR, Belmont PJ, Schoenfeld AJ (2012)</w:t>
      </w:r>
      <w:r w:rsidRPr="00B22C17">
        <w:rPr>
          <w:rFonts w:ascii="Times New Roman" w:hAnsi="Times New Roman" w:cs="Times New Roman"/>
          <w:lang w:val="en-US"/>
        </w:rPr>
        <w:t xml:space="preserve"> Low back pain in the United States: incidence and risk factors for presentation in the emergency setting. Spi</w:t>
      </w:r>
      <w:r w:rsidR="008013DD" w:rsidRPr="00B22C17">
        <w:rPr>
          <w:rFonts w:ascii="Times New Roman" w:hAnsi="Times New Roman" w:cs="Times New Roman"/>
          <w:lang w:val="en-US"/>
        </w:rPr>
        <w:t xml:space="preserve">ne J </w:t>
      </w:r>
      <w:r w:rsidRPr="00B22C17">
        <w:rPr>
          <w:rFonts w:ascii="Times New Roman" w:hAnsi="Times New Roman" w:cs="Times New Roman"/>
          <w:lang w:val="en-US"/>
        </w:rPr>
        <w:t>12: 63–70. doi:10.1016/j.spinee.2011.09.002</w:t>
      </w:r>
    </w:p>
    <w:p w14:paraId="0A5558F9" w14:textId="0EC7DD75"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30. </w:t>
      </w:r>
      <w:r w:rsidRPr="00B22C17">
        <w:rPr>
          <w:rFonts w:ascii="Times New Roman" w:hAnsi="Times New Roman" w:cs="Times New Roman"/>
          <w:lang w:val="en-US"/>
        </w:rPr>
        <w:tab/>
        <w:t>Jiménez-Trujillo I, López-de-Andrés A, Del Barrio JL, Hernández-Barrera V, Valero</w:t>
      </w:r>
      <w:r w:rsidR="008013DD" w:rsidRPr="00B22C17">
        <w:rPr>
          <w:rFonts w:ascii="Times New Roman" w:hAnsi="Times New Roman" w:cs="Times New Roman"/>
          <w:lang w:val="en-US"/>
        </w:rPr>
        <w:t xml:space="preserve">-de-Bernabé M, Jiménez-García R (2019) </w:t>
      </w:r>
      <w:r w:rsidRPr="00B22C17">
        <w:rPr>
          <w:rFonts w:ascii="Times New Roman" w:hAnsi="Times New Roman" w:cs="Times New Roman"/>
          <w:lang w:val="en-US"/>
        </w:rPr>
        <w:t>Gender Differences in the Prevalence and Characteristics of Pain in Spain: Report from a Populat</w:t>
      </w:r>
      <w:r w:rsidR="008013DD" w:rsidRPr="00B22C17">
        <w:rPr>
          <w:rFonts w:ascii="Times New Roman" w:hAnsi="Times New Roman" w:cs="Times New Roman"/>
          <w:lang w:val="en-US"/>
        </w:rPr>
        <w:t xml:space="preserve">ion-Based Study. Pain Med </w:t>
      </w:r>
      <w:r w:rsidRPr="00B22C17">
        <w:rPr>
          <w:rFonts w:ascii="Times New Roman" w:hAnsi="Times New Roman" w:cs="Times New Roman"/>
          <w:lang w:val="en-US"/>
        </w:rPr>
        <w:t>20: 2349–2359. doi:10.1093/pm/pnz004</w:t>
      </w:r>
    </w:p>
    <w:p w14:paraId="0742F4E5" w14:textId="08F03A66" w:rsidR="00BF44AB" w:rsidRPr="00B22C17" w:rsidRDefault="008013DD"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31. </w:t>
      </w:r>
      <w:r w:rsidRPr="00B22C17">
        <w:rPr>
          <w:rFonts w:ascii="Times New Roman" w:hAnsi="Times New Roman" w:cs="Times New Roman"/>
          <w:lang w:val="en-US"/>
        </w:rPr>
        <w:tab/>
        <w:t>Martocchio JJ (1989)</w:t>
      </w:r>
      <w:r w:rsidR="00BF44AB" w:rsidRPr="00B22C17">
        <w:rPr>
          <w:rFonts w:ascii="Times New Roman" w:hAnsi="Times New Roman" w:cs="Times New Roman"/>
          <w:lang w:val="en-US"/>
        </w:rPr>
        <w:t xml:space="preserve"> Age-related differences in employee absenteeism: a met</w:t>
      </w:r>
      <w:r w:rsidRPr="00B22C17">
        <w:rPr>
          <w:rFonts w:ascii="Times New Roman" w:hAnsi="Times New Roman" w:cs="Times New Roman"/>
          <w:lang w:val="en-US"/>
        </w:rPr>
        <w:t xml:space="preserve">a-analysis. Psychol Aging </w:t>
      </w:r>
      <w:r w:rsidR="00BF44AB" w:rsidRPr="00B22C17">
        <w:rPr>
          <w:rFonts w:ascii="Times New Roman" w:hAnsi="Times New Roman" w:cs="Times New Roman"/>
          <w:lang w:val="en-US"/>
        </w:rPr>
        <w:t>4: 409–414. doi:10.1037//0882-7974.4.4.409</w:t>
      </w:r>
    </w:p>
    <w:p w14:paraId="2EB99DA7" w14:textId="3CACF464"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32. </w:t>
      </w:r>
      <w:r w:rsidR="008013DD" w:rsidRPr="00B22C17">
        <w:rPr>
          <w:rFonts w:ascii="Times New Roman" w:hAnsi="Times New Roman" w:cs="Times New Roman"/>
          <w:lang w:val="en-US"/>
        </w:rPr>
        <w:tab/>
        <w:t>Østby KA, Mykletun A, Nilsen W (2018)</w:t>
      </w:r>
      <w:r w:rsidRPr="00B22C17">
        <w:rPr>
          <w:rFonts w:ascii="Times New Roman" w:hAnsi="Times New Roman" w:cs="Times New Roman"/>
          <w:lang w:val="en-US"/>
        </w:rPr>
        <w:t xml:space="preserve"> Explaining the gender gap in sickness </w:t>
      </w:r>
      <w:r w:rsidR="008013DD" w:rsidRPr="00B22C17">
        <w:rPr>
          <w:rFonts w:ascii="Times New Roman" w:hAnsi="Times New Roman" w:cs="Times New Roman"/>
          <w:lang w:val="en-US"/>
        </w:rPr>
        <w:t xml:space="preserve">absence. Occup Med (Lond) </w:t>
      </w:r>
      <w:r w:rsidRPr="00B22C17">
        <w:rPr>
          <w:rFonts w:ascii="Times New Roman" w:hAnsi="Times New Roman" w:cs="Times New Roman"/>
          <w:lang w:val="en-US"/>
        </w:rPr>
        <w:t>68: 320–326. doi:10.1093/occmed/kqy062</w:t>
      </w:r>
    </w:p>
    <w:p w14:paraId="21E1ECCE" w14:textId="70D07460" w:rsidR="00BF44AB" w:rsidRPr="00B22C17" w:rsidRDefault="008013DD"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33. </w:t>
      </w:r>
      <w:r w:rsidRPr="00B22C17">
        <w:rPr>
          <w:rFonts w:ascii="Times New Roman" w:hAnsi="Times New Roman" w:cs="Times New Roman"/>
          <w:lang w:val="en-US"/>
        </w:rPr>
        <w:tab/>
        <w:t>R Core Team (2021)</w:t>
      </w:r>
      <w:r w:rsidR="00BF44AB" w:rsidRPr="00B22C17">
        <w:rPr>
          <w:rFonts w:ascii="Times New Roman" w:hAnsi="Times New Roman" w:cs="Times New Roman"/>
          <w:lang w:val="en-US"/>
        </w:rPr>
        <w:t xml:space="preserve"> R: A language and environment for statistical computing. Vienna, Austria: R Foundation for S</w:t>
      </w:r>
      <w:r w:rsidRPr="00B22C17">
        <w:rPr>
          <w:rFonts w:ascii="Times New Roman" w:hAnsi="Times New Roman" w:cs="Times New Roman"/>
          <w:lang w:val="en-US"/>
        </w:rPr>
        <w:t xml:space="preserve">tatistical Computing. </w:t>
      </w:r>
      <w:r w:rsidR="00BF44AB" w:rsidRPr="00B22C17">
        <w:rPr>
          <w:rFonts w:ascii="Times New Roman" w:hAnsi="Times New Roman" w:cs="Times New Roman"/>
          <w:lang w:val="en-US"/>
        </w:rPr>
        <w:t>Available: https://www.R-project.org/</w:t>
      </w:r>
    </w:p>
    <w:p w14:paraId="73466C35" w14:textId="712D2632"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34. </w:t>
      </w:r>
      <w:r w:rsidRPr="00B22C17">
        <w:rPr>
          <w:rFonts w:ascii="Times New Roman" w:hAnsi="Times New Roman" w:cs="Times New Roman"/>
          <w:lang w:val="en-US"/>
        </w:rPr>
        <w:tab/>
        <w:t>Kääriä S, Laaksonen M, Leino-Arj</w:t>
      </w:r>
      <w:r w:rsidR="008013DD" w:rsidRPr="00B22C17">
        <w:rPr>
          <w:rFonts w:ascii="Times New Roman" w:hAnsi="Times New Roman" w:cs="Times New Roman"/>
          <w:lang w:val="en-US"/>
        </w:rPr>
        <w:t>as P, Saastamoinen P, Lahelma E (2012)</w:t>
      </w:r>
      <w:r w:rsidRPr="00B22C17">
        <w:rPr>
          <w:rFonts w:ascii="Times New Roman" w:hAnsi="Times New Roman" w:cs="Times New Roman"/>
          <w:lang w:val="en-US"/>
        </w:rPr>
        <w:t xml:space="preserve"> Low back pain and neck pain as predictors of sickness absence among municipal employees. Scand J </w:t>
      </w:r>
      <w:r w:rsidR="008013DD" w:rsidRPr="00B22C17">
        <w:rPr>
          <w:rFonts w:ascii="Times New Roman" w:hAnsi="Times New Roman" w:cs="Times New Roman"/>
          <w:lang w:val="en-US"/>
        </w:rPr>
        <w:lastRenderedPageBreak/>
        <w:t xml:space="preserve">Public Health </w:t>
      </w:r>
      <w:r w:rsidRPr="00B22C17">
        <w:rPr>
          <w:rFonts w:ascii="Times New Roman" w:hAnsi="Times New Roman" w:cs="Times New Roman"/>
          <w:lang w:val="en-US"/>
        </w:rPr>
        <w:t>40: 150–156. doi:10.1177/1403494811435490</w:t>
      </w:r>
    </w:p>
    <w:p w14:paraId="6FB21121" w14:textId="1DF6CF54"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35. </w:t>
      </w:r>
      <w:r w:rsidRPr="00B22C17">
        <w:rPr>
          <w:rFonts w:ascii="Times New Roman" w:hAnsi="Times New Roman" w:cs="Times New Roman"/>
          <w:lang w:val="en-US"/>
        </w:rPr>
        <w:tab/>
        <w:t>Mesas AE, González AD, Mesas CE, de An</w:t>
      </w:r>
      <w:r w:rsidR="008013DD" w:rsidRPr="00B22C17">
        <w:rPr>
          <w:rFonts w:ascii="Times New Roman" w:hAnsi="Times New Roman" w:cs="Times New Roman"/>
          <w:lang w:val="en-US"/>
        </w:rPr>
        <w:t>drade SM, Magro IS, del Llano J (2014)</w:t>
      </w:r>
      <w:r w:rsidRPr="00B22C17">
        <w:rPr>
          <w:rFonts w:ascii="Times New Roman" w:hAnsi="Times New Roman" w:cs="Times New Roman"/>
          <w:lang w:val="en-US"/>
        </w:rPr>
        <w:t xml:space="preserve"> The association of chronic neck pain, low back pain, and migraine with absenteeism due to health problems in Spanish workers. Spine (Phila Pa</w:t>
      </w:r>
      <w:r w:rsidR="008013DD" w:rsidRPr="00B22C17">
        <w:rPr>
          <w:rFonts w:ascii="Times New Roman" w:hAnsi="Times New Roman" w:cs="Times New Roman"/>
          <w:lang w:val="en-US"/>
        </w:rPr>
        <w:t xml:space="preserve"> 1976). </w:t>
      </w:r>
      <w:r w:rsidRPr="00B22C17">
        <w:rPr>
          <w:rFonts w:ascii="Times New Roman" w:hAnsi="Times New Roman" w:cs="Times New Roman"/>
          <w:lang w:val="en-US"/>
        </w:rPr>
        <w:t>39: 1243–1253. doi:10.1097/BRS.0000000000000387</w:t>
      </w:r>
    </w:p>
    <w:p w14:paraId="1D482423" w14:textId="462C48AA"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36. </w:t>
      </w:r>
      <w:r w:rsidRPr="00B22C17">
        <w:rPr>
          <w:rFonts w:ascii="Times New Roman" w:hAnsi="Times New Roman" w:cs="Times New Roman"/>
          <w:lang w:val="en-US"/>
        </w:rPr>
        <w:tab/>
        <w:t>Smith L, Hamer M, Ucci M, Marmo</w:t>
      </w:r>
      <w:r w:rsidR="008013DD" w:rsidRPr="00B22C17">
        <w:rPr>
          <w:rFonts w:ascii="Times New Roman" w:hAnsi="Times New Roman" w:cs="Times New Roman"/>
          <w:lang w:val="en-US"/>
        </w:rPr>
        <w:t>t A, Gardner B, Sawyer A, et al (2015)</w:t>
      </w:r>
      <w:r w:rsidRPr="00B22C17">
        <w:rPr>
          <w:rFonts w:ascii="Times New Roman" w:hAnsi="Times New Roman" w:cs="Times New Roman"/>
          <w:lang w:val="en-US"/>
        </w:rPr>
        <w:t xml:space="preserve"> Weekday and weekend patterns of objectively measured sitting, standing, and stepping in a sample of office-based workers: the active buildings</w:t>
      </w:r>
      <w:r w:rsidR="008013DD" w:rsidRPr="00B22C17">
        <w:rPr>
          <w:rFonts w:ascii="Times New Roman" w:hAnsi="Times New Roman" w:cs="Times New Roman"/>
          <w:lang w:val="en-US"/>
        </w:rPr>
        <w:t xml:space="preserve"> study. BMC Public Health </w:t>
      </w:r>
      <w:r w:rsidRPr="00B22C17">
        <w:rPr>
          <w:rFonts w:ascii="Times New Roman" w:hAnsi="Times New Roman" w:cs="Times New Roman"/>
          <w:lang w:val="en-US"/>
        </w:rPr>
        <w:t>15: 9. doi:10.1186/s12889-014-1338-1</w:t>
      </w:r>
    </w:p>
    <w:p w14:paraId="739F2402" w14:textId="445D18F2"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37. </w:t>
      </w:r>
      <w:r w:rsidRPr="00B22C17">
        <w:rPr>
          <w:rFonts w:ascii="Times New Roman" w:hAnsi="Times New Roman" w:cs="Times New Roman"/>
          <w:lang w:val="en-US"/>
        </w:rPr>
        <w:tab/>
      </w:r>
      <w:r w:rsidR="008013DD" w:rsidRPr="00B22C17">
        <w:rPr>
          <w:rFonts w:ascii="Times New Roman" w:hAnsi="Times New Roman" w:cs="Times New Roman"/>
          <w:lang w:val="en-US"/>
        </w:rPr>
        <w:t>Liddle SD, Gracey JH, Baxter GD (2007)</w:t>
      </w:r>
      <w:r w:rsidRPr="00B22C17">
        <w:rPr>
          <w:rFonts w:ascii="Times New Roman" w:hAnsi="Times New Roman" w:cs="Times New Roman"/>
          <w:lang w:val="en-US"/>
        </w:rPr>
        <w:t xml:space="preserve"> Advice for the management of low back pain: a systematic review of randomised co</w:t>
      </w:r>
      <w:r w:rsidR="008013DD" w:rsidRPr="00B22C17">
        <w:rPr>
          <w:rFonts w:ascii="Times New Roman" w:hAnsi="Times New Roman" w:cs="Times New Roman"/>
          <w:lang w:val="en-US"/>
        </w:rPr>
        <w:t xml:space="preserve">ntrolled trials. Man Ther. </w:t>
      </w:r>
      <w:r w:rsidRPr="00B22C17">
        <w:rPr>
          <w:rFonts w:ascii="Times New Roman" w:hAnsi="Times New Roman" w:cs="Times New Roman"/>
          <w:lang w:val="en-US"/>
        </w:rPr>
        <w:t>12: 310–327. doi:10.1016/j.math.2006.12.009</w:t>
      </w:r>
    </w:p>
    <w:p w14:paraId="3B356400" w14:textId="1CB6CB7F"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38. </w:t>
      </w:r>
      <w:r w:rsidRPr="00B22C17">
        <w:rPr>
          <w:rFonts w:ascii="Times New Roman" w:hAnsi="Times New Roman" w:cs="Times New Roman"/>
          <w:lang w:val="en-US"/>
        </w:rPr>
        <w:tab/>
        <w:t>Schaafsm</w:t>
      </w:r>
      <w:r w:rsidR="008013DD" w:rsidRPr="00B22C17">
        <w:rPr>
          <w:rFonts w:ascii="Times New Roman" w:hAnsi="Times New Roman" w:cs="Times New Roman"/>
          <w:lang w:val="en-US"/>
        </w:rPr>
        <w:t>a FG, Anema JR, van der Beek AJ (2015)</w:t>
      </w:r>
      <w:r w:rsidRPr="00B22C17">
        <w:rPr>
          <w:rFonts w:ascii="Times New Roman" w:hAnsi="Times New Roman" w:cs="Times New Roman"/>
          <w:lang w:val="en-US"/>
        </w:rPr>
        <w:t xml:space="preserve"> Back pain: Prevention and management in the workplace. Best Practice &amp; Resea</w:t>
      </w:r>
      <w:r w:rsidR="008013DD" w:rsidRPr="00B22C17">
        <w:rPr>
          <w:rFonts w:ascii="Times New Roman" w:hAnsi="Times New Roman" w:cs="Times New Roman"/>
          <w:lang w:val="en-US"/>
        </w:rPr>
        <w:t xml:space="preserve">rch Clinical Rheumatology </w:t>
      </w:r>
      <w:r w:rsidRPr="00B22C17">
        <w:rPr>
          <w:rFonts w:ascii="Times New Roman" w:hAnsi="Times New Roman" w:cs="Times New Roman"/>
          <w:lang w:val="en-US"/>
        </w:rPr>
        <w:t>29: 483–494. doi:10.1016/j.berh.2015.04.028</w:t>
      </w:r>
    </w:p>
    <w:p w14:paraId="0A4A36D6" w14:textId="0407FD67"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39. </w:t>
      </w:r>
      <w:r w:rsidRPr="00B22C17">
        <w:rPr>
          <w:rFonts w:ascii="Times New Roman" w:hAnsi="Times New Roman" w:cs="Times New Roman"/>
          <w:lang w:val="en-US"/>
        </w:rPr>
        <w:tab/>
        <w:t>Reichborn-Kjennerud T, Stoltenberg C, Tambs K, Roysamb E,</w:t>
      </w:r>
      <w:r w:rsidR="008013DD" w:rsidRPr="00B22C17">
        <w:rPr>
          <w:rFonts w:ascii="Times New Roman" w:hAnsi="Times New Roman" w:cs="Times New Roman"/>
          <w:lang w:val="en-US"/>
        </w:rPr>
        <w:t xml:space="preserve"> Kringlen E, Torgersen S, et al (2002)</w:t>
      </w:r>
      <w:r w:rsidRPr="00B22C17">
        <w:rPr>
          <w:rFonts w:ascii="Times New Roman" w:hAnsi="Times New Roman" w:cs="Times New Roman"/>
          <w:lang w:val="en-US"/>
        </w:rPr>
        <w:t xml:space="preserve"> Back-neck pain and symptoms of anxiety and depression: a population-base</w:t>
      </w:r>
      <w:r w:rsidR="008013DD" w:rsidRPr="00B22C17">
        <w:rPr>
          <w:rFonts w:ascii="Times New Roman" w:hAnsi="Times New Roman" w:cs="Times New Roman"/>
          <w:lang w:val="en-US"/>
        </w:rPr>
        <w:t xml:space="preserve">d twin study. Psychol Med </w:t>
      </w:r>
      <w:r w:rsidRPr="00B22C17">
        <w:rPr>
          <w:rFonts w:ascii="Times New Roman" w:hAnsi="Times New Roman" w:cs="Times New Roman"/>
          <w:lang w:val="en-US"/>
        </w:rPr>
        <w:t>32: 1009–1020. doi:10.1017/s0033291702005950</w:t>
      </w:r>
    </w:p>
    <w:p w14:paraId="5C265342" w14:textId="5BFD16C1" w:rsidR="00BF44AB" w:rsidRPr="00B22C17" w:rsidRDefault="008013DD"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40. </w:t>
      </w:r>
      <w:r w:rsidRPr="00B22C17">
        <w:rPr>
          <w:rFonts w:ascii="Times New Roman" w:hAnsi="Times New Roman" w:cs="Times New Roman"/>
          <w:lang w:val="en-US"/>
        </w:rPr>
        <w:tab/>
        <w:t>Reese C, Mittag O (2013)</w:t>
      </w:r>
      <w:r w:rsidR="00BF44AB" w:rsidRPr="00B22C17">
        <w:rPr>
          <w:rFonts w:ascii="Times New Roman" w:hAnsi="Times New Roman" w:cs="Times New Roman"/>
          <w:lang w:val="en-US"/>
        </w:rPr>
        <w:t xml:space="preserve"> Psychological interventions in the rehabilitation of patients with chronic low back pain:  evidence and recommendations from systematic reviews and guid</w:t>
      </w:r>
      <w:r w:rsidRPr="00B22C17">
        <w:rPr>
          <w:rFonts w:ascii="Times New Roman" w:hAnsi="Times New Roman" w:cs="Times New Roman"/>
          <w:lang w:val="en-US"/>
        </w:rPr>
        <w:t xml:space="preserve">elines. Int J Rehabil Res </w:t>
      </w:r>
      <w:r w:rsidR="00BF44AB" w:rsidRPr="00B22C17">
        <w:rPr>
          <w:rFonts w:ascii="Times New Roman" w:hAnsi="Times New Roman" w:cs="Times New Roman"/>
          <w:lang w:val="en-US"/>
        </w:rPr>
        <w:t>36: 6–12. doi:10.1097/MRR.0b013e32835acfec</w:t>
      </w:r>
    </w:p>
    <w:p w14:paraId="4554E890" w14:textId="338505F5" w:rsidR="00BF44AB" w:rsidRPr="00B22C17" w:rsidRDefault="00BF44AB" w:rsidP="00596729">
      <w:pPr>
        <w:widowControl w:val="0"/>
        <w:autoSpaceDE w:val="0"/>
        <w:autoSpaceDN w:val="0"/>
        <w:adjustRightInd w:val="0"/>
        <w:spacing w:line="480" w:lineRule="auto"/>
        <w:jc w:val="both"/>
        <w:rPr>
          <w:rFonts w:ascii="Times New Roman" w:hAnsi="Times New Roman" w:cs="Times New Roman"/>
          <w:lang w:val="en-US"/>
        </w:rPr>
      </w:pPr>
      <w:r w:rsidRPr="00B22C17">
        <w:rPr>
          <w:rFonts w:ascii="Times New Roman" w:hAnsi="Times New Roman" w:cs="Times New Roman"/>
          <w:lang w:val="en-US"/>
        </w:rPr>
        <w:t xml:space="preserve">41. </w:t>
      </w:r>
      <w:r w:rsidRPr="00B22C17">
        <w:rPr>
          <w:rFonts w:ascii="Times New Roman" w:hAnsi="Times New Roman" w:cs="Times New Roman"/>
          <w:lang w:val="en-US"/>
        </w:rPr>
        <w:tab/>
        <w:t>Reif S, Adams RS, Ritter GA, Williams TV, Larso</w:t>
      </w:r>
      <w:r w:rsidR="00FF0455" w:rsidRPr="00B22C17">
        <w:rPr>
          <w:rFonts w:ascii="Times New Roman" w:hAnsi="Times New Roman" w:cs="Times New Roman"/>
          <w:lang w:val="en-US"/>
        </w:rPr>
        <w:t xml:space="preserve">n MJ (2018) </w:t>
      </w:r>
      <w:r w:rsidRPr="00B22C17">
        <w:rPr>
          <w:rFonts w:ascii="Times New Roman" w:hAnsi="Times New Roman" w:cs="Times New Roman"/>
          <w:lang w:val="en-US"/>
        </w:rPr>
        <w:t xml:space="preserve">Prevalence of Pain Diagnoses and Burden of Pain Among Active Duty </w:t>
      </w:r>
      <w:r w:rsidR="00FF0455" w:rsidRPr="00B22C17">
        <w:rPr>
          <w:rFonts w:ascii="Times New Roman" w:hAnsi="Times New Roman" w:cs="Times New Roman"/>
          <w:lang w:val="en-US"/>
        </w:rPr>
        <w:t xml:space="preserve">Soldiers, FY2012. Mil Med </w:t>
      </w:r>
      <w:r w:rsidRPr="00B22C17">
        <w:rPr>
          <w:rFonts w:ascii="Times New Roman" w:hAnsi="Times New Roman" w:cs="Times New Roman"/>
          <w:lang w:val="en-US"/>
        </w:rPr>
        <w:t>183: e330–e337. doi:10.1093/milmed/usx200</w:t>
      </w:r>
    </w:p>
    <w:p w14:paraId="495901C0" w14:textId="27A19314" w:rsidR="00C007BE" w:rsidRPr="00B22C17" w:rsidRDefault="00673677" w:rsidP="00FF0455">
      <w:pPr>
        <w:spacing w:line="480" w:lineRule="auto"/>
        <w:jc w:val="both"/>
        <w:rPr>
          <w:rFonts w:ascii="Times New Roman" w:hAnsi="Times New Roman" w:cs="Times New Roman"/>
          <w:lang w:val="en-US"/>
        </w:rPr>
      </w:pPr>
      <w:r w:rsidRPr="00B22C17">
        <w:rPr>
          <w:rFonts w:ascii="Times New Roman" w:hAnsi="Times New Roman" w:cs="Times New Roman"/>
          <w:lang w:val="en-US"/>
        </w:rPr>
        <w:fldChar w:fldCharType="end"/>
      </w:r>
      <w:r w:rsidR="00C007BE" w:rsidRPr="00B22C17">
        <w:rPr>
          <w:rFonts w:ascii="Times New Roman" w:hAnsi="Times New Roman" w:cs="Times New Roman"/>
          <w:lang w:val="en-US"/>
        </w:rPr>
        <w:br w:type="page"/>
      </w:r>
    </w:p>
    <w:p w14:paraId="5C53E2BB" w14:textId="77777777" w:rsidR="00C65FFB" w:rsidRDefault="00C65FFB" w:rsidP="00C65FFB">
      <w:pPr>
        <w:pStyle w:val="Heading1"/>
      </w:pPr>
      <w:r>
        <w:lastRenderedPageBreak/>
        <w:t>Tables and Figures</w:t>
      </w:r>
    </w:p>
    <w:p w14:paraId="43C67739" w14:textId="0C34B016" w:rsidR="00D36D52" w:rsidRPr="00B22C17" w:rsidRDefault="00D36D52" w:rsidP="00D36D52">
      <w:pPr>
        <w:spacing w:line="480" w:lineRule="auto"/>
        <w:jc w:val="both"/>
        <w:rPr>
          <w:rFonts w:ascii="Times New Roman" w:hAnsi="Times New Roman" w:cs="Times New Roman"/>
          <w:lang w:val="en-US"/>
        </w:rPr>
      </w:pPr>
      <w:r w:rsidRPr="00B22C17">
        <w:rPr>
          <w:rFonts w:ascii="Times New Roman" w:hAnsi="Times New Roman" w:cs="Times New Roman"/>
          <w:b/>
          <w:bCs/>
          <w:lang w:val="en-US"/>
        </w:rPr>
        <w:t>Table 1.</w:t>
      </w:r>
      <w:r w:rsidRPr="00B22C17">
        <w:rPr>
          <w:rFonts w:ascii="Times New Roman" w:hAnsi="Times New Roman" w:cs="Times New Roman"/>
          <w:lang w:val="en-US"/>
        </w:rPr>
        <w:t xml:space="preserve"> Sample characteristics (overall and by back and neck pain and workplace absenteeism status)</w:t>
      </w:r>
    </w:p>
    <w:tbl>
      <w:tblPr>
        <w:tblStyle w:val="TableGrid"/>
        <w:tblW w:w="10892" w:type="dxa"/>
        <w:tblInd w:w="-998" w:type="dxa"/>
        <w:tblLook w:val="04A0" w:firstRow="1" w:lastRow="0" w:firstColumn="1" w:lastColumn="0" w:noHBand="0" w:noVBand="1"/>
      </w:tblPr>
      <w:tblGrid>
        <w:gridCol w:w="1407"/>
        <w:gridCol w:w="3086"/>
        <w:gridCol w:w="1057"/>
        <w:gridCol w:w="1057"/>
        <w:gridCol w:w="907"/>
        <w:gridCol w:w="779"/>
        <w:gridCol w:w="910"/>
        <w:gridCol w:w="910"/>
        <w:gridCol w:w="779"/>
      </w:tblGrid>
      <w:tr w:rsidR="00D36D52" w:rsidRPr="00B22C17" w14:paraId="29D675D7" w14:textId="77777777" w:rsidTr="000069E2">
        <w:tc>
          <w:tcPr>
            <w:tcW w:w="0" w:type="auto"/>
            <w:vMerge w:val="restart"/>
          </w:tcPr>
          <w:p w14:paraId="2FD88C97"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Characteristics</w:t>
            </w:r>
          </w:p>
        </w:tc>
        <w:tc>
          <w:tcPr>
            <w:tcW w:w="0" w:type="auto"/>
            <w:vMerge w:val="restart"/>
          </w:tcPr>
          <w:p w14:paraId="21965041"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Category</w:t>
            </w:r>
          </w:p>
        </w:tc>
        <w:tc>
          <w:tcPr>
            <w:tcW w:w="0" w:type="auto"/>
            <w:vMerge w:val="restart"/>
          </w:tcPr>
          <w:p w14:paraId="1E918776"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Overall</w:t>
            </w:r>
          </w:p>
          <w:p w14:paraId="50067609"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(N=1,471)</w:t>
            </w:r>
          </w:p>
        </w:tc>
        <w:tc>
          <w:tcPr>
            <w:tcW w:w="0" w:type="auto"/>
            <w:gridSpan w:val="3"/>
          </w:tcPr>
          <w:p w14:paraId="22EB0BA4"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 xml:space="preserve">Back and neck </w:t>
            </w:r>
            <w:proofErr w:type="spellStart"/>
            <w:r w:rsidRPr="00B22C17">
              <w:rPr>
                <w:rFonts w:ascii="Times New Roman" w:hAnsi="Times New Roman" w:cs="Times New Roman"/>
                <w:sz w:val="20"/>
                <w:szCs w:val="20"/>
                <w:lang w:val="en-US"/>
              </w:rPr>
              <w:t>pain</w:t>
            </w:r>
            <w:r w:rsidRPr="00B22C17">
              <w:rPr>
                <w:rFonts w:ascii="Times New Roman" w:hAnsi="Times New Roman" w:cs="Times New Roman"/>
                <w:sz w:val="20"/>
                <w:szCs w:val="20"/>
                <w:vertAlign w:val="superscript"/>
                <w:lang w:val="en-US"/>
              </w:rPr>
              <w:t>a</w:t>
            </w:r>
            <w:proofErr w:type="spellEnd"/>
          </w:p>
        </w:tc>
        <w:tc>
          <w:tcPr>
            <w:tcW w:w="2599" w:type="dxa"/>
            <w:gridSpan w:val="3"/>
          </w:tcPr>
          <w:p w14:paraId="2E2A5A49"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 xml:space="preserve">Workplace </w:t>
            </w:r>
            <w:proofErr w:type="spellStart"/>
            <w:r w:rsidRPr="00B22C17">
              <w:rPr>
                <w:rFonts w:ascii="Times New Roman" w:hAnsi="Times New Roman" w:cs="Times New Roman"/>
                <w:sz w:val="20"/>
                <w:szCs w:val="20"/>
                <w:lang w:val="en-US"/>
              </w:rPr>
              <w:t>absenteeism</w:t>
            </w:r>
            <w:r w:rsidRPr="00B22C17">
              <w:rPr>
                <w:rFonts w:ascii="Times New Roman" w:hAnsi="Times New Roman" w:cs="Times New Roman"/>
                <w:sz w:val="20"/>
                <w:szCs w:val="20"/>
                <w:vertAlign w:val="superscript"/>
                <w:lang w:val="en-US"/>
              </w:rPr>
              <w:t>b</w:t>
            </w:r>
            <w:proofErr w:type="spellEnd"/>
          </w:p>
        </w:tc>
      </w:tr>
      <w:tr w:rsidR="00D36D52" w:rsidRPr="00B22C17" w14:paraId="005291DE" w14:textId="77777777" w:rsidTr="00E37A94">
        <w:tc>
          <w:tcPr>
            <w:tcW w:w="0" w:type="auto"/>
            <w:vMerge/>
          </w:tcPr>
          <w:p w14:paraId="23739259" w14:textId="77777777" w:rsidR="00D36D52" w:rsidRPr="00B22C17" w:rsidRDefault="00D36D52" w:rsidP="00E37A94">
            <w:pPr>
              <w:rPr>
                <w:rFonts w:ascii="Times New Roman" w:hAnsi="Times New Roman" w:cs="Times New Roman"/>
                <w:sz w:val="20"/>
                <w:szCs w:val="20"/>
                <w:lang w:val="en-US"/>
              </w:rPr>
            </w:pPr>
          </w:p>
        </w:tc>
        <w:tc>
          <w:tcPr>
            <w:tcW w:w="0" w:type="auto"/>
            <w:vMerge/>
          </w:tcPr>
          <w:p w14:paraId="23C2209F" w14:textId="77777777" w:rsidR="00D36D52" w:rsidRPr="00B22C17" w:rsidRDefault="00D36D52" w:rsidP="00E37A94">
            <w:pPr>
              <w:rPr>
                <w:rFonts w:ascii="Times New Roman" w:hAnsi="Times New Roman" w:cs="Times New Roman"/>
                <w:sz w:val="20"/>
                <w:szCs w:val="20"/>
                <w:lang w:val="en-US"/>
              </w:rPr>
            </w:pPr>
          </w:p>
        </w:tc>
        <w:tc>
          <w:tcPr>
            <w:tcW w:w="0" w:type="auto"/>
            <w:vMerge/>
          </w:tcPr>
          <w:p w14:paraId="696A47C1" w14:textId="77777777" w:rsidR="00D36D52" w:rsidRPr="00B22C17" w:rsidRDefault="00D36D52" w:rsidP="00E37A94">
            <w:pPr>
              <w:rPr>
                <w:rFonts w:ascii="Times New Roman" w:hAnsi="Times New Roman" w:cs="Times New Roman"/>
                <w:sz w:val="20"/>
                <w:szCs w:val="20"/>
                <w:lang w:val="en-US"/>
              </w:rPr>
            </w:pPr>
          </w:p>
        </w:tc>
        <w:tc>
          <w:tcPr>
            <w:tcW w:w="0" w:type="auto"/>
          </w:tcPr>
          <w:p w14:paraId="2D4FA8B5"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No</w:t>
            </w:r>
          </w:p>
          <w:p w14:paraId="6407E95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(N=1,068)</w:t>
            </w:r>
          </w:p>
        </w:tc>
        <w:tc>
          <w:tcPr>
            <w:tcW w:w="0" w:type="auto"/>
          </w:tcPr>
          <w:p w14:paraId="1E8E9FCB"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Yes</w:t>
            </w:r>
          </w:p>
          <w:p w14:paraId="609500A4"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(N=403)</w:t>
            </w:r>
          </w:p>
        </w:tc>
        <w:tc>
          <w:tcPr>
            <w:tcW w:w="0" w:type="auto"/>
          </w:tcPr>
          <w:p w14:paraId="4F4681DF"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P-</w:t>
            </w:r>
            <w:proofErr w:type="spellStart"/>
            <w:r w:rsidRPr="00B22C17">
              <w:rPr>
                <w:rFonts w:ascii="Times New Roman" w:hAnsi="Times New Roman" w:cs="Times New Roman"/>
                <w:sz w:val="20"/>
                <w:szCs w:val="20"/>
                <w:lang w:val="en-US"/>
              </w:rPr>
              <w:t>value</w:t>
            </w:r>
            <w:r w:rsidRPr="00B22C17">
              <w:rPr>
                <w:rFonts w:ascii="Times New Roman" w:hAnsi="Times New Roman" w:cs="Times New Roman"/>
                <w:sz w:val="20"/>
                <w:szCs w:val="20"/>
                <w:vertAlign w:val="superscript"/>
                <w:lang w:val="en-US"/>
              </w:rPr>
              <w:t>c</w:t>
            </w:r>
            <w:proofErr w:type="spellEnd"/>
          </w:p>
        </w:tc>
        <w:tc>
          <w:tcPr>
            <w:tcW w:w="0" w:type="auto"/>
          </w:tcPr>
          <w:p w14:paraId="5EF1303C"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 xml:space="preserve">0-1 day of absence in the last year </w:t>
            </w:r>
          </w:p>
          <w:p w14:paraId="65D46109"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(N=767)</w:t>
            </w:r>
          </w:p>
        </w:tc>
        <w:tc>
          <w:tcPr>
            <w:tcW w:w="0" w:type="auto"/>
          </w:tcPr>
          <w:p w14:paraId="1F9B7E0C"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≥2 days of absence in the last year</w:t>
            </w:r>
          </w:p>
          <w:p w14:paraId="2B3F5BCA"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(N=704)</w:t>
            </w:r>
          </w:p>
        </w:tc>
        <w:tc>
          <w:tcPr>
            <w:tcW w:w="779" w:type="dxa"/>
          </w:tcPr>
          <w:p w14:paraId="38B12E86"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P-</w:t>
            </w:r>
            <w:proofErr w:type="spellStart"/>
            <w:r w:rsidRPr="00B22C17">
              <w:rPr>
                <w:rFonts w:ascii="Times New Roman" w:hAnsi="Times New Roman" w:cs="Times New Roman"/>
                <w:sz w:val="20"/>
                <w:szCs w:val="20"/>
                <w:lang w:val="en-US"/>
              </w:rPr>
              <w:t>value</w:t>
            </w:r>
            <w:r w:rsidRPr="00B22C17">
              <w:rPr>
                <w:rFonts w:ascii="Times New Roman" w:hAnsi="Times New Roman" w:cs="Times New Roman"/>
                <w:sz w:val="20"/>
                <w:szCs w:val="20"/>
                <w:vertAlign w:val="superscript"/>
                <w:lang w:val="en-US"/>
              </w:rPr>
              <w:t>c</w:t>
            </w:r>
            <w:proofErr w:type="spellEnd"/>
          </w:p>
        </w:tc>
      </w:tr>
      <w:tr w:rsidR="00D36D52" w:rsidRPr="00B22C17" w14:paraId="641BFA76" w14:textId="77777777" w:rsidTr="00E37A94">
        <w:tc>
          <w:tcPr>
            <w:tcW w:w="0" w:type="auto"/>
            <w:vMerge w:val="restart"/>
          </w:tcPr>
          <w:p w14:paraId="7AB2943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Sex</w:t>
            </w:r>
          </w:p>
        </w:tc>
        <w:tc>
          <w:tcPr>
            <w:tcW w:w="0" w:type="auto"/>
          </w:tcPr>
          <w:p w14:paraId="2FEBEB87"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Male</w:t>
            </w:r>
          </w:p>
        </w:tc>
        <w:tc>
          <w:tcPr>
            <w:tcW w:w="0" w:type="auto"/>
          </w:tcPr>
          <w:p w14:paraId="08B76619"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52.9</w:t>
            </w:r>
          </w:p>
        </w:tc>
        <w:tc>
          <w:tcPr>
            <w:tcW w:w="0" w:type="auto"/>
          </w:tcPr>
          <w:p w14:paraId="7ED48E91"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54.4</w:t>
            </w:r>
          </w:p>
        </w:tc>
        <w:tc>
          <w:tcPr>
            <w:tcW w:w="0" w:type="auto"/>
          </w:tcPr>
          <w:p w14:paraId="3B6E477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48.3</w:t>
            </w:r>
          </w:p>
        </w:tc>
        <w:tc>
          <w:tcPr>
            <w:tcW w:w="0" w:type="auto"/>
            <w:vMerge w:val="restart"/>
          </w:tcPr>
          <w:p w14:paraId="10B769C9"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0.209</w:t>
            </w:r>
          </w:p>
        </w:tc>
        <w:tc>
          <w:tcPr>
            <w:tcW w:w="0" w:type="auto"/>
          </w:tcPr>
          <w:p w14:paraId="6761EC2E"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52.5</w:t>
            </w:r>
          </w:p>
        </w:tc>
        <w:tc>
          <w:tcPr>
            <w:tcW w:w="0" w:type="auto"/>
          </w:tcPr>
          <w:p w14:paraId="32AE8857"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53.3</w:t>
            </w:r>
          </w:p>
        </w:tc>
        <w:tc>
          <w:tcPr>
            <w:tcW w:w="779" w:type="dxa"/>
            <w:vMerge w:val="restart"/>
          </w:tcPr>
          <w:p w14:paraId="6CB12D19"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0.845</w:t>
            </w:r>
          </w:p>
        </w:tc>
      </w:tr>
      <w:tr w:rsidR="00D36D52" w:rsidRPr="00B22C17" w14:paraId="62A8E783" w14:textId="77777777" w:rsidTr="00E37A94">
        <w:tc>
          <w:tcPr>
            <w:tcW w:w="0" w:type="auto"/>
            <w:vMerge/>
          </w:tcPr>
          <w:p w14:paraId="20646DBE" w14:textId="77777777" w:rsidR="00D36D52" w:rsidRPr="00B22C17" w:rsidRDefault="00D36D52" w:rsidP="00E37A94">
            <w:pPr>
              <w:rPr>
                <w:rFonts w:ascii="Times New Roman" w:hAnsi="Times New Roman" w:cs="Times New Roman"/>
                <w:sz w:val="20"/>
                <w:szCs w:val="20"/>
                <w:lang w:val="en-US"/>
              </w:rPr>
            </w:pPr>
          </w:p>
        </w:tc>
        <w:tc>
          <w:tcPr>
            <w:tcW w:w="0" w:type="auto"/>
          </w:tcPr>
          <w:p w14:paraId="47D2C294"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Female</w:t>
            </w:r>
          </w:p>
        </w:tc>
        <w:tc>
          <w:tcPr>
            <w:tcW w:w="0" w:type="auto"/>
          </w:tcPr>
          <w:p w14:paraId="7B7F7636"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47.1</w:t>
            </w:r>
          </w:p>
        </w:tc>
        <w:tc>
          <w:tcPr>
            <w:tcW w:w="0" w:type="auto"/>
          </w:tcPr>
          <w:p w14:paraId="63E6FCA3"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45.6</w:t>
            </w:r>
          </w:p>
        </w:tc>
        <w:tc>
          <w:tcPr>
            <w:tcW w:w="0" w:type="auto"/>
          </w:tcPr>
          <w:p w14:paraId="2F76DF58"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51.7</w:t>
            </w:r>
          </w:p>
        </w:tc>
        <w:tc>
          <w:tcPr>
            <w:tcW w:w="0" w:type="auto"/>
            <w:vMerge/>
          </w:tcPr>
          <w:p w14:paraId="7E62FC8B" w14:textId="77777777" w:rsidR="00D36D52" w:rsidRPr="00B22C17" w:rsidRDefault="00D36D52" w:rsidP="00E37A94">
            <w:pPr>
              <w:rPr>
                <w:rFonts w:ascii="Times New Roman" w:hAnsi="Times New Roman" w:cs="Times New Roman"/>
                <w:sz w:val="20"/>
                <w:szCs w:val="20"/>
                <w:lang w:val="en-US"/>
              </w:rPr>
            </w:pPr>
          </w:p>
        </w:tc>
        <w:tc>
          <w:tcPr>
            <w:tcW w:w="0" w:type="auto"/>
          </w:tcPr>
          <w:p w14:paraId="367F6EF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47.5</w:t>
            </w:r>
          </w:p>
        </w:tc>
        <w:tc>
          <w:tcPr>
            <w:tcW w:w="0" w:type="auto"/>
          </w:tcPr>
          <w:p w14:paraId="51CFAC34"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46.7</w:t>
            </w:r>
          </w:p>
        </w:tc>
        <w:tc>
          <w:tcPr>
            <w:tcW w:w="779" w:type="dxa"/>
            <w:vMerge/>
          </w:tcPr>
          <w:p w14:paraId="270E1784" w14:textId="77777777" w:rsidR="00D36D52" w:rsidRPr="00B22C17" w:rsidRDefault="00D36D52" w:rsidP="00E37A94">
            <w:pPr>
              <w:rPr>
                <w:rFonts w:ascii="Times New Roman" w:hAnsi="Times New Roman" w:cs="Times New Roman"/>
                <w:sz w:val="20"/>
                <w:szCs w:val="20"/>
                <w:lang w:val="en-US"/>
              </w:rPr>
            </w:pPr>
          </w:p>
        </w:tc>
      </w:tr>
      <w:tr w:rsidR="000069E2" w:rsidRPr="00B22C17" w14:paraId="3CDF3043" w14:textId="77777777" w:rsidTr="00E37A94">
        <w:tc>
          <w:tcPr>
            <w:tcW w:w="0" w:type="auto"/>
            <w:vMerge w:val="restart"/>
          </w:tcPr>
          <w:p w14:paraId="04C66E27" w14:textId="77777777" w:rsidR="000069E2" w:rsidRPr="00B22C17" w:rsidRDefault="000069E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Age (years)</w:t>
            </w:r>
          </w:p>
        </w:tc>
        <w:tc>
          <w:tcPr>
            <w:tcW w:w="0" w:type="auto"/>
          </w:tcPr>
          <w:p w14:paraId="4B7C6E50" w14:textId="77777777" w:rsidR="000069E2" w:rsidRPr="00B22C17" w:rsidRDefault="000069E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Mean (standard deviation)</w:t>
            </w:r>
          </w:p>
        </w:tc>
        <w:tc>
          <w:tcPr>
            <w:tcW w:w="0" w:type="auto"/>
          </w:tcPr>
          <w:p w14:paraId="7FA0C9FA" w14:textId="77777777" w:rsidR="000069E2" w:rsidRPr="00B22C17" w:rsidRDefault="000069E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44.5 (13.0)</w:t>
            </w:r>
          </w:p>
        </w:tc>
        <w:tc>
          <w:tcPr>
            <w:tcW w:w="0" w:type="auto"/>
          </w:tcPr>
          <w:p w14:paraId="567170A2" w14:textId="77777777" w:rsidR="000069E2" w:rsidRPr="00B22C17" w:rsidRDefault="000069E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43.8 (12.9)</w:t>
            </w:r>
          </w:p>
        </w:tc>
        <w:tc>
          <w:tcPr>
            <w:tcW w:w="0" w:type="auto"/>
          </w:tcPr>
          <w:p w14:paraId="58FAD795" w14:textId="77777777" w:rsidR="000069E2" w:rsidRPr="00B22C17" w:rsidRDefault="000069E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46.6 (13.1)</w:t>
            </w:r>
          </w:p>
        </w:tc>
        <w:tc>
          <w:tcPr>
            <w:tcW w:w="0" w:type="auto"/>
          </w:tcPr>
          <w:p w14:paraId="2A2D5C14" w14:textId="77777777" w:rsidR="000069E2" w:rsidRPr="00B22C17" w:rsidRDefault="000069E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0.028</w:t>
            </w:r>
          </w:p>
        </w:tc>
        <w:tc>
          <w:tcPr>
            <w:tcW w:w="0" w:type="auto"/>
          </w:tcPr>
          <w:p w14:paraId="293222CA" w14:textId="77777777" w:rsidR="000069E2" w:rsidRPr="00B22C17" w:rsidRDefault="000069E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45.0 (13.2)</w:t>
            </w:r>
          </w:p>
        </w:tc>
        <w:tc>
          <w:tcPr>
            <w:tcW w:w="0" w:type="auto"/>
          </w:tcPr>
          <w:p w14:paraId="036D69B7" w14:textId="77777777" w:rsidR="000069E2" w:rsidRPr="00B22C17" w:rsidRDefault="000069E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44.0 (12.6)</w:t>
            </w:r>
          </w:p>
        </w:tc>
        <w:tc>
          <w:tcPr>
            <w:tcW w:w="779" w:type="dxa"/>
          </w:tcPr>
          <w:p w14:paraId="177D4C27" w14:textId="77777777" w:rsidR="000069E2" w:rsidRPr="00B22C17" w:rsidRDefault="000069E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0.375</w:t>
            </w:r>
          </w:p>
        </w:tc>
      </w:tr>
      <w:tr w:rsidR="000069E2" w:rsidRPr="00B22C17" w14:paraId="063CBE50" w14:textId="77777777" w:rsidTr="00E37A94">
        <w:tc>
          <w:tcPr>
            <w:tcW w:w="0" w:type="auto"/>
            <w:vMerge/>
          </w:tcPr>
          <w:p w14:paraId="7B67DD16" w14:textId="77777777" w:rsidR="000069E2" w:rsidRPr="00B22C17" w:rsidRDefault="000069E2" w:rsidP="00E37A94">
            <w:pPr>
              <w:rPr>
                <w:rFonts w:ascii="Times New Roman" w:hAnsi="Times New Roman" w:cs="Times New Roman"/>
                <w:sz w:val="20"/>
                <w:szCs w:val="20"/>
                <w:lang w:val="en-US"/>
              </w:rPr>
            </w:pPr>
          </w:p>
        </w:tc>
        <w:tc>
          <w:tcPr>
            <w:tcW w:w="0" w:type="auto"/>
          </w:tcPr>
          <w:p w14:paraId="5A9994D0" w14:textId="4B3A4635" w:rsidR="000069E2" w:rsidRPr="00B22C17" w:rsidRDefault="000069E2" w:rsidP="00E37A94">
            <w:pPr>
              <w:rPr>
                <w:rFonts w:ascii="Times New Roman" w:hAnsi="Times New Roman" w:cs="Times New Roman"/>
                <w:color w:val="808080" w:themeColor="background1" w:themeShade="80"/>
                <w:sz w:val="20"/>
                <w:szCs w:val="20"/>
                <w:lang w:val="en-US"/>
              </w:rPr>
            </w:pPr>
            <w:r w:rsidRPr="00B22C17">
              <w:rPr>
                <w:rFonts w:ascii="Times New Roman" w:hAnsi="Times New Roman" w:cs="Times New Roman"/>
                <w:color w:val="808080" w:themeColor="background1" w:themeShade="80"/>
                <w:sz w:val="20"/>
                <w:szCs w:val="20"/>
                <w:lang w:val="en-US"/>
              </w:rPr>
              <w:t>&lt;40</w:t>
            </w:r>
          </w:p>
        </w:tc>
        <w:tc>
          <w:tcPr>
            <w:tcW w:w="0" w:type="auto"/>
          </w:tcPr>
          <w:p w14:paraId="50EEE3A0" w14:textId="6B6F8737" w:rsidR="000069E2" w:rsidRPr="00B22C17" w:rsidRDefault="001E06AC" w:rsidP="00E37A94">
            <w:pPr>
              <w:rPr>
                <w:rFonts w:ascii="Times New Roman" w:hAnsi="Times New Roman" w:cs="Times New Roman"/>
                <w:color w:val="808080" w:themeColor="background1" w:themeShade="80"/>
                <w:sz w:val="20"/>
                <w:szCs w:val="20"/>
                <w:lang w:val="en-US"/>
              </w:rPr>
            </w:pPr>
            <w:r w:rsidRPr="00B22C17">
              <w:rPr>
                <w:rFonts w:ascii="Times New Roman" w:hAnsi="Times New Roman" w:cs="Times New Roman"/>
                <w:color w:val="808080" w:themeColor="background1" w:themeShade="80"/>
                <w:sz w:val="20"/>
                <w:szCs w:val="20"/>
                <w:lang w:val="en-US"/>
              </w:rPr>
              <w:t>40.2</w:t>
            </w:r>
          </w:p>
        </w:tc>
        <w:tc>
          <w:tcPr>
            <w:tcW w:w="0" w:type="auto"/>
          </w:tcPr>
          <w:p w14:paraId="779F58D3" w14:textId="5479B356" w:rsidR="000069E2" w:rsidRPr="00B22C17" w:rsidRDefault="001E06AC" w:rsidP="00E37A94">
            <w:pPr>
              <w:rPr>
                <w:rFonts w:ascii="Times New Roman" w:hAnsi="Times New Roman" w:cs="Times New Roman"/>
                <w:color w:val="808080" w:themeColor="background1" w:themeShade="80"/>
                <w:sz w:val="20"/>
                <w:szCs w:val="20"/>
                <w:lang w:val="en-US"/>
              </w:rPr>
            </w:pPr>
            <w:r w:rsidRPr="00B22C17">
              <w:rPr>
                <w:rFonts w:ascii="Times New Roman" w:hAnsi="Times New Roman" w:cs="Times New Roman"/>
                <w:color w:val="808080" w:themeColor="background1" w:themeShade="80"/>
                <w:sz w:val="20"/>
                <w:szCs w:val="20"/>
                <w:lang w:val="en-US"/>
              </w:rPr>
              <w:t>42.3</w:t>
            </w:r>
          </w:p>
        </w:tc>
        <w:tc>
          <w:tcPr>
            <w:tcW w:w="0" w:type="auto"/>
          </w:tcPr>
          <w:p w14:paraId="371F7F7A" w14:textId="45A7BF68" w:rsidR="000069E2" w:rsidRPr="00B22C17" w:rsidRDefault="001E06AC" w:rsidP="00E37A94">
            <w:pPr>
              <w:rPr>
                <w:rFonts w:ascii="Times New Roman" w:hAnsi="Times New Roman" w:cs="Times New Roman"/>
                <w:color w:val="808080" w:themeColor="background1" w:themeShade="80"/>
                <w:sz w:val="20"/>
                <w:szCs w:val="20"/>
                <w:lang w:val="en-US"/>
              </w:rPr>
            </w:pPr>
            <w:r w:rsidRPr="00B22C17">
              <w:rPr>
                <w:rFonts w:ascii="Times New Roman" w:hAnsi="Times New Roman" w:cs="Times New Roman"/>
                <w:color w:val="808080" w:themeColor="background1" w:themeShade="80"/>
                <w:sz w:val="20"/>
                <w:szCs w:val="20"/>
                <w:lang w:val="en-US"/>
              </w:rPr>
              <w:t>33.9</w:t>
            </w:r>
          </w:p>
        </w:tc>
        <w:tc>
          <w:tcPr>
            <w:tcW w:w="0" w:type="auto"/>
            <w:vMerge w:val="restart"/>
          </w:tcPr>
          <w:p w14:paraId="4E6A49A8" w14:textId="5A22D875" w:rsidR="000069E2" w:rsidRPr="00B22C17" w:rsidRDefault="005A0DB7" w:rsidP="00E37A94">
            <w:pPr>
              <w:rPr>
                <w:rFonts w:ascii="Times New Roman" w:hAnsi="Times New Roman" w:cs="Times New Roman"/>
                <w:color w:val="808080" w:themeColor="background1" w:themeShade="80"/>
                <w:sz w:val="20"/>
                <w:szCs w:val="20"/>
                <w:lang w:val="en-US"/>
              </w:rPr>
            </w:pPr>
            <w:r w:rsidRPr="00B22C17">
              <w:rPr>
                <w:rFonts w:ascii="Times New Roman" w:hAnsi="Times New Roman" w:cs="Times New Roman"/>
                <w:color w:val="808080" w:themeColor="background1" w:themeShade="80"/>
                <w:sz w:val="20"/>
                <w:szCs w:val="20"/>
                <w:lang w:val="en-US"/>
              </w:rPr>
              <w:t>0.150</w:t>
            </w:r>
          </w:p>
        </w:tc>
        <w:tc>
          <w:tcPr>
            <w:tcW w:w="0" w:type="auto"/>
          </w:tcPr>
          <w:p w14:paraId="5E987FCE" w14:textId="412B392D" w:rsidR="000069E2" w:rsidRPr="00B22C17" w:rsidRDefault="00A1506B" w:rsidP="00E37A94">
            <w:pPr>
              <w:rPr>
                <w:rFonts w:ascii="Times New Roman" w:hAnsi="Times New Roman" w:cs="Times New Roman"/>
                <w:color w:val="808080" w:themeColor="background1" w:themeShade="80"/>
                <w:sz w:val="20"/>
                <w:szCs w:val="20"/>
                <w:lang w:val="en-US"/>
              </w:rPr>
            </w:pPr>
            <w:r w:rsidRPr="00B22C17">
              <w:rPr>
                <w:rFonts w:ascii="Times New Roman" w:hAnsi="Times New Roman" w:cs="Times New Roman"/>
                <w:color w:val="808080" w:themeColor="background1" w:themeShade="80"/>
                <w:sz w:val="20"/>
                <w:szCs w:val="20"/>
                <w:lang w:val="en-US"/>
              </w:rPr>
              <w:t>40.5</w:t>
            </w:r>
          </w:p>
        </w:tc>
        <w:tc>
          <w:tcPr>
            <w:tcW w:w="0" w:type="auto"/>
          </w:tcPr>
          <w:p w14:paraId="1B6BF082" w14:textId="76633332" w:rsidR="000069E2" w:rsidRPr="00B22C17" w:rsidRDefault="00A1506B" w:rsidP="00E37A94">
            <w:pPr>
              <w:rPr>
                <w:rFonts w:ascii="Times New Roman" w:hAnsi="Times New Roman" w:cs="Times New Roman"/>
                <w:color w:val="808080" w:themeColor="background1" w:themeShade="80"/>
                <w:sz w:val="20"/>
                <w:szCs w:val="20"/>
                <w:lang w:val="en-US"/>
              </w:rPr>
            </w:pPr>
            <w:r w:rsidRPr="00B22C17">
              <w:rPr>
                <w:rFonts w:ascii="Times New Roman" w:hAnsi="Times New Roman" w:cs="Times New Roman"/>
                <w:color w:val="808080" w:themeColor="background1" w:themeShade="80"/>
                <w:sz w:val="20"/>
                <w:szCs w:val="20"/>
                <w:lang w:val="en-US"/>
              </w:rPr>
              <w:t>39.9</w:t>
            </w:r>
          </w:p>
        </w:tc>
        <w:tc>
          <w:tcPr>
            <w:tcW w:w="779" w:type="dxa"/>
            <w:vMerge w:val="restart"/>
          </w:tcPr>
          <w:p w14:paraId="16F66992" w14:textId="48B01569" w:rsidR="000069E2" w:rsidRPr="00B22C17" w:rsidRDefault="006650A4" w:rsidP="00E37A94">
            <w:pPr>
              <w:rPr>
                <w:rFonts w:ascii="Times New Roman" w:hAnsi="Times New Roman" w:cs="Times New Roman"/>
                <w:color w:val="808080" w:themeColor="background1" w:themeShade="80"/>
                <w:sz w:val="20"/>
                <w:szCs w:val="20"/>
                <w:lang w:val="en-US"/>
              </w:rPr>
            </w:pPr>
            <w:r w:rsidRPr="00B22C17">
              <w:rPr>
                <w:rFonts w:ascii="Times New Roman" w:hAnsi="Times New Roman" w:cs="Times New Roman"/>
                <w:color w:val="808080" w:themeColor="background1" w:themeShade="80"/>
                <w:sz w:val="20"/>
                <w:szCs w:val="20"/>
                <w:lang w:val="en-US"/>
              </w:rPr>
              <w:t>0.662</w:t>
            </w:r>
          </w:p>
        </w:tc>
      </w:tr>
      <w:tr w:rsidR="000069E2" w:rsidRPr="00B22C17" w14:paraId="7639E8A3" w14:textId="77777777" w:rsidTr="00E37A94">
        <w:tc>
          <w:tcPr>
            <w:tcW w:w="0" w:type="auto"/>
            <w:vMerge/>
          </w:tcPr>
          <w:p w14:paraId="506CA877" w14:textId="77777777" w:rsidR="000069E2" w:rsidRPr="00B22C17" w:rsidRDefault="000069E2" w:rsidP="00E37A94">
            <w:pPr>
              <w:rPr>
                <w:rFonts w:ascii="Times New Roman" w:hAnsi="Times New Roman" w:cs="Times New Roman"/>
                <w:sz w:val="20"/>
                <w:szCs w:val="20"/>
                <w:lang w:val="en-US"/>
              </w:rPr>
            </w:pPr>
          </w:p>
        </w:tc>
        <w:tc>
          <w:tcPr>
            <w:tcW w:w="0" w:type="auto"/>
          </w:tcPr>
          <w:p w14:paraId="7387AB4E" w14:textId="15115EEF" w:rsidR="000069E2" w:rsidRPr="00B22C17" w:rsidRDefault="000069E2" w:rsidP="00E37A94">
            <w:pPr>
              <w:rPr>
                <w:rFonts w:ascii="Times New Roman" w:hAnsi="Times New Roman" w:cs="Times New Roman"/>
                <w:color w:val="808080" w:themeColor="background1" w:themeShade="80"/>
                <w:sz w:val="20"/>
                <w:szCs w:val="20"/>
                <w:lang w:val="en-US"/>
              </w:rPr>
            </w:pPr>
            <w:r w:rsidRPr="00B22C17">
              <w:rPr>
                <w:rFonts w:ascii="Times New Roman" w:hAnsi="Times New Roman" w:cs="Times New Roman"/>
                <w:color w:val="808080" w:themeColor="background1" w:themeShade="80"/>
                <w:sz w:val="20"/>
                <w:szCs w:val="20"/>
                <w:lang w:val="en-US"/>
              </w:rPr>
              <w:t>40-59</w:t>
            </w:r>
          </w:p>
        </w:tc>
        <w:tc>
          <w:tcPr>
            <w:tcW w:w="0" w:type="auto"/>
          </w:tcPr>
          <w:p w14:paraId="36C3B384" w14:textId="51905508" w:rsidR="000069E2" w:rsidRPr="00B22C17" w:rsidRDefault="001E06AC" w:rsidP="00E37A94">
            <w:pPr>
              <w:rPr>
                <w:rFonts w:ascii="Times New Roman" w:hAnsi="Times New Roman" w:cs="Times New Roman"/>
                <w:color w:val="808080" w:themeColor="background1" w:themeShade="80"/>
                <w:sz w:val="20"/>
                <w:szCs w:val="20"/>
                <w:lang w:val="en-US"/>
              </w:rPr>
            </w:pPr>
            <w:r w:rsidRPr="00B22C17">
              <w:rPr>
                <w:rFonts w:ascii="Times New Roman" w:hAnsi="Times New Roman" w:cs="Times New Roman"/>
                <w:color w:val="808080" w:themeColor="background1" w:themeShade="80"/>
                <w:sz w:val="20"/>
                <w:szCs w:val="20"/>
                <w:lang w:val="en-US"/>
              </w:rPr>
              <w:t>43.2</w:t>
            </w:r>
          </w:p>
        </w:tc>
        <w:tc>
          <w:tcPr>
            <w:tcW w:w="0" w:type="auto"/>
          </w:tcPr>
          <w:p w14:paraId="0CCAA340" w14:textId="25CF2FF5" w:rsidR="000069E2" w:rsidRPr="00B22C17" w:rsidRDefault="001E06AC" w:rsidP="00E37A94">
            <w:pPr>
              <w:rPr>
                <w:rFonts w:ascii="Times New Roman" w:hAnsi="Times New Roman" w:cs="Times New Roman"/>
                <w:color w:val="808080" w:themeColor="background1" w:themeShade="80"/>
                <w:sz w:val="20"/>
                <w:szCs w:val="20"/>
                <w:lang w:val="en-US"/>
              </w:rPr>
            </w:pPr>
            <w:r w:rsidRPr="00B22C17">
              <w:rPr>
                <w:rFonts w:ascii="Times New Roman" w:hAnsi="Times New Roman" w:cs="Times New Roman"/>
                <w:color w:val="808080" w:themeColor="background1" w:themeShade="80"/>
                <w:sz w:val="20"/>
                <w:szCs w:val="20"/>
                <w:lang w:val="en-US"/>
              </w:rPr>
              <w:t>42.2</w:t>
            </w:r>
          </w:p>
        </w:tc>
        <w:tc>
          <w:tcPr>
            <w:tcW w:w="0" w:type="auto"/>
          </w:tcPr>
          <w:p w14:paraId="54E58EFD" w14:textId="3D8FB865" w:rsidR="000069E2" w:rsidRPr="00B22C17" w:rsidRDefault="001E06AC" w:rsidP="00E37A94">
            <w:pPr>
              <w:rPr>
                <w:rFonts w:ascii="Times New Roman" w:hAnsi="Times New Roman" w:cs="Times New Roman"/>
                <w:color w:val="808080" w:themeColor="background1" w:themeShade="80"/>
                <w:sz w:val="20"/>
                <w:szCs w:val="20"/>
                <w:lang w:val="en-US"/>
              </w:rPr>
            </w:pPr>
            <w:r w:rsidRPr="00B22C17">
              <w:rPr>
                <w:rFonts w:ascii="Times New Roman" w:hAnsi="Times New Roman" w:cs="Times New Roman"/>
                <w:color w:val="808080" w:themeColor="background1" w:themeShade="80"/>
                <w:sz w:val="20"/>
                <w:szCs w:val="20"/>
                <w:lang w:val="en-US"/>
              </w:rPr>
              <w:t>46.2</w:t>
            </w:r>
          </w:p>
        </w:tc>
        <w:tc>
          <w:tcPr>
            <w:tcW w:w="0" w:type="auto"/>
            <w:vMerge/>
          </w:tcPr>
          <w:p w14:paraId="05AB575B" w14:textId="77777777" w:rsidR="000069E2" w:rsidRPr="00B22C17" w:rsidRDefault="000069E2" w:rsidP="00E37A94">
            <w:pPr>
              <w:rPr>
                <w:rFonts w:ascii="Times New Roman" w:hAnsi="Times New Roman" w:cs="Times New Roman"/>
                <w:color w:val="808080" w:themeColor="background1" w:themeShade="80"/>
                <w:sz w:val="20"/>
                <w:szCs w:val="20"/>
                <w:lang w:val="en-US"/>
              </w:rPr>
            </w:pPr>
          </w:p>
        </w:tc>
        <w:tc>
          <w:tcPr>
            <w:tcW w:w="0" w:type="auto"/>
          </w:tcPr>
          <w:p w14:paraId="1942F090" w14:textId="53EBCBA3" w:rsidR="000069E2" w:rsidRPr="00B22C17" w:rsidRDefault="00A1506B" w:rsidP="00E37A94">
            <w:pPr>
              <w:rPr>
                <w:rFonts w:ascii="Times New Roman" w:hAnsi="Times New Roman" w:cs="Times New Roman"/>
                <w:color w:val="808080" w:themeColor="background1" w:themeShade="80"/>
                <w:sz w:val="20"/>
                <w:szCs w:val="20"/>
                <w:lang w:val="en-US"/>
              </w:rPr>
            </w:pPr>
            <w:r w:rsidRPr="00B22C17">
              <w:rPr>
                <w:rFonts w:ascii="Times New Roman" w:hAnsi="Times New Roman" w:cs="Times New Roman"/>
                <w:color w:val="808080" w:themeColor="background1" w:themeShade="80"/>
                <w:sz w:val="20"/>
                <w:szCs w:val="20"/>
                <w:lang w:val="en-US"/>
              </w:rPr>
              <w:t>41.9</w:t>
            </w:r>
          </w:p>
        </w:tc>
        <w:tc>
          <w:tcPr>
            <w:tcW w:w="0" w:type="auto"/>
          </w:tcPr>
          <w:p w14:paraId="38138820" w14:textId="089FDB0A" w:rsidR="000069E2" w:rsidRPr="00B22C17" w:rsidRDefault="00A1506B" w:rsidP="00E37A94">
            <w:pPr>
              <w:rPr>
                <w:rFonts w:ascii="Times New Roman" w:hAnsi="Times New Roman" w:cs="Times New Roman"/>
                <w:color w:val="808080" w:themeColor="background1" w:themeShade="80"/>
                <w:sz w:val="20"/>
                <w:szCs w:val="20"/>
                <w:lang w:val="en-US"/>
              </w:rPr>
            </w:pPr>
            <w:r w:rsidRPr="00B22C17">
              <w:rPr>
                <w:rFonts w:ascii="Times New Roman" w:hAnsi="Times New Roman" w:cs="Times New Roman"/>
                <w:color w:val="808080" w:themeColor="background1" w:themeShade="80"/>
                <w:sz w:val="20"/>
                <w:szCs w:val="20"/>
                <w:lang w:val="en-US"/>
              </w:rPr>
              <w:t>44.7</w:t>
            </w:r>
          </w:p>
        </w:tc>
        <w:tc>
          <w:tcPr>
            <w:tcW w:w="779" w:type="dxa"/>
            <w:vMerge/>
          </w:tcPr>
          <w:p w14:paraId="6059F5DC" w14:textId="77777777" w:rsidR="000069E2" w:rsidRPr="00B22C17" w:rsidRDefault="000069E2" w:rsidP="00E37A94">
            <w:pPr>
              <w:rPr>
                <w:rFonts w:ascii="Times New Roman" w:hAnsi="Times New Roman" w:cs="Times New Roman"/>
                <w:sz w:val="20"/>
                <w:szCs w:val="20"/>
                <w:lang w:val="en-US"/>
              </w:rPr>
            </w:pPr>
          </w:p>
        </w:tc>
      </w:tr>
      <w:tr w:rsidR="000069E2" w:rsidRPr="00B22C17" w14:paraId="4295FB0F" w14:textId="77777777" w:rsidTr="00E37A94">
        <w:tc>
          <w:tcPr>
            <w:tcW w:w="0" w:type="auto"/>
            <w:vMerge/>
          </w:tcPr>
          <w:p w14:paraId="75E36A1C" w14:textId="77777777" w:rsidR="000069E2" w:rsidRPr="00B22C17" w:rsidRDefault="000069E2" w:rsidP="00E37A94">
            <w:pPr>
              <w:rPr>
                <w:rFonts w:ascii="Times New Roman" w:hAnsi="Times New Roman" w:cs="Times New Roman"/>
                <w:sz w:val="20"/>
                <w:szCs w:val="20"/>
                <w:lang w:val="en-US"/>
              </w:rPr>
            </w:pPr>
          </w:p>
        </w:tc>
        <w:tc>
          <w:tcPr>
            <w:tcW w:w="0" w:type="auto"/>
          </w:tcPr>
          <w:p w14:paraId="306AAC49" w14:textId="0532BA54" w:rsidR="000069E2" w:rsidRPr="00B22C17" w:rsidRDefault="000069E2" w:rsidP="00E37A94">
            <w:pPr>
              <w:rPr>
                <w:rFonts w:ascii="Times New Roman" w:hAnsi="Times New Roman" w:cs="Times New Roman"/>
                <w:color w:val="808080" w:themeColor="background1" w:themeShade="80"/>
                <w:sz w:val="20"/>
                <w:szCs w:val="20"/>
                <w:lang w:val="en-US"/>
              </w:rPr>
            </w:pPr>
            <w:r w:rsidRPr="00B22C17">
              <w:rPr>
                <w:rFonts w:ascii="Times New Roman" w:hAnsi="Times New Roman" w:cs="Times New Roman"/>
                <w:color w:val="808080" w:themeColor="background1" w:themeShade="80"/>
                <w:sz w:val="20"/>
                <w:szCs w:val="20"/>
                <w:lang w:val="en-US"/>
              </w:rPr>
              <w:t>≥60</w:t>
            </w:r>
          </w:p>
        </w:tc>
        <w:tc>
          <w:tcPr>
            <w:tcW w:w="0" w:type="auto"/>
          </w:tcPr>
          <w:p w14:paraId="07602698" w14:textId="6C69AE2C" w:rsidR="000069E2" w:rsidRPr="00B22C17" w:rsidRDefault="001E06AC" w:rsidP="00E37A94">
            <w:pPr>
              <w:rPr>
                <w:rFonts w:ascii="Times New Roman" w:hAnsi="Times New Roman" w:cs="Times New Roman"/>
                <w:color w:val="808080" w:themeColor="background1" w:themeShade="80"/>
                <w:sz w:val="20"/>
                <w:szCs w:val="20"/>
                <w:lang w:val="en-US"/>
              </w:rPr>
            </w:pPr>
            <w:r w:rsidRPr="00B22C17">
              <w:rPr>
                <w:rFonts w:ascii="Times New Roman" w:hAnsi="Times New Roman" w:cs="Times New Roman"/>
                <w:color w:val="808080" w:themeColor="background1" w:themeShade="80"/>
                <w:sz w:val="20"/>
                <w:szCs w:val="20"/>
                <w:lang w:val="en-US"/>
              </w:rPr>
              <w:t>16.6</w:t>
            </w:r>
          </w:p>
        </w:tc>
        <w:tc>
          <w:tcPr>
            <w:tcW w:w="0" w:type="auto"/>
          </w:tcPr>
          <w:p w14:paraId="0EB53FEE" w14:textId="3223BF01" w:rsidR="000069E2" w:rsidRPr="00B22C17" w:rsidRDefault="001E06AC" w:rsidP="00E37A94">
            <w:pPr>
              <w:rPr>
                <w:rFonts w:ascii="Times New Roman" w:hAnsi="Times New Roman" w:cs="Times New Roman"/>
                <w:color w:val="808080" w:themeColor="background1" w:themeShade="80"/>
                <w:sz w:val="20"/>
                <w:szCs w:val="20"/>
                <w:lang w:val="en-US"/>
              </w:rPr>
            </w:pPr>
            <w:r w:rsidRPr="00B22C17">
              <w:rPr>
                <w:rFonts w:ascii="Times New Roman" w:hAnsi="Times New Roman" w:cs="Times New Roman"/>
                <w:color w:val="808080" w:themeColor="background1" w:themeShade="80"/>
                <w:sz w:val="20"/>
                <w:szCs w:val="20"/>
                <w:lang w:val="en-US"/>
              </w:rPr>
              <w:t>15.5</w:t>
            </w:r>
          </w:p>
        </w:tc>
        <w:tc>
          <w:tcPr>
            <w:tcW w:w="0" w:type="auto"/>
          </w:tcPr>
          <w:p w14:paraId="5A625577" w14:textId="595BD39A" w:rsidR="000069E2" w:rsidRPr="00B22C17" w:rsidRDefault="001E06AC" w:rsidP="00E37A94">
            <w:pPr>
              <w:rPr>
                <w:rFonts w:ascii="Times New Roman" w:hAnsi="Times New Roman" w:cs="Times New Roman"/>
                <w:color w:val="808080" w:themeColor="background1" w:themeShade="80"/>
                <w:sz w:val="20"/>
                <w:szCs w:val="20"/>
                <w:lang w:val="en-US"/>
              </w:rPr>
            </w:pPr>
            <w:r w:rsidRPr="00B22C17">
              <w:rPr>
                <w:rFonts w:ascii="Times New Roman" w:hAnsi="Times New Roman" w:cs="Times New Roman"/>
                <w:color w:val="808080" w:themeColor="background1" w:themeShade="80"/>
                <w:sz w:val="20"/>
                <w:szCs w:val="20"/>
                <w:lang w:val="en-US"/>
              </w:rPr>
              <w:t>19.8</w:t>
            </w:r>
          </w:p>
        </w:tc>
        <w:tc>
          <w:tcPr>
            <w:tcW w:w="0" w:type="auto"/>
            <w:vMerge/>
          </w:tcPr>
          <w:p w14:paraId="0975A56D" w14:textId="77777777" w:rsidR="000069E2" w:rsidRPr="00B22C17" w:rsidRDefault="000069E2" w:rsidP="00E37A94">
            <w:pPr>
              <w:rPr>
                <w:rFonts w:ascii="Times New Roman" w:hAnsi="Times New Roman" w:cs="Times New Roman"/>
                <w:color w:val="808080" w:themeColor="background1" w:themeShade="80"/>
                <w:sz w:val="20"/>
                <w:szCs w:val="20"/>
                <w:lang w:val="en-US"/>
              </w:rPr>
            </w:pPr>
          </w:p>
        </w:tc>
        <w:tc>
          <w:tcPr>
            <w:tcW w:w="0" w:type="auto"/>
          </w:tcPr>
          <w:p w14:paraId="01580F5B" w14:textId="2C11EDC8" w:rsidR="000069E2" w:rsidRPr="00B22C17" w:rsidRDefault="00A1506B" w:rsidP="00E37A94">
            <w:pPr>
              <w:rPr>
                <w:rFonts w:ascii="Times New Roman" w:hAnsi="Times New Roman" w:cs="Times New Roman"/>
                <w:color w:val="808080" w:themeColor="background1" w:themeShade="80"/>
                <w:sz w:val="20"/>
                <w:szCs w:val="20"/>
                <w:lang w:val="en-US"/>
              </w:rPr>
            </w:pPr>
            <w:r w:rsidRPr="00B22C17">
              <w:rPr>
                <w:rFonts w:ascii="Times New Roman" w:hAnsi="Times New Roman" w:cs="Times New Roman"/>
                <w:color w:val="808080" w:themeColor="background1" w:themeShade="80"/>
                <w:sz w:val="20"/>
                <w:szCs w:val="20"/>
                <w:lang w:val="en-US"/>
              </w:rPr>
              <w:t>17.6</w:t>
            </w:r>
          </w:p>
        </w:tc>
        <w:tc>
          <w:tcPr>
            <w:tcW w:w="0" w:type="auto"/>
          </w:tcPr>
          <w:p w14:paraId="2A51D7D9" w14:textId="586DC289" w:rsidR="000069E2" w:rsidRPr="00B22C17" w:rsidRDefault="00A1506B" w:rsidP="00E37A94">
            <w:pPr>
              <w:rPr>
                <w:rFonts w:ascii="Times New Roman" w:hAnsi="Times New Roman" w:cs="Times New Roman"/>
                <w:color w:val="808080" w:themeColor="background1" w:themeShade="80"/>
                <w:sz w:val="20"/>
                <w:szCs w:val="20"/>
                <w:lang w:val="en-US"/>
              </w:rPr>
            </w:pPr>
            <w:r w:rsidRPr="00B22C17">
              <w:rPr>
                <w:rFonts w:ascii="Times New Roman" w:hAnsi="Times New Roman" w:cs="Times New Roman"/>
                <w:color w:val="808080" w:themeColor="background1" w:themeShade="80"/>
                <w:sz w:val="20"/>
                <w:szCs w:val="20"/>
                <w:lang w:val="en-US"/>
              </w:rPr>
              <w:t>15.4</w:t>
            </w:r>
          </w:p>
        </w:tc>
        <w:tc>
          <w:tcPr>
            <w:tcW w:w="779" w:type="dxa"/>
            <w:vMerge/>
          </w:tcPr>
          <w:p w14:paraId="20D265BE" w14:textId="77777777" w:rsidR="000069E2" w:rsidRPr="00B22C17" w:rsidRDefault="000069E2" w:rsidP="00E37A94">
            <w:pPr>
              <w:rPr>
                <w:rFonts w:ascii="Times New Roman" w:hAnsi="Times New Roman" w:cs="Times New Roman"/>
                <w:sz w:val="20"/>
                <w:szCs w:val="20"/>
                <w:lang w:val="en-US"/>
              </w:rPr>
            </w:pPr>
          </w:p>
        </w:tc>
      </w:tr>
      <w:tr w:rsidR="00D36D52" w:rsidRPr="00B22C17" w14:paraId="3FD52838" w14:textId="77777777" w:rsidTr="00E37A94">
        <w:tc>
          <w:tcPr>
            <w:tcW w:w="0" w:type="auto"/>
            <w:vMerge w:val="restart"/>
          </w:tcPr>
          <w:p w14:paraId="594B47BD"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Ethnicity</w:t>
            </w:r>
          </w:p>
        </w:tc>
        <w:tc>
          <w:tcPr>
            <w:tcW w:w="0" w:type="auto"/>
          </w:tcPr>
          <w:p w14:paraId="380C0FDA"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White/Caucasian</w:t>
            </w:r>
          </w:p>
        </w:tc>
        <w:tc>
          <w:tcPr>
            <w:tcW w:w="0" w:type="auto"/>
          </w:tcPr>
          <w:p w14:paraId="41C8F124"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72.9</w:t>
            </w:r>
          </w:p>
        </w:tc>
        <w:tc>
          <w:tcPr>
            <w:tcW w:w="0" w:type="auto"/>
          </w:tcPr>
          <w:p w14:paraId="54D7CED7"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72.6</w:t>
            </w:r>
          </w:p>
        </w:tc>
        <w:tc>
          <w:tcPr>
            <w:tcW w:w="0" w:type="auto"/>
          </w:tcPr>
          <w:p w14:paraId="7626E2FF"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73.9</w:t>
            </w:r>
          </w:p>
        </w:tc>
        <w:tc>
          <w:tcPr>
            <w:tcW w:w="0" w:type="auto"/>
            <w:vMerge w:val="restart"/>
          </w:tcPr>
          <w:p w14:paraId="4CDF491F"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0.780</w:t>
            </w:r>
          </w:p>
        </w:tc>
        <w:tc>
          <w:tcPr>
            <w:tcW w:w="0" w:type="auto"/>
          </w:tcPr>
          <w:p w14:paraId="2D050719"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71.3</w:t>
            </w:r>
          </w:p>
        </w:tc>
        <w:tc>
          <w:tcPr>
            <w:tcW w:w="0" w:type="auto"/>
          </w:tcPr>
          <w:p w14:paraId="34EE25F2"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74.7</w:t>
            </w:r>
          </w:p>
        </w:tc>
        <w:tc>
          <w:tcPr>
            <w:tcW w:w="779" w:type="dxa"/>
            <w:vMerge w:val="restart"/>
          </w:tcPr>
          <w:p w14:paraId="2F3282EA"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0.437</w:t>
            </w:r>
          </w:p>
        </w:tc>
      </w:tr>
      <w:tr w:rsidR="00D36D52" w:rsidRPr="00B22C17" w14:paraId="521C221E" w14:textId="77777777" w:rsidTr="00E37A94">
        <w:tc>
          <w:tcPr>
            <w:tcW w:w="0" w:type="auto"/>
            <w:vMerge/>
          </w:tcPr>
          <w:p w14:paraId="6F74C4AE" w14:textId="77777777" w:rsidR="00D36D52" w:rsidRPr="00B22C17" w:rsidRDefault="00D36D52" w:rsidP="00E37A94">
            <w:pPr>
              <w:rPr>
                <w:rFonts w:ascii="Times New Roman" w:hAnsi="Times New Roman" w:cs="Times New Roman"/>
                <w:sz w:val="20"/>
                <w:szCs w:val="20"/>
                <w:lang w:val="en-US"/>
              </w:rPr>
            </w:pPr>
          </w:p>
        </w:tc>
        <w:tc>
          <w:tcPr>
            <w:tcW w:w="0" w:type="auto"/>
          </w:tcPr>
          <w:p w14:paraId="6DAA4D55"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Other</w:t>
            </w:r>
          </w:p>
        </w:tc>
        <w:tc>
          <w:tcPr>
            <w:tcW w:w="0" w:type="auto"/>
          </w:tcPr>
          <w:p w14:paraId="3965951D"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27.1</w:t>
            </w:r>
          </w:p>
        </w:tc>
        <w:tc>
          <w:tcPr>
            <w:tcW w:w="0" w:type="auto"/>
          </w:tcPr>
          <w:p w14:paraId="09164E48"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27.4</w:t>
            </w:r>
          </w:p>
        </w:tc>
        <w:tc>
          <w:tcPr>
            <w:tcW w:w="0" w:type="auto"/>
          </w:tcPr>
          <w:p w14:paraId="37C5E458"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26.1</w:t>
            </w:r>
          </w:p>
        </w:tc>
        <w:tc>
          <w:tcPr>
            <w:tcW w:w="0" w:type="auto"/>
            <w:vMerge/>
          </w:tcPr>
          <w:p w14:paraId="3DD5C2AF" w14:textId="77777777" w:rsidR="00D36D52" w:rsidRPr="00B22C17" w:rsidRDefault="00D36D52" w:rsidP="00E37A94">
            <w:pPr>
              <w:rPr>
                <w:rFonts w:ascii="Times New Roman" w:hAnsi="Times New Roman" w:cs="Times New Roman"/>
                <w:sz w:val="20"/>
                <w:szCs w:val="20"/>
                <w:lang w:val="en-US"/>
              </w:rPr>
            </w:pPr>
          </w:p>
        </w:tc>
        <w:tc>
          <w:tcPr>
            <w:tcW w:w="0" w:type="auto"/>
          </w:tcPr>
          <w:p w14:paraId="4C9A8EB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28.7</w:t>
            </w:r>
          </w:p>
        </w:tc>
        <w:tc>
          <w:tcPr>
            <w:tcW w:w="0" w:type="auto"/>
          </w:tcPr>
          <w:p w14:paraId="6060CAFB"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25.3</w:t>
            </w:r>
          </w:p>
        </w:tc>
        <w:tc>
          <w:tcPr>
            <w:tcW w:w="779" w:type="dxa"/>
            <w:vMerge/>
          </w:tcPr>
          <w:p w14:paraId="7C57DF3D" w14:textId="77777777" w:rsidR="00D36D52" w:rsidRPr="00B22C17" w:rsidRDefault="00D36D52" w:rsidP="00E37A94">
            <w:pPr>
              <w:rPr>
                <w:rFonts w:ascii="Times New Roman" w:hAnsi="Times New Roman" w:cs="Times New Roman"/>
                <w:sz w:val="20"/>
                <w:szCs w:val="20"/>
                <w:lang w:val="en-US"/>
              </w:rPr>
            </w:pPr>
          </w:p>
        </w:tc>
      </w:tr>
      <w:tr w:rsidR="00D36D52" w:rsidRPr="00B22C17" w14:paraId="7E1A5B46" w14:textId="77777777" w:rsidTr="00E37A94">
        <w:tc>
          <w:tcPr>
            <w:tcW w:w="0" w:type="auto"/>
            <w:vMerge w:val="restart"/>
          </w:tcPr>
          <w:p w14:paraId="1C55B596"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Marital status</w:t>
            </w:r>
          </w:p>
        </w:tc>
        <w:tc>
          <w:tcPr>
            <w:tcW w:w="0" w:type="auto"/>
          </w:tcPr>
          <w:p w14:paraId="1F24096C"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Married/living in a domestic partnership</w:t>
            </w:r>
          </w:p>
        </w:tc>
        <w:tc>
          <w:tcPr>
            <w:tcW w:w="0" w:type="auto"/>
          </w:tcPr>
          <w:p w14:paraId="448A241D"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61.2</w:t>
            </w:r>
          </w:p>
        </w:tc>
        <w:tc>
          <w:tcPr>
            <w:tcW w:w="0" w:type="auto"/>
          </w:tcPr>
          <w:p w14:paraId="0298490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60.3</w:t>
            </w:r>
          </w:p>
        </w:tc>
        <w:tc>
          <w:tcPr>
            <w:tcW w:w="0" w:type="auto"/>
          </w:tcPr>
          <w:p w14:paraId="27353E06"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63.9</w:t>
            </w:r>
          </w:p>
        </w:tc>
        <w:tc>
          <w:tcPr>
            <w:tcW w:w="0" w:type="auto"/>
            <w:vMerge w:val="restart"/>
          </w:tcPr>
          <w:p w14:paraId="4099286D"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0.452</w:t>
            </w:r>
          </w:p>
        </w:tc>
        <w:tc>
          <w:tcPr>
            <w:tcW w:w="0" w:type="auto"/>
          </w:tcPr>
          <w:p w14:paraId="4EB0A993"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64.0</w:t>
            </w:r>
          </w:p>
        </w:tc>
        <w:tc>
          <w:tcPr>
            <w:tcW w:w="0" w:type="auto"/>
          </w:tcPr>
          <w:p w14:paraId="6A664D48"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58.1</w:t>
            </w:r>
          </w:p>
        </w:tc>
        <w:tc>
          <w:tcPr>
            <w:tcW w:w="779" w:type="dxa"/>
            <w:vMerge w:val="restart"/>
          </w:tcPr>
          <w:p w14:paraId="71AFBE09"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0.202</w:t>
            </w:r>
          </w:p>
        </w:tc>
      </w:tr>
      <w:tr w:rsidR="00D36D52" w:rsidRPr="00B22C17" w14:paraId="3E4FCB4D" w14:textId="77777777" w:rsidTr="00E37A94">
        <w:tc>
          <w:tcPr>
            <w:tcW w:w="0" w:type="auto"/>
            <w:vMerge/>
          </w:tcPr>
          <w:p w14:paraId="542C7DF2" w14:textId="77777777" w:rsidR="00D36D52" w:rsidRPr="00B22C17" w:rsidRDefault="00D36D52" w:rsidP="00E37A94">
            <w:pPr>
              <w:rPr>
                <w:rFonts w:ascii="Times New Roman" w:hAnsi="Times New Roman" w:cs="Times New Roman"/>
                <w:sz w:val="20"/>
                <w:szCs w:val="20"/>
                <w:lang w:val="en-US"/>
              </w:rPr>
            </w:pPr>
          </w:p>
        </w:tc>
        <w:tc>
          <w:tcPr>
            <w:tcW w:w="0" w:type="auto"/>
          </w:tcPr>
          <w:p w14:paraId="49E88DF2"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Single/separated/divorced/widowed</w:t>
            </w:r>
          </w:p>
        </w:tc>
        <w:tc>
          <w:tcPr>
            <w:tcW w:w="0" w:type="auto"/>
          </w:tcPr>
          <w:p w14:paraId="799A5F5E"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38.8</w:t>
            </w:r>
          </w:p>
        </w:tc>
        <w:tc>
          <w:tcPr>
            <w:tcW w:w="0" w:type="auto"/>
          </w:tcPr>
          <w:p w14:paraId="32498CEA"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39.7</w:t>
            </w:r>
          </w:p>
        </w:tc>
        <w:tc>
          <w:tcPr>
            <w:tcW w:w="0" w:type="auto"/>
          </w:tcPr>
          <w:p w14:paraId="4AAFB8E9"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36.1</w:t>
            </w:r>
          </w:p>
        </w:tc>
        <w:tc>
          <w:tcPr>
            <w:tcW w:w="0" w:type="auto"/>
            <w:vMerge/>
          </w:tcPr>
          <w:p w14:paraId="52559C8F" w14:textId="77777777" w:rsidR="00D36D52" w:rsidRPr="00B22C17" w:rsidRDefault="00D36D52" w:rsidP="00E37A94">
            <w:pPr>
              <w:rPr>
                <w:rFonts w:ascii="Times New Roman" w:hAnsi="Times New Roman" w:cs="Times New Roman"/>
                <w:sz w:val="20"/>
                <w:szCs w:val="20"/>
                <w:lang w:val="en-US"/>
              </w:rPr>
            </w:pPr>
          </w:p>
        </w:tc>
        <w:tc>
          <w:tcPr>
            <w:tcW w:w="0" w:type="auto"/>
          </w:tcPr>
          <w:p w14:paraId="3963F297"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36.0</w:t>
            </w:r>
          </w:p>
        </w:tc>
        <w:tc>
          <w:tcPr>
            <w:tcW w:w="0" w:type="auto"/>
          </w:tcPr>
          <w:p w14:paraId="4A5E602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41.9</w:t>
            </w:r>
          </w:p>
        </w:tc>
        <w:tc>
          <w:tcPr>
            <w:tcW w:w="779" w:type="dxa"/>
            <w:vMerge/>
          </w:tcPr>
          <w:p w14:paraId="219A7A3A" w14:textId="77777777" w:rsidR="00D36D52" w:rsidRPr="00B22C17" w:rsidRDefault="00D36D52" w:rsidP="00E37A94">
            <w:pPr>
              <w:rPr>
                <w:rFonts w:ascii="Times New Roman" w:hAnsi="Times New Roman" w:cs="Times New Roman"/>
                <w:sz w:val="20"/>
                <w:szCs w:val="20"/>
                <w:lang w:val="en-US"/>
              </w:rPr>
            </w:pPr>
          </w:p>
        </w:tc>
      </w:tr>
      <w:tr w:rsidR="00D36D52" w:rsidRPr="00B22C17" w14:paraId="7DEF1432" w14:textId="77777777" w:rsidTr="00E37A94">
        <w:tc>
          <w:tcPr>
            <w:tcW w:w="0" w:type="auto"/>
            <w:vMerge w:val="restart"/>
          </w:tcPr>
          <w:p w14:paraId="163726B6"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Education</w:t>
            </w:r>
          </w:p>
        </w:tc>
        <w:tc>
          <w:tcPr>
            <w:tcW w:w="0" w:type="auto"/>
          </w:tcPr>
          <w:p w14:paraId="5CD4D082"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≤Primary/secondary</w:t>
            </w:r>
          </w:p>
        </w:tc>
        <w:tc>
          <w:tcPr>
            <w:tcW w:w="0" w:type="auto"/>
          </w:tcPr>
          <w:p w14:paraId="6B4FF48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33.7</w:t>
            </w:r>
          </w:p>
        </w:tc>
        <w:tc>
          <w:tcPr>
            <w:tcW w:w="0" w:type="auto"/>
          </w:tcPr>
          <w:p w14:paraId="7563B434"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34.4</w:t>
            </w:r>
          </w:p>
        </w:tc>
        <w:tc>
          <w:tcPr>
            <w:tcW w:w="0" w:type="auto"/>
          </w:tcPr>
          <w:p w14:paraId="0D0529B4"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31.6</w:t>
            </w:r>
          </w:p>
        </w:tc>
        <w:tc>
          <w:tcPr>
            <w:tcW w:w="0" w:type="auto"/>
            <w:vMerge w:val="restart"/>
          </w:tcPr>
          <w:p w14:paraId="1A1D86C8"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0.619</w:t>
            </w:r>
          </w:p>
        </w:tc>
        <w:tc>
          <w:tcPr>
            <w:tcW w:w="0" w:type="auto"/>
          </w:tcPr>
          <w:p w14:paraId="79C85675"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38.6</w:t>
            </w:r>
          </w:p>
        </w:tc>
        <w:tc>
          <w:tcPr>
            <w:tcW w:w="0" w:type="auto"/>
          </w:tcPr>
          <w:p w14:paraId="15A9C25D"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28.2</w:t>
            </w:r>
          </w:p>
        </w:tc>
        <w:tc>
          <w:tcPr>
            <w:tcW w:w="779" w:type="dxa"/>
            <w:vMerge w:val="restart"/>
          </w:tcPr>
          <w:p w14:paraId="2C922701"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0.041</w:t>
            </w:r>
          </w:p>
        </w:tc>
      </w:tr>
      <w:tr w:rsidR="00D36D52" w:rsidRPr="00B22C17" w14:paraId="72678814" w14:textId="77777777" w:rsidTr="00E37A94">
        <w:tc>
          <w:tcPr>
            <w:tcW w:w="0" w:type="auto"/>
            <w:vMerge/>
          </w:tcPr>
          <w:p w14:paraId="57E6C344" w14:textId="77777777" w:rsidR="00D36D52" w:rsidRPr="00B22C17" w:rsidRDefault="00D36D52" w:rsidP="00E37A94">
            <w:pPr>
              <w:rPr>
                <w:rFonts w:ascii="Times New Roman" w:hAnsi="Times New Roman" w:cs="Times New Roman"/>
                <w:sz w:val="20"/>
                <w:szCs w:val="20"/>
                <w:lang w:val="en-US"/>
              </w:rPr>
            </w:pPr>
          </w:p>
        </w:tc>
        <w:tc>
          <w:tcPr>
            <w:tcW w:w="0" w:type="auto"/>
          </w:tcPr>
          <w:p w14:paraId="4ADDE058"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≥Tertiary</w:t>
            </w:r>
          </w:p>
        </w:tc>
        <w:tc>
          <w:tcPr>
            <w:tcW w:w="0" w:type="auto"/>
          </w:tcPr>
          <w:p w14:paraId="3CF4653D"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66.3</w:t>
            </w:r>
          </w:p>
        </w:tc>
        <w:tc>
          <w:tcPr>
            <w:tcW w:w="0" w:type="auto"/>
          </w:tcPr>
          <w:p w14:paraId="06DCA3C4"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65.6</w:t>
            </w:r>
          </w:p>
        </w:tc>
        <w:tc>
          <w:tcPr>
            <w:tcW w:w="0" w:type="auto"/>
          </w:tcPr>
          <w:p w14:paraId="59833812"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68.4</w:t>
            </w:r>
          </w:p>
        </w:tc>
        <w:tc>
          <w:tcPr>
            <w:tcW w:w="0" w:type="auto"/>
            <w:vMerge/>
          </w:tcPr>
          <w:p w14:paraId="1A0AE847" w14:textId="77777777" w:rsidR="00D36D52" w:rsidRPr="00B22C17" w:rsidRDefault="00D36D52" w:rsidP="00E37A94">
            <w:pPr>
              <w:rPr>
                <w:rFonts w:ascii="Times New Roman" w:hAnsi="Times New Roman" w:cs="Times New Roman"/>
                <w:sz w:val="20"/>
                <w:szCs w:val="20"/>
                <w:lang w:val="en-US"/>
              </w:rPr>
            </w:pPr>
          </w:p>
        </w:tc>
        <w:tc>
          <w:tcPr>
            <w:tcW w:w="0" w:type="auto"/>
          </w:tcPr>
          <w:p w14:paraId="2F7DA83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61.4</w:t>
            </w:r>
          </w:p>
        </w:tc>
        <w:tc>
          <w:tcPr>
            <w:tcW w:w="0" w:type="auto"/>
          </w:tcPr>
          <w:p w14:paraId="02A9FC5A"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71.8</w:t>
            </w:r>
          </w:p>
        </w:tc>
        <w:tc>
          <w:tcPr>
            <w:tcW w:w="779" w:type="dxa"/>
            <w:vMerge/>
          </w:tcPr>
          <w:p w14:paraId="4E42C40A" w14:textId="77777777" w:rsidR="00D36D52" w:rsidRPr="00B22C17" w:rsidRDefault="00D36D52" w:rsidP="00E37A94">
            <w:pPr>
              <w:rPr>
                <w:rFonts w:ascii="Times New Roman" w:hAnsi="Times New Roman" w:cs="Times New Roman"/>
                <w:sz w:val="20"/>
                <w:szCs w:val="20"/>
                <w:lang w:val="en-US"/>
              </w:rPr>
            </w:pPr>
          </w:p>
        </w:tc>
      </w:tr>
      <w:tr w:rsidR="00D36D52" w:rsidRPr="00B22C17" w14:paraId="3301EE83" w14:textId="77777777" w:rsidTr="00E37A94">
        <w:tc>
          <w:tcPr>
            <w:tcW w:w="0" w:type="auto"/>
            <w:vMerge w:val="restart"/>
          </w:tcPr>
          <w:p w14:paraId="08DC4CF2" w14:textId="77777777" w:rsidR="00D36D52" w:rsidRPr="00B22C17" w:rsidRDefault="00D36D52" w:rsidP="00E37A94">
            <w:pPr>
              <w:rPr>
                <w:rFonts w:ascii="Times New Roman" w:hAnsi="Times New Roman" w:cs="Times New Roman"/>
                <w:sz w:val="20"/>
                <w:szCs w:val="20"/>
                <w:lang w:val="en-US"/>
              </w:rPr>
            </w:pPr>
            <w:proofErr w:type="spellStart"/>
            <w:r w:rsidRPr="00B22C17">
              <w:rPr>
                <w:rFonts w:ascii="Times New Roman" w:hAnsi="Times New Roman" w:cs="Times New Roman"/>
                <w:sz w:val="20"/>
                <w:szCs w:val="20"/>
                <w:lang w:val="en-US"/>
              </w:rPr>
              <w:t>Occupation</w:t>
            </w:r>
            <w:r w:rsidRPr="00B22C17">
              <w:rPr>
                <w:rFonts w:ascii="Times New Roman" w:hAnsi="Times New Roman" w:cs="Times New Roman"/>
                <w:sz w:val="20"/>
                <w:szCs w:val="20"/>
                <w:vertAlign w:val="superscript"/>
                <w:lang w:val="en-US"/>
              </w:rPr>
              <w:t>d</w:t>
            </w:r>
            <w:proofErr w:type="spellEnd"/>
          </w:p>
        </w:tc>
        <w:tc>
          <w:tcPr>
            <w:tcW w:w="0" w:type="auto"/>
          </w:tcPr>
          <w:p w14:paraId="0680A62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Group 2 - Professionals</w:t>
            </w:r>
          </w:p>
        </w:tc>
        <w:tc>
          <w:tcPr>
            <w:tcW w:w="0" w:type="auto"/>
          </w:tcPr>
          <w:p w14:paraId="1071D4AC"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37.6</w:t>
            </w:r>
          </w:p>
        </w:tc>
        <w:tc>
          <w:tcPr>
            <w:tcW w:w="0" w:type="auto"/>
          </w:tcPr>
          <w:p w14:paraId="79F8830D"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38.3</w:t>
            </w:r>
          </w:p>
        </w:tc>
        <w:tc>
          <w:tcPr>
            <w:tcW w:w="0" w:type="auto"/>
          </w:tcPr>
          <w:p w14:paraId="4DC88F3F"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35.7</w:t>
            </w:r>
          </w:p>
        </w:tc>
        <w:tc>
          <w:tcPr>
            <w:tcW w:w="0" w:type="auto"/>
            <w:vMerge w:val="restart"/>
          </w:tcPr>
          <w:p w14:paraId="222C31BD"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0.642</w:t>
            </w:r>
          </w:p>
        </w:tc>
        <w:tc>
          <w:tcPr>
            <w:tcW w:w="0" w:type="auto"/>
          </w:tcPr>
          <w:p w14:paraId="147CEEF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33.2</w:t>
            </w:r>
          </w:p>
        </w:tc>
        <w:tc>
          <w:tcPr>
            <w:tcW w:w="0" w:type="auto"/>
          </w:tcPr>
          <w:p w14:paraId="17E72769"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42.7</w:t>
            </w:r>
          </w:p>
        </w:tc>
        <w:tc>
          <w:tcPr>
            <w:tcW w:w="779" w:type="dxa"/>
            <w:vMerge w:val="restart"/>
          </w:tcPr>
          <w:p w14:paraId="19DF9FCB"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0.210</w:t>
            </w:r>
          </w:p>
        </w:tc>
      </w:tr>
      <w:tr w:rsidR="00D36D52" w:rsidRPr="00B22C17" w14:paraId="6DBE7E1C" w14:textId="77777777" w:rsidTr="00E37A94">
        <w:tc>
          <w:tcPr>
            <w:tcW w:w="0" w:type="auto"/>
            <w:vMerge/>
          </w:tcPr>
          <w:p w14:paraId="6C27E12B" w14:textId="77777777" w:rsidR="00D36D52" w:rsidRPr="00B22C17" w:rsidRDefault="00D36D52" w:rsidP="00E37A94">
            <w:pPr>
              <w:rPr>
                <w:rFonts w:ascii="Times New Roman" w:hAnsi="Times New Roman" w:cs="Times New Roman"/>
                <w:sz w:val="20"/>
                <w:szCs w:val="20"/>
                <w:lang w:val="en-US"/>
              </w:rPr>
            </w:pPr>
          </w:p>
        </w:tc>
        <w:tc>
          <w:tcPr>
            <w:tcW w:w="0" w:type="auto"/>
          </w:tcPr>
          <w:p w14:paraId="50F616B2"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Group 5 - Service and sales workers</w:t>
            </w:r>
          </w:p>
        </w:tc>
        <w:tc>
          <w:tcPr>
            <w:tcW w:w="0" w:type="auto"/>
          </w:tcPr>
          <w:p w14:paraId="0BD1900C"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15.8</w:t>
            </w:r>
          </w:p>
        </w:tc>
        <w:tc>
          <w:tcPr>
            <w:tcW w:w="0" w:type="auto"/>
          </w:tcPr>
          <w:p w14:paraId="018FC6A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16.7</w:t>
            </w:r>
          </w:p>
        </w:tc>
        <w:tc>
          <w:tcPr>
            <w:tcW w:w="0" w:type="auto"/>
          </w:tcPr>
          <w:p w14:paraId="03C38653"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13.2</w:t>
            </w:r>
          </w:p>
        </w:tc>
        <w:tc>
          <w:tcPr>
            <w:tcW w:w="0" w:type="auto"/>
            <w:vMerge/>
          </w:tcPr>
          <w:p w14:paraId="7F04D958" w14:textId="77777777" w:rsidR="00D36D52" w:rsidRPr="00B22C17" w:rsidRDefault="00D36D52" w:rsidP="00E37A94">
            <w:pPr>
              <w:rPr>
                <w:rFonts w:ascii="Times New Roman" w:hAnsi="Times New Roman" w:cs="Times New Roman"/>
                <w:sz w:val="20"/>
                <w:szCs w:val="20"/>
                <w:lang w:val="en-US"/>
              </w:rPr>
            </w:pPr>
          </w:p>
        </w:tc>
        <w:tc>
          <w:tcPr>
            <w:tcW w:w="0" w:type="auto"/>
          </w:tcPr>
          <w:p w14:paraId="7812FD55"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16.6</w:t>
            </w:r>
          </w:p>
        </w:tc>
        <w:tc>
          <w:tcPr>
            <w:tcW w:w="0" w:type="auto"/>
          </w:tcPr>
          <w:p w14:paraId="0B8DAA48"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15.0</w:t>
            </w:r>
          </w:p>
        </w:tc>
        <w:tc>
          <w:tcPr>
            <w:tcW w:w="779" w:type="dxa"/>
            <w:vMerge/>
          </w:tcPr>
          <w:p w14:paraId="54CA3E22" w14:textId="77777777" w:rsidR="00D36D52" w:rsidRPr="00B22C17" w:rsidRDefault="00D36D52" w:rsidP="00E37A94">
            <w:pPr>
              <w:rPr>
                <w:rFonts w:ascii="Times New Roman" w:hAnsi="Times New Roman" w:cs="Times New Roman"/>
                <w:sz w:val="20"/>
                <w:szCs w:val="20"/>
                <w:lang w:val="en-US"/>
              </w:rPr>
            </w:pPr>
          </w:p>
        </w:tc>
      </w:tr>
      <w:tr w:rsidR="00D36D52" w:rsidRPr="00B22C17" w14:paraId="41267738" w14:textId="77777777" w:rsidTr="00E37A94">
        <w:tc>
          <w:tcPr>
            <w:tcW w:w="0" w:type="auto"/>
            <w:vMerge/>
          </w:tcPr>
          <w:p w14:paraId="3FF8D742" w14:textId="77777777" w:rsidR="00D36D52" w:rsidRPr="00B22C17" w:rsidRDefault="00D36D52" w:rsidP="00E37A94">
            <w:pPr>
              <w:rPr>
                <w:rFonts w:ascii="Times New Roman" w:hAnsi="Times New Roman" w:cs="Times New Roman"/>
                <w:sz w:val="20"/>
                <w:szCs w:val="20"/>
                <w:lang w:val="en-US"/>
              </w:rPr>
            </w:pPr>
          </w:p>
        </w:tc>
        <w:tc>
          <w:tcPr>
            <w:tcW w:w="0" w:type="auto"/>
          </w:tcPr>
          <w:p w14:paraId="4866C5C9"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Group 7 - Craft and related trades workers</w:t>
            </w:r>
          </w:p>
        </w:tc>
        <w:tc>
          <w:tcPr>
            <w:tcW w:w="0" w:type="auto"/>
          </w:tcPr>
          <w:p w14:paraId="29BE7C73"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11.0</w:t>
            </w:r>
          </w:p>
        </w:tc>
        <w:tc>
          <w:tcPr>
            <w:tcW w:w="0" w:type="auto"/>
          </w:tcPr>
          <w:p w14:paraId="0BB905BF"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11.1</w:t>
            </w:r>
          </w:p>
        </w:tc>
        <w:tc>
          <w:tcPr>
            <w:tcW w:w="0" w:type="auto"/>
          </w:tcPr>
          <w:p w14:paraId="541E2C2E"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10.7</w:t>
            </w:r>
          </w:p>
        </w:tc>
        <w:tc>
          <w:tcPr>
            <w:tcW w:w="0" w:type="auto"/>
            <w:vMerge/>
          </w:tcPr>
          <w:p w14:paraId="2491B89B" w14:textId="77777777" w:rsidR="00D36D52" w:rsidRPr="00B22C17" w:rsidRDefault="00D36D52" w:rsidP="00E37A94">
            <w:pPr>
              <w:rPr>
                <w:rFonts w:ascii="Times New Roman" w:hAnsi="Times New Roman" w:cs="Times New Roman"/>
                <w:sz w:val="20"/>
                <w:szCs w:val="20"/>
                <w:lang w:val="en-US"/>
              </w:rPr>
            </w:pPr>
          </w:p>
        </w:tc>
        <w:tc>
          <w:tcPr>
            <w:tcW w:w="0" w:type="auto"/>
          </w:tcPr>
          <w:p w14:paraId="0563C843"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12.5</w:t>
            </w:r>
          </w:p>
        </w:tc>
        <w:tc>
          <w:tcPr>
            <w:tcW w:w="0" w:type="auto"/>
          </w:tcPr>
          <w:p w14:paraId="60065D6C"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9.3</w:t>
            </w:r>
          </w:p>
        </w:tc>
        <w:tc>
          <w:tcPr>
            <w:tcW w:w="779" w:type="dxa"/>
            <w:vMerge/>
          </w:tcPr>
          <w:p w14:paraId="6F3AE314" w14:textId="77777777" w:rsidR="00D36D52" w:rsidRPr="00B22C17" w:rsidRDefault="00D36D52" w:rsidP="00E37A94">
            <w:pPr>
              <w:rPr>
                <w:rFonts w:ascii="Times New Roman" w:hAnsi="Times New Roman" w:cs="Times New Roman"/>
                <w:sz w:val="20"/>
                <w:szCs w:val="20"/>
                <w:lang w:val="en-US"/>
              </w:rPr>
            </w:pPr>
          </w:p>
        </w:tc>
      </w:tr>
      <w:tr w:rsidR="00D36D52" w:rsidRPr="00B22C17" w14:paraId="14BC7D8C" w14:textId="77777777" w:rsidTr="00E37A94">
        <w:tc>
          <w:tcPr>
            <w:tcW w:w="0" w:type="auto"/>
            <w:vMerge/>
          </w:tcPr>
          <w:p w14:paraId="7BB86A0B" w14:textId="77777777" w:rsidR="00D36D52" w:rsidRPr="00B22C17" w:rsidRDefault="00D36D52" w:rsidP="00E37A94">
            <w:pPr>
              <w:rPr>
                <w:rFonts w:ascii="Times New Roman" w:hAnsi="Times New Roman" w:cs="Times New Roman"/>
                <w:sz w:val="20"/>
                <w:szCs w:val="20"/>
                <w:lang w:val="en-US"/>
              </w:rPr>
            </w:pPr>
          </w:p>
        </w:tc>
        <w:tc>
          <w:tcPr>
            <w:tcW w:w="0" w:type="auto"/>
          </w:tcPr>
          <w:p w14:paraId="6CC92BDE"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Group 1 - Managers</w:t>
            </w:r>
          </w:p>
        </w:tc>
        <w:tc>
          <w:tcPr>
            <w:tcW w:w="0" w:type="auto"/>
          </w:tcPr>
          <w:p w14:paraId="7CA4D7DC"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10.8</w:t>
            </w:r>
          </w:p>
        </w:tc>
        <w:tc>
          <w:tcPr>
            <w:tcW w:w="0" w:type="auto"/>
          </w:tcPr>
          <w:p w14:paraId="5AFA08A2"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10.2</w:t>
            </w:r>
          </w:p>
        </w:tc>
        <w:tc>
          <w:tcPr>
            <w:tcW w:w="0" w:type="auto"/>
          </w:tcPr>
          <w:p w14:paraId="452A167A"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12.6</w:t>
            </w:r>
          </w:p>
        </w:tc>
        <w:tc>
          <w:tcPr>
            <w:tcW w:w="0" w:type="auto"/>
            <w:vMerge/>
          </w:tcPr>
          <w:p w14:paraId="7AAD282C" w14:textId="77777777" w:rsidR="00D36D52" w:rsidRPr="00B22C17" w:rsidRDefault="00D36D52" w:rsidP="00E37A94">
            <w:pPr>
              <w:rPr>
                <w:rFonts w:ascii="Times New Roman" w:hAnsi="Times New Roman" w:cs="Times New Roman"/>
                <w:sz w:val="20"/>
                <w:szCs w:val="20"/>
                <w:lang w:val="en-US"/>
              </w:rPr>
            </w:pPr>
          </w:p>
        </w:tc>
        <w:tc>
          <w:tcPr>
            <w:tcW w:w="0" w:type="auto"/>
          </w:tcPr>
          <w:p w14:paraId="5FEB28BA"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11.4</w:t>
            </w:r>
          </w:p>
        </w:tc>
        <w:tc>
          <w:tcPr>
            <w:tcW w:w="0" w:type="auto"/>
          </w:tcPr>
          <w:p w14:paraId="5B865471"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10.1</w:t>
            </w:r>
          </w:p>
        </w:tc>
        <w:tc>
          <w:tcPr>
            <w:tcW w:w="779" w:type="dxa"/>
            <w:vMerge/>
          </w:tcPr>
          <w:p w14:paraId="4B6249F8" w14:textId="77777777" w:rsidR="00D36D52" w:rsidRPr="00B22C17" w:rsidRDefault="00D36D52" w:rsidP="00E37A94">
            <w:pPr>
              <w:rPr>
                <w:rFonts w:ascii="Times New Roman" w:hAnsi="Times New Roman" w:cs="Times New Roman"/>
                <w:sz w:val="20"/>
                <w:szCs w:val="20"/>
                <w:lang w:val="en-US"/>
              </w:rPr>
            </w:pPr>
          </w:p>
        </w:tc>
      </w:tr>
      <w:tr w:rsidR="00D36D52" w:rsidRPr="00B22C17" w14:paraId="419F27AB" w14:textId="77777777" w:rsidTr="00E37A94">
        <w:tc>
          <w:tcPr>
            <w:tcW w:w="0" w:type="auto"/>
            <w:vMerge/>
          </w:tcPr>
          <w:p w14:paraId="1E291E28" w14:textId="77777777" w:rsidR="00D36D52" w:rsidRPr="00B22C17" w:rsidRDefault="00D36D52" w:rsidP="00E37A94">
            <w:pPr>
              <w:rPr>
                <w:rFonts w:ascii="Times New Roman" w:hAnsi="Times New Roman" w:cs="Times New Roman"/>
                <w:sz w:val="20"/>
                <w:szCs w:val="20"/>
                <w:lang w:val="en-US"/>
              </w:rPr>
            </w:pPr>
          </w:p>
        </w:tc>
        <w:tc>
          <w:tcPr>
            <w:tcW w:w="0" w:type="auto"/>
          </w:tcPr>
          <w:p w14:paraId="2A76A426"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Group 9 - Elementary occupations</w:t>
            </w:r>
          </w:p>
        </w:tc>
        <w:tc>
          <w:tcPr>
            <w:tcW w:w="0" w:type="auto"/>
          </w:tcPr>
          <w:p w14:paraId="24840173"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9.3</w:t>
            </w:r>
          </w:p>
        </w:tc>
        <w:tc>
          <w:tcPr>
            <w:tcW w:w="0" w:type="auto"/>
          </w:tcPr>
          <w:p w14:paraId="773862BB"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8.7</w:t>
            </w:r>
          </w:p>
        </w:tc>
        <w:tc>
          <w:tcPr>
            <w:tcW w:w="0" w:type="auto"/>
          </w:tcPr>
          <w:p w14:paraId="4930847D"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11.0</w:t>
            </w:r>
          </w:p>
        </w:tc>
        <w:tc>
          <w:tcPr>
            <w:tcW w:w="0" w:type="auto"/>
            <w:vMerge/>
          </w:tcPr>
          <w:p w14:paraId="65578041" w14:textId="77777777" w:rsidR="00D36D52" w:rsidRPr="00B22C17" w:rsidRDefault="00D36D52" w:rsidP="00E37A94">
            <w:pPr>
              <w:rPr>
                <w:rFonts w:ascii="Times New Roman" w:hAnsi="Times New Roman" w:cs="Times New Roman"/>
                <w:sz w:val="20"/>
                <w:szCs w:val="20"/>
                <w:lang w:val="en-US"/>
              </w:rPr>
            </w:pPr>
          </w:p>
        </w:tc>
        <w:tc>
          <w:tcPr>
            <w:tcW w:w="0" w:type="auto"/>
          </w:tcPr>
          <w:p w14:paraId="68E03D7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11.9</w:t>
            </w:r>
          </w:p>
        </w:tc>
        <w:tc>
          <w:tcPr>
            <w:tcW w:w="0" w:type="auto"/>
          </w:tcPr>
          <w:p w14:paraId="7DA1ED3E"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6.4</w:t>
            </w:r>
          </w:p>
        </w:tc>
        <w:tc>
          <w:tcPr>
            <w:tcW w:w="779" w:type="dxa"/>
            <w:vMerge/>
          </w:tcPr>
          <w:p w14:paraId="48175185" w14:textId="77777777" w:rsidR="00D36D52" w:rsidRPr="00B22C17" w:rsidRDefault="00D36D52" w:rsidP="00E37A94">
            <w:pPr>
              <w:rPr>
                <w:rFonts w:ascii="Times New Roman" w:hAnsi="Times New Roman" w:cs="Times New Roman"/>
                <w:sz w:val="20"/>
                <w:szCs w:val="20"/>
                <w:lang w:val="en-US"/>
              </w:rPr>
            </w:pPr>
          </w:p>
        </w:tc>
      </w:tr>
      <w:tr w:rsidR="00D36D52" w:rsidRPr="00B22C17" w14:paraId="7E0A7B22" w14:textId="77777777" w:rsidTr="00E37A94">
        <w:tc>
          <w:tcPr>
            <w:tcW w:w="0" w:type="auto"/>
            <w:vMerge/>
          </w:tcPr>
          <w:p w14:paraId="11C1A87C" w14:textId="77777777" w:rsidR="00D36D52" w:rsidRPr="00B22C17" w:rsidRDefault="00D36D52" w:rsidP="00E37A94">
            <w:pPr>
              <w:rPr>
                <w:rFonts w:ascii="Times New Roman" w:hAnsi="Times New Roman" w:cs="Times New Roman"/>
                <w:sz w:val="20"/>
                <w:szCs w:val="20"/>
                <w:lang w:val="en-US"/>
              </w:rPr>
            </w:pPr>
          </w:p>
        </w:tc>
        <w:tc>
          <w:tcPr>
            <w:tcW w:w="0" w:type="auto"/>
          </w:tcPr>
          <w:p w14:paraId="4D695CF6"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Group 4 - Clerical support workers</w:t>
            </w:r>
          </w:p>
        </w:tc>
        <w:tc>
          <w:tcPr>
            <w:tcW w:w="0" w:type="auto"/>
          </w:tcPr>
          <w:p w14:paraId="5E2020E2"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8.0</w:t>
            </w:r>
          </w:p>
        </w:tc>
        <w:tc>
          <w:tcPr>
            <w:tcW w:w="0" w:type="auto"/>
          </w:tcPr>
          <w:p w14:paraId="119A5DF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8.5</w:t>
            </w:r>
          </w:p>
        </w:tc>
        <w:tc>
          <w:tcPr>
            <w:tcW w:w="0" w:type="auto"/>
          </w:tcPr>
          <w:p w14:paraId="6A127FE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6.6</w:t>
            </w:r>
          </w:p>
        </w:tc>
        <w:tc>
          <w:tcPr>
            <w:tcW w:w="0" w:type="auto"/>
            <w:vMerge/>
          </w:tcPr>
          <w:p w14:paraId="62C09D59" w14:textId="77777777" w:rsidR="00D36D52" w:rsidRPr="00B22C17" w:rsidRDefault="00D36D52" w:rsidP="00E37A94">
            <w:pPr>
              <w:rPr>
                <w:rFonts w:ascii="Times New Roman" w:hAnsi="Times New Roman" w:cs="Times New Roman"/>
                <w:sz w:val="20"/>
                <w:szCs w:val="20"/>
                <w:lang w:val="en-US"/>
              </w:rPr>
            </w:pPr>
          </w:p>
        </w:tc>
        <w:tc>
          <w:tcPr>
            <w:tcW w:w="0" w:type="auto"/>
          </w:tcPr>
          <w:p w14:paraId="12614B88"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7.4</w:t>
            </w:r>
          </w:p>
        </w:tc>
        <w:tc>
          <w:tcPr>
            <w:tcW w:w="0" w:type="auto"/>
          </w:tcPr>
          <w:p w14:paraId="399B5EF9"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8.8</w:t>
            </w:r>
          </w:p>
        </w:tc>
        <w:tc>
          <w:tcPr>
            <w:tcW w:w="779" w:type="dxa"/>
            <w:vMerge/>
          </w:tcPr>
          <w:p w14:paraId="189743A3" w14:textId="77777777" w:rsidR="00D36D52" w:rsidRPr="00B22C17" w:rsidRDefault="00D36D52" w:rsidP="00E37A94">
            <w:pPr>
              <w:rPr>
                <w:rFonts w:ascii="Times New Roman" w:hAnsi="Times New Roman" w:cs="Times New Roman"/>
                <w:sz w:val="20"/>
                <w:szCs w:val="20"/>
                <w:lang w:val="en-US"/>
              </w:rPr>
            </w:pPr>
          </w:p>
        </w:tc>
      </w:tr>
      <w:tr w:rsidR="00D36D52" w:rsidRPr="00B22C17" w14:paraId="6CED10A3" w14:textId="77777777" w:rsidTr="00E37A94">
        <w:tc>
          <w:tcPr>
            <w:tcW w:w="0" w:type="auto"/>
            <w:vMerge/>
          </w:tcPr>
          <w:p w14:paraId="7322CD05" w14:textId="77777777" w:rsidR="00D36D52" w:rsidRPr="00B22C17" w:rsidRDefault="00D36D52" w:rsidP="00E37A94">
            <w:pPr>
              <w:rPr>
                <w:rFonts w:ascii="Times New Roman" w:hAnsi="Times New Roman" w:cs="Times New Roman"/>
                <w:sz w:val="20"/>
                <w:szCs w:val="20"/>
                <w:lang w:val="en-US"/>
              </w:rPr>
            </w:pPr>
          </w:p>
        </w:tc>
        <w:tc>
          <w:tcPr>
            <w:tcW w:w="0" w:type="auto"/>
          </w:tcPr>
          <w:p w14:paraId="19203AD2"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Group 3 - Technicians and associate professionals</w:t>
            </w:r>
          </w:p>
        </w:tc>
        <w:tc>
          <w:tcPr>
            <w:tcW w:w="0" w:type="auto"/>
          </w:tcPr>
          <w:p w14:paraId="047D4377"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6.6</w:t>
            </w:r>
          </w:p>
        </w:tc>
        <w:tc>
          <w:tcPr>
            <w:tcW w:w="0" w:type="auto"/>
          </w:tcPr>
          <w:p w14:paraId="5491D00C"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5.7</w:t>
            </w:r>
          </w:p>
        </w:tc>
        <w:tc>
          <w:tcPr>
            <w:tcW w:w="0" w:type="auto"/>
          </w:tcPr>
          <w:p w14:paraId="78E72F74"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9.7</w:t>
            </w:r>
          </w:p>
        </w:tc>
        <w:tc>
          <w:tcPr>
            <w:tcW w:w="0" w:type="auto"/>
            <w:vMerge/>
          </w:tcPr>
          <w:p w14:paraId="58145FD6" w14:textId="77777777" w:rsidR="00D36D52" w:rsidRPr="00B22C17" w:rsidRDefault="00D36D52" w:rsidP="00E37A94">
            <w:pPr>
              <w:rPr>
                <w:rFonts w:ascii="Times New Roman" w:hAnsi="Times New Roman" w:cs="Times New Roman"/>
                <w:sz w:val="20"/>
                <w:szCs w:val="20"/>
                <w:lang w:val="en-US"/>
              </w:rPr>
            </w:pPr>
          </w:p>
        </w:tc>
        <w:tc>
          <w:tcPr>
            <w:tcW w:w="0" w:type="auto"/>
          </w:tcPr>
          <w:p w14:paraId="20AD87C2"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5.9</w:t>
            </w:r>
          </w:p>
        </w:tc>
        <w:tc>
          <w:tcPr>
            <w:tcW w:w="0" w:type="auto"/>
          </w:tcPr>
          <w:p w14:paraId="3C3DF059"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7.4</w:t>
            </w:r>
          </w:p>
        </w:tc>
        <w:tc>
          <w:tcPr>
            <w:tcW w:w="779" w:type="dxa"/>
            <w:vMerge/>
          </w:tcPr>
          <w:p w14:paraId="2F3A5C20" w14:textId="77777777" w:rsidR="00D36D52" w:rsidRPr="00B22C17" w:rsidRDefault="00D36D52" w:rsidP="00E37A94">
            <w:pPr>
              <w:rPr>
                <w:rFonts w:ascii="Times New Roman" w:hAnsi="Times New Roman" w:cs="Times New Roman"/>
                <w:sz w:val="20"/>
                <w:szCs w:val="20"/>
                <w:lang w:val="en-US"/>
              </w:rPr>
            </w:pPr>
          </w:p>
        </w:tc>
      </w:tr>
      <w:tr w:rsidR="00D36D52" w:rsidRPr="00B22C17" w14:paraId="3CC83035" w14:textId="77777777" w:rsidTr="00E37A94">
        <w:tc>
          <w:tcPr>
            <w:tcW w:w="0" w:type="auto"/>
            <w:vMerge/>
          </w:tcPr>
          <w:p w14:paraId="5DA43553" w14:textId="77777777" w:rsidR="00D36D52" w:rsidRPr="00B22C17" w:rsidRDefault="00D36D52" w:rsidP="00E37A94">
            <w:pPr>
              <w:rPr>
                <w:rFonts w:ascii="Times New Roman" w:hAnsi="Times New Roman" w:cs="Times New Roman"/>
                <w:sz w:val="20"/>
                <w:szCs w:val="20"/>
                <w:lang w:val="en-US"/>
              </w:rPr>
            </w:pPr>
          </w:p>
        </w:tc>
        <w:tc>
          <w:tcPr>
            <w:tcW w:w="0" w:type="auto"/>
          </w:tcPr>
          <w:p w14:paraId="7F9E9195"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Group 6 - Skilled agricultural, forestry and fishery workers</w:t>
            </w:r>
          </w:p>
        </w:tc>
        <w:tc>
          <w:tcPr>
            <w:tcW w:w="0" w:type="auto"/>
          </w:tcPr>
          <w:p w14:paraId="0143F892"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0.8</w:t>
            </w:r>
          </w:p>
        </w:tc>
        <w:tc>
          <w:tcPr>
            <w:tcW w:w="0" w:type="auto"/>
          </w:tcPr>
          <w:p w14:paraId="27A39AD5"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0.9</w:t>
            </w:r>
          </w:p>
          <w:p w14:paraId="4A77B426" w14:textId="77777777" w:rsidR="00D36D52" w:rsidRPr="00B22C17" w:rsidRDefault="00D36D52" w:rsidP="00E37A94">
            <w:pPr>
              <w:tabs>
                <w:tab w:val="left" w:pos="504"/>
              </w:tabs>
              <w:rPr>
                <w:rFonts w:ascii="Times New Roman" w:hAnsi="Times New Roman" w:cs="Times New Roman"/>
                <w:sz w:val="20"/>
                <w:szCs w:val="20"/>
                <w:lang w:val="en-US"/>
              </w:rPr>
            </w:pPr>
          </w:p>
        </w:tc>
        <w:tc>
          <w:tcPr>
            <w:tcW w:w="0" w:type="auto"/>
          </w:tcPr>
          <w:p w14:paraId="6D46E1D1"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0.5</w:t>
            </w:r>
          </w:p>
        </w:tc>
        <w:tc>
          <w:tcPr>
            <w:tcW w:w="0" w:type="auto"/>
            <w:vMerge/>
          </w:tcPr>
          <w:p w14:paraId="53520683" w14:textId="77777777" w:rsidR="00D36D52" w:rsidRPr="00B22C17" w:rsidRDefault="00D36D52" w:rsidP="00E37A94">
            <w:pPr>
              <w:rPr>
                <w:rFonts w:ascii="Times New Roman" w:hAnsi="Times New Roman" w:cs="Times New Roman"/>
                <w:sz w:val="20"/>
                <w:szCs w:val="20"/>
                <w:lang w:val="en-US"/>
              </w:rPr>
            </w:pPr>
          </w:p>
        </w:tc>
        <w:tc>
          <w:tcPr>
            <w:tcW w:w="0" w:type="auto"/>
          </w:tcPr>
          <w:p w14:paraId="0CD0A589"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1.1</w:t>
            </w:r>
          </w:p>
        </w:tc>
        <w:tc>
          <w:tcPr>
            <w:tcW w:w="0" w:type="auto"/>
          </w:tcPr>
          <w:p w14:paraId="3B6B395C"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0.4</w:t>
            </w:r>
          </w:p>
        </w:tc>
        <w:tc>
          <w:tcPr>
            <w:tcW w:w="779" w:type="dxa"/>
            <w:vMerge/>
          </w:tcPr>
          <w:p w14:paraId="1B8447EE" w14:textId="77777777" w:rsidR="00D36D52" w:rsidRPr="00B22C17" w:rsidRDefault="00D36D52" w:rsidP="00E37A94">
            <w:pPr>
              <w:rPr>
                <w:rFonts w:ascii="Times New Roman" w:hAnsi="Times New Roman" w:cs="Times New Roman"/>
                <w:sz w:val="20"/>
                <w:szCs w:val="20"/>
                <w:lang w:val="en-US"/>
              </w:rPr>
            </w:pPr>
          </w:p>
        </w:tc>
      </w:tr>
      <w:tr w:rsidR="00D36D52" w:rsidRPr="00B22C17" w14:paraId="028C9EE0" w14:textId="77777777" w:rsidTr="00E37A94">
        <w:tc>
          <w:tcPr>
            <w:tcW w:w="0" w:type="auto"/>
            <w:vMerge w:val="restart"/>
          </w:tcPr>
          <w:p w14:paraId="66EE245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Annual family income</w:t>
            </w:r>
          </w:p>
        </w:tc>
        <w:tc>
          <w:tcPr>
            <w:tcW w:w="0" w:type="auto"/>
          </w:tcPr>
          <w:p w14:paraId="58F400B4"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&lt;$20,000</w:t>
            </w:r>
          </w:p>
        </w:tc>
        <w:tc>
          <w:tcPr>
            <w:tcW w:w="0" w:type="auto"/>
          </w:tcPr>
          <w:p w14:paraId="23CBEBF5"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8.3</w:t>
            </w:r>
          </w:p>
        </w:tc>
        <w:tc>
          <w:tcPr>
            <w:tcW w:w="0" w:type="auto"/>
          </w:tcPr>
          <w:p w14:paraId="6127E56D"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8.3</w:t>
            </w:r>
          </w:p>
        </w:tc>
        <w:tc>
          <w:tcPr>
            <w:tcW w:w="0" w:type="auto"/>
          </w:tcPr>
          <w:p w14:paraId="5299751E"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8.4</w:t>
            </w:r>
          </w:p>
        </w:tc>
        <w:tc>
          <w:tcPr>
            <w:tcW w:w="0" w:type="auto"/>
            <w:vMerge w:val="restart"/>
          </w:tcPr>
          <w:p w14:paraId="642ED6AA"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0.509</w:t>
            </w:r>
          </w:p>
        </w:tc>
        <w:tc>
          <w:tcPr>
            <w:tcW w:w="0" w:type="auto"/>
          </w:tcPr>
          <w:p w14:paraId="73EE1EA2"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9.9</w:t>
            </w:r>
          </w:p>
        </w:tc>
        <w:tc>
          <w:tcPr>
            <w:tcW w:w="0" w:type="auto"/>
          </w:tcPr>
          <w:p w14:paraId="111A15C1"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6.5</w:t>
            </w:r>
          </w:p>
        </w:tc>
        <w:tc>
          <w:tcPr>
            <w:tcW w:w="779" w:type="dxa"/>
            <w:vMerge w:val="restart"/>
          </w:tcPr>
          <w:p w14:paraId="30C14BFB"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0.010</w:t>
            </w:r>
          </w:p>
        </w:tc>
      </w:tr>
      <w:tr w:rsidR="00D36D52" w:rsidRPr="00B22C17" w14:paraId="66106992" w14:textId="77777777" w:rsidTr="00E37A94">
        <w:tc>
          <w:tcPr>
            <w:tcW w:w="0" w:type="auto"/>
            <w:vMerge/>
          </w:tcPr>
          <w:p w14:paraId="67B79DD0" w14:textId="77777777" w:rsidR="00D36D52" w:rsidRPr="00B22C17" w:rsidRDefault="00D36D52" w:rsidP="00E37A94">
            <w:pPr>
              <w:rPr>
                <w:rFonts w:ascii="Times New Roman" w:hAnsi="Times New Roman" w:cs="Times New Roman"/>
                <w:sz w:val="20"/>
                <w:szCs w:val="20"/>
                <w:lang w:val="en-US"/>
              </w:rPr>
            </w:pPr>
          </w:p>
        </w:tc>
        <w:tc>
          <w:tcPr>
            <w:tcW w:w="0" w:type="auto"/>
          </w:tcPr>
          <w:p w14:paraId="0A2E156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$20,000–&lt;$40,000</w:t>
            </w:r>
          </w:p>
        </w:tc>
        <w:tc>
          <w:tcPr>
            <w:tcW w:w="0" w:type="auto"/>
          </w:tcPr>
          <w:p w14:paraId="24F6C211"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16.7</w:t>
            </w:r>
          </w:p>
        </w:tc>
        <w:tc>
          <w:tcPr>
            <w:tcW w:w="0" w:type="auto"/>
          </w:tcPr>
          <w:p w14:paraId="297FD6E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17.9</w:t>
            </w:r>
          </w:p>
        </w:tc>
        <w:tc>
          <w:tcPr>
            <w:tcW w:w="0" w:type="auto"/>
          </w:tcPr>
          <w:p w14:paraId="28631AE8"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13.0</w:t>
            </w:r>
          </w:p>
        </w:tc>
        <w:tc>
          <w:tcPr>
            <w:tcW w:w="0" w:type="auto"/>
            <w:vMerge/>
          </w:tcPr>
          <w:p w14:paraId="7D0BED5A" w14:textId="77777777" w:rsidR="00D36D52" w:rsidRPr="00B22C17" w:rsidRDefault="00D36D52" w:rsidP="00E37A94">
            <w:pPr>
              <w:rPr>
                <w:rFonts w:ascii="Times New Roman" w:hAnsi="Times New Roman" w:cs="Times New Roman"/>
                <w:sz w:val="20"/>
                <w:szCs w:val="20"/>
                <w:lang w:val="en-US"/>
              </w:rPr>
            </w:pPr>
          </w:p>
        </w:tc>
        <w:tc>
          <w:tcPr>
            <w:tcW w:w="0" w:type="auto"/>
          </w:tcPr>
          <w:p w14:paraId="4D9D82F1"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12.1</w:t>
            </w:r>
          </w:p>
        </w:tc>
        <w:tc>
          <w:tcPr>
            <w:tcW w:w="0" w:type="auto"/>
          </w:tcPr>
          <w:p w14:paraId="2EB52B19"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21.9</w:t>
            </w:r>
          </w:p>
        </w:tc>
        <w:tc>
          <w:tcPr>
            <w:tcW w:w="779" w:type="dxa"/>
            <w:vMerge/>
          </w:tcPr>
          <w:p w14:paraId="774325DC" w14:textId="77777777" w:rsidR="00D36D52" w:rsidRPr="00B22C17" w:rsidRDefault="00D36D52" w:rsidP="00E37A94">
            <w:pPr>
              <w:rPr>
                <w:rFonts w:ascii="Times New Roman" w:hAnsi="Times New Roman" w:cs="Times New Roman"/>
                <w:sz w:val="20"/>
                <w:szCs w:val="20"/>
                <w:lang w:val="en-US"/>
              </w:rPr>
            </w:pPr>
          </w:p>
        </w:tc>
      </w:tr>
      <w:tr w:rsidR="00D36D52" w:rsidRPr="00B22C17" w14:paraId="2DD882D8" w14:textId="77777777" w:rsidTr="00E37A94">
        <w:tc>
          <w:tcPr>
            <w:tcW w:w="0" w:type="auto"/>
            <w:vMerge/>
          </w:tcPr>
          <w:p w14:paraId="1EAF0199" w14:textId="77777777" w:rsidR="00D36D52" w:rsidRPr="00B22C17" w:rsidRDefault="00D36D52" w:rsidP="00E37A94">
            <w:pPr>
              <w:rPr>
                <w:rFonts w:ascii="Times New Roman" w:hAnsi="Times New Roman" w:cs="Times New Roman"/>
                <w:sz w:val="20"/>
                <w:szCs w:val="20"/>
                <w:lang w:val="en-US"/>
              </w:rPr>
            </w:pPr>
          </w:p>
        </w:tc>
        <w:tc>
          <w:tcPr>
            <w:tcW w:w="0" w:type="auto"/>
          </w:tcPr>
          <w:p w14:paraId="3ADD1237"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$40,000–&lt;$60,000</w:t>
            </w:r>
          </w:p>
        </w:tc>
        <w:tc>
          <w:tcPr>
            <w:tcW w:w="0" w:type="auto"/>
          </w:tcPr>
          <w:p w14:paraId="4E109455"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15.1</w:t>
            </w:r>
          </w:p>
        </w:tc>
        <w:tc>
          <w:tcPr>
            <w:tcW w:w="0" w:type="auto"/>
          </w:tcPr>
          <w:p w14:paraId="6D175E3D"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15.1</w:t>
            </w:r>
          </w:p>
        </w:tc>
        <w:tc>
          <w:tcPr>
            <w:tcW w:w="0" w:type="auto"/>
          </w:tcPr>
          <w:p w14:paraId="3487307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14.9</w:t>
            </w:r>
          </w:p>
        </w:tc>
        <w:tc>
          <w:tcPr>
            <w:tcW w:w="0" w:type="auto"/>
            <w:vMerge/>
          </w:tcPr>
          <w:p w14:paraId="415A1047" w14:textId="77777777" w:rsidR="00D36D52" w:rsidRPr="00B22C17" w:rsidRDefault="00D36D52" w:rsidP="00E37A94">
            <w:pPr>
              <w:rPr>
                <w:rFonts w:ascii="Times New Roman" w:hAnsi="Times New Roman" w:cs="Times New Roman"/>
                <w:sz w:val="20"/>
                <w:szCs w:val="20"/>
                <w:lang w:val="en-US"/>
              </w:rPr>
            </w:pPr>
          </w:p>
        </w:tc>
        <w:tc>
          <w:tcPr>
            <w:tcW w:w="0" w:type="auto"/>
          </w:tcPr>
          <w:p w14:paraId="372F5A98"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12.8</w:t>
            </w:r>
          </w:p>
        </w:tc>
        <w:tc>
          <w:tcPr>
            <w:tcW w:w="0" w:type="auto"/>
          </w:tcPr>
          <w:p w14:paraId="2EB35B27"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17.7</w:t>
            </w:r>
          </w:p>
        </w:tc>
        <w:tc>
          <w:tcPr>
            <w:tcW w:w="779" w:type="dxa"/>
            <w:vMerge/>
          </w:tcPr>
          <w:p w14:paraId="31BCAA28" w14:textId="77777777" w:rsidR="00D36D52" w:rsidRPr="00B22C17" w:rsidRDefault="00D36D52" w:rsidP="00E37A94">
            <w:pPr>
              <w:rPr>
                <w:rFonts w:ascii="Times New Roman" w:hAnsi="Times New Roman" w:cs="Times New Roman"/>
                <w:sz w:val="20"/>
                <w:szCs w:val="20"/>
                <w:lang w:val="en-US"/>
              </w:rPr>
            </w:pPr>
          </w:p>
        </w:tc>
      </w:tr>
      <w:tr w:rsidR="00D36D52" w:rsidRPr="00B22C17" w14:paraId="416F9CE0" w14:textId="77777777" w:rsidTr="00E37A94">
        <w:tc>
          <w:tcPr>
            <w:tcW w:w="0" w:type="auto"/>
            <w:vMerge/>
          </w:tcPr>
          <w:p w14:paraId="662068CA" w14:textId="77777777" w:rsidR="00D36D52" w:rsidRPr="00B22C17" w:rsidRDefault="00D36D52" w:rsidP="00E37A94">
            <w:pPr>
              <w:rPr>
                <w:rFonts w:ascii="Times New Roman" w:hAnsi="Times New Roman" w:cs="Times New Roman"/>
                <w:sz w:val="20"/>
                <w:szCs w:val="20"/>
                <w:lang w:val="en-US"/>
              </w:rPr>
            </w:pPr>
          </w:p>
        </w:tc>
        <w:tc>
          <w:tcPr>
            <w:tcW w:w="0" w:type="auto"/>
          </w:tcPr>
          <w:p w14:paraId="046102CD"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$60,000–&lt;$75,000</w:t>
            </w:r>
          </w:p>
        </w:tc>
        <w:tc>
          <w:tcPr>
            <w:tcW w:w="0" w:type="auto"/>
          </w:tcPr>
          <w:p w14:paraId="18B517CA"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14.7</w:t>
            </w:r>
          </w:p>
        </w:tc>
        <w:tc>
          <w:tcPr>
            <w:tcW w:w="0" w:type="auto"/>
          </w:tcPr>
          <w:p w14:paraId="765E6564"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13.3</w:t>
            </w:r>
          </w:p>
        </w:tc>
        <w:tc>
          <w:tcPr>
            <w:tcW w:w="0" w:type="auto"/>
          </w:tcPr>
          <w:p w14:paraId="1E649255"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18.8</w:t>
            </w:r>
          </w:p>
        </w:tc>
        <w:tc>
          <w:tcPr>
            <w:tcW w:w="0" w:type="auto"/>
            <w:vMerge/>
          </w:tcPr>
          <w:p w14:paraId="134E9B07" w14:textId="77777777" w:rsidR="00D36D52" w:rsidRPr="00B22C17" w:rsidRDefault="00D36D52" w:rsidP="00E37A94">
            <w:pPr>
              <w:rPr>
                <w:rFonts w:ascii="Times New Roman" w:hAnsi="Times New Roman" w:cs="Times New Roman"/>
                <w:sz w:val="20"/>
                <w:szCs w:val="20"/>
                <w:lang w:val="en-US"/>
              </w:rPr>
            </w:pPr>
          </w:p>
        </w:tc>
        <w:tc>
          <w:tcPr>
            <w:tcW w:w="0" w:type="auto"/>
          </w:tcPr>
          <w:p w14:paraId="499E0E58"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17.7</w:t>
            </w:r>
          </w:p>
        </w:tc>
        <w:tc>
          <w:tcPr>
            <w:tcW w:w="0" w:type="auto"/>
          </w:tcPr>
          <w:p w14:paraId="4F9925A7"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11.3</w:t>
            </w:r>
          </w:p>
        </w:tc>
        <w:tc>
          <w:tcPr>
            <w:tcW w:w="779" w:type="dxa"/>
            <w:vMerge/>
          </w:tcPr>
          <w:p w14:paraId="41464FC9" w14:textId="77777777" w:rsidR="00D36D52" w:rsidRPr="00B22C17" w:rsidRDefault="00D36D52" w:rsidP="00E37A94">
            <w:pPr>
              <w:rPr>
                <w:rFonts w:ascii="Times New Roman" w:hAnsi="Times New Roman" w:cs="Times New Roman"/>
                <w:sz w:val="20"/>
                <w:szCs w:val="20"/>
                <w:lang w:val="en-US"/>
              </w:rPr>
            </w:pPr>
          </w:p>
        </w:tc>
      </w:tr>
      <w:tr w:rsidR="00D36D52" w:rsidRPr="00B22C17" w14:paraId="33BD603F" w14:textId="77777777" w:rsidTr="00E37A94">
        <w:tc>
          <w:tcPr>
            <w:tcW w:w="0" w:type="auto"/>
            <w:vMerge/>
          </w:tcPr>
          <w:p w14:paraId="71E20275" w14:textId="77777777" w:rsidR="00D36D52" w:rsidRPr="00B22C17" w:rsidRDefault="00D36D52" w:rsidP="00E37A94">
            <w:pPr>
              <w:rPr>
                <w:rFonts w:ascii="Times New Roman" w:hAnsi="Times New Roman" w:cs="Times New Roman"/>
                <w:sz w:val="20"/>
                <w:szCs w:val="20"/>
                <w:lang w:val="en-US"/>
              </w:rPr>
            </w:pPr>
          </w:p>
        </w:tc>
        <w:tc>
          <w:tcPr>
            <w:tcW w:w="0" w:type="auto"/>
          </w:tcPr>
          <w:p w14:paraId="06852E7B"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≥$75,000</w:t>
            </w:r>
          </w:p>
        </w:tc>
        <w:tc>
          <w:tcPr>
            <w:tcW w:w="0" w:type="auto"/>
          </w:tcPr>
          <w:p w14:paraId="3E54CE6B"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45.2</w:t>
            </w:r>
          </w:p>
        </w:tc>
        <w:tc>
          <w:tcPr>
            <w:tcW w:w="0" w:type="auto"/>
          </w:tcPr>
          <w:p w14:paraId="567FBF61"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45.3</w:t>
            </w:r>
          </w:p>
        </w:tc>
        <w:tc>
          <w:tcPr>
            <w:tcW w:w="0" w:type="auto"/>
          </w:tcPr>
          <w:p w14:paraId="7DDDC447"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44.9</w:t>
            </w:r>
          </w:p>
        </w:tc>
        <w:tc>
          <w:tcPr>
            <w:tcW w:w="0" w:type="auto"/>
            <w:vMerge/>
          </w:tcPr>
          <w:p w14:paraId="3FBFC20B" w14:textId="77777777" w:rsidR="00D36D52" w:rsidRPr="00B22C17" w:rsidRDefault="00D36D52" w:rsidP="00E37A94">
            <w:pPr>
              <w:rPr>
                <w:rFonts w:ascii="Times New Roman" w:hAnsi="Times New Roman" w:cs="Times New Roman"/>
                <w:sz w:val="20"/>
                <w:szCs w:val="20"/>
                <w:lang w:val="en-US"/>
              </w:rPr>
            </w:pPr>
          </w:p>
        </w:tc>
        <w:tc>
          <w:tcPr>
            <w:tcW w:w="0" w:type="auto"/>
          </w:tcPr>
          <w:p w14:paraId="3A83E95A"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47.5</w:t>
            </w:r>
          </w:p>
        </w:tc>
        <w:tc>
          <w:tcPr>
            <w:tcW w:w="0" w:type="auto"/>
          </w:tcPr>
          <w:p w14:paraId="719BF4DD"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42.7</w:t>
            </w:r>
          </w:p>
        </w:tc>
        <w:tc>
          <w:tcPr>
            <w:tcW w:w="779" w:type="dxa"/>
            <w:vMerge/>
          </w:tcPr>
          <w:p w14:paraId="070DB3F5" w14:textId="77777777" w:rsidR="00D36D52" w:rsidRPr="00B22C17" w:rsidRDefault="00D36D52" w:rsidP="00E37A94">
            <w:pPr>
              <w:rPr>
                <w:rFonts w:ascii="Times New Roman" w:hAnsi="Times New Roman" w:cs="Times New Roman"/>
                <w:sz w:val="20"/>
                <w:szCs w:val="20"/>
                <w:lang w:val="en-US"/>
              </w:rPr>
            </w:pPr>
          </w:p>
        </w:tc>
      </w:tr>
      <w:tr w:rsidR="00D36D52" w:rsidRPr="00B22C17" w14:paraId="17D70F4B" w14:textId="77777777" w:rsidTr="00E37A94">
        <w:tc>
          <w:tcPr>
            <w:tcW w:w="0" w:type="auto"/>
            <w:vMerge w:val="restart"/>
          </w:tcPr>
          <w:p w14:paraId="03222B1B"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Health insurance</w:t>
            </w:r>
          </w:p>
        </w:tc>
        <w:tc>
          <w:tcPr>
            <w:tcW w:w="0" w:type="auto"/>
          </w:tcPr>
          <w:p w14:paraId="50DC5298"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Private</w:t>
            </w:r>
          </w:p>
        </w:tc>
        <w:tc>
          <w:tcPr>
            <w:tcW w:w="0" w:type="auto"/>
          </w:tcPr>
          <w:p w14:paraId="2F597C5F"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75.3</w:t>
            </w:r>
          </w:p>
        </w:tc>
        <w:tc>
          <w:tcPr>
            <w:tcW w:w="0" w:type="auto"/>
          </w:tcPr>
          <w:p w14:paraId="17050941"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76.1</w:t>
            </w:r>
          </w:p>
        </w:tc>
        <w:tc>
          <w:tcPr>
            <w:tcW w:w="0" w:type="auto"/>
          </w:tcPr>
          <w:p w14:paraId="3740B3B1"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72.8</w:t>
            </w:r>
          </w:p>
        </w:tc>
        <w:tc>
          <w:tcPr>
            <w:tcW w:w="0" w:type="auto"/>
            <w:vMerge w:val="restart"/>
          </w:tcPr>
          <w:p w14:paraId="483A662A"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0.710</w:t>
            </w:r>
          </w:p>
        </w:tc>
        <w:tc>
          <w:tcPr>
            <w:tcW w:w="0" w:type="auto"/>
          </w:tcPr>
          <w:p w14:paraId="036E436F"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73.7</w:t>
            </w:r>
          </w:p>
        </w:tc>
        <w:tc>
          <w:tcPr>
            <w:tcW w:w="0" w:type="auto"/>
          </w:tcPr>
          <w:p w14:paraId="381DBB9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77.1</w:t>
            </w:r>
          </w:p>
        </w:tc>
        <w:tc>
          <w:tcPr>
            <w:tcW w:w="779" w:type="dxa"/>
            <w:vMerge w:val="restart"/>
          </w:tcPr>
          <w:p w14:paraId="67B14CAA"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0.228</w:t>
            </w:r>
          </w:p>
        </w:tc>
      </w:tr>
      <w:tr w:rsidR="00D36D52" w:rsidRPr="00B22C17" w14:paraId="10EF9CEF" w14:textId="77777777" w:rsidTr="00E37A94">
        <w:tc>
          <w:tcPr>
            <w:tcW w:w="0" w:type="auto"/>
            <w:vMerge/>
          </w:tcPr>
          <w:p w14:paraId="30727B8D" w14:textId="77777777" w:rsidR="00D36D52" w:rsidRPr="00B22C17" w:rsidRDefault="00D36D52" w:rsidP="00E37A94">
            <w:pPr>
              <w:rPr>
                <w:rFonts w:ascii="Times New Roman" w:hAnsi="Times New Roman" w:cs="Times New Roman"/>
                <w:sz w:val="20"/>
                <w:szCs w:val="20"/>
                <w:lang w:val="en-US"/>
              </w:rPr>
            </w:pPr>
          </w:p>
        </w:tc>
        <w:tc>
          <w:tcPr>
            <w:tcW w:w="0" w:type="auto"/>
          </w:tcPr>
          <w:p w14:paraId="32FA98C1"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Medicare/Medicaid/Veterans Affairs Health Care/Tricare/other</w:t>
            </w:r>
          </w:p>
        </w:tc>
        <w:tc>
          <w:tcPr>
            <w:tcW w:w="0" w:type="auto"/>
          </w:tcPr>
          <w:p w14:paraId="52C2F75C"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18.2</w:t>
            </w:r>
          </w:p>
        </w:tc>
        <w:tc>
          <w:tcPr>
            <w:tcW w:w="0" w:type="auto"/>
          </w:tcPr>
          <w:p w14:paraId="1C9856B2"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17.3</w:t>
            </w:r>
          </w:p>
        </w:tc>
        <w:tc>
          <w:tcPr>
            <w:tcW w:w="0" w:type="auto"/>
          </w:tcPr>
          <w:p w14:paraId="1B42AF13"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20.7</w:t>
            </w:r>
          </w:p>
        </w:tc>
        <w:tc>
          <w:tcPr>
            <w:tcW w:w="0" w:type="auto"/>
            <w:vMerge/>
          </w:tcPr>
          <w:p w14:paraId="68433F85" w14:textId="77777777" w:rsidR="00D36D52" w:rsidRPr="00B22C17" w:rsidRDefault="00D36D52" w:rsidP="00E37A94">
            <w:pPr>
              <w:rPr>
                <w:rFonts w:ascii="Times New Roman" w:hAnsi="Times New Roman" w:cs="Times New Roman"/>
                <w:sz w:val="20"/>
                <w:szCs w:val="20"/>
                <w:lang w:val="en-US"/>
              </w:rPr>
            </w:pPr>
          </w:p>
        </w:tc>
        <w:tc>
          <w:tcPr>
            <w:tcW w:w="0" w:type="auto"/>
          </w:tcPr>
          <w:p w14:paraId="76E8C66D"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20.7</w:t>
            </w:r>
          </w:p>
        </w:tc>
        <w:tc>
          <w:tcPr>
            <w:tcW w:w="0" w:type="auto"/>
          </w:tcPr>
          <w:p w14:paraId="5B114021"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15.3</w:t>
            </w:r>
          </w:p>
        </w:tc>
        <w:tc>
          <w:tcPr>
            <w:tcW w:w="779" w:type="dxa"/>
            <w:vMerge/>
          </w:tcPr>
          <w:p w14:paraId="3FD607A2" w14:textId="77777777" w:rsidR="00D36D52" w:rsidRPr="00B22C17" w:rsidRDefault="00D36D52" w:rsidP="00E37A94">
            <w:pPr>
              <w:rPr>
                <w:rFonts w:ascii="Times New Roman" w:hAnsi="Times New Roman" w:cs="Times New Roman"/>
                <w:sz w:val="20"/>
                <w:szCs w:val="20"/>
                <w:lang w:val="en-US"/>
              </w:rPr>
            </w:pPr>
          </w:p>
        </w:tc>
      </w:tr>
      <w:tr w:rsidR="00D36D52" w:rsidRPr="00B22C17" w14:paraId="1C7E3B3A" w14:textId="77777777" w:rsidTr="00E37A94">
        <w:tc>
          <w:tcPr>
            <w:tcW w:w="0" w:type="auto"/>
            <w:vMerge/>
          </w:tcPr>
          <w:p w14:paraId="53643073" w14:textId="77777777" w:rsidR="00D36D52" w:rsidRPr="00B22C17" w:rsidRDefault="00D36D52" w:rsidP="00E37A94">
            <w:pPr>
              <w:rPr>
                <w:rFonts w:ascii="Times New Roman" w:hAnsi="Times New Roman" w:cs="Times New Roman"/>
                <w:sz w:val="20"/>
                <w:szCs w:val="20"/>
                <w:lang w:val="en-US"/>
              </w:rPr>
            </w:pPr>
          </w:p>
        </w:tc>
        <w:tc>
          <w:tcPr>
            <w:tcW w:w="0" w:type="auto"/>
          </w:tcPr>
          <w:p w14:paraId="45A38B63"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None</w:t>
            </w:r>
          </w:p>
        </w:tc>
        <w:tc>
          <w:tcPr>
            <w:tcW w:w="0" w:type="auto"/>
          </w:tcPr>
          <w:p w14:paraId="2E27261D"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6.5</w:t>
            </w:r>
          </w:p>
        </w:tc>
        <w:tc>
          <w:tcPr>
            <w:tcW w:w="0" w:type="auto"/>
          </w:tcPr>
          <w:p w14:paraId="2EEDF583"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6.6</w:t>
            </w:r>
          </w:p>
        </w:tc>
        <w:tc>
          <w:tcPr>
            <w:tcW w:w="0" w:type="auto"/>
          </w:tcPr>
          <w:p w14:paraId="79F0674C"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6.5</w:t>
            </w:r>
          </w:p>
        </w:tc>
        <w:tc>
          <w:tcPr>
            <w:tcW w:w="0" w:type="auto"/>
            <w:vMerge/>
          </w:tcPr>
          <w:p w14:paraId="16B7BE1B" w14:textId="77777777" w:rsidR="00D36D52" w:rsidRPr="00B22C17" w:rsidRDefault="00D36D52" w:rsidP="00E37A94">
            <w:pPr>
              <w:rPr>
                <w:rFonts w:ascii="Times New Roman" w:hAnsi="Times New Roman" w:cs="Times New Roman"/>
                <w:sz w:val="20"/>
                <w:szCs w:val="20"/>
                <w:lang w:val="en-US"/>
              </w:rPr>
            </w:pPr>
          </w:p>
        </w:tc>
        <w:tc>
          <w:tcPr>
            <w:tcW w:w="0" w:type="auto"/>
          </w:tcPr>
          <w:p w14:paraId="2204D013"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5.5</w:t>
            </w:r>
          </w:p>
        </w:tc>
        <w:tc>
          <w:tcPr>
            <w:tcW w:w="0" w:type="auto"/>
          </w:tcPr>
          <w:p w14:paraId="2DAF4092"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7.7</w:t>
            </w:r>
          </w:p>
        </w:tc>
        <w:tc>
          <w:tcPr>
            <w:tcW w:w="779" w:type="dxa"/>
            <w:vMerge/>
          </w:tcPr>
          <w:p w14:paraId="374CE872" w14:textId="77777777" w:rsidR="00D36D52" w:rsidRPr="00B22C17" w:rsidRDefault="00D36D52" w:rsidP="00E37A94">
            <w:pPr>
              <w:rPr>
                <w:rFonts w:ascii="Times New Roman" w:hAnsi="Times New Roman" w:cs="Times New Roman"/>
                <w:sz w:val="20"/>
                <w:szCs w:val="20"/>
                <w:lang w:val="en-US"/>
              </w:rPr>
            </w:pPr>
          </w:p>
        </w:tc>
      </w:tr>
      <w:tr w:rsidR="00D36D52" w:rsidRPr="00B22C17" w14:paraId="32F31F45" w14:textId="77777777" w:rsidTr="00E37A94">
        <w:tc>
          <w:tcPr>
            <w:tcW w:w="0" w:type="auto"/>
            <w:vMerge w:val="restart"/>
          </w:tcPr>
          <w:p w14:paraId="31B2E36F"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Obesity</w:t>
            </w:r>
          </w:p>
        </w:tc>
        <w:tc>
          <w:tcPr>
            <w:tcW w:w="0" w:type="auto"/>
          </w:tcPr>
          <w:p w14:paraId="36CBD81D"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No</w:t>
            </w:r>
          </w:p>
        </w:tc>
        <w:tc>
          <w:tcPr>
            <w:tcW w:w="0" w:type="auto"/>
          </w:tcPr>
          <w:p w14:paraId="452EB29E"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87.8</w:t>
            </w:r>
          </w:p>
        </w:tc>
        <w:tc>
          <w:tcPr>
            <w:tcW w:w="0" w:type="auto"/>
          </w:tcPr>
          <w:p w14:paraId="2B872853"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90.3</w:t>
            </w:r>
          </w:p>
        </w:tc>
        <w:tc>
          <w:tcPr>
            <w:tcW w:w="0" w:type="auto"/>
          </w:tcPr>
          <w:p w14:paraId="7B22B238"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80.1</w:t>
            </w:r>
          </w:p>
        </w:tc>
        <w:tc>
          <w:tcPr>
            <w:tcW w:w="0" w:type="auto"/>
            <w:vMerge w:val="restart"/>
          </w:tcPr>
          <w:p w14:paraId="7D1C05C7"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&lt;0.001</w:t>
            </w:r>
          </w:p>
        </w:tc>
        <w:tc>
          <w:tcPr>
            <w:tcW w:w="0" w:type="auto"/>
          </w:tcPr>
          <w:p w14:paraId="371691D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91.8</w:t>
            </w:r>
          </w:p>
        </w:tc>
        <w:tc>
          <w:tcPr>
            <w:tcW w:w="0" w:type="auto"/>
          </w:tcPr>
          <w:p w14:paraId="77E4AF67"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83.3</w:t>
            </w:r>
          </w:p>
        </w:tc>
        <w:tc>
          <w:tcPr>
            <w:tcW w:w="779" w:type="dxa"/>
            <w:vMerge w:val="restart"/>
          </w:tcPr>
          <w:p w14:paraId="1B29F044"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&lt;0.001</w:t>
            </w:r>
          </w:p>
        </w:tc>
      </w:tr>
      <w:tr w:rsidR="00D36D52" w:rsidRPr="00B22C17" w14:paraId="49AE9D00" w14:textId="77777777" w:rsidTr="00E37A94">
        <w:tc>
          <w:tcPr>
            <w:tcW w:w="0" w:type="auto"/>
            <w:vMerge/>
          </w:tcPr>
          <w:p w14:paraId="3403673E" w14:textId="77777777" w:rsidR="00D36D52" w:rsidRPr="00B22C17" w:rsidRDefault="00D36D52" w:rsidP="00E37A94">
            <w:pPr>
              <w:rPr>
                <w:rFonts w:ascii="Times New Roman" w:hAnsi="Times New Roman" w:cs="Times New Roman"/>
                <w:sz w:val="20"/>
                <w:szCs w:val="20"/>
                <w:lang w:val="en-US"/>
              </w:rPr>
            </w:pPr>
          </w:p>
        </w:tc>
        <w:tc>
          <w:tcPr>
            <w:tcW w:w="0" w:type="auto"/>
          </w:tcPr>
          <w:p w14:paraId="019C92D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Yes</w:t>
            </w:r>
          </w:p>
        </w:tc>
        <w:tc>
          <w:tcPr>
            <w:tcW w:w="0" w:type="auto"/>
          </w:tcPr>
          <w:p w14:paraId="6EB8EE81"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12.2</w:t>
            </w:r>
          </w:p>
        </w:tc>
        <w:tc>
          <w:tcPr>
            <w:tcW w:w="0" w:type="auto"/>
          </w:tcPr>
          <w:p w14:paraId="47A2CCDD"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9.7</w:t>
            </w:r>
          </w:p>
        </w:tc>
        <w:tc>
          <w:tcPr>
            <w:tcW w:w="0" w:type="auto"/>
          </w:tcPr>
          <w:p w14:paraId="4B9A255B"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19.9</w:t>
            </w:r>
          </w:p>
        </w:tc>
        <w:tc>
          <w:tcPr>
            <w:tcW w:w="0" w:type="auto"/>
            <w:vMerge/>
          </w:tcPr>
          <w:p w14:paraId="7398038D" w14:textId="77777777" w:rsidR="00D36D52" w:rsidRPr="00B22C17" w:rsidRDefault="00D36D52" w:rsidP="00E37A94">
            <w:pPr>
              <w:rPr>
                <w:rFonts w:ascii="Times New Roman" w:hAnsi="Times New Roman" w:cs="Times New Roman"/>
                <w:sz w:val="20"/>
                <w:szCs w:val="20"/>
                <w:lang w:val="en-US"/>
              </w:rPr>
            </w:pPr>
          </w:p>
        </w:tc>
        <w:tc>
          <w:tcPr>
            <w:tcW w:w="0" w:type="auto"/>
          </w:tcPr>
          <w:p w14:paraId="29CD1CDA"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8.2</w:t>
            </w:r>
          </w:p>
        </w:tc>
        <w:tc>
          <w:tcPr>
            <w:tcW w:w="0" w:type="auto"/>
          </w:tcPr>
          <w:p w14:paraId="3CD8AEF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16.7</w:t>
            </w:r>
          </w:p>
        </w:tc>
        <w:tc>
          <w:tcPr>
            <w:tcW w:w="779" w:type="dxa"/>
            <w:vMerge/>
          </w:tcPr>
          <w:p w14:paraId="5FBBFB90" w14:textId="77777777" w:rsidR="00D36D52" w:rsidRPr="00B22C17" w:rsidRDefault="00D36D52" w:rsidP="00E37A94">
            <w:pPr>
              <w:rPr>
                <w:rFonts w:ascii="Times New Roman" w:hAnsi="Times New Roman" w:cs="Times New Roman"/>
                <w:sz w:val="20"/>
                <w:szCs w:val="20"/>
                <w:lang w:val="en-US"/>
              </w:rPr>
            </w:pPr>
          </w:p>
        </w:tc>
      </w:tr>
      <w:tr w:rsidR="00D36D52" w:rsidRPr="00B22C17" w14:paraId="3B347134" w14:textId="77777777" w:rsidTr="00E37A94">
        <w:tc>
          <w:tcPr>
            <w:tcW w:w="0" w:type="auto"/>
            <w:vMerge w:val="restart"/>
          </w:tcPr>
          <w:p w14:paraId="4AC9F319"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Diabetes</w:t>
            </w:r>
          </w:p>
        </w:tc>
        <w:tc>
          <w:tcPr>
            <w:tcW w:w="0" w:type="auto"/>
          </w:tcPr>
          <w:p w14:paraId="407FE7B7"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No</w:t>
            </w:r>
          </w:p>
        </w:tc>
        <w:tc>
          <w:tcPr>
            <w:tcW w:w="0" w:type="auto"/>
          </w:tcPr>
          <w:p w14:paraId="05E924F6"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91.5</w:t>
            </w:r>
          </w:p>
        </w:tc>
        <w:tc>
          <w:tcPr>
            <w:tcW w:w="0" w:type="auto"/>
          </w:tcPr>
          <w:p w14:paraId="5C3B9DCC"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92.0</w:t>
            </w:r>
          </w:p>
        </w:tc>
        <w:tc>
          <w:tcPr>
            <w:tcW w:w="0" w:type="auto"/>
          </w:tcPr>
          <w:p w14:paraId="7621904B"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90.1</w:t>
            </w:r>
          </w:p>
        </w:tc>
        <w:tc>
          <w:tcPr>
            <w:tcW w:w="0" w:type="auto"/>
            <w:vMerge w:val="restart"/>
          </w:tcPr>
          <w:p w14:paraId="00A990C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0.469</w:t>
            </w:r>
          </w:p>
        </w:tc>
        <w:tc>
          <w:tcPr>
            <w:tcW w:w="0" w:type="auto"/>
          </w:tcPr>
          <w:p w14:paraId="0422C0D6"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91.2</w:t>
            </w:r>
          </w:p>
        </w:tc>
        <w:tc>
          <w:tcPr>
            <w:tcW w:w="0" w:type="auto"/>
          </w:tcPr>
          <w:p w14:paraId="444C963A"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91.8</w:t>
            </w:r>
          </w:p>
        </w:tc>
        <w:tc>
          <w:tcPr>
            <w:tcW w:w="779" w:type="dxa"/>
            <w:vMerge w:val="restart"/>
          </w:tcPr>
          <w:p w14:paraId="492C1528"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0.819</w:t>
            </w:r>
          </w:p>
        </w:tc>
      </w:tr>
      <w:tr w:rsidR="00D36D52" w:rsidRPr="00B22C17" w14:paraId="113F0C20" w14:textId="77777777" w:rsidTr="00E37A94">
        <w:tc>
          <w:tcPr>
            <w:tcW w:w="0" w:type="auto"/>
            <w:vMerge/>
          </w:tcPr>
          <w:p w14:paraId="65E7B147" w14:textId="77777777" w:rsidR="00D36D52" w:rsidRPr="00B22C17" w:rsidRDefault="00D36D52" w:rsidP="00E37A94">
            <w:pPr>
              <w:rPr>
                <w:rFonts w:ascii="Times New Roman" w:hAnsi="Times New Roman" w:cs="Times New Roman"/>
                <w:sz w:val="20"/>
                <w:szCs w:val="20"/>
                <w:lang w:val="en-US"/>
              </w:rPr>
            </w:pPr>
          </w:p>
        </w:tc>
        <w:tc>
          <w:tcPr>
            <w:tcW w:w="0" w:type="auto"/>
          </w:tcPr>
          <w:p w14:paraId="0488E563"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Yes</w:t>
            </w:r>
          </w:p>
        </w:tc>
        <w:tc>
          <w:tcPr>
            <w:tcW w:w="0" w:type="auto"/>
          </w:tcPr>
          <w:p w14:paraId="12D4AC5B"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8.5</w:t>
            </w:r>
          </w:p>
        </w:tc>
        <w:tc>
          <w:tcPr>
            <w:tcW w:w="0" w:type="auto"/>
          </w:tcPr>
          <w:p w14:paraId="03E4EB0A"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8.0</w:t>
            </w:r>
          </w:p>
        </w:tc>
        <w:tc>
          <w:tcPr>
            <w:tcW w:w="0" w:type="auto"/>
          </w:tcPr>
          <w:p w14:paraId="00199928"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9.9</w:t>
            </w:r>
          </w:p>
        </w:tc>
        <w:tc>
          <w:tcPr>
            <w:tcW w:w="0" w:type="auto"/>
            <w:vMerge/>
          </w:tcPr>
          <w:p w14:paraId="711541AF" w14:textId="77777777" w:rsidR="00D36D52" w:rsidRPr="00B22C17" w:rsidRDefault="00D36D52" w:rsidP="00E37A94">
            <w:pPr>
              <w:rPr>
                <w:rFonts w:ascii="Times New Roman" w:hAnsi="Times New Roman" w:cs="Times New Roman"/>
                <w:sz w:val="20"/>
                <w:szCs w:val="20"/>
                <w:lang w:val="en-US"/>
              </w:rPr>
            </w:pPr>
          </w:p>
        </w:tc>
        <w:tc>
          <w:tcPr>
            <w:tcW w:w="0" w:type="auto"/>
          </w:tcPr>
          <w:p w14:paraId="5785D295"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8.8</w:t>
            </w:r>
          </w:p>
        </w:tc>
        <w:tc>
          <w:tcPr>
            <w:tcW w:w="0" w:type="auto"/>
          </w:tcPr>
          <w:p w14:paraId="43EC76EB"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8.2</w:t>
            </w:r>
          </w:p>
        </w:tc>
        <w:tc>
          <w:tcPr>
            <w:tcW w:w="779" w:type="dxa"/>
            <w:vMerge/>
          </w:tcPr>
          <w:p w14:paraId="619AF893" w14:textId="77777777" w:rsidR="00D36D52" w:rsidRPr="00B22C17" w:rsidRDefault="00D36D52" w:rsidP="00E37A94">
            <w:pPr>
              <w:rPr>
                <w:rFonts w:ascii="Times New Roman" w:hAnsi="Times New Roman" w:cs="Times New Roman"/>
                <w:sz w:val="20"/>
                <w:szCs w:val="20"/>
                <w:lang w:val="en-US"/>
              </w:rPr>
            </w:pPr>
          </w:p>
        </w:tc>
      </w:tr>
      <w:tr w:rsidR="00D36D52" w:rsidRPr="00B22C17" w14:paraId="6A67E020" w14:textId="77777777" w:rsidTr="00E37A94">
        <w:tc>
          <w:tcPr>
            <w:tcW w:w="0" w:type="auto"/>
            <w:vMerge w:val="restart"/>
          </w:tcPr>
          <w:p w14:paraId="3AC0F09B"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Depression</w:t>
            </w:r>
          </w:p>
        </w:tc>
        <w:tc>
          <w:tcPr>
            <w:tcW w:w="0" w:type="auto"/>
          </w:tcPr>
          <w:p w14:paraId="16DB4101"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No</w:t>
            </w:r>
          </w:p>
        </w:tc>
        <w:tc>
          <w:tcPr>
            <w:tcW w:w="0" w:type="auto"/>
          </w:tcPr>
          <w:p w14:paraId="74597CE8"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84.0</w:t>
            </w:r>
          </w:p>
        </w:tc>
        <w:tc>
          <w:tcPr>
            <w:tcW w:w="0" w:type="auto"/>
          </w:tcPr>
          <w:p w14:paraId="2819BD4E"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86.4</w:t>
            </w:r>
          </w:p>
        </w:tc>
        <w:tc>
          <w:tcPr>
            <w:tcW w:w="0" w:type="auto"/>
          </w:tcPr>
          <w:p w14:paraId="7E8017E6"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76.6</w:t>
            </w:r>
          </w:p>
        </w:tc>
        <w:tc>
          <w:tcPr>
            <w:tcW w:w="0" w:type="auto"/>
            <w:vMerge w:val="restart"/>
          </w:tcPr>
          <w:p w14:paraId="1321C619"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0.006</w:t>
            </w:r>
          </w:p>
        </w:tc>
        <w:tc>
          <w:tcPr>
            <w:tcW w:w="0" w:type="auto"/>
          </w:tcPr>
          <w:p w14:paraId="11B96428"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90.6</w:t>
            </w:r>
          </w:p>
        </w:tc>
        <w:tc>
          <w:tcPr>
            <w:tcW w:w="0" w:type="auto"/>
          </w:tcPr>
          <w:p w14:paraId="1044196B"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76.5</w:t>
            </w:r>
          </w:p>
        </w:tc>
        <w:tc>
          <w:tcPr>
            <w:tcW w:w="779" w:type="dxa"/>
            <w:vMerge w:val="restart"/>
          </w:tcPr>
          <w:p w14:paraId="1F8FCAE8"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&lt;0.001</w:t>
            </w:r>
          </w:p>
        </w:tc>
      </w:tr>
      <w:tr w:rsidR="00D36D52" w:rsidRPr="00B22C17" w14:paraId="7ED2E02D" w14:textId="77777777" w:rsidTr="00E37A94">
        <w:tc>
          <w:tcPr>
            <w:tcW w:w="0" w:type="auto"/>
            <w:vMerge/>
          </w:tcPr>
          <w:p w14:paraId="2E0E0E28" w14:textId="77777777" w:rsidR="00D36D52" w:rsidRPr="00B22C17" w:rsidRDefault="00D36D52" w:rsidP="00E37A94">
            <w:pPr>
              <w:rPr>
                <w:rFonts w:ascii="Times New Roman" w:hAnsi="Times New Roman" w:cs="Times New Roman"/>
                <w:sz w:val="20"/>
                <w:szCs w:val="20"/>
                <w:lang w:val="en-US"/>
              </w:rPr>
            </w:pPr>
          </w:p>
        </w:tc>
        <w:tc>
          <w:tcPr>
            <w:tcW w:w="0" w:type="auto"/>
          </w:tcPr>
          <w:p w14:paraId="6C41E8E6"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Yes</w:t>
            </w:r>
          </w:p>
        </w:tc>
        <w:tc>
          <w:tcPr>
            <w:tcW w:w="0" w:type="auto"/>
          </w:tcPr>
          <w:p w14:paraId="3790ADA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16.0</w:t>
            </w:r>
          </w:p>
        </w:tc>
        <w:tc>
          <w:tcPr>
            <w:tcW w:w="0" w:type="auto"/>
          </w:tcPr>
          <w:p w14:paraId="4461A685"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13.6</w:t>
            </w:r>
          </w:p>
        </w:tc>
        <w:tc>
          <w:tcPr>
            <w:tcW w:w="0" w:type="auto"/>
          </w:tcPr>
          <w:p w14:paraId="713E1C86"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23.4</w:t>
            </w:r>
          </w:p>
        </w:tc>
        <w:tc>
          <w:tcPr>
            <w:tcW w:w="0" w:type="auto"/>
            <w:vMerge/>
          </w:tcPr>
          <w:p w14:paraId="76D92335" w14:textId="77777777" w:rsidR="00D36D52" w:rsidRPr="00B22C17" w:rsidRDefault="00D36D52" w:rsidP="00E37A94">
            <w:pPr>
              <w:rPr>
                <w:rFonts w:ascii="Times New Roman" w:hAnsi="Times New Roman" w:cs="Times New Roman"/>
                <w:sz w:val="20"/>
                <w:szCs w:val="20"/>
                <w:lang w:val="en-US"/>
              </w:rPr>
            </w:pPr>
          </w:p>
        </w:tc>
        <w:tc>
          <w:tcPr>
            <w:tcW w:w="0" w:type="auto"/>
          </w:tcPr>
          <w:p w14:paraId="0328A311"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9.4</w:t>
            </w:r>
          </w:p>
        </w:tc>
        <w:tc>
          <w:tcPr>
            <w:tcW w:w="0" w:type="auto"/>
          </w:tcPr>
          <w:p w14:paraId="49046B9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23.5</w:t>
            </w:r>
          </w:p>
        </w:tc>
        <w:tc>
          <w:tcPr>
            <w:tcW w:w="779" w:type="dxa"/>
            <w:vMerge/>
          </w:tcPr>
          <w:p w14:paraId="499F497B" w14:textId="77777777" w:rsidR="00D36D52" w:rsidRPr="00B22C17" w:rsidRDefault="00D36D52" w:rsidP="00E37A94">
            <w:pPr>
              <w:rPr>
                <w:rFonts w:ascii="Times New Roman" w:hAnsi="Times New Roman" w:cs="Times New Roman"/>
                <w:sz w:val="20"/>
                <w:szCs w:val="20"/>
                <w:lang w:val="en-US"/>
              </w:rPr>
            </w:pPr>
          </w:p>
        </w:tc>
      </w:tr>
      <w:tr w:rsidR="00D36D52" w:rsidRPr="00B22C17" w14:paraId="501DEE0C" w14:textId="77777777" w:rsidTr="00E37A94">
        <w:tc>
          <w:tcPr>
            <w:tcW w:w="0" w:type="auto"/>
            <w:vMerge w:val="restart"/>
          </w:tcPr>
          <w:p w14:paraId="7AEF1F25"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Anxiety</w:t>
            </w:r>
          </w:p>
        </w:tc>
        <w:tc>
          <w:tcPr>
            <w:tcW w:w="0" w:type="auto"/>
          </w:tcPr>
          <w:p w14:paraId="428AD7EF"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No</w:t>
            </w:r>
          </w:p>
        </w:tc>
        <w:tc>
          <w:tcPr>
            <w:tcW w:w="0" w:type="auto"/>
          </w:tcPr>
          <w:p w14:paraId="638AD1A6"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78.9</w:t>
            </w:r>
          </w:p>
        </w:tc>
        <w:tc>
          <w:tcPr>
            <w:tcW w:w="0" w:type="auto"/>
          </w:tcPr>
          <w:p w14:paraId="5F99C7BC"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80.8</w:t>
            </w:r>
          </w:p>
        </w:tc>
        <w:tc>
          <w:tcPr>
            <w:tcW w:w="0" w:type="auto"/>
          </w:tcPr>
          <w:p w14:paraId="29906FDC"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73.0</w:t>
            </w:r>
          </w:p>
        </w:tc>
        <w:tc>
          <w:tcPr>
            <w:tcW w:w="0" w:type="auto"/>
            <w:vMerge w:val="restart"/>
          </w:tcPr>
          <w:p w14:paraId="2520085D"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0.071</w:t>
            </w:r>
          </w:p>
        </w:tc>
        <w:tc>
          <w:tcPr>
            <w:tcW w:w="0" w:type="auto"/>
          </w:tcPr>
          <w:p w14:paraId="58EDAF86"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84.3</w:t>
            </w:r>
          </w:p>
        </w:tc>
        <w:tc>
          <w:tcPr>
            <w:tcW w:w="0" w:type="auto"/>
          </w:tcPr>
          <w:p w14:paraId="31739C6B"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72.8</w:t>
            </w:r>
          </w:p>
        </w:tc>
        <w:tc>
          <w:tcPr>
            <w:tcW w:w="779" w:type="dxa"/>
            <w:vMerge w:val="restart"/>
          </w:tcPr>
          <w:p w14:paraId="3B448E9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0.010</w:t>
            </w:r>
          </w:p>
        </w:tc>
      </w:tr>
      <w:tr w:rsidR="00D36D52" w:rsidRPr="00B22C17" w14:paraId="62E08A06" w14:textId="77777777" w:rsidTr="00E37A94">
        <w:tc>
          <w:tcPr>
            <w:tcW w:w="0" w:type="auto"/>
            <w:vMerge/>
          </w:tcPr>
          <w:p w14:paraId="274223FE" w14:textId="77777777" w:rsidR="00D36D52" w:rsidRPr="00B22C17" w:rsidRDefault="00D36D52" w:rsidP="00E37A94">
            <w:pPr>
              <w:rPr>
                <w:rFonts w:ascii="Times New Roman" w:hAnsi="Times New Roman" w:cs="Times New Roman"/>
                <w:sz w:val="20"/>
                <w:szCs w:val="20"/>
                <w:lang w:val="en-US"/>
              </w:rPr>
            </w:pPr>
          </w:p>
        </w:tc>
        <w:tc>
          <w:tcPr>
            <w:tcW w:w="0" w:type="auto"/>
          </w:tcPr>
          <w:p w14:paraId="2F6B94C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Yes</w:t>
            </w:r>
          </w:p>
        </w:tc>
        <w:tc>
          <w:tcPr>
            <w:tcW w:w="0" w:type="auto"/>
          </w:tcPr>
          <w:p w14:paraId="4D365C8C"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21.1</w:t>
            </w:r>
          </w:p>
        </w:tc>
        <w:tc>
          <w:tcPr>
            <w:tcW w:w="0" w:type="auto"/>
          </w:tcPr>
          <w:p w14:paraId="398935AF"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19.2</w:t>
            </w:r>
          </w:p>
        </w:tc>
        <w:tc>
          <w:tcPr>
            <w:tcW w:w="0" w:type="auto"/>
          </w:tcPr>
          <w:p w14:paraId="5FDD57B5"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27.0</w:t>
            </w:r>
          </w:p>
        </w:tc>
        <w:tc>
          <w:tcPr>
            <w:tcW w:w="0" w:type="auto"/>
            <w:vMerge/>
          </w:tcPr>
          <w:p w14:paraId="497AB27D" w14:textId="77777777" w:rsidR="00D36D52" w:rsidRPr="00B22C17" w:rsidRDefault="00D36D52" w:rsidP="00E37A94">
            <w:pPr>
              <w:rPr>
                <w:rFonts w:ascii="Times New Roman" w:hAnsi="Times New Roman" w:cs="Times New Roman"/>
                <w:sz w:val="20"/>
                <w:szCs w:val="20"/>
                <w:lang w:val="en-US"/>
              </w:rPr>
            </w:pPr>
          </w:p>
        </w:tc>
        <w:tc>
          <w:tcPr>
            <w:tcW w:w="0" w:type="auto"/>
          </w:tcPr>
          <w:p w14:paraId="031E494B"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15.7</w:t>
            </w:r>
          </w:p>
        </w:tc>
        <w:tc>
          <w:tcPr>
            <w:tcW w:w="0" w:type="auto"/>
          </w:tcPr>
          <w:p w14:paraId="3BEE7A98"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27.2</w:t>
            </w:r>
          </w:p>
        </w:tc>
        <w:tc>
          <w:tcPr>
            <w:tcW w:w="779" w:type="dxa"/>
            <w:vMerge/>
          </w:tcPr>
          <w:p w14:paraId="46E1E37A" w14:textId="77777777" w:rsidR="00D36D52" w:rsidRPr="00B22C17" w:rsidRDefault="00D36D52" w:rsidP="00E37A94">
            <w:pPr>
              <w:rPr>
                <w:rFonts w:ascii="Times New Roman" w:hAnsi="Times New Roman" w:cs="Times New Roman"/>
                <w:sz w:val="20"/>
                <w:szCs w:val="20"/>
                <w:lang w:val="en-US"/>
              </w:rPr>
            </w:pPr>
          </w:p>
        </w:tc>
      </w:tr>
      <w:tr w:rsidR="00D36D52" w:rsidRPr="00B22C17" w14:paraId="4984A032" w14:textId="77777777" w:rsidTr="00E37A94">
        <w:tc>
          <w:tcPr>
            <w:tcW w:w="0" w:type="auto"/>
            <w:vMerge w:val="restart"/>
          </w:tcPr>
          <w:p w14:paraId="5B1BE5B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Sleep disorder</w:t>
            </w:r>
          </w:p>
        </w:tc>
        <w:tc>
          <w:tcPr>
            <w:tcW w:w="0" w:type="auto"/>
          </w:tcPr>
          <w:p w14:paraId="58478526"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No</w:t>
            </w:r>
          </w:p>
        </w:tc>
        <w:tc>
          <w:tcPr>
            <w:tcW w:w="0" w:type="auto"/>
          </w:tcPr>
          <w:p w14:paraId="4ACBF871"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92.2</w:t>
            </w:r>
          </w:p>
        </w:tc>
        <w:tc>
          <w:tcPr>
            <w:tcW w:w="0" w:type="auto"/>
          </w:tcPr>
          <w:p w14:paraId="0E06E7A3"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93.8</w:t>
            </w:r>
          </w:p>
        </w:tc>
        <w:tc>
          <w:tcPr>
            <w:tcW w:w="0" w:type="auto"/>
          </w:tcPr>
          <w:p w14:paraId="39F110DD"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87.5</w:t>
            </w:r>
          </w:p>
        </w:tc>
        <w:tc>
          <w:tcPr>
            <w:tcW w:w="0" w:type="auto"/>
            <w:vMerge w:val="restart"/>
          </w:tcPr>
          <w:p w14:paraId="7020AE0C"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0.013</w:t>
            </w:r>
          </w:p>
        </w:tc>
        <w:tc>
          <w:tcPr>
            <w:tcW w:w="0" w:type="auto"/>
          </w:tcPr>
          <w:p w14:paraId="30C1F24E"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95.4</w:t>
            </w:r>
          </w:p>
        </w:tc>
        <w:tc>
          <w:tcPr>
            <w:tcW w:w="0" w:type="auto"/>
          </w:tcPr>
          <w:p w14:paraId="1B795C33"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88.7</w:t>
            </w:r>
          </w:p>
        </w:tc>
        <w:tc>
          <w:tcPr>
            <w:tcW w:w="779" w:type="dxa"/>
            <w:vMerge w:val="restart"/>
          </w:tcPr>
          <w:p w14:paraId="19D2DD68"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&lt;0.001</w:t>
            </w:r>
          </w:p>
        </w:tc>
      </w:tr>
      <w:tr w:rsidR="00D36D52" w:rsidRPr="00B22C17" w14:paraId="486D15A6" w14:textId="77777777" w:rsidTr="00E37A94">
        <w:tc>
          <w:tcPr>
            <w:tcW w:w="0" w:type="auto"/>
            <w:vMerge/>
          </w:tcPr>
          <w:p w14:paraId="00026799" w14:textId="77777777" w:rsidR="00D36D52" w:rsidRPr="00B22C17" w:rsidRDefault="00D36D52" w:rsidP="00E37A94">
            <w:pPr>
              <w:rPr>
                <w:rFonts w:ascii="Times New Roman" w:hAnsi="Times New Roman" w:cs="Times New Roman"/>
                <w:sz w:val="20"/>
                <w:szCs w:val="20"/>
                <w:lang w:val="en-US"/>
              </w:rPr>
            </w:pPr>
          </w:p>
        </w:tc>
        <w:tc>
          <w:tcPr>
            <w:tcW w:w="0" w:type="auto"/>
          </w:tcPr>
          <w:p w14:paraId="774D0C5B"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Yes</w:t>
            </w:r>
          </w:p>
        </w:tc>
        <w:tc>
          <w:tcPr>
            <w:tcW w:w="0" w:type="auto"/>
          </w:tcPr>
          <w:p w14:paraId="61DFEC9A"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7.8</w:t>
            </w:r>
          </w:p>
        </w:tc>
        <w:tc>
          <w:tcPr>
            <w:tcW w:w="0" w:type="auto"/>
          </w:tcPr>
          <w:p w14:paraId="6684CD26"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6.2</w:t>
            </w:r>
          </w:p>
        </w:tc>
        <w:tc>
          <w:tcPr>
            <w:tcW w:w="0" w:type="auto"/>
          </w:tcPr>
          <w:p w14:paraId="0FBF18A7"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12.5</w:t>
            </w:r>
          </w:p>
        </w:tc>
        <w:tc>
          <w:tcPr>
            <w:tcW w:w="0" w:type="auto"/>
            <w:vMerge/>
          </w:tcPr>
          <w:p w14:paraId="31217D16" w14:textId="77777777" w:rsidR="00D36D52" w:rsidRPr="00B22C17" w:rsidRDefault="00D36D52" w:rsidP="00E37A94">
            <w:pPr>
              <w:rPr>
                <w:rFonts w:ascii="Times New Roman" w:hAnsi="Times New Roman" w:cs="Times New Roman"/>
                <w:sz w:val="20"/>
                <w:szCs w:val="20"/>
                <w:lang w:val="en-US"/>
              </w:rPr>
            </w:pPr>
          </w:p>
        </w:tc>
        <w:tc>
          <w:tcPr>
            <w:tcW w:w="0" w:type="auto"/>
          </w:tcPr>
          <w:p w14:paraId="6CC8743B"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4.6</w:t>
            </w:r>
          </w:p>
        </w:tc>
        <w:tc>
          <w:tcPr>
            <w:tcW w:w="0" w:type="auto"/>
          </w:tcPr>
          <w:p w14:paraId="611FE0F6"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11.3</w:t>
            </w:r>
          </w:p>
        </w:tc>
        <w:tc>
          <w:tcPr>
            <w:tcW w:w="779" w:type="dxa"/>
            <w:vMerge/>
          </w:tcPr>
          <w:p w14:paraId="1F061C01" w14:textId="77777777" w:rsidR="00D36D52" w:rsidRPr="00B22C17" w:rsidRDefault="00D36D52" w:rsidP="00E37A94">
            <w:pPr>
              <w:rPr>
                <w:rFonts w:ascii="Times New Roman" w:hAnsi="Times New Roman" w:cs="Times New Roman"/>
                <w:sz w:val="20"/>
                <w:szCs w:val="20"/>
                <w:lang w:val="en-US"/>
              </w:rPr>
            </w:pPr>
          </w:p>
        </w:tc>
      </w:tr>
      <w:tr w:rsidR="00D36D52" w:rsidRPr="00B22C17" w14:paraId="05E02152" w14:textId="77777777" w:rsidTr="00E37A94">
        <w:tc>
          <w:tcPr>
            <w:tcW w:w="0" w:type="auto"/>
            <w:vMerge w:val="restart"/>
          </w:tcPr>
          <w:p w14:paraId="1BE45F7E"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Alcohol dependence</w:t>
            </w:r>
          </w:p>
        </w:tc>
        <w:tc>
          <w:tcPr>
            <w:tcW w:w="0" w:type="auto"/>
          </w:tcPr>
          <w:p w14:paraId="2330249D"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No</w:t>
            </w:r>
          </w:p>
        </w:tc>
        <w:tc>
          <w:tcPr>
            <w:tcW w:w="0" w:type="auto"/>
          </w:tcPr>
          <w:p w14:paraId="08F96B96"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98.0</w:t>
            </w:r>
          </w:p>
        </w:tc>
        <w:tc>
          <w:tcPr>
            <w:tcW w:w="0" w:type="auto"/>
          </w:tcPr>
          <w:p w14:paraId="63A11715"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98.4</w:t>
            </w:r>
          </w:p>
        </w:tc>
        <w:tc>
          <w:tcPr>
            <w:tcW w:w="0" w:type="auto"/>
          </w:tcPr>
          <w:p w14:paraId="35FF664F"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96.8</w:t>
            </w:r>
          </w:p>
        </w:tc>
        <w:tc>
          <w:tcPr>
            <w:tcW w:w="0" w:type="auto"/>
            <w:vMerge w:val="restart"/>
          </w:tcPr>
          <w:p w14:paraId="2204AAD6"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0.210</w:t>
            </w:r>
          </w:p>
        </w:tc>
        <w:tc>
          <w:tcPr>
            <w:tcW w:w="0" w:type="auto"/>
          </w:tcPr>
          <w:p w14:paraId="281A87D2"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98.8</w:t>
            </w:r>
          </w:p>
        </w:tc>
        <w:tc>
          <w:tcPr>
            <w:tcW w:w="0" w:type="auto"/>
          </w:tcPr>
          <w:p w14:paraId="1CD93FFC"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97.1</w:t>
            </w:r>
          </w:p>
        </w:tc>
        <w:tc>
          <w:tcPr>
            <w:tcW w:w="779" w:type="dxa"/>
            <w:vMerge w:val="restart"/>
          </w:tcPr>
          <w:p w14:paraId="55785EF8"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0.125</w:t>
            </w:r>
          </w:p>
        </w:tc>
      </w:tr>
      <w:tr w:rsidR="00D36D52" w:rsidRPr="00B22C17" w14:paraId="4A1EAE72" w14:textId="77777777" w:rsidTr="00E37A94">
        <w:tc>
          <w:tcPr>
            <w:tcW w:w="0" w:type="auto"/>
            <w:vMerge/>
          </w:tcPr>
          <w:p w14:paraId="026AF65F" w14:textId="77777777" w:rsidR="00D36D52" w:rsidRPr="00B22C17" w:rsidRDefault="00D36D52" w:rsidP="00E37A94">
            <w:pPr>
              <w:rPr>
                <w:rFonts w:ascii="Times New Roman" w:hAnsi="Times New Roman" w:cs="Times New Roman"/>
                <w:sz w:val="20"/>
                <w:szCs w:val="20"/>
                <w:lang w:val="en-US"/>
              </w:rPr>
            </w:pPr>
          </w:p>
        </w:tc>
        <w:tc>
          <w:tcPr>
            <w:tcW w:w="0" w:type="auto"/>
          </w:tcPr>
          <w:p w14:paraId="5C7A5B19"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Yes</w:t>
            </w:r>
          </w:p>
        </w:tc>
        <w:tc>
          <w:tcPr>
            <w:tcW w:w="0" w:type="auto"/>
          </w:tcPr>
          <w:p w14:paraId="5D05BDF3"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2.0</w:t>
            </w:r>
          </w:p>
        </w:tc>
        <w:tc>
          <w:tcPr>
            <w:tcW w:w="0" w:type="auto"/>
          </w:tcPr>
          <w:p w14:paraId="40550B63"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1.6</w:t>
            </w:r>
          </w:p>
        </w:tc>
        <w:tc>
          <w:tcPr>
            <w:tcW w:w="0" w:type="auto"/>
          </w:tcPr>
          <w:p w14:paraId="19A2B553"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3.2</w:t>
            </w:r>
          </w:p>
        </w:tc>
        <w:tc>
          <w:tcPr>
            <w:tcW w:w="0" w:type="auto"/>
            <w:vMerge/>
          </w:tcPr>
          <w:p w14:paraId="1212FB42" w14:textId="77777777" w:rsidR="00D36D52" w:rsidRPr="00B22C17" w:rsidRDefault="00D36D52" w:rsidP="00E37A94">
            <w:pPr>
              <w:rPr>
                <w:rFonts w:ascii="Times New Roman" w:hAnsi="Times New Roman" w:cs="Times New Roman"/>
                <w:sz w:val="20"/>
                <w:szCs w:val="20"/>
                <w:lang w:val="en-US"/>
              </w:rPr>
            </w:pPr>
          </w:p>
        </w:tc>
        <w:tc>
          <w:tcPr>
            <w:tcW w:w="0" w:type="auto"/>
          </w:tcPr>
          <w:p w14:paraId="7D3DDF1A"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1.2</w:t>
            </w:r>
          </w:p>
        </w:tc>
        <w:tc>
          <w:tcPr>
            <w:tcW w:w="0" w:type="auto"/>
          </w:tcPr>
          <w:p w14:paraId="49A4D744"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2.9</w:t>
            </w:r>
          </w:p>
        </w:tc>
        <w:tc>
          <w:tcPr>
            <w:tcW w:w="779" w:type="dxa"/>
            <w:vMerge/>
          </w:tcPr>
          <w:p w14:paraId="53E3180E" w14:textId="77777777" w:rsidR="00D36D52" w:rsidRPr="00B22C17" w:rsidRDefault="00D36D52" w:rsidP="00E37A94">
            <w:pPr>
              <w:rPr>
                <w:rFonts w:ascii="Times New Roman" w:hAnsi="Times New Roman" w:cs="Times New Roman"/>
                <w:sz w:val="20"/>
                <w:szCs w:val="20"/>
                <w:lang w:val="en-US"/>
              </w:rPr>
            </w:pPr>
          </w:p>
        </w:tc>
      </w:tr>
      <w:tr w:rsidR="00D36D52" w:rsidRPr="00B22C17" w14:paraId="799BB454" w14:textId="77777777" w:rsidTr="00E37A94">
        <w:tc>
          <w:tcPr>
            <w:tcW w:w="0" w:type="auto"/>
            <w:vMerge w:val="restart"/>
          </w:tcPr>
          <w:p w14:paraId="161731B2"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Opioid dependence</w:t>
            </w:r>
          </w:p>
        </w:tc>
        <w:tc>
          <w:tcPr>
            <w:tcW w:w="0" w:type="auto"/>
          </w:tcPr>
          <w:p w14:paraId="12DA2AD2"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No</w:t>
            </w:r>
          </w:p>
        </w:tc>
        <w:tc>
          <w:tcPr>
            <w:tcW w:w="0" w:type="auto"/>
          </w:tcPr>
          <w:p w14:paraId="56A973C2"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99.7</w:t>
            </w:r>
          </w:p>
        </w:tc>
        <w:tc>
          <w:tcPr>
            <w:tcW w:w="0" w:type="auto"/>
          </w:tcPr>
          <w:p w14:paraId="3DCABF88"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99.7</w:t>
            </w:r>
          </w:p>
        </w:tc>
        <w:tc>
          <w:tcPr>
            <w:tcW w:w="0" w:type="auto"/>
          </w:tcPr>
          <w:p w14:paraId="26228705"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99.6</w:t>
            </w:r>
          </w:p>
        </w:tc>
        <w:tc>
          <w:tcPr>
            <w:tcW w:w="0" w:type="auto"/>
            <w:vMerge w:val="restart"/>
          </w:tcPr>
          <w:p w14:paraId="15A290A7"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0.838</w:t>
            </w:r>
          </w:p>
        </w:tc>
        <w:tc>
          <w:tcPr>
            <w:tcW w:w="0" w:type="auto"/>
          </w:tcPr>
          <w:p w14:paraId="1894153C"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100.0</w:t>
            </w:r>
          </w:p>
        </w:tc>
        <w:tc>
          <w:tcPr>
            <w:tcW w:w="0" w:type="auto"/>
          </w:tcPr>
          <w:p w14:paraId="03FF6BFA"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99.4</w:t>
            </w:r>
          </w:p>
        </w:tc>
        <w:tc>
          <w:tcPr>
            <w:tcW w:w="779" w:type="dxa"/>
            <w:vMerge w:val="restart"/>
          </w:tcPr>
          <w:p w14:paraId="78DE0CBD"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0.048</w:t>
            </w:r>
          </w:p>
        </w:tc>
      </w:tr>
      <w:tr w:rsidR="00D36D52" w:rsidRPr="00B22C17" w14:paraId="0EDC920A" w14:textId="77777777" w:rsidTr="00E37A94">
        <w:tc>
          <w:tcPr>
            <w:tcW w:w="0" w:type="auto"/>
            <w:vMerge/>
          </w:tcPr>
          <w:p w14:paraId="6561FC84" w14:textId="77777777" w:rsidR="00D36D52" w:rsidRPr="00B22C17" w:rsidRDefault="00D36D52" w:rsidP="00E37A94">
            <w:pPr>
              <w:rPr>
                <w:rFonts w:ascii="Times New Roman" w:hAnsi="Times New Roman" w:cs="Times New Roman"/>
                <w:sz w:val="20"/>
                <w:szCs w:val="20"/>
                <w:lang w:val="en-US"/>
              </w:rPr>
            </w:pPr>
          </w:p>
        </w:tc>
        <w:tc>
          <w:tcPr>
            <w:tcW w:w="0" w:type="auto"/>
          </w:tcPr>
          <w:p w14:paraId="7B21337C"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Yes</w:t>
            </w:r>
          </w:p>
        </w:tc>
        <w:tc>
          <w:tcPr>
            <w:tcW w:w="0" w:type="auto"/>
          </w:tcPr>
          <w:p w14:paraId="43C10C97"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0.3</w:t>
            </w:r>
          </w:p>
        </w:tc>
        <w:tc>
          <w:tcPr>
            <w:tcW w:w="0" w:type="auto"/>
          </w:tcPr>
          <w:p w14:paraId="600CD019"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0.3</w:t>
            </w:r>
          </w:p>
        </w:tc>
        <w:tc>
          <w:tcPr>
            <w:tcW w:w="0" w:type="auto"/>
          </w:tcPr>
          <w:p w14:paraId="669847B7"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0.4</w:t>
            </w:r>
          </w:p>
        </w:tc>
        <w:tc>
          <w:tcPr>
            <w:tcW w:w="0" w:type="auto"/>
            <w:vMerge/>
          </w:tcPr>
          <w:p w14:paraId="7B042240" w14:textId="77777777" w:rsidR="00D36D52" w:rsidRPr="00B22C17" w:rsidRDefault="00D36D52" w:rsidP="00E37A94">
            <w:pPr>
              <w:rPr>
                <w:rFonts w:ascii="Times New Roman" w:hAnsi="Times New Roman" w:cs="Times New Roman"/>
                <w:sz w:val="20"/>
                <w:szCs w:val="20"/>
                <w:lang w:val="en-US"/>
              </w:rPr>
            </w:pPr>
          </w:p>
        </w:tc>
        <w:tc>
          <w:tcPr>
            <w:tcW w:w="0" w:type="auto"/>
          </w:tcPr>
          <w:p w14:paraId="68A2EB3B"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0.0</w:t>
            </w:r>
          </w:p>
        </w:tc>
        <w:tc>
          <w:tcPr>
            <w:tcW w:w="0" w:type="auto"/>
          </w:tcPr>
          <w:p w14:paraId="4D272B8C"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0.6</w:t>
            </w:r>
          </w:p>
        </w:tc>
        <w:tc>
          <w:tcPr>
            <w:tcW w:w="779" w:type="dxa"/>
            <w:vMerge/>
          </w:tcPr>
          <w:p w14:paraId="72BE7006" w14:textId="77777777" w:rsidR="00D36D52" w:rsidRPr="00B22C17" w:rsidRDefault="00D36D52" w:rsidP="00E37A94">
            <w:pPr>
              <w:rPr>
                <w:rFonts w:ascii="Times New Roman" w:hAnsi="Times New Roman" w:cs="Times New Roman"/>
                <w:sz w:val="20"/>
                <w:szCs w:val="20"/>
                <w:lang w:val="en-US"/>
              </w:rPr>
            </w:pPr>
          </w:p>
        </w:tc>
      </w:tr>
      <w:tr w:rsidR="00D36D52" w:rsidRPr="00B22C17" w14:paraId="6D5A614E" w14:textId="77777777" w:rsidTr="00E37A94">
        <w:tc>
          <w:tcPr>
            <w:tcW w:w="0" w:type="auto"/>
            <w:vMerge w:val="restart"/>
          </w:tcPr>
          <w:p w14:paraId="3EDB46DA"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Walking difficulty</w:t>
            </w:r>
          </w:p>
        </w:tc>
        <w:tc>
          <w:tcPr>
            <w:tcW w:w="0" w:type="auto"/>
          </w:tcPr>
          <w:p w14:paraId="7D39DC07"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No</w:t>
            </w:r>
          </w:p>
        </w:tc>
        <w:tc>
          <w:tcPr>
            <w:tcW w:w="0" w:type="auto"/>
          </w:tcPr>
          <w:p w14:paraId="2FBAF9A5"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63.6</w:t>
            </w:r>
          </w:p>
        </w:tc>
        <w:tc>
          <w:tcPr>
            <w:tcW w:w="0" w:type="auto"/>
          </w:tcPr>
          <w:p w14:paraId="33080795"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66.9</w:t>
            </w:r>
          </w:p>
        </w:tc>
        <w:tc>
          <w:tcPr>
            <w:tcW w:w="0" w:type="auto"/>
          </w:tcPr>
          <w:p w14:paraId="5617B465"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53.6</w:t>
            </w:r>
          </w:p>
        </w:tc>
        <w:tc>
          <w:tcPr>
            <w:tcW w:w="0" w:type="auto"/>
            <w:vMerge w:val="restart"/>
          </w:tcPr>
          <w:p w14:paraId="66707BA7"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0.005</w:t>
            </w:r>
          </w:p>
        </w:tc>
        <w:tc>
          <w:tcPr>
            <w:tcW w:w="0" w:type="auto"/>
          </w:tcPr>
          <w:p w14:paraId="0444A444"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70.6</w:t>
            </w:r>
          </w:p>
        </w:tc>
        <w:tc>
          <w:tcPr>
            <w:tcW w:w="0" w:type="auto"/>
          </w:tcPr>
          <w:p w14:paraId="585E7C13"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55.9</w:t>
            </w:r>
          </w:p>
        </w:tc>
        <w:tc>
          <w:tcPr>
            <w:tcW w:w="779" w:type="dxa"/>
            <w:vMerge w:val="restart"/>
          </w:tcPr>
          <w:p w14:paraId="3BCAC7A9"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&lt;0.001</w:t>
            </w:r>
          </w:p>
        </w:tc>
      </w:tr>
      <w:tr w:rsidR="00D36D52" w:rsidRPr="00B22C17" w14:paraId="066B7BD9" w14:textId="77777777" w:rsidTr="00E37A94">
        <w:tc>
          <w:tcPr>
            <w:tcW w:w="0" w:type="auto"/>
            <w:vMerge/>
          </w:tcPr>
          <w:p w14:paraId="3F53CF0B" w14:textId="77777777" w:rsidR="00D36D52" w:rsidRPr="00B22C17" w:rsidRDefault="00D36D52" w:rsidP="00E37A94">
            <w:pPr>
              <w:rPr>
                <w:rFonts w:ascii="Times New Roman" w:hAnsi="Times New Roman" w:cs="Times New Roman"/>
                <w:sz w:val="20"/>
                <w:szCs w:val="20"/>
                <w:lang w:val="en-US"/>
              </w:rPr>
            </w:pPr>
          </w:p>
        </w:tc>
        <w:tc>
          <w:tcPr>
            <w:tcW w:w="0" w:type="auto"/>
          </w:tcPr>
          <w:p w14:paraId="0D3AAD72"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Yes</w:t>
            </w:r>
          </w:p>
        </w:tc>
        <w:tc>
          <w:tcPr>
            <w:tcW w:w="0" w:type="auto"/>
          </w:tcPr>
          <w:p w14:paraId="1F1C96BA"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36.4</w:t>
            </w:r>
          </w:p>
        </w:tc>
        <w:tc>
          <w:tcPr>
            <w:tcW w:w="0" w:type="auto"/>
          </w:tcPr>
          <w:p w14:paraId="26CF2CC5"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33.1</w:t>
            </w:r>
          </w:p>
        </w:tc>
        <w:tc>
          <w:tcPr>
            <w:tcW w:w="0" w:type="auto"/>
          </w:tcPr>
          <w:p w14:paraId="74F55B2E"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46.4</w:t>
            </w:r>
          </w:p>
        </w:tc>
        <w:tc>
          <w:tcPr>
            <w:tcW w:w="0" w:type="auto"/>
            <w:vMerge/>
          </w:tcPr>
          <w:p w14:paraId="03B7D6D8" w14:textId="77777777" w:rsidR="00D36D52" w:rsidRPr="00B22C17" w:rsidRDefault="00D36D52" w:rsidP="00E37A94">
            <w:pPr>
              <w:rPr>
                <w:rFonts w:ascii="Times New Roman" w:hAnsi="Times New Roman" w:cs="Times New Roman"/>
                <w:sz w:val="20"/>
                <w:szCs w:val="20"/>
                <w:lang w:val="en-US"/>
              </w:rPr>
            </w:pPr>
          </w:p>
        </w:tc>
        <w:tc>
          <w:tcPr>
            <w:tcW w:w="0" w:type="auto"/>
          </w:tcPr>
          <w:p w14:paraId="3EB9DBEF"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29.4</w:t>
            </w:r>
          </w:p>
        </w:tc>
        <w:tc>
          <w:tcPr>
            <w:tcW w:w="0" w:type="auto"/>
          </w:tcPr>
          <w:p w14:paraId="7B3733E4"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44.1</w:t>
            </w:r>
          </w:p>
        </w:tc>
        <w:tc>
          <w:tcPr>
            <w:tcW w:w="779" w:type="dxa"/>
            <w:vMerge/>
          </w:tcPr>
          <w:p w14:paraId="0FCEAA64" w14:textId="77777777" w:rsidR="00D36D52" w:rsidRPr="00B22C17" w:rsidRDefault="00D36D52" w:rsidP="00E37A94">
            <w:pPr>
              <w:rPr>
                <w:rFonts w:ascii="Times New Roman" w:hAnsi="Times New Roman" w:cs="Times New Roman"/>
                <w:sz w:val="20"/>
                <w:szCs w:val="20"/>
                <w:lang w:val="en-US"/>
              </w:rPr>
            </w:pPr>
          </w:p>
        </w:tc>
      </w:tr>
      <w:tr w:rsidR="00D36D52" w:rsidRPr="00B22C17" w14:paraId="49704767" w14:textId="77777777" w:rsidTr="00E37A94">
        <w:tc>
          <w:tcPr>
            <w:tcW w:w="0" w:type="auto"/>
            <w:vMerge w:val="restart"/>
          </w:tcPr>
          <w:p w14:paraId="647AEC2D"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Standing difficulty</w:t>
            </w:r>
          </w:p>
        </w:tc>
        <w:tc>
          <w:tcPr>
            <w:tcW w:w="0" w:type="auto"/>
          </w:tcPr>
          <w:p w14:paraId="5AC36AF7"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No</w:t>
            </w:r>
          </w:p>
        </w:tc>
        <w:tc>
          <w:tcPr>
            <w:tcW w:w="0" w:type="auto"/>
          </w:tcPr>
          <w:p w14:paraId="15EB5FCC"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65.4</w:t>
            </w:r>
          </w:p>
        </w:tc>
        <w:tc>
          <w:tcPr>
            <w:tcW w:w="0" w:type="auto"/>
          </w:tcPr>
          <w:p w14:paraId="01C6D554"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70.3</w:t>
            </w:r>
          </w:p>
        </w:tc>
        <w:tc>
          <w:tcPr>
            <w:tcW w:w="0" w:type="auto"/>
          </w:tcPr>
          <w:p w14:paraId="43F29E2E"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50.3</w:t>
            </w:r>
          </w:p>
        </w:tc>
        <w:tc>
          <w:tcPr>
            <w:tcW w:w="0" w:type="auto"/>
            <w:vMerge w:val="restart"/>
          </w:tcPr>
          <w:p w14:paraId="4DAB1A10"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&lt;0.001</w:t>
            </w:r>
          </w:p>
        </w:tc>
        <w:tc>
          <w:tcPr>
            <w:tcW w:w="0" w:type="auto"/>
          </w:tcPr>
          <w:p w14:paraId="3813B001"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74.9</w:t>
            </w:r>
          </w:p>
        </w:tc>
        <w:tc>
          <w:tcPr>
            <w:tcW w:w="0" w:type="auto"/>
          </w:tcPr>
          <w:p w14:paraId="6653E82F"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54.7</w:t>
            </w:r>
          </w:p>
        </w:tc>
        <w:tc>
          <w:tcPr>
            <w:tcW w:w="779" w:type="dxa"/>
            <w:vMerge w:val="restart"/>
          </w:tcPr>
          <w:p w14:paraId="3BFF3A67"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&lt;0.001</w:t>
            </w:r>
          </w:p>
        </w:tc>
      </w:tr>
      <w:tr w:rsidR="00D36D52" w:rsidRPr="00B22C17" w14:paraId="7C2DC22A" w14:textId="77777777" w:rsidTr="00E37A94">
        <w:tc>
          <w:tcPr>
            <w:tcW w:w="0" w:type="auto"/>
            <w:vMerge/>
          </w:tcPr>
          <w:p w14:paraId="737006EB" w14:textId="77777777" w:rsidR="00D36D52" w:rsidRPr="00B22C17" w:rsidRDefault="00D36D52" w:rsidP="00E37A94">
            <w:pPr>
              <w:rPr>
                <w:rFonts w:ascii="Times New Roman" w:hAnsi="Times New Roman" w:cs="Times New Roman"/>
                <w:sz w:val="20"/>
                <w:szCs w:val="20"/>
                <w:lang w:val="en-US"/>
              </w:rPr>
            </w:pPr>
          </w:p>
        </w:tc>
        <w:tc>
          <w:tcPr>
            <w:tcW w:w="0" w:type="auto"/>
          </w:tcPr>
          <w:p w14:paraId="2BC650AC"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Yes</w:t>
            </w:r>
          </w:p>
        </w:tc>
        <w:tc>
          <w:tcPr>
            <w:tcW w:w="0" w:type="auto"/>
          </w:tcPr>
          <w:p w14:paraId="72118E27"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34.6</w:t>
            </w:r>
          </w:p>
        </w:tc>
        <w:tc>
          <w:tcPr>
            <w:tcW w:w="0" w:type="auto"/>
          </w:tcPr>
          <w:p w14:paraId="26876CCC"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29.7</w:t>
            </w:r>
          </w:p>
        </w:tc>
        <w:tc>
          <w:tcPr>
            <w:tcW w:w="0" w:type="auto"/>
          </w:tcPr>
          <w:p w14:paraId="3465A70D"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49.7</w:t>
            </w:r>
          </w:p>
        </w:tc>
        <w:tc>
          <w:tcPr>
            <w:tcW w:w="0" w:type="auto"/>
            <w:vMerge/>
          </w:tcPr>
          <w:p w14:paraId="3AC66880" w14:textId="77777777" w:rsidR="00D36D52" w:rsidRPr="00B22C17" w:rsidRDefault="00D36D52" w:rsidP="00E37A94">
            <w:pPr>
              <w:rPr>
                <w:rFonts w:ascii="Times New Roman" w:hAnsi="Times New Roman" w:cs="Times New Roman"/>
                <w:sz w:val="20"/>
                <w:szCs w:val="20"/>
                <w:lang w:val="en-US"/>
              </w:rPr>
            </w:pPr>
          </w:p>
        </w:tc>
        <w:tc>
          <w:tcPr>
            <w:tcW w:w="0" w:type="auto"/>
          </w:tcPr>
          <w:p w14:paraId="68A3DAFA"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25.1</w:t>
            </w:r>
          </w:p>
        </w:tc>
        <w:tc>
          <w:tcPr>
            <w:tcW w:w="0" w:type="auto"/>
          </w:tcPr>
          <w:p w14:paraId="711498E9"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45.3</w:t>
            </w:r>
          </w:p>
        </w:tc>
        <w:tc>
          <w:tcPr>
            <w:tcW w:w="779" w:type="dxa"/>
            <w:vMerge/>
          </w:tcPr>
          <w:p w14:paraId="3E3B18A8" w14:textId="77777777" w:rsidR="00D36D52" w:rsidRPr="00B22C17" w:rsidRDefault="00D36D52" w:rsidP="00E37A94">
            <w:pPr>
              <w:rPr>
                <w:rFonts w:ascii="Times New Roman" w:hAnsi="Times New Roman" w:cs="Times New Roman"/>
                <w:sz w:val="20"/>
                <w:szCs w:val="20"/>
                <w:lang w:val="en-US"/>
              </w:rPr>
            </w:pPr>
          </w:p>
        </w:tc>
      </w:tr>
      <w:tr w:rsidR="00D36D52" w:rsidRPr="00B22C17" w14:paraId="7C6BC895" w14:textId="77777777" w:rsidTr="00E37A94">
        <w:tc>
          <w:tcPr>
            <w:tcW w:w="0" w:type="auto"/>
            <w:vMerge w:val="restart"/>
          </w:tcPr>
          <w:p w14:paraId="027EBCFF"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Sitting difficulty</w:t>
            </w:r>
          </w:p>
        </w:tc>
        <w:tc>
          <w:tcPr>
            <w:tcW w:w="0" w:type="auto"/>
          </w:tcPr>
          <w:p w14:paraId="5325404D"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No</w:t>
            </w:r>
          </w:p>
        </w:tc>
        <w:tc>
          <w:tcPr>
            <w:tcW w:w="0" w:type="auto"/>
          </w:tcPr>
          <w:p w14:paraId="5720B69F"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54.9</w:t>
            </w:r>
          </w:p>
        </w:tc>
        <w:tc>
          <w:tcPr>
            <w:tcW w:w="0" w:type="auto"/>
          </w:tcPr>
          <w:p w14:paraId="1D0ACAC7"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61.1</w:t>
            </w:r>
          </w:p>
        </w:tc>
        <w:tc>
          <w:tcPr>
            <w:tcW w:w="0" w:type="auto"/>
          </w:tcPr>
          <w:p w14:paraId="4212060A"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35.8</w:t>
            </w:r>
          </w:p>
        </w:tc>
        <w:tc>
          <w:tcPr>
            <w:tcW w:w="0" w:type="auto"/>
            <w:vMerge w:val="restart"/>
          </w:tcPr>
          <w:p w14:paraId="487E8DFE"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&lt;0.001</w:t>
            </w:r>
          </w:p>
        </w:tc>
        <w:tc>
          <w:tcPr>
            <w:tcW w:w="0" w:type="auto"/>
          </w:tcPr>
          <w:p w14:paraId="3A1A1361"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61.5</w:t>
            </w:r>
          </w:p>
        </w:tc>
        <w:tc>
          <w:tcPr>
            <w:tcW w:w="0" w:type="auto"/>
          </w:tcPr>
          <w:p w14:paraId="15663C5E"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47.4</w:t>
            </w:r>
          </w:p>
        </w:tc>
        <w:tc>
          <w:tcPr>
            <w:tcW w:w="779" w:type="dxa"/>
            <w:vMerge w:val="restart"/>
          </w:tcPr>
          <w:p w14:paraId="0E26AA9C"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0.002</w:t>
            </w:r>
          </w:p>
        </w:tc>
      </w:tr>
      <w:tr w:rsidR="00D36D52" w:rsidRPr="00B22C17" w14:paraId="296FD6E8" w14:textId="77777777" w:rsidTr="00E37A94">
        <w:tc>
          <w:tcPr>
            <w:tcW w:w="0" w:type="auto"/>
            <w:vMerge/>
          </w:tcPr>
          <w:p w14:paraId="4DFAF8E2" w14:textId="77777777" w:rsidR="00D36D52" w:rsidRPr="00B22C17" w:rsidRDefault="00D36D52" w:rsidP="00E37A94">
            <w:pPr>
              <w:rPr>
                <w:rFonts w:ascii="Times New Roman" w:hAnsi="Times New Roman" w:cs="Times New Roman"/>
                <w:sz w:val="20"/>
                <w:szCs w:val="20"/>
                <w:lang w:val="en-US"/>
              </w:rPr>
            </w:pPr>
          </w:p>
        </w:tc>
        <w:tc>
          <w:tcPr>
            <w:tcW w:w="0" w:type="auto"/>
          </w:tcPr>
          <w:p w14:paraId="302AE093"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Yes</w:t>
            </w:r>
          </w:p>
        </w:tc>
        <w:tc>
          <w:tcPr>
            <w:tcW w:w="0" w:type="auto"/>
          </w:tcPr>
          <w:p w14:paraId="77F64582"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45.1</w:t>
            </w:r>
          </w:p>
        </w:tc>
        <w:tc>
          <w:tcPr>
            <w:tcW w:w="0" w:type="auto"/>
          </w:tcPr>
          <w:p w14:paraId="3DD591D3"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38.9</w:t>
            </w:r>
          </w:p>
        </w:tc>
        <w:tc>
          <w:tcPr>
            <w:tcW w:w="0" w:type="auto"/>
          </w:tcPr>
          <w:p w14:paraId="45482065"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64.2</w:t>
            </w:r>
          </w:p>
        </w:tc>
        <w:tc>
          <w:tcPr>
            <w:tcW w:w="0" w:type="auto"/>
            <w:vMerge/>
          </w:tcPr>
          <w:p w14:paraId="7B0FAD3C" w14:textId="77777777" w:rsidR="00D36D52" w:rsidRPr="00B22C17" w:rsidRDefault="00D36D52" w:rsidP="00E37A94">
            <w:pPr>
              <w:rPr>
                <w:rFonts w:ascii="Times New Roman" w:hAnsi="Times New Roman" w:cs="Times New Roman"/>
                <w:sz w:val="20"/>
                <w:szCs w:val="20"/>
                <w:lang w:val="en-US"/>
              </w:rPr>
            </w:pPr>
          </w:p>
        </w:tc>
        <w:tc>
          <w:tcPr>
            <w:tcW w:w="0" w:type="auto"/>
          </w:tcPr>
          <w:p w14:paraId="2375E23E"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38.5</w:t>
            </w:r>
          </w:p>
        </w:tc>
        <w:tc>
          <w:tcPr>
            <w:tcW w:w="0" w:type="auto"/>
          </w:tcPr>
          <w:p w14:paraId="7C751958" w14:textId="77777777" w:rsidR="00D36D52" w:rsidRPr="00B22C17" w:rsidRDefault="00D36D52" w:rsidP="00E37A94">
            <w:pPr>
              <w:rPr>
                <w:rFonts w:ascii="Times New Roman" w:hAnsi="Times New Roman" w:cs="Times New Roman"/>
                <w:sz w:val="20"/>
                <w:szCs w:val="20"/>
                <w:lang w:val="en-US"/>
              </w:rPr>
            </w:pPr>
            <w:r w:rsidRPr="00B22C17">
              <w:rPr>
                <w:rFonts w:ascii="Times New Roman" w:hAnsi="Times New Roman" w:cs="Times New Roman"/>
                <w:sz w:val="20"/>
                <w:szCs w:val="20"/>
                <w:lang w:val="en-US"/>
              </w:rPr>
              <w:t>52.6</w:t>
            </w:r>
          </w:p>
        </w:tc>
        <w:tc>
          <w:tcPr>
            <w:tcW w:w="779" w:type="dxa"/>
            <w:vMerge/>
          </w:tcPr>
          <w:p w14:paraId="335A4758" w14:textId="77777777" w:rsidR="00D36D52" w:rsidRPr="00B22C17" w:rsidRDefault="00D36D52" w:rsidP="00E37A94">
            <w:pPr>
              <w:rPr>
                <w:rFonts w:ascii="Times New Roman" w:hAnsi="Times New Roman" w:cs="Times New Roman"/>
                <w:sz w:val="20"/>
                <w:szCs w:val="20"/>
                <w:lang w:val="en-US"/>
              </w:rPr>
            </w:pPr>
          </w:p>
        </w:tc>
      </w:tr>
    </w:tbl>
    <w:p w14:paraId="42945740" w14:textId="77777777" w:rsidR="00D36D52" w:rsidRPr="00B22C17" w:rsidRDefault="00D36D52" w:rsidP="00D36D52">
      <w:pPr>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Data are percentages unless otherwise stated.</w:t>
      </w:r>
    </w:p>
    <w:p w14:paraId="4FE40B57" w14:textId="77777777" w:rsidR="00D36D52" w:rsidRPr="00B22C17" w:rsidRDefault="00D36D52" w:rsidP="00D36D52">
      <w:pPr>
        <w:jc w:val="both"/>
        <w:rPr>
          <w:rFonts w:ascii="Times New Roman" w:hAnsi="Times New Roman" w:cs="Times New Roman"/>
          <w:sz w:val="20"/>
          <w:szCs w:val="20"/>
          <w:lang w:val="en-US"/>
        </w:rPr>
      </w:pPr>
      <w:r w:rsidRPr="00B22C17">
        <w:rPr>
          <w:rFonts w:ascii="Times New Roman" w:hAnsi="Times New Roman" w:cs="Times New Roman"/>
          <w:sz w:val="20"/>
          <w:szCs w:val="20"/>
          <w:vertAlign w:val="superscript"/>
          <w:lang w:val="en-US"/>
        </w:rPr>
        <w:t>a</w:t>
      </w:r>
      <w:r w:rsidRPr="00B22C17">
        <w:rPr>
          <w:rFonts w:ascii="Times New Roman" w:hAnsi="Times New Roman" w:cs="Times New Roman"/>
          <w:sz w:val="20"/>
          <w:szCs w:val="20"/>
          <w:lang w:val="en-US"/>
        </w:rPr>
        <w:t xml:space="preserve"> Self-reported BNP corresponded to the presence of back pain due to spinal stenosis, back pain due to other causes, or neck pain. </w:t>
      </w:r>
    </w:p>
    <w:p w14:paraId="7A93E151" w14:textId="77777777" w:rsidR="00D36D52" w:rsidRPr="00B22C17" w:rsidRDefault="00D36D52" w:rsidP="00D36D52">
      <w:pPr>
        <w:jc w:val="both"/>
        <w:rPr>
          <w:rFonts w:ascii="Times New Roman" w:hAnsi="Times New Roman" w:cs="Times New Roman"/>
          <w:sz w:val="20"/>
          <w:szCs w:val="20"/>
          <w:lang w:val="en-US"/>
        </w:rPr>
      </w:pPr>
      <w:r w:rsidRPr="00B22C17">
        <w:rPr>
          <w:rFonts w:ascii="Times New Roman" w:hAnsi="Times New Roman" w:cs="Times New Roman"/>
          <w:sz w:val="20"/>
          <w:szCs w:val="20"/>
          <w:vertAlign w:val="superscript"/>
          <w:lang w:val="en-US"/>
        </w:rPr>
        <w:t>b</w:t>
      </w:r>
      <w:r w:rsidRPr="00B22C17">
        <w:rPr>
          <w:rFonts w:ascii="Times New Roman" w:hAnsi="Times New Roman" w:cs="Times New Roman"/>
          <w:sz w:val="20"/>
          <w:szCs w:val="20"/>
          <w:lang w:val="en-US"/>
        </w:rPr>
        <w:t xml:space="preserve"> Self-reported workplace absenteeism was defined using the number of days of absence for health-related reasons in the last year, and participants were separated into two groups (i.e., 0-1 day of absence and ≥2 days of absence).</w:t>
      </w:r>
    </w:p>
    <w:p w14:paraId="1637E307" w14:textId="39FCC386" w:rsidR="00D36D52" w:rsidRPr="00B22C17" w:rsidRDefault="00D36D52" w:rsidP="00D36D52">
      <w:pPr>
        <w:jc w:val="both"/>
        <w:rPr>
          <w:rFonts w:ascii="Times New Roman" w:hAnsi="Times New Roman" w:cs="Times New Roman"/>
          <w:sz w:val="20"/>
          <w:szCs w:val="20"/>
          <w:lang w:val="en-US"/>
        </w:rPr>
      </w:pPr>
      <w:r w:rsidRPr="00B22C17">
        <w:rPr>
          <w:rFonts w:ascii="Times New Roman" w:hAnsi="Times New Roman" w:cs="Times New Roman"/>
          <w:sz w:val="20"/>
          <w:szCs w:val="20"/>
          <w:vertAlign w:val="superscript"/>
          <w:lang w:val="en-US"/>
        </w:rPr>
        <w:t xml:space="preserve">c </w:t>
      </w:r>
      <w:r w:rsidRPr="00B22C17">
        <w:rPr>
          <w:rFonts w:ascii="Times New Roman" w:hAnsi="Times New Roman" w:cs="Times New Roman"/>
          <w:sz w:val="20"/>
          <w:szCs w:val="20"/>
          <w:lang w:val="en-US"/>
        </w:rPr>
        <w:t xml:space="preserve">P-values were obtained using chi-squared tests for all variables except </w:t>
      </w:r>
      <w:r w:rsidR="00FF0BAA" w:rsidRPr="00B22C17">
        <w:rPr>
          <w:rFonts w:ascii="Times New Roman" w:hAnsi="Times New Roman" w:cs="Times New Roman"/>
          <w:color w:val="808080" w:themeColor="background1" w:themeShade="80"/>
          <w:sz w:val="20"/>
          <w:szCs w:val="20"/>
          <w:lang w:val="en-US"/>
        </w:rPr>
        <w:t>continuous</w:t>
      </w:r>
      <w:r w:rsidR="00FF0BAA" w:rsidRPr="00B22C17">
        <w:rPr>
          <w:rFonts w:ascii="Times New Roman" w:hAnsi="Times New Roman" w:cs="Times New Roman"/>
          <w:color w:val="FF0000"/>
          <w:sz w:val="20"/>
          <w:szCs w:val="20"/>
          <w:lang w:val="en-US"/>
        </w:rPr>
        <w:t xml:space="preserve"> </w:t>
      </w:r>
      <w:r w:rsidRPr="00B22C17">
        <w:rPr>
          <w:rFonts w:ascii="Times New Roman" w:hAnsi="Times New Roman" w:cs="Times New Roman"/>
          <w:sz w:val="20"/>
          <w:szCs w:val="20"/>
          <w:lang w:val="en-US"/>
        </w:rPr>
        <w:t>age (Student’s t-tests).</w:t>
      </w:r>
    </w:p>
    <w:p w14:paraId="790D4E18" w14:textId="4EDA92C6" w:rsidR="00D36D52" w:rsidRPr="00B22C17" w:rsidRDefault="00D36D52" w:rsidP="00D36D52">
      <w:pPr>
        <w:jc w:val="both"/>
        <w:rPr>
          <w:rFonts w:ascii="Times New Roman" w:hAnsi="Times New Roman" w:cs="Times New Roman"/>
          <w:sz w:val="20"/>
          <w:szCs w:val="20"/>
          <w:lang w:val="en-US"/>
        </w:rPr>
      </w:pPr>
      <w:r w:rsidRPr="00B22C17">
        <w:rPr>
          <w:rFonts w:ascii="Times New Roman" w:hAnsi="Times New Roman" w:cs="Times New Roman"/>
          <w:sz w:val="20"/>
          <w:szCs w:val="20"/>
          <w:vertAlign w:val="superscript"/>
          <w:lang w:val="en-US"/>
        </w:rPr>
        <w:t>d</w:t>
      </w:r>
      <w:r w:rsidRPr="00B22C17">
        <w:rPr>
          <w:rFonts w:ascii="Times New Roman" w:hAnsi="Times New Roman" w:cs="Times New Roman"/>
          <w:sz w:val="20"/>
          <w:szCs w:val="20"/>
          <w:lang w:val="en-US"/>
        </w:rPr>
        <w:t xml:space="preserve"> Occupation was defined using the International Standard Classification of Occupations (ISCO-08). None of the participants belonged to group 8 (plant and machine operators and assemblers) and group</w:t>
      </w:r>
      <w:r w:rsidRPr="00B22C17">
        <w:rPr>
          <w:rFonts w:ascii="Times New Roman" w:hAnsi="Times New Roman" w:cs="Times New Roman"/>
          <w:color w:val="808080" w:themeColor="background1" w:themeShade="80"/>
          <w:sz w:val="20"/>
          <w:szCs w:val="20"/>
          <w:lang w:val="en-US"/>
        </w:rPr>
        <w:t xml:space="preserve"> 0 </w:t>
      </w:r>
      <w:r w:rsidRPr="00B22C17">
        <w:rPr>
          <w:rFonts w:ascii="Times New Roman" w:hAnsi="Times New Roman" w:cs="Times New Roman"/>
          <w:sz w:val="20"/>
          <w:szCs w:val="20"/>
          <w:lang w:val="en-US"/>
        </w:rPr>
        <w:t>(armed forced occupations).</w:t>
      </w:r>
    </w:p>
    <w:p w14:paraId="0E79E4A9" w14:textId="77777777" w:rsidR="00D36D52" w:rsidRPr="00B22C17" w:rsidRDefault="00D36D52" w:rsidP="00D36D52">
      <w:pPr>
        <w:rPr>
          <w:rFonts w:ascii="Times New Roman" w:hAnsi="Times New Roman" w:cs="Times New Roman"/>
          <w:lang w:val="en-US"/>
        </w:rPr>
      </w:pPr>
      <w:r w:rsidRPr="00B22C17">
        <w:rPr>
          <w:rFonts w:ascii="Times New Roman" w:hAnsi="Times New Roman" w:cs="Times New Roman"/>
          <w:lang w:val="en-US"/>
        </w:rPr>
        <w:br w:type="page"/>
      </w:r>
    </w:p>
    <w:p w14:paraId="7545D745" w14:textId="77777777" w:rsidR="00D36D52" w:rsidRPr="00B22C17" w:rsidRDefault="00D36D52" w:rsidP="00D36D52">
      <w:pPr>
        <w:spacing w:line="480" w:lineRule="auto"/>
        <w:jc w:val="both"/>
        <w:rPr>
          <w:rFonts w:ascii="Times New Roman" w:hAnsi="Times New Roman" w:cs="Times New Roman"/>
          <w:lang w:val="en-US"/>
        </w:rPr>
      </w:pPr>
      <w:r w:rsidRPr="00B22C17">
        <w:rPr>
          <w:rFonts w:ascii="Times New Roman" w:hAnsi="Times New Roman" w:cs="Times New Roman"/>
          <w:b/>
          <w:bCs/>
          <w:lang w:val="en-US"/>
        </w:rPr>
        <w:lastRenderedPageBreak/>
        <w:t>Table 2.</w:t>
      </w:r>
      <w:r w:rsidRPr="00B22C17">
        <w:rPr>
          <w:rFonts w:ascii="Times New Roman" w:hAnsi="Times New Roman" w:cs="Times New Roman"/>
          <w:lang w:val="en-US"/>
        </w:rPr>
        <w:t xml:space="preserve"> Influential factors involved in the association between back and neck pain and workplace absenteeism </w:t>
      </w:r>
    </w:p>
    <w:tbl>
      <w:tblPr>
        <w:tblStyle w:val="TableGrid"/>
        <w:tblW w:w="0" w:type="auto"/>
        <w:tblLook w:val="04A0" w:firstRow="1" w:lastRow="0" w:firstColumn="1" w:lastColumn="0" w:noHBand="0" w:noVBand="1"/>
      </w:tblPr>
      <w:tblGrid>
        <w:gridCol w:w="2264"/>
        <w:gridCol w:w="2264"/>
        <w:gridCol w:w="2264"/>
        <w:gridCol w:w="2264"/>
      </w:tblGrid>
      <w:tr w:rsidR="00D36D52" w:rsidRPr="00B22C17" w14:paraId="11C72E2B" w14:textId="77777777" w:rsidTr="00E37A94">
        <w:tc>
          <w:tcPr>
            <w:tcW w:w="2264" w:type="dxa"/>
          </w:tcPr>
          <w:p w14:paraId="136074E5" w14:textId="77777777" w:rsidR="00D36D52" w:rsidRPr="00B22C17" w:rsidRDefault="00D36D52" w:rsidP="00E37A94">
            <w:pPr>
              <w:spacing w:line="480" w:lineRule="auto"/>
              <w:jc w:val="both"/>
              <w:rPr>
                <w:rFonts w:ascii="Times New Roman" w:hAnsi="Times New Roman" w:cs="Times New Roman"/>
                <w:sz w:val="20"/>
                <w:szCs w:val="20"/>
                <w:lang w:val="en-US"/>
              </w:rPr>
            </w:pPr>
          </w:p>
        </w:tc>
        <w:tc>
          <w:tcPr>
            <w:tcW w:w="2264" w:type="dxa"/>
          </w:tcPr>
          <w:p w14:paraId="76712E5C"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Incidence rate ratio</w:t>
            </w:r>
          </w:p>
        </w:tc>
        <w:tc>
          <w:tcPr>
            <w:tcW w:w="2264" w:type="dxa"/>
          </w:tcPr>
          <w:p w14:paraId="6F0C6FF6"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95% confidence interval</w:t>
            </w:r>
          </w:p>
        </w:tc>
        <w:tc>
          <w:tcPr>
            <w:tcW w:w="2264" w:type="dxa"/>
          </w:tcPr>
          <w:p w14:paraId="4B3029FA"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 xml:space="preserve">Percent </w:t>
            </w:r>
            <w:proofErr w:type="spellStart"/>
            <w:r w:rsidRPr="00B22C17">
              <w:rPr>
                <w:rFonts w:ascii="Times New Roman" w:hAnsi="Times New Roman" w:cs="Times New Roman"/>
                <w:sz w:val="20"/>
                <w:szCs w:val="20"/>
                <w:lang w:val="en-US"/>
              </w:rPr>
              <w:t>decrease</w:t>
            </w:r>
            <w:r w:rsidRPr="00B22C17">
              <w:rPr>
                <w:rFonts w:ascii="Times New Roman" w:hAnsi="Times New Roman" w:cs="Times New Roman"/>
                <w:sz w:val="20"/>
                <w:szCs w:val="20"/>
                <w:vertAlign w:val="superscript"/>
                <w:lang w:val="en-US"/>
              </w:rPr>
              <w:t>a</w:t>
            </w:r>
            <w:proofErr w:type="spellEnd"/>
          </w:p>
        </w:tc>
      </w:tr>
      <w:tr w:rsidR="00D36D52" w:rsidRPr="00B22C17" w14:paraId="381C9BD2" w14:textId="77777777" w:rsidTr="00E37A94">
        <w:tc>
          <w:tcPr>
            <w:tcW w:w="2264" w:type="dxa"/>
          </w:tcPr>
          <w:p w14:paraId="2142F300"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Basel model</w:t>
            </w:r>
          </w:p>
        </w:tc>
        <w:tc>
          <w:tcPr>
            <w:tcW w:w="2264" w:type="dxa"/>
          </w:tcPr>
          <w:p w14:paraId="20711680"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1.40</w:t>
            </w:r>
          </w:p>
        </w:tc>
        <w:tc>
          <w:tcPr>
            <w:tcW w:w="2264" w:type="dxa"/>
          </w:tcPr>
          <w:p w14:paraId="2D78FBA0"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[1.07-1.83]</w:t>
            </w:r>
          </w:p>
        </w:tc>
        <w:tc>
          <w:tcPr>
            <w:tcW w:w="2264" w:type="dxa"/>
          </w:tcPr>
          <w:p w14:paraId="1559FBC6" w14:textId="77777777" w:rsidR="00D36D52" w:rsidRPr="00B22C17" w:rsidRDefault="00D36D52" w:rsidP="00E37A94">
            <w:pPr>
              <w:spacing w:line="480" w:lineRule="auto"/>
              <w:jc w:val="both"/>
              <w:rPr>
                <w:rFonts w:ascii="Times New Roman" w:hAnsi="Times New Roman" w:cs="Times New Roman"/>
                <w:sz w:val="20"/>
                <w:szCs w:val="20"/>
                <w:lang w:val="en-US"/>
              </w:rPr>
            </w:pPr>
          </w:p>
        </w:tc>
      </w:tr>
      <w:tr w:rsidR="00D36D52" w:rsidRPr="00B22C17" w14:paraId="1A90F38B" w14:textId="77777777" w:rsidTr="00E37A94">
        <w:tc>
          <w:tcPr>
            <w:tcW w:w="2264" w:type="dxa"/>
          </w:tcPr>
          <w:p w14:paraId="3C92864E"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Base model + depression</w:t>
            </w:r>
          </w:p>
        </w:tc>
        <w:tc>
          <w:tcPr>
            <w:tcW w:w="2264" w:type="dxa"/>
          </w:tcPr>
          <w:p w14:paraId="5C372EF5"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1.32</w:t>
            </w:r>
          </w:p>
        </w:tc>
        <w:tc>
          <w:tcPr>
            <w:tcW w:w="2264" w:type="dxa"/>
          </w:tcPr>
          <w:p w14:paraId="4C1157ED"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[1.02-1.71]</w:t>
            </w:r>
          </w:p>
        </w:tc>
        <w:tc>
          <w:tcPr>
            <w:tcW w:w="2264" w:type="dxa"/>
          </w:tcPr>
          <w:p w14:paraId="506700A7"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17</w:t>
            </w:r>
          </w:p>
        </w:tc>
      </w:tr>
      <w:tr w:rsidR="00D36D52" w:rsidRPr="00B22C17" w14:paraId="4A2DA7AB" w14:textId="77777777" w:rsidTr="00E37A94">
        <w:tc>
          <w:tcPr>
            <w:tcW w:w="2264" w:type="dxa"/>
          </w:tcPr>
          <w:p w14:paraId="45DBCC0D"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Base model + anxiety</w:t>
            </w:r>
          </w:p>
        </w:tc>
        <w:tc>
          <w:tcPr>
            <w:tcW w:w="2264" w:type="dxa"/>
          </w:tcPr>
          <w:p w14:paraId="1C2FDD2D"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1.38</w:t>
            </w:r>
          </w:p>
        </w:tc>
        <w:tc>
          <w:tcPr>
            <w:tcW w:w="2264" w:type="dxa"/>
          </w:tcPr>
          <w:p w14:paraId="7344C1A4"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[1.06-1.81]</w:t>
            </w:r>
          </w:p>
        </w:tc>
        <w:tc>
          <w:tcPr>
            <w:tcW w:w="2264" w:type="dxa"/>
          </w:tcPr>
          <w:p w14:paraId="2FC5968F"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4</w:t>
            </w:r>
          </w:p>
        </w:tc>
      </w:tr>
      <w:tr w:rsidR="00D36D52" w:rsidRPr="00B22C17" w14:paraId="2FB358A0" w14:textId="77777777" w:rsidTr="00E37A94">
        <w:tc>
          <w:tcPr>
            <w:tcW w:w="2264" w:type="dxa"/>
          </w:tcPr>
          <w:p w14:paraId="54861C0B"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Base model + sleep disorder</w:t>
            </w:r>
          </w:p>
        </w:tc>
        <w:tc>
          <w:tcPr>
            <w:tcW w:w="2264" w:type="dxa"/>
          </w:tcPr>
          <w:p w14:paraId="37EEB26E"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1.42</w:t>
            </w:r>
          </w:p>
        </w:tc>
        <w:tc>
          <w:tcPr>
            <w:tcW w:w="2264" w:type="dxa"/>
          </w:tcPr>
          <w:p w14:paraId="5B3FF708"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[1.09-1.87]</w:t>
            </w:r>
          </w:p>
        </w:tc>
        <w:tc>
          <w:tcPr>
            <w:tcW w:w="2264" w:type="dxa"/>
          </w:tcPr>
          <w:p w14:paraId="3FF4DC47" w14:textId="77777777" w:rsidR="00D36D52" w:rsidRPr="00B22C17" w:rsidRDefault="00D36D52" w:rsidP="00E37A94">
            <w:pPr>
              <w:spacing w:line="480" w:lineRule="auto"/>
              <w:jc w:val="both"/>
              <w:rPr>
                <w:rFonts w:ascii="Times New Roman" w:hAnsi="Times New Roman" w:cs="Times New Roman"/>
                <w:sz w:val="20"/>
                <w:szCs w:val="20"/>
                <w:lang w:val="en-US"/>
              </w:rPr>
            </w:pPr>
            <w:proofErr w:type="spellStart"/>
            <w:r w:rsidRPr="00B22C17">
              <w:rPr>
                <w:rFonts w:ascii="Times New Roman" w:hAnsi="Times New Roman" w:cs="Times New Roman"/>
                <w:sz w:val="20"/>
                <w:szCs w:val="20"/>
                <w:lang w:val="en-US"/>
              </w:rPr>
              <w:t>NA</w:t>
            </w:r>
            <w:r w:rsidRPr="00B22C17">
              <w:rPr>
                <w:rFonts w:ascii="Times New Roman" w:hAnsi="Times New Roman" w:cs="Times New Roman"/>
                <w:sz w:val="20"/>
                <w:szCs w:val="20"/>
                <w:vertAlign w:val="superscript"/>
                <w:lang w:val="en-US"/>
              </w:rPr>
              <w:t>b</w:t>
            </w:r>
            <w:proofErr w:type="spellEnd"/>
          </w:p>
        </w:tc>
      </w:tr>
      <w:tr w:rsidR="00D36D52" w:rsidRPr="00B22C17" w14:paraId="03794418" w14:textId="77777777" w:rsidTr="00E37A94">
        <w:tc>
          <w:tcPr>
            <w:tcW w:w="2264" w:type="dxa"/>
          </w:tcPr>
          <w:p w14:paraId="0E5BBAE2"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Base model + alcohol dependence</w:t>
            </w:r>
          </w:p>
        </w:tc>
        <w:tc>
          <w:tcPr>
            <w:tcW w:w="2264" w:type="dxa"/>
          </w:tcPr>
          <w:p w14:paraId="701D31E3"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1.39</w:t>
            </w:r>
          </w:p>
        </w:tc>
        <w:tc>
          <w:tcPr>
            <w:tcW w:w="2264" w:type="dxa"/>
          </w:tcPr>
          <w:p w14:paraId="2B0FBDBD"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[1.07-1.82]</w:t>
            </w:r>
          </w:p>
        </w:tc>
        <w:tc>
          <w:tcPr>
            <w:tcW w:w="2264" w:type="dxa"/>
          </w:tcPr>
          <w:p w14:paraId="15EEC145"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2</w:t>
            </w:r>
          </w:p>
        </w:tc>
      </w:tr>
      <w:tr w:rsidR="00D36D52" w:rsidRPr="00B22C17" w14:paraId="793B380A" w14:textId="77777777" w:rsidTr="00E37A94">
        <w:tc>
          <w:tcPr>
            <w:tcW w:w="2264" w:type="dxa"/>
          </w:tcPr>
          <w:p w14:paraId="5E35FFE5"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Base model + opioid dependence</w:t>
            </w:r>
          </w:p>
        </w:tc>
        <w:tc>
          <w:tcPr>
            <w:tcW w:w="2264" w:type="dxa"/>
          </w:tcPr>
          <w:p w14:paraId="58A6D05A"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1.40</w:t>
            </w:r>
          </w:p>
        </w:tc>
        <w:tc>
          <w:tcPr>
            <w:tcW w:w="2264" w:type="dxa"/>
          </w:tcPr>
          <w:p w14:paraId="1293F692"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[1.07-1.83]</w:t>
            </w:r>
          </w:p>
        </w:tc>
        <w:tc>
          <w:tcPr>
            <w:tcW w:w="2264" w:type="dxa"/>
          </w:tcPr>
          <w:p w14:paraId="51670BC4" w14:textId="77777777" w:rsidR="00D36D52" w:rsidRPr="00B22C17" w:rsidRDefault="00D36D52" w:rsidP="00E37A94">
            <w:pPr>
              <w:spacing w:line="480" w:lineRule="auto"/>
              <w:jc w:val="both"/>
              <w:rPr>
                <w:rFonts w:ascii="Times New Roman" w:hAnsi="Times New Roman" w:cs="Times New Roman"/>
                <w:sz w:val="20"/>
                <w:szCs w:val="20"/>
                <w:lang w:val="en-US"/>
              </w:rPr>
            </w:pPr>
            <w:proofErr w:type="spellStart"/>
            <w:r w:rsidRPr="00B22C17">
              <w:rPr>
                <w:rFonts w:ascii="Times New Roman" w:hAnsi="Times New Roman" w:cs="Times New Roman"/>
                <w:sz w:val="20"/>
                <w:szCs w:val="20"/>
                <w:lang w:val="en-US"/>
              </w:rPr>
              <w:t>NA</w:t>
            </w:r>
            <w:r w:rsidRPr="00B22C17">
              <w:rPr>
                <w:rFonts w:ascii="Times New Roman" w:hAnsi="Times New Roman" w:cs="Times New Roman"/>
                <w:sz w:val="20"/>
                <w:szCs w:val="20"/>
                <w:vertAlign w:val="superscript"/>
                <w:lang w:val="en-US"/>
              </w:rPr>
              <w:t>b</w:t>
            </w:r>
            <w:proofErr w:type="spellEnd"/>
          </w:p>
        </w:tc>
      </w:tr>
      <w:tr w:rsidR="00D36D52" w:rsidRPr="00B22C17" w14:paraId="6DAFF57B" w14:textId="77777777" w:rsidTr="00E37A94">
        <w:tc>
          <w:tcPr>
            <w:tcW w:w="2264" w:type="dxa"/>
          </w:tcPr>
          <w:p w14:paraId="6FE1CFAA"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Base model + walking difficulty</w:t>
            </w:r>
          </w:p>
        </w:tc>
        <w:tc>
          <w:tcPr>
            <w:tcW w:w="2264" w:type="dxa"/>
          </w:tcPr>
          <w:p w14:paraId="44E8ACA9"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1.29</w:t>
            </w:r>
          </w:p>
        </w:tc>
        <w:tc>
          <w:tcPr>
            <w:tcW w:w="2264" w:type="dxa"/>
          </w:tcPr>
          <w:p w14:paraId="2D34ABA2"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[1.00-1.67]</w:t>
            </w:r>
          </w:p>
        </w:tc>
        <w:tc>
          <w:tcPr>
            <w:tcW w:w="2264" w:type="dxa"/>
          </w:tcPr>
          <w:p w14:paraId="58A93054"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24</w:t>
            </w:r>
          </w:p>
        </w:tc>
      </w:tr>
      <w:tr w:rsidR="00D36D52" w:rsidRPr="00B22C17" w14:paraId="6B76F09B" w14:textId="77777777" w:rsidTr="00E37A94">
        <w:tc>
          <w:tcPr>
            <w:tcW w:w="2264" w:type="dxa"/>
          </w:tcPr>
          <w:p w14:paraId="12697043"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Base model + standing difficulty</w:t>
            </w:r>
          </w:p>
        </w:tc>
        <w:tc>
          <w:tcPr>
            <w:tcW w:w="2264" w:type="dxa"/>
          </w:tcPr>
          <w:p w14:paraId="7204887D"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1.21</w:t>
            </w:r>
          </w:p>
        </w:tc>
        <w:tc>
          <w:tcPr>
            <w:tcW w:w="2264" w:type="dxa"/>
          </w:tcPr>
          <w:p w14:paraId="32F50E8F"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[0.93-1.58]</w:t>
            </w:r>
          </w:p>
        </w:tc>
        <w:tc>
          <w:tcPr>
            <w:tcW w:w="2264" w:type="dxa"/>
          </w:tcPr>
          <w:p w14:paraId="7E3C5432"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43</w:t>
            </w:r>
          </w:p>
        </w:tc>
      </w:tr>
      <w:tr w:rsidR="00D36D52" w:rsidRPr="00B22C17" w14:paraId="440C3C24" w14:textId="77777777" w:rsidTr="00E37A94">
        <w:tc>
          <w:tcPr>
            <w:tcW w:w="2264" w:type="dxa"/>
          </w:tcPr>
          <w:p w14:paraId="4CF9609F"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Base model + sitting difficulty</w:t>
            </w:r>
          </w:p>
        </w:tc>
        <w:tc>
          <w:tcPr>
            <w:tcW w:w="2264" w:type="dxa"/>
          </w:tcPr>
          <w:p w14:paraId="15FC8669"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1.22</w:t>
            </w:r>
          </w:p>
        </w:tc>
        <w:tc>
          <w:tcPr>
            <w:tcW w:w="2264" w:type="dxa"/>
          </w:tcPr>
          <w:p w14:paraId="13BD2B09"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[0.93-1.60]</w:t>
            </w:r>
          </w:p>
        </w:tc>
        <w:tc>
          <w:tcPr>
            <w:tcW w:w="2264" w:type="dxa"/>
          </w:tcPr>
          <w:p w14:paraId="5B28B748"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41</w:t>
            </w:r>
          </w:p>
        </w:tc>
      </w:tr>
      <w:tr w:rsidR="00D36D52" w:rsidRPr="00B22C17" w14:paraId="170D95B0" w14:textId="77777777" w:rsidTr="00E37A94">
        <w:tc>
          <w:tcPr>
            <w:tcW w:w="2264" w:type="dxa"/>
          </w:tcPr>
          <w:p w14:paraId="246C1C01"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Base model + all influential factors</w:t>
            </w:r>
          </w:p>
        </w:tc>
        <w:tc>
          <w:tcPr>
            <w:tcW w:w="2264" w:type="dxa"/>
          </w:tcPr>
          <w:p w14:paraId="627B0D8E"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1.12</w:t>
            </w:r>
          </w:p>
        </w:tc>
        <w:tc>
          <w:tcPr>
            <w:tcW w:w="2264" w:type="dxa"/>
          </w:tcPr>
          <w:p w14:paraId="25C3ED75"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[0.86-1.46]</w:t>
            </w:r>
          </w:p>
        </w:tc>
        <w:tc>
          <w:tcPr>
            <w:tcW w:w="2264" w:type="dxa"/>
          </w:tcPr>
          <w:p w14:paraId="6879786B" w14:textId="77777777" w:rsidR="00D36D52" w:rsidRPr="00B22C17" w:rsidRDefault="00D36D52" w:rsidP="00E37A94">
            <w:pPr>
              <w:spacing w:line="480" w:lineRule="auto"/>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66</w:t>
            </w:r>
          </w:p>
        </w:tc>
      </w:tr>
    </w:tbl>
    <w:p w14:paraId="7F343B3A" w14:textId="77777777" w:rsidR="00D36D52" w:rsidRPr="00B22C17" w:rsidRDefault="00D36D52" w:rsidP="00D36D52">
      <w:pPr>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Self-reported back and neck pain corresponded to the presence of back pain due to spinal stenosis, back pain due to other causes, or neck pain.</w:t>
      </w:r>
    </w:p>
    <w:p w14:paraId="11D12C6A" w14:textId="77777777" w:rsidR="00D36D52" w:rsidRPr="00B22C17" w:rsidRDefault="00D36D52" w:rsidP="00D36D52">
      <w:pPr>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Self-reported workplace absenteeism was defined using the number of days of absence for health-related reasons in the last year.</w:t>
      </w:r>
    </w:p>
    <w:p w14:paraId="20A19A3A" w14:textId="77777777" w:rsidR="00D36D52" w:rsidRPr="00B22C17" w:rsidRDefault="00D36D52" w:rsidP="00D36D52">
      <w:pPr>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The base model corresponded to a negative binomial model adjusted for sex, age, ethnicity, marital status, education, occupation, annual family income, health insurance, obesity, and diabetes.</w:t>
      </w:r>
    </w:p>
    <w:p w14:paraId="72A673FD" w14:textId="77777777" w:rsidR="00D36D52" w:rsidRPr="00B22C17" w:rsidRDefault="00D36D52" w:rsidP="00D36D52">
      <w:pPr>
        <w:jc w:val="both"/>
        <w:rPr>
          <w:rFonts w:ascii="Times New Roman" w:hAnsi="Times New Roman" w:cs="Times New Roman"/>
          <w:sz w:val="20"/>
          <w:szCs w:val="20"/>
          <w:lang w:val="en-US"/>
        </w:rPr>
      </w:pPr>
      <w:r w:rsidRPr="00B22C17">
        <w:rPr>
          <w:rFonts w:ascii="Times New Roman" w:hAnsi="Times New Roman" w:cs="Times New Roman"/>
          <w:sz w:val="20"/>
          <w:szCs w:val="20"/>
          <w:vertAlign w:val="superscript"/>
          <w:lang w:val="en-US"/>
        </w:rPr>
        <w:t>a</w:t>
      </w:r>
      <w:r w:rsidRPr="00B22C17">
        <w:rPr>
          <w:rFonts w:ascii="Times New Roman" w:hAnsi="Times New Roman" w:cs="Times New Roman"/>
          <w:sz w:val="20"/>
          <w:szCs w:val="20"/>
          <w:lang w:val="en-US"/>
        </w:rPr>
        <w:t xml:space="preserve"> Percent attenuation in the log incidence rate ratio when the variable of interest was included in the base model.</w:t>
      </w:r>
    </w:p>
    <w:p w14:paraId="76BCB7B4" w14:textId="77777777" w:rsidR="00D36D52" w:rsidRPr="001C674E" w:rsidRDefault="00D36D52" w:rsidP="00D36D52">
      <w:pPr>
        <w:jc w:val="both"/>
        <w:rPr>
          <w:rFonts w:ascii="Times New Roman" w:hAnsi="Times New Roman" w:cs="Times New Roman"/>
          <w:sz w:val="20"/>
          <w:szCs w:val="20"/>
          <w:lang w:val="en-US"/>
        </w:rPr>
      </w:pPr>
      <w:r w:rsidRPr="00B22C17">
        <w:rPr>
          <w:rFonts w:ascii="Times New Roman" w:hAnsi="Times New Roman" w:cs="Times New Roman"/>
          <w:sz w:val="20"/>
          <w:szCs w:val="20"/>
          <w:vertAlign w:val="superscript"/>
          <w:lang w:val="en-US"/>
        </w:rPr>
        <w:t>b</w:t>
      </w:r>
      <w:r w:rsidRPr="00B22C17">
        <w:rPr>
          <w:rFonts w:ascii="Times New Roman" w:hAnsi="Times New Roman" w:cs="Times New Roman"/>
          <w:sz w:val="20"/>
          <w:szCs w:val="20"/>
          <w:lang w:val="en-US"/>
        </w:rPr>
        <w:t xml:space="preserve"> Percent attenuation was only calculated when a decrease in the incidence rate ratio was observed.</w:t>
      </w:r>
    </w:p>
    <w:p w14:paraId="6F5BE27A" w14:textId="77777777" w:rsidR="00D36D52" w:rsidRDefault="00D36D52" w:rsidP="00362D29">
      <w:pPr>
        <w:rPr>
          <w:rFonts w:ascii="Times New Roman" w:hAnsi="Times New Roman" w:cs="Times New Roman"/>
          <w:b/>
          <w:lang w:val="en-US"/>
        </w:rPr>
      </w:pPr>
    </w:p>
    <w:p w14:paraId="257EB54E" w14:textId="77777777" w:rsidR="00D36D52" w:rsidRDefault="00D36D52" w:rsidP="00362D29">
      <w:pPr>
        <w:rPr>
          <w:rFonts w:ascii="Times New Roman" w:hAnsi="Times New Roman" w:cs="Times New Roman"/>
          <w:b/>
          <w:lang w:val="en-US"/>
        </w:rPr>
      </w:pPr>
    </w:p>
    <w:p w14:paraId="4E097FCC" w14:textId="77777777" w:rsidR="00D36D52" w:rsidRDefault="00D36D52" w:rsidP="00362D29">
      <w:pPr>
        <w:rPr>
          <w:rFonts w:ascii="Times New Roman" w:hAnsi="Times New Roman" w:cs="Times New Roman"/>
          <w:b/>
          <w:lang w:val="en-US"/>
        </w:rPr>
      </w:pPr>
    </w:p>
    <w:p w14:paraId="5C01B44E" w14:textId="7FDCA2E1" w:rsidR="00D36D52" w:rsidRDefault="00D36D52" w:rsidP="00362D29">
      <w:pPr>
        <w:rPr>
          <w:rFonts w:ascii="Times New Roman" w:hAnsi="Times New Roman" w:cs="Times New Roman"/>
          <w:b/>
          <w:lang w:val="en-US"/>
        </w:rPr>
      </w:pPr>
    </w:p>
    <w:p w14:paraId="4E617BFC" w14:textId="0CDE6245" w:rsidR="00B22C17" w:rsidRDefault="00B22C17" w:rsidP="00362D29">
      <w:pPr>
        <w:rPr>
          <w:rFonts w:ascii="Times New Roman" w:hAnsi="Times New Roman" w:cs="Times New Roman"/>
          <w:b/>
          <w:lang w:val="en-US"/>
        </w:rPr>
      </w:pPr>
    </w:p>
    <w:p w14:paraId="4A6C9DE0" w14:textId="43F165AE" w:rsidR="00B22C17" w:rsidRDefault="00B22C17" w:rsidP="00362D29">
      <w:pPr>
        <w:rPr>
          <w:rFonts w:ascii="Times New Roman" w:hAnsi="Times New Roman" w:cs="Times New Roman"/>
          <w:b/>
          <w:lang w:val="en-US"/>
        </w:rPr>
      </w:pPr>
    </w:p>
    <w:p w14:paraId="1ED68CBE" w14:textId="27E22845" w:rsidR="00B22C17" w:rsidRDefault="00B22C17" w:rsidP="00362D29">
      <w:pPr>
        <w:rPr>
          <w:rFonts w:ascii="Times New Roman" w:hAnsi="Times New Roman" w:cs="Times New Roman"/>
          <w:b/>
          <w:lang w:val="en-US"/>
        </w:rPr>
      </w:pPr>
    </w:p>
    <w:p w14:paraId="2A2FB157" w14:textId="02B31B05" w:rsidR="00B22C17" w:rsidRDefault="00B22C17" w:rsidP="00362D29">
      <w:pPr>
        <w:rPr>
          <w:rFonts w:ascii="Times New Roman" w:hAnsi="Times New Roman" w:cs="Times New Roman"/>
          <w:b/>
          <w:lang w:val="en-US"/>
        </w:rPr>
      </w:pPr>
    </w:p>
    <w:p w14:paraId="2C203C13" w14:textId="6BAD73A7" w:rsidR="00B22C17" w:rsidRDefault="00B22C17" w:rsidP="00362D29">
      <w:pPr>
        <w:rPr>
          <w:rFonts w:ascii="Times New Roman" w:hAnsi="Times New Roman" w:cs="Times New Roman"/>
          <w:b/>
          <w:lang w:val="en-US"/>
        </w:rPr>
      </w:pPr>
    </w:p>
    <w:p w14:paraId="1189CB8E" w14:textId="77777777" w:rsidR="00B22C17" w:rsidRPr="00230BD3" w:rsidRDefault="00B22C17" w:rsidP="00B22C17">
      <w:pPr>
        <w:rPr>
          <w:rFonts w:ascii="Times New Roman" w:hAnsi="Times New Roman" w:cs="Times New Roman"/>
          <w:b/>
          <w:bCs/>
          <w:lang w:val="en-US"/>
        </w:rPr>
      </w:pPr>
      <w:r w:rsidRPr="00230BD3">
        <w:rPr>
          <w:rFonts w:ascii="Times New Roman" w:hAnsi="Times New Roman" w:cs="Times New Roman"/>
          <w:b/>
          <w:bCs/>
          <w:noProof/>
          <w:lang w:val="es-ES" w:eastAsia="es-ES"/>
        </w:rPr>
        <w:lastRenderedPageBreak/>
        <w:drawing>
          <wp:inline distT="0" distB="0" distL="0" distR="0" wp14:anchorId="6DC5B908" wp14:editId="031B5F72">
            <wp:extent cx="5756910" cy="5418455"/>
            <wp:effectExtent l="0" t="0" r="0" b="4445"/>
            <wp:docPr id="2" name="Image 2" descr="Flow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Flow chart"/>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56910" cy="5418455"/>
                    </a:xfrm>
                    <a:prstGeom prst="rect">
                      <a:avLst/>
                    </a:prstGeom>
                  </pic:spPr>
                </pic:pic>
              </a:graphicData>
            </a:graphic>
          </wp:inline>
        </w:drawing>
      </w:r>
    </w:p>
    <w:p w14:paraId="6E52B351" w14:textId="77777777" w:rsidR="00B22C17" w:rsidRPr="00230BD3" w:rsidRDefault="00B22C17" w:rsidP="00B22C17">
      <w:pPr>
        <w:rPr>
          <w:rFonts w:ascii="Times New Roman" w:hAnsi="Times New Roman" w:cs="Times New Roman"/>
          <w:lang w:val="en-US"/>
        </w:rPr>
      </w:pPr>
      <w:r w:rsidRPr="00230BD3">
        <w:rPr>
          <w:rFonts w:ascii="Times New Roman" w:hAnsi="Times New Roman" w:cs="Times New Roman"/>
          <w:b/>
          <w:bCs/>
          <w:lang w:val="en-US"/>
        </w:rPr>
        <w:t xml:space="preserve">Figure 1. </w:t>
      </w:r>
      <w:r w:rsidRPr="00230BD3">
        <w:rPr>
          <w:rFonts w:ascii="Times New Roman" w:hAnsi="Times New Roman" w:cs="Times New Roman"/>
          <w:lang w:val="en-US"/>
        </w:rPr>
        <w:t>Flow chart of study participants</w:t>
      </w:r>
    </w:p>
    <w:p w14:paraId="75B6151F" w14:textId="77777777" w:rsidR="00B22C17" w:rsidRDefault="00B22C17" w:rsidP="00B22C17">
      <w:pPr>
        <w:spacing w:line="480" w:lineRule="auto"/>
        <w:jc w:val="both"/>
        <w:rPr>
          <w:rFonts w:ascii="Times New Roman" w:hAnsi="Times New Roman" w:cs="Times New Roman"/>
          <w:lang w:val="en-US"/>
        </w:rPr>
        <w:sectPr w:rsidR="00B22C17" w:rsidSect="00950BFC">
          <w:footerReference w:type="even" r:id="rId8"/>
          <w:footerReference w:type="default" r:id="rId9"/>
          <w:pgSz w:w="11900" w:h="16840"/>
          <w:pgMar w:top="1417" w:right="1417" w:bottom="1417" w:left="1417" w:header="708" w:footer="708" w:gutter="0"/>
          <w:cols w:space="708"/>
          <w:docGrid w:linePitch="360"/>
        </w:sectPr>
      </w:pPr>
    </w:p>
    <w:p w14:paraId="65553946" w14:textId="77777777" w:rsidR="00B22C17" w:rsidRDefault="00B22C17" w:rsidP="00B22C17">
      <w:pPr>
        <w:spacing w:line="480" w:lineRule="auto"/>
        <w:jc w:val="both"/>
        <w:rPr>
          <w:rFonts w:ascii="Times New Roman" w:hAnsi="Times New Roman" w:cs="Times New Roman"/>
          <w:b/>
          <w:bCs/>
          <w:color w:val="FF0000"/>
          <w:lang w:val="en-US"/>
        </w:rPr>
      </w:pPr>
      <w:r>
        <w:rPr>
          <w:noProof/>
          <w:lang w:val="es-ES" w:eastAsia="es-ES"/>
        </w:rPr>
        <w:lastRenderedPageBreak/>
        <w:drawing>
          <wp:inline distT="0" distB="0" distL="0" distR="0" wp14:anchorId="3C11C6BF" wp14:editId="179E73AF">
            <wp:extent cx="4320000" cy="2883445"/>
            <wp:effectExtent l="0" t="0" r="0" b="0"/>
            <wp:docPr id="4" name="Image 4" descr="Bar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Bar chart"/>
                    <pic:cNvPicPr/>
                  </pic:nvPicPr>
                  <pic:blipFill>
                    <a:blip r:embed="rId10"/>
                    <a:stretch>
                      <a:fillRect/>
                    </a:stretch>
                  </pic:blipFill>
                  <pic:spPr>
                    <a:xfrm>
                      <a:off x="0" y="0"/>
                      <a:ext cx="4320000" cy="2883445"/>
                    </a:xfrm>
                    <a:prstGeom prst="rect">
                      <a:avLst/>
                    </a:prstGeom>
                  </pic:spPr>
                </pic:pic>
              </a:graphicData>
            </a:graphic>
          </wp:inline>
        </w:drawing>
      </w:r>
    </w:p>
    <w:p w14:paraId="11832BBE" w14:textId="77777777" w:rsidR="00B22C17" w:rsidRDefault="00B22C17" w:rsidP="00B22C17">
      <w:pPr>
        <w:spacing w:line="480" w:lineRule="auto"/>
        <w:jc w:val="both"/>
        <w:rPr>
          <w:rFonts w:ascii="Times New Roman" w:hAnsi="Times New Roman" w:cs="Times New Roman"/>
          <w:b/>
          <w:bCs/>
          <w:color w:val="FF0000"/>
          <w:lang w:val="en-US"/>
        </w:rPr>
      </w:pPr>
      <w:r>
        <w:rPr>
          <w:noProof/>
          <w:lang w:val="es-ES" w:eastAsia="es-ES"/>
        </w:rPr>
        <w:drawing>
          <wp:inline distT="0" distB="0" distL="0" distR="0" wp14:anchorId="23841627" wp14:editId="15146CDA">
            <wp:extent cx="4320000" cy="2883445"/>
            <wp:effectExtent l="0" t="0" r="0" b="0"/>
            <wp:docPr id="3" name="Image 3" descr="Bar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Bar chart"/>
                    <pic:cNvPicPr/>
                  </pic:nvPicPr>
                  <pic:blipFill>
                    <a:blip r:embed="rId11"/>
                    <a:stretch>
                      <a:fillRect/>
                    </a:stretch>
                  </pic:blipFill>
                  <pic:spPr>
                    <a:xfrm>
                      <a:off x="0" y="0"/>
                      <a:ext cx="4320000" cy="2883445"/>
                    </a:xfrm>
                    <a:prstGeom prst="rect">
                      <a:avLst/>
                    </a:prstGeom>
                  </pic:spPr>
                </pic:pic>
              </a:graphicData>
            </a:graphic>
          </wp:inline>
        </w:drawing>
      </w:r>
    </w:p>
    <w:p w14:paraId="7031CE6B" w14:textId="77777777" w:rsidR="00B22C17" w:rsidRPr="00B22C17" w:rsidRDefault="00B22C17" w:rsidP="00B22C17">
      <w:pPr>
        <w:spacing w:line="480" w:lineRule="auto"/>
        <w:jc w:val="both"/>
        <w:rPr>
          <w:rFonts w:ascii="Times New Roman" w:hAnsi="Times New Roman" w:cs="Times New Roman"/>
          <w:lang w:val="en-US"/>
        </w:rPr>
      </w:pPr>
      <w:r w:rsidRPr="00B22C17">
        <w:rPr>
          <w:rFonts w:ascii="Times New Roman" w:hAnsi="Times New Roman" w:cs="Times New Roman"/>
          <w:b/>
          <w:bCs/>
          <w:lang w:val="en-US"/>
        </w:rPr>
        <w:t>Figure 2.</w:t>
      </w:r>
      <w:r w:rsidRPr="00B22C17">
        <w:rPr>
          <w:rFonts w:ascii="Times New Roman" w:hAnsi="Times New Roman" w:cs="Times New Roman"/>
          <w:lang w:val="en-US"/>
        </w:rPr>
        <w:t xml:space="preserve"> Prevalence of ≥2 (upper panel) and ≥10 days of absence from work for health-related reasons in the past year (lower panel) in the overall population and by back and neck pain status</w:t>
      </w:r>
    </w:p>
    <w:p w14:paraId="41C8DA21" w14:textId="77777777" w:rsidR="00B22C17" w:rsidRPr="00B22C17" w:rsidRDefault="00B22C17" w:rsidP="00B22C17">
      <w:pPr>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 xml:space="preserve">Abbreviation: BNP back and neck pain. </w:t>
      </w:r>
    </w:p>
    <w:p w14:paraId="6745164D" w14:textId="13E7A6C9" w:rsidR="00B22C17" w:rsidRPr="00B22C17" w:rsidRDefault="00B22C17" w:rsidP="00B22C17">
      <w:pPr>
        <w:jc w:val="both"/>
        <w:rPr>
          <w:rFonts w:ascii="Times New Roman" w:hAnsi="Times New Roman" w:cs="Times New Roman"/>
          <w:sz w:val="20"/>
          <w:szCs w:val="20"/>
          <w:lang w:val="en-US"/>
        </w:rPr>
        <w:sectPr w:rsidR="00B22C17" w:rsidRPr="00B22C17" w:rsidSect="00950BFC">
          <w:pgSz w:w="11900" w:h="16840"/>
          <w:pgMar w:top="1417" w:right="1417" w:bottom="1417" w:left="1417" w:header="708" w:footer="708" w:gutter="0"/>
          <w:cols w:space="708"/>
          <w:docGrid w:linePitch="360"/>
        </w:sectPr>
      </w:pPr>
      <w:r w:rsidRPr="00B22C17">
        <w:rPr>
          <w:rFonts w:ascii="Times New Roman" w:hAnsi="Times New Roman" w:cs="Times New Roman"/>
          <w:sz w:val="20"/>
          <w:szCs w:val="20"/>
          <w:lang w:val="en-US"/>
        </w:rPr>
        <w:t>The prevalence of ≥2 and ≥10 days of absence from work for health-related reasons in the past year was compared between individuals with and those without BNP using chi-squared tests (≥2 days of absence: p-value=0.386; ≥10 days of absence: p-value&lt;0.001)</w:t>
      </w:r>
    </w:p>
    <w:p w14:paraId="62A32B7A" w14:textId="192DF641" w:rsidR="00B22C17" w:rsidRPr="00B22C17" w:rsidRDefault="00B22C17" w:rsidP="00B22C17">
      <w:pPr>
        <w:tabs>
          <w:tab w:val="left" w:pos="2160"/>
        </w:tabs>
        <w:rPr>
          <w:rFonts w:ascii="Times New Roman" w:hAnsi="Times New Roman" w:cs="Times New Roman"/>
          <w:lang w:val="en-US"/>
        </w:rPr>
        <w:sectPr w:rsidR="00B22C17" w:rsidRPr="00B22C17" w:rsidSect="00B22C17">
          <w:pgSz w:w="16840" w:h="11900" w:orient="landscape"/>
          <w:pgMar w:top="1417" w:right="1417" w:bottom="1417" w:left="1417" w:header="708" w:footer="708" w:gutter="0"/>
          <w:cols w:space="708"/>
          <w:docGrid w:linePitch="360"/>
        </w:sectPr>
      </w:pPr>
    </w:p>
    <w:p w14:paraId="28C7DC0F" w14:textId="77777777" w:rsidR="00B22C17" w:rsidRPr="00230BD3" w:rsidRDefault="00B22C17" w:rsidP="00B22C17">
      <w:pPr>
        <w:spacing w:line="480" w:lineRule="auto"/>
        <w:jc w:val="both"/>
        <w:rPr>
          <w:rFonts w:ascii="Times New Roman" w:hAnsi="Times New Roman" w:cs="Times New Roman"/>
          <w:b/>
          <w:bCs/>
          <w:lang w:val="en-US"/>
        </w:rPr>
      </w:pPr>
      <w:r>
        <w:rPr>
          <w:rFonts w:ascii="Times New Roman" w:hAnsi="Times New Roman" w:cs="Times New Roman"/>
          <w:b/>
          <w:bCs/>
          <w:noProof/>
          <w:lang w:val="es-ES" w:eastAsia="es-ES"/>
        </w:rPr>
        <w:lastRenderedPageBreak/>
        <w:drawing>
          <wp:inline distT="0" distB="0" distL="0" distR="0" wp14:anchorId="024C328F" wp14:editId="52DA2744">
            <wp:extent cx="8175600" cy="4087800"/>
            <wp:effectExtent l="0" t="0" r="3810" b="1905"/>
            <wp:docPr id="1" name="Image 1"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Char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175600" cy="4087800"/>
                    </a:xfrm>
                    <a:prstGeom prst="rect">
                      <a:avLst/>
                    </a:prstGeom>
                  </pic:spPr>
                </pic:pic>
              </a:graphicData>
            </a:graphic>
          </wp:inline>
        </w:drawing>
      </w:r>
    </w:p>
    <w:p w14:paraId="16520524" w14:textId="77777777" w:rsidR="00B22C17" w:rsidRPr="00B22C17" w:rsidRDefault="00B22C17" w:rsidP="00B22C17">
      <w:pPr>
        <w:spacing w:line="480" w:lineRule="auto"/>
        <w:jc w:val="both"/>
        <w:rPr>
          <w:rFonts w:ascii="Times New Roman" w:hAnsi="Times New Roman" w:cs="Times New Roman"/>
          <w:lang w:val="en-US"/>
        </w:rPr>
      </w:pPr>
      <w:r w:rsidRPr="00B22C17">
        <w:rPr>
          <w:rFonts w:ascii="Times New Roman" w:hAnsi="Times New Roman" w:cs="Times New Roman"/>
          <w:b/>
          <w:bCs/>
          <w:lang w:val="en-US"/>
        </w:rPr>
        <w:t>Figure 3.</w:t>
      </w:r>
      <w:r w:rsidRPr="00B22C17">
        <w:rPr>
          <w:rFonts w:ascii="Times New Roman" w:hAnsi="Times New Roman" w:cs="Times New Roman"/>
          <w:lang w:val="en-US"/>
        </w:rPr>
        <w:t xml:space="preserve"> Association between back and neck pain and workplace absenteeism in adults living in the United States </w:t>
      </w:r>
    </w:p>
    <w:p w14:paraId="639BF9D0" w14:textId="77777777" w:rsidR="00B22C17" w:rsidRPr="00B22C17" w:rsidRDefault="00B22C17" w:rsidP="00B22C17">
      <w:pPr>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Abbreviations: IRR incidence rate ratio; CI confidence interval.</w:t>
      </w:r>
    </w:p>
    <w:p w14:paraId="71CB8231" w14:textId="77777777" w:rsidR="00B22C17" w:rsidRPr="00B22C17" w:rsidRDefault="00B22C17" w:rsidP="00B22C17">
      <w:pPr>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 xml:space="preserve">Self-reported back and neck pain corresponded to the presence of back pain due to spinal stenosis, back pain due to other causes, or neck pain. </w:t>
      </w:r>
    </w:p>
    <w:p w14:paraId="274E85A4" w14:textId="77777777" w:rsidR="00B22C17" w:rsidRPr="00B22C17" w:rsidRDefault="00B22C17" w:rsidP="00B22C17">
      <w:pPr>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Self-reported workplace absenteeism was defined using the number of days of absence from work for health-related reasons in the last year.</w:t>
      </w:r>
    </w:p>
    <w:p w14:paraId="0A69B787" w14:textId="77777777" w:rsidR="00B22C17" w:rsidRPr="00B22C17" w:rsidRDefault="00B22C17" w:rsidP="00B22C17">
      <w:pPr>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 xml:space="preserve">The association between back and neck pain and workplace absenteeism </w:t>
      </w:r>
      <w:proofErr w:type="gramStart"/>
      <w:r w:rsidRPr="00B22C17">
        <w:rPr>
          <w:rFonts w:ascii="Times New Roman" w:hAnsi="Times New Roman" w:cs="Times New Roman"/>
          <w:sz w:val="20"/>
          <w:szCs w:val="20"/>
          <w:lang w:val="en-US"/>
        </w:rPr>
        <w:t>was</w:t>
      </w:r>
      <w:proofErr w:type="gramEnd"/>
      <w:r w:rsidRPr="00B22C17">
        <w:rPr>
          <w:rFonts w:ascii="Times New Roman" w:hAnsi="Times New Roman" w:cs="Times New Roman"/>
          <w:sz w:val="20"/>
          <w:szCs w:val="20"/>
          <w:lang w:val="en-US"/>
        </w:rPr>
        <w:t xml:space="preserve"> investigated using a negative binomial regression</w:t>
      </w:r>
      <w:r w:rsidRPr="00B22C17">
        <w:rPr>
          <w:rFonts w:ascii="Times New Roman" w:hAnsi="Times New Roman" w:cs="Times New Roman"/>
          <w:color w:val="FF0000"/>
          <w:sz w:val="20"/>
          <w:szCs w:val="20"/>
          <w:lang w:val="en-US"/>
        </w:rPr>
        <w:t xml:space="preserve"> </w:t>
      </w:r>
      <w:r w:rsidRPr="00B22C17">
        <w:rPr>
          <w:rFonts w:ascii="Times New Roman" w:hAnsi="Times New Roman" w:cs="Times New Roman"/>
          <w:sz w:val="20"/>
          <w:szCs w:val="20"/>
          <w:lang w:val="en-US"/>
        </w:rPr>
        <w:t>model adjusted for sex, age, ethnicity, marital status, education, occupation, annual family income, health insurance, obesity, and diabetes.</w:t>
      </w:r>
    </w:p>
    <w:p w14:paraId="14B26C72" w14:textId="77777777" w:rsidR="00B22C17" w:rsidRPr="00230BD3" w:rsidRDefault="00B22C17" w:rsidP="00B22C17">
      <w:pPr>
        <w:jc w:val="both"/>
        <w:rPr>
          <w:rFonts w:ascii="Times New Roman" w:hAnsi="Times New Roman" w:cs="Times New Roman"/>
          <w:sz w:val="20"/>
          <w:szCs w:val="20"/>
          <w:lang w:val="en-US"/>
        </w:rPr>
      </w:pPr>
      <w:r w:rsidRPr="00B22C17">
        <w:rPr>
          <w:rFonts w:ascii="Times New Roman" w:hAnsi="Times New Roman" w:cs="Times New Roman"/>
          <w:sz w:val="20"/>
          <w:szCs w:val="20"/>
          <w:lang w:val="en-US"/>
        </w:rPr>
        <w:t>Results from the negative binomial regression model are presented as incidence rate ratios with 95% confidence intervals.</w:t>
      </w:r>
      <w:r w:rsidRPr="00230BD3">
        <w:rPr>
          <w:rFonts w:ascii="Times New Roman" w:hAnsi="Times New Roman" w:cs="Times New Roman"/>
          <w:sz w:val="20"/>
          <w:szCs w:val="20"/>
          <w:lang w:val="en-US"/>
        </w:rPr>
        <w:t xml:space="preserve"> </w:t>
      </w:r>
    </w:p>
    <w:p w14:paraId="67236F29" w14:textId="614BBA11" w:rsidR="00362D29" w:rsidRPr="00C65FFB" w:rsidRDefault="00B22C17" w:rsidP="00C65FFB">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p>
    <w:sectPr w:rsidR="00362D29" w:rsidRPr="00C65FFB" w:rsidSect="00B22C17">
      <w:footerReference w:type="even" r:id="rId13"/>
      <w:footerReference w:type="default" r:id="rId14"/>
      <w:pgSz w:w="1684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85DC7" w14:textId="77777777" w:rsidR="00233A54" w:rsidRDefault="00233A54" w:rsidP="006746EA">
      <w:r>
        <w:separator/>
      </w:r>
    </w:p>
  </w:endnote>
  <w:endnote w:type="continuationSeparator" w:id="0">
    <w:p w14:paraId="677B957F" w14:textId="77777777" w:rsidR="00233A54" w:rsidRDefault="00233A54" w:rsidP="00674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96014212"/>
      <w:docPartObj>
        <w:docPartGallery w:val="Page Numbers (Bottom of Page)"/>
        <w:docPartUnique/>
      </w:docPartObj>
    </w:sdtPr>
    <w:sdtEndPr>
      <w:rPr>
        <w:rStyle w:val="PageNumber"/>
      </w:rPr>
    </w:sdtEndPr>
    <w:sdtContent>
      <w:p w14:paraId="61D920C8" w14:textId="77777777" w:rsidR="00B22C17" w:rsidRDefault="00B22C17" w:rsidP="006C3E1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1CB89DF" w14:textId="77777777" w:rsidR="00B22C17" w:rsidRDefault="00B22C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imes New Roman" w:hAnsi="Times New Roman" w:cs="Times New Roman"/>
      </w:rPr>
      <w:id w:val="-1911290994"/>
      <w:docPartObj>
        <w:docPartGallery w:val="Page Numbers (Bottom of Page)"/>
        <w:docPartUnique/>
      </w:docPartObj>
    </w:sdtPr>
    <w:sdtEndPr>
      <w:rPr>
        <w:rStyle w:val="PageNumber"/>
      </w:rPr>
    </w:sdtEndPr>
    <w:sdtContent>
      <w:p w14:paraId="1FAB437A" w14:textId="77777777" w:rsidR="00B22C17" w:rsidRPr="005F453D" w:rsidRDefault="00B22C17" w:rsidP="006C3E17">
        <w:pPr>
          <w:pStyle w:val="Footer"/>
          <w:framePr w:wrap="none" w:vAnchor="text" w:hAnchor="margin" w:xAlign="center" w:y="1"/>
          <w:rPr>
            <w:rStyle w:val="PageNumber"/>
            <w:rFonts w:ascii="Times New Roman" w:hAnsi="Times New Roman" w:cs="Times New Roman"/>
          </w:rPr>
        </w:pPr>
        <w:r w:rsidRPr="005F453D">
          <w:rPr>
            <w:rStyle w:val="PageNumber"/>
            <w:rFonts w:ascii="Times New Roman" w:hAnsi="Times New Roman" w:cs="Times New Roman"/>
          </w:rPr>
          <w:fldChar w:fldCharType="begin"/>
        </w:r>
        <w:r w:rsidRPr="005F453D">
          <w:rPr>
            <w:rStyle w:val="PageNumber"/>
            <w:rFonts w:ascii="Times New Roman" w:hAnsi="Times New Roman" w:cs="Times New Roman"/>
          </w:rPr>
          <w:instrText xml:space="preserve"> PAGE </w:instrText>
        </w:r>
        <w:r w:rsidRPr="005F453D">
          <w:rPr>
            <w:rStyle w:val="PageNumber"/>
            <w:rFonts w:ascii="Times New Roman" w:hAnsi="Times New Roman" w:cs="Times New Roman"/>
          </w:rPr>
          <w:fldChar w:fldCharType="separate"/>
        </w:r>
        <w:r>
          <w:rPr>
            <w:rStyle w:val="PageNumber"/>
            <w:rFonts w:ascii="Times New Roman" w:hAnsi="Times New Roman" w:cs="Times New Roman"/>
            <w:noProof/>
          </w:rPr>
          <w:t>3</w:t>
        </w:r>
        <w:r w:rsidRPr="005F453D">
          <w:rPr>
            <w:rStyle w:val="PageNumber"/>
            <w:rFonts w:ascii="Times New Roman" w:hAnsi="Times New Roman" w:cs="Times New Roman"/>
          </w:rPr>
          <w:fldChar w:fldCharType="end"/>
        </w:r>
      </w:p>
    </w:sdtContent>
  </w:sdt>
  <w:p w14:paraId="08486F59" w14:textId="77777777" w:rsidR="00B22C17" w:rsidRDefault="00B22C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68081191"/>
      <w:docPartObj>
        <w:docPartGallery w:val="Page Numbers (Bottom of Page)"/>
        <w:docPartUnique/>
      </w:docPartObj>
    </w:sdtPr>
    <w:sdtEndPr>
      <w:rPr>
        <w:rStyle w:val="PageNumber"/>
      </w:rPr>
    </w:sdtEndPr>
    <w:sdtContent>
      <w:p w14:paraId="586BA701" w14:textId="5E67C700" w:rsidR="00C2481B" w:rsidRDefault="00C2481B" w:rsidP="00E37A9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2A9D560" w14:textId="77777777" w:rsidR="00C2481B" w:rsidRDefault="00C2481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imes New Roman" w:hAnsi="Times New Roman" w:cs="Times New Roman"/>
      </w:rPr>
      <w:id w:val="2057125413"/>
      <w:docPartObj>
        <w:docPartGallery w:val="Page Numbers (Bottom of Page)"/>
        <w:docPartUnique/>
      </w:docPartObj>
    </w:sdtPr>
    <w:sdtEndPr>
      <w:rPr>
        <w:rStyle w:val="PageNumber"/>
      </w:rPr>
    </w:sdtEndPr>
    <w:sdtContent>
      <w:p w14:paraId="568758F5" w14:textId="384B5E36" w:rsidR="00C2481B" w:rsidRPr="006746EA" w:rsidRDefault="00C2481B" w:rsidP="00E37A94">
        <w:pPr>
          <w:pStyle w:val="Footer"/>
          <w:framePr w:wrap="none" w:vAnchor="text" w:hAnchor="margin" w:xAlign="center" w:y="1"/>
          <w:rPr>
            <w:rStyle w:val="PageNumber"/>
            <w:rFonts w:ascii="Times New Roman" w:hAnsi="Times New Roman" w:cs="Times New Roman"/>
          </w:rPr>
        </w:pPr>
        <w:r w:rsidRPr="006746EA">
          <w:rPr>
            <w:rStyle w:val="PageNumber"/>
            <w:rFonts w:ascii="Times New Roman" w:hAnsi="Times New Roman" w:cs="Times New Roman"/>
          </w:rPr>
          <w:fldChar w:fldCharType="begin"/>
        </w:r>
        <w:r w:rsidRPr="006746EA">
          <w:rPr>
            <w:rStyle w:val="PageNumber"/>
            <w:rFonts w:ascii="Times New Roman" w:hAnsi="Times New Roman" w:cs="Times New Roman"/>
          </w:rPr>
          <w:instrText xml:space="preserve"> PAGE </w:instrText>
        </w:r>
        <w:r w:rsidRPr="006746EA">
          <w:rPr>
            <w:rStyle w:val="PageNumber"/>
            <w:rFonts w:ascii="Times New Roman" w:hAnsi="Times New Roman" w:cs="Times New Roman"/>
          </w:rPr>
          <w:fldChar w:fldCharType="separate"/>
        </w:r>
        <w:r w:rsidR="00FF0455">
          <w:rPr>
            <w:rStyle w:val="PageNumber"/>
            <w:rFonts w:ascii="Times New Roman" w:hAnsi="Times New Roman" w:cs="Times New Roman"/>
            <w:noProof/>
          </w:rPr>
          <w:t>19</w:t>
        </w:r>
        <w:r w:rsidRPr="006746EA">
          <w:rPr>
            <w:rStyle w:val="PageNumber"/>
            <w:rFonts w:ascii="Times New Roman" w:hAnsi="Times New Roman" w:cs="Times New Roman"/>
          </w:rPr>
          <w:fldChar w:fldCharType="end"/>
        </w:r>
      </w:p>
    </w:sdtContent>
  </w:sdt>
  <w:p w14:paraId="209A3246" w14:textId="77777777" w:rsidR="00C2481B" w:rsidRDefault="00C248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CE351" w14:textId="77777777" w:rsidR="00233A54" w:rsidRDefault="00233A54" w:rsidP="006746EA">
      <w:r>
        <w:separator/>
      </w:r>
    </w:p>
  </w:footnote>
  <w:footnote w:type="continuationSeparator" w:id="0">
    <w:p w14:paraId="325F955D" w14:textId="77777777" w:rsidR="00233A54" w:rsidRDefault="00233A54" w:rsidP="006746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r-FR" w:vendorID="64" w:dllVersion="6" w:nlCheck="1" w:checkStyle="0"/>
  <w:activeWritingStyle w:appName="MSWord" w:lang="en-US"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6" w:nlCheck="1" w:checkStyle="1"/>
  <w:activeWritingStyle w:appName="MSWord" w:lang="es-ES" w:vendorID="64" w:dllVersion="6" w:nlCheck="1" w:checkStyle="0"/>
  <w:activeWritingStyle w:appName="MSWord" w:lang="es-ES" w:vendorID="64" w:dllVersion="0"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E28"/>
    <w:rsid w:val="0000212A"/>
    <w:rsid w:val="00003B46"/>
    <w:rsid w:val="000069E2"/>
    <w:rsid w:val="00006B45"/>
    <w:rsid w:val="00006BFC"/>
    <w:rsid w:val="00022F24"/>
    <w:rsid w:val="00026EBC"/>
    <w:rsid w:val="0004036D"/>
    <w:rsid w:val="00040F3E"/>
    <w:rsid w:val="00044A09"/>
    <w:rsid w:val="000460B7"/>
    <w:rsid w:val="00052DA1"/>
    <w:rsid w:val="000700AB"/>
    <w:rsid w:val="00076899"/>
    <w:rsid w:val="000A0BCC"/>
    <w:rsid w:val="000A3FFB"/>
    <w:rsid w:val="000A491C"/>
    <w:rsid w:val="000A4C50"/>
    <w:rsid w:val="000B3043"/>
    <w:rsid w:val="000C03EE"/>
    <w:rsid w:val="000C4124"/>
    <w:rsid w:val="000C6A58"/>
    <w:rsid w:val="000C773F"/>
    <w:rsid w:val="000D256A"/>
    <w:rsid w:val="000D43E0"/>
    <w:rsid w:val="000D442C"/>
    <w:rsid w:val="000D6343"/>
    <w:rsid w:val="000F1BC9"/>
    <w:rsid w:val="000F4347"/>
    <w:rsid w:val="000F5FB8"/>
    <w:rsid w:val="0010468D"/>
    <w:rsid w:val="00110C41"/>
    <w:rsid w:val="00110F1D"/>
    <w:rsid w:val="0011277A"/>
    <w:rsid w:val="001161DD"/>
    <w:rsid w:val="001173DE"/>
    <w:rsid w:val="00121AE6"/>
    <w:rsid w:val="00141EA5"/>
    <w:rsid w:val="001440CC"/>
    <w:rsid w:val="001476DA"/>
    <w:rsid w:val="00150583"/>
    <w:rsid w:val="00150875"/>
    <w:rsid w:val="00151EBE"/>
    <w:rsid w:val="001554EA"/>
    <w:rsid w:val="00155F03"/>
    <w:rsid w:val="00156B88"/>
    <w:rsid w:val="00164333"/>
    <w:rsid w:val="00164984"/>
    <w:rsid w:val="0016683D"/>
    <w:rsid w:val="001755EB"/>
    <w:rsid w:val="00194011"/>
    <w:rsid w:val="001A635A"/>
    <w:rsid w:val="001A6F3B"/>
    <w:rsid w:val="001C5EEF"/>
    <w:rsid w:val="001C682B"/>
    <w:rsid w:val="001D4A54"/>
    <w:rsid w:val="001D607E"/>
    <w:rsid w:val="001D6F20"/>
    <w:rsid w:val="001E06AC"/>
    <w:rsid w:val="001E1757"/>
    <w:rsid w:val="001E1C59"/>
    <w:rsid w:val="00203C45"/>
    <w:rsid w:val="00203E41"/>
    <w:rsid w:val="002041F5"/>
    <w:rsid w:val="002201FF"/>
    <w:rsid w:val="00224247"/>
    <w:rsid w:val="00225F01"/>
    <w:rsid w:val="00230330"/>
    <w:rsid w:val="00231F78"/>
    <w:rsid w:val="00233A54"/>
    <w:rsid w:val="002420D5"/>
    <w:rsid w:val="00252842"/>
    <w:rsid w:val="00253F4B"/>
    <w:rsid w:val="00255AF1"/>
    <w:rsid w:val="00265F5D"/>
    <w:rsid w:val="0026619C"/>
    <w:rsid w:val="0026755B"/>
    <w:rsid w:val="00281F28"/>
    <w:rsid w:val="00284603"/>
    <w:rsid w:val="00286309"/>
    <w:rsid w:val="00290334"/>
    <w:rsid w:val="0029303B"/>
    <w:rsid w:val="00294947"/>
    <w:rsid w:val="002A5861"/>
    <w:rsid w:val="002A6E78"/>
    <w:rsid w:val="002A7E76"/>
    <w:rsid w:val="002C178D"/>
    <w:rsid w:val="002C4CA6"/>
    <w:rsid w:val="002D38BE"/>
    <w:rsid w:val="002D4031"/>
    <w:rsid w:val="002D71F0"/>
    <w:rsid w:val="002E6FC2"/>
    <w:rsid w:val="00302B55"/>
    <w:rsid w:val="00306215"/>
    <w:rsid w:val="003062BA"/>
    <w:rsid w:val="0030678A"/>
    <w:rsid w:val="0031169E"/>
    <w:rsid w:val="00314DAA"/>
    <w:rsid w:val="003216CE"/>
    <w:rsid w:val="00322DAD"/>
    <w:rsid w:val="00324907"/>
    <w:rsid w:val="0032720A"/>
    <w:rsid w:val="00333DD9"/>
    <w:rsid w:val="00334191"/>
    <w:rsid w:val="00335476"/>
    <w:rsid w:val="00346B69"/>
    <w:rsid w:val="00346CCD"/>
    <w:rsid w:val="00355BA7"/>
    <w:rsid w:val="00357A5E"/>
    <w:rsid w:val="00360BFF"/>
    <w:rsid w:val="0036168D"/>
    <w:rsid w:val="003623C9"/>
    <w:rsid w:val="00362D29"/>
    <w:rsid w:val="00374687"/>
    <w:rsid w:val="00385266"/>
    <w:rsid w:val="00390F06"/>
    <w:rsid w:val="0039269D"/>
    <w:rsid w:val="00395F94"/>
    <w:rsid w:val="003A1093"/>
    <w:rsid w:val="003A17F3"/>
    <w:rsid w:val="003B5040"/>
    <w:rsid w:val="003C14FF"/>
    <w:rsid w:val="003C2725"/>
    <w:rsid w:val="003C40B1"/>
    <w:rsid w:val="003C4DAF"/>
    <w:rsid w:val="003D4DDB"/>
    <w:rsid w:val="003D638B"/>
    <w:rsid w:val="003D6926"/>
    <w:rsid w:val="003E24BF"/>
    <w:rsid w:val="003E57D5"/>
    <w:rsid w:val="003E6BCA"/>
    <w:rsid w:val="003E7A1D"/>
    <w:rsid w:val="003F5BA2"/>
    <w:rsid w:val="0041433B"/>
    <w:rsid w:val="00414A69"/>
    <w:rsid w:val="004159ED"/>
    <w:rsid w:val="00415E16"/>
    <w:rsid w:val="00420369"/>
    <w:rsid w:val="00420A1F"/>
    <w:rsid w:val="004263DB"/>
    <w:rsid w:val="0043087F"/>
    <w:rsid w:val="00434BD1"/>
    <w:rsid w:val="00441C37"/>
    <w:rsid w:val="004440EC"/>
    <w:rsid w:val="00446077"/>
    <w:rsid w:val="0045022C"/>
    <w:rsid w:val="00453E30"/>
    <w:rsid w:val="004554E0"/>
    <w:rsid w:val="0046042A"/>
    <w:rsid w:val="004632B2"/>
    <w:rsid w:val="0046588C"/>
    <w:rsid w:val="00466656"/>
    <w:rsid w:val="00472D56"/>
    <w:rsid w:val="00490B84"/>
    <w:rsid w:val="0049126C"/>
    <w:rsid w:val="00494A97"/>
    <w:rsid w:val="00496AB9"/>
    <w:rsid w:val="00496BF3"/>
    <w:rsid w:val="00497818"/>
    <w:rsid w:val="004A0015"/>
    <w:rsid w:val="004A0D3C"/>
    <w:rsid w:val="004B0FA1"/>
    <w:rsid w:val="004B4E9D"/>
    <w:rsid w:val="004B68F7"/>
    <w:rsid w:val="004C7166"/>
    <w:rsid w:val="004D273B"/>
    <w:rsid w:val="004F2057"/>
    <w:rsid w:val="004F252D"/>
    <w:rsid w:val="004F45D5"/>
    <w:rsid w:val="005003D4"/>
    <w:rsid w:val="005031D8"/>
    <w:rsid w:val="00503A9C"/>
    <w:rsid w:val="005159AB"/>
    <w:rsid w:val="00516501"/>
    <w:rsid w:val="0052146E"/>
    <w:rsid w:val="00523AD7"/>
    <w:rsid w:val="005241C2"/>
    <w:rsid w:val="00530914"/>
    <w:rsid w:val="0053671D"/>
    <w:rsid w:val="005368D6"/>
    <w:rsid w:val="00536EF4"/>
    <w:rsid w:val="005422CC"/>
    <w:rsid w:val="0054730A"/>
    <w:rsid w:val="00550269"/>
    <w:rsid w:val="0055088C"/>
    <w:rsid w:val="005515BA"/>
    <w:rsid w:val="005520CE"/>
    <w:rsid w:val="00552EEB"/>
    <w:rsid w:val="005557D5"/>
    <w:rsid w:val="00573260"/>
    <w:rsid w:val="00573D9C"/>
    <w:rsid w:val="005830E9"/>
    <w:rsid w:val="00586AE4"/>
    <w:rsid w:val="00590B58"/>
    <w:rsid w:val="00592F7D"/>
    <w:rsid w:val="00593603"/>
    <w:rsid w:val="00596729"/>
    <w:rsid w:val="005A0DB7"/>
    <w:rsid w:val="005A322A"/>
    <w:rsid w:val="005B27A7"/>
    <w:rsid w:val="005B3454"/>
    <w:rsid w:val="005C5374"/>
    <w:rsid w:val="005D2BDD"/>
    <w:rsid w:val="005D5B61"/>
    <w:rsid w:val="005D794A"/>
    <w:rsid w:val="005E40A6"/>
    <w:rsid w:val="005E5911"/>
    <w:rsid w:val="005F3177"/>
    <w:rsid w:val="005F3255"/>
    <w:rsid w:val="005F3315"/>
    <w:rsid w:val="005F36A7"/>
    <w:rsid w:val="005F68A4"/>
    <w:rsid w:val="00600B98"/>
    <w:rsid w:val="00610D57"/>
    <w:rsid w:val="00611213"/>
    <w:rsid w:val="0061348A"/>
    <w:rsid w:val="0061366A"/>
    <w:rsid w:val="00616944"/>
    <w:rsid w:val="00616976"/>
    <w:rsid w:val="00617765"/>
    <w:rsid w:val="00620F36"/>
    <w:rsid w:val="00621AF6"/>
    <w:rsid w:val="00627CFD"/>
    <w:rsid w:val="006308C5"/>
    <w:rsid w:val="0063153E"/>
    <w:rsid w:val="00634F4D"/>
    <w:rsid w:val="00636B06"/>
    <w:rsid w:val="006448DA"/>
    <w:rsid w:val="00644F9D"/>
    <w:rsid w:val="0064545F"/>
    <w:rsid w:val="00652B1F"/>
    <w:rsid w:val="00656407"/>
    <w:rsid w:val="006643C2"/>
    <w:rsid w:val="006650A4"/>
    <w:rsid w:val="0067093A"/>
    <w:rsid w:val="006724C3"/>
    <w:rsid w:val="00673677"/>
    <w:rsid w:val="006746EA"/>
    <w:rsid w:val="00680BBE"/>
    <w:rsid w:val="00690D17"/>
    <w:rsid w:val="00693AA8"/>
    <w:rsid w:val="006A1F19"/>
    <w:rsid w:val="006A3596"/>
    <w:rsid w:val="006A4202"/>
    <w:rsid w:val="006A750D"/>
    <w:rsid w:val="006B166A"/>
    <w:rsid w:val="006B3386"/>
    <w:rsid w:val="006B4D99"/>
    <w:rsid w:val="006B4FB6"/>
    <w:rsid w:val="006D7365"/>
    <w:rsid w:val="006E2573"/>
    <w:rsid w:val="006E30F9"/>
    <w:rsid w:val="006E53C5"/>
    <w:rsid w:val="006F2A9A"/>
    <w:rsid w:val="006F6836"/>
    <w:rsid w:val="007108C4"/>
    <w:rsid w:val="00713F17"/>
    <w:rsid w:val="007152A9"/>
    <w:rsid w:val="00722A96"/>
    <w:rsid w:val="007310E9"/>
    <w:rsid w:val="007352C1"/>
    <w:rsid w:val="0074727B"/>
    <w:rsid w:val="0075020A"/>
    <w:rsid w:val="00751C36"/>
    <w:rsid w:val="00755A7D"/>
    <w:rsid w:val="00756B66"/>
    <w:rsid w:val="007711F3"/>
    <w:rsid w:val="00772112"/>
    <w:rsid w:val="00787988"/>
    <w:rsid w:val="00790183"/>
    <w:rsid w:val="0079477D"/>
    <w:rsid w:val="007976B7"/>
    <w:rsid w:val="007B2301"/>
    <w:rsid w:val="007B485C"/>
    <w:rsid w:val="007B7151"/>
    <w:rsid w:val="007C085F"/>
    <w:rsid w:val="007C2B20"/>
    <w:rsid w:val="007F4A99"/>
    <w:rsid w:val="007F5FCA"/>
    <w:rsid w:val="007F6D92"/>
    <w:rsid w:val="008013DD"/>
    <w:rsid w:val="008023A7"/>
    <w:rsid w:val="00805953"/>
    <w:rsid w:val="00812378"/>
    <w:rsid w:val="00814452"/>
    <w:rsid w:val="00826E73"/>
    <w:rsid w:val="00827F54"/>
    <w:rsid w:val="008313D3"/>
    <w:rsid w:val="00832CA2"/>
    <w:rsid w:val="00834D5F"/>
    <w:rsid w:val="00835879"/>
    <w:rsid w:val="00836257"/>
    <w:rsid w:val="00837AA3"/>
    <w:rsid w:val="00840B49"/>
    <w:rsid w:val="00844C6A"/>
    <w:rsid w:val="0085295D"/>
    <w:rsid w:val="00854449"/>
    <w:rsid w:val="008637CA"/>
    <w:rsid w:val="008647C2"/>
    <w:rsid w:val="0088667C"/>
    <w:rsid w:val="0089017D"/>
    <w:rsid w:val="008926F8"/>
    <w:rsid w:val="00892932"/>
    <w:rsid w:val="00892CD9"/>
    <w:rsid w:val="00895648"/>
    <w:rsid w:val="008A0F5F"/>
    <w:rsid w:val="008A535B"/>
    <w:rsid w:val="008B1DD6"/>
    <w:rsid w:val="008B2E74"/>
    <w:rsid w:val="008B6BF3"/>
    <w:rsid w:val="008B6C43"/>
    <w:rsid w:val="008C4F72"/>
    <w:rsid w:val="008C5727"/>
    <w:rsid w:val="008D3527"/>
    <w:rsid w:val="008E6ACD"/>
    <w:rsid w:val="008E73C6"/>
    <w:rsid w:val="008E786F"/>
    <w:rsid w:val="008E7A9D"/>
    <w:rsid w:val="008F210F"/>
    <w:rsid w:val="008F75D0"/>
    <w:rsid w:val="00901B29"/>
    <w:rsid w:val="009142D2"/>
    <w:rsid w:val="00914731"/>
    <w:rsid w:val="00923F12"/>
    <w:rsid w:val="00927238"/>
    <w:rsid w:val="009318AA"/>
    <w:rsid w:val="0093335B"/>
    <w:rsid w:val="00937983"/>
    <w:rsid w:val="009409A4"/>
    <w:rsid w:val="00943976"/>
    <w:rsid w:val="00950BFC"/>
    <w:rsid w:val="00950F98"/>
    <w:rsid w:val="0095305D"/>
    <w:rsid w:val="00955A11"/>
    <w:rsid w:val="00956EA9"/>
    <w:rsid w:val="00960B1B"/>
    <w:rsid w:val="00961344"/>
    <w:rsid w:val="009613D8"/>
    <w:rsid w:val="00964F90"/>
    <w:rsid w:val="0096580B"/>
    <w:rsid w:val="0097156F"/>
    <w:rsid w:val="00980279"/>
    <w:rsid w:val="00982632"/>
    <w:rsid w:val="00982E60"/>
    <w:rsid w:val="00987795"/>
    <w:rsid w:val="00987C27"/>
    <w:rsid w:val="00992A35"/>
    <w:rsid w:val="00995F20"/>
    <w:rsid w:val="00996D5A"/>
    <w:rsid w:val="009A0293"/>
    <w:rsid w:val="009A21B6"/>
    <w:rsid w:val="009A3BD8"/>
    <w:rsid w:val="009B5622"/>
    <w:rsid w:val="009B5E3F"/>
    <w:rsid w:val="009E4F90"/>
    <w:rsid w:val="009E51C2"/>
    <w:rsid w:val="009E7478"/>
    <w:rsid w:val="009F134E"/>
    <w:rsid w:val="009F2659"/>
    <w:rsid w:val="009F5D94"/>
    <w:rsid w:val="009F619F"/>
    <w:rsid w:val="00A00D5C"/>
    <w:rsid w:val="00A024DA"/>
    <w:rsid w:val="00A02828"/>
    <w:rsid w:val="00A1011A"/>
    <w:rsid w:val="00A11CFB"/>
    <w:rsid w:val="00A1506B"/>
    <w:rsid w:val="00A17FAE"/>
    <w:rsid w:val="00A20581"/>
    <w:rsid w:val="00A2446F"/>
    <w:rsid w:val="00A26101"/>
    <w:rsid w:val="00A27C6A"/>
    <w:rsid w:val="00A3045E"/>
    <w:rsid w:val="00A40096"/>
    <w:rsid w:val="00A41191"/>
    <w:rsid w:val="00A42613"/>
    <w:rsid w:val="00A42707"/>
    <w:rsid w:val="00A451A1"/>
    <w:rsid w:val="00A46D53"/>
    <w:rsid w:val="00A46E20"/>
    <w:rsid w:val="00A50E3B"/>
    <w:rsid w:val="00A55061"/>
    <w:rsid w:val="00A57000"/>
    <w:rsid w:val="00A57925"/>
    <w:rsid w:val="00A61924"/>
    <w:rsid w:val="00A6440D"/>
    <w:rsid w:val="00A72C98"/>
    <w:rsid w:val="00A84DD1"/>
    <w:rsid w:val="00A84EB2"/>
    <w:rsid w:val="00A87505"/>
    <w:rsid w:val="00A908E5"/>
    <w:rsid w:val="00A9214F"/>
    <w:rsid w:val="00A935F6"/>
    <w:rsid w:val="00A96D48"/>
    <w:rsid w:val="00AA2FC1"/>
    <w:rsid w:val="00AA6E7D"/>
    <w:rsid w:val="00AA7F4C"/>
    <w:rsid w:val="00AB287E"/>
    <w:rsid w:val="00AB2ECA"/>
    <w:rsid w:val="00AB5E80"/>
    <w:rsid w:val="00AC0DD2"/>
    <w:rsid w:val="00AC1234"/>
    <w:rsid w:val="00AC128C"/>
    <w:rsid w:val="00AC18E2"/>
    <w:rsid w:val="00AC32D8"/>
    <w:rsid w:val="00AC3A1C"/>
    <w:rsid w:val="00AD2FFE"/>
    <w:rsid w:val="00AE15FD"/>
    <w:rsid w:val="00AF21E5"/>
    <w:rsid w:val="00AF7517"/>
    <w:rsid w:val="00B0424D"/>
    <w:rsid w:val="00B05319"/>
    <w:rsid w:val="00B1138C"/>
    <w:rsid w:val="00B1422A"/>
    <w:rsid w:val="00B2292E"/>
    <w:rsid w:val="00B22C17"/>
    <w:rsid w:val="00B2471B"/>
    <w:rsid w:val="00B25CF3"/>
    <w:rsid w:val="00B2612B"/>
    <w:rsid w:val="00B266BA"/>
    <w:rsid w:val="00B321BA"/>
    <w:rsid w:val="00B351C8"/>
    <w:rsid w:val="00B403F4"/>
    <w:rsid w:val="00B44172"/>
    <w:rsid w:val="00B45DCE"/>
    <w:rsid w:val="00B51707"/>
    <w:rsid w:val="00B548ED"/>
    <w:rsid w:val="00B6532B"/>
    <w:rsid w:val="00B66DAA"/>
    <w:rsid w:val="00B7132B"/>
    <w:rsid w:val="00B732C7"/>
    <w:rsid w:val="00B75F88"/>
    <w:rsid w:val="00B80018"/>
    <w:rsid w:val="00B82791"/>
    <w:rsid w:val="00B83134"/>
    <w:rsid w:val="00B8493F"/>
    <w:rsid w:val="00B87D86"/>
    <w:rsid w:val="00B90EB1"/>
    <w:rsid w:val="00B91C05"/>
    <w:rsid w:val="00B921EA"/>
    <w:rsid w:val="00B92C0C"/>
    <w:rsid w:val="00BA2382"/>
    <w:rsid w:val="00BA349D"/>
    <w:rsid w:val="00BA46AB"/>
    <w:rsid w:val="00BB35B6"/>
    <w:rsid w:val="00BB65A4"/>
    <w:rsid w:val="00BB7BCB"/>
    <w:rsid w:val="00BC1C68"/>
    <w:rsid w:val="00BC2118"/>
    <w:rsid w:val="00BC7036"/>
    <w:rsid w:val="00BE1EB4"/>
    <w:rsid w:val="00BE31A6"/>
    <w:rsid w:val="00BE39F5"/>
    <w:rsid w:val="00BE4997"/>
    <w:rsid w:val="00BE50FE"/>
    <w:rsid w:val="00BE6060"/>
    <w:rsid w:val="00BE7F12"/>
    <w:rsid w:val="00BF0327"/>
    <w:rsid w:val="00BF0646"/>
    <w:rsid w:val="00BF3B50"/>
    <w:rsid w:val="00BF44AB"/>
    <w:rsid w:val="00C007BE"/>
    <w:rsid w:val="00C10268"/>
    <w:rsid w:val="00C13110"/>
    <w:rsid w:val="00C14C34"/>
    <w:rsid w:val="00C16442"/>
    <w:rsid w:val="00C2481B"/>
    <w:rsid w:val="00C33B1D"/>
    <w:rsid w:val="00C34756"/>
    <w:rsid w:val="00C3492D"/>
    <w:rsid w:val="00C3679E"/>
    <w:rsid w:val="00C36996"/>
    <w:rsid w:val="00C408EE"/>
    <w:rsid w:val="00C463FD"/>
    <w:rsid w:val="00C46CA2"/>
    <w:rsid w:val="00C501EC"/>
    <w:rsid w:val="00C50DD0"/>
    <w:rsid w:val="00C52023"/>
    <w:rsid w:val="00C5436D"/>
    <w:rsid w:val="00C5438D"/>
    <w:rsid w:val="00C549BC"/>
    <w:rsid w:val="00C5643D"/>
    <w:rsid w:val="00C6413F"/>
    <w:rsid w:val="00C65FFB"/>
    <w:rsid w:val="00C728ED"/>
    <w:rsid w:val="00C73F9F"/>
    <w:rsid w:val="00C74C71"/>
    <w:rsid w:val="00C83E28"/>
    <w:rsid w:val="00C84581"/>
    <w:rsid w:val="00C85ED5"/>
    <w:rsid w:val="00C87F7E"/>
    <w:rsid w:val="00C91AEC"/>
    <w:rsid w:val="00C96AC7"/>
    <w:rsid w:val="00CA1FC7"/>
    <w:rsid w:val="00CA2F98"/>
    <w:rsid w:val="00CA49F7"/>
    <w:rsid w:val="00CA5E54"/>
    <w:rsid w:val="00CA7A20"/>
    <w:rsid w:val="00CB57A6"/>
    <w:rsid w:val="00CC0016"/>
    <w:rsid w:val="00CC2FDF"/>
    <w:rsid w:val="00CC78C8"/>
    <w:rsid w:val="00CD42E4"/>
    <w:rsid w:val="00CD7DD0"/>
    <w:rsid w:val="00CE05D4"/>
    <w:rsid w:val="00CE0D95"/>
    <w:rsid w:val="00CE7FD9"/>
    <w:rsid w:val="00CF4CDE"/>
    <w:rsid w:val="00CF561D"/>
    <w:rsid w:val="00D059D7"/>
    <w:rsid w:val="00D05BA6"/>
    <w:rsid w:val="00D1062C"/>
    <w:rsid w:val="00D12F4B"/>
    <w:rsid w:val="00D20E9A"/>
    <w:rsid w:val="00D244C9"/>
    <w:rsid w:val="00D36D52"/>
    <w:rsid w:val="00D45D36"/>
    <w:rsid w:val="00D5244A"/>
    <w:rsid w:val="00D52BB4"/>
    <w:rsid w:val="00D652AA"/>
    <w:rsid w:val="00D66E1F"/>
    <w:rsid w:val="00D67BFA"/>
    <w:rsid w:val="00D7037B"/>
    <w:rsid w:val="00D82FA1"/>
    <w:rsid w:val="00D85141"/>
    <w:rsid w:val="00D864D3"/>
    <w:rsid w:val="00D8661B"/>
    <w:rsid w:val="00D87EF3"/>
    <w:rsid w:val="00D906C4"/>
    <w:rsid w:val="00D906FC"/>
    <w:rsid w:val="00D92242"/>
    <w:rsid w:val="00DA2248"/>
    <w:rsid w:val="00DB2AA4"/>
    <w:rsid w:val="00DB3393"/>
    <w:rsid w:val="00DD3538"/>
    <w:rsid w:val="00DD413D"/>
    <w:rsid w:val="00DD4B98"/>
    <w:rsid w:val="00DD52BA"/>
    <w:rsid w:val="00DD621D"/>
    <w:rsid w:val="00DD7800"/>
    <w:rsid w:val="00DE1687"/>
    <w:rsid w:val="00DF1053"/>
    <w:rsid w:val="00DF1ABC"/>
    <w:rsid w:val="00DF5286"/>
    <w:rsid w:val="00DF5CDA"/>
    <w:rsid w:val="00E00F54"/>
    <w:rsid w:val="00E02EBC"/>
    <w:rsid w:val="00E25D64"/>
    <w:rsid w:val="00E25F4F"/>
    <w:rsid w:val="00E33F93"/>
    <w:rsid w:val="00E37A94"/>
    <w:rsid w:val="00E456F9"/>
    <w:rsid w:val="00E4629A"/>
    <w:rsid w:val="00E47735"/>
    <w:rsid w:val="00E50D1D"/>
    <w:rsid w:val="00E50D41"/>
    <w:rsid w:val="00E65F61"/>
    <w:rsid w:val="00E6635A"/>
    <w:rsid w:val="00E67004"/>
    <w:rsid w:val="00E672FE"/>
    <w:rsid w:val="00E71A08"/>
    <w:rsid w:val="00E74231"/>
    <w:rsid w:val="00E75C13"/>
    <w:rsid w:val="00E77BBF"/>
    <w:rsid w:val="00E84365"/>
    <w:rsid w:val="00E923E8"/>
    <w:rsid w:val="00E95BFD"/>
    <w:rsid w:val="00E97C87"/>
    <w:rsid w:val="00EA2E89"/>
    <w:rsid w:val="00EA4DC1"/>
    <w:rsid w:val="00EA61E1"/>
    <w:rsid w:val="00EB1921"/>
    <w:rsid w:val="00EB1FFF"/>
    <w:rsid w:val="00EB42EE"/>
    <w:rsid w:val="00EB485B"/>
    <w:rsid w:val="00EB5F85"/>
    <w:rsid w:val="00ED328A"/>
    <w:rsid w:val="00EE1BBD"/>
    <w:rsid w:val="00EE2C4A"/>
    <w:rsid w:val="00EE6986"/>
    <w:rsid w:val="00EE71BE"/>
    <w:rsid w:val="00EF290D"/>
    <w:rsid w:val="00F013E6"/>
    <w:rsid w:val="00F02C86"/>
    <w:rsid w:val="00F03042"/>
    <w:rsid w:val="00F04B36"/>
    <w:rsid w:val="00F0627E"/>
    <w:rsid w:val="00F07670"/>
    <w:rsid w:val="00F2098A"/>
    <w:rsid w:val="00F30E7D"/>
    <w:rsid w:val="00F31046"/>
    <w:rsid w:val="00F64A49"/>
    <w:rsid w:val="00F65BF3"/>
    <w:rsid w:val="00F759FA"/>
    <w:rsid w:val="00F8191F"/>
    <w:rsid w:val="00F82383"/>
    <w:rsid w:val="00F835CE"/>
    <w:rsid w:val="00F846D1"/>
    <w:rsid w:val="00F86EA4"/>
    <w:rsid w:val="00F9041A"/>
    <w:rsid w:val="00F960D1"/>
    <w:rsid w:val="00FA1DFE"/>
    <w:rsid w:val="00FA66BE"/>
    <w:rsid w:val="00FA7C58"/>
    <w:rsid w:val="00FB02D9"/>
    <w:rsid w:val="00FB0CEE"/>
    <w:rsid w:val="00FB141D"/>
    <w:rsid w:val="00FB4DC3"/>
    <w:rsid w:val="00FC21DE"/>
    <w:rsid w:val="00FC522B"/>
    <w:rsid w:val="00FC56E0"/>
    <w:rsid w:val="00FC5CC7"/>
    <w:rsid w:val="00FD4967"/>
    <w:rsid w:val="00FD5161"/>
    <w:rsid w:val="00FD65D6"/>
    <w:rsid w:val="00FD70C7"/>
    <w:rsid w:val="00FE5E22"/>
    <w:rsid w:val="00FE6F55"/>
    <w:rsid w:val="00FF0455"/>
    <w:rsid w:val="00FF0512"/>
    <w:rsid w:val="00FF0BAA"/>
    <w:rsid w:val="00FF1058"/>
    <w:rsid w:val="00FF62EF"/>
    <w:rsid w:val="00FF66EF"/>
    <w:rsid w:val="00FF6FA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2FA3E"/>
  <w15:chartTrackingRefBased/>
  <w15:docId w15:val="{3837563D-C18D-6345-9D5F-A0666B79C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5FFB"/>
    <w:pPr>
      <w:spacing w:line="480" w:lineRule="auto"/>
      <w:jc w:val="both"/>
      <w:outlineLvl w:val="0"/>
    </w:pPr>
    <w:rPr>
      <w:rFonts w:ascii="Times New Roman" w:hAnsi="Times New Roman" w:cs="Times New Roman"/>
      <w:b/>
      <w:lang w:val="en-US"/>
    </w:rPr>
  </w:style>
  <w:style w:type="paragraph" w:styleId="Heading2">
    <w:name w:val="heading 2"/>
    <w:basedOn w:val="Normal"/>
    <w:next w:val="Normal"/>
    <w:link w:val="Heading2Char"/>
    <w:uiPriority w:val="9"/>
    <w:unhideWhenUsed/>
    <w:qFormat/>
    <w:rsid w:val="00C65FFB"/>
    <w:pPr>
      <w:spacing w:line="480" w:lineRule="auto"/>
      <w:jc w:val="both"/>
      <w:outlineLvl w:val="1"/>
    </w:pPr>
    <w:rPr>
      <w:rFonts w:ascii="Times New Roman" w:hAnsi="Times New Roman" w:cs="Times New Roman"/>
      <w:i/>
      <w:iCs/>
      <w:lang w:val="en-US"/>
    </w:rPr>
  </w:style>
  <w:style w:type="paragraph" w:styleId="Heading3">
    <w:name w:val="heading 3"/>
    <w:basedOn w:val="Normal"/>
    <w:next w:val="Normal"/>
    <w:link w:val="Heading3Char"/>
    <w:uiPriority w:val="9"/>
    <w:unhideWhenUsed/>
    <w:qFormat/>
    <w:rsid w:val="00C65FFB"/>
    <w:pPr>
      <w:spacing w:line="480" w:lineRule="auto"/>
      <w:jc w:val="both"/>
      <w:outlineLvl w:val="2"/>
    </w:pPr>
    <w:rPr>
      <w:rFonts w:ascii="Times New Roman" w:hAnsi="Times New Roman" w:cs="Times New Roman"/>
      <w:i/>
      <w:i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326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73260"/>
    <w:rPr>
      <w:rFonts w:ascii="Times New Roman" w:hAnsi="Times New Roman" w:cs="Times New Roman"/>
      <w:sz w:val="18"/>
      <w:szCs w:val="18"/>
    </w:rPr>
  </w:style>
  <w:style w:type="paragraph" w:customStyle="1" w:styleId="Bibliographie1">
    <w:name w:val="Bibliographie1"/>
    <w:basedOn w:val="Normal"/>
    <w:link w:val="BibliographyCar"/>
    <w:rsid w:val="00673677"/>
    <w:pPr>
      <w:tabs>
        <w:tab w:val="left" w:pos="380"/>
      </w:tabs>
      <w:spacing w:after="240"/>
      <w:ind w:left="384" w:hanging="384"/>
      <w:jc w:val="both"/>
    </w:pPr>
    <w:rPr>
      <w:rFonts w:ascii="Times New Roman" w:hAnsi="Times New Roman" w:cs="Times New Roman"/>
      <w:lang w:val="en-US"/>
    </w:rPr>
  </w:style>
  <w:style w:type="character" w:customStyle="1" w:styleId="BibliographyCar">
    <w:name w:val="Bibliography Car"/>
    <w:basedOn w:val="DefaultParagraphFont"/>
    <w:link w:val="Bibliographie1"/>
    <w:rsid w:val="00673677"/>
    <w:rPr>
      <w:rFonts w:ascii="Times New Roman" w:hAnsi="Times New Roman" w:cs="Times New Roman"/>
      <w:lang w:val="en-US"/>
    </w:rPr>
  </w:style>
  <w:style w:type="paragraph" w:styleId="Footer">
    <w:name w:val="footer"/>
    <w:basedOn w:val="Normal"/>
    <w:link w:val="FooterChar"/>
    <w:uiPriority w:val="99"/>
    <w:unhideWhenUsed/>
    <w:rsid w:val="006746EA"/>
    <w:pPr>
      <w:tabs>
        <w:tab w:val="center" w:pos="4536"/>
        <w:tab w:val="right" w:pos="9072"/>
      </w:tabs>
    </w:pPr>
  </w:style>
  <w:style w:type="character" w:customStyle="1" w:styleId="FooterChar">
    <w:name w:val="Footer Char"/>
    <w:basedOn w:val="DefaultParagraphFont"/>
    <w:link w:val="Footer"/>
    <w:uiPriority w:val="99"/>
    <w:rsid w:val="006746EA"/>
  </w:style>
  <w:style w:type="character" w:styleId="PageNumber">
    <w:name w:val="page number"/>
    <w:basedOn w:val="DefaultParagraphFont"/>
    <w:uiPriority w:val="99"/>
    <w:semiHidden/>
    <w:unhideWhenUsed/>
    <w:rsid w:val="006746EA"/>
  </w:style>
  <w:style w:type="paragraph" w:styleId="Header">
    <w:name w:val="header"/>
    <w:basedOn w:val="Normal"/>
    <w:link w:val="HeaderChar"/>
    <w:uiPriority w:val="99"/>
    <w:unhideWhenUsed/>
    <w:rsid w:val="006746EA"/>
    <w:pPr>
      <w:tabs>
        <w:tab w:val="center" w:pos="4536"/>
        <w:tab w:val="right" w:pos="9072"/>
      </w:tabs>
    </w:pPr>
  </w:style>
  <w:style w:type="character" w:customStyle="1" w:styleId="HeaderChar">
    <w:name w:val="Header Char"/>
    <w:basedOn w:val="DefaultParagraphFont"/>
    <w:link w:val="Header"/>
    <w:uiPriority w:val="99"/>
    <w:rsid w:val="006746EA"/>
  </w:style>
  <w:style w:type="character" w:styleId="Hyperlink">
    <w:name w:val="Hyperlink"/>
    <w:basedOn w:val="DefaultParagraphFont"/>
    <w:uiPriority w:val="99"/>
    <w:unhideWhenUsed/>
    <w:rsid w:val="00AA7F4C"/>
    <w:rPr>
      <w:color w:val="0563C1" w:themeColor="hyperlink"/>
      <w:u w:val="single"/>
    </w:rPr>
  </w:style>
  <w:style w:type="character" w:styleId="FollowedHyperlink">
    <w:name w:val="FollowedHyperlink"/>
    <w:basedOn w:val="DefaultParagraphFont"/>
    <w:uiPriority w:val="99"/>
    <w:semiHidden/>
    <w:unhideWhenUsed/>
    <w:rsid w:val="009409A4"/>
    <w:rPr>
      <w:color w:val="954F72" w:themeColor="followedHyperlink"/>
      <w:u w:val="single"/>
    </w:rPr>
  </w:style>
  <w:style w:type="character" w:styleId="CommentReference">
    <w:name w:val="annotation reference"/>
    <w:basedOn w:val="DefaultParagraphFont"/>
    <w:uiPriority w:val="99"/>
    <w:semiHidden/>
    <w:unhideWhenUsed/>
    <w:rsid w:val="0052146E"/>
    <w:rPr>
      <w:sz w:val="16"/>
      <w:szCs w:val="16"/>
    </w:rPr>
  </w:style>
  <w:style w:type="paragraph" w:styleId="CommentText">
    <w:name w:val="annotation text"/>
    <w:basedOn w:val="Normal"/>
    <w:link w:val="CommentTextChar"/>
    <w:uiPriority w:val="99"/>
    <w:semiHidden/>
    <w:unhideWhenUsed/>
    <w:rsid w:val="0052146E"/>
    <w:rPr>
      <w:sz w:val="20"/>
      <w:szCs w:val="20"/>
    </w:rPr>
  </w:style>
  <w:style w:type="character" w:customStyle="1" w:styleId="CommentTextChar">
    <w:name w:val="Comment Text Char"/>
    <w:basedOn w:val="DefaultParagraphFont"/>
    <w:link w:val="CommentText"/>
    <w:uiPriority w:val="99"/>
    <w:semiHidden/>
    <w:rsid w:val="0052146E"/>
    <w:rPr>
      <w:sz w:val="20"/>
      <w:szCs w:val="20"/>
    </w:rPr>
  </w:style>
  <w:style w:type="paragraph" w:styleId="CommentSubject">
    <w:name w:val="annotation subject"/>
    <w:basedOn w:val="CommentText"/>
    <w:next w:val="CommentText"/>
    <w:link w:val="CommentSubjectChar"/>
    <w:uiPriority w:val="99"/>
    <w:semiHidden/>
    <w:unhideWhenUsed/>
    <w:rsid w:val="0052146E"/>
    <w:rPr>
      <w:b/>
      <w:bCs/>
    </w:rPr>
  </w:style>
  <w:style w:type="character" w:customStyle="1" w:styleId="CommentSubjectChar">
    <w:name w:val="Comment Subject Char"/>
    <w:basedOn w:val="CommentTextChar"/>
    <w:link w:val="CommentSubject"/>
    <w:uiPriority w:val="99"/>
    <w:semiHidden/>
    <w:rsid w:val="0052146E"/>
    <w:rPr>
      <w:b/>
      <w:bCs/>
      <w:sz w:val="20"/>
      <w:szCs w:val="20"/>
    </w:rPr>
  </w:style>
  <w:style w:type="character" w:customStyle="1" w:styleId="UnresolvedMention1">
    <w:name w:val="Unresolved Mention1"/>
    <w:basedOn w:val="DefaultParagraphFont"/>
    <w:uiPriority w:val="99"/>
    <w:semiHidden/>
    <w:unhideWhenUsed/>
    <w:rsid w:val="00BF0646"/>
    <w:rPr>
      <w:color w:val="605E5C"/>
      <w:shd w:val="clear" w:color="auto" w:fill="E1DFDD"/>
    </w:rPr>
  </w:style>
  <w:style w:type="paragraph" w:styleId="ListParagraph">
    <w:name w:val="List Paragraph"/>
    <w:basedOn w:val="Normal"/>
    <w:uiPriority w:val="34"/>
    <w:qFormat/>
    <w:rsid w:val="00052DA1"/>
    <w:pPr>
      <w:ind w:left="720"/>
      <w:contextualSpacing/>
    </w:pPr>
  </w:style>
  <w:style w:type="character" w:styleId="LineNumber">
    <w:name w:val="line number"/>
    <w:basedOn w:val="DefaultParagraphFont"/>
    <w:uiPriority w:val="99"/>
    <w:semiHidden/>
    <w:unhideWhenUsed/>
    <w:rsid w:val="00155F03"/>
  </w:style>
  <w:style w:type="table" w:styleId="TableGrid">
    <w:name w:val="Table Grid"/>
    <w:basedOn w:val="TableNormal"/>
    <w:uiPriority w:val="39"/>
    <w:rsid w:val="00D36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C65FFB"/>
    <w:pPr>
      <w:spacing w:line="480" w:lineRule="auto"/>
      <w:jc w:val="center"/>
    </w:pPr>
    <w:rPr>
      <w:rFonts w:ascii="Times New Roman" w:hAnsi="Times New Roman" w:cs="Times New Roman"/>
      <w:b/>
      <w:bCs/>
      <w:lang w:val="en-US"/>
    </w:rPr>
  </w:style>
  <w:style w:type="character" w:customStyle="1" w:styleId="TitleChar">
    <w:name w:val="Title Char"/>
    <w:basedOn w:val="DefaultParagraphFont"/>
    <w:link w:val="Title"/>
    <w:uiPriority w:val="10"/>
    <w:rsid w:val="00C65FFB"/>
    <w:rPr>
      <w:rFonts w:ascii="Times New Roman" w:hAnsi="Times New Roman" w:cs="Times New Roman"/>
      <w:b/>
      <w:bCs/>
      <w:lang w:val="en-US"/>
    </w:rPr>
  </w:style>
  <w:style w:type="character" w:customStyle="1" w:styleId="Heading1Char">
    <w:name w:val="Heading 1 Char"/>
    <w:basedOn w:val="DefaultParagraphFont"/>
    <w:link w:val="Heading1"/>
    <w:uiPriority w:val="9"/>
    <w:rsid w:val="00C65FFB"/>
    <w:rPr>
      <w:rFonts w:ascii="Times New Roman" w:hAnsi="Times New Roman" w:cs="Times New Roman"/>
      <w:b/>
      <w:lang w:val="en-US"/>
    </w:rPr>
  </w:style>
  <w:style w:type="character" w:customStyle="1" w:styleId="Heading2Char">
    <w:name w:val="Heading 2 Char"/>
    <w:basedOn w:val="DefaultParagraphFont"/>
    <w:link w:val="Heading2"/>
    <w:uiPriority w:val="9"/>
    <w:rsid w:val="00C65FFB"/>
    <w:rPr>
      <w:rFonts w:ascii="Times New Roman" w:hAnsi="Times New Roman" w:cs="Times New Roman"/>
      <w:i/>
      <w:iCs/>
      <w:lang w:val="en-US"/>
    </w:rPr>
  </w:style>
  <w:style w:type="character" w:customStyle="1" w:styleId="Heading3Char">
    <w:name w:val="Heading 3 Char"/>
    <w:basedOn w:val="DefaultParagraphFont"/>
    <w:link w:val="Heading3"/>
    <w:uiPriority w:val="9"/>
    <w:rsid w:val="00C65FFB"/>
    <w:rPr>
      <w:rFonts w:ascii="Times New Roman" w:hAnsi="Times New Roman" w:cs="Times New Roman"/>
      <w:i/>
      <w:i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727943">
      <w:bodyDiv w:val="1"/>
      <w:marLeft w:val="0"/>
      <w:marRight w:val="0"/>
      <w:marTop w:val="0"/>
      <w:marBottom w:val="0"/>
      <w:divBdr>
        <w:top w:val="none" w:sz="0" w:space="0" w:color="auto"/>
        <w:left w:val="none" w:sz="0" w:space="0" w:color="auto"/>
        <w:bottom w:val="none" w:sz="0" w:space="0" w:color="auto"/>
        <w:right w:val="none" w:sz="0" w:space="0" w:color="auto"/>
      </w:divBdr>
    </w:div>
    <w:div w:id="554658133">
      <w:bodyDiv w:val="1"/>
      <w:marLeft w:val="0"/>
      <w:marRight w:val="0"/>
      <w:marTop w:val="0"/>
      <w:marBottom w:val="0"/>
      <w:divBdr>
        <w:top w:val="none" w:sz="0" w:space="0" w:color="auto"/>
        <w:left w:val="none" w:sz="0" w:space="0" w:color="auto"/>
        <w:bottom w:val="none" w:sz="0" w:space="0" w:color="auto"/>
        <w:right w:val="none" w:sz="0" w:space="0" w:color="auto"/>
      </w:divBdr>
    </w:div>
    <w:div w:id="561251846">
      <w:bodyDiv w:val="1"/>
      <w:marLeft w:val="0"/>
      <w:marRight w:val="0"/>
      <w:marTop w:val="0"/>
      <w:marBottom w:val="0"/>
      <w:divBdr>
        <w:top w:val="none" w:sz="0" w:space="0" w:color="auto"/>
        <w:left w:val="none" w:sz="0" w:space="0" w:color="auto"/>
        <w:bottom w:val="none" w:sz="0" w:space="0" w:color="auto"/>
        <w:right w:val="none" w:sz="0" w:space="0" w:color="auto"/>
      </w:divBdr>
      <w:divsChild>
        <w:div w:id="456333097">
          <w:marLeft w:val="0"/>
          <w:marRight w:val="0"/>
          <w:marTop w:val="0"/>
          <w:marBottom w:val="0"/>
          <w:divBdr>
            <w:top w:val="none" w:sz="0" w:space="0" w:color="auto"/>
            <w:left w:val="none" w:sz="0" w:space="0" w:color="auto"/>
            <w:bottom w:val="none" w:sz="0" w:space="0" w:color="auto"/>
            <w:right w:val="none" w:sz="0" w:space="0" w:color="auto"/>
          </w:divBdr>
          <w:divsChild>
            <w:div w:id="1125466030">
              <w:marLeft w:val="0"/>
              <w:marRight w:val="0"/>
              <w:marTop w:val="0"/>
              <w:marBottom w:val="0"/>
              <w:divBdr>
                <w:top w:val="none" w:sz="0" w:space="0" w:color="auto"/>
                <w:left w:val="none" w:sz="0" w:space="0" w:color="auto"/>
                <w:bottom w:val="none" w:sz="0" w:space="0" w:color="auto"/>
                <w:right w:val="none" w:sz="0" w:space="0" w:color="auto"/>
              </w:divBdr>
              <w:divsChild>
                <w:div w:id="424424070">
                  <w:marLeft w:val="0"/>
                  <w:marRight w:val="0"/>
                  <w:marTop w:val="0"/>
                  <w:marBottom w:val="0"/>
                  <w:divBdr>
                    <w:top w:val="none" w:sz="0" w:space="0" w:color="auto"/>
                    <w:left w:val="none" w:sz="0" w:space="0" w:color="auto"/>
                    <w:bottom w:val="none" w:sz="0" w:space="0" w:color="auto"/>
                    <w:right w:val="none" w:sz="0" w:space="0" w:color="auto"/>
                  </w:divBdr>
                  <w:divsChild>
                    <w:div w:id="52274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293771">
      <w:bodyDiv w:val="1"/>
      <w:marLeft w:val="0"/>
      <w:marRight w:val="0"/>
      <w:marTop w:val="0"/>
      <w:marBottom w:val="0"/>
      <w:divBdr>
        <w:top w:val="none" w:sz="0" w:space="0" w:color="auto"/>
        <w:left w:val="none" w:sz="0" w:space="0" w:color="auto"/>
        <w:bottom w:val="none" w:sz="0" w:space="0" w:color="auto"/>
        <w:right w:val="none" w:sz="0" w:space="0" w:color="auto"/>
      </w:divBdr>
    </w:div>
    <w:div w:id="1147551153">
      <w:bodyDiv w:val="1"/>
      <w:marLeft w:val="0"/>
      <w:marRight w:val="0"/>
      <w:marTop w:val="0"/>
      <w:marBottom w:val="0"/>
      <w:divBdr>
        <w:top w:val="none" w:sz="0" w:space="0" w:color="auto"/>
        <w:left w:val="none" w:sz="0" w:space="0" w:color="auto"/>
        <w:bottom w:val="none" w:sz="0" w:space="0" w:color="auto"/>
        <w:right w:val="none" w:sz="0" w:space="0" w:color="auto"/>
      </w:divBdr>
    </w:div>
    <w:div w:id="1294671957">
      <w:bodyDiv w:val="1"/>
      <w:marLeft w:val="0"/>
      <w:marRight w:val="0"/>
      <w:marTop w:val="0"/>
      <w:marBottom w:val="0"/>
      <w:divBdr>
        <w:top w:val="none" w:sz="0" w:space="0" w:color="auto"/>
        <w:left w:val="none" w:sz="0" w:space="0" w:color="auto"/>
        <w:bottom w:val="none" w:sz="0" w:space="0" w:color="auto"/>
        <w:right w:val="none" w:sz="0" w:space="0" w:color="auto"/>
      </w:divBdr>
      <w:divsChild>
        <w:div w:id="1636254830">
          <w:marLeft w:val="0"/>
          <w:marRight w:val="0"/>
          <w:marTop w:val="0"/>
          <w:marBottom w:val="0"/>
          <w:divBdr>
            <w:top w:val="none" w:sz="0" w:space="0" w:color="auto"/>
            <w:left w:val="none" w:sz="0" w:space="0" w:color="auto"/>
            <w:bottom w:val="none" w:sz="0" w:space="0" w:color="auto"/>
            <w:right w:val="none" w:sz="0" w:space="0" w:color="auto"/>
          </w:divBdr>
          <w:divsChild>
            <w:div w:id="758791138">
              <w:marLeft w:val="0"/>
              <w:marRight w:val="0"/>
              <w:marTop w:val="0"/>
              <w:marBottom w:val="0"/>
              <w:divBdr>
                <w:top w:val="none" w:sz="0" w:space="0" w:color="auto"/>
                <w:left w:val="none" w:sz="0" w:space="0" w:color="auto"/>
                <w:bottom w:val="none" w:sz="0" w:space="0" w:color="auto"/>
                <w:right w:val="none" w:sz="0" w:space="0" w:color="auto"/>
              </w:divBdr>
              <w:divsChild>
                <w:div w:id="1386178622">
                  <w:marLeft w:val="0"/>
                  <w:marRight w:val="0"/>
                  <w:marTop w:val="0"/>
                  <w:marBottom w:val="0"/>
                  <w:divBdr>
                    <w:top w:val="none" w:sz="0" w:space="0" w:color="auto"/>
                    <w:left w:val="none" w:sz="0" w:space="0" w:color="auto"/>
                    <w:bottom w:val="none" w:sz="0" w:space="0" w:color="auto"/>
                    <w:right w:val="none" w:sz="0" w:space="0" w:color="auto"/>
                  </w:divBdr>
                  <w:divsChild>
                    <w:div w:id="58021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9472840">
      <w:bodyDiv w:val="1"/>
      <w:marLeft w:val="0"/>
      <w:marRight w:val="0"/>
      <w:marTop w:val="0"/>
      <w:marBottom w:val="0"/>
      <w:divBdr>
        <w:top w:val="none" w:sz="0" w:space="0" w:color="auto"/>
        <w:left w:val="none" w:sz="0" w:space="0" w:color="auto"/>
        <w:bottom w:val="none" w:sz="0" w:space="0" w:color="auto"/>
        <w:right w:val="none" w:sz="0" w:space="0" w:color="auto"/>
      </w:divBdr>
    </w:div>
    <w:div w:id="1493988094">
      <w:bodyDiv w:val="1"/>
      <w:marLeft w:val="0"/>
      <w:marRight w:val="0"/>
      <w:marTop w:val="0"/>
      <w:marBottom w:val="0"/>
      <w:divBdr>
        <w:top w:val="none" w:sz="0" w:space="0" w:color="auto"/>
        <w:left w:val="none" w:sz="0" w:space="0" w:color="auto"/>
        <w:bottom w:val="none" w:sz="0" w:space="0" w:color="auto"/>
        <w:right w:val="none" w:sz="0" w:space="0" w:color="auto"/>
      </w:divBdr>
    </w:div>
    <w:div w:id="1568762709">
      <w:bodyDiv w:val="1"/>
      <w:marLeft w:val="0"/>
      <w:marRight w:val="0"/>
      <w:marTop w:val="0"/>
      <w:marBottom w:val="0"/>
      <w:divBdr>
        <w:top w:val="none" w:sz="0" w:space="0" w:color="auto"/>
        <w:left w:val="none" w:sz="0" w:space="0" w:color="auto"/>
        <w:bottom w:val="none" w:sz="0" w:space="0" w:color="auto"/>
        <w:right w:val="none" w:sz="0" w:space="0" w:color="auto"/>
      </w:divBdr>
    </w:div>
    <w:div w:id="2076395881">
      <w:bodyDiv w:val="1"/>
      <w:marLeft w:val="0"/>
      <w:marRight w:val="0"/>
      <w:marTop w:val="0"/>
      <w:marBottom w:val="0"/>
      <w:divBdr>
        <w:top w:val="none" w:sz="0" w:space="0" w:color="auto"/>
        <w:left w:val="none" w:sz="0" w:space="0" w:color="auto"/>
        <w:bottom w:val="none" w:sz="0" w:space="0" w:color="auto"/>
        <w:right w:val="none" w:sz="0" w:space="0" w:color="auto"/>
      </w:divBdr>
      <w:divsChild>
        <w:div w:id="1867792729">
          <w:marLeft w:val="0"/>
          <w:marRight w:val="0"/>
          <w:marTop w:val="0"/>
          <w:marBottom w:val="0"/>
          <w:divBdr>
            <w:top w:val="none" w:sz="0" w:space="0" w:color="auto"/>
            <w:left w:val="none" w:sz="0" w:space="0" w:color="auto"/>
            <w:bottom w:val="none" w:sz="0" w:space="0" w:color="auto"/>
            <w:right w:val="none" w:sz="0" w:space="0" w:color="auto"/>
          </w:divBdr>
          <w:divsChild>
            <w:div w:id="97869577">
              <w:marLeft w:val="0"/>
              <w:marRight w:val="0"/>
              <w:marTop w:val="0"/>
              <w:marBottom w:val="0"/>
              <w:divBdr>
                <w:top w:val="none" w:sz="0" w:space="0" w:color="auto"/>
                <w:left w:val="none" w:sz="0" w:space="0" w:color="auto"/>
                <w:bottom w:val="none" w:sz="0" w:space="0" w:color="auto"/>
                <w:right w:val="none" w:sz="0" w:space="0" w:color="auto"/>
              </w:divBdr>
              <w:divsChild>
                <w:div w:id="1947426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969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image" Target="media/image4.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guillermo.lopez-sanchez@aru.ac.uk" TargetMode="External"/><Relationship Id="rId11" Type="http://schemas.openxmlformats.org/officeDocument/2006/relationships/image" Target="media/image3.emf"/><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21CE0C6-E135-6F4C-A47A-E49D6E093ECF}">
  <we:reference id="wa200001011" version="1.2.0.0" store="fr-FR"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5</TotalTime>
  <Pages>25</Pages>
  <Words>28931</Words>
  <Characters>164912</Characters>
  <Application>Microsoft Office Word</Application>
  <DocSecurity>0</DocSecurity>
  <Lines>1374</Lines>
  <Paragraphs>386</Paragraphs>
  <ScaleCrop>false</ScaleCrop>
  <HeadingPairs>
    <vt:vector size="8" baseType="variant">
      <vt:variant>
        <vt:lpstr>Title</vt:lpstr>
      </vt:variant>
      <vt:variant>
        <vt:i4>1</vt:i4>
      </vt:variant>
      <vt:variant>
        <vt:lpstr>Titel</vt:lpstr>
      </vt:variant>
      <vt:variant>
        <vt:i4>1</vt:i4>
      </vt:variant>
      <vt:variant>
        <vt:lpstr>Título</vt:lpstr>
      </vt:variant>
      <vt:variant>
        <vt:i4>1</vt:i4>
      </vt:variant>
      <vt:variant>
        <vt:lpstr>Titre</vt:lpstr>
      </vt:variant>
      <vt:variant>
        <vt:i4>1</vt:i4>
      </vt:variant>
    </vt:vector>
  </HeadingPairs>
  <TitlesOfParts>
    <vt:vector size="4" baseType="lpstr">
      <vt:lpstr/>
      <vt:lpstr/>
      <vt:lpstr/>
      <vt:lpstr/>
    </vt:vector>
  </TitlesOfParts>
  <Company/>
  <LinksUpToDate>false</LinksUpToDate>
  <CharactersWithSpaces>193457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Jacob</dc:creator>
  <cp:keywords/>
  <dc:description/>
  <cp:lastModifiedBy>Blanshard, Lisa</cp:lastModifiedBy>
  <cp:revision>4</cp:revision>
  <dcterms:created xsi:type="dcterms:W3CDTF">2021-11-30T21:25:00Z</dcterms:created>
  <dcterms:modified xsi:type="dcterms:W3CDTF">2021-12-01T10:04:00Z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id="7iYGLiCP"/&gt;&lt;style id="http://www.zotero.org/styles/plos-one" hasBibliography="1" bibliographyStyleHasBeenSet="1"/&gt;&lt;prefs&gt;&lt;pref name="fieldType" value="Field"/&gt;&lt;/prefs&gt;&lt;/data&gt;</vt:lpwstr>
  </property>
  <property fmtid="{D5CDD505-2E9C-101B-9397-08002B2CF9AE}" pid="3" name="grammarly_documentId">
    <vt:lpwstr>documentId_9156</vt:lpwstr>
  </property>
  <property fmtid="{D5CDD505-2E9C-101B-9397-08002B2CF9AE}" pid="4" name="grammarly_documentContext">
    <vt:lpwstr>{"goals":[],"domain":"general","emotions":[],"dialect":"american"}</vt:lpwstr>
  </property>
</Properties>
</file>