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246C7" w14:textId="1C32B6BF" w:rsidR="00963F2E" w:rsidRPr="00862097" w:rsidRDefault="003A4FAC" w:rsidP="00862097">
      <w:pPr>
        <w:pStyle w:val="Title"/>
      </w:pPr>
      <w:r w:rsidRPr="00862097">
        <w:t xml:space="preserve">Association between osteoarthritis and the incidence of </w:t>
      </w:r>
      <w:r w:rsidR="00262B63" w:rsidRPr="00862097">
        <w:t>Parkinson’s disease in</w:t>
      </w:r>
      <w:r w:rsidR="009E6A1C" w:rsidRPr="00862097">
        <w:t xml:space="preserve"> </w:t>
      </w:r>
      <w:r w:rsidR="0000721D" w:rsidRPr="00862097">
        <w:t>the United Kingdom</w:t>
      </w:r>
    </w:p>
    <w:p w14:paraId="74371C9E" w14:textId="77777777" w:rsidR="00C83F50" w:rsidRPr="00CC1992" w:rsidRDefault="00C83F50" w:rsidP="00CA71DD">
      <w:pPr>
        <w:spacing w:line="480" w:lineRule="auto"/>
        <w:rPr>
          <w:rFonts w:ascii="Arial" w:hAnsi="Arial" w:cs="Arial"/>
          <w:sz w:val="24"/>
          <w:szCs w:val="24"/>
          <w:lang w:val="en-US"/>
        </w:rPr>
      </w:pPr>
    </w:p>
    <w:p w14:paraId="0151CBAB" w14:textId="22544802" w:rsidR="00C83F50" w:rsidRPr="00CC1992" w:rsidRDefault="00C83F50" w:rsidP="00CA71DD">
      <w:pPr>
        <w:spacing w:line="480" w:lineRule="auto"/>
        <w:jc w:val="both"/>
        <w:rPr>
          <w:rFonts w:ascii="Arial" w:hAnsi="Arial" w:cs="Arial"/>
          <w:sz w:val="24"/>
          <w:szCs w:val="24"/>
          <w:lang w:val="en-US"/>
        </w:rPr>
      </w:pPr>
      <w:r w:rsidRPr="00CC1992">
        <w:rPr>
          <w:rFonts w:ascii="Arial" w:hAnsi="Arial" w:cs="Arial"/>
          <w:sz w:val="24"/>
          <w:szCs w:val="24"/>
          <w:lang w:val="en-US"/>
        </w:rPr>
        <w:t>Louis Jacob, MD-PhD (ORCID: 0000-0003-1071-1239)</w:t>
      </w:r>
      <w:r w:rsidR="00F03313">
        <w:rPr>
          <w:rFonts w:ascii="Arial" w:hAnsi="Arial" w:cs="Arial"/>
          <w:sz w:val="24"/>
          <w:szCs w:val="24"/>
          <w:vertAlign w:val="superscript"/>
          <w:lang w:val="en-US"/>
        </w:rPr>
        <w:t>1,2,3</w:t>
      </w:r>
      <w:r w:rsidRPr="00CC1992">
        <w:rPr>
          <w:rFonts w:ascii="Arial" w:hAnsi="Arial" w:cs="Arial"/>
          <w:sz w:val="24"/>
          <w:szCs w:val="24"/>
          <w:lang w:val="en-US"/>
        </w:rPr>
        <w:t xml:space="preserve">; </w:t>
      </w:r>
      <w:r w:rsidR="00F40F47">
        <w:rPr>
          <w:rFonts w:ascii="Arial" w:hAnsi="Arial" w:cs="Arial"/>
          <w:sz w:val="24"/>
          <w:szCs w:val="24"/>
          <w:lang w:val="en-US"/>
        </w:rPr>
        <w:t>Lee Smith, PhD</w:t>
      </w:r>
      <w:r w:rsidR="00EC5D4A">
        <w:rPr>
          <w:rFonts w:ascii="Arial" w:hAnsi="Arial" w:cs="Arial"/>
          <w:sz w:val="24"/>
          <w:szCs w:val="24"/>
          <w:lang w:val="en-US"/>
        </w:rPr>
        <w:t xml:space="preserve"> (ORCID: </w:t>
      </w:r>
      <w:r w:rsidR="009E1E73" w:rsidRPr="009E1E73">
        <w:rPr>
          <w:rFonts w:ascii="Arial" w:hAnsi="Arial" w:cs="Arial"/>
          <w:sz w:val="24"/>
          <w:szCs w:val="24"/>
          <w:lang w:val="en-US"/>
        </w:rPr>
        <w:t>0000-0002-5340-9833</w:t>
      </w:r>
      <w:r w:rsidR="009E1E73">
        <w:rPr>
          <w:rFonts w:ascii="Arial" w:hAnsi="Arial" w:cs="Arial"/>
          <w:sz w:val="24"/>
          <w:szCs w:val="24"/>
          <w:lang w:val="en-US"/>
        </w:rPr>
        <w:t>)</w:t>
      </w:r>
      <w:r w:rsidR="00F03313">
        <w:rPr>
          <w:rFonts w:ascii="Arial" w:hAnsi="Arial" w:cs="Arial"/>
          <w:sz w:val="24"/>
          <w:szCs w:val="24"/>
          <w:vertAlign w:val="superscript"/>
          <w:lang w:val="en-US"/>
        </w:rPr>
        <w:t>4</w:t>
      </w:r>
      <w:r w:rsidR="00E91D35">
        <w:rPr>
          <w:rFonts w:ascii="Arial" w:hAnsi="Arial" w:cs="Arial"/>
          <w:sz w:val="24"/>
          <w:szCs w:val="24"/>
          <w:lang w:val="en-US"/>
        </w:rPr>
        <w:t>;</w:t>
      </w:r>
      <w:r w:rsidR="0054507B">
        <w:rPr>
          <w:rFonts w:ascii="Arial" w:hAnsi="Arial" w:cs="Arial"/>
          <w:sz w:val="24"/>
          <w:szCs w:val="24"/>
          <w:lang w:val="en-US"/>
        </w:rPr>
        <w:t xml:space="preserve"> </w:t>
      </w:r>
      <w:r w:rsidR="00B46C49">
        <w:rPr>
          <w:rFonts w:ascii="Arial" w:hAnsi="Arial" w:cs="Arial"/>
          <w:sz w:val="24"/>
          <w:szCs w:val="24"/>
          <w:lang w:val="en-US"/>
        </w:rPr>
        <w:t xml:space="preserve">Ai </w:t>
      </w:r>
      <w:r w:rsidR="0054507B">
        <w:rPr>
          <w:rFonts w:ascii="Arial" w:hAnsi="Arial" w:cs="Arial"/>
          <w:sz w:val="24"/>
          <w:szCs w:val="24"/>
          <w:lang w:val="en-US"/>
        </w:rPr>
        <w:t>Koyanagi, MD-PhD</w:t>
      </w:r>
      <w:r w:rsidR="002F2A21">
        <w:rPr>
          <w:rFonts w:ascii="Arial" w:hAnsi="Arial" w:cs="Arial"/>
          <w:sz w:val="24"/>
          <w:szCs w:val="24"/>
          <w:lang w:val="en-US"/>
        </w:rPr>
        <w:t xml:space="preserve"> (ORCID: </w:t>
      </w:r>
      <w:r w:rsidR="002F2A21" w:rsidRPr="002F2A21">
        <w:rPr>
          <w:rFonts w:ascii="Arial" w:hAnsi="Arial" w:cs="Arial"/>
          <w:sz w:val="24"/>
          <w:szCs w:val="24"/>
          <w:lang w:val="en-US"/>
        </w:rPr>
        <w:t>0000-0002-9565-5004</w:t>
      </w:r>
      <w:r w:rsidR="002F2A21">
        <w:rPr>
          <w:rFonts w:ascii="Arial" w:hAnsi="Arial" w:cs="Arial"/>
          <w:sz w:val="24"/>
          <w:szCs w:val="24"/>
          <w:lang w:val="en-US"/>
        </w:rPr>
        <w:t>)</w:t>
      </w:r>
      <w:r w:rsidR="00F03313">
        <w:rPr>
          <w:rFonts w:ascii="Arial" w:hAnsi="Arial" w:cs="Arial"/>
          <w:sz w:val="24"/>
          <w:szCs w:val="24"/>
          <w:vertAlign w:val="superscript"/>
          <w:lang w:val="en-US"/>
        </w:rPr>
        <w:t>1,2,5</w:t>
      </w:r>
      <w:r w:rsidR="006E5B9B">
        <w:rPr>
          <w:rFonts w:ascii="Arial" w:hAnsi="Arial" w:cs="Arial"/>
          <w:sz w:val="24"/>
          <w:szCs w:val="24"/>
          <w:lang w:val="en-US"/>
        </w:rPr>
        <w:t>;</w:t>
      </w:r>
      <w:r w:rsidR="0054507B">
        <w:rPr>
          <w:rFonts w:ascii="Arial" w:hAnsi="Arial" w:cs="Arial"/>
          <w:sz w:val="24"/>
          <w:szCs w:val="24"/>
          <w:lang w:val="en-US"/>
        </w:rPr>
        <w:t xml:space="preserve"> Alexis Schnitzler, MD-PhD</w:t>
      </w:r>
      <w:r w:rsidR="002B77BE">
        <w:rPr>
          <w:rFonts w:ascii="Arial" w:hAnsi="Arial" w:cs="Arial"/>
          <w:sz w:val="24"/>
          <w:szCs w:val="24"/>
          <w:lang w:val="en-US"/>
        </w:rPr>
        <w:t xml:space="preserve"> (ORCID</w:t>
      </w:r>
      <w:r w:rsidR="00D42A59">
        <w:rPr>
          <w:rFonts w:ascii="Arial" w:hAnsi="Arial" w:cs="Arial"/>
          <w:sz w:val="24"/>
          <w:szCs w:val="24"/>
          <w:lang w:val="en-US"/>
        </w:rPr>
        <w:t xml:space="preserve">: </w:t>
      </w:r>
      <w:r w:rsidR="002B77BE" w:rsidRPr="002B77BE">
        <w:rPr>
          <w:rFonts w:ascii="Arial" w:hAnsi="Arial" w:cs="Arial"/>
          <w:sz w:val="24"/>
          <w:szCs w:val="24"/>
          <w:lang w:val="en-US"/>
        </w:rPr>
        <w:t>0000-0003-2419-0892</w:t>
      </w:r>
      <w:r w:rsidR="00D42A59">
        <w:rPr>
          <w:rFonts w:ascii="Arial" w:hAnsi="Arial" w:cs="Arial"/>
          <w:sz w:val="24"/>
          <w:szCs w:val="24"/>
          <w:lang w:val="en-US"/>
        </w:rPr>
        <w:t>)</w:t>
      </w:r>
      <w:r w:rsidR="00F442B6">
        <w:rPr>
          <w:rFonts w:ascii="Arial" w:hAnsi="Arial" w:cs="Arial"/>
          <w:sz w:val="24"/>
          <w:szCs w:val="24"/>
          <w:vertAlign w:val="superscript"/>
          <w:lang w:val="en-US"/>
        </w:rPr>
        <w:t>6</w:t>
      </w:r>
      <w:r w:rsidR="00370039">
        <w:rPr>
          <w:rFonts w:ascii="Arial" w:hAnsi="Arial" w:cs="Arial"/>
          <w:sz w:val="24"/>
          <w:szCs w:val="24"/>
          <w:lang w:val="en-US"/>
        </w:rPr>
        <w:t>;</w:t>
      </w:r>
      <w:r w:rsidR="00EC5D4A">
        <w:rPr>
          <w:rFonts w:ascii="Arial" w:hAnsi="Arial" w:cs="Arial"/>
          <w:sz w:val="24"/>
          <w:szCs w:val="24"/>
          <w:lang w:val="en-US"/>
        </w:rPr>
        <w:t xml:space="preserve"> Jae Il Shin, MD-PhD</w:t>
      </w:r>
      <w:r w:rsidR="00CD270E">
        <w:rPr>
          <w:rFonts w:ascii="Arial" w:hAnsi="Arial" w:cs="Arial"/>
          <w:sz w:val="24"/>
          <w:szCs w:val="24"/>
          <w:lang w:val="en-US"/>
        </w:rPr>
        <w:t xml:space="preserve"> (ORCID: </w:t>
      </w:r>
      <w:r w:rsidR="00CD270E" w:rsidRPr="00CD270E">
        <w:rPr>
          <w:rFonts w:ascii="Arial" w:hAnsi="Arial" w:cs="Arial"/>
          <w:sz w:val="24"/>
          <w:szCs w:val="24"/>
          <w:lang w:val="en-US"/>
        </w:rPr>
        <w:t>0000-0003-2326-1820</w:t>
      </w:r>
      <w:r w:rsidR="00CD270E">
        <w:rPr>
          <w:rFonts w:ascii="Arial" w:hAnsi="Arial" w:cs="Arial"/>
          <w:sz w:val="24"/>
          <w:szCs w:val="24"/>
          <w:lang w:val="en-US"/>
        </w:rPr>
        <w:t>)</w:t>
      </w:r>
      <w:r w:rsidR="00F442B6">
        <w:rPr>
          <w:rFonts w:ascii="Arial" w:hAnsi="Arial" w:cs="Arial"/>
          <w:sz w:val="24"/>
          <w:szCs w:val="24"/>
          <w:vertAlign w:val="superscript"/>
          <w:lang w:val="en-US"/>
        </w:rPr>
        <w:t>7</w:t>
      </w:r>
      <w:r w:rsidR="00370039">
        <w:rPr>
          <w:rFonts w:ascii="Arial" w:hAnsi="Arial" w:cs="Arial"/>
          <w:sz w:val="24"/>
          <w:szCs w:val="24"/>
          <w:lang w:val="en-US"/>
        </w:rPr>
        <w:t>;</w:t>
      </w:r>
      <w:r w:rsidR="00EC5D4A">
        <w:rPr>
          <w:rFonts w:ascii="Arial" w:hAnsi="Arial" w:cs="Arial"/>
          <w:sz w:val="24"/>
          <w:szCs w:val="24"/>
          <w:lang w:val="en-US"/>
        </w:rPr>
        <w:t xml:space="preserve"> </w:t>
      </w:r>
      <w:r w:rsidRPr="00CC1992">
        <w:rPr>
          <w:rFonts w:ascii="Arial" w:hAnsi="Arial" w:cs="Arial"/>
          <w:sz w:val="24"/>
          <w:szCs w:val="24"/>
          <w:lang w:val="en-US"/>
        </w:rPr>
        <w:t xml:space="preserve">Karel </w:t>
      </w:r>
      <w:proofErr w:type="spellStart"/>
      <w:r w:rsidRPr="00CC1992">
        <w:rPr>
          <w:rFonts w:ascii="Arial" w:hAnsi="Arial" w:cs="Arial"/>
          <w:sz w:val="24"/>
          <w:szCs w:val="24"/>
          <w:lang w:val="en-US"/>
        </w:rPr>
        <w:t>Kostev</w:t>
      </w:r>
      <w:proofErr w:type="spellEnd"/>
      <w:r w:rsidRPr="00CC1992">
        <w:rPr>
          <w:rFonts w:ascii="Arial" w:hAnsi="Arial" w:cs="Arial"/>
          <w:sz w:val="24"/>
          <w:szCs w:val="24"/>
          <w:lang w:val="en-US"/>
        </w:rPr>
        <w:t>, PhD (ORCID: 0000-0002-2124-7227)</w:t>
      </w:r>
      <w:r w:rsidR="00F442B6">
        <w:rPr>
          <w:rFonts w:ascii="Arial" w:hAnsi="Arial" w:cs="Arial"/>
          <w:sz w:val="24"/>
          <w:szCs w:val="24"/>
          <w:vertAlign w:val="superscript"/>
          <w:lang w:val="en-US"/>
        </w:rPr>
        <w:t>8</w:t>
      </w:r>
    </w:p>
    <w:p w14:paraId="39FF12BF" w14:textId="77777777" w:rsidR="00C83F50" w:rsidRPr="00CC1992" w:rsidRDefault="00C83F50" w:rsidP="00CA71DD">
      <w:pPr>
        <w:spacing w:line="480" w:lineRule="auto"/>
        <w:jc w:val="both"/>
        <w:rPr>
          <w:rFonts w:ascii="Arial" w:hAnsi="Arial" w:cs="Arial"/>
          <w:sz w:val="24"/>
          <w:szCs w:val="24"/>
          <w:lang w:val="en-US"/>
        </w:rPr>
      </w:pPr>
    </w:p>
    <w:p w14:paraId="097F0900" w14:textId="6C2B9407" w:rsidR="00C83F50" w:rsidRPr="00CC1992" w:rsidRDefault="002E6011" w:rsidP="00CA71DD">
      <w:pPr>
        <w:spacing w:line="480" w:lineRule="auto"/>
        <w:jc w:val="both"/>
        <w:rPr>
          <w:rFonts w:ascii="Arial" w:hAnsi="Arial" w:cs="Arial"/>
          <w:sz w:val="24"/>
          <w:szCs w:val="24"/>
        </w:rPr>
      </w:pPr>
      <w:r>
        <w:rPr>
          <w:rFonts w:ascii="Arial" w:hAnsi="Arial" w:cs="Arial"/>
          <w:sz w:val="24"/>
          <w:szCs w:val="24"/>
          <w:vertAlign w:val="superscript"/>
        </w:rPr>
        <w:t>1</w:t>
      </w:r>
      <w:r w:rsidR="00C83F50" w:rsidRPr="00CC1992">
        <w:rPr>
          <w:rFonts w:ascii="Arial" w:hAnsi="Arial" w:cs="Arial"/>
          <w:sz w:val="24"/>
          <w:szCs w:val="24"/>
        </w:rPr>
        <w:t xml:space="preserve"> Research and </w:t>
      </w:r>
      <w:proofErr w:type="spellStart"/>
      <w:r w:rsidR="00C83F50" w:rsidRPr="00CC1992">
        <w:rPr>
          <w:rFonts w:ascii="Arial" w:hAnsi="Arial" w:cs="Arial"/>
          <w:sz w:val="24"/>
          <w:szCs w:val="24"/>
        </w:rPr>
        <w:t>Development</w:t>
      </w:r>
      <w:proofErr w:type="spellEnd"/>
      <w:r w:rsidR="00C83F50" w:rsidRPr="00CC1992">
        <w:rPr>
          <w:rFonts w:ascii="Arial" w:hAnsi="Arial" w:cs="Arial"/>
          <w:sz w:val="24"/>
          <w:szCs w:val="24"/>
        </w:rPr>
        <w:t xml:space="preserve"> Unit, Parc </w:t>
      </w:r>
      <w:proofErr w:type="spellStart"/>
      <w:r w:rsidR="00C83F50" w:rsidRPr="00CC1992">
        <w:rPr>
          <w:rFonts w:ascii="Arial" w:hAnsi="Arial" w:cs="Arial"/>
          <w:sz w:val="24"/>
          <w:szCs w:val="24"/>
        </w:rPr>
        <w:t>Sanitari</w:t>
      </w:r>
      <w:proofErr w:type="spellEnd"/>
      <w:r w:rsidR="00C83F50" w:rsidRPr="00CC1992">
        <w:rPr>
          <w:rFonts w:ascii="Arial" w:hAnsi="Arial" w:cs="Arial"/>
          <w:sz w:val="24"/>
          <w:szCs w:val="24"/>
        </w:rPr>
        <w:t xml:space="preserve"> Sant Joan de </w:t>
      </w:r>
      <w:proofErr w:type="spellStart"/>
      <w:r w:rsidR="00C83F50" w:rsidRPr="00CC1992">
        <w:rPr>
          <w:rFonts w:ascii="Arial" w:hAnsi="Arial" w:cs="Arial"/>
          <w:sz w:val="24"/>
          <w:szCs w:val="24"/>
        </w:rPr>
        <w:t>Déu</w:t>
      </w:r>
      <w:proofErr w:type="spellEnd"/>
      <w:r w:rsidR="00C83F50" w:rsidRPr="00CC1992">
        <w:rPr>
          <w:rFonts w:ascii="Arial" w:hAnsi="Arial" w:cs="Arial"/>
          <w:sz w:val="24"/>
          <w:szCs w:val="24"/>
        </w:rPr>
        <w:t xml:space="preserve">, Dr. Antoni </w:t>
      </w:r>
      <w:proofErr w:type="spellStart"/>
      <w:r w:rsidR="00C83F50" w:rsidRPr="00CC1992">
        <w:rPr>
          <w:rFonts w:ascii="Arial" w:hAnsi="Arial" w:cs="Arial"/>
          <w:sz w:val="24"/>
          <w:szCs w:val="24"/>
        </w:rPr>
        <w:t>Pujadas</w:t>
      </w:r>
      <w:proofErr w:type="spellEnd"/>
      <w:r w:rsidR="00C83F50" w:rsidRPr="00CC1992">
        <w:rPr>
          <w:rFonts w:ascii="Arial" w:hAnsi="Arial" w:cs="Arial"/>
          <w:sz w:val="24"/>
          <w:szCs w:val="24"/>
        </w:rPr>
        <w:t xml:space="preserve">, 42, Sant </w:t>
      </w:r>
      <w:proofErr w:type="spellStart"/>
      <w:r w:rsidR="00C83F50" w:rsidRPr="00CC1992">
        <w:rPr>
          <w:rFonts w:ascii="Arial" w:hAnsi="Arial" w:cs="Arial"/>
          <w:sz w:val="24"/>
          <w:szCs w:val="24"/>
        </w:rPr>
        <w:t>Boi</w:t>
      </w:r>
      <w:proofErr w:type="spellEnd"/>
      <w:r w:rsidR="00C83F50" w:rsidRPr="00CC1992">
        <w:rPr>
          <w:rFonts w:ascii="Arial" w:hAnsi="Arial" w:cs="Arial"/>
          <w:sz w:val="24"/>
          <w:szCs w:val="24"/>
        </w:rPr>
        <w:t xml:space="preserve"> de Llobregat, Barcelona, Spain</w:t>
      </w:r>
    </w:p>
    <w:p w14:paraId="6988FB3F" w14:textId="0B870123" w:rsidR="00C83F50" w:rsidRPr="00CC1992" w:rsidRDefault="002E6011" w:rsidP="00CA71DD">
      <w:pPr>
        <w:spacing w:line="480" w:lineRule="auto"/>
        <w:jc w:val="both"/>
        <w:rPr>
          <w:rFonts w:ascii="Arial" w:hAnsi="Arial" w:cs="Arial"/>
          <w:sz w:val="24"/>
          <w:szCs w:val="24"/>
        </w:rPr>
      </w:pPr>
      <w:r>
        <w:rPr>
          <w:rFonts w:ascii="Arial" w:hAnsi="Arial" w:cs="Arial"/>
          <w:sz w:val="24"/>
          <w:szCs w:val="24"/>
          <w:vertAlign w:val="superscript"/>
        </w:rPr>
        <w:t>2</w:t>
      </w:r>
      <w:r w:rsidR="00C83F50" w:rsidRPr="00CC1992">
        <w:rPr>
          <w:rFonts w:ascii="Arial" w:hAnsi="Arial" w:cs="Arial"/>
          <w:sz w:val="24"/>
          <w:szCs w:val="24"/>
        </w:rPr>
        <w:t xml:space="preserve"> Centro de </w:t>
      </w:r>
      <w:proofErr w:type="spellStart"/>
      <w:r w:rsidR="00C83F50" w:rsidRPr="00CC1992">
        <w:rPr>
          <w:rFonts w:ascii="Arial" w:hAnsi="Arial" w:cs="Arial"/>
          <w:sz w:val="24"/>
          <w:szCs w:val="24"/>
        </w:rPr>
        <w:t>Investigación</w:t>
      </w:r>
      <w:proofErr w:type="spellEnd"/>
      <w:r w:rsidR="00C83F50" w:rsidRPr="00CC1992">
        <w:rPr>
          <w:rFonts w:ascii="Arial" w:hAnsi="Arial" w:cs="Arial"/>
          <w:sz w:val="24"/>
          <w:szCs w:val="24"/>
        </w:rPr>
        <w:t xml:space="preserve"> </w:t>
      </w:r>
      <w:proofErr w:type="spellStart"/>
      <w:r w:rsidR="00C83F50" w:rsidRPr="00CC1992">
        <w:rPr>
          <w:rFonts w:ascii="Arial" w:hAnsi="Arial" w:cs="Arial"/>
          <w:sz w:val="24"/>
          <w:szCs w:val="24"/>
        </w:rPr>
        <w:t>Biomédica</w:t>
      </w:r>
      <w:proofErr w:type="spellEnd"/>
      <w:r w:rsidR="00C83F50" w:rsidRPr="00CC1992">
        <w:rPr>
          <w:rFonts w:ascii="Arial" w:hAnsi="Arial" w:cs="Arial"/>
          <w:sz w:val="24"/>
          <w:szCs w:val="24"/>
        </w:rPr>
        <w:t xml:space="preserve"> en Red de </w:t>
      </w:r>
      <w:proofErr w:type="spellStart"/>
      <w:r w:rsidR="00C83F50" w:rsidRPr="00CC1992">
        <w:rPr>
          <w:rFonts w:ascii="Arial" w:hAnsi="Arial" w:cs="Arial"/>
          <w:sz w:val="24"/>
          <w:szCs w:val="24"/>
        </w:rPr>
        <w:t>Salud</w:t>
      </w:r>
      <w:proofErr w:type="spellEnd"/>
      <w:r w:rsidR="00C83F50" w:rsidRPr="00CC1992">
        <w:rPr>
          <w:rFonts w:ascii="Arial" w:hAnsi="Arial" w:cs="Arial"/>
          <w:sz w:val="24"/>
          <w:szCs w:val="24"/>
        </w:rPr>
        <w:t xml:space="preserve"> Mental (CIBERSAM), Madrid, Spain</w:t>
      </w:r>
    </w:p>
    <w:p w14:paraId="471B8D35" w14:textId="133BF139" w:rsidR="00C83F50" w:rsidRDefault="002E6011" w:rsidP="004D54E9">
      <w:pPr>
        <w:spacing w:line="480" w:lineRule="auto"/>
        <w:jc w:val="both"/>
        <w:rPr>
          <w:rFonts w:ascii="Arial" w:hAnsi="Arial" w:cs="Arial"/>
          <w:sz w:val="24"/>
          <w:szCs w:val="24"/>
        </w:rPr>
      </w:pPr>
      <w:r>
        <w:rPr>
          <w:rFonts w:ascii="Arial" w:hAnsi="Arial" w:cs="Arial"/>
          <w:sz w:val="24"/>
          <w:szCs w:val="24"/>
          <w:vertAlign w:val="superscript"/>
        </w:rPr>
        <w:t>3</w:t>
      </w:r>
      <w:r w:rsidR="00C83F50" w:rsidRPr="00CC1992">
        <w:rPr>
          <w:rFonts w:ascii="Arial" w:hAnsi="Arial" w:cs="Arial"/>
          <w:sz w:val="24"/>
          <w:szCs w:val="24"/>
        </w:rPr>
        <w:t xml:space="preserve"> </w:t>
      </w:r>
      <w:proofErr w:type="spellStart"/>
      <w:r w:rsidR="00C83F50" w:rsidRPr="00CC1992">
        <w:rPr>
          <w:rFonts w:ascii="Arial" w:hAnsi="Arial" w:cs="Arial"/>
          <w:sz w:val="24"/>
          <w:szCs w:val="24"/>
        </w:rPr>
        <w:t>Faculty</w:t>
      </w:r>
      <w:proofErr w:type="spellEnd"/>
      <w:r w:rsidR="00C83F50" w:rsidRPr="00CC1992">
        <w:rPr>
          <w:rFonts w:ascii="Arial" w:hAnsi="Arial" w:cs="Arial"/>
          <w:sz w:val="24"/>
          <w:szCs w:val="24"/>
        </w:rPr>
        <w:t xml:space="preserve"> of </w:t>
      </w:r>
      <w:proofErr w:type="spellStart"/>
      <w:r w:rsidR="00C83F50" w:rsidRPr="00CC1992">
        <w:rPr>
          <w:rFonts w:ascii="Arial" w:hAnsi="Arial" w:cs="Arial"/>
          <w:sz w:val="24"/>
          <w:szCs w:val="24"/>
        </w:rPr>
        <w:t>Medicine</w:t>
      </w:r>
      <w:proofErr w:type="spellEnd"/>
      <w:r w:rsidR="00C83F50" w:rsidRPr="00CC1992">
        <w:rPr>
          <w:rFonts w:ascii="Arial" w:hAnsi="Arial" w:cs="Arial"/>
          <w:sz w:val="24"/>
          <w:szCs w:val="24"/>
        </w:rPr>
        <w:t xml:space="preserve">, </w:t>
      </w:r>
      <w:proofErr w:type="spellStart"/>
      <w:r w:rsidR="00C83F50" w:rsidRPr="00CC1992">
        <w:rPr>
          <w:rFonts w:ascii="Arial" w:hAnsi="Arial" w:cs="Arial"/>
          <w:sz w:val="24"/>
          <w:szCs w:val="24"/>
        </w:rPr>
        <w:t>University</w:t>
      </w:r>
      <w:proofErr w:type="spellEnd"/>
      <w:r w:rsidR="00C83F50" w:rsidRPr="00CC1992">
        <w:rPr>
          <w:rFonts w:ascii="Arial" w:hAnsi="Arial" w:cs="Arial"/>
          <w:sz w:val="24"/>
          <w:szCs w:val="24"/>
        </w:rPr>
        <w:t xml:space="preserve"> of Versailles Saint-Quentin-en-Yvelines, Montigny-le-Bretonneux, </w:t>
      </w:r>
      <w:r w:rsidR="00E91D35">
        <w:rPr>
          <w:rFonts w:ascii="Arial" w:hAnsi="Arial" w:cs="Arial"/>
          <w:sz w:val="24"/>
          <w:szCs w:val="24"/>
        </w:rPr>
        <w:t>France</w:t>
      </w:r>
    </w:p>
    <w:p w14:paraId="3FD68186" w14:textId="46AE5133" w:rsidR="00E91D35" w:rsidRPr="004561D7" w:rsidRDefault="002E6011" w:rsidP="004D54E9">
      <w:pPr>
        <w:spacing w:line="480" w:lineRule="auto"/>
        <w:jc w:val="both"/>
        <w:rPr>
          <w:rFonts w:ascii="Arial" w:hAnsi="Arial" w:cs="Arial"/>
          <w:sz w:val="24"/>
          <w:szCs w:val="24"/>
          <w:lang w:val="en-US"/>
        </w:rPr>
      </w:pPr>
      <w:r>
        <w:rPr>
          <w:rFonts w:ascii="Arial" w:hAnsi="Arial" w:cs="Arial"/>
          <w:sz w:val="24"/>
          <w:szCs w:val="24"/>
          <w:vertAlign w:val="superscript"/>
          <w:lang w:val="en-US"/>
        </w:rPr>
        <w:t>4</w:t>
      </w:r>
      <w:r w:rsidR="00A574A0" w:rsidRPr="004561D7">
        <w:rPr>
          <w:rFonts w:ascii="Arial" w:hAnsi="Arial" w:cs="Arial"/>
          <w:sz w:val="24"/>
          <w:szCs w:val="24"/>
          <w:lang w:val="en-US"/>
        </w:rPr>
        <w:t xml:space="preserve"> Centre for Health, Performance and Wellbeing, Anglia Ruskin University, Cambridge, UK</w:t>
      </w:r>
    </w:p>
    <w:p w14:paraId="3773EA7A" w14:textId="19E5DE1A" w:rsidR="001B586B" w:rsidRPr="004561D7" w:rsidRDefault="002E6011" w:rsidP="004D54E9">
      <w:pPr>
        <w:spacing w:line="480" w:lineRule="auto"/>
        <w:jc w:val="both"/>
        <w:rPr>
          <w:rFonts w:ascii="Arial" w:hAnsi="Arial" w:cs="Arial"/>
          <w:sz w:val="24"/>
          <w:szCs w:val="24"/>
          <w:lang w:val="en-US"/>
        </w:rPr>
      </w:pPr>
      <w:r>
        <w:rPr>
          <w:rFonts w:ascii="Arial" w:hAnsi="Arial" w:cs="Arial"/>
          <w:sz w:val="24"/>
          <w:szCs w:val="24"/>
          <w:vertAlign w:val="superscript"/>
        </w:rPr>
        <w:t>5</w:t>
      </w:r>
      <w:r w:rsidR="001B586B">
        <w:rPr>
          <w:rFonts w:ascii="Arial" w:hAnsi="Arial" w:cs="Arial"/>
          <w:sz w:val="24"/>
          <w:szCs w:val="24"/>
        </w:rPr>
        <w:t xml:space="preserve"> </w:t>
      </w:r>
      <w:proofErr w:type="spellStart"/>
      <w:r w:rsidR="001B586B" w:rsidRPr="001B586B">
        <w:rPr>
          <w:rFonts w:ascii="Arial" w:hAnsi="Arial" w:cs="Arial"/>
          <w:sz w:val="24"/>
          <w:szCs w:val="24"/>
        </w:rPr>
        <w:t>Institució</w:t>
      </w:r>
      <w:proofErr w:type="spellEnd"/>
      <w:r w:rsidR="001B586B" w:rsidRPr="001B586B">
        <w:rPr>
          <w:rFonts w:ascii="Arial" w:hAnsi="Arial" w:cs="Arial"/>
          <w:sz w:val="24"/>
          <w:szCs w:val="24"/>
        </w:rPr>
        <w:t xml:space="preserve"> </w:t>
      </w:r>
      <w:proofErr w:type="spellStart"/>
      <w:r w:rsidR="001B586B" w:rsidRPr="001B586B">
        <w:rPr>
          <w:rFonts w:ascii="Arial" w:hAnsi="Arial" w:cs="Arial"/>
          <w:sz w:val="24"/>
          <w:szCs w:val="24"/>
        </w:rPr>
        <w:t>Catalana</w:t>
      </w:r>
      <w:proofErr w:type="spellEnd"/>
      <w:r w:rsidR="001B586B" w:rsidRPr="001B586B">
        <w:rPr>
          <w:rFonts w:ascii="Arial" w:hAnsi="Arial" w:cs="Arial"/>
          <w:sz w:val="24"/>
          <w:szCs w:val="24"/>
        </w:rPr>
        <w:t xml:space="preserve"> de </w:t>
      </w:r>
      <w:proofErr w:type="spellStart"/>
      <w:r w:rsidR="001B586B" w:rsidRPr="001B586B">
        <w:rPr>
          <w:rFonts w:ascii="Arial" w:hAnsi="Arial" w:cs="Arial"/>
          <w:sz w:val="24"/>
          <w:szCs w:val="24"/>
        </w:rPr>
        <w:t>Recerca</w:t>
      </w:r>
      <w:proofErr w:type="spellEnd"/>
      <w:r w:rsidR="001B586B" w:rsidRPr="001B586B">
        <w:rPr>
          <w:rFonts w:ascii="Arial" w:hAnsi="Arial" w:cs="Arial"/>
          <w:sz w:val="24"/>
          <w:szCs w:val="24"/>
        </w:rPr>
        <w:t xml:space="preserve"> i </w:t>
      </w:r>
      <w:proofErr w:type="spellStart"/>
      <w:r w:rsidR="001B586B" w:rsidRPr="001B586B">
        <w:rPr>
          <w:rFonts w:ascii="Arial" w:hAnsi="Arial" w:cs="Arial"/>
          <w:sz w:val="24"/>
          <w:szCs w:val="24"/>
        </w:rPr>
        <w:t>Estudis</w:t>
      </w:r>
      <w:proofErr w:type="spellEnd"/>
      <w:r w:rsidR="001B586B" w:rsidRPr="001B586B">
        <w:rPr>
          <w:rFonts w:ascii="Arial" w:hAnsi="Arial" w:cs="Arial"/>
          <w:sz w:val="24"/>
          <w:szCs w:val="24"/>
        </w:rPr>
        <w:t xml:space="preserve"> </w:t>
      </w:r>
      <w:proofErr w:type="spellStart"/>
      <w:r w:rsidR="001B586B" w:rsidRPr="001B586B">
        <w:rPr>
          <w:rFonts w:ascii="Arial" w:hAnsi="Arial" w:cs="Arial"/>
          <w:sz w:val="24"/>
          <w:szCs w:val="24"/>
        </w:rPr>
        <w:t>Avançats</w:t>
      </w:r>
      <w:proofErr w:type="spellEnd"/>
      <w:r w:rsidR="001B586B" w:rsidRPr="001B586B">
        <w:rPr>
          <w:rFonts w:ascii="Arial" w:hAnsi="Arial" w:cs="Arial"/>
          <w:sz w:val="24"/>
          <w:szCs w:val="24"/>
        </w:rPr>
        <w:t xml:space="preserve"> (ICREA), </w:t>
      </w:r>
      <w:proofErr w:type="spellStart"/>
      <w:r w:rsidR="001B586B" w:rsidRPr="001B586B">
        <w:rPr>
          <w:rFonts w:ascii="Arial" w:hAnsi="Arial" w:cs="Arial"/>
          <w:sz w:val="24"/>
          <w:szCs w:val="24"/>
        </w:rPr>
        <w:t>Pg</w:t>
      </w:r>
      <w:proofErr w:type="spellEnd"/>
      <w:r w:rsidR="001B586B" w:rsidRPr="001B586B">
        <w:rPr>
          <w:rFonts w:ascii="Arial" w:hAnsi="Arial" w:cs="Arial"/>
          <w:sz w:val="24"/>
          <w:szCs w:val="24"/>
        </w:rPr>
        <w:t xml:space="preserve">. </w:t>
      </w:r>
      <w:proofErr w:type="spellStart"/>
      <w:r w:rsidR="001B586B" w:rsidRPr="004561D7">
        <w:rPr>
          <w:rFonts w:ascii="Arial" w:hAnsi="Arial" w:cs="Arial"/>
          <w:sz w:val="24"/>
          <w:szCs w:val="24"/>
          <w:lang w:val="en-US"/>
        </w:rPr>
        <w:t>Lluis</w:t>
      </w:r>
      <w:proofErr w:type="spellEnd"/>
      <w:r w:rsidR="001B586B" w:rsidRPr="004561D7">
        <w:rPr>
          <w:rFonts w:ascii="Arial" w:hAnsi="Arial" w:cs="Arial"/>
          <w:sz w:val="24"/>
          <w:szCs w:val="24"/>
          <w:lang w:val="en-US"/>
        </w:rPr>
        <w:t xml:space="preserve"> </w:t>
      </w:r>
      <w:proofErr w:type="spellStart"/>
      <w:r w:rsidR="001B586B" w:rsidRPr="004561D7">
        <w:rPr>
          <w:rFonts w:ascii="Arial" w:hAnsi="Arial" w:cs="Arial"/>
          <w:sz w:val="24"/>
          <w:szCs w:val="24"/>
          <w:lang w:val="en-US"/>
        </w:rPr>
        <w:t>Companys</w:t>
      </w:r>
      <w:proofErr w:type="spellEnd"/>
      <w:r w:rsidR="001B586B" w:rsidRPr="004561D7">
        <w:rPr>
          <w:rFonts w:ascii="Arial" w:hAnsi="Arial" w:cs="Arial"/>
          <w:sz w:val="24"/>
          <w:szCs w:val="24"/>
          <w:lang w:val="en-US"/>
        </w:rPr>
        <w:t xml:space="preserve"> 23, Barcelona, Spain</w:t>
      </w:r>
    </w:p>
    <w:p w14:paraId="5F6849B8" w14:textId="1505DFF1" w:rsidR="003F0F92" w:rsidRPr="004561D7" w:rsidRDefault="002E6011" w:rsidP="00CA71DD">
      <w:pPr>
        <w:spacing w:line="480" w:lineRule="auto"/>
        <w:jc w:val="both"/>
        <w:rPr>
          <w:rFonts w:ascii="Arial" w:hAnsi="Arial" w:cs="Arial"/>
          <w:sz w:val="24"/>
          <w:szCs w:val="24"/>
          <w:lang w:val="en-US"/>
        </w:rPr>
      </w:pPr>
      <w:r>
        <w:rPr>
          <w:rFonts w:ascii="Arial" w:hAnsi="Arial" w:cs="Arial"/>
          <w:sz w:val="24"/>
          <w:szCs w:val="24"/>
          <w:vertAlign w:val="superscript"/>
          <w:lang w:val="en-US"/>
        </w:rPr>
        <w:t>6</w:t>
      </w:r>
      <w:r w:rsidR="00227D0F" w:rsidRPr="004561D7">
        <w:rPr>
          <w:rFonts w:ascii="Arial" w:hAnsi="Arial" w:cs="Arial"/>
          <w:sz w:val="24"/>
          <w:szCs w:val="24"/>
          <w:lang w:val="en-US"/>
        </w:rPr>
        <w:t xml:space="preserve"> </w:t>
      </w:r>
      <w:r w:rsidR="00EA5C93" w:rsidRPr="004561D7">
        <w:rPr>
          <w:rFonts w:ascii="Arial" w:hAnsi="Arial" w:cs="Arial"/>
          <w:sz w:val="24"/>
          <w:szCs w:val="24"/>
          <w:lang w:val="en-US"/>
        </w:rPr>
        <w:t xml:space="preserve">Université de Paris, </w:t>
      </w:r>
      <w:proofErr w:type="spellStart"/>
      <w:r w:rsidR="00EA5C93" w:rsidRPr="004561D7">
        <w:rPr>
          <w:rFonts w:ascii="Arial" w:hAnsi="Arial" w:cs="Arial"/>
          <w:sz w:val="24"/>
          <w:szCs w:val="24"/>
          <w:lang w:val="en-US"/>
        </w:rPr>
        <w:t>Inserm</w:t>
      </w:r>
      <w:proofErr w:type="spellEnd"/>
      <w:r w:rsidR="00EA5C93" w:rsidRPr="004561D7">
        <w:rPr>
          <w:rFonts w:ascii="Arial" w:hAnsi="Arial" w:cs="Arial"/>
          <w:sz w:val="24"/>
          <w:szCs w:val="24"/>
          <w:lang w:val="en-US"/>
        </w:rPr>
        <w:t xml:space="preserve"> U1153, Epidemiology of Ageing and Neurodegenerative Diseases, Paris, </w:t>
      </w:r>
      <w:r w:rsidR="003F0F92" w:rsidRPr="004561D7">
        <w:rPr>
          <w:rFonts w:ascii="Arial" w:hAnsi="Arial" w:cs="Arial"/>
          <w:sz w:val="24"/>
          <w:szCs w:val="24"/>
          <w:lang w:val="en-US"/>
        </w:rPr>
        <w:t>France</w:t>
      </w:r>
    </w:p>
    <w:p w14:paraId="4F770AFB" w14:textId="73F4D7DE" w:rsidR="00FF2BA0" w:rsidRPr="0034796F" w:rsidRDefault="002E6011" w:rsidP="00CA71DD">
      <w:pPr>
        <w:spacing w:line="480" w:lineRule="auto"/>
        <w:jc w:val="both"/>
        <w:rPr>
          <w:rFonts w:ascii="Arial" w:eastAsia="Times New Roman" w:hAnsi="Arial" w:cs="Arial"/>
          <w:color w:val="000000" w:themeColor="text1"/>
          <w:sz w:val="24"/>
          <w:szCs w:val="24"/>
          <w:lang w:val="en-US" w:eastAsia="de-DE"/>
        </w:rPr>
      </w:pPr>
      <w:r>
        <w:rPr>
          <w:rFonts w:ascii="Arial" w:eastAsia="Times New Roman" w:hAnsi="Arial" w:cs="Arial"/>
          <w:color w:val="000000" w:themeColor="text1"/>
          <w:sz w:val="24"/>
          <w:szCs w:val="24"/>
          <w:vertAlign w:val="superscript"/>
          <w:lang w:val="en-US" w:eastAsia="de-DE"/>
        </w:rPr>
        <w:t>7</w:t>
      </w:r>
      <w:r w:rsidR="0034796F">
        <w:rPr>
          <w:rFonts w:ascii="Arial" w:eastAsia="Times New Roman" w:hAnsi="Arial" w:cs="Arial"/>
          <w:color w:val="000000" w:themeColor="text1"/>
          <w:sz w:val="24"/>
          <w:szCs w:val="24"/>
          <w:lang w:val="en-US" w:eastAsia="de-DE"/>
        </w:rPr>
        <w:t xml:space="preserve"> </w:t>
      </w:r>
      <w:r w:rsidR="0034796F" w:rsidRPr="0034796F">
        <w:rPr>
          <w:rFonts w:ascii="Arial" w:eastAsia="Times New Roman" w:hAnsi="Arial" w:cs="Arial"/>
          <w:color w:val="000000" w:themeColor="text1"/>
          <w:sz w:val="24"/>
          <w:szCs w:val="24"/>
          <w:lang w:val="en-US" w:eastAsia="de-DE"/>
        </w:rPr>
        <w:t>Department of Pediatrics, Yonsei University College of Medicine, Seoul, Republic of Korea</w:t>
      </w:r>
    </w:p>
    <w:p w14:paraId="0705049F" w14:textId="1D6377E1" w:rsidR="00C83F50" w:rsidRDefault="002E6011" w:rsidP="00CA71DD">
      <w:pPr>
        <w:spacing w:line="480" w:lineRule="auto"/>
        <w:jc w:val="both"/>
        <w:rPr>
          <w:rFonts w:ascii="Arial" w:eastAsia="Times New Roman" w:hAnsi="Arial" w:cs="Arial"/>
          <w:color w:val="000000" w:themeColor="text1"/>
          <w:sz w:val="24"/>
          <w:szCs w:val="24"/>
          <w:lang w:val="en-US" w:eastAsia="de-DE"/>
        </w:rPr>
      </w:pPr>
      <w:r>
        <w:rPr>
          <w:rFonts w:ascii="Arial" w:eastAsia="Times New Roman" w:hAnsi="Arial" w:cs="Arial"/>
          <w:color w:val="000000" w:themeColor="text1"/>
          <w:sz w:val="24"/>
          <w:szCs w:val="24"/>
          <w:vertAlign w:val="superscript"/>
          <w:lang w:val="en-US" w:eastAsia="de-DE"/>
        </w:rPr>
        <w:t>8</w:t>
      </w:r>
      <w:r w:rsidR="00C83F50" w:rsidRPr="00CC1992">
        <w:rPr>
          <w:rFonts w:ascii="Arial" w:eastAsia="Times New Roman" w:hAnsi="Arial" w:cs="Arial"/>
          <w:color w:val="000000" w:themeColor="text1"/>
          <w:sz w:val="24"/>
          <w:szCs w:val="24"/>
          <w:lang w:val="en-US" w:eastAsia="de-DE"/>
        </w:rPr>
        <w:t xml:space="preserve"> Epidemiology, IQVIA, Frankfurt, Germany</w:t>
      </w:r>
    </w:p>
    <w:p w14:paraId="0BFAB714" w14:textId="2C4E208E" w:rsidR="008424F6" w:rsidRDefault="008424F6" w:rsidP="00CA71DD">
      <w:pPr>
        <w:spacing w:line="480" w:lineRule="auto"/>
        <w:jc w:val="both"/>
        <w:rPr>
          <w:rFonts w:ascii="Arial" w:eastAsia="Times New Roman" w:hAnsi="Arial" w:cs="Arial"/>
          <w:color w:val="000000" w:themeColor="text1"/>
          <w:sz w:val="24"/>
          <w:szCs w:val="24"/>
          <w:lang w:val="en-US" w:eastAsia="de-DE"/>
        </w:rPr>
      </w:pPr>
    </w:p>
    <w:p w14:paraId="5D54F04C" w14:textId="77777777" w:rsidR="008424F6" w:rsidRPr="00CC1992" w:rsidRDefault="008424F6" w:rsidP="008424F6">
      <w:pPr>
        <w:spacing w:line="480" w:lineRule="auto"/>
        <w:rPr>
          <w:rFonts w:ascii="Arial" w:hAnsi="Arial" w:cs="Arial"/>
          <w:sz w:val="24"/>
          <w:szCs w:val="24"/>
          <w:lang w:val="en-US"/>
        </w:rPr>
      </w:pPr>
      <w:r w:rsidRPr="00CC1992">
        <w:rPr>
          <w:rFonts w:ascii="Arial" w:hAnsi="Arial" w:cs="Arial"/>
          <w:b/>
          <w:bCs/>
          <w:sz w:val="24"/>
          <w:szCs w:val="24"/>
          <w:lang w:val="en-US"/>
        </w:rPr>
        <w:lastRenderedPageBreak/>
        <w:t xml:space="preserve">Running title: </w:t>
      </w:r>
      <w:r w:rsidRPr="00CC1992">
        <w:rPr>
          <w:rFonts w:ascii="Arial" w:hAnsi="Arial" w:cs="Arial"/>
          <w:sz w:val="24"/>
          <w:szCs w:val="24"/>
          <w:lang w:val="en-US"/>
        </w:rPr>
        <w:t>Osteoarthritis and Parkinson’s disease</w:t>
      </w:r>
    </w:p>
    <w:p w14:paraId="668EFD7C" w14:textId="77777777" w:rsidR="00C83F50" w:rsidRPr="00CC1992" w:rsidRDefault="00C83F50" w:rsidP="00CA71DD">
      <w:pPr>
        <w:spacing w:line="480" w:lineRule="auto"/>
        <w:jc w:val="both"/>
        <w:rPr>
          <w:rFonts w:ascii="Arial" w:hAnsi="Arial" w:cs="Arial"/>
          <w:sz w:val="24"/>
          <w:szCs w:val="24"/>
          <w:lang w:val="en-US"/>
        </w:rPr>
      </w:pPr>
    </w:p>
    <w:p w14:paraId="169F60F4" w14:textId="77777777" w:rsidR="00C83F50" w:rsidRPr="00CC1992" w:rsidRDefault="00C83F50" w:rsidP="00CA71DD">
      <w:pPr>
        <w:spacing w:line="480" w:lineRule="auto"/>
        <w:jc w:val="both"/>
        <w:rPr>
          <w:rFonts w:ascii="Arial" w:eastAsia="Cambria" w:hAnsi="Arial" w:cs="Arial"/>
          <w:color w:val="000000" w:themeColor="text1"/>
          <w:sz w:val="24"/>
          <w:szCs w:val="24"/>
          <w:lang w:val="en-US"/>
        </w:rPr>
      </w:pPr>
      <w:r w:rsidRPr="00CC1992">
        <w:rPr>
          <w:rFonts w:ascii="Arial" w:hAnsi="Arial" w:cs="Arial"/>
          <w:b/>
          <w:iCs/>
          <w:color w:val="000000" w:themeColor="text1"/>
          <w:sz w:val="24"/>
          <w:szCs w:val="24"/>
          <w:lang w:val="en-US"/>
        </w:rPr>
        <w:t>Correspondence</w:t>
      </w:r>
      <w:r w:rsidRPr="00CC1992">
        <w:rPr>
          <w:rFonts w:ascii="Arial" w:hAnsi="Arial" w:cs="Arial"/>
          <w:color w:val="000000" w:themeColor="text1"/>
          <w:sz w:val="24"/>
          <w:szCs w:val="24"/>
          <w:lang w:val="en-US"/>
        </w:rPr>
        <w:t>:</w:t>
      </w:r>
    </w:p>
    <w:p w14:paraId="7B57417C" w14:textId="77777777" w:rsidR="00C83F50" w:rsidRPr="007408A1" w:rsidRDefault="00C83F50" w:rsidP="00CA71DD">
      <w:pPr>
        <w:spacing w:line="480" w:lineRule="auto"/>
        <w:jc w:val="both"/>
        <w:rPr>
          <w:rFonts w:ascii="Arial" w:hAnsi="Arial" w:cs="Arial"/>
          <w:bCs/>
          <w:noProof/>
          <w:color w:val="000000" w:themeColor="text1"/>
          <w:sz w:val="24"/>
          <w:szCs w:val="24"/>
          <w:lang w:val="de-DE"/>
        </w:rPr>
      </w:pPr>
      <w:r w:rsidRPr="00CC1992">
        <w:rPr>
          <w:rFonts w:ascii="Arial" w:hAnsi="Arial" w:cs="Arial"/>
          <w:bCs/>
          <w:noProof/>
          <w:color w:val="000000" w:themeColor="text1"/>
          <w:sz w:val="24"/>
          <w:szCs w:val="24"/>
          <w:lang w:val="en-US"/>
        </w:rPr>
        <w:t xml:space="preserve">Prof. Dr. rer. med. </w:t>
      </w:r>
      <w:r w:rsidRPr="007408A1">
        <w:rPr>
          <w:rFonts w:ascii="Arial" w:hAnsi="Arial" w:cs="Arial"/>
          <w:bCs/>
          <w:noProof/>
          <w:color w:val="000000" w:themeColor="text1"/>
          <w:sz w:val="24"/>
          <w:szCs w:val="24"/>
          <w:lang w:val="de-DE"/>
        </w:rPr>
        <w:t>Karel Kostev</w:t>
      </w:r>
    </w:p>
    <w:p w14:paraId="5D7831E0" w14:textId="77777777" w:rsidR="00C83F50" w:rsidRPr="007408A1" w:rsidRDefault="00C83F50" w:rsidP="00CA71DD">
      <w:pPr>
        <w:spacing w:line="480" w:lineRule="auto"/>
        <w:jc w:val="both"/>
        <w:rPr>
          <w:rFonts w:ascii="Arial" w:hAnsi="Arial" w:cs="Arial"/>
          <w:noProof/>
          <w:color w:val="000000" w:themeColor="text1"/>
          <w:sz w:val="24"/>
          <w:szCs w:val="24"/>
          <w:lang w:val="de-DE"/>
        </w:rPr>
      </w:pPr>
      <w:r w:rsidRPr="007408A1">
        <w:rPr>
          <w:rFonts w:ascii="Arial" w:hAnsi="Arial" w:cs="Arial"/>
          <w:noProof/>
          <w:color w:val="000000" w:themeColor="text1"/>
          <w:sz w:val="24"/>
          <w:szCs w:val="24"/>
          <w:lang w:val="de-DE"/>
        </w:rPr>
        <w:t xml:space="preserve">Epidemiology </w:t>
      </w:r>
      <w:r w:rsidRPr="007408A1">
        <w:rPr>
          <w:rFonts w:ascii="Arial" w:hAnsi="Arial" w:cs="Arial"/>
          <w:bCs/>
          <w:noProof/>
          <w:color w:val="000000" w:themeColor="text1"/>
          <w:sz w:val="24"/>
          <w:szCs w:val="24"/>
          <w:lang w:val="de-DE"/>
        </w:rPr>
        <w:br/>
      </w:r>
      <w:r w:rsidRPr="007408A1">
        <w:rPr>
          <w:rFonts w:ascii="Arial" w:hAnsi="Arial" w:cs="Arial"/>
          <w:noProof/>
          <w:color w:val="000000" w:themeColor="text1"/>
          <w:sz w:val="24"/>
          <w:szCs w:val="24"/>
          <w:lang w:val="de-DE"/>
        </w:rPr>
        <w:t>IQVIA</w:t>
      </w:r>
    </w:p>
    <w:p w14:paraId="671E33B7" w14:textId="77777777" w:rsidR="00C83F50" w:rsidRPr="007408A1" w:rsidRDefault="00C83F50" w:rsidP="00CA71DD">
      <w:pPr>
        <w:spacing w:line="480" w:lineRule="auto"/>
        <w:jc w:val="both"/>
        <w:rPr>
          <w:rFonts w:ascii="Arial" w:hAnsi="Arial" w:cs="Arial"/>
          <w:noProof/>
          <w:color w:val="000000" w:themeColor="text1"/>
          <w:sz w:val="24"/>
          <w:szCs w:val="24"/>
          <w:lang w:val="de-DE"/>
        </w:rPr>
      </w:pPr>
      <w:r w:rsidRPr="007408A1">
        <w:rPr>
          <w:rFonts w:ascii="Arial" w:hAnsi="Arial" w:cs="Arial"/>
          <w:noProof/>
          <w:color w:val="000000" w:themeColor="text1"/>
          <w:sz w:val="24"/>
          <w:szCs w:val="24"/>
          <w:lang w:val="de-DE"/>
        </w:rPr>
        <w:t>Unterschweinstiege 2-14</w:t>
      </w:r>
    </w:p>
    <w:p w14:paraId="0CB2EF6A" w14:textId="77777777" w:rsidR="00C83F50" w:rsidRPr="00CC1992" w:rsidRDefault="00C83F50" w:rsidP="00CA71DD">
      <w:pPr>
        <w:spacing w:line="480" w:lineRule="auto"/>
        <w:jc w:val="both"/>
        <w:rPr>
          <w:rFonts w:ascii="Arial" w:hAnsi="Arial" w:cs="Arial"/>
          <w:noProof/>
          <w:color w:val="000000" w:themeColor="text1"/>
          <w:sz w:val="24"/>
          <w:szCs w:val="24"/>
          <w:lang w:val="en-US"/>
        </w:rPr>
      </w:pPr>
      <w:r w:rsidRPr="00CC1992">
        <w:rPr>
          <w:rFonts w:ascii="Arial" w:hAnsi="Arial" w:cs="Arial"/>
          <w:noProof/>
          <w:color w:val="000000" w:themeColor="text1"/>
          <w:sz w:val="24"/>
          <w:szCs w:val="24"/>
          <w:lang w:val="en-US"/>
        </w:rPr>
        <w:t>60549 Frankfurt am Main</w:t>
      </w:r>
    </w:p>
    <w:p w14:paraId="4797799E" w14:textId="77777777" w:rsidR="00C83F50" w:rsidRPr="00CC1992" w:rsidRDefault="00C83F50" w:rsidP="00CA71DD">
      <w:pPr>
        <w:spacing w:line="480" w:lineRule="auto"/>
        <w:jc w:val="both"/>
        <w:rPr>
          <w:rFonts w:ascii="Arial" w:hAnsi="Arial" w:cs="Arial"/>
          <w:noProof/>
          <w:color w:val="000000" w:themeColor="text1"/>
          <w:sz w:val="24"/>
          <w:szCs w:val="24"/>
          <w:lang w:val="en-US"/>
        </w:rPr>
      </w:pPr>
      <w:r w:rsidRPr="00CC1992">
        <w:rPr>
          <w:rFonts w:ascii="Arial" w:hAnsi="Arial" w:cs="Arial"/>
          <w:noProof/>
          <w:color w:val="000000" w:themeColor="text1"/>
          <w:sz w:val="24"/>
          <w:szCs w:val="24"/>
          <w:lang w:val="en-US"/>
        </w:rPr>
        <w:t>Germany</w:t>
      </w:r>
      <w:r w:rsidRPr="00CC1992">
        <w:rPr>
          <w:rFonts w:ascii="Arial" w:hAnsi="Arial" w:cs="Arial"/>
          <w:noProof/>
          <w:color w:val="000000" w:themeColor="text1"/>
          <w:sz w:val="24"/>
          <w:szCs w:val="24"/>
          <w:lang w:val="en-US"/>
        </w:rPr>
        <w:br/>
        <w:t>Tel.: +49-(0)69-66 04-4878</w:t>
      </w:r>
    </w:p>
    <w:p w14:paraId="19218083" w14:textId="77777777" w:rsidR="004D54E9" w:rsidRPr="00CC1992" w:rsidRDefault="003718AC" w:rsidP="00CA71DD">
      <w:pPr>
        <w:spacing w:line="480" w:lineRule="auto"/>
        <w:jc w:val="both"/>
        <w:rPr>
          <w:rFonts w:ascii="Arial" w:hAnsi="Arial" w:cs="Arial"/>
          <w:color w:val="000000" w:themeColor="text1"/>
          <w:sz w:val="24"/>
          <w:szCs w:val="24"/>
          <w:lang w:val="en-US"/>
        </w:rPr>
      </w:pPr>
      <w:hyperlink r:id="rId6" w:history="1">
        <w:r w:rsidR="004D54E9" w:rsidRPr="00CC1992">
          <w:rPr>
            <w:rStyle w:val="Hyperlink"/>
            <w:rFonts w:ascii="Arial" w:hAnsi="Arial" w:cs="Arial"/>
            <w:noProof/>
            <w:sz w:val="24"/>
            <w:szCs w:val="24"/>
            <w:lang w:val="en-US"/>
          </w:rPr>
          <w:t>karel.kostev@iqvia.com</w:t>
        </w:r>
      </w:hyperlink>
    </w:p>
    <w:p w14:paraId="354BDA76" w14:textId="77777777" w:rsidR="004D54E9" w:rsidRPr="00CC1992" w:rsidRDefault="004D54E9" w:rsidP="00CA71DD">
      <w:pPr>
        <w:spacing w:line="480" w:lineRule="auto"/>
        <w:jc w:val="both"/>
        <w:rPr>
          <w:rFonts w:ascii="Arial" w:hAnsi="Arial" w:cs="Arial"/>
          <w:color w:val="000000" w:themeColor="text1"/>
          <w:sz w:val="24"/>
          <w:szCs w:val="24"/>
          <w:lang w:val="en-US"/>
        </w:rPr>
      </w:pPr>
    </w:p>
    <w:p w14:paraId="3A08B589" w14:textId="750719BC" w:rsidR="00C83F50" w:rsidRPr="00CC1992" w:rsidRDefault="00C83F50" w:rsidP="00CA71DD">
      <w:pPr>
        <w:spacing w:line="480" w:lineRule="auto"/>
        <w:jc w:val="both"/>
        <w:rPr>
          <w:rFonts w:ascii="Arial" w:hAnsi="Arial" w:cs="Arial"/>
          <w:color w:val="000000" w:themeColor="text1"/>
          <w:sz w:val="24"/>
          <w:szCs w:val="24"/>
          <w:lang w:val="en-US"/>
        </w:rPr>
      </w:pPr>
      <w:r w:rsidRPr="00CC1992">
        <w:rPr>
          <w:rFonts w:ascii="Arial" w:hAnsi="Arial" w:cs="Arial"/>
          <w:b/>
          <w:bCs/>
          <w:sz w:val="24"/>
          <w:szCs w:val="24"/>
          <w:lang w:val="en-US"/>
        </w:rPr>
        <w:t xml:space="preserve">Number of characters in the title (spaces included): </w:t>
      </w:r>
      <w:r w:rsidR="00E40B9E">
        <w:rPr>
          <w:rFonts w:ascii="Arial" w:hAnsi="Arial" w:cs="Arial"/>
          <w:color w:val="000000" w:themeColor="text1"/>
          <w:sz w:val="24"/>
          <w:szCs w:val="24"/>
          <w:lang w:val="en-US"/>
        </w:rPr>
        <w:t>9</w:t>
      </w:r>
      <w:r w:rsidR="0000721D" w:rsidRPr="00CC1992">
        <w:rPr>
          <w:rFonts w:ascii="Arial" w:hAnsi="Arial" w:cs="Arial"/>
          <w:color w:val="000000" w:themeColor="text1"/>
          <w:sz w:val="24"/>
          <w:szCs w:val="24"/>
          <w:lang w:val="en-US"/>
        </w:rPr>
        <w:t>7</w:t>
      </w:r>
    </w:p>
    <w:p w14:paraId="7B292C59" w14:textId="0D445D69" w:rsidR="00C83F50" w:rsidRPr="00CC1992" w:rsidRDefault="00C83F50" w:rsidP="00CA71DD">
      <w:pPr>
        <w:spacing w:line="480" w:lineRule="auto"/>
        <w:jc w:val="both"/>
        <w:rPr>
          <w:rFonts w:ascii="Arial" w:hAnsi="Arial" w:cs="Arial"/>
          <w:sz w:val="24"/>
          <w:szCs w:val="24"/>
          <w:lang w:val="en-US"/>
        </w:rPr>
      </w:pPr>
      <w:r w:rsidRPr="00CC1992">
        <w:rPr>
          <w:rFonts w:ascii="Arial" w:hAnsi="Arial" w:cs="Arial"/>
          <w:b/>
          <w:bCs/>
          <w:sz w:val="24"/>
          <w:szCs w:val="24"/>
          <w:lang w:val="en-US"/>
        </w:rPr>
        <w:t xml:space="preserve">Number of characters in the running title (spaces included): </w:t>
      </w:r>
      <w:r w:rsidR="004666AC">
        <w:rPr>
          <w:rFonts w:ascii="Arial" w:hAnsi="Arial" w:cs="Arial"/>
          <w:color w:val="000000" w:themeColor="text1"/>
          <w:sz w:val="24"/>
          <w:szCs w:val="24"/>
          <w:lang w:val="en-US"/>
        </w:rPr>
        <w:t>3</w:t>
      </w:r>
      <w:r w:rsidR="0000721D" w:rsidRPr="00CC1992">
        <w:rPr>
          <w:rFonts w:ascii="Arial" w:hAnsi="Arial" w:cs="Arial"/>
          <w:color w:val="000000" w:themeColor="text1"/>
          <w:sz w:val="24"/>
          <w:szCs w:val="24"/>
          <w:lang w:val="en-US"/>
        </w:rPr>
        <w:t>8</w:t>
      </w:r>
    </w:p>
    <w:p w14:paraId="75973B87" w14:textId="4FB4B36D" w:rsidR="00C83F50" w:rsidRPr="00CC1992" w:rsidRDefault="00C83F50" w:rsidP="00CA71DD">
      <w:pPr>
        <w:spacing w:line="480" w:lineRule="auto"/>
        <w:jc w:val="both"/>
        <w:rPr>
          <w:rFonts w:ascii="Arial" w:hAnsi="Arial" w:cs="Arial"/>
          <w:b/>
          <w:bCs/>
          <w:sz w:val="24"/>
          <w:szCs w:val="24"/>
          <w:lang w:val="en-US"/>
        </w:rPr>
      </w:pPr>
      <w:r w:rsidRPr="00CC1992">
        <w:rPr>
          <w:rFonts w:ascii="Arial" w:hAnsi="Arial" w:cs="Arial"/>
          <w:b/>
          <w:bCs/>
          <w:sz w:val="24"/>
          <w:szCs w:val="24"/>
          <w:lang w:val="en-US"/>
        </w:rPr>
        <w:t>Number of words in the abstract:</w:t>
      </w:r>
      <w:r w:rsidRPr="00CC1992">
        <w:rPr>
          <w:rFonts w:ascii="Arial" w:hAnsi="Arial" w:cs="Arial"/>
          <w:sz w:val="24"/>
          <w:szCs w:val="24"/>
          <w:lang w:val="en-US"/>
        </w:rPr>
        <w:t xml:space="preserve"> </w:t>
      </w:r>
      <w:r w:rsidR="00914A02" w:rsidRPr="00CC1992">
        <w:rPr>
          <w:rFonts w:ascii="Arial" w:hAnsi="Arial" w:cs="Arial"/>
          <w:sz w:val="24"/>
          <w:szCs w:val="24"/>
          <w:lang w:val="en-US"/>
        </w:rPr>
        <w:t>2</w:t>
      </w:r>
      <w:r w:rsidR="009543CD" w:rsidRPr="00CC1992">
        <w:rPr>
          <w:rFonts w:ascii="Arial" w:hAnsi="Arial" w:cs="Arial"/>
          <w:sz w:val="24"/>
          <w:szCs w:val="24"/>
          <w:lang w:val="en-US"/>
        </w:rPr>
        <w:t>4</w:t>
      </w:r>
      <w:r w:rsidR="000E6A77">
        <w:rPr>
          <w:rFonts w:ascii="Arial" w:hAnsi="Arial" w:cs="Arial"/>
          <w:sz w:val="24"/>
          <w:szCs w:val="24"/>
          <w:lang w:val="en-US"/>
        </w:rPr>
        <w:t>8</w:t>
      </w:r>
    </w:p>
    <w:p w14:paraId="45D3AB25" w14:textId="3B14565A" w:rsidR="00C83F50" w:rsidRPr="00CC1992" w:rsidRDefault="00C83F50" w:rsidP="00CA71DD">
      <w:pPr>
        <w:spacing w:line="480" w:lineRule="auto"/>
        <w:jc w:val="both"/>
        <w:rPr>
          <w:rFonts w:ascii="Arial" w:hAnsi="Arial" w:cs="Arial"/>
          <w:sz w:val="24"/>
          <w:szCs w:val="24"/>
          <w:lang w:val="en-US"/>
        </w:rPr>
      </w:pPr>
      <w:r w:rsidRPr="00CC1992">
        <w:rPr>
          <w:rFonts w:ascii="Arial" w:hAnsi="Arial" w:cs="Arial"/>
          <w:b/>
          <w:bCs/>
          <w:sz w:val="24"/>
          <w:szCs w:val="24"/>
          <w:lang w:val="en-US"/>
        </w:rPr>
        <w:t xml:space="preserve">Number of words in the main body: </w:t>
      </w:r>
      <w:r w:rsidR="00023518" w:rsidRPr="00023518">
        <w:rPr>
          <w:rFonts w:ascii="Arial" w:hAnsi="Arial" w:cs="Arial"/>
          <w:sz w:val="24"/>
          <w:szCs w:val="24"/>
          <w:lang w:val="en-US"/>
        </w:rPr>
        <w:t>2,47</w:t>
      </w:r>
      <w:r w:rsidR="00462E1A">
        <w:rPr>
          <w:rFonts w:ascii="Arial" w:hAnsi="Arial" w:cs="Arial"/>
          <w:sz w:val="24"/>
          <w:szCs w:val="24"/>
          <w:lang w:val="en-US"/>
        </w:rPr>
        <w:t>8</w:t>
      </w:r>
    </w:p>
    <w:p w14:paraId="64598314" w14:textId="45542FAC" w:rsidR="00C83F50" w:rsidRPr="00CC1992" w:rsidRDefault="00C83F50" w:rsidP="00CA71DD">
      <w:pPr>
        <w:spacing w:line="480" w:lineRule="auto"/>
        <w:jc w:val="both"/>
        <w:rPr>
          <w:rFonts w:ascii="Arial" w:hAnsi="Arial" w:cs="Arial"/>
          <w:b/>
          <w:bCs/>
          <w:sz w:val="24"/>
          <w:szCs w:val="24"/>
          <w:lang w:val="en-US"/>
        </w:rPr>
      </w:pPr>
      <w:r w:rsidRPr="00CC1992">
        <w:rPr>
          <w:rFonts w:ascii="Arial" w:hAnsi="Arial" w:cs="Arial"/>
          <w:b/>
          <w:bCs/>
          <w:sz w:val="24"/>
          <w:szCs w:val="24"/>
          <w:lang w:val="en-US"/>
        </w:rPr>
        <w:t xml:space="preserve">Number of references: </w:t>
      </w:r>
      <w:r w:rsidR="003178DE" w:rsidRPr="003178DE">
        <w:rPr>
          <w:rFonts w:ascii="Arial" w:hAnsi="Arial" w:cs="Arial"/>
          <w:sz w:val="24"/>
          <w:szCs w:val="24"/>
          <w:lang w:val="en-US"/>
        </w:rPr>
        <w:t>3</w:t>
      </w:r>
      <w:r w:rsidR="004E589E">
        <w:rPr>
          <w:rFonts w:ascii="Arial" w:hAnsi="Arial" w:cs="Arial"/>
          <w:sz w:val="24"/>
          <w:szCs w:val="24"/>
          <w:lang w:val="en-US"/>
        </w:rPr>
        <w:t>4</w:t>
      </w:r>
    </w:p>
    <w:p w14:paraId="10E658F9" w14:textId="1D8519BC" w:rsidR="00DE14FE" w:rsidRPr="00CC1992" w:rsidRDefault="00DE14FE" w:rsidP="00CA71DD">
      <w:pPr>
        <w:spacing w:line="480" w:lineRule="auto"/>
        <w:jc w:val="both"/>
        <w:rPr>
          <w:rFonts w:ascii="Arial" w:hAnsi="Arial" w:cs="Arial"/>
          <w:sz w:val="24"/>
          <w:szCs w:val="24"/>
          <w:lang w:val="en-US"/>
        </w:rPr>
      </w:pPr>
      <w:r w:rsidRPr="00CC1992">
        <w:rPr>
          <w:rFonts w:ascii="Arial" w:hAnsi="Arial" w:cs="Arial"/>
          <w:b/>
          <w:bCs/>
          <w:sz w:val="24"/>
          <w:szCs w:val="24"/>
          <w:lang w:val="en-US"/>
        </w:rPr>
        <w:t xml:space="preserve">Number of figures: </w:t>
      </w:r>
      <w:r w:rsidRPr="00CC1992">
        <w:rPr>
          <w:rFonts w:ascii="Arial" w:hAnsi="Arial" w:cs="Arial"/>
          <w:sz w:val="24"/>
          <w:szCs w:val="24"/>
          <w:lang w:val="en-US"/>
        </w:rPr>
        <w:t>2</w:t>
      </w:r>
    </w:p>
    <w:p w14:paraId="319B5A8D" w14:textId="42AD5DCF" w:rsidR="008D57AB" w:rsidRPr="005B130E" w:rsidRDefault="00C83F50" w:rsidP="005B130E">
      <w:pPr>
        <w:spacing w:line="480" w:lineRule="auto"/>
        <w:jc w:val="both"/>
        <w:rPr>
          <w:rFonts w:ascii="Arial" w:hAnsi="Arial" w:cs="Arial"/>
          <w:sz w:val="24"/>
          <w:szCs w:val="24"/>
          <w:lang w:val="en-US"/>
        </w:rPr>
      </w:pPr>
      <w:r w:rsidRPr="00CC1992">
        <w:rPr>
          <w:rFonts w:ascii="Arial" w:hAnsi="Arial" w:cs="Arial"/>
          <w:b/>
          <w:bCs/>
          <w:sz w:val="24"/>
          <w:szCs w:val="24"/>
          <w:lang w:val="en-US"/>
        </w:rPr>
        <w:t xml:space="preserve">Number of tables: </w:t>
      </w:r>
      <w:r w:rsidR="00254CA1" w:rsidRPr="00CC1992">
        <w:rPr>
          <w:rFonts w:ascii="Arial" w:hAnsi="Arial" w:cs="Arial"/>
          <w:sz w:val="24"/>
          <w:szCs w:val="24"/>
          <w:lang w:val="en-US"/>
        </w:rPr>
        <w:t>3</w:t>
      </w:r>
      <w:r w:rsidR="008D57AB" w:rsidRPr="00CC1992">
        <w:rPr>
          <w:rFonts w:ascii="Arial" w:hAnsi="Arial" w:cs="Arial"/>
          <w:b/>
          <w:bCs/>
          <w:sz w:val="24"/>
          <w:szCs w:val="24"/>
          <w:lang w:val="en-US"/>
        </w:rPr>
        <w:br w:type="page"/>
      </w:r>
    </w:p>
    <w:p w14:paraId="6DD80DC2" w14:textId="1E72B520" w:rsidR="004D54E9" w:rsidRPr="00862097" w:rsidRDefault="004D54E9" w:rsidP="00862097">
      <w:pPr>
        <w:pStyle w:val="Heading1"/>
      </w:pPr>
      <w:r w:rsidRPr="00862097">
        <w:lastRenderedPageBreak/>
        <w:t xml:space="preserve">Abstract </w:t>
      </w:r>
    </w:p>
    <w:p w14:paraId="1494CF94" w14:textId="2EE1A484" w:rsidR="004960D5" w:rsidRPr="00CC1992" w:rsidRDefault="004960D5" w:rsidP="00CA71DD">
      <w:pPr>
        <w:spacing w:line="480" w:lineRule="auto"/>
        <w:jc w:val="both"/>
        <w:rPr>
          <w:rFonts w:ascii="Arial" w:hAnsi="Arial" w:cs="Arial"/>
          <w:b/>
          <w:bCs/>
          <w:sz w:val="24"/>
          <w:szCs w:val="24"/>
          <w:lang w:val="en-US"/>
        </w:rPr>
      </w:pPr>
    </w:p>
    <w:p w14:paraId="65815E44" w14:textId="103E1A7D" w:rsidR="00A95EF8" w:rsidRDefault="00A95EF8" w:rsidP="00CA71DD">
      <w:pPr>
        <w:spacing w:line="480" w:lineRule="auto"/>
        <w:jc w:val="both"/>
        <w:rPr>
          <w:rFonts w:ascii="Arial" w:hAnsi="Arial" w:cs="Arial"/>
          <w:sz w:val="24"/>
          <w:szCs w:val="24"/>
          <w:lang w:val="en-US"/>
        </w:rPr>
      </w:pPr>
      <w:r>
        <w:rPr>
          <w:rFonts w:ascii="Arial" w:hAnsi="Arial" w:cs="Arial"/>
          <w:i/>
          <w:iCs/>
          <w:sz w:val="24"/>
          <w:szCs w:val="24"/>
          <w:lang w:val="en-US"/>
        </w:rPr>
        <w:t>Background</w:t>
      </w:r>
      <w:r w:rsidR="005B1478" w:rsidRPr="00CC1992">
        <w:rPr>
          <w:rFonts w:ascii="Arial" w:hAnsi="Arial" w:cs="Arial"/>
          <w:i/>
          <w:iCs/>
          <w:sz w:val="24"/>
          <w:szCs w:val="24"/>
          <w:lang w:val="en-US"/>
        </w:rPr>
        <w:t xml:space="preserve">: </w:t>
      </w:r>
      <w:r w:rsidR="00C853EE" w:rsidRPr="00CC1992">
        <w:rPr>
          <w:rFonts w:ascii="Arial" w:hAnsi="Arial" w:cs="Arial"/>
          <w:sz w:val="24"/>
          <w:szCs w:val="24"/>
          <w:lang w:val="en-US"/>
        </w:rPr>
        <w:t>Little is known</w:t>
      </w:r>
      <w:r w:rsidR="00786999" w:rsidRPr="00CC1992">
        <w:rPr>
          <w:rFonts w:ascii="Arial" w:hAnsi="Arial" w:cs="Arial"/>
          <w:sz w:val="24"/>
          <w:szCs w:val="24"/>
          <w:lang w:val="en-US"/>
        </w:rPr>
        <w:t xml:space="preserve"> on the potential relationship between osteoarthritis and Parkinson’s disease. </w:t>
      </w:r>
    </w:p>
    <w:p w14:paraId="21711CB2" w14:textId="065EC7B0" w:rsidR="005B1478" w:rsidRPr="00CC1992" w:rsidRDefault="00A95EF8" w:rsidP="00CA71DD">
      <w:pPr>
        <w:spacing w:line="480" w:lineRule="auto"/>
        <w:jc w:val="both"/>
        <w:rPr>
          <w:rFonts w:ascii="Arial" w:hAnsi="Arial" w:cs="Arial"/>
          <w:sz w:val="24"/>
          <w:szCs w:val="24"/>
          <w:lang w:val="en-US"/>
        </w:rPr>
      </w:pPr>
      <w:r>
        <w:rPr>
          <w:rFonts w:ascii="Arial" w:hAnsi="Arial" w:cs="Arial"/>
          <w:i/>
          <w:iCs/>
          <w:sz w:val="24"/>
          <w:szCs w:val="24"/>
          <w:lang w:val="en-US"/>
        </w:rPr>
        <w:t>Objective</w:t>
      </w:r>
      <w:r w:rsidRPr="00CC1992">
        <w:rPr>
          <w:rFonts w:ascii="Arial" w:hAnsi="Arial" w:cs="Arial"/>
          <w:i/>
          <w:iCs/>
          <w:sz w:val="24"/>
          <w:szCs w:val="24"/>
          <w:lang w:val="en-US"/>
        </w:rPr>
        <w:t xml:space="preserve">: </w:t>
      </w:r>
      <w:r w:rsidR="004907EA">
        <w:rPr>
          <w:rFonts w:ascii="Arial" w:hAnsi="Arial" w:cs="Arial"/>
          <w:sz w:val="24"/>
          <w:szCs w:val="24"/>
          <w:lang w:val="en-US"/>
        </w:rPr>
        <w:t>T</w:t>
      </w:r>
      <w:r w:rsidR="00786999" w:rsidRPr="00CC1992">
        <w:rPr>
          <w:rFonts w:ascii="Arial" w:hAnsi="Arial" w:cs="Arial"/>
          <w:sz w:val="24"/>
          <w:szCs w:val="24"/>
          <w:lang w:val="en-US"/>
        </w:rPr>
        <w:t>he</w:t>
      </w:r>
      <w:r w:rsidR="004907EA">
        <w:rPr>
          <w:rFonts w:ascii="Arial" w:hAnsi="Arial" w:cs="Arial"/>
          <w:sz w:val="24"/>
          <w:szCs w:val="24"/>
          <w:lang w:val="en-US"/>
        </w:rPr>
        <w:t>refore, the</w:t>
      </w:r>
      <w:r w:rsidR="00786999" w:rsidRPr="00CC1992">
        <w:rPr>
          <w:rFonts w:ascii="Arial" w:hAnsi="Arial" w:cs="Arial"/>
          <w:sz w:val="24"/>
          <w:szCs w:val="24"/>
          <w:lang w:val="en-US"/>
        </w:rPr>
        <w:t xml:space="preserve"> </w:t>
      </w:r>
      <w:r w:rsidR="004907EA">
        <w:rPr>
          <w:rFonts w:ascii="Arial" w:hAnsi="Arial" w:cs="Arial"/>
          <w:sz w:val="24"/>
          <w:szCs w:val="24"/>
          <w:lang w:val="en-US"/>
        </w:rPr>
        <w:t>objective</w:t>
      </w:r>
      <w:r w:rsidR="005B1478" w:rsidRPr="00CC1992">
        <w:rPr>
          <w:rFonts w:ascii="Arial" w:hAnsi="Arial" w:cs="Arial"/>
          <w:sz w:val="24"/>
          <w:szCs w:val="24"/>
          <w:lang w:val="en-US"/>
        </w:rPr>
        <w:t xml:space="preserve"> of this </w:t>
      </w:r>
      <w:r w:rsidR="009F110F" w:rsidRPr="00CC1992">
        <w:rPr>
          <w:rFonts w:ascii="Arial" w:hAnsi="Arial" w:cs="Arial"/>
          <w:sz w:val="24"/>
          <w:szCs w:val="24"/>
          <w:lang w:val="en-US"/>
        </w:rPr>
        <w:t xml:space="preserve">retrospective cohort </w:t>
      </w:r>
      <w:r w:rsidR="005B1478" w:rsidRPr="00CC1992">
        <w:rPr>
          <w:rFonts w:ascii="Arial" w:hAnsi="Arial" w:cs="Arial"/>
          <w:sz w:val="24"/>
          <w:szCs w:val="24"/>
          <w:lang w:val="en-US"/>
        </w:rPr>
        <w:t xml:space="preserve">study was to analyze the association between osteoarthritis and the incidence of Parkinson’s disease in patients followed up for up to 10 years in </w:t>
      </w:r>
      <w:r w:rsidR="0086197D" w:rsidRPr="00CC1992">
        <w:rPr>
          <w:rFonts w:ascii="Arial" w:hAnsi="Arial" w:cs="Arial"/>
          <w:sz w:val="24"/>
          <w:szCs w:val="24"/>
          <w:lang w:val="en-US"/>
        </w:rPr>
        <w:t xml:space="preserve">general practices in the United Kingdom. </w:t>
      </w:r>
    </w:p>
    <w:p w14:paraId="5ADF72DA" w14:textId="61FBF75E" w:rsidR="0086197D" w:rsidRPr="00CC1992" w:rsidRDefault="0086197D" w:rsidP="00CA71DD">
      <w:pPr>
        <w:spacing w:line="480" w:lineRule="auto"/>
        <w:jc w:val="both"/>
        <w:rPr>
          <w:rFonts w:ascii="Arial" w:hAnsi="Arial" w:cs="Arial"/>
          <w:sz w:val="24"/>
          <w:szCs w:val="24"/>
          <w:lang w:val="en-US"/>
        </w:rPr>
      </w:pPr>
      <w:r w:rsidRPr="00CC1992">
        <w:rPr>
          <w:rFonts w:ascii="Arial" w:hAnsi="Arial" w:cs="Arial"/>
          <w:i/>
          <w:iCs/>
          <w:sz w:val="24"/>
          <w:szCs w:val="24"/>
          <w:lang w:val="en-US"/>
        </w:rPr>
        <w:t xml:space="preserve">Methods: </w:t>
      </w:r>
      <w:r w:rsidR="00E618E2" w:rsidRPr="00CC1992">
        <w:rPr>
          <w:rFonts w:ascii="Arial" w:hAnsi="Arial" w:cs="Arial"/>
          <w:sz w:val="24"/>
          <w:szCs w:val="24"/>
          <w:lang w:val="en-US"/>
        </w:rPr>
        <w:t>This study included patients</w:t>
      </w:r>
      <w:r w:rsidR="00DA4957" w:rsidRPr="00CC1992">
        <w:rPr>
          <w:rFonts w:ascii="Arial" w:hAnsi="Arial" w:cs="Arial"/>
          <w:sz w:val="24"/>
          <w:szCs w:val="24"/>
          <w:lang w:val="en-US"/>
        </w:rPr>
        <w:t xml:space="preserve"> diagnosed for the first time with </w:t>
      </w:r>
      <w:r w:rsidR="00094892" w:rsidRPr="00CC1992">
        <w:rPr>
          <w:rFonts w:ascii="Arial" w:hAnsi="Arial" w:cs="Arial"/>
          <w:sz w:val="24"/>
          <w:szCs w:val="24"/>
          <w:lang w:val="en-US"/>
        </w:rPr>
        <w:t xml:space="preserve">osteoarthritis in one of 256 general practices in the United Kingdom </w:t>
      </w:r>
      <w:r w:rsidR="00CA71DD">
        <w:rPr>
          <w:rFonts w:ascii="Arial" w:hAnsi="Arial" w:cs="Arial"/>
          <w:sz w:val="24"/>
          <w:szCs w:val="24"/>
          <w:lang w:val="en-US"/>
        </w:rPr>
        <w:t>between</w:t>
      </w:r>
      <w:r w:rsidR="00E618E2" w:rsidRPr="00CC1992">
        <w:rPr>
          <w:rFonts w:ascii="Arial" w:hAnsi="Arial" w:cs="Arial"/>
          <w:sz w:val="24"/>
          <w:szCs w:val="24"/>
          <w:lang w:val="en-US"/>
        </w:rPr>
        <w:t xml:space="preserve"> 2000</w:t>
      </w:r>
      <w:r w:rsidR="000D17B4">
        <w:rPr>
          <w:rFonts w:ascii="Arial" w:hAnsi="Arial" w:cs="Arial"/>
          <w:sz w:val="24"/>
          <w:szCs w:val="24"/>
          <w:lang w:val="en-US"/>
        </w:rPr>
        <w:t xml:space="preserve"> and </w:t>
      </w:r>
      <w:r w:rsidR="00E618E2" w:rsidRPr="00CC1992">
        <w:rPr>
          <w:rFonts w:ascii="Arial" w:hAnsi="Arial" w:cs="Arial"/>
          <w:sz w:val="24"/>
          <w:szCs w:val="24"/>
          <w:lang w:val="en-US"/>
        </w:rPr>
        <w:t>2016</w:t>
      </w:r>
      <w:r w:rsidR="00F74681" w:rsidRPr="00CC1992">
        <w:rPr>
          <w:rFonts w:ascii="Arial" w:hAnsi="Arial" w:cs="Arial"/>
          <w:sz w:val="24"/>
          <w:szCs w:val="24"/>
          <w:lang w:val="en-US"/>
        </w:rPr>
        <w:t xml:space="preserve"> (index date)</w:t>
      </w:r>
      <w:r w:rsidR="00E618E2" w:rsidRPr="00CC1992">
        <w:rPr>
          <w:rFonts w:ascii="Arial" w:hAnsi="Arial" w:cs="Arial"/>
          <w:sz w:val="24"/>
          <w:szCs w:val="24"/>
          <w:lang w:val="en-US"/>
        </w:rPr>
        <w:t xml:space="preserve">. </w:t>
      </w:r>
      <w:r w:rsidR="00F74681" w:rsidRPr="00CC1992">
        <w:rPr>
          <w:rFonts w:ascii="Arial" w:hAnsi="Arial" w:cs="Arial"/>
          <w:sz w:val="24"/>
          <w:szCs w:val="24"/>
          <w:lang w:val="en-US"/>
        </w:rPr>
        <w:t xml:space="preserve">Patients without osteoarthritis were matched (1:1) to those with </w:t>
      </w:r>
      <w:r w:rsidR="007B0933" w:rsidRPr="00CC1992">
        <w:rPr>
          <w:rFonts w:ascii="Arial" w:hAnsi="Arial" w:cs="Arial"/>
          <w:sz w:val="24"/>
          <w:szCs w:val="24"/>
          <w:lang w:val="en-US"/>
        </w:rPr>
        <w:t xml:space="preserve">osteoarthritis </w:t>
      </w:r>
      <w:r w:rsidR="00C31084" w:rsidRPr="00CC1992">
        <w:rPr>
          <w:rFonts w:ascii="Arial" w:hAnsi="Arial" w:cs="Arial"/>
          <w:sz w:val="24"/>
          <w:szCs w:val="24"/>
          <w:lang w:val="en-US"/>
        </w:rPr>
        <w:t xml:space="preserve">using propensity scores based on </w:t>
      </w:r>
      <w:r w:rsidR="00A162A4" w:rsidRPr="00CC1992">
        <w:rPr>
          <w:rFonts w:ascii="Arial" w:hAnsi="Arial" w:cs="Arial"/>
          <w:sz w:val="24"/>
          <w:szCs w:val="24"/>
          <w:lang w:val="en-US"/>
        </w:rPr>
        <w:t xml:space="preserve">sex, </w:t>
      </w:r>
      <w:proofErr w:type="gramStart"/>
      <w:r w:rsidR="00A162A4" w:rsidRPr="00CC1992">
        <w:rPr>
          <w:rFonts w:ascii="Arial" w:hAnsi="Arial" w:cs="Arial"/>
          <w:sz w:val="24"/>
          <w:szCs w:val="24"/>
          <w:lang w:val="en-US"/>
        </w:rPr>
        <w:t>age</w:t>
      </w:r>
      <w:proofErr w:type="gramEnd"/>
      <w:r w:rsidR="00A162A4" w:rsidRPr="00CC1992">
        <w:rPr>
          <w:rFonts w:ascii="Arial" w:hAnsi="Arial" w:cs="Arial"/>
          <w:sz w:val="24"/>
          <w:szCs w:val="24"/>
          <w:lang w:val="en-US"/>
        </w:rPr>
        <w:t xml:space="preserve"> and index year. In </w:t>
      </w:r>
      <w:r w:rsidR="003D2137" w:rsidRPr="00CC1992">
        <w:rPr>
          <w:rFonts w:ascii="Arial" w:hAnsi="Arial" w:cs="Arial"/>
          <w:sz w:val="24"/>
          <w:szCs w:val="24"/>
          <w:lang w:val="en-US"/>
        </w:rPr>
        <w:t xml:space="preserve">individuals without osteoarthritis, index date corresponded to a randomly selected visit date. The outcome of this study </w:t>
      </w:r>
      <w:r w:rsidR="0014712B" w:rsidRPr="00CC1992">
        <w:rPr>
          <w:rFonts w:ascii="Arial" w:hAnsi="Arial" w:cs="Arial"/>
          <w:sz w:val="24"/>
          <w:szCs w:val="24"/>
          <w:lang w:val="en-US"/>
        </w:rPr>
        <w:t xml:space="preserve">was </w:t>
      </w:r>
      <w:r w:rsidR="00742155">
        <w:rPr>
          <w:rFonts w:ascii="Arial" w:hAnsi="Arial" w:cs="Arial"/>
          <w:sz w:val="24"/>
          <w:szCs w:val="24"/>
          <w:lang w:val="en-US"/>
        </w:rPr>
        <w:t xml:space="preserve">the </w:t>
      </w:r>
      <w:r w:rsidR="0014712B" w:rsidRPr="00CC1992">
        <w:rPr>
          <w:rFonts w:ascii="Arial" w:hAnsi="Arial" w:cs="Arial"/>
          <w:sz w:val="24"/>
          <w:szCs w:val="24"/>
          <w:lang w:val="en-US"/>
        </w:rPr>
        <w:t xml:space="preserve">10-year cumulative incidence of Parkinson’s disease in patients with and without osteoarthritis. </w:t>
      </w:r>
      <w:r w:rsidR="00A807C7">
        <w:rPr>
          <w:rFonts w:ascii="Arial" w:hAnsi="Arial" w:cs="Arial"/>
          <w:sz w:val="24"/>
          <w:szCs w:val="24"/>
          <w:lang w:val="en-US"/>
        </w:rPr>
        <w:t xml:space="preserve">Cox regression </w:t>
      </w:r>
      <w:r w:rsidR="005001AA">
        <w:rPr>
          <w:rFonts w:ascii="Arial" w:hAnsi="Arial" w:cs="Arial"/>
          <w:sz w:val="24"/>
          <w:szCs w:val="24"/>
          <w:lang w:val="en-US"/>
        </w:rPr>
        <w:t>analyses</w:t>
      </w:r>
      <w:r w:rsidR="001F0719">
        <w:rPr>
          <w:rFonts w:ascii="Arial" w:hAnsi="Arial" w:cs="Arial"/>
          <w:sz w:val="24"/>
          <w:szCs w:val="24"/>
          <w:lang w:val="en-US"/>
        </w:rPr>
        <w:t xml:space="preserve"> were adjusted for</w:t>
      </w:r>
      <w:r w:rsidR="004462DE" w:rsidRPr="00CC1992">
        <w:rPr>
          <w:rFonts w:ascii="Arial" w:hAnsi="Arial" w:cs="Arial"/>
          <w:sz w:val="24"/>
          <w:szCs w:val="24"/>
          <w:lang w:val="en-US"/>
        </w:rPr>
        <w:t xml:space="preserve"> common comorbidities. </w:t>
      </w:r>
    </w:p>
    <w:p w14:paraId="06AA19B1" w14:textId="3AA3A025" w:rsidR="004462DE" w:rsidRPr="00CC1992" w:rsidRDefault="004462DE" w:rsidP="00CA71DD">
      <w:pPr>
        <w:spacing w:line="480" w:lineRule="auto"/>
        <w:jc w:val="both"/>
        <w:rPr>
          <w:rFonts w:ascii="Arial" w:hAnsi="Arial" w:cs="Arial"/>
          <w:sz w:val="24"/>
          <w:szCs w:val="24"/>
          <w:lang w:val="en-US"/>
        </w:rPr>
      </w:pPr>
      <w:r w:rsidRPr="00CC1992">
        <w:rPr>
          <w:rFonts w:ascii="Arial" w:hAnsi="Arial" w:cs="Arial"/>
          <w:i/>
          <w:iCs/>
          <w:sz w:val="24"/>
          <w:szCs w:val="24"/>
          <w:lang w:val="en-US"/>
        </w:rPr>
        <w:t xml:space="preserve">Results: </w:t>
      </w:r>
      <w:r w:rsidRPr="00CC1992">
        <w:rPr>
          <w:rFonts w:ascii="Arial" w:hAnsi="Arial" w:cs="Arial"/>
          <w:sz w:val="24"/>
          <w:szCs w:val="24"/>
          <w:lang w:val="en-US"/>
        </w:rPr>
        <w:t xml:space="preserve">This study included </w:t>
      </w:r>
      <w:r w:rsidR="00251431" w:rsidRPr="00CC1992">
        <w:rPr>
          <w:rFonts w:ascii="Arial" w:hAnsi="Arial" w:cs="Arial"/>
          <w:sz w:val="24"/>
          <w:szCs w:val="24"/>
          <w:lang w:val="en-US"/>
        </w:rPr>
        <w:t>260,224 patients (</w:t>
      </w:r>
      <w:r w:rsidR="00AF69FB" w:rsidRPr="00CC1992">
        <w:rPr>
          <w:rFonts w:ascii="Arial" w:hAnsi="Arial" w:cs="Arial"/>
          <w:sz w:val="24"/>
          <w:szCs w:val="24"/>
          <w:lang w:val="en-US"/>
        </w:rPr>
        <w:t xml:space="preserve">62.0% women; mean [SD] age </w:t>
      </w:r>
      <w:r w:rsidR="00F423AA" w:rsidRPr="00CC1992">
        <w:rPr>
          <w:rFonts w:ascii="Arial" w:hAnsi="Arial" w:cs="Arial"/>
          <w:sz w:val="24"/>
          <w:szCs w:val="24"/>
          <w:lang w:val="en-US"/>
        </w:rPr>
        <w:t>66.4 [</w:t>
      </w:r>
      <w:r w:rsidR="00784A63" w:rsidRPr="00CC1992">
        <w:rPr>
          <w:rFonts w:ascii="Arial" w:hAnsi="Arial" w:cs="Arial"/>
          <w:sz w:val="24"/>
          <w:szCs w:val="24"/>
          <w:lang w:val="en-US"/>
        </w:rPr>
        <w:t xml:space="preserve">12.7] years). The 10-year cumulative incidence of Parkinson’s disease was </w:t>
      </w:r>
      <w:r w:rsidR="00B109CB" w:rsidRPr="00CC1992">
        <w:rPr>
          <w:rFonts w:ascii="Arial" w:hAnsi="Arial" w:cs="Arial"/>
          <w:sz w:val="24"/>
          <w:szCs w:val="24"/>
          <w:lang w:val="en-US"/>
        </w:rPr>
        <w:t>1.2% in patients with osteoarthritis and 0.6% in their counterparts without osteoarthritis (</w:t>
      </w:r>
      <w:r w:rsidR="00B7213C" w:rsidRPr="00CC1992">
        <w:rPr>
          <w:rFonts w:ascii="Arial" w:hAnsi="Arial" w:cs="Arial"/>
          <w:sz w:val="24"/>
          <w:szCs w:val="24"/>
          <w:lang w:val="en-US"/>
        </w:rPr>
        <w:t xml:space="preserve">log-rank p-value&lt;0.001). </w:t>
      </w:r>
      <w:r w:rsidR="003C42F9" w:rsidRPr="00CC1992">
        <w:rPr>
          <w:rFonts w:ascii="Arial" w:hAnsi="Arial" w:cs="Arial"/>
          <w:sz w:val="24"/>
          <w:szCs w:val="24"/>
          <w:lang w:val="en-US"/>
        </w:rPr>
        <w:t>The adjusted</w:t>
      </w:r>
      <w:r w:rsidR="00966709" w:rsidRPr="00CC1992">
        <w:rPr>
          <w:rFonts w:ascii="Arial" w:hAnsi="Arial" w:cs="Arial"/>
          <w:sz w:val="24"/>
          <w:szCs w:val="24"/>
          <w:lang w:val="en-US"/>
        </w:rPr>
        <w:t xml:space="preserve"> Cox regression</w:t>
      </w:r>
      <w:r w:rsidR="003C42F9" w:rsidRPr="00CC1992">
        <w:rPr>
          <w:rFonts w:ascii="Arial" w:hAnsi="Arial" w:cs="Arial"/>
          <w:sz w:val="24"/>
          <w:szCs w:val="24"/>
          <w:lang w:val="en-US"/>
        </w:rPr>
        <w:t xml:space="preserve"> model </w:t>
      </w:r>
      <w:r w:rsidR="00966709" w:rsidRPr="00CC1992">
        <w:rPr>
          <w:rFonts w:ascii="Arial" w:hAnsi="Arial" w:cs="Arial"/>
          <w:sz w:val="24"/>
          <w:szCs w:val="24"/>
          <w:lang w:val="en-US"/>
        </w:rPr>
        <w:t xml:space="preserve">further </w:t>
      </w:r>
      <w:r w:rsidR="003C42F9" w:rsidRPr="00CC1992">
        <w:rPr>
          <w:rFonts w:ascii="Arial" w:hAnsi="Arial" w:cs="Arial"/>
          <w:sz w:val="24"/>
          <w:szCs w:val="24"/>
          <w:lang w:val="en-US"/>
        </w:rPr>
        <w:t>showed a positive and significant association between osteoarthritis and the incidence of Parkinson’s disease (HR=</w:t>
      </w:r>
      <w:r w:rsidR="00523A34" w:rsidRPr="00CC1992">
        <w:rPr>
          <w:rFonts w:ascii="Arial" w:hAnsi="Arial" w:cs="Arial"/>
          <w:sz w:val="24"/>
          <w:szCs w:val="24"/>
          <w:lang w:val="en-US"/>
        </w:rPr>
        <w:t xml:space="preserve">1.82, 95% CI: </w:t>
      </w:r>
      <w:r w:rsidR="00F13256" w:rsidRPr="00CC1992">
        <w:rPr>
          <w:rFonts w:ascii="Arial" w:hAnsi="Arial" w:cs="Arial"/>
          <w:sz w:val="24"/>
          <w:szCs w:val="24"/>
          <w:lang w:val="en-US"/>
        </w:rPr>
        <w:t xml:space="preserve">1.63-2.02). </w:t>
      </w:r>
      <w:r w:rsidR="00914A02" w:rsidRPr="00CC1992">
        <w:rPr>
          <w:rFonts w:ascii="Arial" w:hAnsi="Arial" w:cs="Arial"/>
          <w:sz w:val="24"/>
          <w:szCs w:val="24"/>
          <w:lang w:val="en-US"/>
        </w:rPr>
        <w:t>Similar results were obtained i</w:t>
      </w:r>
      <w:r w:rsidR="007151C3" w:rsidRPr="00CC1992">
        <w:rPr>
          <w:rFonts w:ascii="Arial" w:hAnsi="Arial" w:cs="Arial"/>
          <w:sz w:val="24"/>
          <w:szCs w:val="24"/>
          <w:lang w:val="en-US"/>
        </w:rPr>
        <w:t xml:space="preserve">n all sex and age subgroups. </w:t>
      </w:r>
    </w:p>
    <w:p w14:paraId="6A7F4649" w14:textId="6FD08753" w:rsidR="00AC5FF4" w:rsidRDefault="00AC5FF4" w:rsidP="00CA71DD">
      <w:pPr>
        <w:spacing w:line="480" w:lineRule="auto"/>
        <w:jc w:val="both"/>
        <w:rPr>
          <w:rFonts w:ascii="Arial" w:hAnsi="Arial" w:cs="Arial"/>
          <w:sz w:val="24"/>
          <w:szCs w:val="24"/>
          <w:lang w:val="en-US"/>
        </w:rPr>
      </w:pPr>
      <w:r w:rsidRPr="00CC1992">
        <w:rPr>
          <w:rFonts w:ascii="Arial" w:hAnsi="Arial" w:cs="Arial"/>
          <w:i/>
          <w:iCs/>
          <w:sz w:val="24"/>
          <w:szCs w:val="24"/>
          <w:lang w:val="en-US"/>
        </w:rPr>
        <w:t xml:space="preserve">Conclusions: </w:t>
      </w:r>
      <w:r w:rsidRPr="00CC1992">
        <w:rPr>
          <w:rFonts w:ascii="Arial" w:hAnsi="Arial" w:cs="Arial"/>
          <w:sz w:val="24"/>
          <w:szCs w:val="24"/>
          <w:lang w:val="en-US"/>
        </w:rPr>
        <w:t>In this retrospective cohort study conducted in the United Kingdom,</w:t>
      </w:r>
      <w:r w:rsidR="00DA13A8" w:rsidRPr="00CC1992">
        <w:rPr>
          <w:rFonts w:ascii="Arial" w:hAnsi="Arial" w:cs="Arial"/>
          <w:sz w:val="24"/>
          <w:szCs w:val="24"/>
          <w:lang w:val="en-US"/>
        </w:rPr>
        <w:t xml:space="preserve"> there was a positive association between osteoarthritis and the incidence of Parkinson’s </w:t>
      </w:r>
      <w:r w:rsidR="00DA13A8" w:rsidRPr="00CC1992">
        <w:rPr>
          <w:rFonts w:ascii="Arial" w:hAnsi="Arial" w:cs="Arial"/>
          <w:sz w:val="24"/>
          <w:szCs w:val="24"/>
          <w:lang w:val="en-US"/>
        </w:rPr>
        <w:lastRenderedPageBreak/>
        <w:t>disease.</w:t>
      </w:r>
      <w:r w:rsidR="00741991" w:rsidRPr="00CC1992">
        <w:rPr>
          <w:rFonts w:ascii="Arial" w:hAnsi="Arial" w:cs="Arial"/>
          <w:sz w:val="24"/>
          <w:szCs w:val="24"/>
          <w:lang w:val="en-US"/>
        </w:rPr>
        <w:t xml:space="preserve"> More research is warranted to </w:t>
      </w:r>
      <w:r w:rsidR="00CA71DD">
        <w:rPr>
          <w:rFonts w:ascii="Arial" w:hAnsi="Arial" w:cs="Arial"/>
          <w:sz w:val="24"/>
          <w:szCs w:val="24"/>
          <w:lang w:val="en-US"/>
        </w:rPr>
        <w:t xml:space="preserve">confirm or refute </w:t>
      </w:r>
      <w:r w:rsidR="00DE09E8" w:rsidRPr="00CC1992">
        <w:rPr>
          <w:rFonts w:ascii="Arial" w:hAnsi="Arial" w:cs="Arial"/>
          <w:sz w:val="24"/>
          <w:szCs w:val="24"/>
          <w:lang w:val="en-US"/>
        </w:rPr>
        <w:t>these findings</w:t>
      </w:r>
      <w:r w:rsidR="001E58C5" w:rsidRPr="00CC1992">
        <w:rPr>
          <w:rFonts w:ascii="Arial" w:hAnsi="Arial" w:cs="Arial"/>
          <w:sz w:val="24"/>
          <w:szCs w:val="24"/>
          <w:lang w:val="en-US"/>
        </w:rPr>
        <w:t xml:space="preserve"> in other settings and countries</w:t>
      </w:r>
      <w:r w:rsidR="00DE09E8" w:rsidRPr="00CC1992">
        <w:rPr>
          <w:rFonts w:ascii="Arial" w:hAnsi="Arial" w:cs="Arial"/>
          <w:sz w:val="24"/>
          <w:szCs w:val="24"/>
          <w:lang w:val="en-US"/>
        </w:rPr>
        <w:t>.</w:t>
      </w:r>
    </w:p>
    <w:p w14:paraId="2DE46494" w14:textId="2DF34B1F" w:rsidR="00B547FA" w:rsidRDefault="00B547FA" w:rsidP="00CA71DD">
      <w:pPr>
        <w:spacing w:line="480" w:lineRule="auto"/>
        <w:jc w:val="both"/>
        <w:rPr>
          <w:rFonts w:ascii="Arial" w:hAnsi="Arial" w:cs="Arial"/>
          <w:sz w:val="24"/>
          <w:szCs w:val="24"/>
          <w:lang w:val="en-US"/>
        </w:rPr>
      </w:pPr>
    </w:p>
    <w:p w14:paraId="36C0D330" w14:textId="5AEDC63F" w:rsidR="008D57AB" w:rsidRPr="005B130E" w:rsidRDefault="00B547FA" w:rsidP="005B130E">
      <w:pPr>
        <w:spacing w:line="480" w:lineRule="auto"/>
        <w:jc w:val="both"/>
        <w:rPr>
          <w:rFonts w:ascii="Arial" w:hAnsi="Arial" w:cs="Arial"/>
          <w:sz w:val="24"/>
          <w:szCs w:val="24"/>
          <w:lang w:val="en-US"/>
        </w:rPr>
      </w:pPr>
      <w:r w:rsidRPr="00CC1992">
        <w:rPr>
          <w:rFonts w:ascii="Arial" w:hAnsi="Arial" w:cs="Arial"/>
          <w:b/>
          <w:bCs/>
          <w:sz w:val="24"/>
          <w:szCs w:val="24"/>
          <w:lang w:val="en-US"/>
        </w:rPr>
        <w:t xml:space="preserve">Keywords: </w:t>
      </w:r>
      <w:r w:rsidRPr="00CC1992">
        <w:rPr>
          <w:rFonts w:ascii="Arial" w:hAnsi="Arial" w:cs="Arial"/>
          <w:sz w:val="24"/>
          <w:szCs w:val="24"/>
          <w:lang w:val="en-US"/>
        </w:rPr>
        <w:t>osteoarthritis; Parkinson’s disease; retrospective cohort study; United Kingdom</w:t>
      </w:r>
      <w:r w:rsidR="008D57AB" w:rsidRPr="00CC1992">
        <w:rPr>
          <w:rFonts w:ascii="Arial" w:hAnsi="Arial" w:cs="Arial"/>
          <w:b/>
          <w:bCs/>
          <w:sz w:val="24"/>
          <w:szCs w:val="24"/>
          <w:lang w:val="en-US"/>
        </w:rPr>
        <w:br w:type="page"/>
      </w:r>
    </w:p>
    <w:p w14:paraId="1E65DA6F" w14:textId="14CDD068" w:rsidR="00CA76E0" w:rsidRPr="00CC1992" w:rsidRDefault="00CA76E0" w:rsidP="00A37A26">
      <w:pPr>
        <w:pStyle w:val="Heading1"/>
      </w:pPr>
      <w:r w:rsidRPr="00CC1992">
        <w:lastRenderedPageBreak/>
        <w:t xml:space="preserve">Introduction </w:t>
      </w:r>
    </w:p>
    <w:p w14:paraId="4479A925" w14:textId="6A4B00F0" w:rsidR="00CA76E0" w:rsidRPr="00CC1992" w:rsidRDefault="00CA76E0" w:rsidP="00CA71DD">
      <w:pPr>
        <w:spacing w:line="480" w:lineRule="auto"/>
        <w:jc w:val="both"/>
        <w:rPr>
          <w:rFonts w:ascii="Arial" w:hAnsi="Arial" w:cs="Arial"/>
          <w:sz w:val="24"/>
          <w:szCs w:val="24"/>
          <w:lang w:val="en-US"/>
        </w:rPr>
      </w:pPr>
    </w:p>
    <w:p w14:paraId="5A6FF55E" w14:textId="68D7A4A6" w:rsidR="00636E52" w:rsidRPr="00CC1992" w:rsidRDefault="00636E52" w:rsidP="00CA71DD">
      <w:pPr>
        <w:spacing w:line="480" w:lineRule="auto"/>
        <w:jc w:val="both"/>
        <w:rPr>
          <w:rFonts w:ascii="Arial" w:hAnsi="Arial" w:cs="Arial"/>
          <w:sz w:val="24"/>
          <w:szCs w:val="24"/>
          <w:lang w:val="en-US"/>
        </w:rPr>
      </w:pPr>
      <w:r w:rsidRPr="00CC1992">
        <w:rPr>
          <w:rFonts w:ascii="Arial" w:hAnsi="Arial" w:cs="Arial"/>
          <w:sz w:val="24"/>
          <w:szCs w:val="24"/>
          <w:lang w:val="en-US"/>
        </w:rPr>
        <w:t xml:space="preserve">Parkinson’s disease </w:t>
      </w:r>
      <w:r w:rsidR="00363AC2" w:rsidRPr="00CC1992">
        <w:rPr>
          <w:rFonts w:ascii="Arial" w:hAnsi="Arial" w:cs="Arial"/>
          <w:sz w:val="24"/>
          <w:szCs w:val="24"/>
          <w:lang w:val="en-US"/>
        </w:rPr>
        <w:t xml:space="preserve">is a progressive neurodegenerative disorder </w:t>
      </w:r>
      <w:r w:rsidR="00422809" w:rsidRPr="00CC1992">
        <w:rPr>
          <w:rFonts w:ascii="Arial" w:hAnsi="Arial" w:cs="Arial"/>
          <w:sz w:val="24"/>
          <w:szCs w:val="24"/>
          <w:lang w:val="en-US"/>
        </w:rPr>
        <w:t>caused by a loss of dopaminergic neurons</w:t>
      </w:r>
      <w:r w:rsidR="00FE4E8F" w:rsidRPr="00CC1992">
        <w:rPr>
          <w:rFonts w:ascii="Arial" w:hAnsi="Arial" w:cs="Arial"/>
          <w:sz w:val="24"/>
          <w:szCs w:val="24"/>
          <w:lang w:val="en-US"/>
        </w:rPr>
        <w:t xml:space="preserve"> </w:t>
      </w:r>
      <w:r w:rsidR="00FE4E8F"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rYnVslK6","properties":{"formattedCitation":"[1]","plainCitation":"[1]","noteIndex":0},"citationItems":[{"id":21307,"uris":["http://zotero.org/users/local/hhPVnw6l/items/42XM2R4X"],"uri":["http://zotero.org/users/local/hhPVnw6l/items/42XM2R4X"],"itemData":{"id":21307,"type":"article-journal","abstract":"Parkinson's disease (PD) is a neurodegenerative disease of the central nervous system caused due to the loss of dopaminergic neurons. It is classified under movement disorder as patients with PD present with tremor, rigidity, postural changes, and a decrease in spontaneous movements. Comorbidities including anxiety, depression, fatigue, and sleep disorders are observed prior to the diagnosis of PD. Gene mutations, exposure to toxic substances, and aging are considered as the causative factors of PD even though its genesis is unknown. This paper reviews PD etiologies, progression, and in particular measurable indicators of PD such as neuroimaging and electrophysiology modalities. In addition to gene therapy, neuroprotective, pharmacological, and neural transplantation treatments, researchers are actively aiming at identifying biological markers of PD with the goal of early diagnosis. Neuroimaging modalities used together with advanced machine learning techniques offer a promising path for the early detection and intervention in PD patients.","container-title":"Computers in Biology and Medicine","DOI":"10.1016/j.compbiomed.2018.09.008","ISSN":"1879-0534","journalAbbreviation":"Comput Biol Med","language":"eng","note":"PMID: 30253869","page":"234-241","source":"PubMed","title":"Parkinson's disease: Cause factors, measurable indicators, and early diagnosis","title-short":"Parkinson's disease","volume":"102","author":[{"family":"Bhat","given":"Shreya"},{"family":"Acharya","given":"U. Rajendra"},{"family":"Hagiwara","given":"Yuki"},{"family":"Dadmehr","given":"Nahid"},{"family":"Adeli","given":"Hojjat"}],"issued":{"date-parts":[["2018",11,1]]}}}],"schema":"https://github.com/citation-style-language/schema/raw/master/csl-citation.json"} </w:instrText>
      </w:r>
      <w:r w:rsidR="00FE4E8F" w:rsidRPr="00CC1992">
        <w:rPr>
          <w:rFonts w:ascii="Arial" w:hAnsi="Arial" w:cs="Arial"/>
          <w:sz w:val="24"/>
          <w:szCs w:val="24"/>
          <w:lang w:val="en-US"/>
        </w:rPr>
        <w:fldChar w:fldCharType="separate"/>
      </w:r>
      <w:r w:rsidR="00F67324">
        <w:rPr>
          <w:rFonts w:ascii="Arial" w:hAnsi="Arial" w:cs="Arial"/>
          <w:noProof/>
          <w:sz w:val="24"/>
          <w:szCs w:val="24"/>
          <w:lang w:val="en-US"/>
        </w:rPr>
        <w:t>[1]</w:t>
      </w:r>
      <w:r w:rsidR="00FE4E8F" w:rsidRPr="00CC1992">
        <w:rPr>
          <w:rFonts w:ascii="Arial" w:hAnsi="Arial" w:cs="Arial"/>
          <w:sz w:val="24"/>
          <w:szCs w:val="24"/>
          <w:lang w:val="en-US"/>
        </w:rPr>
        <w:fldChar w:fldCharType="end"/>
      </w:r>
      <w:r w:rsidR="005C5215" w:rsidRPr="00CC1992">
        <w:rPr>
          <w:rFonts w:ascii="Arial" w:hAnsi="Arial" w:cs="Arial"/>
          <w:sz w:val="24"/>
          <w:szCs w:val="24"/>
          <w:lang w:val="en-US"/>
        </w:rPr>
        <w:t xml:space="preserve">, </w:t>
      </w:r>
      <w:r w:rsidR="005F1EA2">
        <w:rPr>
          <w:rFonts w:ascii="Arial" w:hAnsi="Arial" w:cs="Arial"/>
          <w:sz w:val="24"/>
          <w:szCs w:val="24"/>
          <w:lang w:val="en-US"/>
        </w:rPr>
        <w:t xml:space="preserve">and </w:t>
      </w:r>
      <w:r w:rsidR="00363AC2" w:rsidRPr="00CC1992">
        <w:rPr>
          <w:rFonts w:ascii="Arial" w:hAnsi="Arial" w:cs="Arial"/>
          <w:sz w:val="24"/>
          <w:szCs w:val="24"/>
          <w:lang w:val="en-US"/>
        </w:rPr>
        <w:t xml:space="preserve">characterized by </w:t>
      </w:r>
      <w:r w:rsidR="00794A7A" w:rsidRPr="00CC1992">
        <w:rPr>
          <w:rFonts w:ascii="Arial" w:hAnsi="Arial" w:cs="Arial"/>
          <w:sz w:val="24"/>
          <w:szCs w:val="24"/>
          <w:lang w:val="en-US"/>
        </w:rPr>
        <w:t xml:space="preserve">motor </w:t>
      </w:r>
      <w:r w:rsidR="004E0ABB" w:rsidRPr="00CC1992">
        <w:rPr>
          <w:rFonts w:ascii="Arial" w:hAnsi="Arial" w:cs="Arial"/>
          <w:sz w:val="24"/>
          <w:szCs w:val="24"/>
          <w:lang w:val="en-US"/>
        </w:rPr>
        <w:t>(e.g.,</w:t>
      </w:r>
      <w:r w:rsidR="00167CC6" w:rsidRPr="00CC1992">
        <w:rPr>
          <w:rFonts w:ascii="Arial" w:hAnsi="Arial" w:cs="Arial"/>
          <w:sz w:val="24"/>
          <w:szCs w:val="24"/>
          <w:lang w:val="en-US"/>
        </w:rPr>
        <w:t xml:space="preserve"> </w:t>
      </w:r>
      <w:r w:rsidR="00180F27" w:rsidRPr="00CC1992">
        <w:rPr>
          <w:rFonts w:ascii="Arial" w:hAnsi="Arial" w:cs="Arial"/>
          <w:sz w:val="24"/>
          <w:szCs w:val="24"/>
          <w:lang w:val="en-US"/>
        </w:rPr>
        <w:t xml:space="preserve">resting tremor, </w:t>
      </w:r>
      <w:r w:rsidR="00A41592" w:rsidRPr="00CC1992">
        <w:rPr>
          <w:rFonts w:ascii="Arial" w:hAnsi="Arial" w:cs="Arial"/>
          <w:sz w:val="24"/>
          <w:szCs w:val="24"/>
          <w:lang w:val="en-US"/>
        </w:rPr>
        <w:t xml:space="preserve">muscular </w:t>
      </w:r>
      <w:r w:rsidR="00C7671F" w:rsidRPr="00CC1992">
        <w:rPr>
          <w:rFonts w:ascii="Arial" w:hAnsi="Arial" w:cs="Arial"/>
          <w:sz w:val="24"/>
          <w:szCs w:val="24"/>
          <w:lang w:val="en-US"/>
        </w:rPr>
        <w:t>rigidity and bradykinesia)</w:t>
      </w:r>
      <w:r w:rsidR="004E0ABB" w:rsidRPr="00CC1992">
        <w:rPr>
          <w:rFonts w:ascii="Arial" w:hAnsi="Arial" w:cs="Arial"/>
          <w:sz w:val="24"/>
          <w:szCs w:val="24"/>
          <w:lang w:val="en-US"/>
        </w:rPr>
        <w:t xml:space="preserve"> </w:t>
      </w:r>
      <w:r w:rsidR="00684F4B" w:rsidRPr="00CC1992">
        <w:rPr>
          <w:rFonts w:ascii="Arial" w:hAnsi="Arial" w:cs="Arial"/>
          <w:sz w:val="24"/>
          <w:szCs w:val="24"/>
          <w:lang w:val="en-US"/>
        </w:rPr>
        <w:t xml:space="preserve">and non-motor </w:t>
      </w:r>
      <w:r w:rsidR="00363AC2" w:rsidRPr="00CC1992">
        <w:rPr>
          <w:rFonts w:ascii="Arial" w:hAnsi="Arial" w:cs="Arial"/>
          <w:sz w:val="24"/>
          <w:szCs w:val="24"/>
          <w:lang w:val="en-US"/>
        </w:rPr>
        <w:t>symptoms</w:t>
      </w:r>
      <w:r w:rsidR="004E0ABB" w:rsidRPr="00CC1992">
        <w:rPr>
          <w:rFonts w:ascii="Arial" w:hAnsi="Arial" w:cs="Arial"/>
          <w:sz w:val="24"/>
          <w:szCs w:val="24"/>
          <w:lang w:val="en-US"/>
        </w:rPr>
        <w:t xml:space="preserve"> (e.g.,</w:t>
      </w:r>
      <w:r w:rsidR="0064280D" w:rsidRPr="00CC1992">
        <w:rPr>
          <w:rFonts w:ascii="Arial" w:hAnsi="Arial" w:cs="Arial"/>
          <w:sz w:val="24"/>
          <w:szCs w:val="24"/>
          <w:lang w:val="en-US"/>
        </w:rPr>
        <w:t xml:space="preserve"> apathy, </w:t>
      </w:r>
      <w:r w:rsidR="006D5317" w:rsidRPr="00CC1992">
        <w:rPr>
          <w:rFonts w:ascii="Arial" w:hAnsi="Arial" w:cs="Arial"/>
          <w:sz w:val="24"/>
          <w:szCs w:val="24"/>
          <w:lang w:val="en-US"/>
        </w:rPr>
        <w:t xml:space="preserve">orthostatic hypotension and </w:t>
      </w:r>
      <w:r w:rsidR="000D7DC5" w:rsidRPr="00CC1992">
        <w:rPr>
          <w:rFonts w:ascii="Arial" w:hAnsi="Arial" w:cs="Arial"/>
          <w:sz w:val="24"/>
          <w:szCs w:val="24"/>
          <w:lang w:val="en-US"/>
        </w:rPr>
        <w:t>olfactory dysfunction)</w:t>
      </w:r>
      <w:r w:rsidR="002D5F2F" w:rsidRPr="00CC1992">
        <w:rPr>
          <w:rFonts w:ascii="Arial" w:hAnsi="Arial" w:cs="Arial"/>
          <w:sz w:val="24"/>
          <w:szCs w:val="24"/>
          <w:lang w:val="en-US"/>
        </w:rPr>
        <w:t xml:space="preserve"> </w:t>
      </w:r>
      <w:r w:rsidR="002D5F2F"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lYtmpB29","properties":{"formattedCitation":"[2,3]","plainCitation":"[2,3]","noteIndex":0},"citationItems":[{"id":21312,"uris":["http://zotero.org/users/local/hhPVnw6l/items/KI7GATKS"],"uri":["http://zotero.org/users/local/hhPVnw6l/items/KI7GATKS"],"itemData":{"id":21312,"type":"article-journal","abstract":"Although Parkinson's disease (PD) is diagnosed on the basis of motor symptoms, including slowness of movement, tremor, rigidity and difficulties with balance and walking, now we are aware that non-motor symptoms are highly prevalent, since they can anticipate motor symptoms and can cause severe consequences. Several studies have shown that non-motor symptoms, such as depression, anxiety and apathy, psychosis (e.g., hallucinations, delusions), sleep disturbance, and pain may have a greater adverse impact on quality of life and health economics compared with motor symptoms. Non-motor symptoms can be divided into four domains: neuropsychiatric (e.g., depression, anxiety, apathy, hallucinations, dementia), autonomic (e.g., constipation, orthostatic hypotension, urinary changes, sweating abnormalities), sleep (e.g., insomnia, sleep fragmentation, excessive daytime sleepiness, rapid eye movement, sleep behavioural disorder, restless leg syndrome), and sensory dysfunction (e.g., pain, olfactory dysfunction). This review addresses diagnosis and treatment of these disorders. The causative mechanisms remain complex, since they reflect the widespread brainstem and cortical pathology of PD, with involvement of several neurotransmitters, including dopamine (DA), serotonin, norepinephrine, and acetylcholine. The diagnosis is often challenging, especially for psychiatric disorders, and in particular affective disorders, because somatic features of psychopathology may overlap with the movement disorder itself. Treatments used are limited and psychiatric drugs may not be as effective as in general population. Evidence based medicine is quite poor and it still requires well-designed clinical studies.","container-title":"Archives Italiennes De Biologie","ISSN":"0003-9829","issue":"4","journalAbbreviation":"Arch Ital Biol","language":"eng","note":"PMID: 24873924","page":"148-168","source":"PubMed","title":"A clinical overview of non-motor symptoms in Parkinson's Disease","volume":"151","author":[{"family":"Modugno","given":"Nicola"},{"family":"Lena","given":"Francesco"},{"family":"Di Biasio","given":"Francesca"},{"family":"Cerrone","given":"Gloria"},{"family":"Ruggieri","given":"Stefano"},{"family":"Fornai","given":"Francesco"}],"issued":{"date-parts":[["2013",12]]}}},{"id":21309,"uris":["http://zotero.org/users/local/hhPVnw6l/items/AIBB69NZ"],"uri":["http://zotero.org/users/local/hhPVnw6l/items/AIBB69NZ"],"itemData":{"id":21309,"type":"article-journal","abstract":"This article—the first of a five-part series—discusses possible causes, symptoms, diagnosis, and goals for treatment of Parkinson’s disease. Identifying diseases that have similar presentations is an important component of the diagnostic process.","container-title":"Pharmacy and Therapeutics","ISSN":"1052-1372","issue":"8","journalAbbreviation":"P T","note":"PMID: 26236139\nPMCID: PMC4517533","page":"504-532","source":"PubMed Central","title":"Parkinson’s Disease and Its Management","volume":"40","author":[{"family":"DeMaagd","given":"George"},{"family":"Philip","given":"Ashok"}],"issued":{"date-parts":[["2015",8]]}}}],"schema":"https://github.com/citation-style-language/schema/raw/master/csl-citation.json"} </w:instrText>
      </w:r>
      <w:r w:rsidR="002D5F2F" w:rsidRPr="00CC1992">
        <w:rPr>
          <w:rFonts w:ascii="Arial" w:hAnsi="Arial" w:cs="Arial"/>
          <w:sz w:val="24"/>
          <w:szCs w:val="24"/>
          <w:lang w:val="en-US"/>
        </w:rPr>
        <w:fldChar w:fldCharType="separate"/>
      </w:r>
      <w:r w:rsidR="00F67324">
        <w:rPr>
          <w:rFonts w:ascii="Arial" w:hAnsi="Arial" w:cs="Arial"/>
          <w:noProof/>
          <w:sz w:val="24"/>
          <w:szCs w:val="24"/>
          <w:lang w:val="en-US"/>
        </w:rPr>
        <w:t>[2,3]</w:t>
      </w:r>
      <w:r w:rsidR="002D5F2F" w:rsidRPr="00CC1992">
        <w:rPr>
          <w:rFonts w:ascii="Arial" w:hAnsi="Arial" w:cs="Arial"/>
          <w:sz w:val="24"/>
          <w:szCs w:val="24"/>
          <w:lang w:val="en-US"/>
        </w:rPr>
        <w:fldChar w:fldCharType="end"/>
      </w:r>
      <w:r w:rsidR="000D7DC5" w:rsidRPr="00CC1992">
        <w:rPr>
          <w:rFonts w:ascii="Arial" w:hAnsi="Arial" w:cs="Arial"/>
          <w:sz w:val="24"/>
          <w:szCs w:val="24"/>
          <w:lang w:val="en-US"/>
        </w:rPr>
        <w:t>.</w:t>
      </w:r>
      <w:r w:rsidR="002D5F2F" w:rsidRPr="00CC1992">
        <w:rPr>
          <w:rFonts w:ascii="Arial" w:hAnsi="Arial" w:cs="Arial"/>
          <w:sz w:val="24"/>
          <w:szCs w:val="24"/>
          <w:lang w:val="en-US"/>
        </w:rPr>
        <w:t xml:space="preserve"> </w:t>
      </w:r>
      <w:r w:rsidR="00C4432E" w:rsidRPr="00CC1992">
        <w:rPr>
          <w:rFonts w:ascii="Arial" w:hAnsi="Arial" w:cs="Arial"/>
          <w:sz w:val="24"/>
          <w:szCs w:val="24"/>
          <w:lang w:val="en-US"/>
        </w:rPr>
        <w:t xml:space="preserve">The </w:t>
      </w:r>
      <w:r w:rsidR="00CA71DD">
        <w:rPr>
          <w:rFonts w:ascii="Arial" w:hAnsi="Arial" w:cs="Arial"/>
          <w:sz w:val="24"/>
          <w:szCs w:val="24"/>
          <w:lang w:val="en-US"/>
        </w:rPr>
        <w:t xml:space="preserve">global </w:t>
      </w:r>
      <w:r w:rsidR="00C4432E" w:rsidRPr="00CC1992">
        <w:rPr>
          <w:rFonts w:ascii="Arial" w:hAnsi="Arial" w:cs="Arial"/>
          <w:sz w:val="24"/>
          <w:szCs w:val="24"/>
          <w:lang w:val="en-US"/>
        </w:rPr>
        <w:t xml:space="preserve">prevalence of Parkinson’s disease is </w:t>
      </w:r>
      <w:r w:rsidR="00770856" w:rsidRPr="00CC1992">
        <w:rPr>
          <w:rFonts w:ascii="Arial" w:hAnsi="Arial" w:cs="Arial"/>
          <w:sz w:val="24"/>
          <w:szCs w:val="24"/>
          <w:lang w:val="en-US"/>
        </w:rPr>
        <w:t>0.1-</w:t>
      </w:r>
      <w:r w:rsidR="00435384" w:rsidRPr="00CC1992">
        <w:rPr>
          <w:rFonts w:ascii="Arial" w:hAnsi="Arial" w:cs="Arial"/>
          <w:sz w:val="24"/>
          <w:szCs w:val="24"/>
          <w:lang w:val="en-US"/>
        </w:rPr>
        <w:t>0.2%</w:t>
      </w:r>
      <w:r w:rsidR="00EC019B" w:rsidRPr="00CC1992">
        <w:rPr>
          <w:rFonts w:ascii="Arial" w:hAnsi="Arial" w:cs="Arial"/>
          <w:sz w:val="24"/>
          <w:szCs w:val="24"/>
          <w:lang w:val="en-US"/>
        </w:rPr>
        <w:t xml:space="preserve"> </w:t>
      </w:r>
      <w:r w:rsidR="00EC019B"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BXYcd2YV","properties":{"formattedCitation":"[4]","plainCitation":"[4]","noteIndex":0},"citationItems":[{"id":21314,"uris":["http://zotero.org/users/local/hhPVnw6l/items/5IEH3YFT"],"uri":["http://zotero.org/users/local/hhPVnw6l/items/5IEH3YFT"],"itemData":{"id":21314,"type":"article-journal","abstract":"Parkinson's disease (PD) affects 1-2 per 1000 of the population at any time. PD prevalence is increasing with age and PD affects 1% of the population above 60 years. The main neuropathological finding is α-synuclein-containing Lewy bodies and loss of dopaminergic neurons in the substantia nigra, manifesting as reduced facilitation of voluntary movements. With progression of PD, Lewy body pathology spreads to neocortical and cortical regions. PD is regarded as a movement disorder with three cardinal signs: tremor, rigidity and bradykinesia. A recent revision of the diagnostic criteria excludes postural instability as a fourth hallmark and defines supportive criteria, absolute exclusion criteria and red flags. Non-motor symptoms in PD have gained increasing attention and both motor and non-motor signs are now included among the supportive criteria. The cause of PD is unknown in most cases. Genetic risk factors have been identified, including monogenetic causes that are rare in unselected populations. Some genetic factor can be identified in 5-10% of the patients. Several environmental factors are associated with increased risk of PD. Autopsy studies show that the clinical diagnosis of PD is not confirmed at autopsy in a significant proportion of patients. Revised diagnostic criteria are expected to improve the clinician´s accuracy in diagnosing PD. Increasing knowledge on genetic and environmental risk factors of PD will probably elucidate the cause of this disease within the near future.","container-title":"Journal of Neural Transmission (Vienna, Austria: 1996)","DOI":"10.1007/s00702-017-1686-y","ISSN":"1435-1463","issue":"8","journalAbbreviation":"J Neural Transm (Vienna)","language":"eng","note":"PMID: 28150045","page":"901-905","source":"PubMed","title":"Epidemiology of Parkinson's disease","volume":"124","author":[{"family":"Tysnes","given":"Ole-Bjørn"},{"family":"Storstein","given":"Anette"}],"issued":{"date-parts":[["2017",8]]}}}],"schema":"https://github.com/citation-style-language/schema/raw/master/csl-citation.json"} </w:instrText>
      </w:r>
      <w:r w:rsidR="00EC019B" w:rsidRPr="00CC1992">
        <w:rPr>
          <w:rFonts w:ascii="Arial" w:hAnsi="Arial" w:cs="Arial"/>
          <w:sz w:val="24"/>
          <w:szCs w:val="24"/>
          <w:lang w:val="en-US"/>
        </w:rPr>
        <w:fldChar w:fldCharType="separate"/>
      </w:r>
      <w:r w:rsidR="00F67324">
        <w:rPr>
          <w:rFonts w:ascii="Arial" w:hAnsi="Arial" w:cs="Arial"/>
          <w:noProof/>
          <w:sz w:val="24"/>
          <w:szCs w:val="24"/>
          <w:lang w:val="en-US"/>
        </w:rPr>
        <w:t>[4]</w:t>
      </w:r>
      <w:r w:rsidR="00EC019B" w:rsidRPr="00CC1992">
        <w:rPr>
          <w:rFonts w:ascii="Arial" w:hAnsi="Arial" w:cs="Arial"/>
          <w:sz w:val="24"/>
          <w:szCs w:val="24"/>
          <w:lang w:val="en-US"/>
        </w:rPr>
        <w:fldChar w:fldCharType="end"/>
      </w:r>
      <w:r w:rsidR="00BA18BA" w:rsidRPr="00CC1992">
        <w:rPr>
          <w:rFonts w:ascii="Arial" w:hAnsi="Arial" w:cs="Arial"/>
          <w:sz w:val="24"/>
          <w:szCs w:val="24"/>
          <w:lang w:val="en-US"/>
        </w:rPr>
        <w:t>,</w:t>
      </w:r>
      <w:r w:rsidR="002B307C" w:rsidRPr="00CC1992">
        <w:rPr>
          <w:rFonts w:ascii="Arial" w:hAnsi="Arial" w:cs="Arial"/>
          <w:sz w:val="24"/>
          <w:szCs w:val="24"/>
          <w:lang w:val="en-US"/>
        </w:rPr>
        <w:t xml:space="preserve"> </w:t>
      </w:r>
      <w:r w:rsidR="00BA18BA" w:rsidRPr="00CC1992">
        <w:rPr>
          <w:rFonts w:ascii="Arial" w:hAnsi="Arial" w:cs="Arial"/>
          <w:sz w:val="24"/>
          <w:szCs w:val="24"/>
          <w:lang w:val="en-US"/>
        </w:rPr>
        <w:t xml:space="preserve">and the number of patients affected by </w:t>
      </w:r>
      <w:r w:rsidR="00467FAD" w:rsidRPr="00CC1992">
        <w:rPr>
          <w:rFonts w:ascii="Arial" w:hAnsi="Arial" w:cs="Arial"/>
          <w:sz w:val="24"/>
          <w:szCs w:val="24"/>
          <w:lang w:val="en-US"/>
        </w:rPr>
        <w:t xml:space="preserve">Parkinson’s disease </w:t>
      </w:r>
      <w:r w:rsidR="007B0B6E" w:rsidRPr="00CC1992">
        <w:rPr>
          <w:rFonts w:ascii="Arial" w:hAnsi="Arial" w:cs="Arial"/>
          <w:sz w:val="24"/>
          <w:szCs w:val="24"/>
          <w:lang w:val="en-US"/>
        </w:rPr>
        <w:t>has steadily increased over the past decades</w:t>
      </w:r>
      <w:r w:rsidR="00AA2141" w:rsidRPr="00CC1992">
        <w:rPr>
          <w:rFonts w:ascii="Arial" w:hAnsi="Arial" w:cs="Arial"/>
          <w:sz w:val="24"/>
          <w:szCs w:val="24"/>
          <w:lang w:val="en-US"/>
        </w:rPr>
        <w:t xml:space="preserve"> </w:t>
      </w:r>
      <w:r w:rsidR="00AA2141"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pMICdF8X","properties":{"formattedCitation":"[5]","plainCitation":"[5]","noteIndex":0},"citationItems":[{"id":21316,"uris":["http://zotero.org/users/local/hhPVnw6l/items/TKD7HLV9"],"uri":["http://zotero.org/users/local/hhPVnw6l/items/TKD7HLV9"],"itemData":{"id":21316,"type":"article-journal","abstract":"BACKGROUND: Neurological disorders are now the leading source of disability globally, and ageing is increasing the burden of neurodegenerative disorders, including Parkinson's disease. We aimed to determine the global burden of Parkinson's disease between 1990 and 2016 to identify trends and to enable appropriate public health, medical, and scientific responses.\nMETHODS: Through a systematic analysis of epidemiological studies, we estimated global, regional, and country-specific prevalence and years of life lived with disability for Parkinson's disease from 1990 to 2016. We estimated the proportion of mild, moderate, and severe Parkinson's disease on the basis of studies that used the Hoehn and Yahr scale and assigned disability weights to each level. We jointly modelled prevalence and excess mortality risk in a natural history model to derive estimates of deaths due to Parkinson's disease. Death counts were multiplied by values from the Global Burden of Disease study's standard life expectancy to compute years of life lost. Disability-adjusted life-years (DALYs) were computed as the sum of years lived with disability and years of life lost. We also analysed results based on the Socio-demographic Index, a compound measure of income per capita, education, and fertility.\nFINDINGS: In 2016, 6·1 million (95% uncertainty interval [UI] 5·0-7·3) individuals had Parkinson's disease globally, compared with 2·5 million (2·0-3·0) in 1990. This increase was not solely due to increasing numbers of older people, because age-standardised prevalence rates increased by 21·7% (95% UI 18·1-25·3) over the same period (compared with an increase of 74·3%, 95% UI 69·2-79·6, for crude prevalence rates). Parkinson's disease caused 3·2 million (95% UI 2·6-4·0) DALYs and 211 296 deaths (95% UI 167 771-265 160) in 2016. The male-to-female ratios of age-standardised prevalence rates were similar in 2016 (1·40, 95% UI 1·36-1·43) and 1990 (1·37, 1·34-1·40). From 1990 to 2016, age-standardised prevalence, DALY rates, and death rates increased for all global burden of disease regions except for southern Latin America, eastern Europe, and Oceania. In addition, age-standardised DALY rates generally increased across the Socio-demographic Index.\nINTERPRETATION: Over the past generation, the global burden of Parkinson's disease has more than doubled as a result of increasing numbers of older people, with potential contributions from longer disease duration and environmental factors. Demographic and potentially other factors are poised to increase the future burden of Parkinson's disease substantially.\nFUNDING: Bill &amp; Melinda Gates Foundation.","container-title":"The Lancet. Neurology","DOI":"10.1016/S1474-4422(18)30295-3","ISSN":"1474-4465","issue":"11","journalAbbreviation":"Lancet Neurol","language":"eng","note":"PMID: 30287051\nPMCID: PMC6191528","page":"939-953","source":"PubMed","title":"Global, regional, and national burden of Parkinson's disease, 1990-2016: a systematic analysis for the Global Burden of Disease Study 2016","title-short":"Global, regional, and national burden of Parkinson's disease, 1990-2016","volume":"17","author":[{"literal":"GBD 2016 Parkinson's Disease Collaborators"}],"issued":{"date-parts":[["2018",11]]}}}],"schema":"https://github.com/citation-style-language/schema/raw/master/csl-citation.json"} </w:instrText>
      </w:r>
      <w:r w:rsidR="00AA2141" w:rsidRPr="00CC1992">
        <w:rPr>
          <w:rFonts w:ascii="Arial" w:hAnsi="Arial" w:cs="Arial"/>
          <w:sz w:val="24"/>
          <w:szCs w:val="24"/>
          <w:lang w:val="en-US"/>
        </w:rPr>
        <w:fldChar w:fldCharType="separate"/>
      </w:r>
      <w:r w:rsidR="00F67324">
        <w:rPr>
          <w:rFonts w:ascii="Arial" w:hAnsi="Arial" w:cs="Arial"/>
          <w:noProof/>
          <w:sz w:val="24"/>
          <w:szCs w:val="24"/>
          <w:lang w:val="en-US"/>
        </w:rPr>
        <w:t>[5]</w:t>
      </w:r>
      <w:r w:rsidR="00AA2141" w:rsidRPr="00CC1992">
        <w:rPr>
          <w:rFonts w:ascii="Arial" w:hAnsi="Arial" w:cs="Arial"/>
          <w:sz w:val="24"/>
          <w:szCs w:val="24"/>
          <w:lang w:val="en-US"/>
        </w:rPr>
        <w:fldChar w:fldCharType="end"/>
      </w:r>
      <w:r w:rsidR="007B0B6E" w:rsidRPr="00CC1992">
        <w:rPr>
          <w:rFonts w:ascii="Arial" w:hAnsi="Arial" w:cs="Arial"/>
          <w:sz w:val="24"/>
          <w:szCs w:val="24"/>
          <w:lang w:val="en-US"/>
        </w:rPr>
        <w:t xml:space="preserve">. </w:t>
      </w:r>
      <w:r w:rsidR="00F668AA" w:rsidRPr="00CC1992">
        <w:rPr>
          <w:rFonts w:ascii="Arial" w:hAnsi="Arial" w:cs="Arial"/>
          <w:sz w:val="24"/>
          <w:szCs w:val="24"/>
          <w:lang w:val="en-US"/>
        </w:rPr>
        <w:t>Frailty</w:t>
      </w:r>
      <w:r w:rsidR="007C06F6" w:rsidRPr="00CC1992">
        <w:rPr>
          <w:rFonts w:ascii="Arial" w:hAnsi="Arial" w:cs="Arial"/>
          <w:sz w:val="24"/>
          <w:szCs w:val="24"/>
          <w:lang w:val="en-US"/>
        </w:rPr>
        <w:t xml:space="preserve"> </w:t>
      </w:r>
      <w:r w:rsidR="007C06F6"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HOFZnpue","properties":{"formattedCitation":"[6]","plainCitation":"[6]","noteIndex":0},"citationItems":[{"id":21319,"uris":["http://zotero.org/users/local/hhPVnw6l/items/LL5LI8HN"],"uri":["http://zotero.org/users/local/hhPVnw6l/items/LL5LI8HN"],"itemData":{"id":21319,"type":"article-journal","abstract":"Introduction\nFrailty and Parkinson’s disease (PD) are common conditions that increase with age. Independently, frailty and PD lead to increased morbidity and mortality for patients. Few studies report on frailty in patients with PD. We performed a systematic review and meta-analysis of the prevalence, associations and outcomes of frailty in persons with PD.\nMethods\nWe searched four electronic databases and grey literature from inception to May 19, 2020, for articles which reported the prevalence, associations and outcomes of frailty in persons with PD.\nResults\nOne-thousand and sixty-three citations were identified, of which 127 articles were reviewed. Thirty studies were included. Twenty-eight studies were observational and the settings varied including 25 community and 5 inpatient studies. The most common frailty screening measures were the frailty phenotype and clinical frailty scale. The prevalence of frailty in PD using the FP was 0.38 (0.24–0.55) with I2 = 92.6% (p &lt; 0.01). Frailty was associated with recurrent falls, cognitive impairment, dementia, orthostatic hypotension, fatigue, hallucinations, nursing home placement, dependency in activities of daily living and in-patient mortality. PD disease duration, motor impairment, non-tremor dominant PD (postural instability/gait difficulty dominant phenotype) and total daily levodopa dose were associated with frailty.\nConclusion\nFrailty is common in PD. There is no agreed upon tool for identifying frailty, however, the importance of its identification is apparent given the high prevalence and the association between frailty and adverse outcomes in persons with PD. Future studies are required to guide clinicians in how best to identify and manage frail patients with PD.","container-title":"Clinical Parkinsonism &amp; Related Disorders","DOI":"10.1016/j.prdoa.2021.100095","ISSN":"2590-1125","journalAbbreviation":"Clinical Parkinsonism &amp; Related Disorders","language":"en","page":"100095","source":"ScienceDirect","title":"Frailty in Parkinson’s disease: A systematic review and meta-analysis","title-short":"Frailty in Parkinson’s disease","volume":"4","author":[{"family":"McMillan","given":"Jacqueline M."},{"family":"Michalchuk","given":"Quentin"},{"family":"Goodarzi","given":"Zahra"}],"issued":{"date-parts":[["2021",1,1]]}}}],"schema":"https://github.com/citation-style-language/schema/raw/master/csl-citation.json"} </w:instrText>
      </w:r>
      <w:r w:rsidR="007C06F6" w:rsidRPr="00CC1992">
        <w:rPr>
          <w:rFonts w:ascii="Arial" w:hAnsi="Arial" w:cs="Arial"/>
          <w:sz w:val="24"/>
          <w:szCs w:val="24"/>
          <w:lang w:val="en-US"/>
        </w:rPr>
        <w:fldChar w:fldCharType="separate"/>
      </w:r>
      <w:r w:rsidR="00F67324">
        <w:rPr>
          <w:rFonts w:ascii="Arial" w:hAnsi="Arial" w:cs="Arial"/>
          <w:noProof/>
          <w:sz w:val="24"/>
          <w:szCs w:val="24"/>
          <w:lang w:val="en-US"/>
        </w:rPr>
        <w:t>[6]</w:t>
      </w:r>
      <w:r w:rsidR="007C06F6" w:rsidRPr="00CC1992">
        <w:rPr>
          <w:rFonts w:ascii="Arial" w:hAnsi="Arial" w:cs="Arial"/>
          <w:sz w:val="24"/>
          <w:szCs w:val="24"/>
          <w:lang w:val="en-US"/>
        </w:rPr>
        <w:fldChar w:fldCharType="end"/>
      </w:r>
      <w:r w:rsidR="003C76B4" w:rsidRPr="00CC1992">
        <w:rPr>
          <w:rFonts w:ascii="Arial" w:hAnsi="Arial" w:cs="Arial"/>
          <w:sz w:val="24"/>
          <w:szCs w:val="24"/>
          <w:lang w:val="en-US"/>
        </w:rPr>
        <w:t xml:space="preserve"> and </w:t>
      </w:r>
      <w:r w:rsidR="00BE6A87" w:rsidRPr="00CC1992">
        <w:rPr>
          <w:rFonts w:ascii="Arial" w:hAnsi="Arial" w:cs="Arial"/>
          <w:sz w:val="24"/>
          <w:szCs w:val="24"/>
          <w:lang w:val="en-US"/>
        </w:rPr>
        <w:t>mortality</w:t>
      </w:r>
      <w:r w:rsidR="00DE0263" w:rsidRPr="00CC1992">
        <w:rPr>
          <w:rFonts w:ascii="Arial" w:hAnsi="Arial" w:cs="Arial"/>
          <w:sz w:val="24"/>
          <w:szCs w:val="24"/>
          <w:lang w:val="en-US"/>
        </w:rPr>
        <w:t xml:space="preserve"> rates</w:t>
      </w:r>
      <w:r w:rsidR="00613D6E" w:rsidRPr="00CC1992">
        <w:rPr>
          <w:rFonts w:ascii="Arial" w:hAnsi="Arial" w:cs="Arial"/>
          <w:sz w:val="24"/>
          <w:szCs w:val="24"/>
          <w:lang w:val="en-US"/>
        </w:rPr>
        <w:t xml:space="preserve"> </w:t>
      </w:r>
      <w:r w:rsidR="00613D6E"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hhhlIxQb","properties":{"formattedCitation":"[7]","plainCitation":"[7]","noteIndex":0},"citationItems":[{"id":21322,"uris":["http://zotero.org/users/local/hhPVnw6l/items/JAZQS8XR"],"uri":["http://zotero.org/users/local/hhPVnw6l/items/JAZQS8XR"],"itemData":{"id":21322,"type":"article-journal","abstract":"This study was undertaken to perform a systematic review and meta-analysis of studies of mortality in Parkinson's disease (PD) and to investigate which factors were associated with mortality. We conducted comprehensive searches of studies reporting a ratio of mortality in PD versus controls, descriptive survival measures, or factors predicting survival; assessed study quality; and extracted relevant data. Descriptive analysis, meta-analysis, and meta-regression were performed as appropriate. Eighty-eight studies were included in the review with variable study methods and quality. Almost all studies reported increased mortality in PD (vs. controls), with mortality ratios ranging from 0.9 to 3.8, with major between-study heterogeneity. Inception cohorts were more consistent with a pooled mortality ratio of approximately 1.5. Inception cohorts, measurements at longer follow-up duration, and older study recruitment year were associated with lower mortality ratios, but these findings were not robust in sensitivity analyses. Within studies, mortality ratios increased over time. No robust evidence was found that mortality has decreased after the introduction of levodopa (L-dopa). On average, PD survival reduced by approximately 5% every year of follow-up, although there was significant heterogeneity. In post-mortem studies, mean duration until death ranged from 6.9 to 14.3 years. Increasing age and presence of dementia were most commonly associated with increased mortality. Parkinson's disease is associated with increased mortality, but major heterogeneity is seen in estimates of mortality, which is probably explained by variable methodology and patient selection. Individual-patient-data meta-analysis of high-quality inception studies with long-term follow-up would be the optimal way to investigate the factors influencing mortality.","container-title":"Movement Disorders: Official Journal of the Movement Disorder Society","DOI":"10.1002/mds.25898","ISSN":"1531-8257","issue":"13","journalAbbreviation":"Mov Disord","language":"eng","note":"PMID: 24821648","page":"1615-1622","source":"PubMed","title":"Mortality in Parkinson's disease: a systematic review and meta-analysis","title-short":"Mortality in Parkinson's disease","volume":"29","author":[{"family":"Macleod","given":"Angus D."},{"family":"Taylor","given":"Kate S. M."},{"family":"Counsell","given":"Carl E."}],"issued":{"date-parts":[["2014",11]]}}}],"schema":"https://github.com/citation-style-language/schema/raw/master/csl-citation.json"} </w:instrText>
      </w:r>
      <w:r w:rsidR="00613D6E" w:rsidRPr="00CC1992">
        <w:rPr>
          <w:rFonts w:ascii="Arial" w:hAnsi="Arial" w:cs="Arial"/>
          <w:sz w:val="24"/>
          <w:szCs w:val="24"/>
          <w:lang w:val="en-US"/>
        </w:rPr>
        <w:fldChar w:fldCharType="separate"/>
      </w:r>
      <w:r w:rsidR="00F67324">
        <w:rPr>
          <w:rFonts w:ascii="Arial" w:hAnsi="Arial" w:cs="Arial"/>
          <w:noProof/>
          <w:sz w:val="24"/>
          <w:szCs w:val="24"/>
          <w:lang w:val="en-US"/>
        </w:rPr>
        <w:t>[7]</w:t>
      </w:r>
      <w:r w:rsidR="00613D6E" w:rsidRPr="00CC1992">
        <w:rPr>
          <w:rFonts w:ascii="Arial" w:hAnsi="Arial" w:cs="Arial"/>
          <w:sz w:val="24"/>
          <w:szCs w:val="24"/>
          <w:lang w:val="en-US"/>
        </w:rPr>
        <w:fldChar w:fldCharType="end"/>
      </w:r>
      <w:r w:rsidR="00BE6A87" w:rsidRPr="00CC1992">
        <w:rPr>
          <w:rFonts w:ascii="Arial" w:hAnsi="Arial" w:cs="Arial"/>
          <w:sz w:val="24"/>
          <w:szCs w:val="24"/>
          <w:lang w:val="en-US"/>
        </w:rPr>
        <w:t xml:space="preserve">  </w:t>
      </w:r>
      <w:r w:rsidR="00DE0263" w:rsidRPr="00CC1992">
        <w:rPr>
          <w:rFonts w:ascii="Arial" w:hAnsi="Arial" w:cs="Arial"/>
          <w:sz w:val="24"/>
          <w:szCs w:val="24"/>
          <w:lang w:val="en-US"/>
        </w:rPr>
        <w:t xml:space="preserve">are higher in people with Parkinson’s disease than in the general </w:t>
      </w:r>
      <w:r w:rsidR="00847C88" w:rsidRPr="00CC1992">
        <w:rPr>
          <w:rFonts w:ascii="Arial" w:hAnsi="Arial" w:cs="Arial"/>
          <w:sz w:val="24"/>
          <w:szCs w:val="24"/>
          <w:lang w:val="en-US"/>
        </w:rPr>
        <w:t xml:space="preserve">population, while </w:t>
      </w:r>
      <w:r w:rsidR="00CC46EE" w:rsidRPr="00CC1992">
        <w:rPr>
          <w:rFonts w:ascii="Arial" w:hAnsi="Arial" w:cs="Arial"/>
          <w:sz w:val="24"/>
          <w:szCs w:val="24"/>
          <w:lang w:val="en-US"/>
        </w:rPr>
        <w:t>treatment and management of</w:t>
      </w:r>
      <w:r w:rsidR="00467FAD" w:rsidRPr="00CC1992">
        <w:rPr>
          <w:rFonts w:ascii="Arial" w:hAnsi="Arial" w:cs="Arial"/>
          <w:sz w:val="24"/>
          <w:szCs w:val="24"/>
          <w:lang w:val="en-US"/>
        </w:rPr>
        <w:t xml:space="preserve"> this neurological condition impose </w:t>
      </w:r>
      <w:r w:rsidR="00062C03" w:rsidRPr="00CC1992">
        <w:rPr>
          <w:rFonts w:ascii="Arial" w:hAnsi="Arial" w:cs="Arial"/>
          <w:sz w:val="24"/>
          <w:szCs w:val="24"/>
          <w:lang w:val="en-US"/>
        </w:rPr>
        <w:t>substantial costs on patients and their relatives</w:t>
      </w:r>
      <w:r w:rsidR="00AC30AF" w:rsidRPr="00CC1992">
        <w:rPr>
          <w:rFonts w:ascii="Arial" w:hAnsi="Arial" w:cs="Arial"/>
          <w:sz w:val="24"/>
          <w:szCs w:val="24"/>
          <w:lang w:val="en-US"/>
        </w:rPr>
        <w:t xml:space="preserve"> </w:t>
      </w:r>
      <w:r w:rsidR="00AC30AF"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WAU6y9sx","properties":{"formattedCitation":"[8,9]","plainCitation":"[8,9]","noteIndex":0},"citationItems":[{"id":21325,"uris":["http://zotero.org/users/local/hhPVnw6l/items/J4YCAAP4"],"uri":["http://zotero.org/users/local/hhPVnw6l/items/J4YCAAP4"],"itemData":{"id":21325,"type":"article-journal","abstract":"The objective was to provide population-based estimates of incremental medical costs associated with Parkinson's disease (PD) from onset forward. All Olmsted County, Minnesota, residents with confirmed PD onset from 1987 through 1995 (n = 92) and one age- and sex-matched non-PD referent subject per case were identified with retrospective record review and followed in provider-linked billing data for direct medical costs (excluding outpatient pharmaceutical costs) from 1 year before index (i.e., year of symptom onset) through 10 years after index. Costs for each referent subject were subtracted from those for his/her matched case. Tests for statistical significance used Wilcoxon signed ranks. Preindex costs were similar [median difference in annual costs (MD) = -3 dollars; P = 0.59]. One year post index, PD subjects exhibited borderline significantly higher costs compared to referent subjects (MD = 581 dollars; P = 0.052); the difference diminished over 5 years (MD = 118 dollars; P = 0.82). By 5 to 10 years, however, PD subjects exhibited significantly higher costs (MD = 1,146 dollars; P = 0.01). Over the full 10 years, excess costs were concentrated among PD subjects without rest tremor (MD = 2,261 dollars, P &lt; 0.01, for those without tremor and -229 dollars, P = 0.99, for those with tremor). These population-based estimates of PD-associated direct medical costs from onset forward can uniquely inform policy decisions and cost-effectiveness research.","container-title":"Movement Disorders: Official Journal of the Movement Disorder Society","DOI":"10.1002/mds.21075","ISSN":"0885-3185","issue":"11","journalAbbreviation":"Mov Disord","language":"eng","note":"PMID: 16977632","page":"1864-1871","source":"PubMed","title":"Direct medical costs associated with Parkinson's disease: a population-based study","title-short":"Direct medical costs associated with Parkinson's disease","volume":"21","author":[{"family":"Leibson","given":"Cynthia L."},{"family":"Long","given":"Kirsten Hall"},{"family":"Maraganore","given":"Demetrius M."},{"family":"Bower","given":"James H."},{"family":"Ransom","given":"Jeanine E."},{"family":"O'Brien","given":"Peter C."},{"family":"Rocca","given":"Walter A."}],"issued":{"date-parts":[["2006",11]]}}},{"id":21327,"uris":["http://zotero.org/users/local/hhPVnw6l/items/FBQJXHTC"],"uri":["http://zotero.org/users/local/hhPVnw6l/items/FBQJXHTC"],"itemData":{"id":21327,"type":"article-journal","abstract":"Parkinson's disease (PD) is a progressive, neurodegenerative disorder whose symptoms and manifestations greatly deteriorate the health, functional status and quality of life of patients, has severe consequences on their families and caregivers and supposes a challenge for the healthcare system and society. The aim of this paper is to comprehensively and descriptively review studies on the economic impact of the disease and interventions, analyzing major contributing factors to direct and indirect costs in PD. Cost-of-illness studies have shown that costs of PD are high, mainly due to drug, hospitalization and productivity loss, and tend to increase as the disease progresses. Studies on PD treatment have suggested that therapies for advanced PD (levodopa/carbidopa intestinal gel and apomorphine) and surgical procedures are cost-effective and cost saving, despite their high expenditures; however, further research such as on the economic impact of non-motor manifestations or on the cost-effectiveness of non-medical interventions is still needed.","container-title":"Expert Review of Pharmacoeconomics &amp; Outcomes Research","DOI":"10.1586/14737167.2015.1103184","ISSN":"1744-8379","issue":"6","journalAbbreviation":"Expert Rev Pharmacoecon Outcomes Res","language":"eng","note":"PMID: 26511768","page":"889-911","source":"PubMed","title":"Estimating the direct and indirect costs associated with Parkinson's disease","volume":"15","author":[{"family":"Rodríguez-Blázquez","given":"Carmen"},{"family":"Forjaz","given":"Maria João"},{"family":"Lizán","given":"Luis"},{"family":"Paz","given":"Silvia"},{"family":"Martínez-Martín","given":"Pablo"}],"issued":{"date-parts":[["2015"]]}}}],"schema":"https://github.com/citation-style-language/schema/raw/master/csl-citation.json"} </w:instrText>
      </w:r>
      <w:r w:rsidR="00AC30AF" w:rsidRPr="00CC1992">
        <w:rPr>
          <w:rFonts w:ascii="Arial" w:hAnsi="Arial" w:cs="Arial"/>
          <w:sz w:val="24"/>
          <w:szCs w:val="24"/>
          <w:lang w:val="en-US"/>
        </w:rPr>
        <w:fldChar w:fldCharType="separate"/>
      </w:r>
      <w:r w:rsidR="00F67324">
        <w:rPr>
          <w:rFonts w:ascii="Arial" w:hAnsi="Arial" w:cs="Arial"/>
          <w:noProof/>
          <w:sz w:val="24"/>
          <w:szCs w:val="24"/>
          <w:lang w:val="en-US"/>
        </w:rPr>
        <w:t>[8,9]</w:t>
      </w:r>
      <w:r w:rsidR="00AC30AF" w:rsidRPr="00CC1992">
        <w:rPr>
          <w:rFonts w:ascii="Arial" w:hAnsi="Arial" w:cs="Arial"/>
          <w:sz w:val="24"/>
          <w:szCs w:val="24"/>
          <w:lang w:val="en-US"/>
        </w:rPr>
        <w:fldChar w:fldCharType="end"/>
      </w:r>
      <w:r w:rsidR="00062C03" w:rsidRPr="00CC1992">
        <w:rPr>
          <w:rFonts w:ascii="Arial" w:hAnsi="Arial" w:cs="Arial"/>
          <w:sz w:val="24"/>
          <w:szCs w:val="24"/>
          <w:lang w:val="en-US"/>
        </w:rPr>
        <w:t>.</w:t>
      </w:r>
      <w:r w:rsidR="00285599" w:rsidRPr="00CC1992">
        <w:rPr>
          <w:rFonts w:ascii="Arial" w:hAnsi="Arial" w:cs="Arial"/>
          <w:sz w:val="24"/>
          <w:szCs w:val="24"/>
          <w:lang w:val="en-US"/>
        </w:rPr>
        <w:t xml:space="preserve"> </w:t>
      </w:r>
      <w:r w:rsidR="00644147" w:rsidRPr="00CC1992">
        <w:rPr>
          <w:rFonts w:ascii="Arial" w:hAnsi="Arial" w:cs="Arial"/>
          <w:sz w:val="24"/>
          <w:szCs w:val="24"/>
          <w:lang w:val="en-US"/>
        </w:rPr>
        <w:t>T</w:t>
      </w:r>
      <w:r w:rsidR="002F31E4" w:rsidRPr="00CC1992">
        <w:rPr>
          <w:rFonts w:ascii="Arial" w:hAnsi="Arial" w:cs="Arial"/>
          <w:sz w:val="24"/>
          <w:szCs w:val="24"/>
          <w:lang w:val="en-US"/>
        </w:rPr>
        <w:t xml:space="preserve">hus, </w:t>
      </w:r>
      <w:r w:rsidR="00004BCF" w:rsidRPr="00CC1992">
        <w:rPr>
          <w:rFonts w:ascii="Arial" w:hAnsi="Arial" w:cs="Arial"/>
          <w:sz w:val="24"/>
          <w:szCs w:val="24"/>
          <w:lang w:val="en-US"/>
        </w:rPr>
        <w:t xml:space="preserve">future </w:t>
      </w:r>
      <w:r w:rsidR="009F0ADC" w:rsidRPr="00CC1992">
        <w:rPr>
          <w:rFonts w:ascii="Arial" w:hAnsi="Arial" w:cs="Arial"/>
          <w:sz w:val="24"/>
          <w:szCs w:val="24"/>
          <w:lang w:val="en-US"/>
        </w:rPr>
        <w:t>research</w:t>
      </w:r>
      <w:r w:rsidR="00004BCF" w:rsidRPr="00CC1992">
        <w:rPr>
          <w:rFonts w:ascii="Arial" w:hAnsi="Arial" w:cs="Arial"/>
          <w:sz w:val="24"/>
          <w:szCs w:val="24"/>
          <w:lang w:val="en-US"/>
        </w:rPr>
        <w:t xml:space="preserve"> should </w:t>
      </w:r>
      <w:r w:rsidR="00372CFD" w:rsidRPr="00CC1992">
        <w:rPr>
          <w:rFonts w:ascii="Arial" w:hAnsi="Arial" w:cs="Arial"/>
          <w:sz w:val="24"/>
          <w:szCs w:val="24"/>
          <w:lang w:val="en-US"/>
        </w:rPr>
        <w:t>aim</w:t>
      </w:r>
      <w:r w:rsidR="00CA71DD">
        <w:rPr>
          <w:rFonts w:ascii="Arial" w:hAnsi="Arial" w:cs="Arial"/>
          <w:sz w:val="24"/>
          <w:szCs w:val="24"/>
          <w:lang w:val="en-US"/>
        </w:rPr>
        <w:t xml:space="preserve"> to identify </w:t>
      </w:r>
      <w:r w:rsidR="00372CFD" w:rsidRPr="00CC1992">
        <w:rPr>
          <w:rFonts w:ascii="Arial" w:hAnsi="Arial" w:cs="Arial"/>
          <w:sz w:val="24"/>
          <w:szCs w:val="24"/>
          <w:lang w:val="en-US"/>
        </w:rPr>
        <w:t xml:space="preserve">risk factors </w:t>
      </w:r>
      <w:r w:rsidR="00EA0911" w:rsidRPr="00CC1992">
        <w:rPr>
          <w:rFonts w:ascii="Arial" w:hAnsi="Arial" w:cs="Arial"/>
          <w:sz w:val="24"/>
          <w:szCs w:val="24"/>
          <w:lang w:val="en-US"/>
        </w:rPr>
        <w:t>for and correlates of Parkinson’s disease</w:t>
      </w:r>
      <w:r w:rsidR="00CA71DD">
        <w:rPr>
          <w:rFonts w:ascii="Arial" w:hAnsi="Arial" w:cs="Arial"/>
          <w:sz w:val="24"/>
          <w:szCs w:val="24"/>
          <w:lang w:val="en-US"/>
        </w:rPr>
        <w:t xml:space="preserve"> to inform targeted interventions</w:t>
      </w:r>
      <w:r w:rsidR="00EA0911" w:rsidRPr="00CC1992">
        <w:rPr>
          <w:rFonts w:ascii="Arial" w:hAnsi="Arial" w:cs="Arial"/>
          <w:sz w:val="24"/>
          <w:szCs w:val="24"/>
          <w:lang w:val="en-US"/>
        </w:rPr>
        <w:t>.</w:t>
      </w:r>
    </w:p>
    <w:p w14:paraId="285628B6" w14:textId="0C649EAB" w:rsidR="00F21CB5" w:rsidRPr="00CC1992" w:rsidRDefault="00F21CB5" w:rsidP="00CA71DD">
      <w:pPr>
        <w:spacing w:line="480" w:lineRule="auto"/>
        <w:jc w:val="both"/>
        <w:rPr>
          <w:rFonts w:ascii="Arial" w:hAnsi="Arial" w:cs="Arial"/>
          <w:sz w:val="24"/>
          <w:szCs w:val="24"/>
          <w:lang w:val="en-US"/>
        </w:rPr>
      </w:pPr>
    </w:p>
    <w:p w14:paraId="30828354" w14:textId="79E4A26B" w:rsidR="0000721D" w:rsidRPr="00CC1992" w:rsidRDefault="002F20C6" w:rsidP="0000721D">
      <w:pPr>
        <w:spacing w:line="480" w:lineRule="auto"/>
        <w:jc w:val="both"/>
        <w:rPr>
          <w:rFonts w:ascii="Arial" w:hAnsi="Arial" w:cs="Arial"/>
          <w:sz w:val="24"/>
          <w:szCs w:val="24"/>
          <w:lang w:val="en-US"/>
        </w:rPr>
      </w:pPr>
      <w:r w:rsidRPr="00CC1992">
        <w:rPr>
          <w:rFonts w:ascii="Arial" w:hAnsi="Arial" w:cs="Arial"/>
          <w:sz w:val="24"/>
          <w:szCs w:val="24"/>
          <w:lang w:val="en-US"/>
        </w:rPr>
        <w:t>One potential risk factor for Parkinson’s disease that has</w:t>
      </w:r>
      <w:r w:rsidR="00537B19" w:rsidRPr="00CC1992">
        <w:rPr>
          <w:rFonts w:ascii="Arial" w:hAnsi="Arial" w:cs="Arial"/>
          <w:sz w:val="24"/>
          <w:szCs w:val="24"/>
          <w:lang w:val="en-US"/>
        </w:rPr>
        <w:t xml:space="preserve"> been understudied is osteoarthritis</w:t>
      </w:r>
      <w:r w:rsidR="004B41F6" w:rsidRPr="00CC1992">
        <w:rPr>
          <w:rFonts w:ascii="Arial" w:hAnsi="Arial" w:cs="Arial"/>
          <w:sz w:val="24"/>
          <w:szCs w:val="24"/>
          <w:lang w:val="en-US"/>
        </w:rPr>
        <w:t xml:space="preserve"> </w:t>
      </w:r>
      <w:r w:rsidR="004B41F6"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wcRF3vtY","properties":{"formattedCitation":"[10,11]","plainCitation":"[10,11]","noteIndex":0},"citationItems":[{"id":21369,"uris":["http://zotero.org/users/local/hhPVnw6l/items/H3ZMEV4J"],"uri":["http://zotero.org/users/local/hhPVnw6l/items/H3ZMEV4J"],"itemData":{"id":21369,"type":"article-journal","abstract":"It has been suggested that use of nonsteroidal anti-inflammatory drugs (NSAID) protects against Parkinson's disease, although the results are not consistent. We investigated the risk for Parkinson's disease in patients with osteoarthritis, who are typically intensive users of NSAID. By using the files of the National Danish Hospital Register for the period 1977-2006, we identified a cohort of 134,176 patients with osteoarthritis severe enough to have required subsequent hip or knee implant surgery. The number of first hospital contacts for Parkinson's disease among cohort members in 1986-2007 was compared with that expected from the age-, gender- and period-specific hospital contact rates of the general Danish population, and standardized incidence ratios (SIRs) and associated 95% confidence intervals (CIs) were derived. Cohort members were also linked to the Danish Cancer Register to estimate the SIRs for colorectal and lung cancer. We observed a slightly increased risk for Parkinson's disease among patients with osteoarthritis and subsequent implant surgery (SIR, 1.07; 95% CI, 0.99-1.16). Decreased SIRs were found for both colorectal cancer (0.92; 95% CI, 0.88-0.97), consistent with a high prevalence of NSAID use among cohort members, and lung cancer (0.77; 95% CI, 0.73-0.80), indicating a lower prevalence of smoking than usual. Our results do not support the hypothesis that patients with prolonged use of NSAID and other analgesics are at reduced risk for Parkinson's disease. A possible lower smoking prevalence among patients with osteoarthritis might explain the slightly increased risk for Parkinson's disease.","container-title":"Movement Disorders: Official Journal of the Movement Disorder Society","DOI":"10.1002/mds.23274","ISSN":"1531-8257","issue":"14","journalAbbreviation":"Mov Disord","language":"eng","note":"PMID: 20721917\nPMCID: PMC2992436","page":"2355-2360","source":"PubMed","title":"Risk for Parkinson's disease among patients with osteoarthritis: a Danish cohort study","title-short":"Risk for Parkinson's disease among patients with osteoarthritis","volume":"25","author":[{"family":"Rugbjerg","given":"Kathrine"},{"family":"Friis","given":"Søren"},{"family":"Jørgensen","given":"Thomas L."},{"family":"Ritz","given":"Beate"},{"family":"Korbo","given":"Lise"},{"family":"Olsen","given":"Jørgen H."}],"issued":{"date-parts":[["2010",10,30]]}}},{"id":21334,"uris":["http://zotero.org/users/local/hhPVnw6l/items/38NU5PQH"],"uri":["http://zotero.org/users/local/hhPVnw6l/items/38NU5PQH"],"itemData":{"id":21334,"type":"article-journal","abstract":"OBJECTIVES: To investigate whether patients with osteoarthritis (OA) are at a higher risk of developing Parkinson's disease (PD).\nMETHODS: This retrospective cohort study was conducted using Taiwan's Longitudinal Health Insurance Database 2005. We enrolled 33,360 patients who were 50-64 years old and had OA in 2002-2005 to form the OA group. The comparison group consisted of 33,360 age- and sex-matched, randomly sampled subjects without OA. Then, their PD-free survival curves were generated using the Kaplan-Meier method. Multivariable Cox proportional-hazard regression analysis was employed to estimate the effect of having OA on patients' subsequent risk of PD.\nRESULTS: Of the two groups, the OA group had a significantly higher risk of developing PD (adjusted hazard ratio [aHR]=1.41, 95% CI, 1.16-1.70, p=0.0003). The PD-free survival rate of the OA group was also significantly lower than that of the comparison group (p=0.0004). The subgroup analysis showed that patients with knee or hip OA appeared to have a higher magnitude of PD risk (aHR 1.55, 95% CI, 1.14-2.11) than patients with non-knee and non-hip OA (aHR 1.42, 95% CI, 1.06-1.89) or with uncategorized OA (aHR 1.32, 95% CI,1.05-1.64).\nCONCLUSIONS: Our findings suggest that OA is linked to an increased risk of developing PD.","container-title":"Arthritis Care &amp; Research","DOI":"10.1002/acr.24708","ISSN":"2151-4658","journalAbbreviation":"Arthritis Care Res (Hoboken)","language":"eng","note":"PMID: 34105302","source":"PubMed","title":"Osteoarthritis is associated with an increased risk of Parkinson's disease: A population-based, longitudinal follow-up study","title-short":"Osteoarthritis is associated with an increased risk of Parkinson's disease","author":[{"family":"Feng","given":"Shih-Hao"},{"family":"Chuang","given":"Hung-Jui"},{"family":"Yeh","given":"Kuo-Cheng"},{"family":"Pan","given":"Shin-Liang"}],"issued":{"date-parts":[["2021",6,8]]}}}],"schema":"https://github.com/citation-style-language/schema/raw/master/csl-citation.json"} </w:instrText>
      </w:r>
      <w:r w:rsidR="004B41F6" w:rsidRPr="00CC1992">
        <w:rPr>
          <w:rFonts w:ascii="Arial" w:hAnsi="Arial" w:cs="Arial"/>
          <w:sz w:val="24"/>
          <w:szCs w:val="24"/>
          <w:lang w:val="en-US"/>
        </w:rPr>
        <w:fldChar w:fldCharType="separate"/>
      </w:r>
      <w:r w:rsidR="00F67324">
        <w:rPr>
          <w:rFonts w:ascii="Arial" w:hAnsi="Arial" w:cs="Arial"/>
          <w:noProof/>
          <w:sz w:val="24"/>
          <w:szCs w:val="24"/>
          <w:lang w:val="en-US"/>
        </w:rPr>
        <w:t>[10,11]</w:t>
      </w:r>
      <w:r w:rsidR="004B41F6" w:rsidRPr="00CC1992">
        <w:rPr>
          <w:rFonts w:ascii="Arial" w:hAnsi="Arial" w:cs="Arial"/>
          <w:sz w:val="24"/>
          <w:szCs w:val="24"/>
          <w:lang w:val="en-US"/>
        </w:rPr>
        <w:fldChar w:fldCharType="end"/>
      </w:r>
      <w:r w:rsidR="00537B19" w:rsidRPr="00CC1992">
        <w:rPr>
          <w:rFonts w:ascii="Arial" w:hAnsi="Arial" w:cs="Arial"/>
          <w:sz w:val="24"/>
          <w:szCs w:val="24"/>
          <w:lang w:val="en-US"/>
        </w:rPr>
        <w:t>.</w:t>
      </w:r>
      <w:r w:rsidR="00A264E9" w:rsidRPr="00CC1992">
        <w:rPr>
          <w:rFonts w:ascii="Arial" w:hAnsi="Arial" w:cs="Arial"/>
          <w:sz w:val="24"/>
          <w:szCs w:val="24"/>
          <w:lang w:val="en-US"/>
        </w:rPr>
        <w:t xml:space="preserve"> </w:t>
      </w:r>
      <w:r w:rsidR="003A1924" w:rsidRPr="00CC1992">
        <w:rPr>
          <w:rFonts w:ascii="Arial" w:hAnsi="Arial" w:cs="Arial"/>
          <w:sz w:val="24"/>
          <w:szCs w:val="24"/>
          <w:lang w:val="en-US"/>
        </w:rPr>
        <w:t xml:space="preserve">Osteoarthritis </w:t>
      </w:r>
      <w:r w:rsidR="00346700" w:rsidRPr="00CC1992">
        <w:rPr>
          <w:rFonts w:ascii="Arial" w:hAnsi="Arial" w:cs="Arial"/>
          <w:sz w:val="24"/>
          <w:szCs w:val="24"/>
          <w:lang w:val="en-US"/>
        </w:rPr>
        <w:t>i</w:t>
      </w:r>
      <w:r w:rsidR="00C6380B" w:rsidRPr="00CC1992">
        <w:rPr>
          <w:rFonts w:ascii="Arial" w:hAnsi="Arial" w:cs="Arial"/>
          <w:sz w:val="24"/>
          <w:szCs w:val="24"/>
          <w:lang w:val="en-US"/>
        </w:rPr>
        <w:t xml:space="preserve">s a </w:t>
      </w:r>
      <w:r w:rsidR="000A5172" w:rsidRPr="00CC1992">
        <w:rPr>
          <w:rFonts w:ascii="Arial" w:hAnsi="Arial" w:cs="Arial"/>
          <w:sz w:val="24"/>
          <w:szCs w:val="24"/>
          <w:lang w:val="en-US"/>
        </w:rPr>
        <w:t>common</w:t>
      </w:r>
      <w:r w:rsidR="00346700" w:rsidRPr="00CC1992">
        <w:rPr>
          <w:rFonts w:ascii="Arial" w:hAnsi="Arial" w:cs="Arial"/>
          <w:sz w:val="24"/>
          <w:szCs w:val="24"/>
          <w:lang w:val="en-US"/>
        </w:rPr>
        <w:t xml:space="preserve"> </w:t>
      </w:r>
      <w:r w:rsidR="00F92627" w:rsidRPr="00CC1992">
        <w:rPr>
          <w:rFonts w:ascii="Arial" w:hAnsi="Arial" w:cs="Arial"/>
          <w:sz w:val="24"/>
          <w:szCs w:val="24"/>
          <w:lang w:val="en-US"/>
        </w:rPr>
        <w:t>degenerative</w:t>
      </w:r>
      <w:r w:rsidR="0051635B" w:rsidRPr="00CC1992">
        <w:rPr>
          <w:rFonts w:ascii="Arial" w:hAnsi="Arial" w:cs="Arial"/>
          <w:sz w:val="24"/>
          <w:szCs w:val="24"/>
          <w:lang w:val="en-US"/>
        </w:rPr>
        <w:t xml:space="preserve"> joint disease</w:t>
      </w:r>
      <w:r w:rsidR="00C55804" w:rsidRPr="00CC1992">
        <w:rPr>
          <w:rFonts w:ascii="Arial" w:hAnsi="Arial" w:cs="Arial"/>
          <w:sz w:val="24"/>
          <w:szCs w:val="24"/>
          <w:lang w:val="en-US"/>
        </w:rPr>
        <w:t xml:space="preserve"> frequently affecting the</w:t>
      </w:r>
      <w:r w:rsidR="000A5172" w:rsidRPr="00CC1992">
        <w:rPr>
          <w:rFonts w:ascii="Arial" w:hAnsi="Arial" w:cs="Arial"/>
          <w:sz w:val="24"/>
          <w:szCs w:val="24"/>
          <w:lang w:val="en-US"/>
        </w:rPr>
        <w:t xml:space="preserve"> hand, </w:t>
      </w:r>
      <w:r w:rsidR="00C55804" w:rsidRPr="00CC1992">
        <w:rPr>
          <w:rFonts w:ascii="Arial" w:hAnsi="Arial" w:cs="Arial"/>
          <w:sz w:val="24"/>
          <w:szCs w:val="24"/>
          <w:lang w:val="en-US"/>
        </w:rPr>
        <w:t>hip and knee</w:t>
      </w:r>
      <w:r w:rsidR="00E12031" w:rsidRPr="00CC1992">
        <w:rPr>
          <w:rFonts w:ascii="Arial" w:hAnsi="Arial" w:cs="Arial"/>
          <w:sz w:val="24"/>
          <w:szCs w:val="24"/>
          <w:lang w:val="en-US"/>
        </w:rPr>
        <w:t xml:space="preserve"> </w:t>
      </w:r>
      <w:r w:rsidR="00E12031"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11U40jNp","properties":{"formattedCitation":"[12]","plainCitation":"[12]","noteIndex":0},"citationItems":[{"id":21329,"uris":["http://zotero.org/users/local/hhPVnw6l/items/QWMR8BJL"],"uri":["http://zotero.org/users/local/hhPVnw6l/items/QWMR8BJL"],"itemData":{"id":21329,"type":"article-journal","abstract":"Osteoarthritis (OA) is the most frequent form of arthritis and a leading cause of pain and disability worldwide. OA can affect any synovial joint, although the hip, knee, hand, foot and spine are the most commonly affected sites. Knowledge about the occurrence and risk factors for OA is important to define the clinical and public health burden of the disease to understand mechanisms of disease occurrence and may also help to inform the development of population-wide prevention strategies. In this article, we review the occurrence and risk factors for OA and also consider patient-reported outcome measures that have been used for the assessment of the disease.","container-title":"Best Practice &amp; Research. Clinical Rheumatology","DOI":"10.1016/j.berh.2018.10.007","ISSN":"1532-1770","issue":"2","journalAbbreviation":"Best Pract Res Clin Rheumatol","language":"eng","note":"PMID: 30527434","page":"312-326","source":"PubMed","title":"Update on the epidemiology, risk factors and disease outcomes of osteoarthritis","volume":"32","author":[{"family":"O'Neill","given":"Terence W."},{"family":"McCabe","given":"Paul S."},{"family":"McBeth","given":"John"}],"issued":{"date-parts":[["2018",4]]}}}],"schema":"https://github.com/citation-style-language/schema/raw/master/csl-citation.json"} </w:instrText>
      </w:r>
      <w:r w:rsidR="00E12031" w:rsidRPr="00CC1992">
        <w:rPr>
          <w:rFonts w:ascii="Arial" w:hAnsi="Arial" w:cs="Arial"/>
          <w:sz w:val="24"/>
          <w:szCs w:val="24"/>
          <w:lang w:val="en-US"/>
        </w:rPr>
        <w:fldChar w:fldCharType="separate"/>
      </w:r>
      <w:r w:rsidR="00F67324">
        <w:rPr>
          <w:rFonts w:ascii="Arial" w:hAnsi="Arial" w:cs="Arial"/>
          <w:noProof/>
          <w:sz w:val="24"/>
          <w:szCs w:val="24"/>
          <w:lang w:val="en-US"/>
        </w:rPr>
        <w:t>[12]</w:t>
      </w:r>
      <w:r w:rsidR="00E12031" w:rsidRPr="00CC1992">
        <w:rPr>
          <w:rFonts w:ascii="Arial" w:hAnsi="Arial" w:cs="Arial"/>
          <w:sz w:val="24"/>
          <w:szCs w:val="24"/>
          <w:lang w:val="en-US"/>
        </w:rPr>
        <w:fldChar w:fldCharType="end"/>
      </w:r>
      <w:r w:rsidR="00C55804" w:rsidRPr="00CC1992">
        <w:rPr>
          <w:rFonts w:ascii="Arial" w:hAnsi="Arial" w:cs="Arial"/>
          <w:sz w:val="24"/>
          <w:szCs w:val="24"/>
          <w:lang w:val="en-US"/>
        </w:rPr>
        <w:t>,</w:t>
      </w:r>
      <w:r w:rsidR="000A5172" w:rsidRPr="00CC1992">
        <w:rPr>
          <w:rFonts w:ascii="Arial" w:hAnsi="Arial" w:cs="Arial"/>
          <w:sz w:val="24"/>
          <w:szCs w:val="24"/>
          <w:lang w:val="en-US"/>
        </w:rPr>
        <w:t xml:space="preserve"> </w:t>
      </w:r>
      <w:r w:rsidR="00C55804" w:rsidRPr="00CC1992">
        <w:rPr>
          <w:rFonts w:ascii="Arial" w:hAnsi="Arial" w:cs="Arial"/>
          <w:sz w:val="24"/>
          <w:szCs w:val="24"/>
          <w:lang w:val="en-US"/>
        </w:rPr>
        <w:t>and</w:t>
      </w:r>
      <w:r w:rsidR="008473BF" w:rsidRPr="00CC1992">
        <w:rPr>
          <w:rFonts w:ascii="Arial" w:hAnsi="Arial" w:cs="Arial"/>
          <w:sz w:val="24"/>
          <w:szCs w:val="24"/>
          <w:lang w:val="en-US"/>
        </w:rPr>
        <w:t xml:space="preserve"> involving several pathological </w:t>
      </w:r>
      <w:r w:rsidR="003704FF" w:rsidRPr="00CC1992">
        <w:rPr>
          <w:rFonts w:ascii="Arial" w:hAnsi="Arial" w:cs="Arial"/>
          <w:sz w:val="24"/>
          <w:szCs w:val="24"/>
          <w:lang w:val="en-US"/>
        </w:rPr>
        <w:t xml:space="preserve">changes such as </w:t>
      </w:r>
      <w:r w:rsidR="00B46EA9" w:rsidRPr="00CC1992">
        <w:rPr>
          <w:rFonts w:ascii="Arial" w:hAnsi="Arial" w:cs="Arial"/>
          <w:sz w:val="24"/>
          <w:szCs w:val="24"/>
          <w:lang w:val="en-US"/>
        </w:rPr>
        <w:t xml:space="preserve">progressive destruction of </w:t>
      </w:r>
      <w:r w:rsidR="00AC6812" w:rsidRPr="00CC1992">
        <w:rPr>
          <w:rFonts w:ascii="Arial" w:hAnsi="Arial" w:cs="Arial"/>
          <w:sz w:val="24"/>
          <w:szCs w:val="24"/>
          <w:lang w:val="en-US"/>
        </w:rPr>
        <w:t xml:space="preserve">articular </w:t>
      </w:r>
      <w:r w:rsidR="00B46EA9" w:rsidRPr="00CC1992">
        <w:rPr>
          <w:rFonts w:ascii="Arial" w:hAnsi="Arial" w:cs="Arial"/>
          <w:sz w:val="24"/>
          <w:szCs w:val="24"/>
          <w:lang w:val="en-US"/>
        </w:rPr>
        <w:t>cartilage,</w:t>
      </w:r>
      <w:r w:rsidR="00012B84" w:rsidRPr="00CC1992">
        <w:rPr>
          <w:rFonts w:ascii="Arial" w:hAnsi="Arial" w:cs="Arial"/>
          <w:sz w:val="24"/>
          <w:szCs w:val="24"/>
          <w:lang w:val="en-US"/>
        </w:rPr>
        <w:t xml:space="preserve"> osteophyte formation and </w:t>
      </w:r>
      <w:r w:rsidR="00905E00" w:rsidRPr="00CC1992">
        <w:rPr>
          <w:rFonts w:ascii="Arial" w:hAnsi="Arial" w:cs="Arial"/>
          <w:sz w:val="24"/>
          <w:szCs w:val="24"/>
          <w:lang w:val="en-US"/>
        </w:rPr>
        <w:t xml:space="preserve">subchondral </w:t>
      </w:r>
      <w:r w:rsidR="00F76660" w:rsidRPr="00CC1992">
        <w:rPr>
          <w:rFonts w:ascii="Arial" w:hAnsi="Arial" w:cs="Arial"/>
          <w:sz w:val="24"/>
          <w:szCs w:val="24"/>
          <w:lang w:val="en-US"/>
        </w:rPr>
        <w:t>bone thickening</w:t>
      </w:r>
      <w:r w:rsidR="00AC6812" w:rsidRPr="00CC1992">
        <w:rPr>
          <w:rFonts w:ascii="Arial" w:hAnsi="Arial" w:cs="Arial"/>
          <w:sz w:val="24"/>
          <w:szCs w:val="24"/>
          <w:lang w:val="en-US"/>
        </w:rPr>
        <w:t xml:space="preserve"> </w:t>
      </w:r>
      <w:r w:rsidR="00AC6812"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GGrbWGDS","properties":{"formattedCitation":"[13]","plainCitation":"[13]","noteIndex":0},"citationItems":[{"id":18251,"uris":["http://zotero.org/users/local/hhPVnw6l/items/24BHIXQ4"],"uri":["http://zotero.org/users/local/hhPVnw6l/items/24BHIXQ4"],"itemData":{"id":18251,"type":"article-journal","abstract":"Osteoarthritis (OA) is the most common degenerative joint disease and a major cause of pain and disability in adult individuals. The etiology of OA includes joint injury, obesity, aging, and heredity. However, the detailed molecular mechanisms of OA initiation and progression remain poorly understood and, currently, there are no interventions available to restore degraded cartilage or decelerate disease progression. The diathrodial joint is a complicated organ and its function is to bear weight, perform physical activity and exhibit a joint-specific range of motion during movement. During OA development, the entire joint organ is affected, including articular cartilage, subchondral bone, synovial tissue and meniscus. A full understanding of the pathological mechanism of OA development relies on the discovery of the interplaying mechanisms among different OA symptoms, including articular cartilage degradation, osteophyte formation, subchondral sclerosis and synovial hyperplasia, and the signaling pathway(s) controlling these pathological processes.","container-title":"Bone Research","DOI":"10.1038/boneres.2016.44","ISSN":"2095-4700","journalAbbreviation":"Bone Res","language":"eng","note":"PMID: 28149655\nPMCID: PMC5240031","page":"16044","source":"PubMed","title":"Osteoarthritis: toward a comprehensive understanding of pathological mechanism","title-short":"Osteoarthritis","volume":"5","author":[{"family":"Chen","given":"Di"},{"family":"Shen","given":"Jie"},{"family":"Zhao","given":"Weiwei"},{"family":"Wang","given":"Tingyu"},{"family":"Han","given":"Lin"},{"family":"Hamilton","given":"John L."},{"family":"Im","given":"Hee-Jeong"}],"issued":{"date-parts":[["2017"]]}}}],"schema":"https://github.com/citation-style-language/schema/raw/master/csl-citation.json"} </w:instrText>
      </w:r>
      <w:r w:rsidR="00AC6812" w:rsidRPr="00CC1992">
        <w:rPr>
          <w:rFonts w:ascii="Arial" w:hAnsi="Arial" w:cs="Arial"/>
          <w:sz w:val="24"/>
          <w:szCs w:val="24"/>
          <w:lang w:val="en-US"/>
        </w:rPr>
        <w:fldChar w:fldCharType="separate"/>
      </w:r>
      <w:r w:rsidR="00F67324">
        <w:rPr>
          <w:rFonts w:ascii="Arial" w:hAnsi="Arial" w:cs="Arial"/>
          <w:noProof/>
          <w:sz w:val="24"/>
          <w:szCs w:val="24"/>
          <w:lang w:val="en-US"/>
        </w:rPr>
        <w:t>[13]</w:t>
      </w:r>
      <w:r w:rsidR="00AC6812" w:rsidRPr="00CC1992">
        <w:rPr>
          <w:rFonts w:ascii="Arial" w:hAnsi="Arial" w:cs="Arial"/>
          <w:sz w:val="24"/>
          <w:szCs w:val="24"/>
          <w:lang w:val="en-US"/>
        </w:rPr>
        <w:fldChar w:fldCharType="end"/>
      </w:r>
      <w:r w:rsidR="003A3D48" w:rsidRPr="00CC1992">
        <w:rPr>
          <w:rFonts w:ascii="Arial" w:hAnsi="Arial" w:cs="Arial"/>
          <w:sz w:val="24"/>
          <w:szCs w:val="24"/>
          <w:lang w:val="en-US"/>
        </w:rPr>
        <w:t>.</w:t>
      </w:r>
      <w:r w:rsidR="00CB1F94" w:rsidRPr="00CC1992">
        <w:rPr>
          <w:rFonts w:ascii="Arial" w:hAnsi="Arial" w:cs="Arial"/>
          <w:sz w:val="24"/>
          <w:szCs w:val="24"/>
          <w:lang w:val="en-US"/>
        </w:rPr>
        <w:t xml:space="preserve"> </w:t>
      </w:r>
      <w:r w:rsidR="00E74995" w:rsidRPr="00CC1992">
        <w:rPr>
          <w:rFonts w:ascii="Arial" w:hAnsi="Arial" w:cs="Arial"/>
          <w:sz w:val="24"/>
          <w:szCs w:val="24"/>
          <w:lang w:val="en-US"/>
        </w:rPr>
        <w:t xml:space="preserve">A </w:t>
      </w:r>
      <w:r w:rsidR="00F231BA" w:rsidRPr="00CC1992">
        <w:rPr>
          <w:rFonts w:ascii="Arial" w:hAnsi="Arial" w:cs="Arial"/>
          <w:sz w:val="24"/>
          <w:szCs w:val="24"/>
          <w:lang w:val="en-US"/>
        </w:rPr>
        <w:t xml:space="preserve">retrospective cohort </w:t>
      </w:r>
      <w:r w:rsidR="00E74995" w:rsidRPr="00CC1992">
        <w:rPr>
          <w:rFonts w:ascii="Arial" w:hAnsi="Arial" w:cs="Arial"/>
          <w:sz w:val="24"/>
          <w:szCs w:val="24"/>
          <w:lang w:val="en-US"/>
        </w:rPr>
        <w:t xml:space="preserve">study of </w:t>
      </w:r>
      <w:r w:rsidR="00127DA3" w:rsidRPr="00CC1992">
        <w:rPr>
          <w:rFonts w:ascii="Arial" w:hAnsi="Arial" w:cs="Arial"/>
          <w:sz w:val="24"/>
          <w:szCs w:val="24"/>
          <w:lang w:val="en-US"/>
        </w:rPr>
        <w:t>66,720 individuals</w:t>
      </w:r>
      <w:r w:rsidR="00613C3F" w:rsidRPr="00CC1992">
        <w:rPr>
          <w:rFonts w:ascii="Arial" w:hAnsi="Arial" w:cs="Arial"/>
          <w:sz w:val="24"/>
          <w:szCs w:val="24"/>
          <w:lang w:val="en-US"/>
        </w:rPr>
        <w:t xml:space="preserve"> from Taiwan </w:t>
      </w:r>
      <w:r w:rsidR="000616BA" w:rsidRPr="00CC1992">
        <w:rPr>
          <w:rFonts w:ascii="Arial" w:hAnsi="Arial" w:cs="Arial"/>
          <w:sz w:val="24"/>
          <w:szCs w:val="24"/>
          <w:lang w:val="en-US"/>
        </w:rPr>
        <w:t xml:space="preserve">showed a positive association between osteoarthritis and the </w:t>
      </w:r>
      <w:r w:rsidR="001F277B" w:rsidRPr="00CC1992">
        <w:rPr>
          <w:rFonts w:ascii="Arial" w:hAnsi="Arial" w:cs="Arial"/>
          <w:sz w:val="24"/>
          <w:szCs w:val="24"/>
          <w:lang w:val="en-US"/>
        </w:rPr>
        <w:t>risk</w:t>
      </w:r>
      <w:r w:rsidR="000616BA" w:rsidRPr="00CC1992">
        <w:rPr>
          <w:rFonts w:ascii="Arial" w:hAnsi="Arial" w:cs="Arial"/>
          <w:sz w:val="24"/>
          <w:szCs w:val="24"/>
          <w:lang w:val="en-US"/>
        </w:rPr>
        <w:t xml:space="preserve"> of Parkinson’s disease (</w:t>
      </w:r>
      <w:r w:rsidR="00DB67D8" w:rsidRPr="00CC1992">
        <w:rPr>
          <w:rFonts w:ascii="Arial" w:hAnsi="Arial" w:cs="Arial"/>
          <w:sz w:val="24"/>
          <w:szCs w:val="24"/>
          <w:lang w:val="en-US"/>
        </w:rPr>
        <w:t>adjusted hazard ratio [HR] = 1.41</w:t>
      </w:r>
      <w:r w:rsidR="00210147">
        <w:rPr>
          <w:rFonts w:ascii="Arial" w:hAnsi="Arial" w:cs="Arial"/>
          <w:sz w:val="24"/>
          <w:szCs w:val="24"/>
          <w:lang w:val="en-US"/>
        </w:rPr>
        <w:t>, 95% confidence interval [CI</w:t>
      </w:r>
      <w:r w:rsidR="00895CD2">
        <w:rPr>
          <w:rFonts w:ascii="Arial" w:hAnsi="Arial" w:cs="Arial"/>
          <w:sz w:val="24"/>
          <w:szCs w:val="24"/>
          <w:lang w:val="en-US"/>
        </w:rPr>
        <w:t xml:space="preserve">]: </w:t>
      </w:r>
      <w:r w:rsidR="00892A11">
        <w:rPr>
          <w:rFonts w:ascii="Arial" w:hAnsi="Arial" w:cs="Arial"/>
          <w:sz w:val="24"/>
          <w:szCs w:val="24"/>
          <w:lang w:val="en-US"/>
        </w:rPr>
        <w:t>1.16-1.70</w:t>
      </w:r>
      <w:r w:rsidR="00DB67D8" w:rsidRPr="00CC1992">
        <w:rPr>
          <w:rFonts w:ascii="Arial" w:hAnsi="Arial" w:cs="Arial"/>
          <w:sz w:val="24"/>
          <w:szCs w:val="24"/>
          <w:lang w:val="en-US"/>
        </w:rPr>
        <w:t>)</w:t>
      </w:r>
      <w:r w:rsidR="00F66656" w:rsidRPr="00CC1992">
        <w:rPr>
          <w:rFonts w:ascii="Arial" w:hAnsi="Arial" w:cs="Arial"/>
          <w:sz w:val="24"/>
          <w:szCs w:val="24"/>
          <w:lang w:val="en-US"/>
        </w:rPr>
        <w:t xml:space="preserve">, and the relationship between the two chronic conditions was particularly strong in the subgroup </w:t>
      </w:r>
      <w:r w:rsidR="000A5172" w:rsidRPr="00CC1992">
        <w:rPr>
          <w:rFonts w:ascii="Arial" w:hAnsi="Arial" w:cs="Arial"/>
          <w:sz w:val="24"/>
          <w:szCs w:val="24"/>
          <w:lang w:val="en-US"/>
        </w:rPr>
        <w:t xml:space="preserve">of participants </w:t>
      </w:r>
      <w:r w:rsidR="00F66656" w:rsidRPr="00CC1992">
        <w:rPr>
          <w:rFonts w:ascii="Arial" w:hAnsi="Arial" w:cs="Arial"/>
          <w:sz w:val="24"/>
          <w:szCs w:val="24"/>
          <w:lang w:val="en-US"/>
        </w:rPr>
        <w:t xml:space="preserve">with </w:t>
      </w:r>
      <w:r w:rsidR="008B1FBB" w:rsidRPr="00CC1992">
        <w:rPr>
          <w:rFonts w:ascii="Arial" w:hAnsi="Arial" w:cs="Arial"/>
          <w:sz w:val="24"/>
          <w:szCs w:val="24"/>
          <w:lang w:val="en-US"/>
        </w:rPr>
        <w:t>hip or knee osteoarthritis</w:t>
      </w:r>
      <w:r w:rsidR="00427ECB" w:rsidRPr="00CC1992">
        <w:rPr>
          <w:rFonts w:ascii="Arial" w:hAnsi="Arial" w:cs="Arial"/>
          <w:sz w:val="24"/>
          <w:szCs w:val="24"/>
          <w:lang w:val="en-US"/>
        </w:rPr>
        <w:t xml:space="preserve"> </w:t>
      </w:r>
      <w:r w:rsidR="00427ECB"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mvfwuQ6C","properties":{"formattedCitation":"[11]","plainCitation":"[11]","noteIndex":0},"citationItems":[{"id":21334,"uris":["http://zotero.org/users/local/hhPVnw6l/items/38NU5PQH"],"uri":["http://zotero.org/users/local/hhPVnw6l/items/38NU5PQH"],"itemData":{"id":21334,"type":"article-journal","abstract":"OBJECTIVES: To investigate whether patients with osteoarthritis (OA) are at a higher risk of developing Parkinson's disease (PD).\nMETHODS: This retrospective cohort study was conducted using Taiwan's Longitudinal Health Insurance Database 2005. We enrolled 33,360 patients who were 50-64 years old and had OA in 2002-2005 to form the OA group. The comparison group consisted of 33,360 age- and sex-matched, randomly sampled subjects without OA. Then, their PD-free survival curves were generated using the Kaplan-Meier method. Multivariable Cox proportional-hazard regression analysis was employed to estimate the effect of having OA on patients' subsequent risk of PD.\nRESULTS: Of the two groups, the OA group had a significantly higher risk of developing PD (adjusted hazard ratio [aHR]=1.41, 95% CI, 1.16-1.70, p=0.0003). The PD-free survival rate of the OA group was also significantly lower than that of the comparison group (p=0.0004). The subgroup analysis showed that patients with knee or hip OA appeared to have a higher magnitude of PD risk (aHR 1.55, 95% CI, 1.14-2.11) than patients with non-knee and non-hip OA (aHR 1.42, 95% CI, 1.06-1.89) or with uncategorized OA (aHR 1.32, 95% CI,1.05-1.64).\nCONCLUSIONS: Our findings suggest that OA is linked to an increased risk of developing PD.","container-title":"Arthritis Care &amp; Research","DOI":"10.1002/acr.24708","ISSN":"2151-4658","journalAbbreviation":"Arthritis Care Res (Hoboken)","language":"eng","note":"PMID: 34105302","source":"PubMed","title":"Osteoarthritis is associated with an increased risk of Parkinson's disease: A population-based, longitudinal follow-up study","title-short":"Osteoarthritis is associated with an increased risk of Parkinson's disease","author":[{"family":"Feng","given":"Shih-Hao"},{"family":"Chuang","given":"Hung-Jui"},{"family":"Yeh","given":"Kuo-Cheng"},{"family":"Pan","given":"Shin-Liang"}],"issued":{"date-parts":[["2021",6,8]]}}}],"schema":"https://github.com/citation-style-language/schema/raw/master/csl-citation.json"} </w:instrText>
      </w:r>
      <w:r w:rsidR="00427ECB" w:rsidRPr="00CC1992">
        <w:rPr>
          <w:rFonts w:ascii="Arial" w:hAnsi="Arial" w:cs="Arial"/>
          <w:sz w:val="24"/>
          <w:szCs w:val="24"/>
          <w:lang w:val="en-US"/>
        </w:rPr>
        <w:fldChar w:fldCharType="separate"/>
      </w:r>
      <w:r w:rsidR="00F67324">
        <w:rPr>
          <w:rFonts w:ascii="Arial" w:hAnsi="Arial" w:cs="Arial"/>
          <w:noProof/>
          <w:sz w:val="24"/>
          <w:szCs w:val="24"/>
          <w:lang w:val="en-US"/>
        </w:rPr>
        <w:t>[11]</w:t>
      </w:r>
      <w:r w:rsidR="00427ECB" w:rsidRPr="00CC1992">
        <w:rPr>
          <w:rFonts w:ascii="Arial" w:hAnsi="Arial" w:cs="Arial"/>
          <w:sz w:val="24"/>
          <w:szCs w:val="24"/>
          <w:lang w:val="en-US"/>
        </w:rPr>
        <w:fldChar w:fldCharType="end"/>
      </w:r>
      <w:r w:rsidR="00127DA3" w:rsidRPr="00CC1992">
        <w:rPr>
          <w:rFonts w:ascii="Arial" w:hAnsi="Arial" w:cs="Arial"/>
          <w:sz w:val="24"/>
          <w:szCs w:val="24"/>
          <w:lang w:val="en-US"/>
        </w:rPr>
        <w:t>.</w:t>
      </w:r>
      <w:r w:rsidR="00613C3F" w:rsidRPr="00CC1992">
        <w:rPr>
          <w:rFonts w:ascii="Arial" w:hAnsi="Arial" w:cs="Arial"/>
          <w:sz w:val="24"/>
          <w:szCs w:val="24"/>
          <w:lang w:val="en-US"/>
        </w:rPr>
        <w:t xml:space="preserve"> </w:t>
      </w:r>
      <w:r w:rsidR="005A32A6" w:rsidRPr="00CC1992">
        <w:rPr>
          <w:rFonts w:ascii="Arial" w:hAnsi="Arial" w:cs="Arial"/>
          <w:sz w:val="24"/>
          <w:szCs w:val="24"/>
          <w:lang w:val="en-US"/>
        </w:rPr>
        <w:t xml:space="preserve">The association between osteoarthritis and Parkinson’s disease </w:t>
      </w:r>
      <w:r w:rsidR="00DE238A" w:rsidRPr="00CC1992">
        <w:rPr>
          <w:rFonts w:ascii="Arial" w:hAnsi="Arial" w:cs="Arial"/>
          <w:sz w:val="24"/>
          <w:szCs w:val="24"/>
          <w:lang w:val="en-US"/>
        </w:rPr>
        <w:t>may</w:t>
      </w:r>
      <w:r w:rsidR="005A32A6" w:rsidRPr="00CC1992">
        <w:rPr>
          <w:rFonts w:ascii="Arial" w:hAnsi="Arial" w:cs="Arial"/>
          <w:sz w:val="24"/>
          <w:szCs w:val="24"/>
          <w:lang w:val="en-US"/>
        </w:rPr>
        <w:t xml:space="preserve"> involve</w:t>
      </w:r>
      <w:r w:rsidR="005E4643" w:rsidRPr="00CC1992">
        <w:rPr>
          <w:rFonts w:ascii="Arial" w:hAnsi="Arial" w:cs="Arial"/>
          <w:sz w:val="24"/>
          <w:szCs w:val="24"/>
          <w:lang w:val="en-US"/>
        </w:rPr>
        <w:t xml:space="preserve"> common risk </w:t>
      </w:r>
      <w:r w:rsidR="00A2045A" w:rsidRPr="00CC1992">
        <w:rPr>
          <w:rFonts w:ascii="Arial" w:hAnsi="Arial" w:cs="Arial"/>
          <w:sz w:val="24"/>
          <w:szCs w:val="24"/>
          <w:lang w:val="en-US"/>
        </w:rPr>
        <w:t>factors such as inflammation</w:t>
      </w:r>
      <w:r w:rsidR="00190189" w:rsidRPr="00CC1992">
        <w:rPr>
          <w:rFonts w:ascii="Arial" w:hAnsi="Arial" w:cs="Arial"/>
          <w:sz w:val="24"/>
          <w:szCs w:val="24"/>
          <w:lang w:val="en-US"/>
        </w:rPr>
        <w:t xml:space="preserve"> </w:t>
      </w:r>
      <w:r w:rsidR="00190189"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cYqdEqM3","properties":{"formattedCitation":"[14,15]","plainCitation":"[14,15]","noteIndex":0},"citationItems":[{"id":21336,"uris":["http://zotero.org/users/local/hhPVnw6l/items/CUS7SVXB"],"uri":["http://zotero.org/users/local/hhPVnw6l/items/CUS7SVXB"],"itemData":{"id":21336,"type":"article-journal","abstract":"PURPOSE OF REVIEW: Inflammatory changes in joint tissues can be detected by modern imaging techniques in osteoarthritis patients, but may be clinically subtle compared with many other types of arthritis. These changes associate with disease progression and clinical severity, and many inflammatory mediators may have biomarker utility. Moreover, a number of inflammatory mechanisms play a role in animal models of disease, but it is still not clear which mechanisms predominate and might be therapeutically manipulated most effectively. This review highlights specific examples of recent advances published in the past 18 months that have advanced this field.\nRECENT FINDINGS: Clinical investigators now show that synovial inflammation is associated with pain sensitization, and similar to knee osteoarthritis, is a common and important feature of hand osteoarthritis. In addition, recent advances in basic studies demonstrate inflammatory markers and mechanisms related to leukocyte activity, innate immune mechanisms, and the chondrocyte-intrinsic inflammatory response that might provide better opportunities for early detection, prognosis, or therapeutic intervention.\nSUMMARY: Inflammation plays a central role in osteoarthritis pathogenesis, but additional translational work in this field is necessary, as are more clinical trials of anti-inflammatory approaches.","container-title":"Current Opinion in Rheumatology","DOI":"10.1097/BOR.0000000000000353","ISSN":"1531-6963","issue":"1","journalAbbreviation":"Curr Opin Rheumatol","language":"eng","note":"PMID: 27755180\nPMCID: PMC5565735","page":"79-85","source":"PubMed","title":"Role of low-grade inflammation in osteoarthritis","volume":"29","author":[{"family":"Scanzello","given":"Carla R."}],"issued":{"date-parts":[["2017",1]]}}},{"id":21339,"uris":["http://zotero.org/users/local/hhPVnw6l/items/X928AIPF"],"uri":["http://zotero.org/users/local/hhPVnw6l/items/X928AIPF"],"itemData":{"id":21339,"type":"article-journal","abstract":"Parkinson’s disease (PD) is a common neurodegenerative disorder primarily characterized by the death of dopaminergic neurons that project from the substantia nigra pars compacta. Although the molecular bases for PD development are still little defined, extensive evidence from human samples and animal models support the involvement of inflammation in onset or progression. However, the exact trigger for this response remains unclear. Here, we provide a systematic review of the cellular mediators, i.e., microglia, astroglia and endothelial cells. We also discuss the genetic and transcriptional control of inflammation in PD and the immunomodulatory role of dopamine and reactive oxygen species. Finally, we summarize the preclinical and clinical approaches targeting neuroinflammation in PD.","container-title":"Cells","DOI":"10.3390/cells9071687","ISSN":"2073-4409","issue":"7","journalAbbreviation":"Cells","note":"PMID: 32674367\nPMCID: PMC7408280","page":"1687","source":"PubMed Central","title":"Inflammation in Parkinson’s Disease: Mechanisms and Therapeutic Implications","title-short":"Inflammation in Parkinson’s Disease","volume":"9","author":[{"family":"Pajares","given":"Marta"},{"family":"I. Rojo","given":"Ana"},{"family":"Manda","given":"Gina"},{"family":"Boscá","given":"Lisardo"},{"family":"Cuadrado","given":"Antonio"}],"issued":{"date-parts":[["2020",7,14]]}}}],"schema":"https://github.com/citation-style-language/schema/raw/master/csl-citation.json"} </w:instrText>
      </w:r>
      <w:r w:rsidR="00190189" w:rsidRPr="00CC1992">
        <w:rPr>
          <w:rFonts w:ascii="Arial" w:hAnsi="Arial" w:cs="Arial"/>
          <w:sz w:val="24"/>
          <w:szCs w:val="24"/>
          <w:lang w:val="en-US"/>
        </w:rPr>
        <w:fldChar w:fldCharType="separate"/>
      </w:r>
      <w:r w:rsidR="00F67324">
        <w:rPr>
          <w:rFonts w:ascii="Arial" w:hAnsi="Arial" w:cs="Arial"/>
          <w:noProof/>
          <w:sz w:val="24"/>
          <w:szCs w:val="24"/>
          <w:lang w:val="en-US"/>
        </w:rPr>
        <w:t>[14,15]</w:t>
      </w:r>
      <w:r w:rsidR="00190189" w:rsidRPr="00CC1992">
        <w:rPr>
          <w:rFonts w:ascii="Arial" w:hAnsi="Arial" w:cs="Arial"/>
          <w:sz w:val="24"/>
          <w:szCs w:val="24"/>
          <w:lang w:val="en-US"/>
        </w:rPr>
        <w:fldChar w:fldCharType="end"/>
      </w:r>
      <w:r w:rsidR="00A2045A" w:rsidRPr="00CC1992">
        <w:rPr>
          <w:rFonts w:ascii="Arial" w:hAnsi="Arial" w:cs="Arial"/>
          <w:sz w:val="24"/>
          <w:szCs w:val="24"/>
          <w:lang w:val="en-US"/>
        </w:rPr>
        <w:t xml:space="preserve"> and vitamin D deficiency</w:t>
      </w:r>
      <w:r w:rsidR="00D9242B" w:rsidRPr="00CC1992">
        <w:rPr>
          <w:rFonts w:ascii="Arial" w:hAnsi="Arial" w:cs="Arial"/>
          <w:sz w:val="24"/>
          <w:szCs w:val="24"/>
          <w:lang w:val="en-US"/>
        </w:rPr>
        <w:t xml:space="preserve"> </w:t>
      </w:r>
      <w:r w:rsidR="00D9242B"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c7tW2rzn","properties":{"formattedCitation":"[16\\uc0\\u8211{}18]","plainCitation":"[16–18]","noteIndex":0},"citationItems":[{"id":21345,"uris":["http://zotero.org/users/local/hhPVnw6l/items/MRCECIFM"],"uri":["http://zotero.org/users/local/hhPVnw6l/items/MRCECIFM"],"itemData":{"id":21345,"type":"article-journal","abstract":"BACKGROUND: Knee osteoarthritis causes functional limitation and disability in the elderly. Vitamin D has biological functions on multiple knee joint structures and can play important roles in the progression of knee osteoarthritis. The metabolism of vitamin D is regulated by parathyroid hormone (PTH).\nOBJECTIVE: The objective was to investigate whether serum concentrations of 25-hydroxyvitamin D [25(OH)D] and PTH, individually and jointly, predict the progression of knee osteoarthritis.\nMETHODS: Serum 25(OH)D and PTH were measured at the 30- or 36-mo visit in 418 participants enrolled in the Osteoarthritis Initiative (OAI) who had ≥1 knee with both symptomatic and radiographic osteoarthritis. Progression of knee osteoarthritis was defined as any increase in the radiographic joint space narrowing (JSN) score between the 24- and 48-mo OAI visits.\nRESULTS: The mean concentrations of serum 25(OH)D and PTH were 26.2 μg/L and 54.5 pg/mL, respectively. Approximately 16% of the population had serum 25(OH)D &lt; 15 μg/L. Between the baseline and follow-up visits, 14% progressed in JSN score. Participants with low vitamin D [25(OH)D &lt; 15 μg/L] had &gt;2-fold elevated risk of knee osteoarthritis progression compared with those with greater vitamin D concentrations (≥15 μg/L; OR: 2.3; 95% CI: 1.1, 4.5). High serum PTH (≥73 pg/mL) was not associated with a significant increase in JSN score. However, participants with both low vitamin D and high PTH had &gt;3-fold increased risk of progression (OR: 3.2; 95%CI: 1.2, 8.4).\nCONCLUSION: Our results suggest that individuals deficient in vitamin D have an increased risk of knee osteoarthritis progression.","container-title":"The Journal of Nutrition","DOI":"10.3945/jn.114.193227","ISSN":"1541-6100","issue":"12","journalAbbreviation":"J Nutr","language":"eng","note":"PMID: 25411034\nPMCID: PMC4230211","page":"2002-2008","source":"PubMed","title":"Vitamin D deficiency is associated with progression of knee osteoarthritis","volume":"144","author":[{"family":"Zhang","given":"Fang Fang"},{"family":"Driban","given":"Jeffrey B."},{"family":"Lo","given":"Grace H."},{"family":"Price","given":"Lori Lyn"},{"family":"Booth","given":"Sarah"},{"family":"Eaton","given":"Charles B."},{"family":"Lu","given":"Bing"},{"family":"Nevitt","given":"Michael"},{"family":"Jackson","given":"Becky"},{"family":"Garganta","given":"Cheryl"},{"family":"Hochberg","given":"Marc C."},{"family":"Kwoh","given":"Kent"},{"family":"McAlindon","given":"Timothy E."}],"issued":{"date-parts":[["2014",12]]}}},{"id":21348,"uris":["http://zotero.org/users/local/hhPVnw6l/items/IW46TX34"],"uri":["http://zotero.org/users/local/hhPVnw6l/items/IW46TX34"],"itemData":{"id":21348,"type":"article-journal","abstract":"BACKGROUND: Osteoarthritis (OA) currently affects 10% of the American population. There has been a recent push to determine exactly what causes OA and how it can be treated most effectively. Serum vitamin D levels have been associated with OA and may have an effect on articular cartilage remodeling.\nPURPOSE: To critically review the published research on the effect of vitamin D on articular cartilage and the development of OA as well as on the mechanism behind cartilage regeneration and degeneration.\nSTUDY DESIGN: Review.\nMETHODS: A systematic search of PubMed and the Web of Science was performed for relevant studies published in the English language through April 30, 2016, using the terms vitamin D, articular cartilage, and osteoarthritis.\nRESULTS: On a molecular level, 1α,25(OH)2D3, the activated form of vitamin D, plays a role in articular cartilage degeneration. Vitamin D binds to vitamin D receptors, triggering a signaling cascade that leads to chondrocyte hypertrophy. In clinical trials, vitamin D deficiency poses a risk factor for OA, and those with decreased cartilage thickness are more likely to be vitamin D-insufficient.\nCONCLUSION: The role of vitamin D supplementation in the treatment or prevention of OA remains uncertain. More research is needed to reconcile these conflicting findings.","container-title":"Orthopaedic Journal of Sports Medicine","DOI":"10.1177/2325967117711376","ISSN":"2325-9671","issue":"6","journalAbbreviation":"Orthop J Sports Med","language":"eng","note":"PMID: 28680892\nPMCID: PMC5480771","page":"2325967117711376","source":"PubMed","title":"Vitamin D and Its Effects on Articular Cartilage and Osteoarthritis","volume":"5","author":[{"family":"Garfinkel","given":"Rachel J."},{"family":"Dilisio","given":"Matthew F."},{"family":"Agrawal","given":"Devendra K."}],"issued":{"date-parts":[["2017",6]]}}},{"id":21342,"uris":["http://zotero.org/users/local/hhPVnw6l/items/23MIDDCJ"],"uri":["http://zotero.org/users/local/hhPVnw6l/items/23MIDDCJ"],"itemData":{"id":21342,"type":"article-journal","abstract":"BACKGROUND: Previous cross-sectional studies have shown that Parkinson's disease (PD) patients have lower serum 25-hydroxy vitamin D (25(OH)D) concentrations than controls. Vitamin D deficiency was associated with increased disease severity and cognitive impairment in prevalent PD patients.\nOBJECTIVE: The aim of the study was to determine 25(OH)D in newly diagnosed PD and age-matched controls and to assess if there was an association with clinical outcomes (disease severity, cognition and falls) over the 36-month follow up period.\nMETHODS: A prospective observational study of newly diagnosed PD patients in the North East of England with age-matched controls (PD, n = 145; control, n = 94). Serum 25(OH)D was assessed at baseline and 18 months. Participants underwent clinical assessment at baseline, 18 and 36 months. One hundred and ten participants with PD also took part in a prospective falls study.\nRESULTS: Mean serum 25(OH)D concentrations were lower in PD than control participants at baseline (44.1±21.7 vs. 52.2±22.1 nmol/L, p &lt; 0.05) and 18 months (44.2±23.6 vs. 55.7±28.8 nmol/L, p &lt; 0.05). Baseline serum 25(OH)D concentration, age, motor score and dosage of dopaminergic medication were significant predictors of variance of motor severity at 36 months ((ΔR2 = 0.039, F = 6.6, p &lt; 0.01). Serum 25(OH)D was not associated with cognition or falls during the follow up period.\nCONCLUSIONS: Patients with incident PD had significantly lower serum 25(OH)D concentrations than age-matched controls, which may have implications in terms of bone health and fracture risk. There was a small but significant association between vitamin D status at baseline and disease motor severity at 36 months.","container-title":"Journal of Parkinson's Disease","DOI":"10.3233/JPD-171122","ISSN":"1877-718X","issue":"4","journalAbbreviation":"J Parkinsons Dis","language":"eng","note":"PMID: 28984616\nPMCID: PMC5676984","page":"669-675","source":"PubMed","title":"The Role of Vitamin D in Disease Progression in Early Parkinson's Disease","volume":"7","author":[{"family":"Sleeman","given":"Isobel"},{"family":"Aspray","given":"Terry"},{"family":"Lawson","given":"Rachael"},{"family":"Coleman","given":"Shirley"},{"family":"Duncan","given":"Gordon"},{"family":"Khoo","given":"Tien K."},{"family":"Schoenmakers","given":"Inez"},{"family":"Rochester","given":"Lynn"},{"family":"Burn","given":"David"},{"family":"Yarnall","given":"Alison"}],"issued":{"date-parts":[["2017"]]}}}],"schema":"https://github.com/citation-style-language/schema/raw/master/csl-citation.json"} </w:instrText>
      </w:r>
      <w:r w:rsidR="00D9242B" w:rsidRPr="00CC1992">
        <w:rPr>
          <w:rFonts w:ascii="Arial" w:hAnsi="Arial" w:cs="Arial"/>
          <w:sz w:val="24"/>
          <w:szCs w:val="24"/>
          <w:lang w:val="en-US"/>
        </w:rPr>
        <w:fldChar w:fldCharType="separate"/>
      </w:r>
      <w:r w:rsidR="00F67324" w:rsidRPr="00F67324">
        <w:rPr>
          <w:rFonts w:ascii="Arial" w:hAnsi="Arial" w:cs="Arial"/>
          <w:sz w:val="24"/>
        </w:rPr>
        <w:t>[16–18]</w:t>
      </w:r>
      <w:r w:rsidR="00D9242B" w:rsidRPr="00CC1992">
        <w:rPr>
          <w:rFonts w:ascii="Arial" w:hAnsi="Arial" w:cs="Arial"/>
          <w:sz w:val="24"/>
          <w:szCs w:val="24"/>
          <w:lang w:val="en-US"/>
        </w:rPr>
        <w:fldChar w:fldCharType="end"/>
      </w:r>
      <w:r w:rsidR="00836626" w:rsidRPr="00CC1992">
        <w:rPr>
          <w:rFonts w:ascii="Arial" w:hAnsi="Arial" w:cs="Arial"/>
          <w:sz w:val="24"/>
          <w:szCs w:val="24"/>
          <w:lang w:val="en-US"/>
        </w:rPr>
        <w:t>,</w:t>
      </w:r>
      <w:r w:rsidR="00FD33EC" w:rsidRPr="00CC1992">
        <w:rPr>
          <w:rFonts w:ascii="Arial" w:hAnsi="Arial" w:cs="Arial"/>
          <w:sz w:val="24"/>
          <w:szCs w:val="24"/>
          <w:lang w:val="en-US"/>
        </w:rPr>
        <w:t xml:space="preserve"> </w:t>
      </w:r>
      <w:r w:rsidR="00A2045A" w:rsidRPr="00CC1992">
        <w:rPr>
          <w:rFonts w:ascii="Arial" w:hAnsi="Arial" w:cs="Arial"/>
          <w:sz w:val="24"/>
          <w:szCs w:val="24"/>
          <w:lang w:val="en-US"/>
        </w:rPr>
        <w:t xml:space="preserve">as well as several mediators such as </w:t>
      </w:r>
      <w:r w:rsidR="002C52B6" w:rsidRPr="00CC1992">
        <w:rPr>
          <w:rFonts w:ascii="Arial" w:hAnsi="Arial" w:cs="Arial"/>
          <w:sz w:val="24"/>
          <w:szCs w:val="24"/>
          <w:lang w:val="en-US"/>
        </w:rPr>
        <w:t>physical inactivity</w:t>
      </w:r>
      <w:r w:rsidR="00F00049" w:rsidRPr="00CC1992">
        <w:rPr>
          <w:rFonts w:ascii="Arial" w:hAnsi="Arial" w:cs="Arial"/>
          <w:sz w:val="24"/>
          <w:szCs w:val="24"/>
          <w:lang w:val="en-US"/>
        </w:rPr>
        <w:t xml:space="preserve"> </w:t>
      </w:r>
      <w:r w:rsidR="00F00049"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lyJXLVC0","properties":{"formattedCitation":"[19,20]","plainCitation":"[19,20]","noteIndex":0},"citationItems":[{"id":21351,"uris":["http://zotero.org/users/local/hhPVnw6l/items/KKTD968T"],"uri":["http://zotero.org/users/local/hhPVnw6l/items/KKTD968T"],"itemData":{"id":21351,"type":"article-journal","abstract":"BACKGROUND: Regular physical activity in persons with arthritis has been shown to decrease pain, improve function, and delay disability. This study estimates the national prevalence of leisure-time physical activity and identifies factors associated with physical inactivity in adults with arthritis.\nMETHODS: Data from the 2002 National Health Interview Survey were analyzed in 2004-2005 to estimate the proportion of adults with arthritis meeting four physical activity recommendations put forward in Healthy People 2010 and one arthritis-specific recommendation established by a national expert panel in arthritis and physical activity. Multivariate logistic regression was used to evaluate the association between inactivity and sociodemographic factors, body mass index, functional limitations, social limitations, need for special equipment, frequent anxiety/depression, affected joint location, joint pain, physical activity counseling, and access to a fitness facility.\nRESULTS: Adults with arthritis were significantly less likely than adults without arthritis to engage in recommended levels of moderate or vigorous physical activity, and 37% of adults with arthritis were inactive. In both men and women with arthritis, inactivity was associated with older age, lower education, and having functional limitations; having access to a fitness facility was inversely associated with inactivity. Among women, inactivity was also associated with being Hispanic, non-Hispanic black, having frequent anxiety/depression or social limitations, needing special equipment, and not receiving physical activity counseling. Among men, inactivity was also associated with severe joint pain.\nCONCLUSIONS: Although physical activity is a recommended therapy for people with arthritis, levels among adults with arthritis are insufficient, and those with arthritis have worse activity profiles than their peers without arthritis. Efforts to promote physical activity should include expanding access to evidence-based interventions and recreational facilities/programs. The importance of physical activity counseling and associated pain management measures by healthcare providers should be emphasized.","container-title":"American Journal of Preventive Medicine","DOI":"10.1016/j.amepre.2005.12.005","ISSN":"0749-3797","issue":"5","journalAbbreviation":"Am J Prev Med","language":"eng","note":"PMID: 16627126","page":"385-393","source":"PubMed","title":"Physical activity in men and women with arthritis National Health Interview Survey, 2002","volume":"30","author":[{"family":"Shih","given":"Margaret"},{"family":"Hootman","given":"Jennifer M."},{"family":"Kruger","given":"Judy"},{"family":"Helmick","given":"Charles G."}],"issued":{"date-parts":[["2006",5]]}}},{"id":21353,"uris":["http://zotero.org/users/local/hhPVnw6l/items/KW7DXL66"],"uri":["http://zotero.org/users/local/hhPVnw6l/items/KW7DXL66"],"itemData":{"id":21353,"type":"article-journal","abstract":"Importance: The association between physical activity and the risk of Parkinson disease (PD) has been increasingly recognized. However, to our knowledge, a comprehensive assessment of the quantitative dose-response association between physical activity and PD risk has not been performed previously.\nObjective: To quantify the dose-response association between physical activity and the risk of developing PD.\nData Sources: PubMed, Embase, and Web of Science were systematically searched for peer-reviewed articles published through February 2018 reporting the association between physical activity and PD risk.\nStudy Selection: Prospective studies that examined the association between physical activity and PD risk were included.\nData Extraction and Synthesis: Data were extracted independently by 2 investigators. Adjusted risk estimates were extracted and pooled using a random-effects model. The study adhered to Meta-analysis of Observational Studies in Epidemiology (MOOSE) reporting guidelines.\nMain Outcomes and Measures: The main outcome was the incidence of PD diagnoses confirmed by the treating neurologists or the authoritative medical records.\nResults: Eight prospective studies totaling 544 336 participants included 2192 patients with PD with a median (range) follow-up period of 12 (6.1-22.0) years were identified. A significantly reduced risk of PD was associated with the highest levels of either total physical activity (relative risk, 0.79; 95% CI, 0.68-0.91) or moderate to vigorous physical activity (relative risk, 0.71; 95% CI, 0.58-0.87), with stronger associations among men than among women. In contrast, light physical activity was not associated with PD risk (relative risk, 0.86; 95% CI, 0.60-1.23). The dose-response analysis revealed that for each 10 metabolic equivalent of task-hours/week increase in total or moderate to vigorous physical activity, the risk of PD among men decreased by 10% and 17%, respectively. No linear dose-response association was found between physical activity and PD risk among women.\nConclusions and Relevance: This analysis revealed an inverse dose-response association between physical activity and PD risk among men; importantly, even moderate exercise was associated with a significant reduction in the risk of PD. Future studies with quantified measurements of physical activity will help identify the precise relative risk estimates for various levels of activity with respect to PD risk.","container-title":"JAMA network open","DOI":"10.1001/jamanetworkopen.2018.2421","ISSN":"2574-3805","issue":"5","journalAbbreviation":"JAMA Netw Open","language":"eng","note":"PMID: 30646166\nPMCID: PMC6324511","page":"e182421","source":"PubMed","title":"Association of Levels of Physical Activity With Risk of Parkinson Disease: A Systematic Review and Meta-analysis","title-short":"Association of Levels of Physical Activity With Risk of Parkinson Disease","volume":"1","author":[{"family":"Fang","given":"Xuexian"},{"family":"Han","given":"Dan"},{"family":"Cheng","given":"Qi"},{"family":"Zhang","given":"Pan"},{"family":"Zhao","given":"Chunhui"},{"family":"Min","given":"Junxia"},{"family":"Wang","given":"Fudi"}],"issued":{"date-parts":[["2018",9,7]]}}}],"schema":"https://github.com/citation-style-language/schema/raw/master/csl-citation.json"} </w:instrText>
      </w:r>
      <w:r w:rsidR="00F00049" w:rsidRPr="00CC1992">
        <w:rPr>
          <w:rFonts w:ascii="Arial" w:hAnsi="Arial" w:cs="Arial"/>
          <w:sz w:val="24"/>
          <w:szCs w:val="24"/>
          <w:lang w:val="en-US"/>
        </w:rPr>
        <w:fldChar w:fldCharType="separate"/>
      </w:r>
      <w:r w:rsidR="00F67324">
        <w:rPr>
          <w:rFonts w:ascii="Arial" w:hAnsi="Arial" w:cs="Arial"/>
          <w:noProof/>
          <w:sz w:val="24"/>
          <w:szCs w:val="24"/>
          <w:lang w:val="en-US"/>
        </w:rPr>
        <w:t>[19,20]</w:t>
      </w:r>
      <w:r w:rsidR="00F00049" w:rsidRPr="00CC1992">
        <w:rPr>
          <w:rFonts w:ascii="Arial" w:hAnsi="Arial" w:cs="Arial"/>
          <w:sz w:val="24"/>
          <w:szCs w:val="24"/>
          <w:lang w:val="en-US"/>
        </w:rPr>
        <w:fldChar w:fldCharType="end"/>
      </w:r>
      <w:r w:rsidR="0046684E" w:rsidRPr="00CC1992">
        <w:rPr>
          <w:rFonts w:ascii="Arial" w:hAnsi="Arial" w:cs="Arial"/>
          <w:sz w:val="24"/>
          <w:szCs w:val="24"/>
          <w:lang w:val="en-US"/>
        </w:rPr>
        <w:t>,</w:t>
      </w:r>
      <w:r w:rsidR="002C52B6" w:rsidRPr="00CC1992">
        <w:rPr>
          <w:rFonts w:ascii="Arial" w:hAnsi="Arial" w:cs="Arial"/>
          <w:sz w:val="24"/>
          <w:szCs w:val="24"/>
          <w:lang w:val="en-US"/>
        </w:rPr>
        <w:t xml:space="preserve"> </w:t>
      </w:r>
      <w:r w:rsidR="0046684E" w:rsidRPr="00CC1992">
        <w:rPr>
          <w:rFonts w:ascii="Arial" w:hAnsi="Arial" w:cs="Arial"/>
          <w:sz w:val="24"/>
          <w:szCs w:val="24"/>
          <w:lang w:val="en-US"/>
        </w:rPr>
        <w:t>hypertension</w:t>
      </w:r>
      <w:r w:rsidR="00ED1873" w:rsidRPr="00CC1992">
        <w:rPr>
          <w:rFonts w:ascii="Arial" w:hAnsi="Arial" w:cs="Arial"/>
          <w:sz w:val="24"/>
          <w:szCs w:val="24"/>
          <w:lang w:val="en-US"/>
        </w:rPr>
        <w:t xml:space="preserve"> </w:t>
      </w:r>
      <w:r w:rsidR="00ED1873"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LVOCPSQB","properties":{"formattedCitation":"[21,22]","plainCitation":"[21,22]","noteIndex":0},"citationItems":[{"id":21359,"uris":["http://zotero.org/users/local/hhPVnw6l/items/DXIBV5WW"],"uri":["http://zotero.org/users/local/hhPVnw6l/items/DXIBV5WW"],"itemData":{"id":21359,"type":"article-journal","abstract":"Although previous research has indicated an association between osteoarthritis (OA) and cardiovascular disease, it remains unclear whether people with OA are at greater risk of developing hypertension. The aim of this study was to answer this uncertainity. We used the data of the Osteoarthritis Initiative, an ongoing public and private longitudinal study including people at higher risk of OA or having knee OA. Knee OA was defined through radiological and clinical assessment. Incident hypertension was defined as a systolic blood pressure ≥140 mmHg and/or a diastolic value ≥90 mmHg. Multivariate Cox's regression analyses were constructed considering the presence of knee OA as the exposure and incident hypertension as the outcome during a 96-month follow-up interval. A total of 3558 people with normative blood pressure values at baseline were analyzed (1930 OA/1628 controls). Incidence of hypertension within the follow-up interval was significantly higher in people with knee OA than in those without (60/[1000 person-years] vs. 55/[1000 person-years]; p &lt; 0.0001). After adjusting for 13 confounders, people with knee OA had a 13% higher chance of developing hypertension (hazard ratio = 1.13; 95% confidence interval: 1.01-1.26; p = 0.03). Propensity score analysis did not alter these conclusions. In conclusion, this is the first longitudinal data analysis to demonstrate that people with knee OA have a higher chance of developing hypertension than those without OA. Our data suggest that monitoring blood pressure and prescribing health promotion interventions may be warranted among people with OA to mitigate the potential onset and adverse consequences of hypertension.","container-title":"Rejuvenation Research","DOI":"10.1089/rej.2017.1917","ISSN":"1557-8577","issue":"1","journalAbbreviation":"Rejuvenation Res","language":"eng","note":"PMID: 28648126\nPMCID: PMC5824487","page":"15-21","source":"PubMed","title":"Knee Osteoarthritis and Risk of Hypertension: A Longitudinal Cohort Study","title-short":"Knee Osteoarthritis and Risk of Hypertension","volume":"21","author":[{"family":"Veronese","given":"Nicola"},{"family":"Stubbs","given":"Brendon"},{"family":"Solmi","given":"Marco"},{"family":"Smith","given":"Toby O."},{"family":"Noale","given":"Marianna"},{"family":"Schofield","given":"Patricia"},{"family":"Maggi","given":"Stefania"}],"issued":{"date-parts":[["2018",2]]}}},{"id":21356,"uris":["http://zotero.org/users/local/hhPVnw6l/items/9EW4X7ZD"],"uri":["http://zotero.org/users/local/hhPVnw6l/items/9EW4X7ZD"],"itemData":{"id":21356,"type":"article-journal","abstract":"BACKGROUND: The results of analytical studies show that the association between hypertension and the risk of Parkinson's disease (PD) remains controversial.\nMETHOD: We searched studies related to the association between hypertension and the risk of PD. We pooled the ORs and risk ratios (RRs) with 95% confidence interval (CI) with random effects model and conducted meta-regression to explore potential sources of heterogeneity. Publication bias was estimated by Egger's test and the funnel plot.\nRESULTS: Twenty-six articles containing 27 studies were included, involving 9 cohort studies and 18 case-control studies. In cohort studies, compared with the non-hypertension participants, the pooled RR for the risk of PD was 1.70 (95% CI 1.60-1.80) for the patients with hypertension. In case-control studies, compared with the non-hypertension participants, the pooled OR for the risk of PD was 0.85 (95% CI 0.78-0.92) for the patients with hypertension. There were no publication bias in cohort studies and case-control studies.\nCONCLUSION: Based on population-based cohort studies, this meta-analysis indicated that hypertension might increase the risk of PD. In view of both hypertension and PD having an association with aging, case-control studies, especially the studies based on hospital records, were not suitable for similar studies.","container-title":"Neuroepidemiology","DOI":"10.1159/000496977","ISSN":"1423-0208","issue":"3-4","journalAbbreviation":"Neuroepidemiology","language":"eng","note":"PMID: 30726850","page":"181-192","source":"PubMed","title":"Association between Hypertension and the Risk of Parkinson's Disease: A Meta-Analysis of Analytical Studies","title-short":"Association between Hypertension and the Risk of Parkinson's Disease","volume":"52","author":[{"family":"Chen","given":"Jiahao"},{"family":"Zhang","given":"Caixia"},{"family":"Wu","given":"Yanjun"},{"family":"Zhang","given":"Dongfeng"}],"issued":{"date-parts":[["2019"]]}}}],"schema":"https://github.com/citation-style-language/schema/raw/master/csl-citation.json"} </w:instrText>
      </w:r>
      <w:r w:rsidR="00ED1873" w:rsidRPr="00CC1992">
        <w:rPr>
          <w:rFonts w:ascii="Arial" w:hAnsi="Arial" w:cs="Arial"/>
          <w:sz w:val="24"/>
          <w:szCs w:val="24"/>
          <w:lang w:val="en-US"/>
        </w:rPr>
        <w:fldChar w:fldCharType="separate"/>
      </w:r>
      <w:r w:rsidR="00F67324">
        <w:rPr>
          <w:rFonts w:ascii="Arial" w:hAnsi="Arial" w:cs="Arial"/>
          <w:noProof/>
          <w:sz w:val="24"/>
          <w:szCs w:val="24"/>
          <w:lang w:val="en-US"/>
        </w:rPr>
        <w:t>[21,22]</w:t>
      </w:r>
      <w:r w:rsidR="00ED1873" w:rsidRPr="00CC1992">
        <w:rPr>
          <w:rFonts w:ascii="Arial" w:hAnsi="Arial" w:cs="Arial"/>
          <w:sz w:val="24"/>
          <w:szCs w:val="24"/>
          <w:lang w:val="en-US"/>
        </w:rPr>
        <w:fldChar w:fldCharType="end"/>
      </w:r>
      <w:r w:rsidR="0046684E" w:rsidRPr="00CC1992">
        <w:rPr>
          <w:rFonts w:ascii="Arial" w:hAnsi="Arial" w:cs="Arial"/>
          <w:sz w:val="24"/>
          <w:szCs w:val="24"/>
          <w:lang w:val="en-US"/>
        </w:rPr>
        <w:t xml:space="preserve"> </w:t>
      </w:r>
      <w:r w:rsidR="002C52B6" w:rsidRPr="00CC1992">
        <w:rPr>
          <w:rFonts w:ascii="Arial" w:hAnsi="Arial" w:cs="Arial"/>
          <w:sz w:val="24"/>
          <w:szCs w:val="24"/>
          <w:lang w:val="en-US"/>
        </w:rPr>
        <w:t>and depression</w:t>
      </w:r>
      <w:r w:rsidR="009D7854" w:rsidRPr="00CC1992">
        <w:rPr>
          <w:rFonts w:ascii="Arial" w:hAnsi="Arial" w:cs="Arial"/>
          <w:sz w:val="24"/>
          <w:szCs w:val="24"/>
          <w:lang w:val="en-US"/>
        </w:rPr>
        <w:t xml:space="preserve"> </w:t>
      </w:r>
      <w:r w:rsidR="009D7854"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RDSKhhhU","properties":{"formattedCitation":"[23,24]","plainCitation":"[23,24]","noteIndex":0},"citationItems":[{"id":18671,"uris":["http://zotero.org/users/local/hhPVnw6l/items/2578NYBU"],"uri":["http://zotero.org/users/local/hhPVnw6l/items/2578NYBU"],"itemData":{"id":18671,"type":"article-journal","abstract":"AbstractBackground.  osteoarthritis (OA) is associated with a number of medical morbidities. Although the prevalence of depression and depressive symptoms is pr","container-title":"Age and Ageing","DOI":"10.1093/ageing/afw216","ISSN":"0002-0729","issue":"3","journalAbbreviation":"Age Ageing","language":"en","note":"publisher: Oxford Academic","page":"470-476","source":"academic.oup.com","title":"Association between lower limb osteoarthritis and incidence of depressive symptoms: data from the osteoarthritis initiative","title-short":"Association between lower limb osteoarthritis and incidence of depressive symptoms","volume":"46","author":[{"family":"Veronese","given":"Nicola"},{"family":"Stubbs","given":"Brendon"},{"family":"Solmi","given":"Marco"},{"family":"Smith","given":"Toby O."},{"family":"Noale","given":"Marianna"},{"family":"Cooper","given":"Cyrus"},{"family":"Maggi","given":"Stefania"}],"issued":{"date-parts":[["2017",5,1]]}}},{"id":21362,"uris":["http://zotero.org/users/local/hhPVnw6l/items/93N7Y55J"],"uri":["http://zotero.org/users/local/hhPVnw6l/items/93N7Y55J"],"itemData":{"id":21362,"type":"article-journal","abstract":"BACKGROUND: Observational studies, including recent large cohort studies, have reported an association between depression and the risk of Parkinson's disease (PD); however, conclusions were inconsistent. Clarifying this relation might improve the understanding of risk factors for and the disease mechanisms in PD. Therefore, we performed a meta-analysis to examine whether depression is associated with an increased risk of PD.\nMETHODS: A literature search in the PubMed, EMBASE, Scopus, PsycINFO and Web of Science databases was undertaken through March 2018, looking for observational studies evaluating the association between depression and the risk of PD. Pooled relative risk (RR) estimates and 95% confidence intervals (CIs) were calculated using a random-effects model. Subgroup analyses and sensitivity analyses were also performed.\nRESULTS: A random-effects meta-analysis of 5 cohort studies and 6 case-control studies demonstrated a significant positive association between depression and a subsequent risk of PD (RR, 2.20; 95% CI, 1.87-2.58), and it was consistent across subgroups. Furthermore, sensitivity analysis confirmed the stability of the results; visual examination of funnel plots and Begg's and Egger's tests showed no evidence of publication bias.\nCONCLUSIONS: Our meta-analysis demonstrated that persons with depression exhibited an increased risk of a subsequent PD diagnosis. The pathophysiological and psychological mechanisms underlying this association are still unclear and warrant further research.","container-title":"Progress in Neuro-Psychopharmacology &amp; Biological Psychiatry","DOI":"10.1016/j.pnpbp.2018.05.025","ISSN":"1878-4216","journalAbbreviation":"Prog Neuropsychopharmacol Biol Psychiatry","language":"eng","note":"PMID: 29859854","page":"186-192","source":"PubMed","title":"Association between depression and the subsequent risk of Parkinson's disease: A meta-analysis","title-short":"Association between depression and the subsequent risk of Parkinson's disease","volume":"86","author":[{"family":"Wang","given":"Shun"},{"family":"Mao","given":"Shanping"},{"family":"Xiang","given":"Dan"},{"family":"Fang","given":"Congcong"}],"issued":{"date-parts":[["2018",8,30]]}}}],"schema":"https://github.com/citation-style-language/schema/raw/master/csl-citation.json"} </w:instrText>
      </w:r>
      <w:r w:rsidR="009D7854" w:rsidRPr="00CC1992">
        <w:rPr>
          <w:rFonts w:ascii="Arial" w:hAnsi="Arial" w:cs="Arial"/>
          <w:sz w:val="24"/>
          <w:szCs w:val="24"/>
          <w:lang w:val="en-US"/>
        </w:rPr>
        <w:fldChar w:fldCharType="separate"/>
      </w:r>
      <w:r w:rsidR="00F67324">
        <w:rPr>
          <w:rFonts w:ascii="Arial" w:hAnsi="Arial" w:cs="Arial"/>
          <w:noProof/>
          <w:sz w:val="24"/>
          <w:szCs w:val="24"/>
          <w:lang w:val="en-US"/>
        </w:rPr>
        <w:t>[23,24]</w:t>
      </w:r>
      <w:r w:rsidR="009D7854" w:rsidRPr="00CC1992">
        <w:rPr>
          <w:rFonts w:ascii="Arial" w:hAnsi="Arial" w:cs="Arial"/>
          <w:sz w:val="24"/>
          <w:szCs w:val="24"/>
          <w:lang w:val="en-US"/>
        </w:rPr>
        <w:fldChar w:fldCharType="end"/>
      </w:r>
      <w:r w:rsidR="002C52B6" w:rsidRPr="00CC1992">
        <w:rPr>
          <w:rFonts w:ascii="Arial" w:hAnsi="Arial" w:cs="Arial"/>
          <w:sz w:val="24"/>
          <w:szCs w:val="24"/>
          <w:lang w:val="en-US"/>
        </w:rPr>
        <w:t>.</w:t>
      </w:r>
      <w:r w:rsidR="001771F0" w:rsidRPr="00CC1992">
        <w:rPr>
          <w:rFonts w:ascii="Arial" w:hAnsi="Arial" w:cs="Arial"/>
          <w:sz w:val="24"/>
          <w:szCs w:val="24"/>
          <w:lang w:val="en-US"/>
        </w:rPr>
        <w:t xml:space="preserve"> </w:t>
      </w:r>
      <w:r w:rsidR="00C73895" w:rsidRPr="00CC1992">
        <w:rPr>
          <w:rFonts w:ascii="Arial" w:hAnsi="Arial" w:cs="Arial"/>
          <w:sz w:val="24"/>
          <w:szCs w:val="24"/>
          <w:lang w:val="en-US"/>
        </w:rPr>
        <w:lastRenderedPageBreak/>
        <w:t xml:space="preserve">Although the </w:t>
      </w:r>
      <w:r w:rsidR="00DC7B7D" w:rsidRPr="00CC1992">
        <w:rPr>
          <w:rFonts w:ascii="Arial" w:hAnsi="Arial" w:cs="Arial"/>
          <w:sz w:val="24"/>
          <w:szCs w:val="24"/>
          <w:lang w:val="en-US"/>
        </w:rPr>
        <w:t xml:space="preserve">previous </w:t>
      </w:r>
      <w:r w:rsidR="00C73895" w:rsidRPr="00CC1992">
        <w:rPr>
          <w:rFonts w:ascii="Arial" w:hAnsi="Arial" w:cs="Arial"/>
          <w:sz w:val="24"/>
          <w:szCs w:val="24"/>
          <w:lang w:val="en-US"/>
        </w:rPr>
        <w:t>study conducted in Taiwan has advanced the field</w:t>
      </w:r>
      <w:r w:rsidR="00010D43" w:rsidRPr="00CC1992">
        <w:rPr>
          <w:rFonts w:ascii="Arial" w:hAnsi="Arial" w:cs="Arial"/>
          <w:sz w:val="24"/>
          <w:szCs w:val="24"/>
          <w:lang w:val="en-US"/>
        </w:rPr>
        <w:t xml:space="preserve"> </w:t>
      </w:r>
      <w:r w:rsidR="00B02B28"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RPrIdc5b","properties":{"formattedCitation":"[11]","plainCitation":"[11]","noteIndex":0},"citationItems":[{"id":21334,"uris":["http://zotero.org/users/local/hhPVnw6l/items/38NU5PQH"],"uri":["http://zotero.org/users/local/hhPVnw6l/items/38NU5PQH"],"itemData":{"id":21334,"type":"article-journal","abstract":"OBJECTIVES: To investigate whether patients with osteoarthritis (OA) are at a higher risk of developing Parkinson's disease (PD).\nMETHODS: This retrospective cohort study was conducted using Taiwan's Longitudinal Health Insurance Database 2005. We enrolled 33,360 patients who were 50-64 years old and had OA in 2002-2005 to form the OA group. The comparison group consisted of 33,360 age- and sex-matched, randomly sampled subjects without OA. Then, their PD-free survival curves were generated using the Kaplan-Meier method. Multivariable Cox proportional-hazard regression analysis was employed to estimate the effect of having OA on patients' subsequent risk of PD.\nRESULTS: Of the two groups, the OA group had a significantly higher risk of developing PD (adjusted hazard ratio [aHR]=1.41, 95% CI, 1.16-1.70, p=0.0003). The PD-free survival rate of the OA group was also significantly lower than that of the comparison group (p=0.0004). The subgroup analysis showed that patients with knee or hip OA appeared to have a higher magnitude of PD risk (aHR 1.55, 95% CI, 1.14-2.11) than patients with non-knee and non-hip OA (aHR 1.42, 95% CI, 1.06-1.89) or with uncategorized OA (aHR 1.32, 95% CI,1.05-1.64).\nCONCLUSIONS: Our findings suggest that OA is linked to an increased risk of developing PD.","container-title":"Arthritis Care &amp; Research","DOI":"10.1002/acr.24708","ISSN":"2151-4658","journalAbbreviation":"Arthritis Care Res (Hoboken)","language":"eng","note":"PMID: 34105302","source":"PubMed","title":"Osteoarthritis is associated with an increased risk of Parkinson's disease: A population-based, longitudinal follow-up study","title-short":"Osteoarthritis is associated with an increased risk of Parkinson's disease","author":[{"family":"Feng","given":"Shih-Hao"},{"family":"Chuang","given":"Hung-Jui"},{"family":"Yeh","given":"Kuo-Cheng"},{"family":"Pan","given":"Shin-Liang"}],"issued":{"date-parts":[["2021",6,8]]}}}],"schema":"https://github.com/citation-style-language/schema/raw/master/csl-citation.json"} </w:instrText>
      </w:r>
      <w:r w:rsidR="00B02B28" w:rsidRPr="00CC1992">
        <w:rPr>
          <w:rFonts w:ascii="Arial" w:hAnsi="Arial" w:cs="Arial"/>
          <w:sz w:val="24"/>
          <w:szCs w:val="24"/>
          <w:lang w:val="en-US"/>
        </w:rPr>
        <w:fldChar w:fldCharType="separate"/>
      </w:r>
      <w:r w:rsidR="00F67324">
        <w:rPr>
          <w:rFonts w:ascii="Arial" w:hAnsi="Arial" w:cs="Arial"/>
          <w:noProof/>
          <w:sz w:val="24"/>
          <w:szCs w:val="24"/>
          <w:lang w:val="en-US"/>
        </w:rPr>
        <w:t>[11]</w:t>
      </w:r>
      <w:r w:rsidR="00B02B28" w:rsidRPr="00CC1992">
        <w:rPr>
          <w:rFonts w:ascii="Arial" w:hAnsi="Arial" w:cs="Arial"/>
          <w:sz w:val="24"/>
          <w:szCs w:val="24"/>
          <w:lang w:val="en-US"/>
        </w:rPr>
        <w:fldChar w:fldCharType="end"/>
      </w:r>
      <w:r w:rsidR="00C73895" w:rsidRPr="00CC1992">
        <w:rPr>
          <w:rFonts w:ascii="Arial" w:hAnsi="Arial" w:cs="Arial"/>
          <w:sz w:val="24"/>
          <w:szCs w:val="24"/>
          <w:lang w:val="en-US"/>
        </w:rPr>
        <w:t xml:space="preserve">, its findings may not be </w:t>
      </w:r>
      <w:r w:rsidR="00692BB8">
        <w:rPr>
          <w:rFonts w:ascii="Arial" w:hAnsi="Arial" w:cs="Arial"/>
          <w:sz w:val="24"/>
          <w:szCs w:val="24"/>
          <w:lang w:val="en-US"/>
        </w:rPr>
        <w:t xml:space="preserve">generalizable </w:t>
      </w:r>
      <w:r w:rsidR="00C73895" w:rsidRPr="00CC1992">
        <w:rPr>
          <w:rFonts w:ascii="Arial" w:hAnsi="Arial" w:cs="Arial"/>
          <w:sz w:val="24"/>
          <w:szCs w:val="24"/>
          <w:lang w:val="en-US"/>
        </w:rPr>
        <w:t xml:space="preserve">to </w:t>
      </w:r>
      <w:r w:rsidR="00B02B28" w:rsidRPr="00CC1992">
        <w:rPr>
          <w:rFonts w:ascii="Arial" w:hAnsi="Arial" w:cs="Arial"/>
          <w:sz w:val="24"/>
          <w:szCs w:val="24"/>
          <w:lang w:val="en-US"/>
        </w:rPr>
        <w:t>other</w:t>
      </w:r>
      <w:r w:rsidR="00C73895" w:rsidRPr="00CC1992">
        <w:rPr>
          <w:rFonts w:ascii="Arial" w:hAnsi="Arial" w:cs="Arial"/>
          <w:sz w:val="24"/>
          <w:szCs w:val="24"/>
          <w:lang w:val="en-US"/>
        </w:rPr>
        <w:t xml:space="preserve"> countries. Indeed, </w:t>
      </w:r>
      <w:r w:rsidR="00E74A19" w:rsidRPr="00CC1992">
        <w:rPr>
          <w:rFonts w:ascii="Arial" w:hAnsi="Arial" w:cs="Arial"/>
          <w:sz w:val="24"/>
          <w:szCs w:val="24"/>
          <w:lang w:val="en-US"/>
        </w:rPr>
        <w:t xml:space="preserve">Taiwan is one of the countries with the lowest age-standardized </w:t>
      </w:r>
      <w:r w:rsidR="00DE5832" w:rsidRPr="00CC1992">
        <w:rPr>
          <w:rFonts w:ascii="Arial" w:hAnsi="Arial" w:cs="Arial"/>
          <w:sz w:val="24"/>
          <w:szCs w:val="24"/>
          <w:lang w:val="en-US"/>
        </w:rPr>
        <w:t xml:space="preserve">incidence and </w:t>
      </w:r>
      <w:r w:rsidR="00E74A19" w:rsidRPr="00CC1992">
        <w:rPr>
          <w:rFonts w:ascii="Arial" w:hAnsi="Arial" w:cs="Arial"/>
          <w:sz w:val="24"/>
          <w:szCs w:val="24"/>
          <w:lang w:val="en-US"/>
        </w:rPr>
        <w:t>prevalence of osteoarthritis</w:t>
      </w:r>
      <w:r w:rsidR="00BD16EB" w:rsidRPr="00CC1992">
        <w:rPr>
          <w:rFonts w:ascii="Arial" w:hAnsi="Arial" w:cs="Arial"/>
          <w:sz w:val="24"/>
          <w:szCs w:val="24"/>
          <w:lang w:val="en-US"/>
        </w:rPr>
        <w:t>, while</w:t>
      </w:r>
      <w:r w:rsidR="00624DC3" w:rsidRPr="00CC1992">
        <w:rPr>
          <w:rFonts w:ascii="Arial" w:hAnsi="Arial" w:cs="Arial"/>
          <w:sz w:val="24"/>
          <w:szCs w:val="24"/>
          <w:lang w:val="en-US"/>
        </w:rPr>
        <w:t xml:space="preserve"> it is one of the only two countries for which </w:t>
      </w:r>
      <w:r w:rsidR="00734635" w:rsidRPr="00CC1992">
        <w:rPr>
          <w:rFonts w:ascii="Arial" w:hAnsi="Arial" w:cs="Arial"/>
          <w:sz w:val="24"/>
          <w:szCs w:val="24"/>
          <w:lang w:val="en-US"/>
        </w:rPr>
        <w:t xml:space="preserve">the rate of </w:t>
      </w:r>
      <w:r w:rsidR="00624DC3" w:rsidRPr="00CC1992">
        <w:rPr>
          <w:rFonts w:ascii="Arial" w:hAnsi="Arial" w:cs="Arial"/>
          <w:sz w:val="24"/>
          <w:szCs w:val="24"/>
          <w:lang w:val="en-US"/>
        </w:rPr>
        <w:t xml:space="preserve">years lived with disability for osteoarthritis has decreased over the past decades </w:t>
      </w:r>
      <w:r w:rsidR="00E74A19"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ahMhuMx6","properties":{"formattedCitation":"[25]","plainCitation":"[25]","noteIndex":0},"citationItems":[{"id":20021,"uris":["http://zotero.org/users/local/hhPVnw6l/items/TN5TS4LL"],"uri":["http://zotero.org/users/local/hhPVnw6l/items/TN5TS4LL"],"itemData":{"id":20021,"type":"article-journal","abstract":"OBJECTIVES: To report the level and trends of prevalence, incidence and years lived with disability (YLDs) for osteoarthritis (OA) in 195 countries and territories from 1990 to 2017 by age, sex and Socio-demographic index (SDI; a composite of sociodemographic factors).\nMETHODS: Publicly available modelled data from the Global Burden of Diseases, Injuries, and Risk Factors Study (GBD) 2017 were used. The burden of OA was estimated for 195 countries and territories from 1990 to 2017, through a systematic analysis of prevalence and incidence modelled data using the methods reported in the GBD 2017 Study. All estimates were presented as counts and age-standardised rates per 100 000 population, with uncertainty intervals (UIs).\nRESULTS: Globally, the age-standardised point prevalence and annual incidence rate of OA in 2017 were 3754.2 (95% UI 3389.4 to 4187.6) and 181.2 (95% UI 162.6 to 202.4) per 100 000, an increase of 9.3% (95% UI 8% to 10.7%) and 8.2% (95% UI 7.1% to 9.4%) from 1990, respectively. In addition, global age-standardised YLD rate in 2017 was 118.8 (95% UI 59.5 to 236.2), an increase of 9.6% (95% UI 8.3% to 11.1%) from 1990. The global prevalence was higher in women and increased with age, peaking at the &gt;95 age group among women and men in 2017. Generally, a positive association was found between the age-standardised YLD rate and SDI at the regional and national levels. Age-standardised prevalence of OA in 2017 ranged from 2090.3 to 6128.1 cases per 100 000 population. United States (6128.1 (95% UI 5729.3 to 6582.9)), American Samoa (5281 (95% UI 4688 to 5965.9)) and Kuwait (5234.6 (95% UI 4643.2 to 5953.6)) had the three highest levels of age-standardised prevalence. Oman (29.6% (95% UI 24.8% to 34.9%)), Equatorial Guinea (28.6% (95% UI 24.4% to 33.7%)) and the United States 23.2% (95% UI 16.4% to 30.5%)) showed the highest increase in the age-standardised prevalence during 1990-2017.\nCONCLUSIONS: OA is a major public health challenge. While there is remarkable international variation in the prevalence, incidence and YLDs due to OA, the burden is increasing in most countries. It is expected to continue with increased life expectancy and ageing of the global population. Improving population and policy maker awareness of risk factors, including overweight and injury, and the importance and benefits of management of OA, together with providing health services for an increasing number of people living with OA, are recommended for management of the future burden of this condition.","container-title":"Annals of the Rheumatic Diseases","DOI":"10.1136/annrheumdis-2019-216515","ISSN":"1468-2060","issue":"6","journalAbbreviation":"Ann Rheum Dis","language":"eng","note":"PMID: 32398285","page":"819-828","source":"PubMed","title":"Global, regional and national burden of osteoarthritis 1990-2017: a systematic analysis of the Global Burden of Disease Study 2017","title-short":"Global, regional and national burden of osteoarthritis 1990-2017","volume":"79","author":[{"family":"Safiri","given":"Saeid"},{"family":"Kolahi","given":"Ali-Asghar"},{"family":"Smith","given":"Emma"},{"family":"Hill","given":"Catherine"},{"family":"Bettampadi","given":"Deepti"},{"family":"Mansournia","given":"Mohammad Ali"},{"family":"Hoy","given":"Damian"},{"family":"Ashrafi-Asgarabad","given":"Ahad"},{"family":"Sepidarkish","given":"Mahdi"},{"family":"Almasi-Hashiani","given":"Amir"},{"family":"Collins","given":"Gary"},{"family":"Kaufman","given":"Jay"},{"family":"Qorbani","given":"Mostafa"},{"family":"Moradi-Lakeh","given":"Maziar"},{"family":"Woolf","given":"Anthony D."},{"family":"Guillemin","given":"Francis"},{"family":"March","given":"Lyn"},{"family":"Cross","given":"Marita"}],"issued":{"date-parts":[["2020",6]]}}}],"schema":"https://github.com/citation-style-language/schema/raw/master/csl-citation.json"} </w:instrText>
      </w:r>
      <w:r w:rsidR="00E74A19" w:rsidRPr="00CC1992">
        <w:rPr>
          <w:rFonts w:ascii="Arial" w:hAnsi="Arial" w:cs="Arial"/>
          <w:sz w:val="24"/>
          <w:szCs w:val="24"/>
          <w:lang w:val="en-US"/>
        </w:rPr>
        <w:fldChar w:fldCharType="separate"/>
      </w:r>
      <w:r w:rsidR="00F67324">
        <w:rPr>
          <w:rFonts w:ascii="Arial" w:hAnsi="Arial" w:cs="Arial"/>
          <w:noProof/>
          <w:sz w:val="24"/>
          <w:szCs w:val="24"/>
          <w:lang w:val="en-US"/>
        </w:rPr>
        <w:t>[25]</w:t>
      </w:r>
      <w:r w:rsidR="00E74A19" w:rsidRPr="00CC1992">
        <w:rPr>
          <w:rFonts w:ascii="Arial" w:hAnsi="Arial" w:cs="Arial"/>
          <w:sz w:val="24"/>
          <w:szCs w:val="24"/>
          <w:lang w:val="en-US"/>
        </w:rPr>
        <w:fldChar w:fldCharType="end"/>
      </w:r>
      <w:r w:rsidR="00E74A19" w:rsidRPr="00CC1992">
        <w:rPr>
          <w:rFonts w:ascii="Arial" w:hAnsi="Arial" w:cs="Arial"/>
          <w:sz w:val="24"/>
          <w:szCs w:val="24"/>
          <w:lang w:val="en-US"/>
        </w:rPr>
        <w:t>.</w:t>
      </w:r>
      <w:r w:rsidR="00335B05" w:rsidRPr="00CC1992">
        <w:rPr>
          <w:rFonts w:ascii="Arial" w:hAnsi="Arial" w:cs="Arial"/>
          <w:sz w:val="24"/>
          <w:szCs w:val="24"/>
          <w:lang w:val="en-US"/>
        </w:rPr>
        <w:t xml:space="preserve"> In this context, more research focusing on the osteoarthritis-Parkinson’s disease relationship in other </w:t>
      </w:r>
      <w:r w:rsidR="00734635" w:rsidRPr="00CC1992">
        <w:rPr>
          <w:rFonts w:ascii="Arial" w:hAnsi="Arial" w:cs="Arial"/>
          <w:sz w:val="24"/>
          <w:szCs w:val="24"/>
          <w:lang w:val="en-US"/>
        </w:rPr>
        <w:t>regions</w:t>
      </w:r>
      <w:r w:rsidR="00335B05" w:rsidRPr="00CC1992">
        <w:rPr>
          <w:rFonts w:ascii="Arial" w:hAnsi="Arial" w:cs="Arial"/>
          <w:sz w:val="24"/>
          <w:szCs w:val="24"/>
          <w:lang w:val="en-US"/>
        </w:rPr>
        <w:t xml:space="preserve"> of the world is warranted.  </w:t>
      </w:r>
    </w:p>
    <w:p w14:paraId="68F6F66B" w14:textId="77777777" w:rsidR="0000721D" w:rsidRPr="00CC1992" w:rsidRDefault="0000721D" w:rsidP="0000721D">
      <w:pPr>
        <w:spacing w:line="480" w:lineRule="auto"/>
        <w:jc w:val="both"/>
        <w:rPr>
          <w:rFonts w:ascii="Arial" w:hAnsi="Arial" w:cs="Arial"/>
          <w:sz w:val="24"/>
          <w:szCs w:val="24"/>
          <w:lang w:val="en-US"/>
        </w:rPr>
      </w:pPr>
    </w:p>
    <w:p w14:paraId="4839F67B" w14:textId="7BC73B76" w:rsidR="00254CA1" w:rsidRPr="00CC1992" w:rsidRDefault="0000721D" w:rsidP="0000721D">
      <w:pPr>
        <w:spacing w:line="480" w:lineRule="auto"/>
        <w:jc w:val="both"/>
        <w:rPr>
          <w:rFonts w:ascii="Arial" w:hAnsi="Arial" w:cs="Arial"/>
          <w:sz w:val="24"/>
          <w:szCs w:val="24"/>
          <w:lang w:val="en-US"/>
        </w:rPr>
      </w:pPr>
      <w:r w:rsidRPr="00CC1992">
        <w:rPr>
          <w:rFonts w:ascii="Arial" w:hAnsi="Arial" w:cs="Arial"/>
          <w:sz w:val="24"/>
          <w:szCs w:val="24"/>
          <w:lang w:val="en-US"/>
        </w:rPr>
        <w:t xml:space="preserve">Therefore, the goal of this retrospective cohort study, including 260,224 patients </w:t>
      </w:r>
      <w:r w:rsidR="00330E33" w:rsidRPr="00CC1992">
        <w:rPr>
          <w:rFonts w:ascii="Arial" w:hAnsi="Arial" w:cs="Arial"/>
          <w:sz w:val="24"/>
          <w:szCs w:val="24"/>
          <w:lang w:val="en-US"/>
        </w:rPr>
        <w:t>followed up in</w:t>
      </w:r>
      <w:r w:rsidRPr="00CC1992">
        <w:rPr>
          <w:rFonts w:ascii="Arial" w:hAnsi="Arial" w:cs="Arial"/>
          <w:sz w:val="24"/>
          <w:szCs w:val="24"/>
          <w:lang w:val="en-US"/>
        </w:rPr>
        <w:t xml:space="preserve"> 256 general practices </w:t>
      </w:r>
      <w:r w:rsidR="00044112" w:rsidRPr="00CC1992">
        <w:rPr>
          <w:rFonts w:ascii="Arial" w:hAnsi="Arial" w:cs="Arial"/>
          <w:sz w:val="24"/>
          <w:szCs w:val="24"/>
          <w:lang w:val="en-US"/>
        </w:rPr>
        <w:t>from</w:t>
      </w:r>
      <w:r w:rsidRPr="00CC1992">
        <w:rPr>
          <w:rFonts w:ascii="Arial" w:hAnsi="Arial" w:cs="Arial"/>
          <w:sz w:val="24"/>
          <w:szCs w:val="24"/>
          <w:lang w:val="en-US"/>
        </w:rPr>
        <w:t xml:space="preserve"> the United Kingdom</w:t>
      </w:r>
      <w:r w:rsidR="00330E33" w:rsidRPr="00CC1992">
        <w:rPr>
          <w:rFonts w:ascii="Arial" w:hAnsi="Arial" w:cs="Arial"/>
          <w:sz w:val="24"/>
          <w:szCs w:val="24"/>
          <w:lang w:val="en-US"/>
        </w:rPr>
        <w:t xml:space="preserve"> for up to 10 years</w:t>
      </w:r>
      <w:r w:rsidRPr="00CC1992">
        <w:rPr>
          <w:rFonts w:ascii="Arial" w:hAnsi="Arial" w:cs="Arial"/>
          <w:sz w:val="24"/>
          <w:szCs w:val="24"/>
          <w:lang w:val="en-US"/>
        </w:rPr>
        <w:t>, was to investigate the potential association between osteoarthritis and the incidence of Parkinson’s disease.</w:t>
      </w:r>
    </w:p>
    <w:p w14:paraId="23C15AB1" w14:textId="77777777" w:rsidR="00254CA1" w:rsidRPr="00CC1992" w:rsidRDefault="00254CA1" w:rsidP="0000721D">
      <w:pPr>
        <w:spacing w:line="480" w:lineRule="auto"/>
        <w:jc w:val="both"/>
        <w:rPr>
          <w:rFonts w:ascii="Arial" w:hAnsi="Arial" w:cs="Arial"/>
          <w:sz w:val="24"/>
          <w:szCs w:val="24"/>
          <w:lang w:val="en-US"/>
        </w:rPr>
      </w:pPr>
    </w:p>
    <w:p w14:paraId="49AAA64B" w14:textId="77777777" w:rsidR="00254CA1" w:rsidRPr="00CC1992" w:rsidRDefault="00254CA1" w:rsidP="00A37A26">
      <w:pPr>
        <w:pStyle w:val="Heading1"/>
      </w:pPr>
      <w:r w:rsidRPr="00CC1992">
        <w:t>Methods</w:t>
      </w:r>
    </w:p>
    <w:p w14:paraId="35CFF721" w14:textId="77777777" w:rsidR="00254CA1" w:rsidRPr="00CC1992" w:rsidRDefault="00254CA1" w:rsidP="0000721D">
      <w:pPr>
        <w:spacing w:line="480" w:lineRule="auto"/>
        <w:jc w:val="both"/>
        <w:rPr>
          <w:rFonts w:ascii="Arial" w:hAnsi="Arial" w:cs="Arial"/>
          <w:sz w:val="24"/>
          <w:szCs w:val="24"/>
          <w:lang w:val="en-US"/>
        </w:rPr>
      </w:pPr>
    </w:p>
    <w:p w14:paraId="5A2D7AD5" w14:textId="77777777" w:rsidR="00793E41" w:rsidRPr="00A37A26" w:rsidRDefault="00793E41" w:rsidP="00A37A26">
      <w:pPr>
        <w:pStyle w:val="Heading2"/>
      </w:pPr>
      <w:r w:rsidRPr="00A37A26">
        <w:t>Database</w:t>
      </w:r>
    </w:p>
    <w:p w14:paraId="05EBA329" w14:textId="50ACE202" w:rsidR="00FE4E8F" w:rsidRPr="00CC1992" w:rsidRDefault="004E5031" w:rsidP="0000721D">
      <w:pPr>
        <w:spacing w:line="480" w:lineRule="auto"/>
        <w:jc w:val="both"/>
        <w:rPr>
          <w:rFonts w:ascii="Arial" w:hAnsi="Arial" w:cs="Arial"/>
          <w:sz w:val="24"/>
          <w:szCs w:val="24"/>
          <w:lang w:val="en-US"/>
        </w:rPr>
      </w:pPr>
      <w:r w:rsidRPr="00CC1992">
        <w:rPr>
          <w:rFonts w:ascii="Arial" w:hAnsi="Arial" w:cs="Arial"/>
          <w:sz w:val="24"/>
          <w:szCs w:val="24"/>
          <w:lang w:val="en-US"/>
        </w:rPr>
        <w:t>Data from the Disease Analyzer database (IQVIA)</w:t>
      </w:r>
      <w:r w:rsidR="00A76CED" w:rsidRPr="00CC1992">
        <w:rPr>
          <w:rFonts w:ascii="Arial" w:hAnsi="Arial" w:cs="Arial"/>
          <w:sz w:val="24"/>
          <w:szCs w:val="24"/>
          <w:lang w:val="en-US"/>
        </w:rPr>
        <w:t xml:space="preserve"> were used for this study. The Disease Analyzer database contains demographic</w:t>
      </w:r>
      <w:r w:rsidR="00E934C3" w:rsidRPr="00CC1992">
        <w:rPr>
          <w:rFonts w:ascii="Arial" w:hAnsi="Arial" w:cs="Arial"/>
          <w:sz w:val="24"/>
          <w:szCs w:val="24"/>
          <w:lang w:val="en-US"/>
        </w:rPr>
        <w:t xml:space="preserve">, </w:t>
      </w:r>
      <w:r w:rsidR="00A76CED" w:rsidRPr="00CC1992">
        <w:rPr>
          <w:rFonts w:ascii="Arial" w:hAnsi="Arial" w:cs="Arial"/>
          <w:sz w:val="24"/>
          <w:szCs w:val="24"/>
          <w:lang w:val="en-US"/>
        </w:rPr>
        <w:t xml:space="preserve">clinical </w:t>
      </w:r>
      <w:r w:rsidR="00E934C3" w:rsidRPr="00CC1992">
        <w:rPr>
          <w:rFonts w:ascii="Arial" w:hAnsi="Arial" w:cs="Arial"/>
          <w:sz w:val="24"/>
          <w:szCs w:val="24"/>
          <w:lang w:val="en-US"/>
        </w:rPr>
        <w:t xml:space="preserve">and pharmaceutical </w:t>
      </w:r>
      <w:r w:rsidR="00A76CED" w:rsidRPr="00CC1992">
        <w:rPr>
          <w:rFonts w:ascii="Arial" w:hAnsi="Arial" w:cs="Arial"/>
          <w:sz w:val="24"/>
          <w:szCs w:val="24"/>
          <w:lang w:val="en-US"/>
        </w:rPr>
        <w:t xml:space="preserve">data obtained in anonymous format on a regular basis from </w:t>
      </w:r>
      <w:r w:rsidR="0087435C" w:rsidRPr="00CC1992">
        <w:rPr>
          <w:rFonts w:ascii="Arial" w:hAnsi="Arial" w:cs="Arial"/>
          <w:sz w:val="24"/>
          <w:szCs w:val="24"/>
          <w:lang w:val="en-US"/>
        </w:rPr>
        <w:t>primary care</w:t>
      </w:r>
      <w:r w:rsidR="00A76CED" w:rsidRPr="00CC1992">
        <w:rPr>
          <w:rFonts w:ascii="Arial" w:hAnsi="Arial" w:cs="Arial"/>
          <w:sz w:val="24"/>
          <w:szCs w:val="24"/>
          <w:lang w:val="en-US"/>
        </w:rPr>
        <w:t xml:space="preserve"> practices in the United Kingdom</w:t>
      </w:r>
      <w:r w:rsidR="00523F6A" w:rsidRPr="00CC1992">
        <w:rPr>
          <w:rFonts w:ascii="Arial" w:hAnsi="Arial" w:cs="Arial"/>
          <w:sz w:val="24"/>
          <w:szCs w:val="24"/>
          <w:lang w:val="en-US"/>
        </w:rPr>
        <w:t xml:space="preserve"> </w:t>
      </w:r>
      <w:r w:rsidR="00523F6A"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9wDuLs81","properties":{"formattedCitation":"[26]","plainCitation":"[26]","noteIndex":0},"citationItems":[{"id":503,"uris":["http://zotero.org/users/local/hhPVnw6l/items/IGHRIFZR"],"uri":["http://zotero.org/users/local/hhPVnw6l/items/IGHRIFZR"],"itemData":{"id":503,"type":"chapter","abstract":"Medical record databases are longitudinal patient record databases that are used by health-care providers in caring for their patients and are anonymized for the purpose of research. Information from medical record databases may be more likely than data from administrative databases to reflect the patient's true clinical state given that the data are collected for the purpose of caring for the patient as opposed to solely for billing purposes. Further, these databases often include information not found in administrative databases, such as information on smoking, alcohol, and body mass index. In this chapter, we describe the basis and characteristics of medical record databases, as well as the three medical record databases used most often for pharmacoepidemiologic research: the General Practice Research Database (GPRD), The Health Improvement Network (THIN), and the Intercontinental Marketing Services (IMS) Disease-Analyzer, and their role in pharmacoepidemiologic research.","container-title":"Pharmacoepidemiology","ISBN":"978-1-119-95994-6","language":"en","note":"DOI: 10.1002/9781119959946.ch15","page":"224-243","publisher":"John Wiley &amp; Sons, Ltd","source":"Wiley Online Library","title":"Medical Record Databases","URL":"https://onlinelibrary.wiley.com/doi/abs/10.1002/9781119959946.ch15","author":[{"family":"Ogdie","given":"Alexis"},{"family":"Langan","given":"Sinéad M."},{"family":"Parkinson","given":"John"},{"family":"Dattani","given":"Hassy"},{"family":"Kostev","given":"Karel"},{"family":"Gelfand","given":"Joel M."}],"accessed":{"date-parts":[["2019",2,16]]},"issued":{"date-parts":[["2012"]]}}}],"schema":"https://github.com/citation-style-language/schema/raw/master/csl-citation.json"} </w:instrText>
      </w:r>
      <w:r w:rsidR="00523F6A" w:rsidRPr="00CC1992">
        <w:rPr>
          <w:rFonts w:ascii="Arial" w:hAnsi="Arial" w:cs="Arial"/>
          <w:sz w:val="24"/>
          <w:szCs w:val="24"/>
          <w:lang w:val="en-US"/>
        </w:rPr>
        <w:fldChar w:fldCharType="separate"/>
      </w:r>
      <w:r w:rsidR="00F67324">
        <w:rPr>
          <w:rFonts w:ascii="Arial" w:hAnsi="Arial" w:cs="Arial"/>
          <w:noProof/>
          <w:sz w:val="24"/>
          <w:szCs w:val="24"/>
          <w:lang w:val="en-US"/>
        </w:rPr>
        <w:t>[26]</w:t>
      </w:r>
      <w:r w:rsidR="00523F6A" w:rsidRPr="00CC1992">
        <w:rPr>
          <w:rFonts w:ascii="Arial" w:hAnsi="Arial" w:cs="Arial"/>
          <w:sz w:val="24"/>
          <w:szCs w:val="24"/>
          <w:lang w:val="en-US"/>
        </w:rPr>
        <w:fldChar w:fldCharType="end"/>
      </w:r>
      <w:r w:rsidR="00A76CED" w:rsidRPr="00CC1992">
        <w:rPr>
          <w:rFonts w:ascii="Arial" w:hAnsi="Arial" w:cs="Arial"/>
          <w:sz w:val="24"/>
          <w:szCs w:val="24"/>
          <w:lang w:val="en-US"/>
        </w:rPr>
        <w:t>.</w:t>
      </w:r>
      <w:r w:rsidR="00E934C3" w:rsidRPr="00CC1992">
        <w:rPr>
          <w:rFonts w:ascii="Arial" w:hAnsi="Arial" w:cs="Arial"/>
          <w:sz w:val="24"/>
          <w:szCs w:val="24"/>
          <w:lang w:val="en-US"/>
        </w:rPr>
        <w:t xml:space="preserve"> Clinical data are coded using the International Classification of Diseases, 10</w:t>
      </w:r>
      <w:r w:rsidR="00E934C3" w:rsidRPr="00CC1992">
        <w:rPr>
          <w:rFonts w:ascii="Arial" w:hAnsi="Arial" w:cs="Arial"/>
          <w:sz w:val="24"/>
          <w:szCs w:val="24"/>
          <w:vertAlign w:val="superscript"/>
          <w:lang w:val="en-US"/>
        </w:rPr>
        <w:t>th</w:t>
      </w:r>
      <w:r w:rsidR="00E934C3" w:rsidRPr="00CC1992">
        <w:rPr>
          <w:rFonts w:ascii="Arial" w:hAnsi="Arial" w:cs="Arial"/>
          <w:sz w:val="24"/>
          <w:szCs w:val="24"/>
          <w:lang w:val="en-US"/>
        </w:rPr>
        <w:t xml:space="preserve"> revision (ICD-10), while pharmaceutical data are coded using </w:t>
      </w:r>
      <w:r w:rsidR="00674DD0" w:rsidRPr="00CC1992">
        <w:rPr>
          <w:rFonts w:ascii="Arial" w:hAnsi="Arial" w:cs="Arial"/>
          <w:sz w:val="24"/>
          <w:szCs w:val="24"/>
          <w:lang w:val="en-US"/>
        </w:rPr>
        <w:t xml:space="preserve">the </w:t>
      </w:r>
      <w:r w:rsidR="000549AB" w:rsidRPr="00CC1992">
        <w:rPr>
          <w:rFonts w:ascii="Arial" w:hAnsi="Arial" w:cs="Arial"/>
          <w:sz w:val="24"/>
          <w:szCs w:val="24"/>
          <w:lang w:val="en-US"/>
        </w:rPr>
        <w:t xml:space="preserve">Anatomical Classification of Pharmaceutical Products of the </w:t>
      </w:r>
      <w:r w:rsidR="00674DD0" w:rsidRPr="00CC1992">
        <w:rPr>
          <w:rFonts w:ascii="Arial" w:hAnsi="Arial" w:cs="Arial"/>
          <w:sz w:val="24"/>
          <w:szCs w:val="24"/>
          <w:lang w:val="en-US"/>
        </w:rPr>
        <w:t>European Pharmaceutical Market Research Association (</w:t>
      </w:r>
      <w:proofErr w:type="spellStart"/>
      <w:r w:rsidR="00674DD0" w:rsidRPr="00CC1992">
        <w:rPr>
          <w:rFonts w:ascii="Arial" w:hAnsi="Arial" w:cs="Arial"/>
          <w:sz w:val="24"/>
          <w:szCs w:val="24"/>
          <w:lang w:val="en-US"/>
        </w:rPr>
        <w:t>EphMRA</w:t>
      </w:r>
      <w:proofErr w:type="spellEnd"/>
      <w:r w:rsidR="00674DD0" w:rsidRPr="00CC1992">
        <w:rPr>
          <w:rFonts w:ascii="Arial" w:hAnsi="Arial" w:cs="Arial"/>
          <w:sz w:val="24"/>
          <w:szCs w:val="24"/>
          <w:lang w:val="en-US"/>
        </w:rPr>
        <w:t xml:space="preserve">). </w:t>
      </w:r>
      <w:r w:rsidR="00D50AEA" w:rsidRPr="00CC1992">
        <w:rPr>
          <w:rFonts w:ascii="Arial" w:hAnsi="Arial" w:cs="Arial"/>
          <w:sz w:val="24"/>
          <w:szCs w:val="24"/>
          <w:lang w:val="en-US"/>
        </w:rPr>
        <w:t xml:space="preserve">Several criteria (e.g., completeness of documentation and linkage between clinical and pharmaceutical data) are used to assess the quality of the data imported in the database. </w:t>
      </w:r>
      <w:r w:rsidR="00F351D4" w:rsidRPr="00CC1992">
        <w:rPr>
          <w:rFonts w:ascii="Arial" w:hAnsi="Arial" w:cs="Arial"/>
          <w:sz w:val="24"/>
          <w:szCs w:val="24"/>
          <w:lang w:val="en-US"/>
        </w:rPr>
        <w:t>Finally, p</w:t>
      </w:r>
      <w:r w:rsidR="009F0E6C" w:rsidRPr="00CC1992">
        <w:rPr>
          <w:rFonts w:ascii="Arial" w:hAnsi="Arial" w:cs="Arial"/>
          <w:sz w:val="24"/>
          <w:szCs w:val="24"/>
          <w:lang w:val="en-US"/>
        </w:rPr>
        <w:t xml:space="preserve">ractices included in </w:t>
      </w:r>
      <w:r w:rsidR="009F0E6C" w:rsidRPr="00CC1992">
        <w:rPr>
          <w:rFonts w:ascii="Arial" w:hAnsi="Arial" w:cs="Arial"/>
          <w:sz w:val="24"/>
          <w:szCs w:val="24"/>
          <w:lang w:val="en-US"/>
        </w:rPr>
        <w:lastRenderedPageBreak/>
        <w:t xml:space="preserve">the Disease Analyzer database are selected </w:t>
      </w:r>
      <w:r w:rsidR="0052163E" w:rsidRPr="00CC1992">
        <w:rPr>
          <w:rFonts w:ascii="Arial" w:hAnsi="Arial" w:cs="Arial"/>
          <w:sz w:val="24"/>
          <w:szCs w:val="24"/>
          <w:lang w:val="en-US"/>
        </w:rPr>
        <w:t>based on multiple variables (i.e., age of physician, community size category and region)</w:t>
      </w:r>
      <w:r w:rsidR="009F0E6C" w:rsidRPr="00CC1992">
        <w:rPr>
          <w:rFonts w:ascii="Arial" w:hAnsi="Arial" w:cs="Arial"/>
          <w:sz w:val="24"/>
          <w:szCs w:val="24"/>
          <w:lang w:val="en-US"/>
        </w:rPr>
        <w:t xml:space="preserve"> </w:t>
      </w:r>
      <w:r w:rsidR="0052163E" w:rsidRPr="00CC1992">
        <w:rPr>
          <w:rFonts w:ascii="Arial" w:hAnsi="Arial" w:cs="Arial"/>
          <w:sz w:val="24"/>
          <w:szCs w:val="24"/>
          <w:lang w:val="en-US"/>
        </w:rPr>
        <w:t xml:space="preserve">to obtain a representative sample of </w:t>
      </w:r>
      <w:r w:rsidR="009F0E6C" w:rsidRPr="00CC1992">
        <w:rPr>
          <w:rFonts w:ascii="Arial" w:hAnsi="Arial" w:cs="Arial"/>
          <w:sz w:val="24"/>
          <w:szCs w:val="24"/>
          <w:lang w:val="en-US"/>
        </w:rPr>
        <w:t xml:space="preserve">all practices in the United Kingdom </w:t>
      </w:r>
      <w:r w:rsidR="009F0E6C"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xXwsxhj7","properties":{"formattedCitation":"[26]","plainCitation":"[26]","noteIndex":0},"citationItems":[{"id":503,"uris":["http://zotero.org/users/local/hhPVnw6l/items/IGHRIFZR"],"uri":["http://zotero.org/users/local/hhPVnw6l/items/IGHRIFZR"],"itemData":{"id":503,"type":"chapter","abstract":"Medical record databases are longitudinal patient record databases that are used by health-care providers in caring for their patients and are anonymized for the purpose of research. Information from medical record databases may be more likely than data from administrative databases to reflect the patient's true clinical state given that the data are collected for the purpose of caring for the patient as opposed to solely for billing purposes. Further, these databases often include information not found in administrative databases, such as information on smoking, alcohol, and body mass index. In this chapter, we describe the basis and characteristics of medical record databases, as well as the three medical record databases used most often for pharmacoepidemiologic research: the General Practice Research Database (GPRD), The Health Improvement Network (THIN), and the Intercontinental Marketing Services (IMS) Disease-Analyzer, and their role in pharmacoepidemiologic research.","container-title":"Pharmacoepidemiology","ISBN":"978-1-119-95994-6","language":"en","note":"DOI: 10.1002/9781119959946.ch15","page":"224-243","publisher":"John Wiley &amp; Sons, Ltd","source":"Wiley Online Library","title":"Medical Record Databases","URL":"https://onlinelibrary.wiley.com/doi/abs/10.1002/9781119959946.ch15","author":[{"family":"Ogdie","given":"Alexis"},{"family":"Langan","given":"Sinéad M."},{"family":"Parkinson","given":"John"},{"family":"Dattani","given":"Hassy"},{"family":"Kostev","given":"Karel"},{"family":"Gelfand","given":"Joel M."}],"accessed":{"date-parts":[["2019",2,16]]},"issued":{"date-parts":[["2012"]]}}}],"schema":"https://github.com/citation-style-language/schema/raw/master/csl-citation.json"} </w:instrText>
      </w:r>
      <w:r w:rsidR="009F0E6C" w:rsidRPr="00CC1992">
        <w:rPr>
          <w:rFonts w:ascii="Arial" w:hAnsi="Arial" w:cs="Arial"/>
          <w:sz w:val="24"/>
          <w:szCs w:val="24"/>
          <w:lang w:val="en-US"/>
        </w:rPr>
        <w:fldChar w:fldCharType="separate"/>
      </w:r>
      <w:r w:rsidR="00F67324">
        <w:rPr>
          <w:rFonts w:ascii="Arial" w:hAnsi="Arial" w:cs="Arial"/>
          <w:noProof/>
          <w:sz w:val="24"/>
          <w:szCs w:val="24"/>
          <w:lang w:val="en-US"/>
        </w:rPr>
        <w:t>[26]</w:t>
      </w:r>
      <w:r w:rsidR="009F0E6C" w:rsidRPr="00CC1992">
        <w:rPr>
          <w:rFonts w:ascii="Arial" w:hAnsi="Arial" w:cs="Arial"/>
          <w:sz w:val="24"/>
          <w:szCs w:val="24"/>
          <w:lang w:val="en-US"/>
        </w:rPr>
        <w:fldChar w:fldCharType="end"/>
      </w:r>
      <w:r w:rsidR="009F0E6C" w:rsidRPr="00CC1992">
        <w:rPr>
          <w:rFonts w:ascii="Arial" w:hAnsi="Arial" w:cs="Arial"/>
          <w:sz w:val="24"/>
          <w:szCs w:val="24"/>
          <w:lang w:val="en-US"/>
        </w:rPr>
        <w:t>.</w:t>
      </w:r>
    </w:p>
    <w:p w14:paraId="70DE6312" w14:textId="1E8B9F67" w:rsidR="006F2397" w:rsidRPr="00CC1992" w:rsidRDefault="006F2397" w:rsidP="0000721D">
      <w:pPr>
        <w:spacing w:line="480" w:lineRule="auto"/>
        <w:jc w:val="both"/>
        <w:rPr>
          <w:rFonts w:ascii="Arial" w:hAnsi="Arial" w:cs="Arial"/>
          <w:sz w:val="24"/>
          <w:szCs w:val="24"/>
          <w:lang w:val="en-US"/>
        </w:rPr>
      </w:pPr>
    </w:p>
    <w:p w14:paraId="6D6F019D" w14:textId="51B85B7C" w:rsidR="006F2397" w:rsidRPr="00CC1992" w:rsidRDefault="006F2397" w:rsidP="00A37A26">
      <w:pPr>
        <w:pStyle w:val="Heading2"/>
      </w:pPr>
      <w:r w:rsidRPr="00CC1992">
        <w:t>Study population</w:t>
      </w:r>
    </w:p>
    <w:p w14:paraId="289A8947" w14:textId="7A3490E8" w:rsidR="006F2397" w:rsidRPr="00CC1992" w:rsidRDefault="004B6E8C" w:rsidP="0000721D">
      <w:pPr>
        <w:spacing w:line="480" w:lineRule="auto"/>
        <w:jc w:val="both"/>
        <w:rPr>
          <w:rFonts w:ascii="Arial" w:hAnsi="Arial" w:cs="Arial"/>
          <w:sz w:val="24"/>
          <w:szCs w:val="24"/>
          <w:lang w:val="en-US"/>
        </w:rPr>
      </w:pPr>
      <w:r w:rsidRPr="00CC1992">
        <w:rPr>
          <w:rFonts w:ascii="Arial" w:hAnsi="Arial" w:cs="Arial"/>
          <w:sz w:val="24"/>
          <w:szCs w:val="24"/>
          <w:lang w:val="en-US"/>
        </w:rPr>
        <w:t xml:space="preserve">This retrospective cohort study included patients diagnosed for the first time with osteoarthritis (ICD-10: M15-M19) in one of 256 general practices in the United Kingdom between January 2000 and December 2016 (index date). To be included, patients had to have received no diagnosis of Parkinson’s disease (ICD-10: G20 and G21) prior to or at the index date, while they had to be aged ≥40 years at the index date. </w:t>
      </w:r>
      <w:r w:rsidR="00F825EC">
        <w:rPr>
          <w:rFonts w:ascii="Arial" w:hAnsi="Arial" w:cs="Arial"/>
          <w:sz w:val="24"/>
          <w:szCs w:val="24"/>
          <w:lang w:val="en-US"/>
        </w:rPr>
        <w:t xml:space="preserve">People aged &lt;40 years were excluded from the analyses, as both osteoarthritis </w:t>
      </w:r>
      <w:r w:rsidR="00C22090">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d32tKTng","properties":{"formattedCitation":"[27]","plainCitation":"[27]","noteIndex":0},"citationItems":[{"id":18312,"uris":["http://zotero.org/users/local/hhPVnw6l/items/939MRSRW"],"uri":["http://zotero.org/users/local/hhPVnw6l/items/939MRSRW"],"itemData":{"id":18312,"type":"article-journal","abstract":"Although older age is the greatest risk factor for OA, OA is not an inevitable consequence of growing old. Radiographic changes of OA, particularly osteophytes, are common in the aged population but symptoms of joint pain may be independent of radiographic severity in many older adults. Aging changes in the musculoskeletal system increase the propensity to OA but the joints affected and the severity of disease are most closely related to other OA risk factors such as joint injury, obesity, genetics, and anatomical factors that affect joint mechanics. The aging changes in joint tissues that contribute to the development of OA include cell senescence that results in development of the senescent secretory phenotype and aging changes in the matrix, including formation of advanced glycation end-products that affect the mechanical properties of joint tissues. An improved mechanistic understanding of joint aging will likely reveal new therapeutic targets to slow or halt disease progression. The ability to slow progression of OA in older adults will have enormous public health implications given the aging of our population and the increase in other OA risk factors such as obesity.","container-title":"Best practice &amp; research. Clinical rheumatology","DOI":"10.1016/j.berh.2009.08.006","ISSN":"1521-6942","issue":"1","journalAbbreviation":"Best Pract Res Clin Rheumatol","note":"PMID: 20129196\nPMCID: PMC2818253","page":"15","source":"PubMed Central","title":"Why is Osteoarthritis an Age-Related Disease?","volume":"24","author":[{"family":"Anderson","given":"A. Shane"},{"family":"Loeser","given":"Richard F."}],"issued":{"date-parts":[["2010",2]]}}}],"schema":"https://github.com/citation-style-language/schema/raw/master/csl-citation.json"} </w:instrText>
      </w:r>
      <w:r w:rsidR="00C22090">
        <w:rPr>
          <w:rFonts w:ascii="Arial" w:hAnsi="Arial" w:cs="Arial"/>
          <w:sz w:val="24"/>
          <w:szCs w:val="24"/>
          <w:lang w:val="en-US"/>
        </w:rPr>
        <w:fldChar w:fldCharType="separate"/>
      </w:r>
      <w:r w:rsidR="00F67324">
        <w:rPr>
          <w:rFonts w:ascii="Arial" w:hAnsi="Arial" w:cs="Arial"/>
          <w:noProof/>
          <w:sz w:val="24"/>
          <w:szCs w:val="24"/>
          <w:lang w:val="en-US"/>
        </w:rPr>
        <w:t>[27]</w:t>
      </w:r>
      <w:r w:rsidR="00C22090">
        <w:rPr>
          <w:rFonts w:ascii="Arial" w:hAnsi="Arial" w:cs="Arial"/>
          <w:sz w:val="24"/>
          <w:szCs w:val="24"/>
          <w:lang w:val="en-US"/>
        </w:rPr>
        <w:fldChar w:fldCharType="end"/>
      </w:r>
      <w:r w:rsidR="00C22090">
        <w:rPr>
          <w:rFonts w:ascii="Arial" w:hAnsi="Arial" w:cs="Arial"/>
          <w:sz w:val="24"/>
          <w:szCs w:val="24"/>
          <w:lang w:val="en-US"/>
        </w:rPr>
        <w:t xml:space="preserve"> </w:t>
      </w:r>
      <w:r w:rsidR="00F825EC">
        <w:rPr>
          <w:rFonts w:ascii="Arial" w:hAnsi="Arial" w:cs="Arial"/>
          <w:sz w:val="24"/>
          <w:szCs w:val="24"/>
          <w:lang w:val="en-US"/>
        </w:rPr>
        <w:t xml:space="preserve">and Parkinson’s disease </w:t>
      </w:r>
      <w:r w:rsidR="00B1484E">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J0GSvGp1","properties":{"formattedCitation":"[28]","plainCitation":"[28]","noteIndex":0},"citationItems":[{"id":21482,"uris":["http://zotero.org/users/local/hhPVnw6l/items/3YNTBUM6"],"uri":["http://zotero.org/users/local/hhPVnw6l/items/3YNTBUM6"],"itemData":{"id":21482,"type":"article-journal","abstract":"As the second most common age related neurodegenerative disease after Alzheimer's disease, the health, social and economic impact resulting from Parkinson's disease will continue to increase alongside the longevity of the population. Ageing remains the biggest risk factor for developing idiopathic Parkinson's disease. Although research into the mechanisms leading to cell death in Parkinson's disease has shed light on many aspects of the pathogenesis of this disorder, we still cannot answer the fundamental question, what specific age related factors predispose some individuals to develop this common neurodegenerative disease. In this review we focus specifically on the neuronal population associated with the motor symptoms of Parkinson's disease, the dopaminergic neurons of the substantia nigra, and try to understand how ageing puts these neurons at risk to the extent that a slight change in protein metabolism or mitochondrial function can push the cells over the edge leading to catastrophic cell death and many of the symptoms seen in Parkinson's disease. We review the evidence that ageing is important for the development of Parkinson's disease and how age related decline leads to the loss of neurons within this disease, before describing exactly how advancing age may lead to substantia nigra neuronal loss and Parkinson's disease in some individuals.","container-title":"Ageing Research Reviews","DOI":"10.1016/j.arr.2014.01.004","ISSN":"1872-9649","journalAbbreviation":"Ageing Res Rev","language":"eng","note":"PMID: 24503004\nPMCID: PMC3989046","page":"19-30","source":"PubMed","title":"Ageing and Parkinson's disease: why is advancing age the biggest risk factor?","title-short":"Ageing and Parkinson's disease","volume":"14","author":[{"family":"Reeve","given":"Amy"},{"family":"Simcox","given":"Eve"},{"family":"Turnbull","given":"Doug"}],"issued":{"date-parts":[["2014",3]]}}}],"schema":"https://github.com/citation-style-language/schema/raw/master/csl-citation.json"} </w:instrText>
      </w:r>
      <w:r w:rsidR="00B1484E">
        <w:rPr>
          <w:rFonts w:ascii="Arial" w:hAnsi="Arial" w:cs="Arial"/>
          <w:sz w:val="24"/>
          <w:szCs w:val="24"/>
          <w:lang w:val="en-US"/>
        </w:rPr>
        <w:fldChar w:fldCharType="separate"/>
      </w:r>
      <w:r w:rsidR="00F67324">
        <w:rPr>
          <w:rFonts w:ascii="Arial" w:hAnsi="Arial" w:cs="Arial"/>
          <w:noProof/>
          <w:sz w:val="24"/>
          <w:szCs w:val="24"/>
          <w:lang w:val="en-US"/>
        </w:rPr>
        <w:t>[28]</w:t>
      </w:r>
      <w:r w:rsidR="00B1484E">
        <w:rPr>
          <w:rFonts w:ascii="Arial" w:hAnsi="Arial" w:cs="Arial"/>
          <w:sz w:val="24"/>
          <w:szCs w:val="24"/>
          <w:lang w:val="en-US"/>
        </w:rPr>
        <w:fldChar w:fldCharType="end"/>
      </w:r>
      <w:r w:rsidR="00B1484E">
        <w:rPr>
          <w:rFonts w:ascii="Arial" w:hAnsi="Arial" w:cs="Arial"/>
          <w:sz w:val="24"/>
          <w:szCs w:val="24"/>
          <w:lang w:val="en-US"/>
        </w:rPr>
        <w:t xml:space="preserve"> </w:t>
      </w:r>
      <w:r w:rsidR="00F825EC">
        <w:rPr>
          <w:rFonts w:ascii="Arial" w:hAnsi="Arial" w:cs="Arial"/>
          <w:sz w:val="24"/>
          <w:szCs w:val="24"/>
          <w:lang w:val="en-US"/>
        </w:rPr>
        <w:t>are age-related disorders</w:t>
      </w:r>
      <w:r w:rsidR="00B1484E">
        <w:rPr>
          <w:rFonts w:ascii="Arial" w:hAnsi="Arial" w:cs="Arial"/>
          <w:sz w:val="24"/>
          <w:szCs w:val="24"/>
          <w:lang w:val="en-US"/>
        </w:rPr>
        <w:t xml:space="preserve"> frequently </w:t>
      </w:r>
      <w:proofErr w:type="spellStart"/>
      <w:r w:rsidR="00B1484E">
        <w:rPr>
          <w:rFonts w:ascii="Arial" w:hAnsi="Arial" w:cs="Arial"/>
          <w:sz w:val="24"/>
          <w:szCs w:val="24"/>
          <w:lang w:val="en-US"/>
        </w:rPr>
        <w:t>occuring</w:t>
      </w:r>
      <w:proofErr w:type="spellEnd"/>
      <w:r w:rsidR="00B1484E">
        <w:rPr>
          <w:rFonts w:ascii="Arial" w:hAnsi="Arial" w:cs="Arial"/>
          <w:sz w:val="24"/>
          <w:szCs w:val="24"/>
          <w:lang w:val="en-US"/>
        </w:rPr>
        <w:t xml:space="preserve"> in the second half of life</w:t>
      </w:r>
      <w:r w:rsidR="00F825EC">
        <w:rPr>
          <w:rFonts w:ascii="Arial" w:hAnsi="Arial" w:cs="Arial"/>
          <w:sz w:val="24"/>
          <w:szCs w:val="24"/>
          <w:lang w:val="en-US"/>
        </w:rPr>
        <w:t xml:space="preserve">. </w:t>
      </w:r>
      <w:r w:rsidRPr="00CC1992">
        <w:rPr>
          <w:rFonts w:ascii="Arial" w:hAnsi="Arial" w:cs="Arial"/>
          <w:sz w:val="24"/>
          <w:szCs w:val="24"/>
          <w:lang w:val="en-US"/>
        </w:rPr>
        <w:t xml:space="preserve">After applying similar inclusion criteria, individuals without osteoarthritis were matched to those with osteoarthritis using propensity scores based on sex, </w:t>
      </w:r>
      <w:proofErr w:type="gramStart"/>
      <w:r w:rsidRPr="00CC1992">
        <w:rPr>
          <w:rFonts w:ascii="Arial" w:hAnsi="Arial" w:cs="Arial"/>
          <w:sz w:val="24"/>
          <w:szCs w:val="24"/>
          <w:lang w:val="en-US"/>
        </w:rPr>
        <w:t>age</w:t>
      </w:r>
      <w:proofErr w:type="gramEnd"/>
      <w:r w:rsidRPr="00CC1992">
        <w:rPr>
          <w:rFonts w:ascii="Arial" w:hAnsi="Arial" w:cs="Arial"/>
          <w:sz w:val="24"/>
          <w:szCs w:val="24"/>
          <w:lang w:val="en-US"/>
        </w:rPr>
        <w:t xml:space="preserve"> and index year. </w:t>
      </w:r>
      <w:r w:rsidR="00444309" w:rsidRPr="00CC1992">
        <w:rPr>
          <w:rFonts w:ascii="Arial" w:hAnsi="Arial" w:cs="Arial"/>
          <w:sz w:val="24"/>
          <w:szCs w:val="24"/>
          <w:lang w:val="en-US"/>
        </w:rPr>
        <w:t xml:space="preserve">In patients without osteoarthritis, index date corresponded to a randomly selected visit date between January 2000 and December 2016. Finally, the selection of study patients is displayed in </w:t>
      </w:r>
      <w:r w:rsidR="00444309" w:rsidRPr="00CC1992">
        <w:rPr>
          <w:rFonts w:ascii="Arial" w:hAnsi="Arial" w:cs="Arial"/>
          <w:b/>
          <w:bCs/>
          <w:sz w:val="24"/>
          <w:szCs w:val="24"/>
          <w:lang w:val="en-US"/>
        </w:rPr>
        <w:t>Figure 1</w:t>
      </w:r>
      <w:r w:rsidR="00444309" w:rsidRPr="00CC1992">
        <w:rPr>
          <w:rFonts w:ascii="Arial" w:hAnsi="Arial" w:cs="Arial"/>
          <w:sz w:val="24"/>
          <w:szCs w:val="24"/>
          <w:lang w:val="en-US"/>
        </w:rPr>
        <w:t xml:space="preserve">. </w:t>
      </w:r>
    </w:p>
    <w:p w14:paraId="15B744E8" w14:textId="32DB332D" w:rsidR="002B084B" w:rsidRPr="00CC1992" w:rsidRDefault="002B084B" w:rsidP="0000721D">
      <w:pPr>
        <w:spacing w:line="480" w:lineRule="auto"/>
        <w:jc w:val="both"/>
        <w:rPr>
          <w:rFonts w:ascii="Arial" w:hAnsi="Arial" w:cs="Arial"/>
          <w:sz w:val="24"/>
          <w:szCs w:val="24"/>
          <w:lang w:val="en-US"/>
        </w:rPr>
      </w:pPr>
    </w:p>
    <w:p w14:paraId="1E471659" w14:textId="6E68BC19" w:rsidR="002B084B" w:rsidRPr="00CC1992" w:rsidRDefault="002B084B" w:rsidP="00A37A26">
      <w:pPr>
        <w:pStyle w:val="Heading2"/>
      </w:pPr>
      <w:r w:rsidRPr="00CC1992">
        <w:t>Study variables</w:t>
      </w:r>
    </w:p>
    <w:p w14:paraId="4305104E" w14:textId="5709C2B6" w:rsidR="002B084B" w:rsidRPr="00CC1992" w:rsidRDefault="002B084B" w:rsidP="0000721D">
      <w:pPr>
        <w:spacing w:line="480" w:lineRule="auto"/>
        <w:jc w:val="both"/>
        <w:rPr>
          <w:rFonts w:ascii="Arial" w:hAnsi="Arial" w:cs="Arial"/>
          <w:sz w:val="24"/>
          <w:szCs w:val="24"/>
          <w:lang w:val="en-US"/>
        </w:rPr>
      </w:pPr>
      <w:r w:rsidRPr="00CC1992">
        <w:rPr>
          <w:rFonts w:ascii="Arial" w:hAnsi="Arial" w:cs="Arial"/>
          <w:sz w:val="24"/>
          <w:szCs w:val="24"/>
          <w:lang w:val="en-US"/>
        </w:rPr>
        <w:t>The independent and dependent variable</w:t>
      </w:r>
      <w:r w:rsidR="00CA71DD">
        <w:rPr>
          <w:rFonts w:ascii="Arial" w:hAnsi="Arial" w:cs="Arial"/>
          <w:sz w:val="24"/>
          <w:szCs w:val="24"/>
          <w:lang w:val="en-US"/>
        </w:rPr>
        <w:t>s</w:t>
      </w:r>
      <w:r w:rsidRPr="00CC1992">
        <w:rPr>
          <w:rFonts w:ascii="Arial" w:hAnsi="Arial" w:cs="Arial"/>
          <w:sz w:val="24"/>
          <w:szCs w:val="24"/>
          <w:lang w:val="en-US"/>
        </w:rPr>
        <w:t xml:space="preserve"> w</w:t>
      </w:r>
      <w:r w:rsidR="00CA71DD">
        <w:rPr>
          <w:rFonts w:ascii="Arial" w:hAnsi="Arial" w:cs="Arial"/>
          <w:sz w:val="24"/>
          <w:szCs w:val="24"/>
          <w:lang w:val="en-US"/>
        </w:rPr>
        <w:t>ere</w:t>
      </w:r>
      <w:r w:rsidRPr="00CC1992">
        <w:rPr>
          <w:rFonts w:ascii="Arial" w:hAnsi="Arial" w:cs="Arial"/>
          <w:sz w:val="24"/>
          <w:szCs w:val="24"/>
          <w:lang w:val="en-US"/>
        </w:rPr>
        <w:t xml:space="preserve"> osteoarthritis and Parkinson’s disease, respectively. </w:t>
      </w:r>
      <w:r w:rsidR="004F4188" w:rsidRPr="00CC1992">
        <w:rPr>
          <w:rFonts w:ascii="Arial" w:hAnsi="Arial" w:cs="Arial"/>
          <w:sz w:val="24"/>
          <w:szCs w:val="24"/>
          <w:lang w:val="en-US"/>
        </w:rPr>
        <w:t xml:space="preserve">Osteoarthritis included </w:t>
      </w:r>
      <w:proofErr w:type="spellStart"/>
      <w:r w:rsidR="004F4188" w:rsidRPr="00CC1992">
        <w:rPr>
          <w:rFonts w:ascii="Arial" w:hAnsi="Arial" w:cs="Arial"/>
          <w:sz w:val="24"/>
          <w:szCs w:val="24"/>
          <w:lang w:val="en-US"/>
        </w:rPr>
        <w:t>polyosteoarthritis</w:t>
      </w:r>
      <w:proofErr w:type="spellEnd"/>
      <w:r w:rsidR="004F4188" w:rsidRPr="00CC1992">
        <w:rPr>
          <w:rFonts w:ascii="Arial" w:hAnsi="Arial" w:cs="Arial"/>
          <w:sz w:val="24"/>
          <w:szCs w:val="24"/>
          <w:lang w:val="en-US"/>
        </w:rPr>
        <w:t xml:space="preserve"> (ICD-10: </w:t>
      </w:r>
      <w:r w:rsidR="00627195" w:rsidRPr="00CC1992">
        <w:rPr>
          <w:rFonts w:ascii="Arial" w:hAnsi="Arial" w:cs="Arial"/>
          <w:sz w:val="24"/>
          <w:szCs w:val="24"/>
          <w:lang w:val="en-US"/>
        </w:rPr>
        <w:t>M15)</w:t>
      </w:r>
      <w:r w:rsidR="004F4188" w:rsidRPr="00CC1992">
        <w:rPr>
          <w:rFonts w:ascii="Arial" w:hAnsi="Arial" w:cs="Arial"/>
          <w:sz w:val="24"/>
          <w:szCs w:val="24"/>
          <w:lang w:val="en-US"/>
        </w:rPr>
        <w:t>, hip osteoarthritis</w:t>
      </w:r>
      <w:r w:rsidR="00627195" w:rsidRPr="00CC1992">
        <w:rPr>
          <w:rFonts w:ascii="Arial" w:hAnsi="Arial" w:cs="Arial"/>
          <w:sz w:val="24"/>
          <w:szCs w:val="24"/>
          <w:lang w:val="en-US"/>
        </w:rPr>
        <w:t xml:space="preserve"> (ICD-10: M16)</w:t>
      </w:r>
      <w:r w:rsidR="004F4188" w:rsidRPr="00CC1992">
        <w:rPr>
          <w:rFonts w:ascii="Arial" w:hAnsi="Arial" w:cs="Arial"/>
          <w:sz w:val="24"/>
          <w:szCs w:val="24"/>
          <w:lang w:val="en-US"/>
        </w:rPr>
        <w:t>, knee osteoarthritis</w:t>
      </w:r>
      <w:r w:rsidR="00627195" w:rsidRPr="00CC1992">
        <w:rPr>
          <w:rFonts w:ascii="Arial" w:hAnsi="Arial" w:cs="Arial"/>
          <w:sz w:val="24"/>
          <w:szCs w:val="24"/>
          <w:lang w:val="en-US"/>
        </w:rPr>
        <w:t xml:space="preserve"> (ICD-10: M17)</w:t>
      </w:r>
      <w:r w:rsidR="004F4188" w:rsidRPr="00CC1992">
        <w:rPr>
          <w:rFonts w:ascii="Arial" w:hAnsi="Arial" w:cs="Arial"/>
          <w:sz w:val="24"/>
          <w:szCs w:val="24"/>
          <w:lang w:val="en-US"/>
        </w:rPr>
        <w:t xml:space="preserve">, </w:t>
      </w:r>
      <w:r w:rsidR="00A24D35" w:rsidRPr="00CC1992">
        <w:rPr>
          <w:rFonts w:ascii="Arial" w:hAnsi="Arial" w:cs="Arial"/>
          <w:sz w:val="24"/>
          <w:szCs w:val="24"/>
          <w:lang w:val="en-US"/>
        </w:rPr>
        <w:t xml:space="preserve">first </w:t>
      </w:r>
      <w:r w:rsidR="009B105D" w:rsidRPr="00CC1992">
        <w:rPr>
          <w:rFonts w:ascii="Arial" w:hAnsi="Arial" w:cs="Arial"/>
          <w:sz w:val="24"/>
          <w:szCs w:val="24"/>
          <w:lang w:val="en-US"/>
        </w:rPr>
        <w:t xml:space="preserve">carpometacarpal joint osteoarthritis (ICD-10: M18), </w:t>
      </w:r>
      <w:r w:rsidR="004F4188" w:rsidRPr="00CC1992">
        <w:rPr>
          <w:rFonts w:ascii="Arial" w:hAnsi="Arial" w:cs="Arial"/>
          <w:sz w:val="24"/>
          <w:szCs w:val="24"/>
          <w:lang w:val="en-US"/>
        </w:rPr>
        <w:t>and other and unspecified osteoarthritis</w:t>
      </w:r>
      <w:r w:rsidR="009B105D" w:rsidRPr="00CC1992">
        <w:rPr>
          <w:rFonts w:ascii="Arial" w:hAnsi="Arial" w:cs="Arial"/>
          <w:sz w:val="24"/>
          <w:szCs w:val="24"/>
          <w:lang w:val="en-US"/>
        </w:rPr>
        <w:t xml:space="preserve"> (ICD-10: </w:t>
      </w:r>
      <w:r w:rsidR="0025656D" w:rsidRPr="00CC1992">
        <w:rPr>
          <w:rFonts w:ascii="Arial" w:hAnsi="Arial" w:cs="Arial"/>
          <w:sz w:val="24"/>
          <w:szCs w:val="24"/>
          <w:lang w:val="en-US"/>
        </w:rPr>
        <w:t>M19)</w:t>
      </w:r>
      <w:r w:rsidR="004F4188" w:rsidRPr="00CC1992">
        <w:rPr>
          <w:rFonts w:ascii="Arial" w:hAnsi="Arial" w:cs="Arial"/>
          <w:sz w:val="24"/>
          <w:szCs w:val="24"/>
          <w:lang w:val="en-US"/>
        </w:rPr>
        <w:t xml:space="preserve">. </w:t>
      </w:r>
      <w:r w:rsidRPr="00CC1992">
        <w:rPr>
          <w:rFonts w:ascii="Arial" w:hAnsi="Arial" w:cs="Arial"/>
          <w:sz w:val="24"/>
          <w:szCs w:val="24"/>
          <w:lang w:val="en-US"/>
        </w:rPr>
        <w:t xml:space="preserve">Demographic variables included sex and age. Based on previous literature </w:t>
      </w:r>
      <w:r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DOmUR6NP","properties":{"formattedCitation":"[11]","plainCitation":"[11]","noteIndex":0},"citationItems":[{"id":21334,"uris":["http://zotero.org/users/local/hhPVnw6l/items/38NU5PQH"],"uri":["http://zotero.org/users/local/hhPVnw6l/items/38NU5PQH"],"itemData":{"id":21334,"type":"article-journal","abstract":"OBJECTIVES: To investigate whether patients with osteoarthritis (OA) are at a higher risk of developing Parkinson's disease (PD).\nMETHODS: This retrospective cohort study was conducted using Taiwan's Longitudinal Health Insurance Database 2005. We enrolled 33,360 patients who were 50-64 years old and had OA in 2002-2005 to form the OA group. The comparison group consisted of 33,360 age- and sex-matched, randomly sampled subjects without OA. Then, their PD-free survival curves were generated using the Kaplan-Meier method. Multivariable Cox proportional-hazard regression analysis was employed to estimate the effect of having OA on patients' subsequent risk of PD.\nRESULTS: Of the two groups, the OA group had a significantly higher risk of developing PD (adjusted hazard ratio [aHR]=1.41, 95% CI, 1.16-1.70, p=0.0003). The PD-free survival rate of the OA group was also significantly lower than that of the comparison group (p=0.0004). The subgroup analysis showed that patients with knee or hip OA appeared to have a higher magnitude of PD risk (aHR 1.55, 95% CI, 1.14-2.11) than patients with non-knee and non-hip OA (aHR 1.42, 95% CI, 1.06-1.89) or with uncategorized OA (aHR 1.32, 95% CI,1.05-1.64).\nCONCLUSIONS: Our findings suggest that OA is linked to an increased risk of developing PD.","container-title":"Arthritis Care &amp; Research","DOI":"10.1002/acr.24708","ISSN":"2151-4658","journalAbbreviation":"Arthritis Care Res (Hoboken)","language":"eng","note":"PMID: 34105302","source":"PubMed","title":"Osteoarthritis is associated with an increased risk of Parkinson's disease: A population-based, longitudinal follow-up study","title-short":"Osteoarthritis is associated with an increased risk of Parkinson's disease","author":[{"family":"Feng","given":"Shih-Hao"},{"family":"Chuang","given":"Hung-Jui"},{"family":"Yeh","given":"Kuo-Cheng"},{"family":"Pan","given":"Shin-Liang"}],"issued":{"date-parts":[["2021",6,8]]}}}],"schema":"https://github.com/citation-style-language/schema/raw/master/csl-citation.json"} </w:instrText>
      </w:r>
      <w:r w:rsidRPr="00CC1992">
        <w:rPr>
          <w:rFonts w:ascii="Arial" w:hAnsi="Arial" w:cs="Arial"/>
          <w:sz w:val="24"/>
          <w:szCs w:val="24"/>
          <w:lang w:val="en-US"/>
        </w:rPr>
        <w:fldChar w:fldCharType="separate"/>
      </w:r>
      <w:r w:rsidR="00F67324">
        <w:rPr>
          <w:rFonts w:ascii="Arial" w:hAnsi="Arial" w:cs="Arial"/>
          <w:noProof/>
          <w:sz w:val="24"/>
          <w:szCs w:val="24"/>
          <w:lang w:val="en-US"/>
        </w:rPr>
        <w:t>[11]</w:t>
      </w:r>
      <w:r w:rsidRPr="00CC1992">
        <w:rPr>
          <w:rFonts w:ascii="Arial" w:hAnsi="Arial" w:cs="Arial"/>
          <w:sz w:val="24"/>
          <w:szCs w:val="24"/>
          <w:lang w:val="en-US"/>
        </w:rPr>
        <w:fldChar w:fldCharType="end"/>
      </w:r>
      <w:r w:rsidRPr="00CC1992">
        <w:rPr>
          <w:rFonts w:ascii="Arial" w:hAnsi="Arial" w:cs="Arial"/>
          <w:sz w:val="24"/>
          <w:szCs w:val="24"/>
          <w:lang w:val="en-US"/>
        </w:rPr>
        <w:t xml:space="preserve">, several chronic conditions documented prior to or on the index date were included, and </w:t>
      </w:r>
      <w:r w:rsidRPr="00CC1992">
        <w:rPr>
          <w:rFonts w:ascii="Arial" w:hAnsi="Arial" w:cs="Arial"/>
          <w:sz w:val="24"/>
          <w:szCs w:val="24"/>
          <w:lang w:val="en-US"/>
        </w:rPr>
        <w:lastRenderedPageBreak/>
        <w:t>these disorders were hypertension (ICD-10: I10)</w:t>
      </w:r>
      <w:r w:rsidR="00EF01D2" w:rsidRPr="00CC1992">
        <w:rPr>
          <w:rFonts w:ascii="Arial" w:hAnsi="Arial" w:cs="Arial"/>
          <w:sz w:val="24"/>
          <w:szCs w:val="24"/>
          <w:lang w:val="en-US"/>
        </w:rPr>
        <w:t xml:space="preserve">, </w:t>
      </w:r>
      <w:r w:rsidR="001A5A34" w:rsidRPr="00CC1992">
        <w:rPr>
          <w:rFonts w:ascii="Arial" w:hAnsi="Arial" w:cs="Arial"/>
          <w:sz w:val="24"/>
          <w:szCs w:val="24"/>
          <w:lang w:val="en-US"/>
        </w:rPr>
        <w:t>diabetes mellitus</w:t>
      </w:r>
      <w:r w:rsidR="002A21C5" w:rsidRPr="00CC1992">
        <w:rPr>
          <w:rFonts w:ascii="Arial" w:hAnsi="Arial" w:cs="Arial"/>
          <w:sz w:val="24"/>
          <w:szCs w:val="24"/>
          <w:lang w:val="en-US"/>
        </w:rPr>
        <w:t xml:space="preserve"> (ICD-10: E10-</w:t>
      </w:r>
      <w:r w:rsidR="004F18A5" w:rsidRPr="00CC1992">
        <w:rPr>
          <w:rFonts w:ascii="Arial" w:hAnsi="Arial" w:cs="Arial"/>
          <w:sz w:val="24"/>
          <w:szCs w:val="24"/>
          <w:lang w:val="en-US"/>
        </w:rPr>
        <w:t>E14)</w:t>
      </w:r>
      <w:r w:rsidR="001A5A34" w:rsidRPr="00CC1992">
        <w:rPr>
          <w:rFonts w:ascii="Arial" w:hAnsi="Arial" w:cs="Arial"/>
          <w:sz w:val="24"/>
          <w:szCs w:val="24"/>
          <w:lang w:val="en-US"/>
        </w:rPr>
        <w:t xml:space="preserve">, </w:t>
      </w:r>
      <w:r w:rsidR="005C692A" w:rsidRPr="00CC1992">
        <w:rPr>
          <w:rFonts w:ascii="Arial" w:hAnsi="Arial" w:cs="Arial"/>
          <w:sz w:val="24"/>
          <w:szCs w:val="24"/>
          <w:lang w:val="en-US"/>
        </w:rPr>
        <w:t>thyroid diseases</w:t>
      </w:r>
      <w:r w:rsidR="004F18A5" w:rsidRPr="00CC1992">
        <w:rPr>
          <w:rFonts w:ascii="Arial" w:hAnsi="Arial" w:cs="Arial"/>
          <w:sz w:val="24"/>
          <w:szCs w:val="24"/>
          <w:lang w:val="en-US"/>
        </w:rPr>
        <w:t xml:space="preserve"> (ICD-10: E00-E07)</w:t>
      </w:r>
      <w:r w:rsidR="005C692A" w:rsidRPr="00CC1992">
        <w:rPr>
          <w:rFonts w:ascii="Arial" w:hAnsi="Arial" w:cs="Arial"/>
          <w:sz w:val="24"/>
          <w:szCs w:val="24"/>
          <w:lang w:val="en-US"/>
        </w:rPr>
        <w:t>, dyslipidemia</w:t>
      </w:r>
      <w:r w:rsidR="00C3497B" w:rsidRPr="00CC1992">
        <w:rPr>
          <w:rFonts w:ascii="Arial" w:hAnsi="Arial" w:cs="Arial"/>
          <w:sz w:val="24"/>
          <w:szCs w:val="24"/>
          <w:lang w:val="en-US"/>
        </w:rPr>
        <w:t xml:space="preserve"> (ICD-10: E78)</w:t>
      </w:r>
      <w:r w:rsidR="005C692A" w:rsidRPr="00CC1992">
        <w:rPr>
          <w:rFonts w:ascii="Arial" w:hAnsi="Arial" w:cs="Arial"/>
          <w:sz w:val="24"/>
          <w:szCs w:val="24"/>
          <w:lang w:val="en-US"/>
        </w:rPr>
        <w:t xml:space="preserve">, coronary heart </w:t>
      </w:r>
      <w:r w:rsidR="00E0607B" w:rsidRPr="00CC1992">
        <w:rPr>
          <w:rFonts w:ascii="Arial" w:hAnsi="Arial" w:cs="Arial"/>
          <w:sz w:val="24"/>
          <w:szCs w:val="24"/>
          <w:lang w:val="en-US"/>
        </w:rPr>
        <w:t>disease</w:t>
      </w:r>
      <w:r w:rsidR="00FA7439" w:rsidRPr="00CC1992">
        <w:rPr>
          <w:rFonts w:ascii="Arial" w:hAnsi="Arial" w:cs="Arial"/>
          <w:sz w:val="24"/>
          <w:szCs w:val="24"/>
          <w:lang w:val="en-US"/>
        </w:rPr>
        <w:t xml:space="preserve"> (ICD-10: I24 and I25)</w:t>
      </w:r>
      <w:r w:rsidR="00E0607B" w:rsidRPr="00CC1992">
        <w:rPr>
          <w:rFonts w:ascii="Arial" w:hAnsi="Arial" w:cs="Arial"/>
          <w:sz w:val="24"/>
          <w:szCs w:val="24"/>
          <w:lang w:val="en-US"/>
        </w:rPr>
        <w:t>, gout</w:t>
      </w:r>
      <w:r w:rsidR="00FA7439" w:rsidRPr="00CC1992">
        <w:rPr>
          <w:rFonts w:ascii="Arial" w:hAnsi="Arial" w:cs="Arial"/>
          <w:sz w:val="24"/>
          <w:szCs w:val="24"/>
          <w:lang w:val="en-US"/>
        </w:rPr>
        <w:t xml:space="preserve"> (ICD-10: </w:t>
      </w:r>
      <w:r w:rsidR="00E01CDB" w:rsidRPr="00CC1992">
        <w:rPr>
          <w:rFonts w:ascii="Arial" w:hAnsi="Arial" w:cs="Arial"/>
          <w:sz w:val="24"/>
          <w:szCs w:val="24"/>
          <w:lang w:val="en-US"/>
        </w:rPr>
        <w:t>M10)</w:t>
      </w:r>
      <w:r w:rsidR="00E0607B" w:rsidRPr="00CC1992">
        <w:rPr>
          <w:rFonts w:ascii="Arial" w:hAnsi="Arial" w:cs="Arial"/>
          <w:sz w:val="24"/>
          <w:szCs w:val="24"/>
          <w:lang w:val="en-US"/>
        </w:rPr>
        <w:t>, chronic obstructive pulmonary disease</w:t>
      </w:r>
      <w:r w:rsidR="00E01CDB" w:rsidRPr="00CC1992">
        <w:rPr>
          <w:rFonts w:ascii="Arial" w:hAnsi="Arial" w:cs="Arial"/>
          <w:sz w:val="24"/>
          <w:szCs w:val="24"/>
          <w:lang w:val="en-US"/>
        </w:rPr>
        <w:t xml:space="preserve"> (ICD-10: J44)</w:t>
      </w:r>
      <w:r w:rsidR="00E0607B" w:rsidRPr="00CC1992">
        <w:rPr>
          <w:rFonts w:ascii="Arial" w:hAnsi="Arial" w:cs="Arial"/>
          <w:sz w:val="24"/>
          <w:szCs w:val="24"/>
          <w:lang w:val="en-US"/>
        </w:rPr>
        <w:t xml:space="preserve">, </w:t>
      </w:r>
      <w:r w:rsidR="00F54F9A" w:rsidRPr="00CC1992">
        <w:rPr>
          <w:rFonts w:ascii="Arial" w:hAnsi="Arial" w:cs="Arial"/>
          <w:sz w:val="24"/>
          <w:szCs w:val="24"/>
          <w:lang w:val="en-US"/>
        </w:rPr>
        <w:t>stroke including transient ischemic attack</w:t>
      </w:r>
      <w:r w:rsidR="00E01CDB" w:rsidRPr="00CC1992">
        <w:rPr>
          <w:rFonts w:ascii="Arial" w:hAnsi="Arial" w:cs="Arial"/>
          <w:sz w:val="24"/>
          <w:szCs w:val="24"/>
          <w:lang w:val="en-US"/>
        </w:rPr>
        <w:t xml:space="preserve"> (ICD-10: </w:t>
      </w:r>
      <w:r w:rsidR="00482A73" w:rsidRPr="00CC1992">
        <w:rPr>
          <w:rFonts w:ascii="Arial" w:hAnsi="Arial" w:cs="Arial"/>
          <w:sz w:val="24"/>
          <w:szCs w:val="24"/>
          <w:lang w:val="en-US"/>
        </w:rPr>
        <w:t>I63, I64 and G45)</w:t>
      </w:r>
      <w:r w:rsidR="00F54F9A" w:rsidRPr="00CC1992">
        <w:rPr>
          <w:rFonts w:ascii="Arial" w:hAnsi="Arial" w:cs="Arial"/>
          <w:sz w:val="24"/>
          <w:szCs w:val="24"/>
          <w:lang w:val="en-US"/>
        </w:rPr>
        <w:t>, and intracranial injury</w:t>
      </w:r>
      <w:r w:rsidR="00482A73" w:rsidRPr="00CC1992">
        <w:rPr>
          <w:rFonts w:ascii="Arial" w:hAnsi="Arial" w:cs="Arial"/>
          <w:sz w:val="24"/>
          <w:szCs w:val="24"/>
          <w:lang w:val="en-US"/>
        </w:rPr>
        <w:t xml:space="preserve"> (ICD-10: </w:t>
      </w:r>
      <w:r w:rsidR="00D119C9" w:rsidRPr="00CC1992">
        <w:rPr>
          <w:rFonts w:ascii="Arial" w:hAnsi="Arial" w:cs="Arial"/>
          <w:sz w:val="24"/>
          <w:szCs w:val="24"/>
          <w:lang w:val="en-US"/>
        </w:rPr>
        <w:t>S06)</w:t>
      </w:r>
      <w:r w:rsidR="00F54F9A" w:rsidRPr="00CC1992">
        <w:rPr>
          <w:rFonts w:ascii="Arial" w:hAnsi="Arial" w:cs="Arial"/>
          <w:sz w:val="24"/>
          <w:szCs w:val="24"/>
          <w:lang w:val="en-US"/>
        </w:rPr>
        <w:t>.</w:t>
      </w:r>
    </w:p>
    <w:p w14:paraId="70D952DA" w14:textId="5C4C6271" w:rsidR="003E621B" w:rsidRPr="00CC1992" w:rsidRDefault="003E621B" w:rsidP="0000721D">
      <w:pPr>
        <w:spacing w:line="480" w:lineRule="auto"/>
        <w:jc w:val="both"/>
        <w:rPr>
          <w:rFonts w:ascii="Arial" w:hAnsi="Arial" w:cs="Arial"/>
          <w:sz w:val="24"/>
          <w:szCs w:val="24"/>
          <w:lang w:val="en-US"/>
        </w:rPr>
      </w:pPr>
    </w:p>
    <w:p w14:paraId="79697385" w14:textId="19DD3520" w:rsidR="003E621B" w:rsidRPr="00CC1992" w:rsidRDefault="006345FE" w:rsidP="00A37A26">
      <w:pPr>
        <w:pStyle w:val="Heading2"/>
      </w:pPr>
      <w:r>
        <w:t>Incidence of Parkinson’s disease</w:t>
      </w:r>
    </w:p>
    <w:p w14:paraId="06EB8CCC" w14:textId="65775449" w:rsidR="00755B23" w:rsidRPr="00CC1992" w:rsidRDefault="003E621B" w:rsidP="0000721D">
      <w:pPr>
        <w:spacing w:line="480" w:lineRule="auto"/>
        <w:jc w:val="both"/>
        <w:rPr>
          <w:rFonts w:ascii="Arial" w:hAnsi="Arial" w:cs="Arial"/>
          <w:sz w:val="24"/>
          <w:szCs w:val="24"/>
          <w:lang w:val="en-US"/>
        </w:rPr>
      </w:pPr>
      <w:r w:rsidRPr="00CC1992">
        <w:rPr>
          <w:rFonts w:ascii="Arial" w:hAnsi="Arial" w:cs="Arial"/>
          <w:sz w:val="24"/>
          <w:szCs w:val="24"/>
          <w:lang w:val="en-US"/>
        </w:rPr>
        <w:t>Th</w:t>
      </w:r>
      <w:r w:rsidR="00CD0BA0">
        <w:rPr>
          <w:rFonts w:ascii="Arial" w:hAnsi="Arial" w:cs="Arial"/>
          <w:sz w:val="24"/>
          <w:szCs w:val="24"/>
          <w:lang w:val="en-US"/>
        </w:rPr>
        <w:t>is</w:t>
      </w:r>
      <w:r w:rsidR="00430261" w:rsidRPr="00CC1992">
        <w:rPr>
          <w:rFonts w:ascii="Arial" w:hAnsi="Arial" w:cs="Arial"/>
          <w:sz w:val="24"/>
          <w:szCs w:val="24"/>
          <w:lang w:val="en-US"/>
        </w:rPr>
        <w:t xml:space="preserve"> study </w:t>
      </w:r>
      <w:r w:rsidR="00CD0BA0">
        <w:rPr>
          <w:rFonts w:ascii="Arial" w:hAnsi="Arial" w:cs="Arial"/>
          <w:sz w:val="24"/>
          <w:szCs w:val="24"/>
          <w:lang w:val="en-US"/>
        </w:rPr>
        <w:t>analyzed</w:t>
      </w:r>
      <w:r w:rsidR="00430261" w:rsidRPr="00CC1992">
        <w:rPr>
          <w:rFonts w:ascii="Arial" w:hAnsi="Arial" w:cs="Arial"/>
          <w:sz w:val="24"/>
          <w:szCs w:val="24"/>
          <w:lang w:val="en-US"/>
        </w:rPr>
        <w:t xml:space="preserve"> the 10-year cumulative incidence of Parkinson’s disease </w:t>
      </w:r>
      <w:r w:rsidR="00B20016" w:rsidRPr="00CC1992">
        <w:rPr>
          <w:rFonts w:ascii="Arial" w:hAnsi="Arial" w:cs="Arial"/>
          <w:sz w:val="24"/>
          <w:szCs w:val="24"/>
          <w:lang w:val="en-US"/>
        </w:rPr>
        <w:t>in patients with and without osteoarthritis.</w:t>
      </w:r>
      <w:r w:rsidR="001470B3" w:rsidRPr="00CC1992">
        <w:rPr>
          <w:rFonts w:ascii="Arial" w:hAnsi="Arial" w:cs="Arial"/>
          <w:sz w:val="24"/>
          <w:szCs w:val="24"/>
          <w:lang w:val="en-US"/>
        </w:rPr>
        <w:t xml:space="preserve"> Participants were followed</w:t>
      </w:r>
      <w:r w:rsidR="002B76F0" w:rsidRPr="00CC1992">
        <w:rPr>
          <w:rFonts w:ascii="Arial" w:hAnsi="Arial" w:cs="Arial"/>
          <w:sz w:val="24"/>
          <w:szCs w:val="24"/>
          <w:lang w:val="en-US"/>
        </w:rPr>
        <w:t xml:space="preserve"> </w:t>
      </w:r>
      <w:r w:rsidR="00545CDC" w:rsidRPr="00CC1992">
        <w:rPr>
          <w:rFonts w:ascii="Arial" w:hAnsi="Arial" w:cs="Arial"/>
          <w:sz w:val="24"/>
          <w:szCs w:val="24"/>
          <w:lang w:val="en-US"/>
        </w:rPr>
        <w:t xml:space="preserve">up </w:t>
      </w:r>
      <w:r w:rsidR="00EE483F" w:rsidRPr="00CC1992">
        <w:rPr>
          <w:rFonts w:ascii="Arial" w:hAnsi="Arial" w:cs="Arial"/>
          <w:sz w:val="24"/>
          <w:szCs w:val="24"/>
          <w:lang w:val="en-US"/>
        </w:rPr>
        <w:t>until</w:t>
      </w:r>
      <w:r w:rsidR="002B76F0" w:rsidRPr="00CC1992">
        <w:rPr>
          <w:rFonts w:ascii="Arial" w:hAnsi="Arial" w:cs="Arial"/>
          <w:sz w:val="24"/>
          <w:szCs w:val="24"/>
          <w:lang w:val="en-US"/>
        </w:rPr>
        <w:t xml:space="preserve"> </w:t>
      </w:r>
      <w:r w:rsidR="005704E6" w:rsidRPr="00CC1992">
        <w:rPr>
          <w:rFonts w:ascii="Arial" w:hAnsi="Arial" w:cs="Arial"/>
          <w:sz w:val="24"/>
          <w:szCs w:val="24"/>
          <w:lang w:val="en-US"/>
        </w:rPr>
        <w:t xml:space="preserve">the date on which Parkinson’s disease was diagnosed </w:t>
      </w:r>
      <w:r w:rsidR="0054469A" w:rsidRPr="00CC1992">
        <w:rPr>
          <w:rFonts w:ascii="Arial" w:hAnsi="Arial" w:cs="Arial"/>
          <w:sz w:val="24"/>
          <w:szCs w:val="24"/>
          <w:lang w:val="en-US"/>
        </w:rPr>
        <w:t>or</w:t>
      </w:r>
      <w:r w:rsidR="00755B23" w:rsidRPr="00CC1992">
        <w:rPr>
          <w:rFonts w:ascii="Arial" w:hAnsi="Arial" w:cs="Arial"/>
          <w:sz w:val="24"/>
          <w:szCs w:val="24"/>
          <w:lang w:val="en-US"/>
        </w:rPr>
        <w:t xml:space="preserve"> the last visit date </w:t>
      </w:r>
      <w:r w:rsidR="006F640F" w:rsidRPr="00CC1992">
        <w:rPr>
          <w:rFonts w:ascii="Arial" w:hAnsi="Arial" w:cs="Arial"/>
          <w:sz w:val="24"/>
          <w:szCs w:val="24"/>
          <w:lang w:val="en-US"/>
        </w:rPr>
        <w:t>within</w:t>
      </w:r>
      <w:r w:rsidR="00755B23" w:rsidRPr="00CC1992">
        <w:rPr>
          <w:rFonts w:ascii="Arial" w:hAnsi="Arial" w:cs="Arial"/>
          <w:sz w:val="24"/>
          <w:szCs w:val="24"/>
          <w:lang w:val="en-US"/>
        </w:rPr>
        <w:t xml:space="preserve"> the 10 years following the index date.</w:t>
      </w:r>
    </w:p>
    <w:p w14:paraId="42DD38CE" w14:textId="3BD91F70" w:rsidR="001C08A7" w:rsidRPr="00CC1992" w:rsidRDefault="001C08A7" w:rsidP="0000721D">
      <w:pPr>
        <w:spacing w:line="480" w:lineRule="auto"/>
        <w:jc w:val="both"/>
        <w:rPr>
          <w:rFonts w:ascii="Arial" w:hAnsi="Arial" w:cs="Arial"/>
          <w:sz w:val="24"/>
          <w:szCs w:val="24"/>
          <w:lang w:val="en-US"/>
        </w:rPr>
      </w:pPr>
    </w:p>
    <w:p w14:paraId="1397D50C" w14:textId="58A35B6B" w:rsidR="001C08A7" w:rsidRPr="00CC1992" w:rsidRDefault="001C08A7" w:rsidP="00A37A26">
      <w:pPr>
        <w:pStyle w:val="Heading2"/>
      </w:pPr>
      <w:r w:rsidRPr="00CC1992">
        <w:t>Statistical analyses</w:t>
      </w:r>
    </w:p>
    <w:p w14:paraId="0DF705DF" w14:textId="26584D71" w:rsidR="001C08A7" w:rsidRPr="00CC1992" w:rsidRDefault="00D21AFB" w:rsidP="0000721D">
      <w:pPr>
        <w:spacing w:line="480" w:lineRule="auto"/>
        <w:jc w:val="both"/>
        <w:rPr>
          <w:rFonts w:ascii="Arial" w:hAnsi="Arial" w:cs="Arial"/>
          <w:sz w:val="24"/>
          <w:szCs w:val="24"/>
          <w:lang w:val="en-US"/>
        </w:rPr>
      </w:pPr>
      <w:r w:rsidRPr="00CC1992">
        <w:rPr>
          <w:rFonts w:ascii="Arial" w:hAnsi="Arial" w:cs="Arial"/>
          <w:sz w:val="24"/>
          <w:szCs w:val="24"/>
          <w:lang w:val="en-US"/>
        </w:rPr>
        <w:t xml:space="preserve">Baseline characteristics (i.e., sex, </w:t>
      </w:r>
      <w:proofErr w:type="gramStart"/>
      <w:r w:rsidRPr="00CC1992">
        <w:rPr>
          <w:rFonts w:ascii="Arial" w:hAnsi="Arial" w:cs="Arial"/>
          <w:sz w:val="24"/>
          <w:szCs w:val="24"/>
          <w:lang w:val="en-US"/>
        </w:rPr>
        <w:t>age</w:t>
      </w:r>
      <w:proofErr w:type="gramEnd"/>
      <w:r w:rsidRPr="00CC1992">
        <w:rPr>
          <w:rFonts w:ascii="Arial" w:hAnsi="Arial" w:cs="Arial"/>
          <w:sz w:val="24"/>
          <w:szCs w:val="24"/>
          <w:lang w:val="en-US"/>
        </w:rPr>
        <w:t xml:space="preserve"> and </w:t>
      </w:r>
      <w:r w:rsidR="00324EE2" w:rsidRPr="00CC1992">
        <w:rPr>
          <w:rFonts w:ascii="Arial" w:hAnsi="Arial" w:cs="Arial"/>
          <w:sz w:val="24"/>
          <w:szCs w:val="24"/>
          <w:lang w:val="en-US"/>
        </w:rPr>
        <w:t xml:space="preserve">chronic </w:t>
      </w:r>
      <w:r w:rsidR="00F82751" w:rsidRPr="00CC1992">
        <w:rPr>
          <w:rFonts w:ascii="Arial" w:hAnsi="Arial" w:cs="Arial"/>
          <w:sz w:val="24"/>
          <w:szCs w:val="24"/>
          <w:lang w:val="en-US"/>
        </w:rPr>
        <w:t>conditions</w:t>
      </w:r>
      <w:r w:rsidR="00324EE2" w:rsidRPr="00CC1992">
        <w:rPr>
          <w:rFonts w:ascii="Arial" w:hAnsi="Arial" w:cs="Arial"/>
          <w:sz w:val="24"/>
          <w:szCs w:val="24"/>
          <w:lang w:val="en-US"/>
        </w:rPr>
        <w:t xml:space="preserve">) </w:t>
      </w:r>
      <w:r w:rsidR="00AB3AA9" w:rsidRPr="00CC1992">
        <w:rPr>
          <w:rFonts w:ascii="Arial" w:hAnsi="Arial" w:cs="Arial"/>
          <w:sz w:val="24"/>
          <w:szCs w:val="24"/>
          <w:lang w:val="en-US"/>
        </w:rPr>
        <w:t xml:space="preserve">were compared between patients with and without osteoarthritis using </w:t>
      </w:r>
      <w:proofErr w:type="spellStart"/>
      <w:r w:rsidR="00966787" w:rsidRPr="00CC1992">
        <w:rPr>
          <w:rFonts w:ascii="Arial" w:hAnsi="Arial" w:cs="Arial"/>
          <w:sz w:val="24"/>
          <w:szCs w:val="24"/>
          <w:lang w:val="en-US"/>
        </w:rPr>
        <w:t>Mc</w:t>
      </w:r>
      <w:r w:rsidR="00B0769B" w:rsidRPr="00CC1992">
        <w:rPr>
          <w:rFonts w:ascii="Arial" w:hAnsi="Arial" w:cs="Arial"/>
          <w:sz w:val="24"/>
          <w:szCs w:val="24"/>
          <w:lang w:val="en-US"/>
        </w:rPr>
        <w:t>Nemar</w:t>
      </w:r>
      <w:proofErr w:type="spellEnd"/>
      <w:r w:rsidR="007255FA" w:rsidRPr="00CC1992">
        <w:rPr>
          <w:rFonts w:ascii="Arial" w:hAnsi="Arial" w:cs="Arial"/>
          <w:sz w:val="24"/>
          <w:szCs w:val="24"/>
          <w:lang w:val="en-US"/>
        </w:rPr>
        <w:t xml:space="preserve"> </w:t>
      </w:r>
      <w:r w:rsidR="00E5225A" w:rsidRPr="00CC1992">
        <w:rPr>
          <w:rFonts w:ascii="Arial" w:hAnsi="Arial" w:cs="Arial"/>
          <w:sz w:val="24"/>
          <w:szCs w:val="24"/>
          <w:lang w:val="en-US"/>
        </w:rPr>
        <w:t xml:space="preserve">tests </w:t>
      </w:r>
      <w:r w:rsidR="007255FA" w:rsidRPr="00CC1992">
        <w:rPr>
          <w:rFonts w:ascii="Arial" w:hAnsi="Arial" w:cs="Arial"/>
          <w:sz w:val="24"/>
          <w:szCs w:val="24"/>
          <w:lang w:val="en-US"/>
        </w:rPr>
        <w:t xml:space="preserve">for all variables except </w:t>
      </w:r>
      <w:r w:rsidR="00E61201">
        <w:rPr>
          <w:rFonts w:ascii="Arial" w:hAnsi="Arial" w:cs="Arial"/>
          <w:sz w:val="24"/>
          <w:szCs w:val="24"/>
          <w:lang w:val="en-US"/>
        </w:rPr>
        <w:t xml:space="preserve">the </w:t>
      </w:r>
      <w:r w:rsidR="007255FA" w:rsidRPr="00CC1992">
        <w:rPr>
          <w:rFonts w:ascii="Arial" w:hAnsi="Arial" w:cs="Arial"/>
          <w:sz w:val="24"/>
          <w:szCs w:val="24"/>
          <w:lang w:val="en-US"/>
        </w:rPr>
        <w:t xml:space="preserve">continuous age </w:t>
      </w:r>
      <w:r w:rsidR="00E61201">
        <w:rPr>
          <w:rFonts w:ascii="Arial" w:hAnsi="Arial" w:cs="Arial"/>
          <w:sz w:val="24"/>
          <w:szCs w:val="24"/>
          <w:lang w:val="en-US"/>
        </w:rPr>
        <w:t xml:space="preserve">variable </w:t>
      </w:r>
      <w:r w:rsidR="007255FA" w:rsidRPr="00CC1992">
        <w:rPr>
          <w:rFonts w:ascii="Arial" w:hAnsi="Arial" w:cs="Arial"/>
          <w:sz w:val="24"/>
          <w:szCs w:val="24"/>
          <w:lang w:val="en-US"/>
        </w:rPr>
        <w:t>(</w:t>
      </w:r>
      <w:r w:rsidR="00E64B44" w:rsidRPr="00CC1992">
        <w:rPr>
          <w:rFonts w:ascii="Arial" w:hAnsi="Arial" w:cs="Arial"/>
          <w:sz w:val="24"/>
          <w:szCs w:val="24"/>
          <w:lang w:val="en-US"/>
        </w:rPr>
        <w:t>Wilcoxon signed-rank test).</w:t>
      </w:r>
      <w:r w:rsidR="00CB57EC" w:rsidRPr="00CC1992">
        <w:rPr>
          <w:rFonts w:ascii="Arial" w:hAnsi="Arial" w:cs="Arial"/>
          <w:sz w:val="24"/>
          <w:szCs w:val="24"/>
          <w:lang w:val="en-US"/>
        </w:rPr>
        <w:t xml:space="preserve"> In addition, the 10-year </w:t>
      </w:r>
      <w:r w:rsidR="003472B8" w:rsidRPr="00CC1992">
        <w:rPr>
          <w:rFonts w:ascii="Arial" w:hAnsi="Arial" w:cs="Arial"/>
          <w:sz w:val="24"/>
          <w:szCs w:val="24"/>
          <w:lang w:val="en-US"/>
        </w:rPr>
        <w:t xml:space="preserve">incidence of Parkinson’s disease in </w:t>
      </w:r>
      <w:r w:rsidR="0036659D" w:rsidRPr="00CC1992">
        <w:rPr>
          <w:rFonts w:ascii="Arial" w:hAnsi="Arial" w:cs="Arial"/>
          <w:sz w:val="24"/>
          <w:szCs w:val="24"/>
          <w:lang w:val="en-US"/>
        </w:rPr>
        <w:t>the group</w:t>
      </w:r>
      <w:r w:rsidR="00A012E8">
        <w:rPr>
          <w:rFonts w:ascii="Arial" w:hAnsi="Arial" w:cs="Arial"/>
          <w:sz w:val="24"/>
          <w:szCs w:val="24"/>
          <w:lang w:val="en-US"/>
        </w:rPr>
        <w:t>s</w:t>
      </w:r>
      <w:r w:rsidR="0036659D" w:rsidRPr="00CC1992">
        <w:rPr>
          <w:rFonts w:ascii="Arial" w:hAnsi="Arial" w:cs="Arial"/>
          <w:sz w:val="24"/>
          <w:szCs w:val="24"/>
          <w:lang w:val="en-US"/>
        </w:rPr>
        <w:t xml:space="preserve"> with and without osteoarthritis was studied using Kaplan-Meier curves and</w:t>
      </w:r>
      <w:r w:rsidR="000F7662" w:rsidRPr="00CC1992">
        <w:rPr>
          <w:rFonts w:ascii="Arial" w:hAnsi="Arial" w:cs="Arial"/>
          <w:sz w:val="24"/>
          <w:szCs w:val="24"/>
          <w:lang w:val="en-US"/>
        </w:rPr>
        <w:t xml:space="preserve"> the log-rank</w:t>
      </w:r>
      <w:r w:rsidR="00F45E4B" w:rsidRPr="00CC1992">
        <w:rPr>
          <w:rFonts w:ascii="Arial" w:hAnsi="Arial" w:cs="Arial"/>
          <w:sz w:val="24"/>
          <w:szCs w:val="24"/>
          <w:lang w:val="en-US"/>
        </w:rPr>
        <w:t xml:space="preserve"> test</w:t>
      </w:r>
      <w:r w:rsidR="000F7662" w:rsidRPr="00CC1992">
        <w:rPr>
          <w:rFonts w:ascii="Arial" w:hAnsi="Arial" w:cs="Arial"/>
          <w:sz w:val="24"/>
          <w:szCs w:val="24"/>
          <w:lang w:val="en-US"/>
        </w:rPr>
        <w:t>.</w:t>
      </w:r>
      <w:r w:rsidR="00F45E4B" w:rsidRPr="00CC1992">
        <w:rPr>
          <w:rFonts w:ascii="Arial" w:hAnsi="Arial" w:cs="Arial"/>
          <w:sz w:val="24"/>
          <w:szCs w:val="24"/>
          <w:lang w:val="en-US"/>
        </w:rPr>
        <w:t xml:space="preserve"> Finally, </w:t>
      </w:r>
      <w:proofErr w:type="gramStart"/>
      <w:r w:rsidR="00F45E4B" w:rsidRPr="00CC1992">
        <w:rPr>
          <w:rFonts w:ascii="Arial" w:hAnsi="Arial" w:cs="Arial"/>
          <w:sz w:val="24"/>
          <w:szCs w:val="24"/>
          <w:lang w:val="en-US"/>
        </w:rPr>
        <w:t>unadjusted</w:t>
      </w:r>
      <w:proofErr w:type="gramEnd"/>
      <w:r w:rsidR="00F45E4B" w:rsidRPr="00CC1992">
        <w:rPr>
          <w:rFonts w:ascii="Arial" w:hAnsi="Arial" w:cs="Arial"/>
          <w:sz w:val="24"/>
          <w:szCs w:val="24"/>
          <w:lang w:val="en-US"/>
        </w:rPr>
        <w:t xml:space="preserve"> and adjusted Cox regression analyses were </w:t>
      </w:r>
      <w:r w:rsidR="0000225E" w:rsidRPr="00CC1992">
        <w:rPr>
          <w:rFonts w:ascii="Arial" w:hAnsi="Arial" w:cs="Arial"/>
          <w:sz w:val="24"/>
          <w:szCs w:val="24"/>
          <w:lang w:val="en-US"/>
        </w:rPr>
        <w:t xml:space="preserve">conducted to investigate the association between osteoarthritis and the incidence of Parkinson’s disease. </w:t>
      </w:r>
      <w:r w:rsidR="00B77C2A" w:rsidRPr="00CC1992">
        <w:rPr>
          <w:rFonts w:ascii="Arial" w:hAnsi="Arial" w:cs="Arial"/>
          <w:sz w:val="24"/>
          <w:szCs w:val="24"/>
          <w:lang w:val="en-US"/>
        </w:rPr>
        <w:t xml:space="preserve">The osteoarthritis-Parkinson’s disease relationship was studied in the overall </w:t>
      </w:r>
      <w:r w:rsidR="00211586" w:rsidRPr="00CC1992">
        <w:rPr>
          <w:rFonts w:ascii="Arial" w:hAnsi="Arial" w:cs="Arial"/>
          <w:sz w:val="24"/>
          <w:szCs w:val="24"/>
          <w:lang w:val="en-US"/>
        </w:rPr>
        <w:t>population and in sex (i.e., female and male) and age subgroups (i.e., ≤50, 51-60, 61-</w:t>
      </w:r>
      <w:r w:rsidR="003833B2" w:rsidRPr="00CC1992">
        <w:rPr>
          <w:rFonts w:ascii="Arial" w:hAnsi="Arial" w:cs="Arial"/>
          <w:sz w:val="24"/>
          <w:szCs w:val="24"/>
          <w:lang w:val="en-US"/>
        </w:rPr>
        <w:t xml:space="preserve">70, 71-80, and &gt;80 years), </w:t>
      </w:r>
      <w:r w:rsidR="00F46B71" w:rsidRPr="00CC1992">
        <w:rPr>
          <w:rFonts w:ascii="Arial" w:hAnsi="Arial" w:cs="Arial"/>
          <w:sz w:val="24"/>
          <w:szCs w:val="24"/>
          <w:lang w:val="en-US"/>
        </w:rPr>
        <w:t xml:space="preserve">while this association was also stratified by the type of osteoarthritis (i.e., </w:t>
      </w:r>
      <w:proofErr w:type="spellStart"/>
      <w:r w:rsidR="003A3964" w:rsidRPr="00CC1992">
        <w:rPr>
          <w:rFonts w:ascii="Arial" w:hAnsi="Arial" w:cs="Arial"/>
          <w:sz w:val="24"/>
          <w:szCs w:val="24"/>
          <w:lang w:val="en-US"/>
        </w:rPr>
        <w:t>polyosteoarthritis</w:t>
      </w:r>
      <w:proofErr w:type="spellEnd"/>
      <w:r w:rsidR="003A3964" w:rsidRPr="00CC1992">
        <w:rPr>
          <w:rFonts w:ascii="Arial" w:hAnsi="Arial" w:cs="Arial"/>
          <w:sz w:val="24"/>
          <w:szCs w:val="24"/>
          <w:lang w:val="en-US"/>
        </w:rPr>
        <w:t xml:space="preserve">, hip osteoarthritis, knee osteoarthritis, and </w:t>
      </w:r>
      <w:r w:rsidR="004F4188" w:rsidRPr="00CC1992">
        <w:rPr>
          <w:rFonts w:ascii="Arial" w:hAnsi="Arial" w:cs="Arial"/>
          <w:sz w:val="24"/>
          <w:szCs w:val="24"/>
          <w:lang w:val="en-US"/>
        </w:rPr>
        <w:t xml:space="preserve">other and unspecified osteoarthritis). </w:t>
      </w:r>
      <w:r w:rsidR="0025656D" w:rsidRPr="00CC1992">
        <w:rPr>
          <w:rFonts w:ascii="Arial" w:hAnsi="Arial" w:cs="Arial"/>
          <w:sz w:val="24"/>
          <w:szCs w:val="24"/>
          <w:lang w:val="en-US"/>
        </w:rPr>
        <w:t xml:space="preserve">As </w:t>
      </w:r>
      <w:r w:rsidR="008854B5" w:rsidRPr="00CC1992">
        <w:rPr>
          <w:rFonts w:ascii="Arial" w:hAnsi="Arial" w:cs="Arial"/>
          <w:sz w:val="24"/>
          <w:szCs w:val="24"/>
          <w:lang w:val="en-US"/>
        </w:rPr>
        <w:t xml:space="preserve">only a small proportion of </w:t>
      </w:r>
      <w:r w:rsidR="0025656D" w:rsidRPr="00CC1992">
        <w:rPr>
          <w:rFonts w:ascii="Arial" w:hAnsi="Arial" w:cs="Arial"/>
          <w:sz w:val="24"/>
          <w:szCs w:val="24"/>
          <w:lang w:val="en-US"/>
        </w:rPr>
        <w:t xml:space="preserve">patients </w:t>
      </w:r>
      <w:r w:rsidR="008854B5" w:rsidRPr="00CC1992">
        <w:rPr>
          <w:rFonts w:ascii="Arial" w:hAnsi="Arial" w:cs="Arial"/>
          <w:sz w:val="24"/>
          <w:szCs w:val="24"/>
          <w:lang w:val="en-US"/>
        </w:rPr>
        <w:t>had</w:t>
      </w:r>
      <w:r w:rsidR="0025656D" w:rsidRPr="00CC1992">
        <w:rPr>
          <w:rFonts w:ascii="Arial" w:hAnsi="Arial" w:cs="Arial"/>
          <w:sz w:val="24"/>
          <w:szCs w:val="24"/>
          <w:lang w:val="en-US"/>
        </w:rPr>
        <w:t xml:space="preserve"> first carpometacarpal joint </w:t>
      </w:r>
      <w:r w:rsidR="0025656D" w:rsidRPr="00CC1992">
        <w:rPr>
          <w:rFonts w:ascii="Arial" w:hAnsi="Arial" w:cs="Arial"/>
          <w:sz w:val="24"/>
          <w:szCs w:val="24"/>
          <w:lang w:val="en-US"/>
        </w:rPr>
        <w:lastRenderedPageBreak/>
        <w:t xml:space="preserve">osteoarthritis, the association between this type </w:t>
      </w:r>
      <w:r w:rsidR="008854B5" w:rsidRPr="00CC1992">
        <w:rPr>
          <w:rFonts w:ascii="Arial" w:hAnsi="Arial" w:cs="Arial"/>
          <w:sz w:val="24"/>
          <w:szCs w:val="24"/>
          <w:lang w:val="en-US"/>
        </w:rPr>
        <w:t xml:space="preserve">of osteoarthritis and Parkinson’s disease could not be investigated. </w:t>
      </w:r>
      <w:r w:rsidR="0000225E" w:rsidRPr="00CC1992">
        <w:rPr>
          <w:rFonts w:ascii="Arial" w:hAnsi="Arial" w:cs="Arial"/>
          <w:sz w:val="24"/>
          <w:szCs w:val="24"/>
          <w:lang w:val="en-US"/>
        </w:rPr>
        <w:t xml:space="preserve">Adjusted </w:t>
      </w:r>
      <w:r w:rsidR="00496120" w:rsidRPr="00CC1992">
        <w:rPr>
          <w:rFonts w:ascii="Arial" w:hAnsi="Arial" w:cs="Arial"/>
          <w:sz w:val="24"/>
          <w:szCs w:val="24"/>
          <w:lang w:val="en-US"/>
        </w:rPr>
        <w:t xml:space="preserve">models simultaneously included all chronic </w:t>
      </w:r>
      <w:r w:rsidR="00F82751" w:rsidRPr="00CC1992">
        <w:rPr>
          <w:rFonts w:ascii="Arial" w:hAnsi="Arial" w:cs="Arial"/>
          <w:sz w:val="24"/>
          <w:szCs w:val="24"/>
          <w:lang w:val="en-US"/>
        </w:rPr>
        <w:t>conditions</w:t>
      </w:r>
      <w:r w:rsidR="00496120" w:rsidRPr="00CC1992">
        <w:rPr>
          <w:rFonts w:ascii="Arial" w:hAnsi="Arial" w:cs="Arial"/>
          <w:sz w:val="24"/>
          <w:szCs w:val="24"/>
          <w:lang w:val="en-US"/>
        </w:rPr>
        <w:t xml:space="preserve"> mentioned above. Given that </w:t>
      </w:r>
      <w:r w:rsidR="00130FA8" w:rsidRPr="00CC1992">
        <w:rPr>
          <w:rFonts w:ascii="Arial" w:hAnsi="Arial" w:cs="Arial"/>
          <w:sz w:val="24"/>
          <w:szCs w:val="24"/>
          <w:lang w:val="en-US"/>
        </w:rPr>
        <w:t xml:space="preserve">sex and age were used </w:t>
      </w:r>
      <w:r w:rsidR="009F75CE" w:rsidRPr="00CC1992">
        <w:rPr>
          <w:rFonts w:ascii="Arial" w:hAnsi="Arial" w:cs="Arial"/>
          <w:sz w:val="24"/>
          <w:szCs w:val="24"/>
          <w:lang w:val="en-US"/>
        </w:rPr>
        <w:t>to match</w:t>
      </w:r>
      <w:r w:rsidR="00130FA8" w:rsidRPr="00CC1992">
        <w:rPr>
          <w:rFonts w:ascii="Arial" w:hAnsi="Arial" w:cs="Arial"/>
          <w:sz w:val="24"/>
          <w:szCs w:val="24"/>
          <w:lang w:val="en-US"/>
        </w:rPr>
        <w:t xml:space="preserve"> </w:t>
      </w:r>
      <w:r w:rsidR="00496120" w:rsidRPr="00CC1992">
        <w:rPr>
          <w:rFonts w:ascii="Arial" w:hAnsi="Arial" w:cs="Arial"/>
          <w:sz w:val="24"/>
          <w:szCs w:val="24"/>
          <w:lang w:val="en-US"/>
        </w:rPr>
        <w:t xml:space="preserve">patients without osteoarthritis to those </w:t>
      </w:r>
      <w:r w:rsidR="003319ED" w:rsidRPr="00CC1992">
        <w:rPr>
          <w:rFonts w:ascii="Arial" w:hAnsi="Arial" w:cs="Arial"/>
          <w:sz w:val="24"/>
          <w:szCs w:val="24"/>
          <w:lang w:val="en-US"/>
        </w:rPr>
        <w:t>with osteoarthritis</w:t>
      </w:r>
      <w:r w:rsidR="009F75CE" w:rsidRPr="00CC1992">
        <w:rPr>
          <w:rFonts w:ascii="Arial" w:hAnsi="Arial" w:cs="Arial"/>
          <w:sz w:val="24"/>
          <w:szCs w:val="24"/>
          <w:lang w:val="en-US"/>
        </w:rPr>
        <w:t xml:space="preserve">, these two demographic variables were not included in the </w:t>
      </w:r>
      <w:r w:rsidR="00B77C2A" w:rsidRPr="00CC1992">
        <w:rPr>
          <w:rFonts w:ascii="Arial" w:hAnsi="Arial" w:cs="Arial"/>
          <w:sz w:val="24"/>
          <w:szCs w:val="24"/>
          <w:lang w:val="en-US"/>
        </w:rPr>
        <w:t>regression models.</w:t>
      </w:r>
      <w:r w:rsidR="008854B5" w:rsidRPr="00CC1992">
        <w:rPr>
          <w:rFonts w:ascii="Arial" w:hAnsi="Arial" w:cs="Arial"/>
          <w:sz w:val="24"/>
          <w:szCs w:val="24"/>
          <w:lang w:val="en-US"/>
        </w:rPr>
        <w:t xml:space="preserve"> </w:t>
      </w:r>
      <w:r w:rsidR="00340290" w:rsidRPr="00CC1992">
        <w:rPr>
          <w:rFonts w:ascii="Arial" w:hAnsi="Arial" w:cs="Arial"/>
          <w:sz w:val="24"/>
          <w:szCs w:val="24"/>
          <w:lang w:val="en-US"/>
        </w:rPr>
        <w:t xml:space="preserve">Results from the Cox regression analyses </w:t>
      </w:r>
      <w:r w:rsidR="009A07E9" w:rsidRPr="00CC1992">
        <w:rPr>
          <w:rFonts w:ascii="Arial" w:hAnsi="Arial" w:cs="Arial"/>
          <w:sz w:val="24"/>
          <w:szCs w:val="24"/>
          <w:lang w:val="en-US"/>
        </w:rPr>
        <w:t xml:space="preserve">are presented as HRs with </w:t>
      </w:r>
      <w:r w:rsidR="00F407AE">
        <w:rPr>
          <w:rFonts w:ascii="Arial" w:hAnsi="Arial" w:cs="Arial"/>
          <w:sz w:val="24"/>
          <w:szCs w:val="24"/>
          <w:lang w:val="en-US"/>
        </w:rPr>
        <w:t>9</w:t>
      </w:r>
      <w:r w:rsidR="009A07E9" w:rsidRPr="00CC1992">
        <w:rPr>
          <w:rFonts w:ascii="Arial" w:hAnsi="Arial" w:cs="Arial"/>
          <w:sz w:val="24"/>
          <w:szCs w:val="24"/>
          <w:lang w:val="en-US"/>
        </w:rPr>
        <w:t>5% confidence intervals</w:t>
      </w:r>
      <w:r w:rsidR="00F82751" w:rsidRPr="00CC1992">
        <w:rPr>
          <w:rFonts w:ascii="Arial" w:hAnsi="Arial" w:cs="Arial"/>
          <w:sz w:val="24"/>
          <w:szCs w:val="24"/>
          <w:lang w:val="en-US"/>
        </w:rPr>
        <w:t xml:space="preserve"> (CIs)</w:t>
      </w:r>
      <w:r w:rsidR="009A07E9" w:rsidRPr="00CC1992">
        <w:rPr>
          <w:rFonts w:ascii="Arial" w:hAnsi="Arial" w:cs="Arial"/>
          <w:sz w:val="24"/>
          <w:szCs w:val="24"/>
          <w:lang w:val="en-US"/>
        </w:rPr>
        <w:t xml:space="preserve">. P-values &lt;0.050 were considered statistically significant. </w:t>
      </w:r>
      <w:r w:rsidR="0099168F" w:rsidRPr="00CC1992">
        <w:rPr>
          <w:rFonts w:ascii="Arial" w:hAnsi="Arial" w:cs="Arial"/>
          <w:sz w:val="24"/>
          <w:szCs w:val="24"/>
          <w:lang w:val="en-US"/>
        </w:rPr>
        <w:t>All analyses were performed using SAS 9.4.</w:t>
      </w:r>
    </w:p>
    <w:p w14:paraId="650B437D" w14:textId="7C290EF0" w:rsidR="00795A30" w:rsidRPr="00CC1992" w:rsidRDefault="00795A30" w:rsidP="0000721D">
      <w:pPr>
        <w:spacing w:line="480" w:lineRule="auto"/>
        <w:jc w:val="both"/>
        <w:rPr>
          <w:rFonts w:ascii="Arial" w:hAnsi="Arial" w:cs="Arial"/>
          <w:sz w:val="24"/>
          <w:szCs w:val="24"/>
          <w:lang w:val="en-US"/>
        </w:rPr>
      </w:pPr>
    </w:p>
    <w:p w14:paraId="4E2F090B" w14:textId="0F017A1D" w:rsidR="00795A30" w:rsidRPr="00CC1992" w:rsidRDefault="00795A30" w:rsidP="00A37A26">
      <w:pPr>
        <w:pStyle w:val="Heading1"/>
      </w:pPr>
      <w:r w:rsidRPr="00CC1992">
        <w:t xml:space="preserve">Results </w:t>
      </w:r>
    </w:p>
    <w:p w14:paraId="46B6577E" w14:textId="5C475603" w:rsidR="00795A30" w:rsidRPr="00CC1992" w:rsidRDefault="00795A30" w:rsidP="0000721D">
      <w:pPr>
        <w:spacing w:line="480" w:lineRule="auto"/>
        <w:jc w:val="both"/>
        <w:rPr>
          <w:rFonts w:ascii="Arial" w:hAnsi="Arial" w:cs="Arial"/>
          <w:sz w:val="24"/>
          <w:szCs w:val="24"/>
          <w:lang w:val="en-US"/>
        </w:rPr>
      </w:pPr>
    </w:p>
    <w:p w14:paraId="37BB97BE" w14:textId="13B750A5" w:rsidR="00795A30" w:rsidRPr="00CC1992" w:rsidRDefault="00795A30" w:rsidP="0000721D">
      <w:pPr>
        <w:spacing w:line="480" w:lineRule="auto"/>
        <w:jc w:val="both"/>
        <w:rPr>
          <w:rFonts w:ascii="Arial" w:hAnsi="Arial" w:cs="Arial"/>
          <w:sz w:val="24"/>
          <w:szCs w:val="24"/>
          <w:lang w:val="en-US"/>
        </w:rPr>
      </w:pPr>
      <w:r w:rsidRPr="00CC1992">
        <w:rPr>
          <w:rFonts w:ascii="Arial" w:hAnsi="Arial" w:cs="Arial"/>
          <w:sz w:val="24"/>
          <w:szCs w:val="24"/>
          <w:lang w:val="en-US"/>
        </w:rPr>
        <w:t>There were 260,224 patients included in this study</w:t>
      </w:r>
      <w:r w:rsidR="00E61201">
        <w:rPr>
          <w:rFonts w:ascii="Arial" w:hAnsi="Arial" w:cs="Arial"/>
          <w:sz w:val="24"/>
          <w:szCs w:val="24"/>
          <w:lang w:val="en-US"/>
        </w:rPr>
        <w:t xml:space="preserve"> </w:t>
      </w:r>
      <w:r w:rsidR="00602485">
        <w:rPr>
          <w:rFonts w:ascii="Arial" w:hAnsi="Arial" w:cs="Arial"/>
          <w:sz w:val="24"/>
          <w:szCs w:val="24"/>
          <w:lang w:val="en-US"/>
        </w:rPr>
        <w:t>(</w:t>
      </w:r>
      <w:r w:rsidR="00E87756" w:rsidRPr="00CC1992">
        <w:rPr>
          <w:rFonts w:ascii="Arial" w:hAnsi="Arial" w:cs="Arial"/>
          <w:sz w:val="24"/>
          <w:szCs w:val="24"/>
          <w:lang w:val="en-US"/>
        </w:rPr>
        <w:t>62.0% women</w:t>
      </w:r>
      <w:r w:rsidR="00E61201">
        <w:rPr>
          <w:rFonts w:ascii="Arial" w:hAnsi="Arial" w:cs="Arial"/>
          <w:sz w:val="24"/>
          <w:szCs w:val="24"/>
          <w:lang w:val="en-US"/>
        </w:rPr>
        <w:t xml:space="preserve">; </w:t>
      </w:r>
      <w:r w:rsidR="00E87756" w:rsidRPr="00CC1992">
        <w:rPr>
          <w:rFonts w:ascii="Arial" w:hAnsi="Arial" w:cs="Arial"/>
          <w:sz w:val="24"/>
          <w:szCs w:val="24"/>
          <w:lang w:val="en-US"/>
        </w:rPr>
        <w:t xml:space="preserve">mean </w:t>
      </w:r>
      <w:r w:rsidR="00602485">
        <w:rPr>
          <w:rFonts w:ascii="Arial" w:hAnsi="Arial" w:cs="Arial"/>
          <w:sz w:val="24"/>
          <w:szCs w:val="24"/>
          <w:lang w:val="en-US"/>
        </w:rPr>
        <w:t>[</w:t>
      </w:r>
      <w:r w:rsidR="00E87756" w:rsidRPr="00CC1992">
        <w:rPr>
          <w:rFonts w:ascii="Arial" w:hAnsi="Arial" w:cs="Arial"/>
          <w:sz w:val="24"/>
          <w:szCs w:val="24"/>
          <w:lang w:val="en-US"/>
        </w:rPr>
        <w:t>standard deviation</w:t>
      </w:r>
      <w:r w:rsidR="00602485">
        <w:rPr>
          <w:rFonts w:ascii="Arial" w:hAnsi="Arial" w:cs="Arial"/>
          <w:sz w:val="24"/>
          <w:szCs w:val="24"/>
          <w:lang w:val="en-US"/>
        </w:rPr>
        <w:t>]</w:t>
      </w:r>
      <w:r w:rsidR="00E87756" w:rsidRPr="00CC1992">
        <w:rPr>
          <w:rFonts w:ascii="Arial" w:hAnsi="Arial" w:cs="Arial"/>
          <w:sz w:val="24"/>
          <w:szCs w:val="24"/>
          <w:lang w:val="en-US"/>
        </w:rPr>
        <w:t xml:space="preserve"> age </w:t>
      </w:r>
      <w:r w:rsidR="00FB3728" w:rsidRPr="00CC1992">
        <w:rPr>
          <w:rFonts w:ascii="Arial" w:hAnsi="Arial" w:cs="Arial"/>
          <w:sz w:val="24"/>
          <w:szCs w:val="24"/>
          <w:lang w:val="en-US"/>
        </w:rPr>
        <w:t xml:space="preserve">66.4 </w:t>
      </w:r>
      <w:r w:rsidR="00602485">
        <w:rPr>
          <w:rFonts w:ascii="Arial" w:hAnsi="Arial" w:cs="Arial"/>
          <w:sz w:val="24"/>
          <w:szCs w:val="24"/>
          <w:lang w:val="en-US"/>
        </w:rPr>
        <w:t>[</w:t>
      </w:r>
      <w:r w:rsidR="00FB3728" w:rsidRPr="00CC1992">
        <w:rPr>
          <w:rFonts w:ascii="Arial" w:hAnsi="Arial" w:cs="Arial"/>
          <w:sz w:val="24"/>
          <w:szCs w:val="24"/>
          <w:lang w:val="en-US"/>
        </w:rPr>
        <w:t>12.7</w:t>
      </w:r>
      <w:r w:rsidR="00602485">
        <w:rPr>
          <w:rFonts w:ascii="Arial" w:hAnsi="Arial" w:cs="Arial"/>
          <w:sz w:val="24"/>
          <w:szCs w:val="24"/>
          <w:lang w:val="en-US"/>
        </w:rPr>
        <w:t>]</w:t>
      </w:r>
      <w:r w:rsidR="00FB3728" w:rsidRPr="00CC1992">
        <w:rPr>
          <w:rFonts w:ascii="Arial" w:hAnsi="Arial" w:cs="Arial"/>
          <w:sz w:val="24"/>
          <w:szCs w:val="24"/>
          <w:lang w:val="en-US"/>
        </w:rPr>
        <w:t xml:space="preserve"> years</w:t>
      </w:r>
      <w:r w:rsidR="00602485">
        <w:rPr>
          <w:rFonts w:ascii="Arial" w:hAnsi="Arial" w:cs="Arial"/>
          <w:sz w:val="24"/>
          <w:szCs w:val="24"/>
          <w:lang w:val="en-US"/>
        </w:rPr>
        <w:t>)</w:t>
      </w:r>
      <w:r w:rsidR="00FB3728" w:rsidRPr="00CC1992">
        <w:rPr>
          <w:rFonts w:ascii="Arial" w:hAnsi="Arial" w:cs="Arial"/>
          <w:sz w:val="24"/>
          <w:szCs w:val="24"/>
          <w:lang w:val="en-US"/>
        </w:rPr>
        <w:t xml:space="preserve"> (</w:t>
      </w:r>
      <w:r w:rsidR="00FB3728" w:rsidRPr="00CC1992">
        <w:rPr>
          <w:rFonts w:ascii="Arial" w:hAnsi="Arial" w:cs="Arial"/>
          <w:b/>
          <w:bCs/>
          <w:sz w:val="24"/>
          <w:szCs w:val="24"/>
          <w:lang w:val="en-US"/>
        </w:rPr>
        <w:t>Table 1</w:t>
      </w:r>
      <w:r w:rsidR="00FB3728" w:rsidRPr="00CC1992">
        <w:rPr>
          <w:rFonts w:ascii="Arial" w:hAnsi="Arial" w:cs="Arial"/>
          <w:sz w:val="24"/>
          <w:szCs w:val="24"/>
          <w:lang w:val="en-US"/>
        </w:rPr>
        <w:t xml:space="preserve">). The three most frequent disorders in the sample were </w:t>
      </w:r>
      <w:r w:rsidR="009E4AAC" w:rsidRPr="00CC1992">
        <w:rPr>
          <w:rFonts w:ascii="Arial" w:hAnsi="Arial" w:cs="Arial"/>
          <w:sz w:val="24"/>
          <w:szCs w:val="24"/>
          <w:lang w:val="en-US"/>
        </w:rPr>
        <w:t>hypertension</w:t>
      </w:r>
      <w:r w:rsidR="005F7A7C" w:rsidRPr="00CC1992">
        <w:rPr>
          <w:rFonts w:ascii="Arial" w:hAnsi="Arial" w:cs="Arial"/>
          <w:sz w:val="24"/>
          <w:szCs w:val="24"/>
          <w:lang w:val="en-US"/>
        </w:rPr>
        <w:t xml:space="preserve"> (</w:t>
      </w:r>
      <w:r w:rsidR="00C3559D" w:rsidRPr="00CC1992">
        <w:rPr>
          <w:rFonts w:ascii="Arial" w:hAnsi="Arial" w:cs="Arial"/>
          <w:sz w:val="24"/>
          <w:szCs w:val="24"/>
          <w:lang w:val="en-US"/>
        </w:rPr>
        <w:t xml:space="preserve">32.4% in the osteoarthritis group and </w:t>
      </w:r>
      <w:r w:rsidR="007A1E18" w:rsidRPr="00CC1992">
        <w:rPr>
          <w:rFonts w:ascii="Arial" w:hAnsi="Arial" w:cs="Arial"/>
          <w:sz w:val="24"/>
          <w:szCs w:val="24"/>
          <w:lang w:val="en-US"/>
        </w:rPr>
        <w:t>28.3% in the no osteoarthritis group)</w:t>
      </w:r>
      <w:r w:rsidR="00F7332C" w:rsidRPr="00CC1992">
        <w:rPr>
          <w:rFonts w:ascii="Arial" w:hAnsi="Arial" w:cs="Arial"/>
          <w:sz w:val="24"/>
          <w:szCs w:val="24"/>
          <w:lang w:val="en-US"/>
        </w:rPr>
        <w:t xml:space="preserve">, </w:t>
      </w:r>
      <w:r w:rsidR="009E4AAC" w:rsidRPr="00CC1992">
        <w:rPr>
          <w:rFonts w:ascii="Arial" w:hAnsi="Arial" w:cs="Arial"/>
          <w:sz w:val="24"/>
          <w:szCs w:val="24"/>
          <w:lang w:val="en-US"/>
        </w:rPr>
        <w:t>diabetes mellitu</w:t>
      </w:r>
      <w:r w:rsidR="007A1E18" w:rsidRPr="00CC1992">
        <w:rPr>
          <w:rFonts w:ascii="Arial" w:hAnsi="Arial" w:cs="Arial"/>
          <w:sz w:val="24"/>
          <w:szCs w:val="24"/>
          <w:lang w:val="en-US"/>
        </w:rPr>
        <w:t>s (</w:t>
      </w:r>
      <w:r w:rsidR="00C76484" w:rsidRPr="00CC1992">
        <w:rPr>
          <w:rFonts w:ascii="Arial" w:hAnsi="Arial" w:cs="Arial"/>
          <w:sz w:val="24"/>
          <w:szCs w:val="24"/>
          <w:lang w:val="en-US"/>
        </w:rPr>
        <w:t xml:space="preserve">9.3% and </w:t>
      </w:r>
      <w:r w:rsidR="00F26B3B" w:rsidRPr="00CC1992">
        <w:rPr>
          <w:rFonts w:ascii="Arial" w:hAnsi="Arial" w:cs="Arial"/>
          <w:sz w:val="24"/>
          <w:szCs w:val="24"/>
          <w:lang w:val="en-US"/>
        </w:rPr>
        <w:t>8.2%</w:t>
      </w:r>
      <w:r w:rsidR="0012165E" w:rsidRPr="00CC1992">
        <w:rPr>
          <w:rFonts w:ascii="Arial" w:hAnsi="Arial" w:cs="Arial"/>
          <w:sz w:val="24"/>
          <w:szCs w:val="24"/>
          <w:lang w:val="en-US"/>
        </w:rPr>
        <w:t>, respectively</w:t>
      </w:r>
      <w:r w:rsidR="00F26B3B" w:rsidRPr="00CC1992">
        <w:rPr>
          <w:rFonts w:ascii="Arial" w:hAnsi="Arial" w:cs="Arial"/>
          <w:sz w:val="24"/>
          <w:szCs w:val="24"/>
          <w:lang w:val="en-US"/>
        </w:rPr>
        <w:t>)</w:t>
      </w:r>
      <w:r w:rsidR="009E4AAC" w:rsidRPr="00CC1992">
        <w:rPr>
          <w:rFonts w:ascii="Arial" w:hAnsi="Arial" w:cs="Arial"/>
          <w:sz w:val="24"/>
          <w:szCs w:val="24"/>
          <w:lang w:val="en-US"/>
        </w:rPr>
        <w:t xml:space="preserve"> and thyroid </w:t>
      </w:r>
      <w:r w:rsidR="005F7A7C" w:rsidRPr="00CC1992">
        <w:rPr>
          <w:rFonts w:ascii="Arial" w:hAnsi="Arial" w:cs="Arial"/>
          <w:sz w:val="24"/>
          <w:szCs w:val="24"/>
          <w:lang w:val="en-US"/>
        </w:rPr>
        <w:t>diseases</w:t>
      </w:r>
      <w:r w:rsidR="00F26B3B" w:rsidRPr="00CC1992">
        <w:rPr>
          <w:rFonts w:ascii="Arial" w:hAnsi="Arial" w:cs="Arial"/>
          <w:sz w:val="24"/>
          <w:szCs w:val="24"/>
          <w:lang w:val="en-US"/>
        </w:rPr>
        <w:t xml:space="preserve"> (</w:t>
      </w:r>
      <w:r w:rsidR="000E054D" w:rsidRPr="00CC1992">
        <w:rPr>
          <w:rFonts w:ascii="Arial" w:hAnsi="Arial" w:cs="Arial"/>
          <w:sz w:val="24"/>
          <w:szCs w:val="24"/>
          <w:lang w:val="en-US"/>
        </w:rPr>
        <w:t>9.1% and 7.5%</w:t>
      </w:r>
      <w:r w:rsidR="0012165E" w:rsidRPr="00CC1992">
        <w:rPr>
          <w:rFonts w:ascii="Arial" w:hAnsi="Arial" w:cs="Arial"/>
          <w:sz w:val="24"/>
          <w:szCs w:val="24"/>
          <w:lang w:val="en-US"/>
        </w:rPr>
        <w:t>, respectively</w:t>
      </w:r>
      <w:r w:rsidR="000E054D" w:rsidRPr="00CC1992">
        <w:rPr>
          <w:rFonts w:ascii="Arial" w:hAnsi="Arial" w:cs="Arial"/>
          <w:sz w:val="24"/>
          <w:szCs w:val="24"/>
          <w:lang w:val="en-US"/>
        </w:rPr>
        <w:t xml:space="preserve">). </w:t>
      </w:r>
      <w:r w:rsidR="00DD6BFE" w:rsidRPr="00CC1992">
        <w:rPr>
          <w:rFonts w:ascii="Arial" w:hAnsi="Arial" w:cs="Arial"/>
          <w:sz w:val="24"/>
          <w:szCs w:val="24"/>
          <w:lang w:val="en-US"/>
        </w:rPr>
        <w:t xml:space="preserve">The different types of osteoarthritis were </w:t>
      </w:r>
      <w:proofErr w:type="spellStart"/>
      <w:r w:rsidR="00DD6BFE" w:rsidRPr="00CC1992">
        <w:rPr>
          <w:rFonts w:ascii="Arial" w:hAnsi="Arial" w:cs="Arial"/>
          <w:sz w:val="24"/>
          <w:szCs w:val="24"/>
          <w:lang w:val="en-US"/>
        </w:rPr>
        <w:t>polyosteoarthritis</w:t>
      </w:r>
      <w:proofErr w:type="spellEnd"/>
      <w:r w:rsidR="00DD6BFE" w:rsidRPr="00CC1992">
        <w:rPr>
          <w:rFonts w:ascii="Arial" w:hAnsi="Arial" w:cs="Arial"/>
          <w:sz w:val="24"/>
          <w:szCs w:val="24"/>
          <w:lang w:val="en-US"/>
        </w:rPr>
        <w:t xml:space="preserve"> (6.3%), hip osteoarthritis (5.9%), knee osteoarthritis (5.1%), first carpometacarpal joint osteoarthritis (0.1%), and other and unspecified osteoarthritis (82.6%). </w:t>
      </w:r>
      <w:r w:rsidR="000E054D" w:rsidRPr="00CC1992">
        <w:rPr>
          <w:rFonts w:ascii="Arial" w:hAnsi="Arial" w:cs="Arial"/>
          <w:sz w:val="24"/>
          <w:szCs w:val="24"/>
          <w:lang w:val="en-US"/>
        </w:rPr>
        <w:t>Kaplan-Meier curves</w:t>
      </w:r>
      <w:r w:rsidR="00B53F31" w:rsidRPr="00CC1992">
        <w:rPr>
          <w:rFonts w:ascii="Arial" w:hAnsi="Arial" w:cs="Arial"/>
          <w:sz w:val="24"/>
          <w:szCs w:val="24"/>
          <w:lang w:val="en-US"/>
        </w:rPr>
        <w:t xml:space="preserve"> are displayed in </w:t>
      </w:r>
      <w:r w:rsidR="00B53F31" w:rsidRPr="00CC1992">
        <w:rPr>
          <w:rFonts w:ascii="Arial" w:hAnsi="Arial" w:cs="Arial"/>
          <w:b/>
          <w:bCs/>
          <w:sz w:val="24"/>
          <w:szCs w:val="24"/>
          <w:lang w:val="en-US"/>
        </w:rPr>
        <w:t xml:space="preserve">Figure </w:t>
      </w:r>
      <w:r w:rsidR="00A74381" w:rsidRPr="00CC1992">
        <w:rPr>
          <w:rFonts w:ascii="Arial" w:hAnsi="Arial" w:cs="Arial"/>
          <w:b/>
          <w:bCs/>
          <w:sz w:val="24"/>
          <w:szCs w:val="24"/>
          <w:lang w:val="en-US"/>
        </w:rPr>
        <w:t>2</w:t>
      </w:r>
      <w:r w:rsidR="005F7A7C" w:rsidRPr="00CC1992">
        <w:rPr>
          <w:rFonts w:ascii="Arial" w:hAnsi="Arial" w:cs="Arial"/>
          <w:sz w:val="24"/>
          <w:szCs w:val="24"/>
          <w:lang w:val="en-US"/>
        </w:rPr>
        <w:t>.</w:t>
      </w:r>
      <w:r w:rsidR="009C30DF" w:rsidRPr="00CC1992">
        <w:rPr>
          <w:rFonts w:ascii="Arial" w:hAnsi="Arial" w:cs="Arial"/>
          <w:sz w:val="24"/>
          <w:szCs w:val="24"/>
          <w:lang w:val="en-US"/>
        </w:rPr>
        <w:t xml:space="preserve"> Within 10 years of the index date, </w:t>
      </w:r>
      <w:r w:rsidR="00AF4680" w:rsidRPr="00CC1992">
        <w:rPr>
          <w:rFonts w:ascii="Arial" w:hAnsi="Arial" w:cs="Arial"/>
          <w:sz w:val="24"/>
          <w:szCs w:val="24"/>
          <w:lang w:val="en-US"/>
        </w:rPr>
        <w:t xml:space="preserve">1.2% of patients with osteoarthritis and 0.6% of their counterparts without osteoarthritis were diagnosed </w:t>
      </w:r>
      <w:r w:rsidR="003C17B7" w:rsidRPr="00CC1992">
        <w:rPr>
          <w:rFonts w:ascii="Arial" w:hAnsi="Arial" w:cs="Arial"/>
          <w:sz w:val="24"/>
          <w:szCs w:val="24"/>
          <w:lang w:val="en-US"/>
        </w:rPr>
        <w:t>with Parkinson’s disease (log-rank p-value&lt;0.001).</w:t>
      </w:r>
      <w:r w:rsidR="00B83E63" w:rsidRPr="00CC1992">
        <w:rPr>
          <w:rFonts w:ascii="Arial" w:hAnsi="Arial" w:cs="Arial"/>
          <w:sz w:val="24"/>
          <w:szCs w:val="24"/>
          <w:lang w:val="en-US"/>
        </w:rPr>
        <w:t xml:space="preserve"> </w:t>
      </w:r>
      <w:r w:rsidR="00B83E63" w:rsidRPr="00CC1992">
        <w:rPr>
          <w:rFonts w:ascii="Arial" w:hAnsi="Arial" w:cs="Arial"/>
          <w:b/>
          <w:bCs/>
          <w:sz w:val="24"/>
          <w:szCs w:val="24"/>
          <w:lang w:val="en-US"/>
        </w:rPr>
        <w:t xml:space="preserve">Table 2 </w:t>
      </w:r>
      <w:r w:rsidR="00B83E63" w:rsidRPr="00CC1992">
        <w:rPr>
          <w:rFonts w:ascii="Arial" w:hAnsi="Arial" w:cs="Arial"/>
          <w:sz w:val="24"/>
          <w:szCs w:val="24"/>
          <w:lang w:val="en-US"/>
        </w:rPr>
        <w:t xml:space="preserve">shows the results of the </w:t>
      </w:r>
      <w:r w:rsidR="00711C4B" w:rsidRPr="00CC1992">
        <w:rPr>
          <w:rFonts w:ascii="Arial" w:hAnsi="Arial" w:cs="Arial"/>
          <w:sz w:val="24"/>
          <w:szCs w:val="24"/>
          <w:lang w:val="en-US"/>
        </w:rPr>
        <w:t>unadjusted and adjusted Cox regression ana</w:t>
      </w:r>
      <w:r w:rsidR="00BD518C" w:rsidRPr="00CC1992">
        <w:rPr>
          <w:rFonts w:ascii="Arial" w:hAnsi="Arial" w:cs="Arial"/>
          <w:sz w:val="24"/>
          <w:szCs w:val="24"/>
          <w:lang w:val="en-US"/>
        </w:rPr>
        <w:t xml:space="preserve">lyses. </w:t>
      </w:r>
      <w:r w:rsidR="00BA0C94" w:rsidRPr="00CC1992">
        <w:rPr>
          <w:rFonts w:ascii="Arial" w:hAnsi="Arial" w:cs="Arial"/>
          <w:sz w:val="24"/>
          <w:szCs w:val="24"/>
          <w:lang w:val="en-US"/>
        </w:rPr>
        <w:t xml:space="preserve">After adjusting for </w:t>
      </w:r>
      <w:r w:rsidR="008C42B1" w:rsidRPr="00CC1992">
        <w:rPr>
          <w:rFonts w:ascii="Arial" w:hAnsi="Arial" w:cs="Arial"/>
          <w:sz w:val="24"/>
          <w:szCs w:val="24"/>
          <w:lang w:val="en-US"/>
        </w:rPr>
        <w:t>chronic conditions</w:t>
      </w:r>
      <w:r w:rsidR="00BA0C94" w:rsidRPr="00CC1992">
        <w:rPr>
          <w:rFonts w:ascii="Arial" w:hAnsi="Arial" w:cs="Arial"/>
          <w:sz w:val="24"/>
          <w:szCs w:val="24"/>
          <w:lang w:val="en-US"/>
        </w:rPr>
        <w:t xml:space="preserve">, osteoarthritis </w:t>
      </w:r>
      <w:r w:rsidR="00BD518C" w:rsidRPr="00CC1992">
        <w:rPr>
          <w:rFonts w:ascii="Arial" w:hAnsi="Arial" w:cs="Arial"/>
          <w:sz w:val="24"/>
          <w:szCs w:val="24"/>
          <w:lang w:val="en-US"/>
        </w:rPr>
        <w:t xml:space="preserve">was positively and significantly associated with the </w:t>
      </w:r>
      <w:r w:rsidR="00FD0532" w:rsidRPr="00CC1992">
        <w:rPr>
          <w:rFonts w:ascii="Arial" w:hAnsi="Arial" w:cs="Arial"/>
          <w:sz w:val="24"/>
          <w:szCs w:val="24"/>
          <w:lang w:val="en-US"/>
        </w:rPr>
        <w:t>10-year incidence of Parkinson’s disease in the overall population (HR=</w:t>
      </w:r>
      <w:r w:rsidR="00E514D3" w:rsidRPr="00CC1992">
        <w:rPr>
          <w:rFonts w:ascii="Arial" w:hAnsi="Arial" w:cs="Arial"/>
          <w:sz w:val="24"/>
          <w:szCs w:val="24"/>
          <w:lang w:val="en-US"/>
        </w:rPr>
        <w:t xml:space="preserve">1.82, 95% CI: </w:t>
      </w:r>
      <w:r w:rsidR="0003486E" w:rsidRPr="00CC1992">
        <w:rPr>
          <w:rFonts w:ascii="Arial" w:hAnsi="Arial" w:cs="Arial"/>
          <w:sz w:val="24"/>
          <w:szCs w:val="24"/>
          <w:lang w:val="en-US"/>
        </w:rPr>
        <w:t xml:space="preserve">1.63-2.02). </w:t>
      </w:r>
      <w:r w:rsidR="003B6355" w:rsidRPr="00CC1992">
        <w:rPr>
          <w:rFonts w:ascii="Arial" w:hAnsi="Arial" w:cs="Arial"/>
          <w:sz w:val="24"/>
          <w:szCs w:val="24"/>
          <w:lang w:val="en-US"/>
        </w:rPr>
        <w:t xml:space="preserve">Similar findings were obtained in sex and age subgroups, with HRs ranging from </w:t>
      </w:r>
      <w:r w:rsidR="00572FC5" w:rsidRPr="00CC1992">
        <w:rPr>
          <w:rFonts w:ascii="Arial" w:hAnsi="Arial" w:cs="Arial"/>
          <w:sz w:val="24"/>
          <w:szCs w:val="24"/>
          <w:lang w:val="en-US"/>
        </w:rPr>
        <w:t xml:space="preserve">1.59 (95% CI: </w:t>
      </w:r>
      <w:r w:rsidR="00C41E53" w:rsidRPr="00CC1992">
        <w:rPr>
          <w:rFonts w:ascii="Arial" w:hAnsi="Arial" w:cs="Arial"/>
          <w:sz w:val="24"/>
          <w:szCs w:val="24"/>
          <w:lang w:val="en-US"/>
        </w:rPr>
        <w:t xml:space="preserve">1.27-1.99) in people aged &gt;80 years </w:t>
      </w:r>
      <w:r w:rsidR="00C41E53" w:rsidRPr="00CC1992">
        <w:rPr>
          <w:rFonts w:ascii="Arial" w:hAnsi="Arial" w:cs="Arial"/>
          <w:sz w:val="24"/>
          <w:szCs w:val="24"/>
          <w:lang w:val="en-US"/>
        </w:rPr>
        <w:lastRenderedPageBreak/>
        <w:t xml:space="preserve">to </w:t>
      </w:r>
      <w:r w:rsidR="002B3E90" w:rsidRPr="00CC1992">
        <w:rPr>
          <w:rFonts w:ascii="Arial" w:hAnsi="Arial" w:cs="Arial"/>
          <w:sz w:val="24"/>
          <w:szCs w:val="24"/>
          <w:lang w:val="en-US"/>
        </w:rPr>
        <w:t xml:space="preserve">3.22 (95% CI: </w:t>
      </w:r>
      <w:r w:rsidR="00321A93" w:rsidRPr="00CC1992">
        <w:rPr>
          <w:rFonts w:ascii="Arial" w:hAnsi="Arial" w:cs="Arial"/>
          <w:sz w:val="24"/>
          <w:szCs w:val="24"/>
          <w:lang w:val="en-US"/>
        </w:rPr>
        <w:t>1.06-9</w:t>
      </w:r>
      <w:r w:rsidR="00154378" w:rsidRPr="00CC1992">
        <w:rPr>
          <w:rFonts w:ascii="Arial" w:hAnsi="Arial" w:cs="Arial"/>
          <w:sz w:val="24"/>
          <w:szCs w:val="24"/>
          <w:lang w:val="en-US"/>
        </w:rPr>
        <w:t xml:space="preserve">.38) in those aged ≤50 years. </w:t>
      </w:r>
      <w:r w:rsidR="00AE3F35" w:rsidRPr="00CC1992">
        <w:rPr>
          <w:rFonts w:ascii="Arial" w:hAnsi="Arial" w:cs="Arial"/>
          <w:sz w:val="24"/>
          <w:szCs w:val="24"/>
          <w:lang w:val="en-US"/>
        </w:rPr>
        <w:t xml:space="preserve">In terms of the different types of osteoarthritis, </w:t>
      </w:r>
      <w:r w:rsidR="00AB4CB3" w:rsidRPr="00CC1992">
        <w:rPr>
          <w:rFonts w:ascii="Arial" w:hAnsi="Arial" w:cs="Arial"/>
          <w:sz w:val="24"/>
          <w:szCs w:val="24"/>
          <w:lang w:val="en-US"/>
        </w:rPr>
        <w:t>only knee (HR=</w:t>
      </w:r>
      <w:r w:rsidR="00ED7E2E" w:rsidRPr="00CC1992">
        <w:rPr>
          <w:rFonts w:ascii="Arial" w:hAnsi="Arial" w:cs="Arial"/>
          <w:sz w:val="24"/>
          <w:szCs w:val="24"/>
          <w:lang w:val="en-US"/>
        </w:rPr>
        <w:t xml:space="preserve">2.32, 95% CI: </w:t>
      </w:r>
      <w:r w:rsidR="00E35D12" w:rsidRPr="00CC1992">
        <w:rPr>
          <w:rFonts w:ascii="Arial" w:hAnsi="Arial" w:cs="Arial"/>
          <w:sz w:val="24"/>
          <w:szCs w:val="24"/>
          <w:lang w:val="en-US"/>
        </w:rPr>
        <w:t>1.42-</w:t>
      </w:r>
      <w:r w:rsidR="00347090" w:rsidRPr="00CC1992">
        <w:rPr>
          <w:rFonts w:ascii="Arial" w:hAnsi="Arial" w:cs="Arial"/>
          <w:sz w:val="24"/>
          <w:szCs w:val="24"/>
          <w:lang w:val="en-US"/>
        </w:rPr>
        <w:t xml:space="preserve">3.79) and </w:t>
      </w:r>
      <w:r w:rsidR="00EA1601" w:rsidRPr="00CC1992">
        <w:rPr>
          <w:rFonts w:ascii="Arial" w:hAnsi="Arial" w:cs="Arial"/>
          <w:sz w:val="24"/>
          <w:szCs w:val="24"/>
          <w:lang w:val="en-US"/>
        </w:rPr>
        <w:t>other and unspecified osteoarthritis (HR=</w:t>
      </w:r>
      <w:r w:rsidR="002307AA" w:rsidRPr="00CC1992">
        <w:rPr>
          <w:rFonts w:ascii="Arial" w:hAnsi="Arial" w:cs="Arial"/>
          <w:sz w:val="24"/>
          <w:szCs w:val="24"/>
          <w:lang w:val="en-US"/>
        </w:rPr>
        <w:t xml:space="preserve">1.85, 95% CI: </w:t>
      </w:r>
      <w:r w:rsidR="00A0376B" w:rsidRPr="00CC1992">
        <w:rPr>
          <w:rFonts w:ascii="Arial" w:hAnsi="Arial" w:cs="Arial"/>
          <w:sz w:val="24"/>
          <w:szCs w:val="24"/>
          <w:lang w:val="en-US"/>
        </w:rPr>
        <w:t>1.64-2.08) were significantly associated with the odds of being diagnosed with Parkinson’s disease (</w:t>
      </w:r>
      <w:r w:rsidR="00A0376B" w:rsidRPr="00CC1992">
        <w:rPr>
          <w:rFonts w:ascii="Arial" w:hAnsi="Arial" w:cs="Arial"/>
          <w:b/>
          <w:bCs/>
          <w:sz w:val="24"/>
          <w:szCs w:val="24"/>
          <w:lang w:val="en-US"/>
        </w:rPr>
        <w:t>Table 3</w:t>
      </w:r>
      <w:r w:rsidR="00A0376B" w:rsidRPr="00CC1992">
        <w:rPr>
          <w:rFonts w:ascii="Arial" w:hAnsi="Arial" w:cs="Arial"/>
          <w:sz w:val="24"/>
          <w:szCs w:val="24"/>
          <w:lang w:val="en-US"/>
        </w:rPr>
        <w:t>).</w:t>
      </w:r>
    </w:p>
    <w:p w14:paraId="01D5750F" w14:textId="22017CD8" w:rsidR="00085A87" w:rsidRPr="00CC1992" w:rsidRDefault="00085A87" w:rsidP="0000721D">
      <w:pPr>
        <w:spacing w:line="480" w:lineRule="auto"/>
        <w:jc w:val="both"/>
        <w:rPr>
          <w:rFonts w:ascii="Arial" w:hAnsi="Arial" w:cs="Arial"/>
          <w:sz w:val="24"/>
          <w:szCs w:val="24"/>
          <w:lang w:val="en-US"/>
        </w:rPr>
      </w:pPr>
    </w:p>
    <w:p w14:paraId="2E1F1C99" w14:textId="56638B49" w:rsidR="00085A87" w:rsidRPr="00CC1992" w:rsidRDefault="00085A87" w:rsidP="00A37A26">
      <w:pPr>
        <w:pStyle w:val="Heading1"/>
      </w:pPr>
      <w:r w:rsidRPr="00CC1992">
        <w:t>Discussion</w:t>
      </w:r>
    </w:p>
    <w:p w14:paraId="43E346F6" w14:textId="0126243C" w:rsidR="00085A87" w:rsidRPr="00CC1992" w:rsidRDefault="00085A87" w:rsidP="0000721D">
      <w:pPr>
        <w:spacing w:line="480" w:lineRule="auto"/>
        <w:jc w:val="both"/>
        <w:rPr>
          <w:rFonts w:ascii="Arial" w:hAnsi="Arial" w:cs="Arial"/>
          <w:sz w:val="24"/>
          <w:szCs w:val="24"/>
          <w:lang w:val="en-US"/>
        </w:rPr>
      </w:pPr>
    </w:p>
    <w:p w14:paraId="2F48D59C" w14:textId="5BD1F5CF" w:rsidR="00085A87" w:rsidRPr="00CC1992" w:rsidRDefault="00085A87" w:rsidP="00A37A26">
      <w:pPr>
        <w:pStyle w:val="Heading2"/>
      </w:pPr>
      <w:r w:rsidRPr="00CC1992">
        <w:t>Main findings</w:t>
      </w:r>
    </w:p>
    <w:p w14:paraId="2A98B3B5" w14:textId="1D231C8C" w:rsidR="004847DD" w:rsidRPr="00CC1992" w:rsidRDefault="00C00211" w:rsidP="0000721D">
      <w:pPr>
        <w:spacing w:line="480" w:lineRule="auto"/>
        <w:jc w:val="both"/>
        <w:rPr>
          <w:rFonts w:ascii="Arial" w:hAnsi="Arial" w:cs="Arial"/>
          <w:sz w:val="24"/>
          <w:szCs w:val="24"/>
          <w:lang w:val="en-US"/>
        </w:rPr>
      </w:pPr>
      <w:r w:rsidRPr="00CC1992">
        <w:rPr>
          <w:rFonts w:ascii="Arial" w:hAnsi="Arial" w:cs="Arial"/>
          <w:sz w:val="24"/>
          <w:szCs w:val="24"/>
          <w:lang w:val="en-US"/>
        </w:rPr>
        <w:t xml:space="preserve">In this retrospective cohort study of more than 260,200 patients followed in around 260 general practices from the United Kingdom, the 10-year cumulative incidence of Parkinson’s disease was 1.2% and 0.6% in those with and without osteoarthritis, respectively. These findings were corroborated </w:t>
      </w:r>
      <w:r w:rsidR="00457330" w:rsidRPr="00CC1992">
        <w:rPr>
          <w:rFonts w:ascii="Arial" w:hAnsi="Arial" w:cs="Arial"/>
          <w:sz w:val="24"/>
          <w:szCs w:val="24"/>
          <w:lang w:val="en-US"/>
        </w:rPr>
        <w:t>in</w:t>
      </w:r>
      <w:r w:rsidRPr="00CC1992">
        <w:rPr>
          <w:rFonts w:ascii="Arial" w:hAnsi="Arial" w:cs="Arial"/>
          <w:sz w:val="24"/>
          <w:szCs w:val="24"/>
          <w:lang w:val="en-US"/>
        </w:rPr>
        <w:t xml:space="preserve"> the adjusted Cox regression analys</w:t>
      </w:r>
      <w:r w:rsidR="00457330" w:rsidRPr="00CC1992">
        <w:rPr>
          <w:rFonts w:ascii="Arial" w:hAnsi="Arial" w:cs="Arial"/>
          <w:sz w:val="24"/>
          <w:szCs w:val="24"/>
          <w:lang w:val="en-US"/>
        </w:rPr>
        <w:t>e</w:t>
      </w:r>
      <w:r w:rsidRPr="00CC1992">
        <w:rPr>
          <w:rFonts w:ascii="Arial" w:hAnsi="Arial" w:cs="Arial"/>
          <w:sz w:val="24"/>
          <w:szCs w:val="24"/>
          <w:lang w:val="en-US"/>
        </w:rPr>
        <w:t xml:space="preserve">s, as osteoarthritis was positively and </w:t>
      </w:r>
      <w:r w:rsidR="00457330" w:rsidRPr="00CC1992">
        <w:rPr>
          <w:rFonts w:ascii="Arial" w:hAnsi="Arial" w:cs="Arial"/>
          <w:sz w:val="24"/>
          <w:szCs w:val="24"/>
          <w:lang w:val="en-US"/>
        </w:rPr>
        <w:t xml:space="preserve">significantly associated with the incidence of Parkinson’s disease in the overall population and all sex and age subgroups. </w:t>
      </w:r>
      <w:r w:rsidR="00093D8B" w:rsidRPr="00CC1992">
        <w:rPr>
          <w:rFonts w:ascii="Arial" w:hAnsi="Arial" w:cs="Arial"/>
          <w:sz w:val="24"/>
          <w:szCs w:val="24"/>
          <w:lang w:val="en-US"/>
        </w:rPr>
        <w:t xml:space="preserve">Sensitivity </w:t>
      </w:r>
      <w:r w:rsidR="00F17EB0" w:rsidRPr="00CC1992">
        <w:rPr>
          <w:rFonts w:ascii="Arial" w:hAnsi="Arial" w:cs="Arial"/>
          <w:sz w:val="24"/>
          <w:szCs w:val="24"/>
          <w:lang w:val="en-US"/>
        </w:rPr>
        <w:t xml:space="preserve">analyses </w:t>
      </w:r>
      <w:r w:rsidR="00093D8B" w:rsidRPr="00CC1992">
        <w:rPr>
          <w:rFonts w:ascii="Arial" w:hAnsi="Arial" w:cs="Arial"/>
          <w:sz w:val="24"/>
          <w:szCs w:val="24"/>
          <w:lang w:val="en-US"/>
        </w:rPr>
        <w:t xml:space="preserve">also </w:t>
      </w:r>
      <w:r w:rsidR="00F17EB0" w:rsidRPr="00CC1992">
        <w:rPr>
          <w:rFonts w:ascii="Arial" w:hAnsi="Arial" w:cs="Arial"/>
          <w:sz w:val="24"/>
          <w:szCs w:val="24"/>
          <w:lang w:val="en-US"/>
        </w:rPr>
        <w:t xml:space="preserve">revealed that, in terms of the type of osteoarthritis, there was a significant relationship </w:t>
      </w:r>
      <w:r w:rsidR="002079A2">
        <w:rPr>
          <w:rFonts w:ascii="Arial" w:hAnsi="Arial" w:cs="Arial"/>
          <w:sz w:val="24"/>
          <w:szCs w:val="24"/>
          <w:lang w:val="en-US"/>
        </w:rPr>
        <w:t>of</w:t>
      </w:r>
      <w:r w:rsidR="00F17EB0" w:rsidRPr="00CC1992">
        <w:rPr>
          <w:rFonts w:ascii="Arial" w:hAnsi="Arial" w:cs="Arial"/>
          <w:sz w:val="24"/>
          <w:szCs w:val="24"/>
          <w:lang w:val="en-US"/>
        </w:rPr>
        <w:t xml:space="preserve"> knee osteoarthritis and other and unspecified osteoarthritis with Parkinson’s disease. </w:t>
      </w:r>
      <w:r w:rsidR="004847DD" w:rsidRPr="00CC1992">
        <w:rPr>
          <w:rFonts w:ascii="Arial" w:hAnsi="Arial" w:cs="Arial"/>
          <w:sz w:val="24"/>
          <w:szCs w:val="24"/>
          <w:lang w:val="en-US"/>
        </w:rPr>
        <w:t xml:space="preserve">To the best of the authors’ knowledge, this is one of the first studies </w:t>
      </w:r>
      <w:r w:rsidR="00E61201">
        <w:rPr>
          <w:rFonts w:ascii="Arial" w:hAnsi="Arial" w:cs="Arial"/>
          <w:sz w:val="24"/>
          <w:szCs w:val="24"/>
          <w:lang w:val="en-US"/>
        </w:rPr>
        <w:t xml:space="preserve">on </w:t>
      </w:r>
      <w:r w:rsidR="004847DD" w:rsidRPr="00CC1992">
        <w:rPr>
          <w:rFonts w:ascii="Arial" w:hAnsi="Arial" w:cs="Arial"/>
          <w:sz w:val="24"/>
          <w:szCs w:val="24"/>
          <w:lang w:val="en-US"/>
        </w:rPr>
        <w:t>the potential association between osteoarthritis and Parkinson’s disease, while it is the study with the largest sample size</w:t>
      </w:r>
      <w:r w:rsidR="00C07BD9">
        <w:rPr>
          <w:rFonts w:ascii="Arial" w:hAnsi="Arial" w:cs="Arial"/>
          <w:sz w:val="24"/>
          <w:szCs w:val="24"/>
          <w:lang w:val="en-US"/>
        </w:rPr>
        <w:t xml:space="preserve"> to date</w:t>
      </w:r>
      <w:r w:rsidR="004847DD" w:rsidRPr="00CC1992">
        <w:rPr>
          <w:rFonts w:ascii="Arial" w:hAnsi="Arial" w:cs="Arial"/>
          <w:sz w:val="24"/>
          <w:szCs w:val="24"/>
          <w:lang w:val="en-US"/>
        </w:rPr>
        <w:t>.</w:t>
      </w:r>
    </w:p>
    <w:p w14:paraId="1FD9195B" w14:textId="77777777" w:rsidR="004847DD" w:rsidRPr="00CC1992" w:rsidRDefault="004847DD" w:rsidP="0000721D">
      <w:pPr>
        <w:spacing w:line="480" w:lineRule="auto"/>
        <w:jc w:val="both"/>
        <w:rPr>
          <w:rFonts w:ascii="Arial" w:hAnsi="Arial" w:cs="Arial"/>
          <w:sz w:val="24"/>
          <w:szCs w:val="24"/>
          <w:lang w:val="en-US"/>
        </w:rPr>
      </w:pPr>
    </w:p>
    <w:p w14:paraId="20CFFA1E" w14:textId="67ED6335" w:rsidR="00085A87" w:rsidRPr="00CC1992" w:rsidRDefault="004847DD" w:rsidP="00A37A26">
      <w:pPr>
        <w:pStyle w:val="Heading2"/>
      </w:pPr>
      <w:r w:rsidRPr="00CC1992">
        <w:t xml:space="preserve">Interpretation of the findings </w:t>
      </w:r>
    </w:p>
    <w:p w14:paraId="1903D953" w14:textId="03084FDD" w:rsidR="004847DD" w:rsidRPr="00CC1992" w:rsidRDefault="00C64570" w:rsidP="0000721D">
      <w:pPr>
        <w:spacing w:line="480" w:lineRule="auto"/>
        <w:jc w:val="both"/>
        <w:rPr>
          <w:rFonts w:ascii="Arial" w:hAnsi="Arial" w:cs="Arial"/>
          <w:sz w:val="24"/>
          <w:szCs w:val="24"/>
          <w:lang w:val="en-US"/>
        </w:rPr>
      </w:pPr>
      <w:r w:rsidRPr="00CC1992">
        <w:rPr>
          <w:rFonts w:ascii="Arial" w:hAnsi="Arial" w:cs="Arial"/>
          <w:sz w:val="24"/>
          <w:szCs w:val="24"/>
          <w:lang w:val="en-US"/>
        </w:rPr>
        <w:t xml:space="preserve">This UK study revealed that osteoarthritis was associated with a significant increase in the incidence of Parkinson’s disease within the 10 years following the initial diagnosis of osteoarthritis. </w:t>
      </w:r>
      <w:r w:rsidR="00B54C54" w:rsidRPr="00CC1992">
        <w:rPr>
          <w:rFonts w:ascii="Arial" w:hAnsi="Arial" w:cs="Arial"/>
          <w:sz w:val="24"/>
          <w:szCs w:val="24"/>
          <w:lang w:val="en-US"/>
        </w:rPr>
        <w:t xml:space="preserve">This finding is in line with previous research reporting a positive </w:t>
      </w:r>
      <w:r w:rsidR="00B72EBE" w:rsidRPr="00CC1992">
        <w:rPr>
          <w:rFonts w:ascii="Arial" w:hAnsi="Arial" w:cs="Arial"/>
          <w:sz w:val="24"/>
          <w:szCs w:val="24"/>
          <w:lang w:val="en-US"/>
        </w:rPr>
        <w:t xml:space="preserve">osteoarthritis-Parkinson’s disease relationship in Taiwan, although the HR of the </w:t>
      </w:r>
      <w:r w:rsidR="00B72EBE" w:rsidRPr="00CC1992">
        <w:rPr>
          <w:rFonts w:ascii="Arial" w:hAnsi="Arial" w:cs="Arial"/>
          <w:sz w:val="24"/>
          <w:szCs w:val="24"/>
          <w:lang w:val="en-US"/>
        </w:rPr>
        <w:lastRenderedPageBreak/>
        <w:t>association was slightly higher in this study than in the previous study (1.82 versus 1.41)</w:t>
      </w:r>
      <w:r w:rsidR="00150789" w:rsidRPr="00CC1992">
        <w:rPr>
          <w:rFonts w:ascii="Arial" w:hAnsi="Arial" w:cs="Arial"/>
          <w:sz w:val="24"/>
          <w:szCs w:val="24"/>
          <w:lang w:val="en-US"/>
        </w:rPr>
        <w:t xml:space="preserve"> </w:t>
      </w:r>
      <w:r w:rsidR="00150789"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ChvSPpVr","properties":{"formattedCitation":"[11]","plainCitation":"[11]","noteIndex":0},"citationItems":[{"id":21334,"uris":["http://zotero.org/users/local/hhPVnw6l/items/38NU5PQH"],"uri":["http://zotero.org/users/local/hhPVnw6l/items/38NU5PQH"],"itemData":{"id":21334,"type":"article-journal","abstract":"OBJECTIVES: To investigate whether patients with osteoarthritis (OA) are at a higher risk of developing Parkinson's disease (PD).\nMETHODS: This retrospective cohort study was conducted using Taiwan's Longitudinal Health Insurance Database 2005. We enrolled 33,360 patients who were 50-64 years old and had OA in 2002-2005 to form the OA group. The comparison group consisted of 33,360 age- and sex-matched, randomly sampled subjects without OA. Then, their PD-free survival curves were generated using the Kaplan-Meier method. Multivariable Cox proportional-hazard regression analysis was employed to estimate the effect of having OA on patients' subsequent risk of PD.\nRESULTS: Of the two groups, the OA group had a significantly higher risk of developing PD (adjusted hazard ratio [aHR]=1.41, 95% CI, 1.16-1.70, p=0.0003). The PD-free survival rate of the OA group was also significantly lower than that of the comparison group (p=0.0004). The subgroup analysis showed that patients with knee or hip OA appeared to have a higher magnitude of PD risk (aHR 1.55, 95% CI, 1.14-2.11) than patients with non-knee and non-hip OA (aHR 1.42, 95% CI, 1.06-1.89) or with uncategorized OA (aHR 1.32, 95% CI,1.05-1.64).\nCONCLUSIONS: Our findings suggest that OA is linked to an increased risk of developing PD.","container-title":"Arthritis Care &amp; Research","DOI":"10.1002/acr.24708","ISSN":"2151-4658","journalAbbreviation":"Arthritis Care Res (Hoboken)","language":"eng","note":"PMID: 34105302","source":"PubMed","title":"Osteoarthritis is associated with an increased risk of Parkinson's disease: A population-based, longitudinal follow-up study","title-short":"Osteoarthritis is associated with an increased risk of Parkinson's disease","author":[{"family":"Feng","given":"Shih-Hao"},{"family":"Chuang","given":"Hung-Jui"},{"family":"Yeh","given":"Kuo-Cheng"},{"family":"Pan","given":"Shin-Liang"}],"issued":{"date-parts":[["2021",6,8]]}}}],"schema":"https://github.com/citation-style-language/schema/raw/master/csl-citation.json"} </w:instrText>
      </w:r>
      <w:r w:rsidR="00150789" w:rsidRPr="00CC1992">
        <w:rPr>
          <w:rFonts w:ascii="Arial" w:hAnsi="Arial" w:cs="Arial"/>
          <w:sz w:val="24"/>
          <w:szCs w:val="24"/>
          <w:lang w:val="en-US"/>
        </w:rPr>
        <w:fldChar w:fldCharType="separate"/>
      </w:r>
      <w:r w:rsidR="00F67324">
        <w:rPr>
          <w:rFonts w:ascii="Arial" w:hAnsi="Arial" w:cs="Arial"/>
          <w:noProof/>
          <w:sz w:val="24"/>
          <w:szCs w:val="24"/>
          <w:lang w:val="en-US"/>
        </w:rPr>
        <w:t>[11]</w:t>
      </w:r>
      <w:r w:rsidR="00150789" w:rsidRPr="00CC1992">
        <w:rPr>
          <w:rFonts w:ascii="Arial" w:hAnsi="Arial" w:cs="Arial"/>
          <w:sz w:val="24"/>
          <w:szCs w:val="24"/>
          <w:lang w:val="en-US"/>
        </w:rPr>
        <w:fldChar w:fldCharType="end"/>
      </w:r>
      <w:r w:rsidR="00B72EBE" w:rsidRPr="00CC1992">
        <w:rPr>
          <w:rFonts w:ascii="Arial" w:hAnsi="Arial" w:cs="Arial"/>
          <w:sz w:val="24"/>
          <w:szCs w:val="24"/>
          <w:lang w:val="en-US"/>
        </w:rPr>
        <w:t>.</w:t>
      </w:r>
      <w:r w:rsidR="00384B41" w:rsidRPr="00CC1992">
        <w:rPr>
          <w:rFonts w:ascii="Arial" w:hAnsi="Arial" w:cs="Arial"/>
          <w:sz w:val="24"/>
          <w:szCs w:val="24"/>
          <w:lang w:val="en-US"/>
        </w:rPr>
        <w:t xml:space="preserve"> The difference in the strength of the association between osteoarthritis and Parkinson’s disease between these two studies may</w:t>
      </w:r>
      <w:r w:rsidR="009A513E" w:rsidRPr="00CC1992">
        <w:rPr>
          <w:rFonts w:ascii="Arial" w:hAnsi="Arial" w:cs="Arial"/>
          <w:sz w:val="24"/>
          <w:szCs w:val="24"/>
          <w:lang w:val="en-US"/>
        </w:rPr>
        <w:t xml:space="preserve"> </w:t>
      </w:r>
      <w:r w:rsidR="00384B41" w:rsidRPr="00CC1992">
        <w:rPr>
          <w:rFonts w:ascii="Arial" w:hAnsi="Arial" w:cs="Arial"/>
          <w:sz w:val="24"/>
          <w:szCs w:val="24"/>
          <w:lang w:val="en-US"/>
        </w:rPr>
        <w:t xml:space="preserve">be explained by substantial differences in the epidemiology of osteoarthritis between the United Kingdom and Taiwan. </w:t>
      </w:r>
      <w:r w:rsidR="009577F7">
        <w:rPr>
          <w:rFonts w:ascii="Arial" w:hAnsi="Arial" w:cs="Arial"/>
          <w:sz w:val="24"/>
          <w:szCs w:val="24"/>
          <w:lang w:val="en-US"/>
        </w:rPr>
        <w:t>Indeed</w:t>
      </w:r>
      <w:r w:rsidR="00384B41" w:rsidRPr="00CC1992">
        <w:rPr>
          <w:rFonts w:ascii="Arial" w:hAnsi="Arial" w:cs="Arial"/>
          <w:sz w:val="24"/>
          <w:szCs w:val="24"/>
          <w:lang w:val="en-US"/>
        </w:rPr>
        <w:t xml:space="preserve">, </w:t>
      </w:r>
      <w:r w:rsidR="003D3D91" w:rsidRPr="00CC1992">
        <w:rPr>
          <w:rFonts w:ascii="Arial" w:hAnsi="Arial" w:cs="Arial"/>
          <w:sz w:val="24"/>
          <w:szCs w:val="24"/>
          <w:lang w:val="en-US"/>
        </w:rPr>
        <w:t>in a systematic analysis of the Global Burden of Disease Study 2017, age-standardized years lived with disability rates of osteoarthritis were</w:t>
      </w:r>
      <w:r w:rsidR="00C6067E" w:rsidRPr="00CC1992">
        <w:rPr>
          <w:rFonts w:ascii="Arial" w:hAnsi="Arial" w:cs="Arial"/>
          <w:sz w:val="24"/>
          <w:szCs w:val="24"/>
          <w:lang w:val="en-US"/>
        </w:rPr>
        <w:t xml:space="preserve"> approximatively twice as </w:t>
      </w:r>
      <w:r w:rsidR="00E2083B">
        <w:rPr>
          <w:rFonts w:ascii="Arial" w:hAnsi="Arial" w:cs="Arial"/>
          <w:sz w:val="24"/>
          <w:szCs w:val="24"/>
          <w:lang w:val="en-US"/>
        </w:rPr>
        <w:t xml:space="preserve">high </w:t>
      </w:r>
      <w:r w:rsidR="00C6067E" w:rsidRPr="00CC1992">
        <w:rPr>
          <w:rFonts w:ascii="Arial" w:hAnsi="Arial" w:cs="Arial"/>
          <w:sz w:val="24"/>
          <w:szCs w:val="24"/>
          <w:lang w:val="en-US"/>
        </w:rPr>
        <w:t>in the United Kingdom than in Taiwan</w:t>
      </w:r>
      <w:r w:rsidR="00E2083B">
        <w:rPr>
          <w:rFonts w:ascii="Arial" w:hAnsi="Arial" w:cs="Arial"/>
          <w:sz w:val="24"/>
          <w:szCs w:val="24"/>
          <w:lang w:val="en-US"/>
        </w:rPr>
        <w:t xml:space="preserve"> </w:t>
      </w:r>
      <w:r w:rsidR="00EB796F"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pFw7Y4Jk","properties":{"formattedCitation":"[25]","plainCitation":"[25]","noteIndex":0},"citationItems":[{"id":20021,"uris":["http://zotero.org/users/local/hhPVnw6l/items/TN5TS4LL"],"uri":["http://zotero.org/users/local/hhPVnw6l/items/TN5TS4LL"],"itemData":{"id":20021,"type":"article-journal","abstract":"OBJECTIVES: To report the level and trends of prevalence, incidence and years lived with disability (YLDs) for osteoarthritis (OA) in 195 countries and territories from 1990 to 2017 by age, sex and Socio-demographic index (SDI; a composite of sociodemographic factors).\nMETHODS: Publicly available modelled data from the Global Burden of Diseases, Injuries, and Risk Factors Study (GBD) 2017 were used. The burden of OA was estimated for 195 countries and territories from 1990 to 2017, through a systematic analysis of prevalence and incidence modelled data using the methods reported in the GBD 2017 Study. All estimates were presented as counts and age-standardised rates per 100 000 population, with uncertainty intervals (UIs).\nRESULTS: Globally, the age-standardised point prevalence and annual incidence rate of OA in 2017 were 3754.2 (95% UI 3389.4 to 4187.6) and 181.2 (95% UI 162.6 to 202.4) per 100 000, an increase of 9.3% (95% UI 8% to 10.7%) and 8.2% (95% UI 7.1% to 9.4%) from 1990, respectively. In addition, global age-standardised YLD rate in 2017 was 118.8 (95% UI 59.5 to 236.2), an increase of 9.6% (95% UI 8.3% to 11.1%) from 1990. The global prevalence was higher in women and increased with age, peaking at the &gt;95 age group among women and men in 2017. Generally, a positive association was found between the age-standardised YLD rate and SDI at the regional and national levels. Age-standardised prevalence of OA in 2017 ranged from 2090.3 to 6128.1 cases per 100 000 population. United States (6128.1 (95% UI 5729.3 to 6582.9)), American Samoa (5281 (95% UI 4688 to 5965.9)) and Kuwait (5234.6 (95% UI 4643.2 to 5953.6)) had the three highest levels of age-standardised prevalence. Oman (29.6% (95% UI 24.8% to 34.9%)), Equatorial Guinea (28.6% (95% UI 24.4% to 33.7%)) and the United States 23.2% (95% UI 16.4% to 30.5%)) showed the highest increase in the age-standardised prevalence during 1990-2017.\nCONCLUSIONS: OA is a major public health challenge. While there is remarkable international variation in the prevalence, incidence and YLDs due to OA, the burden is increasing in most countries. It is expected to continue with increased life expectancy and ageing of the global population. Improving population and policy maker awareness of risk factors, including overweight and injury, and the importance and benefits of management of OA, together with providing health services for an increasing number of people living with OA, are recommended for management of the future burden of this condition.","container-title":"Annals of the Rheumatic Diseases","DOI":"10.1136/annrheumdis-2019-216515","ISSN":"1468-2060","issue":"6","journalAbbreviation":"Ann Rheum Dis","language":"eng","note":"PMID: 32398285","page":"819-828","source":"PubMed","title":"Global, regional and national burden of osteoarthritis 1990-2017: a systematic analysis of the Global Burden of Disease Study 2017","title-short":"Global, regional and national burden of osteoarthritis 1990-2017","volume":"79","author":[{"family":"Safiri","given":"Saeid"},{"family":"Kolahi","given":"Ali-Asghar"},{"family":"Smith","given":"Emma"},{"family":"Hill","given":"Catherine"},{"family":"Bettampadi","given":"Deepti"},{"family":"Mansournia","given":"Mohammad Ali"},{"family":"Hoy","given":"Damian"},{"family":"Ashrafi-Asgarabad","given":"Ahad"},{"family":"Sepidarkish","given":"Mahdi"},{"family":"Almasi-Hashiani","given":"Amir"},{"family":"Collins","given":"Gary"},{"family":"Kaufman","given":"Jay"},{"family":"Qorbani","given":"Mostafa"},{"family":"Moradi-Lakeh","given":"Maziar"},{"family":"Woolf","given":"Anthony D."},{"family":"Guillemin","given":"Francis"},{"family":"March","given":"Lyn"},{"family":"Cross","given":"Marita"}],"issued":{"date-parts":[["2020",6]]}}}],"schema":"https://github.com/citation-style-language/schema/raw/master/csl-citation.json"} </w:instrText>
      </w:r>
      <w:r w:rsidR="00EB796F" w:rsidRPr="00CC1992">
        <w:rPr>
          <w:rFonts w:ascii="Arial" w:hAnsi="Arial" w:cs="Arial"/>
          <w:sz w:val="24"/>
          <w:szCs w:val="24"/>
          <w:lang w:val="en-US"/>
        </w:rPr>
        <w:fldChar w:fldCharType="separate"/>
      </w:r>
      <w:r w:rsidR="00F67324">
        <w:rPr>
          <w:rFonts w:ascii="Arial" w:hAnsi="Arial" w:cs="Arial"/>
          <w:noProof/>
          <w:sz w:val="24"/>
          <w:szCs w:val="24"/>
          <w:lang w:val="en-US"/>
        </w:rPr>
        <w:t>[25]</w:t>
      </w:r>
      <w:r w:rsidR="00EB796F" w:rsidRPr="00CC1992">
        <w:rPr>
          <w:rFonts w:ascii="Arial" w:hAnsi="Arial" w:cs="Arial"/>
          <w:sz w:val="24"/>
          <w:szCs w:val="24"/>
          <w:lang w:val="en-US"/>
        </w:rPr>
        <w:fldChar w:fldCharType="end"/>
      </w:r>
      <w:r w:rsidR="00C6067E" w:rsidRPr="00CC1992">
        <w:rPr>
          <w:rFonts w:ascii="Arial" w:hAnsi="Arial" w:cs="Arial"/>
          <w:sz w:val="24"/>
          <w:szCs w:val="24"/>
          <w:lang w:val="en-US"/>
        </w:rPr>
        <w:t>.</w:t>
      </w:r>
      <w:r w:rsidR="00FB7782" w:rsidRPr="00CC1992">
        <w:rPr>
          <w:rFonts w:ascii="Arial" w:hAnsi="Arial" w:cs="Arial"/>
          <w:sz w:val="24"/>
          <w:szCs w:val="24"/>
          <w:lang w:val="en-US"/>
        </w:rPr>
        <w:t xml:space="preserve"> In this context, the deleterious effects of osteoarthritis on Parkinson’s disease may be stronger in the United Kingdom than in Taiwan.</w:t>
      </w:r>
      <w:r w:rsidR="006509C0" w:rsidRPr="00CC1992">
        <w:rPr>
          <w:rFonts w:ascii="Arial" w:hAnsi="Arial" w:cs="Arial"/>
          <w:sz w:val="24"/>
          <w:szCs w:val="24"/>
          <w:lang w:val="en-US"/>
        </w:rPr>
        <w:t xml:space="preserve"> Another interesting finding of this study was that knee osteoarthritis and other and unspecified osteoarthritis, but not </w:t>
      </w:r>
      <w:proofErr w:type="spellStart"/>
      <w:r w:rsidR="006509C0" w:rsidRPr="00CC1992">
        <w:rPr>
          <w:rFonts w:ascii="Arial" w:hAnsi="Arial" w:cs="Arial"/>
          <w:sz w:val="24"/>
          <w:szCs w:val="24"/>
          <w:lang w:val="en-US"/>
        </w:rPr>
        <w:t>polyosteoarthritis</w:t>
      </w:r>
      <w:proofErr w:type="spellEnd"/>
      <w:r w:rsidR="006509C0" w:rsidRPr="00CC1992">
        <w:rPr>
          <w:rFonts w:ascii="Arial" w:hAnsi="Arial" w:cs="Arial"/>
          <w:sz w:val="24"/>
          <w:szCs w:val="24"/>
          <w:lang w:val="en-US"/>
        </w:rPr>
        <w:t xml:space="preserve"> and hip osteoarthritis, were associated with a significant increase in the risk of Parkinson’s disease. Given that all HRs were </w:t>
      </w:r>
      <w:proofErr w:type="gramStart"/>
      <w:r w:rsidR="006509C0" w:rsidRPr="00CC1992">
        <w:rPr>
          <w:rFonts w:ascii="Arial" w:hAnsi="Arial" w:cs="Arial"/>
          <w:sz w:val="24"/>
          <w:szCs w:val="24"/>
          <w:lang w:val="en-US"/>
        </w:rPr>
        <w:t>positive</w:t>
      </w:r>
      <w:proofErr w:type="gramEnd"/>
      <w:r w:rsidR="006509C0" w:rsidRPr="00CC1992">
        <w:rPr>
          <w:rFonts w:ascii="Arial" w:hAnsi="Arial" w:cs="Arial"/>
          <w:sz w:val="24"/>
          <w:szCs w:val="24"/>
          <w:lang w:val="en-US"/>
        </w:rPr>
        <w:t xml:space="preserve"> and that 95% CIs were relatively large, it is possible that these sensitivity analyses lacked statistical power, and more data are therefore warranted to better characterize these potential differential associations.</w:t>
      </w:r>
    </w:p>
    <w:p w14:paraId="56728342" w14:textId="02226D65" w:rsidR="006509C0" w:rsidRPr="00CC1992" w:rsidRDefault="006509C0" w:rsidP="0000721D">
      <w:pPr>
        <w:spacing w:line="480" w:lineRule="auto"/>
        <w:jc w:val="both"/>
        <w:rPr>
          <w:rFonts w:ascii="Arial" w:hAnsi="Arial" w:cs="Arial"/>
          <w:sz w:val="24"/>
          <w:szCs w:val="24"/>
          <w:lang w:val="en-US"/>
        </w:rPr>
      </w:pPr>
    </w:p>
    <w:p w14:paraId="5F0DDA40" w14:textId="69B5A89F" w:rsidR="00DF32A1" w:rsidRPr="00CC1992" w:rsidRDefault="006509C0" w:rsidP="00217E81">
      <w:pPr>
        <w:spacing w:line="480" w:lineRule="auto"/>
        <w:jc w:val="both"/>
        <w:rPr>
          <w:rFonts w:ascii="Arial" w:hAnsi="Arial" w:cs="Arial"/>
          <w:sz w:val="24"/>
          <w:szCs w:val="24"/>
          <w:lang w:val="en-US"/>
        </w:rPr>
      </w:pPr>
      <w:r w:rsidRPr="00CC1992">
        <w:rPr>
          <w:rFonts w:ascii="Arial" w:hAnsi="Arial" w:cs="Arial"/>
          <w:sz w:val="24"/>
          <w:szCs w:val="24"/>
          <w:lang w:val="en-US"/>
        </w:rPr>
        <w:t xml:space="preserve">The association between osteoarthritis and Parkinson’s disease may involve common risk factors as well as several mediating factors. </w:t>
      </w:r>
      <w:r w:rsidR="00B94F29" w:rsidRPr="00CC1992">
        <w:rPr>
          <w:rFonts w:ascii="Arial" w:hAnsi="Arial" w:cs="Arial"/>
          <w:sz w:val="24"/>
          <w:szCs w:val="24"/>
          <w:lang w:val="en-US"/>
        </w:rPr>
        <w:t xml:space="preserve">One risk factor likely playing a significant role in the </w:t>
      </w:r>
      <w:r w:rsidR="002664B8" w:rsidRPr="00CC1992">
        <w:rPr>
          <w:rFonts w:ascii="Arial" w:hAnsi="Arial" w:cs="Arial"/>
          <w:sz w:val="24"/>
          <w:szCs w:val="24"/>
          <w:lang w:val="en-US"/>
        </w:rPr>
        <w:t>etiopathogenesis of both osteoarthritis and Parkinson’s disease is inflammation.</w:t>
      </w:r>
      <w:r w:rsidR="0056293C" w:rsidRPr="00CC1992">
        <w:rPr>
          <w:rFonts w:ascii="Arial" w:hAnsi="Arial" w:cs="Arial"/>
          <w:sz w:val="24"/>
          <w:szCs w:val="24"/>
          <w:lang w:val="en-US"/>
        </w:rPr>
        <w:t xml:space="preserve"> Inflammat</w:t>
      </w:r>
      <w:r w:rsidR="009B5BA9" w:rsidRPr="00CC1992">
        <w:rPr>
          <w:rFonts w:ascii="Arial" w:hAnsi="Arial" w:cs="Arial"/>
          <w:sz w:val="24"/>
          <w:szCs w:val="24"/>
          <w:lang w:val="en-US"/>
        </w:rPr>
        <w:t xml:space="preserve">ory </w:t>
      </w:r>
      <w:r w:rsidR="00D276A3" w:rsidRPr="00CC1992">
        <w:rPr>
          <w:rFonts w:ascii="Arial" w:hAnsi="Arial" w:cs="Arial"/>
          <w:sz w:val="24"/>
          <w:szCs w:val="24"/>
          <w:lang w:val="en-US"/>
        </w:rPr>
        <w:t>pathways in osteoarthritis are multiple, and the</w:t>
      </w:r>
      <w:r w:rsidR="00BD5E91" w:rsidRPr="00CC1992">
        <w:rPr>
          <w:rFonts w:ascii="Arial" w:hAnsi="Arial" w:cs="Arial"/>
          <w:sz w:val="24"/>
          <w:szCs w:val="24"/>
          <w:lang w:val="en-US"/>
        </w:rPr>
        <w:t>se</w:t>
      </w:r>
      <w:r w:rsidR="00D276A3" w:rsidRPr="00CC1992">
        <w:rPr>
          <w:rFonts w:ascii="Arial" w:hAnsi="Arial" w:cs="Arial"/>
          <w:sz w:val="24"/>
          <w:szCs w:val="24"/>
          <w:lang w:val="en-US"/>
        </w:rPr>
        <w:t xml:space="preserve"> pathways include </w:t>
      </w:r>
      <w:r w:rsidR="000C6F24" w:rsidRPr="00CC1992">
        <w:rPr>
          <w:rFonts w:ascii="Arial" w:hAnsi="Arial" w:cs="Arial"/>
          <w:sz w:val="24"/>
          <w:szCs w:val="24"/>
          <w:lang w:val="en-US"/>
        </w:rPr>
        <w:t xml:space="preserve">the </w:t>
      </w:r>
      <w:r w:rsidR="00C5708F" w:rsidRPr="00CC1992">
        <w:rPr>
          <w:rFonts w:ascii="Arial" w:hAnsi="Arial" w:cs="Arial"/>
          <w:sz w:val="24"/>
          <w:szCs w:val="24"/>
          <w:lang w:val="en-US"/>
        </w:rPr>
        <w:t xml:space="preserve">modulation of pain responses, </w:t>
      </w:r>
      <w:r w:rsidR="000C6F24" w:rsidRPr="00CC1992">
        <w:rPr>
          <w:rFonts w:ascii="Arial" w:hAnsi="Arial" w:cs="Arial"/>
          <w:sz w:val="24"/>
          <w:szCs w:val="24"/>
          <w:lang w:val="en-US"/>
        </w:rPr>
        <w:t xml:space="preserve">the </w:t>
      </w:r>
      <w:r w:rsidR="00BD5E91" w:rsidRPr="00CC1992">
        <w:rPr>
          <w:rFonts w:ascii="Arial" w:hAnsi="Arial" w:cs="Arial"/>
          <w:sz w:val="24"/>
          <w:szCs w:val="24"/>
          <w:lang w:val="en-US"/>
        </w:rPr>
        <w:t xml:space="preserve">development </w:t>
      </w:r>
      <w:r w:rsidR="000C6F24" w:rsidRPr="00CC1992">
        <w:rPr>
          <w:rFonts w:ascii="Arial" w:hAnsi="Arial" w:cs="Arial"/>
          <w:sz w:val="24"/>
          <w:szCs w:val="24"/>
          <w:lang w:val="en-US"/>
        </w:rPr>
        <w:t>of a local and low-grade inflammation of the synovi</w:t>
      </w:r>
      <w:r w:rsidR="00DA4468" w:rsidRPr="00CC1992">
        <w:rPr>
          <w:rFonts w:ascii="Arial" w:hAnsi="Arial" w:cs="Arial"/>
          <w:sz w:val="24"/>
          <w:szCs w:val="24"/>
          <w:lang w:val="en-US"/>
        </w:rPr>
        <w:t xml:space="preserve">al tissue, and </w:t>
      </w:r>
      <w:r w:rsidR="000A5954" w:rsidRPr="00CC1992">
        <w:rPr>
          <w:rFonts w:ascii="Arial" w:hAnsi="Arial" w:cs="Arial"/>
          <w:sz w:val="24"/>
          <w:szCs w:val="24"/>
          <w:lang w:val="en-US"/>
        </w:rPr>
        <w:t>the regulation of the catabolic response of chondrocytes</w:t>
      </w:r>
      <w:r w:rsidR="00D322FA" w:rsidRPr="00CC1992">
        <w:rPr>
          <w:rFonts w:ascii="Arial" w:hAnsi="Arial" w:cs="Arial"/>
          <w:sz w:val="24"/>
          <w:szCs w:val="24"/>
          <w:lang w:val="en-US"/>
        </w:rPr>
        <w:t xml:space="preserve"> </w:t>
      </w:r>
      <w:r w:rsidR="00D322FA"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Lk23zbD5","properties":{"formattedCitation":"[14]","plainCitation":"[14]","noteIndex":0},"citationItems":[{"id":21336,"uris":["http://zotero.org/users/local/hhPVnw6l/items/CUS7SVXB"],"uri":["http://zotero.org/users/local/hhPVnw6l/items/CUS7SVXB"],"itemData":{"id":21336,"type":"article-journal","abstract":"PURPOSE OF REVIEW: Inflammatory changes in joint tissues can be detected by modern imaging techniques in osteoarthritis patients, but may be clinically subtle compared with many other types of arthritis. These changes associate with disease progression and clinical severity, and many inflammatory mediators may have biomarker utility. Moreover, a number of inflammatory mechanisms play a role in animal models of disease, but it is still not clear which mechanisms predominate and might be therapeutically manipulated most effectively. This review highlights specific examples of recent advances published in the past 18 months that have advanced this field.\nRECENT FINDINGS: Clinical investigators now show that synovial inflammation is associated with pain sensitization, and similar to knee osteoarthritis, is a common and important feature of hand osteoarthritis. In addition, recent advances in basic studies demonstrate inflammatory markers and mechanisms related to leukocyte activity, innate immune mechanisms, and the chondrocyte-intrinsic inflammatory response that might provide better opportunities for early detection, prognosis, or therapeutic intervention.\nSUMMARY: Inflammation plays a central role in osteoarthritis pathogenesis, but additional translational work in this field is necessary, as are more clinical trials of anti-inflammatory approaches.","container-title":"Current Opinion in Rheumatology","DOI":"10.1097/BOR.0000000000000353","ISSN":"1531-6963","issue":"1","journalAbbreviation":"Curr Opin Rheumatol","language":"eng","note":"PMID: 27755180\nPMCID: PMC5565735","page":"79-85","source":"PubMed","title":"Role of low-grade inflammation in osteoarthritis","volume":"29","author":[{"family":"Scanzello","given":"Carla R."}],"issued":{"date-parts":[["2017",1]]}}}],"schema":"https://github.com/citation-style-language/schema/raw/master/csl-citation.json"} </w:instrText>
      </w:r>
      <w:r w:rsidR="00D322FA" w:rsidRPr="00CC1992">
        <w:rPr>
          <w:rFonts w:ascii="Arial" w:hAnsi="Arial" w:cs="Arial"/>
          <w:sz w:val="24"/>
          <w:szCs w:val="24"/>
          <w:lang w:val="en-US"/>
        </w:rPr>
        <w:fldChar w:fldCharType="separate"/>
      </w:r>
      <w:r w:rsidR="00F67324">
        <w:rPr>
          <w:rFonts w:ascii="Arial" w:hAnsi="Arial" w:cs="Arial"/>
          <w:noProof/>
          <w:sz w:val="24"/>
          <w:szCs w:val="24"/>
          <w:lang w:val="en-US"/>
        </w:rPr>
        <w:t>[14]</w:t>
      </w:r>
      <w:r w:rsidR="00D322FA" w:rsidRPr="00CC1992">
        <w:rPr>
          <w:rFonts w:ascii="Arial" w:hAnsi="Arial" w:cs="Arial"/>
          <w:sz w:val="24"/>
          <w:szCs w:val="24"/>
          <w:lang w:val="en-US"/>
        </w:rPr>
        <w:fldChar w:fldCharType="end"/>
      </w:r>
      <w:r w:rsidR="000A5954" w:rsidRPr="00CC1992">
        <w:rPr>
          <w:rFonts w:ascii="Arial" w:hAnsi="Arial" w:cs="Arial"/>
          <w:sz w:val="24"/>
          <w:szCs w:val="24"/>
          <w:lang w:val="en-US"/>
        </w:rPr>
        <w:t>.</w:t>
      </w:r>
      <w:r w:rsidR="007847A4" w:rsidRPr="00CC1992">
        <w:rPr>
          <w:rFonts w:ascii="Arial" w:hAnsi="Arial" w:cs="Arial"/>
          <w:sz w:val="24"/>
          <w:szCs w:val="24"/>
          <w:lang w:val="en-US"/>
        </w:rPr>
        <w:t xml:space="preserve"> In Parkinson’s disease, inflammation </w:t>
      </w:r>
      <w:r w:rsidR="001B43EF" w:rsidRPr="00CC1992">
        <w:rPr>
          <w:rFonts w:ascii="Arial" w:hAnsi="Arial" w:cs="Arial"/>
          <w:sz w:val="24"/>
          <w:szCs w:val="24"/>
          <w:lang w:val="en-US"/>
        </w:rPr>
        <w:t xml:space="preserve">is characterized by several cellular and molecular </w:t>
      </w:r>
      <w:r w:rsidR="00D6758A" w:rsidRPr="00CC1992">
        <w:rPr>
          <w:rFonts w:ascii="Arial" w:hAnsi="Arial" w:cs="Arial"/>
          <w:sz w:val="24"/>
          <w:szCs w:val="24"/>
          <w:lang w:val="en-US"/>
        </w:rPr>
        <w:t xml:space="preserve">phenomena such as </w:t>
      </w:r>
      <w:r w:rsidR="00711DAB" w:rsidRPr="00CC1992">
        <w:rPr>
          <w:rFonts w:ascii="Arial" w:hAnsi="Arial" w:cs="Arial"/>
          <w:sz w:val="24"/>
          <w:szCs w:val="24"/>
          <w:lang w:val="en-US"/>
        </w:rPr>
        <w:t xml:space="preserve">release of pro-inflammatory cytokines by </w:t>
      </w:r>
      <w:r w:rsidR="00BA374E" w:rsidRPr="00CC1992">
        <w:rPr>
          <w:rFonts w:ascii="Arial" w:hAnsi="Arial" w:cs="Arial"/>
          <w:sz w:val="24"/>
          <w:szCs w:val="24"/>
          <w:lang w:val="en-US"/>
        </w:rPr>
        <w:t xml:space="preserve">microglial cells, </w:t>
      </w:r>
      <w:r w:rsidR="00620197" w:rsidRPr="00CC1992">
        <w:rPr>
          <w:rFonts w:ascii="Arial" w:hAnsi="Arial" w:cs="Arial"/>
          <w:sz w:val="24"/>
          <w:szCs w:val="24"/>
          <w:lang w:val="en-US"/>
        </w:rPr>
        <w:t>increase</w:t>
      </w:r>
      <w:r w:rsidR="00F3063C" w:rsidRPr="00CC1992">
        <w:rPr>
          <w:rFonts w:ascii="Arial" w:hAnsi="Arial" w:cs="Arial"/>
          <w:sz w:val="24"/>
          <w:szCs w:val="24"/>
          <w:lang w:val="en-US"/>
        </w:rPr>
        <w:t xml:space="preserve">d expression of </w:t>
      </w:r>
      <w:r w:rsidR="00620197" w:rsidRPr="00CC1992">
        <w:rPr>
          <w:rFonts w:ascii="Arial" w:hAnsi="Arial" w:cs="Arial"/>
          <w:sz w:val="24"/>
          <w:szCs w:val="24"/>
          <w:lang w:val="en-US"/>
        </w:rPr>
        <w:t xml:space="preserve">adhesion molecules </w:t>
      </w:r>
      <w:r w:rsidR="00F3063C" w:rsidRPr="00CC1992">
        <w:rPr>
          <w:rFonts w:ascii="Arial" w:hAnsi="Arial" w:cs="Arial"/>
          <w:sz w:val="24"/>
          <w:szCs w:val="24"/>
          <w:lang w:val="en-US"/>
        </w:rPr>
        <w:t xml:space="preserve">by the endothelium and </w:t>
      </w:r>
      <w:r w:rsidR="00DE3C2B" w:rsidRPr="00CC1992">
        <w:rPr>
          <w:rFonts w:ascii="Arial" w:hAnsi="Arial" w:cs="Arial"/>
          <w:sz w:val="24"/>
          <w:szCs w:val="24"/>
          <w:lang w:val="en-US"/>
        </w:rPr>
        <w:t>recruitment of T cells into the brain</w:t>
      </w:r>
      <w:r w:rsidR="00D322FA" w:rsidRPr="00CC1992">
        <w:rPr>
          <w:rFonts w:ascii="Arial" w:hAnsi="Arial" w:cs="Arial"/>
          <w:sz w:val="24"/>
          <w:szCs w:val="24"/>
          <w:lang w:val="en-US"/>
        </w:rPr>
        <w:t xml:space="preserve"> </w:t>
      </w:r>
      <w:r w:rsidR="00D322FA"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32MS7BRU","properties":{"formattedCitation":"[15]","plainCitation":"[15]","noteIndex":0},"citationItems":[{"id":21339,"uris":["http://zotero.org/users/local/hhPVnw6l/items/X928AIPF"],"uri":["http://zotero.org/users/local/hhPVnw6l/items/X928AIPF"],"itemData":{"id":21339,"type":"article-journal","abstract":"Parkinson’s disease (PD) is a common neurodegenerative disorder primarily characterized by the death of dopaminergic neurons that project from the substantia nigra pars compacta. Although the molecular bases for PD development are still little defined, extensive evidence from human samples and animal models support the involvement of inflammation in onset or progression. However, the exact trigger for this response remains unclear. Here, we provide a systematic review of the cellular mediators, i.e., microglia, astroglia and endothelial cells. We also discuss the genetic and transcriptional control of inflammation in PD and the immunomodulatory role of dopamine and reactive oxygen species. Finally, we summarize the preclinical and clinical approaches targeting neuroinflammation in PD.","container-title":"Cells","DOI":"10.3390/cells9071687","ISSN":"2073-4409","issue":"7","journalAbbreviation":"Cells","note":"PMID: 32674367\nPMCID: PMC7408280","page":"1687","source":"PubMed Central","title":"Inflammation in Parkinson’s Disease: Mechanisms and Therapeutic Implications","title-short":"Inflammation in Parkinson’s Disease","volume":"9","author":[{"family":"Pajares","given":"Marta"},{"family":"I. Rojo","given":"Ana"},{"family":"Manda","given":"Gina"},{"family":"Boscá","given":"Lisardo"},{"family":"Cuadrado","given":"Antonio"}],"issued":{"date-parts":[["2020",7,14]]}}}],"schema":"https://github.com/citation-style-language/schema/raw/master/csl-citation.json"} </w:instrText>
      </w:r>
      <w:r w:rsidR="00D322FA" w:rsidRPr="00CC1992">
        <w:rPr>
          <w:rFonts w:ascii="Arial" w:hAnsi="Arial" w:cs="Arial"/>
          <w:sz w:val="24"/>
          <w:szCs w:val="24"/>
          <w:lang w:val="en-US"/>
        </w:rPr>
        <w:fldChar w:fldCharType="separate"/>
      </w:r>
      <w:r w:rsidR="00F67324">
        <w:rPr>
          <w:rFonts w:ascii="Arial" w:hAnsi="Arial" w:cs="Arial"/>
          <w:noProof/>
          <w:sz w:val="24"/>
          <w:szCs w:val="24"/>
          <w:lang w:val="en-US"/>
        </w:rPr>
        <w:t>[15]</w:t>
      </w:r>
      <w:r w:rsidR="00D322FA" w:rsidRPr="00CC1992">
        <w:rPr>
          <w:rFonts w:ascii="Arial" w:hAnsi="Arial" w:cs="Arial"/>
          <w:sz w:val="24"/>
          <w:szCs w:val="24"/>
          <w:lang w:val="en-US"/>
        </w:rPr>
        <w:fldChar w:fldCharType="end"/>
      </w:r>
      <w:r w:rsidR="00F3063C" w:rsidRPr="00CC1992">
        <w:rPr>
          <w:rFonts w:ascii="Arial" w:hAnsi="Arial" w:cs="Arial"/>
          <w:sz w:val="24"/>
          <w:szCs w:val="24"/>
          <w:lang w:val="en-US"/>
        </w:rPr>
        <w:t xml:space="preserve">. </w:t>
      </w:r>
      <w:r w:rsidR="005276C9" w:rsidRPr="00CC1992">
        <w:rPr>
          <w:rFonts w:ascii="Arial" w:hAnsi="Arial" w:cs="Arial"/>
          <w:sz w:val="24"/>
          <w:szCs w:val="24"/>
          <w:lang w:val="en-US"/>
        </w:rPr>
        <w:t xml:space="preserve">Another risk factor for </w:t>
      </w:r>
      <w:r w:rsidR="005276C9" w:rsidRPr="00CC1992">
        <w:rPr>
          <w:rFonts w:ascii="Arial" w:hAnsi="Arial" w:cs="Arial"/>
          <w:sz w:val="24"/>
          <w:szCs w:val="24"/>
          <w:lang w:val="en-US"/>
        </w:rPr>
        <w:lastRenderedPageBreak/>
        <w:t xml:space="preserve">osteoarthritis and Parkinson’s disease is </w:t>
      </w:r>
      <w:r w:rsidR="001D4C2E" w:rsidRPr="00CC1992">
        <w:rPr>
          <w:rFonts w:ascii="Arial" w:hAnsi="Arial" w:cs="Arial"/>
          <w:sz w:val="24"/>
          <w:szCs w:val="24"/>
          <w:lang w:val="en-US"/>
        </w:rPr>
        <w:t>vitamin</w:t>
      </w:r>
      <w:r w:rsidR="005276C9" w:rsidRPr="00CC1992">
        <w:rPr>
          <w:rFonts w:ascii="Arial" w:hAnsi="Arial" w:cs="Arial"/>
          <w:sz w:val="24"/>
          <w:szCs w:val="24"/>
          <w:lang w:val="en-US"/>
        </w:rPr>
        <w:t xml:space="preserve"> D deficiency</w:t>
      </w:r>
      <w:r w:rsidR="00DD6E4C" w:rsidRPr="00CC1992">
        <w:rPr>
          <w:rFonts w:ascii="Arial" w:hAnsi="Arial" w:cs="Arial"/>
          <w:sz w:val="24"/>
          <w:szCs w:val="24"/>
          <w:lang w:val="en-US"/>
        </w:rPr>
        <w:t xml:space="preserve">, a deficiency mainly caused by </w:t>
      </w:r>
      <w:r w:rsidR="00960EF2" w:rsidRPr="00CC1992">
        <w:rPr>
          <w:rFonts w:ascii="Arial" w:hAnsi="Arial" w:cs="Arial"/>
          <w:sz w:val="24"/>
          <w:szCs w:val="24"/>
          <w:lang w:val="en-US"/>
        </w:rPr>
        <w:t>limited</w:t>
      </w:r>
      <w:r w:rsidR="009A0EF9" w:rsidRPr="00CC1992">
        <w:rPr>
          <w:rFonts w:ascii="Arial" w:hAnsi="Arial" w:cs="Arial"/>
          <w:sz w:val="24"/>
          <w:szCs w:val="24"/>
          <w:lang w:val="en-US"/>
        </w:rPr>
        <w:t xml:space="preserve"> </w:t>
      </w:r>
      <w:r w:rsidR="00AE09A6" w:rsidRPr="00CC1992">
        <w:rPr>
          <w:rFonts w:ascii="Arial" w:hAnsi="Arial" w:cs="Arial"/>
          <w:sz w:val="24"/>
          <w:szCs w:val="24"/>
          <w:lang w:val="en-US"/>
        </w:rPr>
        <w:t xml:space="preserve">sun </w:t>
      </w:r>
      <w:r w:rsidR="009A0EF9" w:rsidRPr="00CC1992">
        <w:rPr>
          <w:rFonts w:ascii="Arial" w:hAnsi="Arial" w:cs="Arial"/>
          <w:sz w:val="24"/>
          <w:szCs w:val="24"/>
          <w:lang w:val="en-US"/>
        </w:rPr>
        <w:t xml:space="preserve">exposure </w:t>
      </w:r>
      <w:r w:rsidR="00AE09A6" w:rsidRPr="00CC1992">
        <w:rPr>
          <w:rFonts w:ascii="Arial" w:hAnsi="Arial" w:cs="Arial"/>
          <w:sz w:val="24"/>
          <w:szCs w:val="24"/>
          <w:lang w:val="en-US"/>
        </w:rPr>
        <w:t xml:space="preserve">and </w:t>
      </w:r>
      <w:r w:rsidR="00DD6E4C" w:rsidRPr="00CC1992">
        <w:rPr>
          <w:rFonts w:ascii="Arial" w:hAnsi="Arial" w:cs="Arial"/>
          <w:sz w:val="24"/>
          <w:szCs w:val="24"/>
          <w:lang w:val="en-US"/>
        </w:rPr>
        <w:t xml:space="preserve">highly prevalent </w:t>
      </w:r>
      <w:r w:rsidR="00AE09A6" w:rsidRPr="00CC1992">
        <w:rPr>
          <w:rFonts w:ascii="Arial" w:hAnsi="Arial" w:cs="Arial"/>
          <w:sz w:val="24"/>
          <w:szCs w:val="24"/>
          <w:lang w:val="en-US"/>
        </w:rPr>
        <w:t>in the world</w:t>
      </w:r>
      <w:r w:rsidR="00660C26" w:rsidRPr="00CC1992">
        <w:rPr>
          <w:rFonts w:ascii="Arial" w:hAnsi="Arial" w:cs="Arial"/>
          <w:sz w:val="24"/>
          <w:szCs w:val="24"/>
          <w:lang w:val="en-US"/>
        </w:rPr>
        <w:t xml:space="preserve"> </w:t>
      </w:r>
      <w:r w:rsidR="00660C26"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5MEyLaxE","properties":{"formattedCitation":"[29]","plainCitation":"[29]","noteIndex":0},"citationItems":[{"id":21372,"uris":["http://zotero.org/users/local/hhPVnw6l/items/FRJSCNBK"],"uri":["http://zotero.org/users/local/hhPVnw6l/items/FRJSCNBK"],"itemData":{"id":21372,"type":"article-journal","abstract":"Vitamin D deficiency is now recognized as a pandemic. The major cause of vitamin D deficiency is the lack of appreciation that sun exposure in moderation is the major source of vitamin D for most humans. Very few foods naturally contain vitamin D, and foods that are fortified with vitamin D are often inadequate to satisfy either a child's or an adult's vitamin D requirement. Vitamin D deficiency causes rickets in children and will precipitate and exacerbate osteopenia, osteoporosis, and fractures in adults. Vitamin D deficiency has been associated with increased risk of common cancers, autoimmune diseases, hypertension, and infectious diseases. A circulating level of 25-hydroxyvitamin D of &gt;75 nmol/L, or 30 ng/mL, is required to maximize vitamin D's beneficial effects for health. In the absence of adequate sun exposure, at least 800-1000 IU vitamin D3/d may be needed to achieve this in children and adults. Vitamin D2 may be equally effective for maintaining circulating concentrations of 25-hydroxyvitamin D when given in physiologic concentrations.","container-title":"The American Journal of Clinical Nutrition","DOI":"10.1093/ajcn/87.4.1080S","ISSN":"1938-3207","issue":"4","journalAbbreviation":"Am J Clin Nutr","language":"eng","note":"PMID: 18400738","page":"1080S-6S","source":"PubMed","title":"Vitamin D deficiency: a worldwide problem with health consequences","title-short":"Vitamin D deficiency","volume":"87","author":[{"family":"Holick","given":"Michael F."},{"family":"Chen","given":"Tai C."}],"issued":{"date-parts":[["2008",4]]}}}],"schema":"https://github.com/citation-style-language/schema/raw/master/csl-citation.json"} </w:instrText>
      </w:r>
      <w:r w:rsidR="00660C26" w:rsidRPr="00CC1992">
        <w:rPr>
          <w:rFonts w:ascii="Arial" w:hAnsi="Arial" w:cs="Arial"/>
          <w:sz w:val="24"/>
          <w:szCs w:val="24"/>
          <w:lang w:val="en-US"/>
        </w:rPr>
        <w:fldChar w:fldCharType="separate"/>
      </w:r>
      <w:r w:rsidR="00F67324">
        <w:rPr>
          <w:rFonts w:ascii="Arial" w:hAnsi="Arial" w:cs="Arial"/>
          <w:noProof/>
          <w:sz w:val="24"/>
          <w:szCs w:val="24"/>
          <w:lang w:val="en-US"/>
        </w:rPr>
        <w:t>[29]</w:t>
      </w:r>
      <w:r w:rsidR="00660C26" w:rsidRPr="00CC1992">
        <w:rPr>
          <w:rFonts w:ascii="Arial" w:hAnsi="Arial" w:cs="Arial"/>
          <w:sz w:val="24"/>
          <w:szCs w:val="24"/>
          <w:lang w:val="en-US"/>
        </w:rPr>
        <w:fldChar w:fldCharType="end"/>
      </w:r>
      <w:r w:rsidR="00AE09A6" w:rsidRPr="00CC1992">
        <w:rPr>
          <w:rFonts w:ascii="Arial" w:hAnsi="Arial" w:cs="Arial"/>
          <w:sz w:val="24"/>
          <w:szCs w:val="24"/>
          <w:lang w:val="en-US"/>
        </w:rPr>
        <w:t>.</w:t>
      </w:r>
      <w:r w:rsidR="00531EB7" w:rsidRPr="00CC1992">
        <w:rPr>
          <w:rFonts w:ascii="Arial" w:hAnsi="Arial" w:cs="Arial"/>
          <w:sz w:val="24"/>
          <w:szCs w:val="24"/>
          <w:lang w:val="en-US"/>
        </w:rPr>
        <w:t xml:space="preserve"> </w:t>
      </w:r>
      <w:r w:rsidR="00A836EC" w:rsidRPr="00CC1992">
        <w:rPr>
          <w:rFonts w:ascii="Arial" w:hAnsi="Arial" w:cs="Arial"/>
          <w:sz w:val="24"/>
          <w:szCs w:val="24"/>
          <w:lang w:val="en-US"/>
        </w:rPr>
        <w:t xml:space="preserve">Although the effects of vitamin D deficiency on osteoarthritis remain insufficiently understood, </w:t>
      </w:r>
      <w:r w:rsidR="008178BF" w:rsidRPr="00CC1992">
        <w:rPr>
          <w:rFonts w:ascii="Arial" w:hAnsi="Arial" w:cs="Arial"/>
          <w:sz w:val="24"/>
          <w:szCs w:val="24"/>
          <w:lang w:val="en-US"/>
        </w:rPr>
        <w:t xml:space="preserve">vitamin D </w:t>
      </w:r>
      <w:r w:rsidR="001332BE" w:rsidRPr="00CC1992">
        <w:rPr>
          <w:rFonts w:ascii="Arial" w:hAnsi="Arial" w:cs="Arial"/>
          <w:sz w:val="24"/>
          <w:szCs w:val="24"/>
          <w:lang w:val="en-US"/>
        </w:rPr>
        <w:t xml:space="preserve">is known to </w:t>
      </w:r>
      <w:r w:rsidR="008178BF" w:rsidRPr="00CC1992">
        <w:rPr>
          <w:rFonts w:ascii="Arial" w:hAnsi="Arial" w:cs="Arial"/>
          <w:sz w:val="24"/>
          <w:szCs w:val="24"/>
          <w:lang w:val="en-US"/>
        </w:rPr>
        <w:t>promote</w:t>
      </w:r>
      <w:r w:rsidR="001332BE" w:rsidRPr="00CC1992">
        <w:rPr>
          <w:rFonts w:ascii="Arial" w:hAnsi="Arial" w:cs="Arial"/>
          <w:sz w:val="24"/>
          <w:szCs w:val="24"/>
          <w:lang w:val="en-US"/>
        </w:rPr>
        <w:t xml:space="preserve"> </w:t>
      </w:r>
      <w:r w:rsidR="00A45B36" w:rsidRPr="00CC1992">
        <w:rPr>
          <w:rFonts w:ascii="Arial" w:hAnsi="Arial" w:cs="Arial"/>
          <w:sz w:val="24"/>
          <w:szCs w:val="24"/>
          <w:lang w:val="en-US"/>
        </w:rPr>
        <w:t>chondrocyte</w:t>
      </w:r>
      <w:r w:rsidR="008178BF" w:rsidRPr="00CC1992">
        <w:rPr>
          <w:rFonts w:ascii="Arial" w:hAnsi="Arial" w:cs="Arial"/>
          <w:sz w:val="24"/>
          <w:szCs w:val="24"/>
          <w:lang w:val="en-US"/>
        </w:rPr>
        <w:t xml:space="preserve"> </w:t>
      </w:r>
      <w:r w:rsidR="00FB7FAB" w:rsidRPr="00CC1992">
        <w:rPr>
          <w:rFonts w:ascii="Arial" w:hAnsi="Arial" w:cs="Arial"/>
          <w:sz w:val="24"/>
          <w:szCs w:val="24"/>
          <w:lang w:val="en-US"/>
        </w:rPr>
        <w:t xml:space="preserve">hypertrophy </w:t>
      </w:r>
      <w:r w:rsidR="009A0E5E" w:rsidRPr="00CC1992">
        <w:rPr>
          <w:rFonts w:ascii="Arial" w:hAnsi="Arial" w:cs="Arial"/>
          <w:sz w:val="24"/>
          <w:szCs w:val="24"/>
          <w:lang w:val="en-US"/>
        </w:rPr>
        <w:t>via its receptor</w:t>
      </w:r>
      <w:r w:rsidR="00217E81" w:rsidRPr="00CC1992">
        <w:rPr>
          <w:rFonts w:ascii="Arial" w:hAnsi="Arial" w:cs="Arial"/>
          <w:sz w:val="24"/>
          <w:szCs w:val="24"/>
          <w:lang w:val="en-US"/>
        </w:rPr>
        <w:t>s</w:t>
      </w:r>
      <w:r w:rsidR="009A0E5E" w:rsidRPr="00CC1992">
        <w:rPr>
          <w:rFonts w:ascii="Arial" w:hAnsi="Arial" w:cs="Arial"/>
          <w:sz w:val="24"/>
          <w:szCs w:val="24"/>
          <w:lang w:val="en-US"/>
        </w:rPr>
        <w:t xml:space="preserve">, and </w:t>
      </w:r>
      <w:r w:rsidR="00172882" w:rsidRPr="00CC1992">
        <w:rPr>
          <w:rFonts w:ascii="Arial" w:hAnsi="Arial" w:cs="Arial"/>
          <w:sz w:val="24"/>
          <w:szCs w:val="24"/>
          <w:lang w:val="en-US"/>
        </w:rPr>
        <w:t>lower</w:t>
      </w:r>
      <w:r w:rsidR="009A0E5E" w:rsidRPr="00CC1992">
        <w:rPr>
          <w:rFonts w:ascii="Arial" w:hAnsi="Arial" w:cs="Arial"/>
          <w:sz w:val="24"/>
          <w:szCs w:val="24"/>
          <w:lang w:val="en-US"/>
        </w:rPr>
        <w:t xml:space="preserve"> levels of vitamin D </w:t>
      </w:r>
      <w:r w:rsidR="00667407" w:rsidRPr="00CC1992">
        <w:rPr>
          <w:rFonts w:ascii="Arial" w:hAnsi="Arial" w:cs="Arial"/>
          <w:sz w:val="24"/>
          <w:szCs w:val="24"/>
          <w:lang w:val="en-US"/>
        </w:rPr>
        <w:t xml:space="preserve">may </w:t>
      </w:r>
      <w:r w:rsidR="00882171" w:rsidRPr="00CC1992">
        <w:rPr>
          <w:rFonts w:ascii="Arial" w:hAnsi="Arial" w:cs="Arial"/>
          <w:sz w:val="24"/>
          <w:szCs w:val="24"/>
          <w:lang w:val="en-US"/>
        </w:rPr>
        <w:t xml:space="preserve">thus </w:t>
      </w:r>
      <w:r w:rsidR="00667407" w:rsidRPr="00CC1992">
        <w:rPr>
          <w:rFonts w:ascii="Arial" w:hAnsi="Arial" w:cs="Arial"/>
          <w:sz w:val="24"/>
          <w:szCs w:val="24"/>
          <w:lang w:val="en-US"/>
        </w:rPr>
        <w:t xml:space="preserve">be associated with an alteration of the </w:t>
      </w:r>
      <w:r w:rsidR="00AA0C33" w:rsidRPr="00CC1992">
        <w:rPr>
          <w:rFonts w:ascii="Arial" w:hAnsi="Arial" w:cs="Arial"/>
          <w:sz w:val="24"/>
          <w:szCs w:val="24"/>
          <w:lang w:val="en-US"/>
        </w:rPr>
        <w:t>homeostasis of the articular cartilage</w:t>
      </w:r>
      <w:r w:rsidR="00763F80" w:rsidRPr="00CC1992">
        <w:rPr>
          <w:rFonts w:ascii="Arial" w:hAnsi="Arial" w:cs="Arial"/>
          <w:sz w:val="24"/>
          <w:szCs w:val="24"/>
          <w:lang w:val="en-US"/>
        </w:rPr>
        <w:t xml:space="preserve"> and</w:t>
      </w:r>
      <w:r w:rsidR="00217E81" w:rsidRPr="00CC1992">
        <w:rPr>
          <w:rFonts w:ascii="Arial" w:hAnsi="Arial" w:cs="Arial"/>
          <w:sz w:val="24"/>
          <w:szCs w:val="24"/>
          <w:lang w:val="en-US"/>
        </w:rPr>
        <w:t xml:space="preserve"> a decrease in cartilage thickness</w:t>
      </w:r>
      <w:r w:rsidR="00660C26" w:rsidRPr="00CC1992">
        <w:rPr>
          <w:rFonts w:ascii="Arial" w:hAnsi="Arial" w:cs="Arial"/>
          <w:sz w:val="24"/>
          <w:szCs w:val="24"/>
          <w:lang w:val="en-US"/>
        </w:rPr>
        <w:t xml:space="preserve"> </w:t>
      </w:r>
      <w:r w:rsidR="005F4A6C"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aUWfPVA4","properties":{"formattedCitation":"[17]","plainCitation":"[17]","noteIndex":0},"citationItems":[{"id":21348,"uris":["http://zotero.org/users/local/hhPVnw6l/items/IW46TX34"],"uri":["http://zotero.org/users/local/hhPVnw6l/items/IW46TX34"],"itemData":{"id":21348,"type":"article-journal","abstract":"BACKGROUND: Osteoarthritis (OA) currently affects 10% of the American population. There has been a recent push to determine exactly what causes OA and how it can be treated most effectively. Serum vitamin D levels have been associated with OA and may have an effect on articular cartilage remodeling.\nPURPOSE: To critically review the published research on the effect of vitamin D on articular cartilage and the development of OA as well as on the mechanism behind cartilage regeneration and degeneration.\nSTUDY DESIGN: Review.\nMETHODS: A systematic search of PubMed and the Web of Science was performed for relevant studies published in the English language through April 30, 2016, using the terms vitamin D, articular cartilage, and osteoarthritis.\nRESULTS: On a molecular level, 1α,25(OH)2D3, the activated form of vitamin D, plays a role in articular cartilage degeneration. Vitamin D binds to vitamin D receptors, triggering a signaling cascade that leads to chondrocyte hypertrophy. In clinical trials, vitamin D deficiency poses a risk factor for OA, and those with decreased cartilage thickness are more likely to be vitamin D-insufficient.\nCONCLUSION: The role of vitamin D supplementation in the treatment or prevention of OA remains uncertain. More research is needed to reconcile these conflicting findings.","container-title":"Orthopaedic Journal of Sports Medicine","DOI":"10.1177/2325967117711376","ISSN":"2325-9671","issue":"6","journalAbbreviation":"Orthop J Sports Med","language":"eng","note":"PMID: 28680892\nPMCID: PMC5480771","page":"2325967117711376","source":"PubMed","title":"Vitamin D and Its Effects on Articular Cartilage and Osteoarthritis","volume":"5","author":[{"family":"Garfinkel","given":"Rachel J."},{"family":"Dilisio","given":"Matthew F."},{"family":"Agrawal","given":"Devendra K."}],"issued":{"date-parts":[["2017",6]]}}}],"schema":"https://github.com/citation-style-language/schema/raw/master/csl-citation.json"} </w:instrText>
      </w:r>
      <w:r w:rsidR="005F4A6C" w:rsidRPr="00CC1992">
        <w:rPr>
          <w:rFonts w:ascii="Arial" w:hAnsi="Arial" w:cs="Arial"/>
          <w:sz w:val="24"/>
          <w:szCs w:val="24"/>
          <w:lang w:val="en-US"/>
        </w:rPr>
        <w:fldChar w:fldCharType="separate"/>
      </w:r>
      <w:r w:rsidR="00F67324">
        <w:rPr>
          <w:rFonts w:ascii="Arial" w:hAnsi="Arial" w:cs="Arial"/>
          <w:noProof/>
          <w:sz w:val="24"/>
          <w:szCs w:val="24"/>
          <w:lang w:val="en-US"/>
        </w:rPr>
        <w:t>[17]</w:t>
      </w:r>
      <w:r w:rsidR="005F4A6C" w:rsidRPr="00CC1992">
        <w:rPr>
          <w:rFonts w:ascii="Arial" w:hAnsi="Arial" w:cs="Arial"/>
          <w:sz w:val="24"/>
          <w:szCs w:val="24"/>
          <w:lang w:val="en-US"/>
        </w:rPr>
        <w:fldChar w:fldCharType="end"/>
      </w:r>
      <w:r w:rsidR="00AA0C33" w:rsidRPr="00CC1992">
        <w:rPr>
          <w:rFonts w:ascii="Arial" w:hAnsi="Arial" w:cs="Arial"/>
          <w:sz w:val="24"/>
          <w:szCs w:val="24"/>
          <w:lang w:val="en-US"/>
        </w:rPr>
        <w:t>.</w:t>
      </w:r>
      <w:r w:rsidR="003942DB" w:rsidRPr="00CC1992">
        <w:rPr>
          <w:rFonts w:ascii="Arial" w:hAnsi="Arial" w:cs="Arial"/>
          <w:sz w:val="24"/>
          <w:szCs w:val="24"/>
          <w:lang w:val="en-US"/>
        </w:rPr>
        <w:t xml:space="preserve"> Interestingly, vitamin D also has neuropro</w:t>
      </w:r>
      <w:r w:rsidR="00A33390" w:rsidRPr="00CC1992">
        <w:rPr>
          <w:rFonts w:ascii="Arial" w:hAnsi="Arial" w:cs="Arial"/>
          <w:sz w:val="24"/>
          <w:szCs w:val="24"/>
          <w:lang w:val="en-US"/>
        </w:rPr>
        <w:t xml:space="preserve">tective properties, </w:t>
      </w:r>
      <w:r w:rsidR="0085502B" w:rsidRPr="00CC1992">
        <w:rPr>
          <w:rFonts w:ascii="Arial" w:hAnsi="Arial" w:cs="Arial"/>
          <w:sz w:val="24"/>
          <w:szCs w:val="24"/>
          <w:lang w:val="en-US"/>
        </w:rPr>
        <w:t xml:space="preserve">and previous </w:t>
      </w:r>
      <w:r w:rsidR="00D847BE" w:rsidRPr="00CC1992">
        <w:rPr>
          <w:rFonts w:ascii="Arial" w:hAnsi="Arial" w:cs="Arial"/>
          <w:sz w:val="24"/>
          <w:szCs w:val="24"/>
          <w:lang w:val="en-US"/>
        </w:rPr>
        <w:t xml:space="preserve">research has </w:t>
      </w:r>
      <w:r w:rsidR="00285FDC" w:rsidRPr="00CC1992">
        <w:rPr>
          <w:rFonts w:ascii="Arial" w:hAnsi="Arial" w:cs="Arial"/>
          <w:sz w:val="24"/>
          <w:szCs w:val="24"/>
          <w:lang w:val="en-US"/>
        </w:rPr>
        <w:t xml:space="preserve">found a positive </w:t>
      </w:r>
      <w:r w:rsidR="00F93F92" w:rsidRPr="00CC1992">
        <w:rPr>
          <w:rFonts w:ascii="Arial" w:hAnsi="Arial" w:cs="Arial"/>
          <w:sz w:val="24"/>
          <w:szCs w:val="24"/>
          <w:lang w:val="en-US"/>
        </w:rPr>
        <w:t xml:space="preserve">association between </w:t>
      </w:r>
      <w:r w:rsidR="00B97BD9" w:rsidRPr="00CC1992">
        <w:rPr>
          <w:rFonts w:ascii="Arial" w:hAnsi="Arial" w:cs="Arial"/>
          <w:sz w:val="24"/>
          <w:szCs w:val="24"/>
          <w:lang w:val="en-US"/>
        </w:rPr>
        <w:t>low levels of vitamin D</w:t>
      </w:r>
      <w:r w:rsidR="00F93F92" w:rsidRPr="00CC1992">
        <w:rPr>
          <w:rFonts w:ascii="Arial" w:hAnsi="Arial" w:cs="Arial"/>
          <w:sz w:val="24"/>
          <w:szCs w:val="24"/>
          <w:lang w:val="en-US"/>
        </w:rPr>
        <w:t xml:space="preserve">, </w:t>
      </w:r>
      <w:r w:rsidR="0074217D" w:rsidRPr="00CC1992">
        <w:rPr>
          <w:rFonts w:ascii="Arial" w:hAnsi="Arial" w:cs="Arial"/>
          <w:sz w:val="24"/>
          <w:szCs w:val="24"/>
          <w:lang w:val="en-US"/>
        </w:rPr>
        <w:t xml:space="preserve">Parkinson’s disease and </w:t>
      </w:r>
      <w:r w:rsidR="00177ADF" w:rsidRPr="00CC1992">
        <w:rPr>
          <w:rFonts w:ascii="Arial" w:hAnsi="Arial" w:cs="Arial"/>
          <w:sz w:val="24"/>
          <w:szCs w:val="24"/>
          <w:lang w:val="en-US"/>
        </w:rPr>
        <w:t>the severity of</w:t>
      </w:r>
      <w:r w:rsidR="00DF32A1" w:rsidRPr="00CC1992">
        <w:rPr>
          <w:rFonts w:ascii="Arial" w:hAnsi="Arial" w:cs="Arial"/>
          <w:sz w:val="24"/>
          <w:szCs w:val="24"/>
          <w:lang w:val="en-US"/>
        </w:rPr>
        <w:t xml:space="preserve"> the</w:t>
      </w:r>
      <w:r w:rsidR="00177ADF" w:rsidRPr="00CC1992">
        <w:rPr>
          <w:rFonts w:ascii="Arial" w:hAnsi="Arial" w:cs="Arial"/>
          <w:sz w:val="24"/>
          <w:szCs w:val="24"/>
          <w:lang w:val="en-US"/>
        </w:rPr>
        <w:t xml:space="preserve"> motor symptoms</w:t>
      </w:r>
      <w:r w:rsidR="00DF32A1" w:rsidRPr="00CC1992">
        <w:rPr>
          <w:rFonts w:ascii="Arial" w:hAnsi="Arial" w:cs="Arial"/>
          <w:sz w:val="24"/>
          <w:szCs w:val="24"/>
          <w:lang w:val="en-US"/>
        </w:rPr>
        <w:t xml:space="preserve"> of this neurodegenerative disorder</w:t>
      </w:r>
      <w:r w:rsidR="005F4A6C" w:rsidRPr="00CC1992">
        <w:rPr>
          <w:rFonts w:ascii="Arial" w:hAnsi="Arial" w:cs="Arial"/>
          <w:sz w:val="24"/>
          <w:szCs w:val="24"/>
          <w:lang w:val="en-US"/>
        </w:rPr>
        <w:t xml:space="preserve"> </w:t>
      </w:r>
      <w:r w:rsidR="005F4A6C"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s9wZtJ6k","properties":{"formattedCitation":"[18]","plainCitation":"[18]","noteIndex":0},"citationItems":[{"id":21342,"uris":["http://zotero.org/users/local/hhPVnw6l/items/23MIDDCJ"],"uri":["http://zotero.org/users/local/hhPVnw6l/items/23MIDDCJ"],"itemData":{"id":21342,"type":"article-journal","abstract":"BACKGROUND: Previous cross-sectional studies have shown that Parkinson's disease (PD) patients have lower serum 25-hydroxy vitamin D (25(OH)D) concentrations than controls. Vitamin D deficiency was associated with increased disease severity and cognitive impairment in prevalent PD patients.\nOBJECTIVE: The aim of the study was to determine 25(OH)D in newly diagnosed PD and age-matched controls and to assess if there was an association with clinical outcomes (disease severity, cognition and falls) over the 36-month follow up period.\nMETHODS: A prospective observational study of newly diagnosed PD patients in the North East of England with age-matched controls (PD, n = 145; control, n = 94). Serum 25(OH)D was assessed at baseline and 18 months. Participants underwent clinical assessment at baseline, 18 and 36 months. One hundred and ten participants with PD also took part in a prospective falls study.\nRESULTS: Mean serum 25(OH)D concentrations were lower in PD than control participants at baseline (44.1±21.7 vs. 52.2±22.1 nmol/L, p &lt; 0.05) and 18 months (44.2±23.6 vs. 55.7±28.8 nmol/L, p &lt; 0.05). Baseline serum 25(OH)D concentration, age, motor score and dosage of dopaminergic medication were significant predictors of variance of motor severity at 36 months ((ΔR2 = 0.039, F = 6.6, p &lt; 0.01). Serum 25(OH)D was not associated with cognition or falls during the follow up period.\nCONCLUSIONS: Patients with incident PD had significantly lower serum 25(OH)D concentrations than age-matched controls, which may have implications in terms of bone health and fracture risk. There was a small but significant association between vitamin D status at baseline and disease motor severity at 36 months.","container-title":"Journal of Parkinson's Disease","DOI":"10.3233/JPD-171122","ISSN":"1877-718X","issue":"4","journalAbbreviation":"J Parkinsons Dis","language":"eng","note":"PMID: 28984616\nPMCID: PMC5676984","page":"669-675","source":"PubMed","title":"The Role of Vitamin D in Disease Progression in Early Parkinson's Disease","volume":"7","author":[{"family":"Sleeman","given":"Isobel"},{"family":"Aspray","given":"Terry"},{"family":"Lawson","given":"Rachael"},{"family":"Coleman","given":"Shirley"},{"family":"Duncan","given":"Gordon"},{"family":"Khoo","given":"Tien K."},{"family":"Schoenmakers","given":"Inez"},{"family":"Rochester","given":"Lynn"},{"family":"Burn","given":"David"},{"family":"Yarnall","given":"Alison"}],"issued":{"date-parts":[["2017"]]}}}],"schema":"https://github.com/citation-style-language/schema/raw/master/csl-citation.json"} </w:instrText>
      </w:r>
      <w:r w:rsidR="005F4A6C" w:rsidRPr="00CC1992">
        <w:rPr>
          <w:rFonts w:ascii="Arial" w:hAnsi="Arial" w:cs="Arial"/>
          <w:sz w:val="24"/>
          <w:szCs w:val="24"/>
          <w:lang w:val="en-US"/>
        </w:rPr>
        <w:fldChar w:fldCharType="separate"/>
      </w:r>
      <w:r w:rsidR="00F67324">
        <w:rPr>
          <w:rFonts w:ascii="Arial" w:hAnsi="Arial" w:cs="Arial"/>
          <w:noProof/>
          <w:sz w:val="24"/>
          <w:szCs w:val="24"/>
          <w:lang w:val="en-US"/>
        </w:rPr>
        <w:t>[18]</w:t>
      </w:r>
      <w:r w:rsidR="005F4A6C" w:rsidRPr="00CC1992">
        <w:rPr>
          <w:rFonts w:ascii="Arial" w:hAnsi="Arial" w:cs="Arial"/>
          <w:sz w:val="24"/>
          <w:szCs w:val="24"/>
          <w:lang w:val="en-US"/>
        </w:rPr>
        <w:fldChar w:fldCharType="end"/>
      </w:r>
      <w:r w:rsidR="00177ADF" w:rsidRPr="00CC1992">
        <w:rPr>
          <w:rFonts w:ascii="Arial" w:hAnsi="Arial" w:cs="Arial"/>
          <w:sz w:val="24"/>
          <w:szCs w:val="24"/>
          <w:lang w:val="en-US"/>
        </w:rPr>
        <w:t>.</w:t>
      </w:r>
    </w:p>
    <w:p w14:paraId="4CA0CF0E" w14:textId="77777777" w:rsidR="00DF32A1" w:rsidRPr="00CC1992" w:rsidRDefault="00DF32A1" w:rsidP="00217E81">
      <w:pPr>
        <w:spacing w:line="480" w:lineRule="auto"/>
        <w:jc w:val="both"/>
        <w:rPr>
          <w:rFonts w:ascii="Arial" w:hAnsi="Arial" w:cs="Arial"/>
          <w:sz w:val="24"/>
          <w:szCs w:val="24"/>
          <w:lang w:val="en-US"/>
        </w:rPr>
      </w:pPr>
    </w:p>
    <w:p w14:paraId="324E996D" w14:textId="7AA4F94C" w:rsidR="0058165A" w:rsidRPr="00CC1992" w:rsidRDefault="00DF32A1" w:rsidP="00217E81">
      <w:pPr>
        <w:spacing w:line="480" w:lineRule="auto"/>
        <w:jc w:val="both"/>
        <w:rPr>
          <w:rFonts w:ascii="Arial" w:hAnsi="Arial" w:cs="Arial"/>
          <w:sz w:val="24"/>
          <w:szCs w:val="24"/>
          <w:lang w:val="en-US"/>
        </w:rPr>
      </w:pPr>
      <w:r w:rsidRPr="00CC1992">
        <w:rPr>
          <w:rFonts w:ascii="Arial" w:hAnsi="Arial" w:cs="Arial"/>
          <w:sz w:val="24"/>
          <w:szCs w:val="24"/>
          <w:lang w:val="en-US"/>
        </w:rPr>
        <w:t xml:space="preserve">Beside these two common risk factors, </w:t>
      </w:r>
      <w:r w:rsidR="00A2744C" w:rsidRPr="00CC1992">
        <w:rPr>
          <w:rFonts w:ascii="Arial" w:hAnsi="Arial" w:cs="Arial"/>
          <w:sz w:val="24"/>
          <w:szCs w:val="24"/>
          <w:lang w:val="en-US"/>
        </w:rPr>
        <w:t xml:space="preserve">the association between osteoarthritis and Parkinson’s </w:t>
      </w:r>
      <w:r w:rsidR="0019745E">
        <w:rPr>
          <w:rFonts w:ascii="Arial" w:hAnsi="Arial" w:cs="Arial"/>
          <w:sz w:val="24"/>
          <w:szCs w:val="24"/>
          <w:lang w:val="en-US"/>
        </w:rPr>
        <w:t xml:space="preserve">disease </w:t>
      </w:r>
      <w:r w:rsidR="00A2744C" w:rsidRPr="00CC1992">
        <w:rPr>
          <w:rFonts w:ascii="Arial" w:hAnsi="Arial" w:cs="Arial"/>
          <w:sz w:val="24"/>
          <w:szCs w:val="24"/>
          <w:lang w:val="en-US"/>
        </w:rPr>
        <w:t>may involve several mediating factors</w:t>
      </w:r>
      <w:r w:rsidR="00A34692" w:rsidRPr="00CC1992">
        <w:rPr>
          <w:rFonts w:ascii="Arial" w:hAnsi="Arial" w:cs="Arial"/>
          <w:sz w:val="24"/>
          <w:szCs w:val="24"/>
          <w:lang w:val="en-US"/>
        </w:rPr>
        <w:t xml:space="preserve"> such as physical inactivity</w:t>
      </w:r>
      <w:r w:rsidR="009577F7">
        <w:rPr>
          <w:rFonts w:ascii="Arial" w:hAnsi="Arial" w:cs="Arial"/>
          <w:sz w:val="24"/>
          <w:szCs w:val="24"/>
          <w:lang w:val="en-US"/>
        </w:rPr>
        <w:t xml:space="preserve"> (i.e.</w:t>
      </w:r>
      <w:r w:rsidR="00F10611">
        <w:rPr>
          <w:rFonts w:ascii="Arial" w:hAnsi="Arial" w:cs="Arial"/>
          <w:sz w:val="24"/>
          <w:szCs w:val="24"/>
          <w:lang w:val="en-US"/>
        </w:rPr>
        <w:t>,</w:t>
      </w:r>
      <w:r w:rsidR="009577F7">
        <w:rPr>
          <w:rFonts w:ascii="Arial" w:hAnsi="Arial" w:cs="Arial"/>
          <w:sz w:val="24"/>
          <w:szCs w:val="24"/>
          <w:lang w:val="en-US"/>
        </w:rPr>
        <w:t xml:space="preserve"> not meeting physical activity recommendations)</w:t>
      </w:r>
      <w:r w:rsidR="00A34692" w:rsidRPr="00CC1992">
        <w:rPr>
          <w:rFonts w:ascii="Arial" w:hAnsi="Arial" w:cs="Arial"/>
          <w:sz w:val="24"/>
          <w:szCs w:val="24"/>
          <w:lang w:val="en-US"/>
        </w:rPr>
        <w:t>, hypertension and depression.</w:t>
      </w:r>
      <w:r w:rsidR="00F2384B" w:rsidRPr="00CC1992">
        <w:rPr>
          <w:rFonts w:ascii="Arial" w:hAnsi="Arial" w:cs="Arial"/>
          <w:sz w:val="24"/>
          <w:szCs w:val="24"/>
          <w:lang w:val="en-US"/>
        </w:rPr>
        <w:t xml:space="preserve"> </w:t>
      </w:r>
      <w:r w:rsidR="007A3AE7" w:rsidRPr="00CC1992">
        <w:rPr>
          <w:rFonts w:ascii="Arial" w:hAnsi="Arial" w:cs="Arial"/>
          <w:sz w:val="24"/>
          <w:szCs w:val="24"/>
          <w:lang w:val="en-US"/>
        </w:rPr>
        <w:t xml:space="preserve">As physical activity may transitorily increase pain and disability, and as fear that physical activity may aggravate </w:t>
      </w:r>
      <w:r w:rsidR="00104E1D" w:rsidRPr="00CC1992">
        <w:rPr>
          <w:rFonts w:ascii="Arial" w:hAnsi="Arial" w:cs="Arial"/>
          <w:sz w:val="24"/>
          <w:szCs w:val="24"/>
          <w:lang w:val="en-US"/>
        </w:rPr>
        <w:t>osteoarthritis-related lesions</w:t>
      </w:r>
      <w:r w:rsidR="00F02432" w:rsidRPr="00CC1992">
        <w:rPr>
          <w:rFonts w:ascii="Arial" w:hAnsi="Arial" w:cs="Arial"/>
          <w:sz w:val="24"/>
          <w:szCs w:val="24"/>
          <w:lang w:val="en-US"/>
        </w:rPr>
        <w:t xml:space="preserve"> is fairly common</w:t>
      </w:r>
      <w:r w:rsidR="007A3AE7" w:rsidRPr="00CC1992">
        <w:rPr>
          <w:rFonts w:ascii="Arial" w:hAnsi="Arial" w:cs="Arial"/>
          <w:sz w:val="24"/>
          <w:szCs w:val="24"/>
          <w:lang w:val="en-US"/>
        </w:rPr>
        <w:t>, physical activity r</w:t>
      </w:r>
      <w:r w:rsidR="002E090A" w:rsidRPr="00CC1992">
        <w:rPr>
          <w:rFonts w:ascii="Arial" w:hAnsi="Arial" w:cs="Arial"/>
          <w:sz w:val="24"/>
          <w:szCs w:val="24"/>
          <w:lang w:val="en-US"/>
        </w:rPr>
        <w:t>ecommendations are less frequently met</w:t>
      </w:r>
      <w:r w:rsidR="000A5295" w:rsidRPr="00CC1992">
        <w:rPr>
          <w:rFonts w:ascii="Arial" w:hAnsi="Arial" w:cs="Arial"/>
          <w:sz w:val="24"/>
          <w:szCs w:val="24"/>
          <w:lang w:val="en-US"/>
        </w:rPr>
        <w:t xml:space="preserve"> in people with osteoarthritis than in the general population</w:t>
      </w:r>
      <w:r w:rsidR="002E090A" w:rsidRPr="00CC1992">
        <w:rPr>
          <w:rFonts w:ascii="Arial" w:hAnsi="Arial" w:cs="Arial"/>
          <w:sz w:val="24"/>
          <w:szCs w:val="24"/>
          <w:lang w:val="en-US"/>
        </w:rPr>
        <w:t xml:space="preserve"> </w:t>
      </w:r>
      <w:r w:rsidR="001E3250"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wvdTQ8Z3","properties":{"formattedCitation":"[30]","plainCitation":"[30]","noteIndex":0},"citationItems":[{"id":21375,"uris":["http://zotero.org/users/local/hhPVnw6l/items/4WQIZCV3"],"uri":["http://zotero.org/users/local/hhPVnw6l/items/4WQIZCV3"],"itemData":{"id":21375,"type":"article-journal","abstract":"OBJECTIVE: To investigate patterns of physical activity in older adults with knee osteoarthritis (OA) compared to older adults without knee OA across 6 European countries. We expect country-specific differences in the physical activity levels between persons with knee OA compared to persons without knee OA. A varying degree of physical activity levels across countries would express a facilitating or impeding influence of the social, environmental, and other contextual factors on a physically active lifestyle.\nMETHODS: Baseline cross-sectional data from the European Project on Osteoarthritis were analyzed. In total, 2,551 participants from 6 European countries (Germany, Italy, The Netherlands, Spain, Sweden, and the UK) were included.\nRESULTS: Participants with knee OA were less likely to follow physical activity recommendations and had poorer overall physical activity profiles than those without knee OA (mean 62.9 versus 81.5 minutes/day, respectively; P = 0.015). The magnitude of this difference varied across countries. Detailed analysis showed that low physical activity levels in persons with knee OA could be attributed to less everyday walking time (odds ratio 1.31, 95% confidence interval 1.07-1.62).\nCONCLUSION: This study highlighted the fact that having knee OA is associated with a varying degree of physical activity patterns in different countries. This national variation implies that low levels of physical activity among persons with knee OA cannot be explained exclusively by individual or disease-specific factors, but that social, environmental, and other contextual factors should also be taken into account.","container-title":"Arthritis Care &amp; Research","DOI":"10.1002/acr.22669","ISSN":"2151-4658","issue":"2","journalAbbreviation":"Arthritis Care Res (Hoboken)","language":"eng","note":"PMID: 26212673","page":"228-236","source":"PubMed","title":"Physical Activity Patterns Among Older Adults With and Without Knee Osteoarthritis in Six European Countries","volume":"68","author":[{"family":"Herbolsheimer","given":"Florian"},{"family":"Schaap","given":"Laura A."},{"family":"Edwards","given":"Mark H."},{"family":"Maggi","given":"Stefania"},{"family":"Otero","given":"Ángel"},{"family":"Timmermans","given":"Erik J."},{"family":"Denkinger","given":"Michael D."},{"family":"Pas","given":"Suzan","non-dropping-particle":"van der"},{"family":"Dekker","given":"Joost"},{"family":"Cooper","given":"Cyrus"},{"family":"Dennison","given":"Elaine M."},{"family":"Schoor","given":"Natasja M.","non-dropping-particle":"van"},{"family":"Peter","given":"Richard"},{"literal":"Eposa Study Group"}],"issued":{"date-parts":[["2016",2]]}}}],"schema":"https://github.com/citation-style-language/schema/raw/master/csl-citation.json"} </w:instrText>
      </w:r>
      <w:r w:rsidR="001E3250" w:rsidRPr="00CC1992">
        <w:rPr>
          <w:rFonts w:ascii="Arial" w:hAnsi="Arial" w:cs="Arial"/>
          <w:sz w:val="24"/>
          <w:szCs w:val="24"/>
          <w:lang w:val="en-US"/>
        </w:rPr>
        <w:fldChar w:fldCharType="separate"/>
      </w:r>
      <w:r w:rsidR="00F67324">
        <w:rPr>
          <w:rFonts w:ascii="Arial" w:hAnsi="Arial" w:cs="Arial"/>
          <w:noProof/>
          <w:sz w:val="24"/>
          <w:szCs w:val="24"/>
          <w:lang w:val="en-US"/>
        </w:rPr>
        <w:t>[30]</w:t>
      </w:r>
      <w:r w:rsidR="001E3250" w:rsidRPr="00CC1992">
        <w:rPr>
          <w:rFonts w:ascii="Arial" w:hAnsi="Arial" w:cs="Arial"/>
          <w:sz w:val="24"/>
          <w:szCs w:val="24"/>
          <w:lang w:val="en-US"/>
        </w:rPr>
        <w:fldChar w:fldCharType="end"/>
      </w:r>
      <w:r w:rsidR="007A3AE7" w:rsidRPr="00CC1992">
        <w:rPr>
          <w:rFonts w:ascii="Arial" w:hAnsi="Arial" w:cs="Arial"/>
          <w:sz w:val="24"/>
          <w:szCs w:val="24"/>
          <w:lang w:val="en-US"/>
        </w:rPr>
        <w:t>.</w:t>
      </w:r>
      <w:r w:rsidR="009F6496" w:rsidRPr="00CC1992">
        <w:rPr>
          <w:rFonts w:ascii="Arial" w:hAnsi="Arial" w:cs="Arial"/>
          <w:sz w:val="24"/>
          <w:szCs w:val="24"/>
          <w:lang w:val="en-US"/>
        </w:rPr>
        <w:t xml:space="preserve"> Meanwhile, there is strong evidence pointing towards the existence of an inverse dose-response association between physical activity and Parkinson’s disease</w:t>
      </w:r>
      <w:r w:rsidR="00BD481B" w:rsidRPr="00CC1992">
        <w:rPr>
          <w:rFonts w:ascii="Arial" w:hAnsi="Arial" w:cs="Arial"/>
          <w:sz w:val="24"/>
          <w:szCs w:val="24"/>
          <w:lang w:val="en-US"/>
        </w:rPr>
        <w:t xml:space="preserve">, potentially explained by the </w:t>
      </w:r>
      <w:r w:rsidR="009C031B" w:rsidRPr="00CC1992">
        <w:rPr>
          <w:rFonts w:ascii="Arial" w:hAnsi="Arial" w:cs="Arial"/>
          <w:sz w:val="24"/>
          <w:szCs w:val="24"/>
          <w:lang w:val="en-US"/>
        </w:rPr>
        <w:t>fact that physical activity leads to an increase in the</w:t>
      </w:r>
      <w:r w:rsidR="00BD481B" w:rsidRPr="00CC1992">
        <w:rPr>
          <w:rFonts w:ascii="Arial" w:hAnsi="Arial" w:cs="Arial"/>
          <w:sz w:val="24"/>
          <w:szCs w:val="24"/>
          <w:lang w:val="en-US"/>
        </w:rPr>
        <w:t xml:space="preserve"> production of several growth factors and </w:t>
      </w:r>
      <w:r w:rsidR="00AF4B09" w:rsidRPr="00CC1992">
        <w:rPr>
          <w:rFonts w:ascii="Arial" w:hAnsi="Arial" w:cs="Arial"/>
          <w:sz w:val="24"/>
          <w:szCs w:val="24"/>
          <w:lang w:val="en-US"/>
        </w:rPr>
        <w:t>a</w:t>
      </w:r>
      <w:r w:rsidR="00BD481B" w:rsidRPr="00CC1992">
        <w:rPr>
          <w:rFonts w:ascii="Arial" w:hAnsi="Arial" w:cs="Arial"/>
          <w:sz w:val="24"/>
          <w:szCs w:val="24"/>
          <w:lang w:val="en-US"/>
        </w:rPr>
        <w:t xml:space="preserve"> decrease in oxidative stress </w:t>
      </w:r>
      <w:r w:rsidR="009F6496"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JQqhAIQl","properties":{"formattedCitation":"[20]","plainCitation":"[20]","noteIndex":0},"citationItems":[{"id":21353,"uris":["http://zotero.org/users/local/hhPVnw6l/items/KW7DXL66"],"uri":["http://zotero.org/users/local/hhPVnw6l/items/KW7DXL66"],"itemData":{"id":21353,"type":"article-journal","abstract":"Importance: The association between physical activity and the risk of Parkinson disease (PD) has been increasingly recognized. However, to our knowledge, a comprehensive assessment of the quantitative dose-response association between physical activity and PD risk has not been performed previously.\nObjective: To quantify the dose-response association between physical activity and the risk of developing PD.\nData Sources: PubMed, Embase, and Web of Science were systematically searched for peer-reviewed articles published through February 2018 reporting the association between physical activity and PD risk.\nStudy Selection: Prospective studies that examined the association between physical activity and PD risk were included.\nData Extraction and Synthesis: Data were extracted independently by 2 investigators. Adjusted risk estimates were extracted and pooled using a random-effects model. The study adhered to Meta-analysis of Observational Studies in Epidemiology (MOOSE) reporting guidelines.\nMain Outcomes and Measures: The main outcome was the incidence of PD diagnoses confirmed by the treating neurologists or the authoritative medical records.\nResults: Eight prospective studies totaling 544 336 participants included 2192 patients with PD with a median (range) follow-up period of 12 (6.1-22.0) years were identified. A significantly reduced risk of PD was associated with the highest levels of either total physical activity (relative risk, 0.79; 95% CI, 0.68-0.91) or moderate to vigorous physical activity (relative risk, 0.71; 95% CI, 0.58-0.87), with stronger associations among men than among women. In contrast, light physical activity was not associated with PD risk (relative risk, 0.86; 95% CI, 0.60-1.23). The dose-response analysis revealed that for each 10 metabolic equivalent of task-hours/week increase in total or moderate to vigorous physical activity, the risk of PD among men decreased by 10% and 17%, respectively. No linear dose-response association was found between physical activity and PD risk among women.\nConclusions and Relevance: This analysis revealed an inverse dose-response association between physical activity and PD risk among men; importantly, even moderate exercise was associated with a significant reduction in the risk of PD. Future studies with quantified measurements of physical activity will help identify the precise relative risk estimates for various levels of activity with respect to PD risk.","container-title":"JAMA network open","DOI":"10.1001/jamanetworkopen.2018.2421","ISSN":"2574-3805","issue":"5","journalAbbreviation":"JAMA Netw Open","language":"eng","note":"PMID: 30646166\nPMCID: PMC6324511","page":"e182421","source":"PubMed","title":"Association of Levels of Physical Activity With Risk of Parkinson Disease: A Systematic Review and Meta-analysis","title-short":"Association of Levels of Physical Activity With Risk of Parkinson Disease","volume":"1","author":[{"family":"Fang","given":"Xuexian"},{"family":"Han","given":"Dan"},{"family":"Cheng","given":"Qi"},{"family":"Zhang","given":"Pan"},{"family":"Zhao","given":"Chunhui"},{"family":"Min","given":"Junxia"},{"family":"Wang","given":"Fudi"}],"issued":{"date-parts":[["2018",9,7]]}}}],"schema":"https://github.com/citation-style-language/schema/raw/master/csl-citation.json"} </w:instrText>
      </w:r>
      <w:r w:rsidR="009F6496" w:rsidRPr="00CC1992">
        <w:rPr>
          <w:rFonts w:ascii="Arial" w:hAnsi="Arial" w:cs="Arial"/>
          <w:sz w:val="24"/>
          <w:szCs w:val="24"/>
          <w:lang w:val="en-US"/>
        </w:rPr>
        <w:fldChar w:fldCharType="separate"/>
      </w:r>
      <w:r w:rsidR="00F67324">
        <w:rPr>
          <w:rFonts w:ascii="Arial" w:hAnsi="Arial" w:cs="Arial"/>
          <w:noProof/>
          <w:sz w:val="24"/>
          <w:szCs w:val="24"/>
          <w:lang w:val="en-US"/>
        </w:rPr>
        <w:t>[20]</w:t>
      </w:r>
      <w:r w:rsidR="009F6496" w:rsidRPr="00CC1992">
        <w:rPr>
          <w:rFonts w:ascii="Arial" w:hAnsi="Arial" w:cs="Arial"/>
          <w:sz w:val="24"/>
          <w:szCs w:val="24"/>
          <w:lang w:val="en-US"/>
        </w:rPr>
        <w:fldChar w:fldCharType="end"/>
      </w:r>
      <w:r w:rsidR="009F6496" w:rsidRPr="00CC1992">
        <w:rPr>
          <w:rFonts w:ascii="Arial" w:hAnsi="Arial" w:cs="Arial"/>
          <w:sz w:val="24"/>
          <w:szCs w:val="24"/>
          <w:lang w:val="en-US"/>
        </w:rPr>
        <w:t>.</w:t>
      </w:r>
      <w:r w:rsidR="00C61C68" w:rsidRPr="00CC1992">
        <w:rPr>
          <w:rFonts w:ascii="Arial" w:hAnsi="Arial" w:cs="Arial"/>
          <w:sz w:val="24"/>
          <w:szCs w:val="24"/>
          <w:lang w:val="en-US"/>
        </w:rPr>
        <w:t xml:space="preserve"> Interestingly, some recent data tend to suggest that osteoarthritis is also a risk factor for hypertension </w:t>
      </w:r>
      <w:r w:rsidR="00C61C68"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R7jkUw5b","properties":{"formattedCitation":"[21]","plainCitation":"[21]","noteIndex":0},"citationItems":[{"id":21359,"uris":["http://zotero.org/users/local/hhPVnw6l/items/DXIBV5WW"],"uri":["http://zotero.org/users/local/hhPVnw6l/items/DXIBV5WW"],"itemData":{"id":21359,"type":"article-journal","abstract":"Although previous research has indicated an association between osteoarthritis (OA) and cardiovascular disease, it remains unclear whether people with OA are at greater risk of developing hypertension. The aim of this study was to answer this uncertainity. We used the data of the Osteoarthritis Initiative, an ongoing public and private longitudinal study including people at higher risk of OA or having knee OA. Knee OA was defined through radiological and clinical assessment. Incident hypertension was defined as a systolic blood pressure ≥140 mmHg and/or a diastolic value ≥90 mmHg. Multivariate Cox's regression analyses were constructed considering the presence of knee OA as the exposure and incident hypertension as the outcome during a 96-month follow-up interval. A total of 3558 people with normative blood pressure values at baseline were analyzed (1930 OA/1628 controls). Incidence of hypertension within the follow-up interval was significantly higher in people with knee OA than in those without (60/[1000 person-years] vs. 55/[1000 person-years]; p &lt; 0.0001). After adjusting for 13 confounders, people with knee OA had a 13% higher chance of developing hypertension (hazard ratio = 1.13; 95% confidence interval: 1.01-1.26; p = 0.03). Propensity score analysis did not alter these conclusions. In conclusion, this is the first longitudinal data analysis to demonstrate that people with knee OA have a higher chance of developing hypertension than those without OA. Our data suggest that monitoring blood pressure and prescribing health promotion interventions may be warranted among people with OA to mitigate the potential onset and adverse consequences of hypertension.","container-title":"Rejuvenation Research","DOI":"10.1089/rej.2017.1917","ISSN":"1557-8577","issue":"1","journalAbbreviation":"Rejuvenation Res","language":"eng","note":"PMID: 28648126\nPMCID: PMC5824487","page":"15-21","source":"PubMed","title":"Knee Osteoarthritis and Risk of Hypertension: A Longitudinal Cohort Study","title-short":"Knee Osteoarthritis and Risk of Hypertension","volume":"21","author":[{"family":"Veronese","given":"Nicola"},{"family":"Stubbs","given":"Brendon"},{"family":"Solmi","given":"Marco"},{"family":"Smith","given":"Toby O."},{"family":"Noale","given":"Marianna"},{"family":"Schofield","given":"Patricia"},{"family":"Maggi","given":"Stefania"}],"issued":{"date-parts":[["2018",2]]}}}],"schema":"https://github.com/citation-style-language/schema/raw/master/csl-citation.json"} </w:instrText>
      </w:r>
      <w:r w:rsidR="00C61C68" w:rsidRPr="00CC1992">
        <w:rPr>
          <w:rFonts w:ascii="Arial" w:hAnsi="Arial" w:cs="Arial"/>
          <w:sz w:val="24"/>
          <w:szCs w:val="24"/>
          <w:lang w:val="en-US"/>
        </w:rPr>
        <w:fldChar w:fldCharType="separate"/>
      </w:r>
      <w:r w:rsidR="00F67324">
        <w:rPr>
          <w:rFonts w:ascii="Arial" w:hAnsi="Arial" w:cs="Arial"/>
          <w:noProof/>
          <w:sz w:val="24"/>
          <w:szCs w:val="24"/>
          <w:lang w:val="en-US"/>
        </w:rPr>
        <w:t>[21]</w:t>
      </w:r>
      <w:r w:rsidR="00C61C68" w:rsidRPr="00CC1992">
        <w:rPr>
          <w:rFonts w:ascii="Arial" w:hAnsi="Arial" w:cs="Arial"/>
          <w:sz w:val="24"/>
          <w:szCs w:val="24"/>
          <w:lang w:val="en-US"/>
        </w:rPr>
        <w:fldChar w:fldCharType="end"/>
      </w:r>
      <w:r w:rsidR="00C61C68" w:rsidRPr="00CC1992">
        <w:rPr>
          <w:rFonts w:ascii="Arial" w:hAnsi="Arial" w:cs="Arial"/>
          <w:sz w:val="24"/>
          <w:szCs w:val="24"/>
          <w:lang w:val="en-US"/>
        </w:rPr>
        <w:t xml:space="preserve">, while hypertension </w:t>
      </w:r>
      <w:r w:rsidR="00B018A7" w:rsidRPr="00CC1992">
        <w:rPr>
          <w:rFonts w:ascii="Arial" w:hAnsi="Arial" w:cs="Arial"/>
          <w:sz w:val="24"/>
          <w:szCs w:val="24"/>
          <w:lang w:val="en-US"/>
        </w:rPr>
        <w:t>may favor</w:t>
      </w:r>
      <w:r w:rsidR="006938B6" w:rsidRPr="00CC1992">
        <w:rPr>
          <w:rFonts w:ascii="Arial" w:hAnsi="Arial" w:cs="Arial"/>
          <w:sz w:val="24"/>
          <w:szCs w:val="24"/>
          <w:lang w:val="en-US"/>
        </w:rPr>
        <w:t xml:space="preserve"> </w:t>
      </w:r>
      <w:r w:rsidR="00B018A7" w:rsidRPr="00CC1992">
        <w:rPr>
          <w:rFonts w:ascii="Arial" w:hAnsi="Arial" w:cs="Arial"/>
          <w:sz w:val="24"/>
          <w:szCs w:val="24"/>
          <w:lang w:val="en-US"/>
        </w:rPr>
        <w:t xml:space="preserve">the occurrence of Parkinson’s disease </w:t>
      </w:r>
      <w:r w:rsidR="00443913" w:rsidRPr="00CC1992">
        <w:rPr>
          <w:rFonts w:ascii="Arial" w:hAnsi="Arial" w:cs="Arial"/>
          <w:sz w:val="24"/>
          <w:szCs w:val="24"/>
          <w:lang w:val="en-US"/>
        </w:rPr>
        <w:t xml:space="preserve">via hypertensive vasculopathy of basal ganglia </w:t>
      </w:r>
      <w:r w:rsidR="00B018A7"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0CjiuKy3","properties":{"formattedCitation":"[22]","plainCitation":"[22]","noteIndex":0},"citationItems":[{"id":21356,"uris":["http://zotero.org/users/local/hhPVnw6l/items/9EW4X7ZD"],"uri":["http://zotero.org/users/local/hhPVnw6l/items/9EW4X7ZD"],"itemData":{"id":21356,"type":"article-journal","abstract":"BACKGROUND: The results of analytical studies show that the association between hypertension and the risk of Parkinson's disease (PD) remains controversial.\nMETHOD: We searched studies related to the association between hypertension and the risk of PD. We pooled the ORs and risk ratios (RRs) with 95% confidence interval (CI) with random effects model and conducted meta-regression to explore potential sources of heterogeneity. Publication bias was estimated by Egger's test and the funnel plot.\nRESULTS: Twenty-six articles containing 27 studies were included, involving 9 cohort studies and 18 case-control studies. In cohort studies, compared with the non-hypertension participants, the pooled RR for the risk of PD was 1.70 (95% CI 1.60-1.80) for the patients with hypertension. In case-control studies, compared with the non-hypertension participants, the pooled OR for the risk of PD was 0.85 (95% CI 0.78-0.92) for the patients with hypertension. There were no publication bias in cohort studies and case-control studies.\nCONCLUSION: Based on population-based cohort studies, this meta-analysis indicated that hypertension might increase the risk of PD. In view of both hypertension and PD having an association with aging, case-control studies, especially the studies based on hospital records, were not suitable for similar studies.","container-title":"Neuroepidemiology","DOI":"10.1159/000496977","ISSN":"1423-0208","issue":"3-4","journalAbbreviation":"Neuroepidemiology","language":"eng","note":"PMID: 30726850","page":"181-192","source":"PubMed","title":"Association between Hypertension and the Risk of Parkinson's Disease: A Meta-Analysis of Analytical Studies","title-short":"Association between Hypertension and the Risk of Parkinson's Disease","volume":"52","author":[{"family":"Chen","given":"Jiahao"},{"family":"Zhang","given":"Caixia"},{"family":"Wu","given":"Yanjun"},{"family":"Zhang","given":"Dongfeng"}],"issued":{"date-parts":[["2019"]]}}}],"schema":"https://github.com/citation-style-language/schema/raw/master/csl-citation.json"} </w:instrText>
      </w:r>
      <w:r w:rsidR="00B018A7" w:rsidRPr="00CC1992">
        <w:rPr>
          <w:rFonts w:ascii="Arial" w:hAnsi="Arial" w:cs="Arial"/>
          <w:sz w:val="24"/>
          <w:szCs w:val="24"/>
          <w:lang w:val="en-US"/>
        </w:rPr>
        <w:fldChar w:fldCharType="separate"/>
      </w:r>
      <w:r w:rsidR="00F67324">
        <w:rPr>
          <w:rFonts w:ascii="Arial" w:hAnsi="Arial" w:cs="Arial"/>
          <w:noProof/>
          <w:sz w:val="24"/>
          <w:szCs w:val="24"/>
          <w:lang w:val="en-US"/>
        </w:rPr>
        <w:t>[22]</w:t>
      </w:r>
      <w:r w:rsidR="00B018A7" w:rsidRPr="00CC1992">
        <w:rPr>
          <w:rFonts w:ascii="Arial" w:hAnsi="Arial" w:cs="Arial"/>
          <w:sz w:val="24"/>
          <w:szCs w:val="24"/>
          <w:lang w:val="en-US"/>
        </w:rPr>
        <w:fldChar w:fldCharType="end"/>
      </w:r>
      <w:r w:rsidR="00B018A7" w:rsidRPr="00CC1992">
        <w:rPr>
          <w:rFonts w:ascii="Arial" w:hAnsi="Arial" w:cs="Arial"/>
          <w:sz w:val="24"/>
          <w:szCs w:val="24"/>
          <w:lang w:val="en-US"/>
        </w:rPr>
        <w:t>.</w:t>
      </w:r>
      <w:r w:rsidR="006938B6" w:rsidRPr="00CC1992">
        <w:rPr>
          <w:rFonts w:ascii="Arial" w:hAnsi="Arial" w:cs="Arial"/>
          <w:sz w:val="24"/>
          <w:szCs w:val="24"/>
          <w:lang w:val="en-US"/>
        </w:rPr>
        <w:t xml:space="preserve"> </w:t>
      </w:r>
      <w:r w:rsidR="004E55CC" w:rsidRPr="00CC1992">
        <w:rPr>
          <w:rFonts w:ascii="Arial" w:hAnsi="Arial" w:cs="Arial"/>
          <w:sz w:val="24"/>
          <w:szCs w:val="24"/>
          <w:lang w:val="en-US"/>
        </w:rPr>
        <w:t>Since</w:t>
      </w:r>
      <w:r w:rsidR="006342A8" w:rsidRPr="00CC1992">
        <w:rPr>
          <w:rFonts w:ascii="Arial" w:hAnsi="Arial" w:cs="Arial"/>
          <w:sz w:val="24"/>
          <w:szCs w:val="24"/>
          <w:lang w:val="en-US"/>
        </w:rPr>
        <w:t xml:space="preserve"> </w:t>
      </w:r>
      <w:r w:rsidR="00404D6E" w:rsidRPr="00CC1992">
        <w:rPr>
          <w:rFonts w:ascii="Arial" w:hAnsi="Arial" w:cs="Arial"/>
          <w:sz w:val="24"/>
          <w:szCs w:val="24"/>
          <w:lang w:val="en-US"/>
        </w:rPr>
        <w:t xml:space="preserve">the present </w:t>
      </w:r>
      <w:r w:rsidR="006342A8" w:rsidRPr="00CC1992">
        <w:rPr>
          <w:rFonts w:ascii="Arial" w:hAnsi="Arial" w:cs="Arial"/>
          <w:sz w:val="24"/>
          <w:szCs w:val="24"/>
          <w:lang w:val="en-US"/>
        </w:rPr>
        <w:t xml:space="preserve">Cox regression analyses were </w:t>
      </w:r>
      <w:r w:rsidR="00362125" w:rsidRPr="00CC1992">
        <w:rPr>
          <w:rFonts w:ascii="Arial" w:hAnsi="Arial" w:cs="Arial"/>
          <w:sz w:val="24"/>
          <w:szCs w:val="24"/>
          <w:lang w:val="en-US"/>
        </w:rPr>
        <w:t>adjusted for hypertension</w:t>
      </w:r>
      <w:r w:rsidR="00D82052" w:rsidRPr="00CC1992">
        <w:rPr>
          <w:rFonts w:ascii="Arial" w:hAnsi="Arial" w:cs="Arial"/>
          <w:sz w:val="24"/>
          <w:szCs w:val="24"/>
          <w:lang w:val="en-US"/>
        </w:rPr>
        <w:t xml:space="preserve"> but not for its </w:t>
      </w:r>
      <w:r w:rsidR="00444833" w:rsidRPr="00CC1992">
        <w:rPr>
          <w:rFonts w:ascii="Arial" w:hAnsi="Arial" w:cs="Arial"/>
          <w:sz w:val="24"/>
          <w:szCs w:val="24"/>
          <w:lang w:val="en-US"/>
        </w:rPr>
        <w:t xml:space="preserve">potential </w:t>
      </w:r>
      <w:r w:rsidR="00D82052" w:rsidRPr="00CC1992">
        <w:rPr>
          <w:rFonts w:ascii="Arial" w:hAnsi="Arial" w:cs="Arial"/>
          <w:sz w:val="24"/>
          <w:szCs w:val="24"/>
          <w:lang w:val="en-US"/>
        </w:rPr>
        <w:t>complications</w:t>
      </w:r>
      <w:r w:rsidR="00444833" w:rsidRPr="00CC1992">
        <w:rPr>
          <w:rFonts w:ascii="Arial" w:hAnsi="Arial" w:cs="Arial"/>
          <w:sz w:val="24"/>
          <w:szCs w:val="24"/>
          <w:lang w:val="en-US"/>
        </w:rPr>
        <w:t xml:space="preserve">, </w:t>
      </w:r>
      <w:r w:rsidR="00DE73C2" w:rsidRPr="00CC1992">
        <w:rPr>
          <w:rFonts w:ascii="Arial" w:hAnsi="Arial" w:cs="Arial"/>
          <w:sz w:val="24"/>
          <w:szCs w:val="24"/>
          <w:lang w:val="en-US"/>
        </w:rPr>
        <w:t xml:space="preserve">residual confounding is </w:t>
      </w:r>
      <w:proofErr w:type="gramStart"/>
      <w:r w:rsidR="00DE73C2" w:rsidRPr="00CC1992">
        <w:rPr>
          <w:rFonts w:ascii="Arial" w:hAnsi="Arial" w:cs="Arial"/>
          <w:sz w:val="24"/>
          <w:szCs w:val="24"/>
          <w:lang w:val="en-US"/>
        </w:rPr>
        <w:t>possible</w:t>
      </w:r>
      <w:proofErr w:type="gramEnd"/>
      <w:r w:rsidR="00DE73C2" w:rsidRPr="00CC1992">
        <w:rPr>
          <w:rFonts w:ascii="Arial" w:hAnsi="Arial" w:cs="Arial"/>
          <w:sz w:val="24"/>
          <w:szCs w:val="24"/>
          <w:lang w:val="en-US"/>
        </w:rPr>
        <w:t xml:space="preserve"> and hypertension </w:t>
      </w:r>
      <w:r w:rsidR="00F4481F" w:rsidRPr="00CC1992">
        <w:rPr>
          <w:rFonts w:ascii="Arial" w:hAnsi="Arial" w:cs="Arial"/>
          <w:sz w:val="24"/>
          <w:szCs w:val="24"/>
          <w:lang w:val="en-US"/>
        </w:rPr>
        <w:t xml:space="preserve">may </w:t>
      </w:r>
      <w:r w:rsidR="00DC42DD" w:rsidRPr="00CC1992">
        <w:rPr>
          <w:rFonts w:ascii="Arial" w:hAnsi="Arial" w:cs="Arial"/>
          <w:sz w:val="24"/>
          <w:szCs w:val="24"/>
          <w:lang w:val="en-US"/>
        </w:rPr>
        <w:t xml:space="preserve">still </w:t>
      </w:r>
      <w:r w:rsidR="00F4481F" w:rsidRPr="00CC1992">
        <w:rPr>
          <w:rFonts w:ascii="Arial" w:hAnsi="Arial" w:cs="Arial"/>
          <w:sz w:val="24"/>
          <w:szCs w:val="24"/>
          <w:lang w:val="en-US"/>
        </w:rPr>
        <w:t xml:space="preserve">be involved </w:t>
      </w:r>
      <w:r w:rsidR="00F4481F" w:rsidRPr="00CC1992">
        <w:rPr>
          <w:rFonts w:ascii="Arial" w:hAnsi="Arial" w:cs="Arial"/>
          <w:sz w:val="24"/>
          <w:szCs w:val="24"/>
          <w:lang w:val="en-US"/>
        </w:rPr>
        <w:lastRenderedPageBreak/>
        <w:t xml:space="preserve">in the associations </w:t>
      </w:r>
      <w:r w:rsidR="004E321A" w:rsidRPr="00CC1992">
        <w:rPr>
          <w:rFonts w:ascii="Arial" w:hAnsi="Arial" w:cs="Arial"/>
          <w:sz w:val="24"/>
          <w:szCs w:val="24"/>
          <w:lang w:val="en-US"/>
        </w:rPr>
        <w:t>observed in th</w:t>
      </w:r>
      <w:r w:rsidR="00DC42DD" w:rsidRPr="00CC1992">
        <w:rPr>
          <w:rFonts w:ascii="Arial" w:hAnsi="Arial" w:cs="Arial"/>
          <w:sz w:val="24"/>
          <w:szCs w:val="24"/>
          <w:lang w:val="en-US"/>
        </w:rPr>
        <w:t xml:space="preserve">is </w:t>
      </w:r>
      <w:r w:rsidR="004E321A" w:rsidRPr="00CC1992">
        <w:rPr>
          <w:rFonts w:ascii="Arial" w:hAnsi="Arial" w:cs="Arial"/>
          <w:sz w:val="24"/>
          <w:szCs w:val="24"/>
          <w:lang w:val="en-US"/>
        </w:rPr>
        <w:t>study</w:t>
      </w:r>
      <w:r w:rsidR="00423254" w:rsidRPr="00CC1992">
        <w:rPr>
          <w:rFonts w:ascii="Arial" w:hAnsi="Arial" w:cs="Arial"/>
          <w:sz w:val="24"/>
          <w:szCs w:val="24"/>
          <w:lang w:val="en-US"/>
        </w:rPr>
        <w:t>.</w:t>
      </w:r>
      <w:r w:rsidR="00362125" w:rsidRPr="00CC1992">
        <w:rPr>
          <w:rFonts w:ascii="Arial" w:hAnsi="Arial" w:cs="Arial"/>
          <w:sz w:val="24"/>
          <w:szCs w:val="24"/>
          <w:lang w:val="en-US"/>
        </w:rPr>
        <w:t xml:space="preserve"> </w:t>
      </w:r>
      <w:r w:rsidR="006938B6" w:rsidRPr="00CC1992">
        <w:rPr>
          <w:rFonts w:ascii="Arial" w:hAnsi="Arial" w:cs="Arial"/>
          <w:sz w:val="24"/>
          <w:szCs w:val="24"/>
          <w:lang w:val="en-US"/>
        </w:rPr>
        <w:t xml:space="preserve">Finally, </w:t>
      </w:r>
      <w:r w:rsidR="00CD351F" w:rsidRPr="00CC1992">
        <w:rPr>
          <w:rFonts w:ascii="Arial" w:hAnsi="Arial" w:cs="Arial"/>
          <w:sz w:val="24"/>
          <w:szCs w:val="24"/>
          <w:lang w:val="en-US"/>
        </w:rPr>
        <w:t>individuals diagnosed with osteoarthritis are at a significantly higher risk for depression than their counterparts without osteoarthritis</w:t>
      </w:r>
      <w:r w:rsidR="003B1758" w:rsidRPr="00CC1992">
        <w:rPr>
          <w:rFonts w:ascii="Arial" w:hAnsi="Arial" w:cs="Arial"/>
          <w:sz w:val="24"/>
          <w:szCs w:val="24"/>
          <w:lang w:val="en-US"/>
        </w:rPr>
        <w:t>, and the effects of osteoarthritis on mental health may be mediated by pain and disability</w:t>
      </w:r>
      <w:r w:rsidR="00CD351F" w:rsidRPr="00CC1992">
        <w:rPr>
          <w:rFonts w:ascii="Arial" w:hAnsi="Arial" w:cs="Arial"/>
          <w:sz w:val="24"/>
          <w:szCs w:val="24"/>
          <w:lang w:val="en-US"/>
        </w:rPr>
        <w:t xml:space="preserve"> </w:t>
      </w:r>
      <w:r w:rsidR="00CD351F"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ibZzTbzo","properties":{"formattedCitation":"[23]","plainCitation":"[23]","noteIndex":0},"citationItems":[{"id":18671,"uris":["http://zotero.org/users/local/hhPVnw6l/items/2578NYBU"],"uri":["http://zotero.org/users/local/hhPVnw6l/items/2578NYBU"],"itemData":{"id":18671,"type":"article-journal","abstract":"AbstractBackground.  osteoarthritis (OA) is associated with a number of medical morbidities. Although the prevalence of depression and depressive symptoms is pr","container-title":"Age and Ageing","DOI":"10.1093/ageing/afw216","ISSN":"0002-0729","issue":"3","journalAbbreviation":"Age Ageing","language":"en","note":"publisher: Oxford Academic","page":"470-476","source":"academic.oup.com","title":"Association between lower limb osteoarthritis and incidence of depressive symptoms: data from the osteoarthritis initiative","title-short":"Association between lower limb osteoarthritis and incidence of depressive symptoms","volume":"46","author":[{"family":"Veronese","given":"Nicola"},{"family":"Stubbs","given":"Brendon"},{"family":"Solmi","given":"Marco"},{"family":"Smith","given":"Toby O."},{"family":"Noale","given":"Marianna"},{"family":"Cooper","given":"Cyrus"},{"family":"Maggi","given":"Stefania"}],"issued":{"date-parts":[["2017",5,1]]}}}],"schema":"https://github.com/citation-style-language/schema/raw/master/csl-citation.json"} </w:instrText>
      </w:r>
      <w:r w:rsidR="00CD351F" w:rsidRPr="00CC1992">
        <w:rPr>
          <w:rFonts w:ascii="Arial" w:hAnsi="Arial" w:cs="Arial"/>
          <w:sz w:val="24"/>
          <w:szCs w:val="24"/>
          <w:lang w:val="en-US"/>
        </w:rPr>
        <w:fldChar w:fldCharType="separate"/>
      </w:r>
      <w:r w:rsidR="00F67324">
        <w:rPr>
          <w:rFonts w:ascii="Arial" w:hAnsi="Arial" w:cs="Arial"/>
          <w:noProof/>
          <w:sz w:val="24"/>
          <w:szCs w:val="24"/>
          <w:lang w:val="en-US"/>
        </w:rPr>
        <w:t>[23]</w:t>
      </w:r>
      <w:r w:rsidR="00CD351F" w:rsidRPr="00CC1992">
        <w:rPr>
          <w:rFonts w:ascii="Arial" w:hAnsi="Arial" w:cs="Arial"/>
          <w:sz w:val="24"/>
          <w:szCs w:val="24"/>
          <w:lang w:val="en-US"/>
        </w:rPr>
        <w:fldChar w:fldCharType="end"/>
      </w:r>
      <w:r w:rsidR="00CD351F" w:rsidRPr="00CC1992">
        <w:rPr>
          <w:rFonts w:ascii="Arial" w:hAnsi="Arial" w:cs="Arial"/>
          <w:sz w:val="24"/>
          <w:szCs w:val="24"/>
          <w:lang w:val="en-US"/>
        </w:rPr>
        <w:t xml:space="preserve">. </w:t>
      </w:r>
      <w:r w:rsidR="003B1758" w:rsidRPr="00CC1992">
        <w:rPr>
          <w:rFonts w:ascii="Arial" w:hAnsi="Arial" w:cs="Arial"/>
          <w:sz w:val="24"/>
          <w:szCs w:val="24"/>
          <w:lang w:val="en-US"/>
        </w:rPr>
        <w:t xml:space="preserve">In turn, </w:t>
      </w:r>
      <w:r w:rsidR="008E67F5" w:rsidRPr="00CC1992">
        <w:rPr>
          <w:rFonts w:ascii="Arial" w:hAnsi="Arial" w:cs="Arial"/>
          <w:sz w:val="24"/>
          <w:szCs w:val="24"/>
          <w:lang w:val="en-US"/>
        </w:rPr>
        <w:t>there is a significant association between depression and the incidence of Parkinson’s disease</w:t>
      </w:r>
      <w:r w:rsidR="0057180A" w:rsidRPr="00CC1992">
        <w:rPr>
          <w:rFonts w:ascii="Arial" w:hAnsi="Arial" w:cs="Arial"/>
          <w:sz w:val="24"/>
          <w:szCs w:val="24"/>
          <w:lang w:val="en-US"/>
        </w:rPr>
        <w:t xml:space="preserve">, </w:t>
      </w:r>
      <w:r w:rsidR="00E2083B">
        <w:rPr>
          <w:rFonts w:ascii="Arial" w:hAnsi="Arial" w:cs="Arial"/>
          <w:sz w:val="24"/>
          <w:szCs w:val="24"/>
          <w:lang w:val="en-US"/>
        </w:rPr>
        <w:t xml:space="preserve">with </w:t>
      </w:r>
      <w:r w:rsidR="0057180A" w:rsidRPr="00CC1992">
        <w:rPr>
          <w:rFonts w:ascii="Arial" w:hAnsi="Arial" w:cs="Arial"/>
          <w:sz w:val="24"/>
          <w:szCs w:val="24"/>
          <w:lang w:val="en-US"/>
        </w:rPr>
        <w:t xml:space="preserve">these two disorders sharing common </w:t>
      </w:r>
      <w:proofErr w:type="spellStart"/>
      <w:r w:rsidR="006A0723" w:rsidRPr="00CC1992">
        <w:rPr>
          <w:rFonts w:ascii="Arial" w:hAnsi="Arial" w:cs="Arial"/>
          <w:sz w:val="24"/>
          <w:szCs w:val="24"/>
          <w:lang w:val="en-US"/>
        </w:rPr>
        <w:t>physiopathological</w:t>
      </w:r>
      <w:proofErr w:type="spellEnd"/>
      <w:r w:rsidR="0057180A" w:rsidRPr="00CC1992">
        <w:rPr>
          <w:rFonts w:ascii="Arial" w:hAnsi="Arial" w:cs="Arial"/>
          <w:sz w:val="24"/>
          <w:szCs w:val="24"/>
          <w:lang w:val="en-US"/>
        </w:rPr>
        <w:t xml:space="preserve"> characteristics (e.g., cerebral atrophy and decreased levels of gamma-aminobutyric acid)</w:t>
      </w:r>
      <w:r w:rsidR="008E67F5" w:rsidRPr="00CC1992">
        <w:rPr>
          <w:rFonts w:ascii="Arial" w:hAnsi="Arial" w:cs="Arial"/>
          <w:sz w:val="24"/>
          <w:szCs w:val="24"/>
          <w:lang w:val="en-US"/>
        </w:rPr>
        <w:t xml:space="preserve"> </w:t>
      </w:r>
      <w:r w:rsidR="008E67F5"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Cx6DiKn3","properties":{"formattedCitation":"[24]","plainCitation":"[24]","noteIndex":0},"citationItems":[{"id":21362,"uris":["http://zotero.org/users/local/hhPVnw6l/items/93N7Y55J"],"uri":["http://zotero.org/users/local/hhPVnw6l/items/93N7Y55J"],"itemData":{"id":21362,"type":"article-journal","abstract":"BACKGROUND: Observational studies, including recent large cohort studies, have reported an association between depression and the risk of Parkinson's disease (PD); however, conclusions were inconsistent. Clarifying this relation might improve the understanding of risk factors for and the disease mechanisms in PD. Therefore, we performed a meta-analysis to examine whether depression is associated with an increased risk of PD.\nMETHODS: A literature search in the PubMed, EMBASE, Scopus, PsycINFO and Web of Science databases was undertaken through March 2018, looking for observational studies evaluating the association between depression and the risk of PD. Pooled relative risk (RR) estimates and 95% confidence intervals (CIs) were calculated using a random-effects model. Subgroup analyses and sensitivity analyses were also performed.\nRESULTS: A random-effects meta-analysis of 5 cohort studies and 6 case-control studies demonstrated a significant positive association between depression and a subsequent risk of PD (RR, 2.20; 95% CI, 1.87-2.58), and it was consistent across subgroups. Furthermore, sensitivity analysis confirmed the stability of the results; visual examination of funnel plots and Begg's and Egger's tests showed no evidence of publication bias.\nCONCLUSIONS: Our meta-analysis demonstrated that persons with depression exhibited an increased risk of a subsequent PD diagnosis. The pathophysiological and psychological mechanisms underlying this association are still unclear and warrant further research.","container-title":"Progress in Neuro-Psychopharmacology &amp; Biological Psychiatry","DOI":"10.1016/j.pnpbp.2018.05.025","ISSN":"1878-4216","journalAbbreviation":"Prog Neuropsychopharmacol Biol Psychiatry","language":"eng","note":"PMID: 29859854","page":"186-192","source":"PubMed","title":"Association between depression and the subsequent risk of Parkinson's disease: A meta-analysis","title-short":"Association between depression and the subsequent risk of Parkinson's disease","volume":"86","author":[{"family":"Wang","given":"Shun"},{"family":"Mao","given":"Shanping"},{"family":"Xiang","given":"Dan"},{"family":"Fang","given":"Congcong"}],"issued":{"date-parts":[["2018",8,30]]}}}],"schema":"https://github.com/citation-style-language/schema/raw/master/csl-citation.json"} </w:instrText>
      </w:r>
      <w:r w:rsidR="008E67F5" w:rsidRPr="00CC1992">
        <w:rPr>
          <w:rFonts w:ascii="Arial" w:hAnsi="Arial" w:cs="Arial"/>
          <w:sz w:val="24"/>
          <w:szCs w:val="24"/>
          <w:lang w:val="en-US"/>
        </w:rPr>
        <w:fldChar w:fldCharType="separate"/>
      </w:r>
      <w:r w:rsidR="00F67324">
        <w:rPr>
          <w:rFonts w:ascii="Arial" w:hAnsi="Arial" w:cs="Arial"/>
          <w:noProof/>
          <w:sz w:val="24"/>
          <w:szCs w:val="24"/>
          <w:lang w:val="en-US"/>
        </w:rPr>
        <w:t>[24]</w:t>
      </w:r>
      <w:r w:rsidR="008E67F5" w:rsidRPr="00CC1992">
        <w:rPr>
          <w:rFonts w:ascii="Arial" w:hAnsi="Arial" w:cs="Arial"/>
          <w:sz w:val="24"/>
          <w:szCs w:val="24"/>
          <w:lang w:val="en-US"/>
        </w:rPr>
        <w:fldChar w:fldCharType="end"/>
      </w:r>
      <w:r w:rsidR="008E67F5" w:rsidRPr="00CC1992">
        <w:rPr>
          <w:rFonts w:ascii="Arial" w:hAnsi="Arial" w:cs="Arial"/>
          <w:sz w:val="24"/>
          <w:szCs w:val="24"/>
          <w:lang w:val="en-US"/>
        </w:rPr>
        <w:t>.</w:t>
      </w:r>
    </w:p>
    <w:p w14:paraId="7845A3E1" w14:textId="77777777" w:rsidR="0058165A" w:rsidRPr="00CC1992" w:rsidRDefault="0058165A" w:rsidP="00217E81">
      <w:pPr>
        <w:spacing w:line="480" w:lineRule="auto"/>
        <w:jc w:val="both"/>
        <w:rPr>
          <w:rFonts w:ascii="Arial" w:hAnsi="Arial" w:cs="Arial"/>
          <w:sz w:val="24"/>
          <w:szCs w:val="24"/>
          <w:lang w:val="en-US"/>
        </w:rPr>
      </w:pPr>
    </w:p>
    <w:p w14:paraId="46073CE4" w14:textId="77777777" w:rsidR="0058165A" w:rsidRPr="00CC1992" w:rsidRDefault="0058165A" w:rsidP="00A37A26">
      <w:pPr>
        <w:pStyle w:val="Heading2"/>
      </w:pPr>
      <w:r w:rsidRPr="00CC1992">
        <w:t>Public health implications and directions for future research</w:t>
      </w:r>
    </w:p>
    <w:p w14:paraId="46DCA347" w14:textId="2B33277F" w:rsidR="00E45EEE" w:rsidRPr="00CC1992" w:rsidRDefault="0058165A" w:rsidP="00217E81">
      <w:pPr>
        <w:spacing w:line="480" w:lineRule="auto"/>
        <w:jc w:val="both"/>
        <w:rPr>
          <w:rFonts w:ascii="Arial" w:hAnsi="Arial" w:cs="Arial"/>
          <w:sz w:val="24"/>
          <w:szCs w:val="24"/>
          <w:lang w:val="en-US"/>
        </w:rPr>
      </w:pPr>
      <w:r w:rsidRPr="00CC1992">
        <w:rPr>
          <w:rFonts w:ascii="Arial" w:hAnsi="Arial" w:cs="Arial"/>
          <w:sz w:val="24"/>
          <w:szCs w:val="24"/>
          <w:lang w:val="en-US"/>
        </w:rPr>
        <w:t xml:space="preserve">Based on the results of this retrospective cohort study, osteoarthritis is associated with an increase in the incidence of Parkinson’s disease. </w:t>
      </w:r>
      <w:r w:rsidR="004D511A" w:rsidRPr="00CC1992">
        <w:rPr>
          <w:rFonts w:ascii="Arial" w:hAnsi="Arial" w:cs="Arial"/>
          <w:sz w:val="24"/>
          <w:szCs w:val="24"/>
          <w:lang w:val="en-US"/>
        </w:rPr>
        <w:t xml:space="preserve">In this context, measures aiming at the prevention of Parkinson’s disease should be implemented in </w:t>
      </w:r>
      <w:r w:rsidR="00E2083B">
        <w:rPr>
          <w:rFonts w:ascii="Arial" w:hAnsi="Arial" w:cs="Arial"/>
          <w:sz w:val="24"/>
          <w:szCs w:val="24"/>
          <w:lang w:val="en-US"/>
        </w:rPr>
        <w:t xml:space="preserve">patients with </w:t>
      </w:r>
      <w:r w:rsidR="004D511A" w:rsidRPr="00CC1992">
        <w:rPr>
          <w:rFonts w:ascii="Arial" w:hAnsi="Arial" w:cs="Arial"/>
          <w:sz w:val="24"/>
          <w:szCs w:val="24"/>
          <w:lang w:val="en-US"/>
        </w:rPr>
        <w:t xml:space="preserve">osteoarthritis. One of these measures </w:t>
      </w:r>
      <w:r w:rsidR="00443913">
        <w:rPr>
          <w:rFonts w:ascii="Arial" w:hAnsi="Arial" w:cs="Arial"/>
          <w:sz w:val="24"/>
          <w:szCs w:val="24"/>
          <w:lang w:val="en-US"/>
        </w:rPr>
        <w:t>could be</w:t>
      </w:r>
      <w:r w:rsidR="004D511A" w:rsidRPr="00CC1992">
        <w:rPr>
          <w:rFonts w:ascii="Arial" w:hAnsi="Arial" w:cs="Arial"/>
          <w:sz w:val="24"/>
          <w:szCs w:val="24"/>
          <w:lang w:val="en-US"/>
        </w:rPr>
        <w:t xml:space="preserve"> physical activity (e.g., walking, running and yoga), as an important body of literature has shown that physical activity can decrease the risk of Parkinson’s disease and alleviate the symptoms of this neurodegenerative condition </w:t>
      </w:r>
      <w:r w:rsidR="00D51CD9"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a4QQopzh","properties":{"formattedCitation":"[31]","plainCitation":"[31]","noteIndex":0},"citationItems":[{"id":21378,"uris":["http://zotero.org/users/local/hhPVnw6l/items/INRXQXLX"],"uri":["http://zotero.org/users/local/hhPVnw6l/items/INRXQXLX"],"itemData":{"id":21378,"type":"article-journal","abstract":"Aim\n This study was aimed at investigating the effects and molecular mechanisms of physical activity intervention on Parkinson's disease (PD) and providing theoretical guidance for the prevention and treatment of PD. \n\nMethods\n Four electronic databases up to December 2019 were searched (PubMed, Springer, Elsevier, and Wiley database), 176 articles were selected. Literature data were analyzed by the logic analysis method. \n\nResults\n (1) Risk factors of PD include dairy products, pesticides, traumatic brain injury, and obesity. Protective factors include alcohol, tobacco, coffee, black tea, and physical activity. (2) Physical activity can reduce the risk and improve symptoms of PD and the beneficial forms of physical activity, including running, dancing, traditional Chinese martial arts, yoga, and weight training. (3) Different forms of physical activity alleviate the symptoms of PD through different mechanisms, including reducing the accumulation of α-syn protein, inflammation, and oxidative stress, while enhancing BDNF activity, nerve regeneration, and mitochondrial function. \n\nConclusion\n Physical activity has a positive impact on the prevention and treatment of PD. Illustrating the molecular mechanism of physical activity-induced protective effect on PD is an urgent need for improving the efficacy of PD therapy regimens in the future.","container-title":"Oxidative Medicine and Cellular Longevity","DOI":"10.1155/2020/4293071","ISSN":"1942-0900","journalAbbreviation":"Oxid Med Cell Longev","note":"PMID: 32215173\nPMCID: PMC7042542","page":"4293071","source":"PubMed Central","title":"What and How Can Physical Activity Prevention Function on Parkinson's Disease?","volume":"2020","author":[{"family":"Fan","given":"Baozhu"},{"family":"Jabeen","given":"Riffat"},{"family":"Bo","given":"Bing"},{"family":"Guo","given":"Chunlei"},{"family":"Han","given":"Mengjie"},{"family":"Zhang","given":"Hui"},{"family":"Cen","given":"Juan"},{"family":"Ji","given":"Xinying"},{"family":"Wei","given":"Jianshe"}],"issued":{"date-parts":[["2020",2,13]]}}}],"schema":"https://github.com/citation-style-language/schema/raw/master/csl-citation.json"} </w:instrText>
      </w:r>
      <w:r w:rsidR="00D51CD9" w:rsidRPr="00CC1992">
        <w:rPr>
          <w:rFonts w:ascii="Arial" w:hAnsi="Arial" w:cs="Arial"/>
          <w:sz w:val="24"/>
          <w:szCs w:val="24"/>
          <w:lang w:val="en-US"/>
        </w:rPr>
        <w:fldChar w:fldCharType="separate"/>
      </w:r>
      <w:r w:rsidR="00F67324">
        <w:rPr>
          <w:rFonts w:ascii="Arial" w:hAnsi="Arial" w:cs="Arial"/>
          <w:noProof/>
          <w:sz w:val="24"/>
          <w:szCs w:val="24"/>
          <w:lang w:val="en-US"/>
        </w:rPr>
        <w:t>[31]</w:t>
      </w:r>
      <w:r w:rsidR="00D51CD9" w:rsidRPr="00CC1992">
        <w:rPr>
          <w:rFonts w:ascii="Arial" w:hAnsi="Arial" w:cs="Arial"/>
          <w:sz w:val="24"/>
          <w:szCs w:val="24"/>
          <w:lang w:val="en-US"/>
        </w:rPr>
        <w:fldChar w:fldCharType="end"/>
      </w:r>
      <w:r w:rsidR="00CA49B8" w:rsidRPr="00CC1992">
        <w:rPr>
          <w:rFonts w:ascii="Arial" w:hAnsi="Arial" w:cs="Arial"/>
          <w:sz w:val="24"/>
          <w:szCs w:val="24"/>
          <w:lang w:val="en-US"/>
        </w:rPr>
        <w:t xml:space="preserve">. In addition, </w:t>
      </w:r>
      <w:r w:rsidR="005F2D22" w:rsidRPr="00CC1992">
        <w:rPr>
          <w:rFonts w:ascii="Arial" w:hAnsi="Arial" w:cs="Arial"/>
          <w:sz w:val="24"/>
          <w:szCs w:val="24"/>
          <w:lang w:val="en-US"/>
        </w:rPr>
        <w:t>the management of depression and impaired mental well</w:t>
      </w:r>
      <w:r w:rsidR="00A82301" w:rsidRPr="00CC1992">
        <w:rPr>
          <w:rFonts w:ascii="Arial" w:hAnsi="Arial" w:cs="Arial"/>
          <w:sz w:val="24"/>
          <w:szCs w:val="24"/>
          <w:lang w:val="en-US"/>
        </w:rPr>
        <w:t>being</w:t>
      </w:r>
      <w:r w:rsidR="00A82F9A" w:rsidRPr="00CC1992">
        <w:rPr>
          <w:rFonts w:ascii="Arial" w:hAnsi="Arial" w:cs="Arial"/>
          <w:sz w:val="24"/>
          <w:szCs w:val="24"/>
          <w:lang w:val="en-US"/>
        </w:rPr>
        <w:t xml:space="preserve"> in people with osteoarthritis </w:t>
      </w:r>
      <w:r w:rsidR="00443913">
        <w:rPr>
          <w:rFonts w:ascii="Arial" w:hAnsi="Arial" w:cs="Arial"/>
          <w:sz w:val="24"/>
          <w:szCs w:val="24"/>
          <w:lang w:val="en-US"/>
        </w:rPr>
        <w:t>may be</w:t>
      </w:r>
      <w:r w:rsidR="00A82F9A" w:rsidRPr="00CC1992">
        <w:rPr>
          <w:rFonts w:ascii="Arial" w:hAnsi="Arial" w:cs="Arial"/>
          <w:sz w:val="24"/>
          <w:szCs w:val="24"/>
          <w:lang w:val="en-US"/>
        </w:rPr>
        <w:t xml:space="preserve"> of </w:t>
      </w:r>
      <w:r w:rsidR="002B157A" w:rsidRPr="00CC1992">
        <w:rPr>
          <w:rFonts w:ascii="Arial" w:hAnsi="Arial" w:cs="Arial"/>
          <w:sz w:val="24"/>
          <w:szCs w:val="24"/>
          <w:lang w:val="en-US"/>
        </w:rPr>
        <w:t xml:space="preserve">utmost importance, and this management may </w:t>
      </w:r>
      <w:r w:rsidR="00CD6DF1" w:rsidRPr="00CC1992">
        <w:rPr>
          <w:rFonts w:ascii="Arial" w:hAnsi="Arial" w:cs="Arial"/>
          <w:sz w:val="24"/>
          <w:szCs w:val="24"/>
          <w:lang w:val="en-US"/>
        </w:rPr>
        <w:t xml:space="preserve">consist of patient education programs, </w:t>
      </w:r>
      <w:r w:rsidR="00D806A4" w:rsidRPr="00CC1992">
        <w:rPr>
          <w:rFonts w:ascii="Arial" w:hAnsi="Arial" w:cs="Arial"/>
          <w:sz w:val="24"/>
          <w:szCs w:val="24"/>
          <w:lang w:val="en-US"/>
        </w:rPr>
        <w:t xml:space="preserve">cognitive behavioral therapy and </w:t>
      </w:r>
      <w:r w:rsidR="00721F79" w:rsidRPr="00CC1992">
        <w:rPr>
          <w:rFonts w:ascii="Arial" w:hAnsi="Arial" w:cs="Arial"/>
          <w:sz w:val="24"/>
          <w:szCs w:val="24"/>
          <w:lang w:val="en-US"/>
        </w:rPr>
        <w:t>pharmacological interventions</w:t>
      </w:r>
      <w:r w:rsidR="00B01501" w:rsidRPr="00CC1992">
        <w:rPr>
          <w:rFonts w:ascii="Arial" w:hAnsi="Arial" w:cs="Arial"/>
          <w:sz w:val="24"/>
          <w:szCs w:val="24"/>
          <w:lang w:val="en-US"/>
        </w:rPr>
        <w:t xml:space="preserve"> </w:t>
      </w:r>
      <w:r w:rsidR="00B01501"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KsnxTrr1","properties":{"formattedCitation":"[32]","plainCitation":"[32]","noteIndex":0},"citationItems":[{"id":21381,"uris":["http://zotero.org/users/local/hhPVnw6l/items/C6ZEHMCI"],"uri":["http://zotero.org/users/local/hhPVnw6l/items/C6ZEHMCI"],"itemData":{"id":21381,"type":"article-journal","abstract":"OBJECTIVES: Osteoarthritis (OA) is the most common form of arthritis, and depressive symptoms are common in older people with arthritic pain. However, relatively little attention has been given to the efficacy of interventions that may be beneficial for older people with OA with concomitant depressive symptoms.\nMETHODS: The aim of this review was to evaluate data from clinical trials testing the effectiveness of various interventions for older patients suffering from OA and depression. Systematic searches were conducted on MEDLINE, CINAHL, Scopus, PsychInfo, Web of Knowledge and Pubmed (January 1990-July 2009).\nRESULTS: Fourteen studies were identified and examined. Interventions highlighted in these studies were: patient education programmes (N = 3); cognitive behavioural therapy (CBT) (N = 2); depression care and pharmacological intervention (N = 2); and exercise therapy (N = 7). 11 out of 14 interventions showed some improvement in patients' depressive symptoms in the short term. Three of the interventions did not affect depressive symptoms on patients with OA.\nCONCLUSIONS: There was some evidence to suggest that the intervention of CBT, integrated depression care management and exercise therapy were associated with reduced depressive symptoms in the short term. However, the long-term benefits of depression management in patients with OA with co-morbid depression are unknown. Future well-controlled clinical trials are needed.","container-title":"Aging &amp; Mental Health","DOI":"10.1080/13607860903483094","ISSN":"1364-6915","issue":"6","journalAbbreviation":"Aging Ment Health","language":"eng","note":"PMID: 20686976","page":"637-651","source":"PubMed","title":"Management of depression in older people with osteoarthritis: A systematic review","title-short":"Management of depression in older people with osteoarthritis","volume":"14","author":[{"family":"Yohannes","given":"Abebaw Mengistu"},{"family":"Caton","given":"Sue"}],"issued":{"date-parts":[["2010",8]]}}}],"schema":"https://github.com/citation-style-language/schema/raw/master/csl-citation.json"} </w:instrText>
      </w:r>
      <w:r w:rsidR="00B01501" w:rsidRPr="00CC1992">
        <w:rPr>
          <w:rFonts w:ascii="Arial" w:hAnsi="Arial" w:cs="Arial"/>
          <w:sz w:val="24"/>
          <w:szCs w:val="24"/>
          <w:lang w:val="en-US"/>
        </w:rPr>
        <w:fldChar w:fldCharType="separate"/>
      </w:r>
      <w:r w:rsidR="00F67324">
        <w:rPr>
          <w:rFonts w:ascii="Arial" w:hAnsi="Arial" w:cs="Arial"/>
          <w:noProof/>
          <w:sz w:val="24"/>
          <w:szCs w:val="24"/>
          <w:lang w:val="en-US"/>
        </w:rPr>
        <w:t>[32]</w:t>
      </w:r>
      <w:r w:rsidR="00B01501" w:rsidRPr="00CC1992">
        <w:rPr>
          <w:rFonts w:ascii="Arial" w:hAnsi="Arial" w:cs="Arial"/>
          <w:sz w:val="24"/>
          <w:szCs w:val="24"/>
          <w:lang w:val="en-US"/>
        </w:rPr>
        <w:fldChar w:fldCharType="end"/>
      </w:r>
      <w:r w:rsidR="00721F79" w:rsidRPr="00CC1992">
        <w:rPr>
          <w:rFonts w:ascii="Arial" w:hAnsi="Arial" w:cs="Arial"/>
          <w:sz w:val="24"/>
          <w:szCs w:val="24"/>
          <w:lang w:val="en-US"/>
        </w:rPr>
        <w:t xml:space="preserve">. </w:t>
      </w:r>
      <w:r w:rsidR="00CD5170" w:rsidRPr="00CC1992">
        <w:rPr>
          <w:rFonts w:ascii="Arial" w:hAnsi="Arial" w:cs="Arial"/>
          <w:sz w:val="24"/>
          <w:szCs w:val="24"/>
          <w:lang w:val="en-US"/>
        </w:rPr>
        <w:t>Finally</w:t>
      </w:r>
      <w:r w:rsidR="00847BE1" w:rsidRPr="00CC1992">
        <w:rPr>
          <w:rFonts w:ascii="Arial" w:hAnsi="Arial" w:cs="Arial"/>
          <w:sz w:val="24"/>
          <w:szCs w:val="24"/>
          <w:lang w:val="en-US"/>
        </w:rPr>
        <w:t xml:space="preserve">, more studies of longitudinal nature are needed </w:t>
      </w:r>
      <w:r w:rsidR="008A3893" w:rsidRPr="00CC1992">
        <w:rPr>
          <w:rFonts w:ascii="Arial" w:hAnsi="Arial" w:cs="Arial"/>
          <w:sz w:val="24"/>
          <w:szCs w:val="24"/>
          <w:lang w:val="en-US"/>
        </w:rPr>
        <w:t xml:space="preserve">to corroborate or invalidate </w:t>
      </w:r>
      <w:r w:rsidR="00C43EF0" w:rsidRPr="00CC1992">
        <w:rPr>
          <w:rFonts w:ascii="Arial" w:hAnsi="Arial" w:cs="Arial"/>
          <w:sz w:val="24"/>
          <w:szCs w:val="24"/>
          <w:lang w:val="en-US"/>
        </w:rPr>
        <w:t>these findings</w:t>
      </w:r>
      <w:r w:rsidR="008A3893" w:rsidRPr="00CC1992">
        <w:rPr>
          <w:rFonts w:ascii="Arial" w:hAnsi="Arial" w:cs="Arial"/>
          <w:sz w:val="24"/>
          <w:szCs w:val="24"/>
          <w:lang w:val="en-US"/>
        </w:rPr>
        <w:t xml:space="preserve"> in other settings and countries, while </w:t>
      </w:r>
      <w:r w:rsidR="00593C21" w:rsidRPr="00CC1992">
        <w:rPr>
          <w:rFonts w:ascii="Arial" w:hAnsi="Arial" w:cs="Arial"/>
          <w:sz w:val="24"/>
          <w:szCs w:val="24"/>
          <w:lang w:val="en-US"/>
        </w:rPr>
        <w:t>further research</w:t>
      </w:r>
      <w:r w:rsidR="00AE6D3E" w:rsidRPr="00CC1992">
        <w:rPr>
          <w:rFonts w:ascii="Arial" w:hAnsi="Arial" w:cs="Arial"/>
          <w:sz w:val="24"/>
          <w:szCs w:val="24"/>
          <w:lang w:val="en-US"/>
        </w:rPr>
        <w:t xml:space="preserve"> should be conducted to </w:t>
      </w:r>
      <w:r w:rsidR="00CD5170" w:rsidRPr="00CC1992">
        <w:rPr>
          <w:rFonts w:ascii="Arial" w:hAnsi="Arial" w:cs="Arial"/>
          <w:sz w:val="24"/>
          <w:szCs w:val="24"/>
          <w:lang w:val="en-US"/>
        </w:rPr>
        <w:t>better</w:t>
      </w:r>
      <w:r w:rsidR="00593C21" w:rsidRPr="00CC1992">
        <w:rPr>
          <w:rFonts w:ascii="Arial" w:hAnsi="Arial" w:cs="Arial"/>
          <w:sz w:val="24"/>
          <w:szCs w:val="24"/>
          <w:lang w:val="en-US"/>
        </w:rPr>
        <w:t xml:space="preserve"> </w:t>
      </w:r>
      <w:r w:rsidR="00CD5170" w:rsidRPr="00CC1992">
        <w:rPr>
          <w:rFonts w:ascii="Arial" w:hAnsi="Arial" w:cs="Arial"/>
          <w:sz w:val="24"/>
          <w:szCs w:val="24"/>
          <w:lang w:val="en-US"/>
        </w:rPr>
        <w:t>characterize</w:t>
      </w:r>
      <w:r w:rsidR="00ED6AAA" w:rsidRPr="00CC1992">
        <w:rPr>
          <w:rFonts w:ascii="Arial" w:hAnsi="Arial" w:cs="Arial"/>
          <w:sz w:val="24"/>
          <w:szCs w:val="24"/>
          <w:lang w:val="en-US"/>
        </w:rPr>
        <w:t xml:space="preserve"> the mechanisms underlying the osteoarthritis-Parkinson’s disease relationship</w:t>
      </w:r>
      <w:r w:rsidR="00CD5170" w:rsidRPr="00CC1992">
        <w:rPr>
          <w:rFonts w:ascii="Arial" w:hAnsi="Arial" w:cs="Arial"/>
          <w:sz w:val="24"/>
          <w:szCs w:val="24"/>
          <w:lang w:val="en-US"/>
        </w:rPr>
        <w:t>.</w:t>
      </w:r>
    </w:p>
    <w:p w14:paraId="1416594B" w14:textId="40B1EE45" w:rsidR="00E45EEE" w:rsidRDefault="00E45EEE" w:rsidP="00217E81">
      <w:pPr>
        <w:spacing w:line="480" w:lineRule="auto"/>
        <w:jc w:val="both"/>
        <w:rPr>
          <w:rFonts w:ascii="Arial" w:hAnsi="Arial" w:cs="Arial"/>
          <w:sz w:val="24"/>
          <w:szCs w:val="24"/>
          <w:lang w:val="en-US"/>
        </w:rPr>
      </w:pPr>
    </w:p>
    <w:p w14:paraId="050EB140" w14:textId="1FB2921C" w:rsidR="00A37A26" w:rsidRDefault="00A37A26" w:rsidP="00217E81">
      <w:pPr>
        <w:spacing w:line="480" w:lineRule="auto"/>
        <w:jc w:val="both"/>
        <w:rPr>
          <w:rFonts w:ascii="Arial" w:hAnsi="Arial" w:cs="Arial"/>
          <w:sz w:val="24"/>
          <w:szCs w:val="24"/>
          <w:lang w:val="en-US"/>
        </w:rPr>
      </w:pPr>
    </w:p>
    <w:p w14:paraId="209BF5F2" w14:textId="77777777" w:rsidR="00A37A26" w:rsidRPr="00CC1992" w:rsidRDefault="00A37A26" w:rsidP="00217E81">
      <w:pPr>
        <w:spacing w:line="480" w:lineRule="auto"/>
        <w:jc w:val="both"/>
        <w:rPr>
          <w:rFonts w:ascii="Arial" w:hAnsi="Arial" w:cs="Arial"/>
          <w:sz w:val="24"/>
          <w:szCs w:val="24"/>
          <w:lang w:val="en-US"/>
        </w:rPr>
      </w:pPr>
    </w:p>
    <w:p w14:paraId="3FCD9993" w14:textId="77777777" w:rsidR="00E45EEE" w:rsidRPr="00CC1992" w:rsidRDefault="00E45EEE" w:rsidP="00A37A26">
      <w:pPr>
        <w:pStyle w:val="Heading2"/>
      </w:pPr>
      <w:r w:rsidRPr="00CC1992">
        <w:lastRenderedPageBreak/>
        <w:t xml:space="preserve">Strengths and limitations </w:t>
      </w:r>
    </w:p>
    <w:p w14:paraId="59996C8A" w14:textId="78F8FA43" w:rsidR="00531BCB" w:rsidRPr="00CC1992" w:rsidRDefault="00E45EEE" w:rsidP="00217E81">
      <w:pPr>
        <w:spacing w:line="480" w:lineRule="auto"/>
        <w:jc w:val="both"/>
        <w:rPr>
          <w:rFonts w:ascii="Arial" w:hAnsi="Arial" w:cs="Arial"/>
          <w:sz w:val="24"/>
          <w:szCs w:val="24"/>
          <w:lang w:val="en-US"/>
        </w:rPr>
      </w:pPr>
      <w:r w:rsidRPr="00CC1992">
        <w:rPr>
          <w:rFonts w:ascii="Arial" w:hAnsi="Arial" w:cs="Arial"/>
          <w:sz w:val="24"/>
          <w:szCs w:val="24"/>
          <w:lang w:val="en-US"/>
        </w:rPr>
        <w:t xml:space="preserve">Two major strengths of this study </w:t>
      </w:r>
      <w:r w:rsidR="000E2A5E" w:rsidRPr="00CC1992">
        <w:rPr>
          <w:rFonts w:ascii="Arial" w:hAnsi="Arial" w:cs="Arial"/>
          <w:sz w:val="24"/>
          <w:szCs w:val="24"/>
          <w:lang w:val="en-US"/>
        </w:rPr>
        <w:t xml:space="preserve">are the large sample size and the use of longitudinal data. </w:t>
      </w:r>
      <w:r w:rsidR="00050CC2" w:rsidRPr="00CC1992">
        <w:rPr>
          <w:rFonts w:ascii="Arial" w:hAnsi="Arial" w:cs="Arial"/>
          <w:sz w:val="24"/>
          <w:szCs w:val="24"/>
          <w:lang w:val="en-US"/>
        </w:rPr>
        <w:t xml:space="preserve">Nonetheless, this study also displays several limitations that should be acknowledged at this point. First, the diagnosis of osteoarthritis relied on ICD-10 codes only, and more information </w:t>
      </w:r>
      <w:r w:rsidR="00F83C66" w:rsidRPr="00CC1992">
        <w:rPr>
          <w:rFonts w:ascii="Arial" w:hAnsi="Arial" w:cs="Arial"/>
          <w:sz w:val="24"/>
          <w:szCs w:val="24"/>
          <w:lang w:val="en-US"/>
        </w:rPr>
        <w:t>on</w:t>
      </w:r>
      <w:r w:rsidR="00BE6013" w:rsidRPr="00CC1992">
        <w:rPr>
          <w:rFonts w:ascii="Arial" w:hAnsi="Arial" w:cs="Arial"/>
          <w:sz w:val="24"/>
          <w:szCs w:val="24"/>
          <w:lang w:val="en-US"/>
        </w:rPr>
        <w:t xml:space="preserve"> clinical and </w:t>
      </w:r>
      <w:r w:rsidR="00F83C66" w:rsidRPr="00CC1992">
        <w:rPr>
          <w:rFonts w:ascii="Arial" w:hAnsi="Arial" w:cs="Arial"/>
          <w:sz w:val="24"/>
          <w:szCs w:val="24"/>
          <w:lang w:val="en-US"/>
        </w:rPr>
        <w:t>radiographic characteristics of the dis</w:t>
      </w:r>
      <w:r w:rsidR="00422B8A" w:rsidRPr="00CC1992">
        <w:rPr>
          <w:rFonts w:ascii="Arial" w:hAnsi="Arial" w:cs="Arial"/>
          <w:sz w:val="24"/>
          <w:szCs w:val="24"/>
          <w:lang w:val="en-US"/>
        </w:rPr>
        <w:t xml:space="preserve">order may have allowed </w:t>
      </w:r>
      <w:r w:rsidR="00F16689">
        <w:rPr>
          <w:rFonts w:ascii="Arial" w:hAnsi="Arial" w:cs="Arial"/>
          <w:sz w:val="24"/>
          <w:szCs w:val="24"/>
          <w:lang w:val="en-US"/>
        </w:rPr>
        <w:t xml:space="preserve">for </w:t>
      </w:r>
      <w:r w:rsidR="00422B8A" w:rsidRPr="00CC1992">
        <w:rPr>
          <w:rFonts w:ascii="Arial" w:hAnsi="Arial" w:cs="Arial"/>
          <w:sz w:val="24"/>
          <w:szCs w:val="24"/>
          <w:lang w:val="en-US"/>
        </w:rPr>
        <w:t xml:space="preserve">more detailed analyses. </w:t>
      </w:r>
      <w:r w:rsidR="002E3A7D" w:rsidRPr="00CC1992">
        <w:rPr>
          <w:rFonts w:ascii="Arial" w:hAnsi="Arial" w:cs="Arial"/>
          <w:sz w:val="24"/>
          <w:szCs w:val="24"/>
          <w:lang w:val="en-US"/>
        </w:rPr>
        <w:t xml:space="preserve">Second, </w:t>
      </w:r>
      <w:r w:rsidR="00F43252" w:rsidRPr="00CC1992">
        <w:rPr>
          <w:rFonts w:ascii="Arial" w:hAnsi="Arial" w:cs="Arial"/>
          <w:sz w:val="24"/>
          <w:szCs w:val="24"/>
          <w:lang w:val="en-US"/>
        </w:rPr>
        <w:t xml:space="preserve">patients may have been diagnosed with Parkinson’s disease in neurological </w:t>
      </w:r>
      <w:r w:rsidR="00EF730E" w:rsidRPr="00CC1992">
        <w:rPr>
          <w:rFonts w:ascii="Arial" w:hAnsi="Arial" w:cs="Arial"/>
          <w:sz w:val="24"/>
          <w:szCs w:val="24"/>
          <w:lang w:val="en-US"/>
        </w:rPr>
        <w:t>practices, and the incidence of this neurodegenerative condition may have been underestimated.</w:t>
      </w:r>
      <w:r w:rsidR="009107B8" w:rsidRPr="00CC1992">
        <w:rPr>
          <w:rFonts w:ascii="Arial" w:hAnsi="Arial" w:cs="Arial"/>
          <w:sz w:val="24"/>
          <w:szCs w:val="24"/>
          <w:lang w:val="en-US"/>
        </w:rPr>
        <w:t xml:space="preserve"> Third, no data was available on health behaviors (e.g.</w:t>
      </w:r>
      <w:r w:rsidR="00E55309" w:rsidRPr="00CC1992">
        <w:rPr>
          <w:rFonts w:ascii="Arial" w:hAnsi="Arial" w:cs="Arial"/>
          <w:sz w:val="24"/>
          <w:szCs w:val="24"/>
          <w:lang w:val="en-US"/>
        </w:rPr>
        <w:t>, smoking and physical activity)</w:t>
      </w:r>
      <w:r w:rsidR="006C5A9D">
        <w:rPr>
          <w:rFonts w:ascii="Arial" w:hAnsi="Arial" w:cs="Arial"/>
          <w:sz w:val="24"/>
          <w:szCs w:val="24"/>
          <w:lang w:val="en-US"/>
        </w:rPr>
        <w:t>,</w:t>
      </w:r>
      <w:r w:rsidR="00081E65" w:rsidRPr="00CC1992">
        <w:rPr>
          <w:rFonts w:ascii="Arial" w:hAnsi="Arial" w:cs="Arial"/>
          <w:sz w:val="24"/>
          <w:szCs w:val="24"/>
          <w:lang w:val="en-US"/>
        </w:rPr>
        <w:t xml:space="preserve"> and as some of these behaviors are associated with both osteoarthritis and Parkinson’s disease</w:t>
      </w:r>
      <w:r w:rsidR="00F315D3" w:rsidRPr="00CC1992">
        <w:rPr>
          <w:rFonts w:ascii="Arial" w:hAnsi="Arial" w:cs="Arial"/>
          <w:sz w:val="24"/>
          <w:szCs w:val="24"/>
          <w:lang w:val="en-US"/>
        </w:rPr>
        <w:t xml:space="preserve"> </w:t>
      </w:r>
      <w:r w:rsidR="00F315D3" w:rsidRPr="00CC1992">
        <w:rPr>
          <w:rFonts w:ascii="Arial" w:hAnsi="Arial" w:cs="Arial"/>
          <w:sz w:val="24"/>
          <w:szCs w:val="24"/>
          <w:lang w:val="en-US"/>
        </w:rPr>
        <w:fldChar w:fldCharType="begin"/>
      </w:r>
      <w:r w:rsidR="00F67324">
        <w:rPr>
          <w:rFonts w:ascii="Arial" w:hAnsi="Arial" w:cs="Arial"/>
          <w:sz w:val="24"/>
          <w:szCs w:val="24"/>
          <w:lang w:val="en-US"/>
        </w:rPr>
        <w:instrText xml:space="preserve"> ADDIN ZOTERO_ITEM CSL_CITATION {"citationID":"6iCrAhW3","properties":{"formattedCitation":"[19,20,33,34]","plainCitation":"[19,20,33,34]","noteIndex":0},"citationItems":[{"id":21351,"uris":["http://zotero.org/users/local/hhPVnw6l/items/KKTD968T"],"uri":["http://zotero.org/users/local/hhPVnw6l/items/KKTD968T"],"itemData":{"id":21351,"type":"article-journal","abstract":"BACKGROUND: Regular physical activity in persons with arthritis has been shown to decrease pain, improve function, and delay disability. This study estimates the national prevalence of leisure-time physical activity and identifies factors associated with physical inactivity in adults with arthritis.\nMETHODS: Data from the 2002 National Health Interview Survey were analyzed in 2004-2005 to estimate the proportion of adults with arthritis meeting four physical activity recommendations put forward in Healthy People 2010 and one arthritis-specific recommendation established by a national expert panel in arthritis and physical activity. Multivariate logistic regression was used to evaluate the association between inactivity and sociodemographic factors, body mass index, functional limitations, social limitations, need for special equipment, frequent anxiety/depression, affected joint location, joint pain, physical activity counseling, and access to a fitness facility.\nRESULTS: Adults with arthritis were significantly less likely than adults without arthritis to engage in recommended levels of moderate or vigorous physical activity, and 37% of adults with arthritis were inactive. In both men and women with arthritis, inactivity was associated with older age, lower education, and having functional limitations; having access to a fitness facility was inversely associated with inactivity. Among women, inactivity was also associated with being Hispanic, non-Hispanic black, having frequent anxiety/depression or social limitations, needing special equipment, and not receiving physical activity counseling. Among men, inactivity was also associated with severe joint pain.\nCONCLUSIONS: Although physical activity is a recommended therapy for people with arthritis, levels among adults with arthritis are insufficient, and those with arthritis have worse activity profiles than their peers without arthritis. Efforts to promote physical activity should include expanding access to evidence-based interventions and recreational facilities/programs. The importance of physical activity counseling and associated pain management measures by healthcare providers should be emphasized.","container-title":"American Journal of Preventive Medicine","DOI":"10.1016/j.amepre.2005.12.005","ISSN":"0749-3797","issue":"5","journalAbbreviation":"Am J Prev Med","language":"eng","note":"PMID: 16627126","page":"385-393","source":"PubMed","title":"Physical activity in men and women with arthritis National Health Interview Survey, 2002","volume":"30","author":[{"family":"Shih","given":"Margaret"},{"family":"Hootman","given":"Jennifer M."},{"family":"Kruger","given":"Judy"},{"family":"Helmick","given":"Charles G."}],"issued":{"date-parts":[["2006",5]]}}},{"id":21353,"uris":["http://zotero.org/users/local/hhPVnw6l/items/KW7DXL66"],"uri":["http://zotero.org/users/local/hhPVnw6l/items/KW7DXL66"],"itemData":{"id":21353,"type":"article-journal","abstract":"Importance: The association between physical activity and the risk of Parkinson disease (PD) has been increasingly recognized. However, to our knowledge, a comprehensive assessment of the quantitative dose-response association between physical activity and PD risk has not been performed previously.\nObjective: To quantify the dose-response association between physical activity and the risk of developing PD.\nData Sources: PubMed, Embase, and Web of Science were systematically searched for peer-reviewed articles published through February 2018 reporting the association between physical activity and PD risk.\nStudy Selection: Prospective studies that examined the association between physical activity and PD risk were included.\nData Extraction and Synthesis: Data were extracted independently by 2 investigators. Adjusted risk estimates were extracted and pooled using a random-effects model. The study adhered to Meta-analysis of Observational Studies in Epidemiology (MOOSE) reporting guidelines.\nMain Outcomes and Measures: The main outcome was the incidence of PD diagnoses confirmed by the treating neurologists or the authoritative medical records.\nResults: Eight prospective studies totaling 544 336 participants included 2192 patients with PD with a median (range) follow-up period of 12 (6.1-22.0) years were identified. A significantly reduced risk of PD was associated with the highest levels of either total physical activity (relative risk, 0.79; 95% CI, 0.68-0.91) or moderate to vigorous physical activity (relative risk, 0.71; 95% CI, 0.58-0.87), with stronger associations among men than among women. In contrast, light physical activity was not associated with PD risk (relative risk, 0.86; 95% CI, 0.60-1.23). The dose-response analysis revealed that for each 10 metabolic equivalent of task-hours/week increase in total or moderate to vigorous physical activity, the risk of PD among men decreased by 10% and 17%, respectively. No linear dose-response association was found between physical activity and PD risk among women.\nConclusions and Relevance: This analysis revealed an inverse dose-response association between physical activity and PD risk among men; importantly, even moderate exercise was associated with a significant reduction in the risk of PD. Future studies with quantified measurements of physical activity will help identify the precise relative risk estimates for various levels of activity with respect to PD risk.","container-title":"JAMA network open","DOI":"10.1001/jamanetworkopen.2018.2421","ISSN":"2574-3805","issue":"5","journalAbbreviation":"JAMA Netw Open","language":"eng","note":"PMID: 30646166\nPMCID: PMC6324511","page":"e182421","source":"PubMed","title":"Association of Levels of Physical Activity With Risk of Parkinson Disease: A Systematic Review and Meta-analysis","title-short":"Association of Levels of Physical Activity With Risk of Parkinson Disease","volume":"1","author":[{"family":"Fang","given":"Xuexian"},{"family":"Han","given":"Dan"},{"family":"Cheng","given":"Qi"},{"family":"Zhang","given":"Pan"},{"family":"Zhao","given":"Chunhui"},{"family":"Min","given":"Junxia"},{"family":"Wang","given":"Fudi"}],"issued":{"date-parts":[["2018",9,7]]}}},{"id":21386,"uris":["http://zotero.org/users/local/hhPVnw6l/items/G6YBB5NB"],"uri":["http://zotero.org/users/local/hhPVnw6l/items/G6YBB5NB"],"itemData":{"id":21386,"type":"article-journal","abstract":"OBJECTIVE: To evaluate the association of Parkinson's disease (PD) with smoking, and determine whether gender, source of controls, dose of smoking, and year of studies modify the observed effects of smoking on PD.\nMETHODS: Available publications between 1959 and 2014 from PubMed, ScienceDirect, Springer Link and Web of Science databases were searched and carefully selected. Relative risks RR of specific study were weighted to obtain a pooled RR estimate and its 95% confidence interval CI.\nRESULTS: 61 case-control and 8 cohort studies were included. The pooled RR of PD was 0.59 (95% CI, 0.56-0.62) for ever smokers compared with never smokers. The stratified analyses indicated a somewhat greater impact of smoking on PD risk in cohort studies than in case-control studies, the protective effect was relatively significant in men more than in women and the inverse effect was slightly greater in hospital-based studies than in population-based studies. Furthermore, a significant inverse dose-response relationship was observed for the number of pack-years smoked. The summary RR for those smoking more than 30 pack-years was 0.66 (95% CI, 0.49-0.88), and 0.39 (95% CI, 0.29-0.53) for those smoking less than 30 pack-years.\nCONCLUSION: The results demonstrated the inverse association between cigarette smoking and the risk of PD. We suggest that effective drugs for PD might be developed using chemical substances derived from tobacco or tobacco smoke.","container-title":"Archives of Gerontology and Geriatrics","DOI":"10.1016/j.archger.2015.08.004","ISSN":"1872-6976","issue":"3","journalAbbreviation":"Arch Gerontol Geriatr","language":"eng","note":"PMID: 26272284","page":"510-516","source":"PubMed","title":"Association between cigarette smoking and Parkinson's disease: A meta-analysis","title-short":"Association between cigarette smoking and Parkinson's disease","volume":"61","author":[{"family":"Li","given":"Xiao"},{"family":"Li","given":"Weihua"},{"family":"Liu","given":"Guixia"},{"family":"Shen","given":"Xu"},{"family":"Tang","given":"Yun"}],"issued":{"date-parts":[["2015",12]]}}},{"id":21383,"uris":["http://zotero.org/users/local/hhPVnw6l/items/BWWV8D5Q"],"uri":["http://zotero.org/users/local/hhPVnw6l/items/BWWV8D5Q"],"itemData":{"id":21383,"type":"article-journal","abstract":"OBJECTIVE: To investigate the association between smoking and the risk for knee osteoarthritis (OA).\nDESIGN: Cohort, case-control, and cross-sectional studies were obtained from the Medline, Embase, and Web of Science databases. Estimates were calculated using a random-effects model. Subgroup analyses and meta-regression models were performed to investigate potential sources of heterogeneity. We further analyzed the dose-response relationship between cigarette consumption and risk of knee OA.\nRESULTS: Thirty-eight independent observational studies that included 481,744 participants were analyzed. Those who had ever smoked had a significantly decreased risk of developing knee OA relative to those who had never smoked (RR = 0.80; 95% CI 0.73-0.88). This was unaffected by study design, and the pooled relative risks (RRs) were 0.79 (95% CI, 0.65-0.96), 0.71 (95% CI, 0.61-0.84) and 0.83 (95% CI, 0.73-0.94) for cohort, case-control, and cross-sectional studies, respectively. Analysis of subgroups stratified by gender reduced the heterogeneity from moderate to low in both males and females. The lower risk for developing knee OA was more apparent in male smokers (RR = 0.69; 95% CI 0.58-0.80) than female smokers (RR = 0.89; 95% CI 0.77-1.02) and dose-response analysis showed a linear decrease in knee OA with increased cigarette consumption.\nCONCLUSIONS: We found an inverse association between cigarette smoking and risk of knee OA, irrespective of study design. This association was more apparent in males. However, we have not demonstrated a causal relationship between smoking and OA, and further investigations are needed.","container-title":"Osteoarthritis and Cartilage","DOI":"10.1016/j.joca.2016.12.020","ISSN":"1522-9653","issue":"6","journalAbbreviation":"Osteoarthritis Cartilage","language":"eng","note":"PMID: 28011100","page":"809-816","source":"PubMed","title":"Association between smoking and risk of knee osteoarthritis: a systematic review and meta-analysis","title-short":"Association between smoking and risk of knee osteoarthritis","volume":"25","author":[{"family":"Kong","given":"L."},{"family":"Wang","given":"L."},{"family":"Meng","given":"F."},{"family":"Cao","given":"J."},{"family":"Shen","given":"Y."}],"issued":{"date-parts":[["2017",6]]}}}],"schema":"https://github.com/citation-style-language/schema/raw/master/csl-citation.json"} </w:instrText>
      </w:r>
      <w:r w:rsidR="00F315D3" w:rsidRPr="00CC1992">
        <w:rPr>
          <w:rFonts w:ascii="Arial" w:hAnsi="Arial" w:cs="Arial"/>
          <w:sz w:val="24"/>
          <w:szCs w:val="24"/>
          <w:lang w:val="en-US"/>
        </w:rPr>
        <w:fldChar w:fldCharType="separate"/>
      </w:r>
      <w:r w:rsidR="00F67324">
        <w:rPr>
          <w:rFonts w:ascii="Arial" w:hAnsi="Arial" w:cs="Arial"/>
          <w:noProof/>
          <w:sz w:val="24"/>
          <w:szCs w:val="24"/>
          <w:lang w:val="en-US"/>
        </w:rPr>
        <w:t>[19,20,33,34]</w:t>
      </w:r>
      <w:r w:rsidR="00F315D3" w:rsidRPr="00CC1992">
        <w:rPr>
          <w:rFonts w:ascii="Arial" w:hAnsi="Arial" w:cs="Arial"/>
          <w:sz w:val="24"/>
          <w:szCs w:val="24"/>
          <w:lang w:val="en-US"/>
        </w:rPr>
        <w:fldChar w:fldCharType="end"/>
      </w:r>
      <w:r w:rsidR="00081E65" w:rsidRPr="00CC1992">
        <w:rPr>
          <w:rFonts w:ascii="Arial" w:hAnsi="Arial" w:cs="Arial"/>
          <w:sz w:val="24"/>
          <w:szCs w:val="24"/>
          <w:lang w:val="en-US"/>
        </w:rPr>
        <w:t xml:space="preserve">, </w:t>
      </w:r>
      <w:r w:rsidR="00355F49" w:rsidRPr="00CC1992">
        <w:rPr>
          <w:rFonts w:ascii="Arial" w:hAnsi="Arial" w:cs="Arial"/>
          <w:sz w:val="24"/>
          <w:szCs w:val="24"/>
          <w:lang w:val="en-US"/>
        </w:rPr>
        <w:t xml:space="preserve">this may have </w:t>
      </w:r>
      <w:r w:rsidR="006C5A9D">
        <w:rPr>
          <w:rFonts w:ascii="Arial" w:hAnsi="Arial" w:cs="Arial"/>
          <w:sz w:val="24"/>
          <w:szCs w:val="24"/>
          <w:lang w:val="en-US"/>
        </w:rPr>
        <w:t xml:space="preserve">introduced some bias in the </w:t>
      </w:r>
      <w:r w:rsidR="00656014">
        <w:rPr>
          <w:rFonts w:ascii="Arial" w:hAnsi="Arial" w:cs="Arial"/>
          <w:sz w:val="24"/>
          <w:szCs w:val="24"/>
          <w:lang w:val="en-US"/>
        </w:rPr>
        <w:t>analysis</w:t>
      </w:r>
      <w:r w:rsidR="006C5A9D">
        <w:rPr>
          <w:rFonts w:ascii="Arial" w:hAnsi="Arial" w:cs="Arial"/>
          <w:sz w:val="24"/>
          <w:szCs w:val="24"/>
          <w:lang w:val="en-US"/>
        </w:rPr>
        <w:t>.</w:t>
      </w:r>
    </w:p>
    <w:p w14:paraId="26422F1A" w14:textId="77777777" w:rsidR="00531BCB" w:rsidRPr="00CC1992" w:rsidRDefault="00531BCB" w:rsidP="00217E81">
      <w:pPr>
        <w:spacing w:line="480" w:lineRule="auto"/>
        <w:jc w:val="both"/>
        <w:rPr>
          <w:rFonts w:ascii="Arial" w:hAnsi="Arial" w:cs="Arial"/>
          <w:sz w:val="24"/>
          <w:szCs w:val="24"/>
          <w:lang w:val="en-US"/>
        </w:rPr>
      </w:pPr>
    </w:p>
    <w:p w14:paraId="558F516E" w14:textId="77777777" w:rsidR="00531BCB" w:rsidRPr="00CC1992" w:rsidRDefault="00531BCB" w:rsidP="00A37A26">
      <w:pPr>
        <w:pStyle w:val="Heading2"/>
      </w:pPr>
      <w:r w:rsidRPr="00CC1992">
        <w:t xml:space="preserve">Conclusions </w:t>
      </w:r>
    </w:p>
    <w:p w14:paraId="7CD7B035" w14:textId="77777777" w:rsidR="00357482" w:rsidRDefault="00DC10D9" w:rsidP="00217E81">
      <w:pPr>
        <w:spacing w:line="480" w:lineRule="auto"/>
        <w:jc w:val="both"/>
        <w:rPr>
          <w:rFonts w:ascii="Arial" w:hAnsi="Arial" w:cs="Arial"/>
          <w:sz w:val="24"/>
          <w:szCs w:val="24"/>
          <w:lang w:val="en-US"/>
        </w:rPr>
      </w:pPr>
      <w:r w:rsidRPr="00CC1992">
        <w:rPr>
          <w:rFonts w:ascii="Arial" w:hAnsi="Arial" w:cs="Arial"/>
          <w:sz w:val="24"/>
          <w:szCs w:val="24"/>
          <w:lang w:val="en-US"/>
        </w:rPr>
        <w:t xml:space="preserve">The present </w:t>
      </w:r>
      <w:r w:rsidR="00F9381D" w:rsidRPr="00CC1992">
        <w:rPr>
          <w:rFonts w:ascii="Arial" w:hAnsi="Arial" w:cs="Arial"/>
          <w:sz w:val="24"/>
          <w:szCs w:val="24"/>
          <w:lang w:val="en-US"/>
        </w:rPr>
        <w:t>retrospective cohort study of 260,224</w:t>
      </w:r>
      <w:r w:rsidR="004A4B2F" w:rsidRPr="00CC1992">
        <w:rPr>
          <w:rFonts w:ascii="Arial" w:hAnsi="Arial" w:cs="Arial"/>
          <w:sz w:val="24"/>
          <w:szCs w:val="24"/>
          <w:lang w:val="en-US"/>
        </w:rPr>
        <w:t xml:space="preserve"> patients followed in general practices in the United Kingdom for up to 10 years </w:t>
      </w:r>
      <w:r w:rsidR="0020646E" w:rsidRPr="00CC1992">
        <w:rPr>
          <w:rFonts w:ascii="Arial" w:hAnsi="Arial" w:cs="Arial"/>
          <w:sz w:val="24"/>
          <w:szCs w:val="24"/>
          <w:lang w:val="en-US"/>
        </w:rPr>
        <w:t xml:space="preserve">showed that the cumulative incidence of Parkinson’s disease was </w:t>
      </w:r>
      <w:r w:rsidR="00403787" w:rsidRPr="00CC1992">
        <w:rPr>
          <w:rFonts w:ascii="Arial" w:hAnsi="Arial" w:cs="Arial"/>
          <w:sz w:val="24"/>
          <w:szCs w:val="24"/>
          <w:lang w:val="en-US"/>
        </w:rPr>
        <w:t>significantly higher in those with than in those without osteoarthritis (1.2% versus 0.6%).</w:t>
      </w:r>
      <w:r w:rsidR="0010000D" w:rsidRPr="00CC1992">
        <w:rPr>
          <w:rFonts w:ascii="Arial" w:hAnsi="Arial" w:cs="Arial"/>
          <w:sz w:val="24"/>
          <w:szCs w:val="24"/>
          <w:lang w:val="en-US"/>
        </w:rPr>
        <w:t xml:space="preserve"> These results were corroborated in the adjusted Cox regression analyses, </w:t>
      </w:r>
      <w:r w:rsidR="006C5A9D">
        <w:rPr>
          <w:rFonts w:ascii="Arial" w:hAnsi="Arial" w:cs="Arial"/>
          <w:sz w:val="24"/>
          <w:szCs w:val="24"/>
          <w:lang w:val="en-US"/>
        </w:rPr>
        <w:t>where</w:t>
      </w:r>
      <w:r w:rsidR="0010000D" w:rsidRPr="00CC1992">
        <w:rPr>
          <w:rFonts w:ascii="Arial" w:hAnsi="Arial" w:cs="Arial"/>
          <w:sz w:val="24"/>
          <w:szCs w:val="24"/>
          <w:lang w:val="en-US"/>
        </w:rPr>
        <w:t xml:space="preserve"> osteoarthritis was associated with a 1.82-fold increase in the risk of Parkinson’s disease. </w:t>
      </w:r>
      <w:r w:rsidRPr="00CC1992">
        <w:rPr>
          <w:rFonts w:ascii="Arial" w:hAnsi="Arial" w:cs="Arial"/>
          <w:sz w:val="24"/>
          <w:szCs w:val="24"/>
          <w:lang w:val="en-US"/>
        </w:rPr>
        <w:t xml:space="preserve">Further </w:t>
      </w:r>
      <w:r w:rsidR="00F9218D" w:rsidRPr="00CC1992">
        <w:rPr>
          <w:rFonts w:ascii="Arial" w:hAnsi="Arial" w:cs="Arial"/>
          <w:sz w:val="24"/>
          <w:szCs w:val="24"/>
          <w:lang w:val="en-US"/>
        </w:rPr>
        <w:t xml:space="preserve">longitudinal </w:t>
      </w:r>
      <w:r w:rsidRPr="00CC1992">
        <w:rPr>
          <w:rFonts w:ascii="Arial" w:hAnsi="Arial" w:cs="Arial"/>
          <w:sz w:val="24"/>
          <w:szCs w:val="24"/>
          <w:lang w:val="en-US"/>
        </w:rPr>
        <w:t xml:space="preserve">studies are needed to investigate the </w:t>
      </w:r>
      <w:r w:rsidR="00F9218D" w:rsidRPr="00CC1992">
        <w:rPr>
          <w:rFonts w:ascii="Arial" w:hAnsi="Arial" w:cs="Arial"/>
          <w:sz w:val="24"/>
          <w:szCs w:val="24"/>
          <w:lang w:val="en-US"/>
        </w:rPr>
        <w:t xml:space="preserve">effects of osteoarthritis </w:t>
      </w:r>
      <w:r w:rsidR="00E1711E" w:rsidRPr="00CC1992">
        <w:rPr>
          <w:rFonts w:ascii="Arial" w:hAnsi="Arial" w:cs="Arial"/>
          <w:sz w:val="24"/>
          <w:szCs w:val="24"/>
          <w:lang w:val="en-US"/>
        </w:rPr>
        <w:t xml:space="preserve">on </w:t>
      </w:r>
      <w:r w:rsidR="00F9218D" w:rsidRPr="00CC1992">
        <w:rPr>
          <w:rFonts w:ascii="Arial" w:hAnsi="Arial" w:cs="Arial"/>
          <w:sz w:val="24"/>
          <w:szCs w:val="24"/>
          <w:lang w:val="en-US"/>
        </w:rPr>
        <w:t xml:space="preserve">Parkinson’s disease in other </w:t>
      </w:r>
      <w:r w:rsidR="00E1711E" w:rsidRPr="00CC1992">
        <w:rPr>
          <w:rFonts w:ascii="Arial" w:hAnsi="Arial" w:cs="Arial"/>
          <w:sz w:val="24"/>
          <w:szCs w:val="24"/>
          <w:lang w:val="en-US"/>
        </w:rPr>
        <w:t xml:space="preserve">settings, </w:t>
      </w:r>
      <w:r w:rsidR="00580DA4" w:rsidRPr="00CC1992">
        <w:rPr>
          <w:rFonts w:ascii="Arial" w:hAnsi="Arial" w:cs="Arial"/>
          <w:sz w:val="24"/>
          <w:szCs w:val="24"/>
          <w:lang w:val="en-US"/>
        </w:rPr>
        <w:t>as well as</w:t>
      </w:r>
      <w:r w:rsidR="00E1711E" w:rsidRPr="00CC1992">
        <w:rPr>
          <w:rFonts w:ascii="Arial" w:hAnsi="Arial" w:cs="Arial"/>
          <w:sz w:val="24"/>
          <w:szCs w:val="24"/>
          <w:lang w:val="en-US"/>
        </w:rPr>
        <w:t xml:space="preserve"> factors playing a </w:t>
      </w:r>
      <w:r w:rsidR="00580DA4" w:rsidRPr="00CC1992">
        <w:rPr>
          <w:rFonts w:ascii="Arial" w:hAnsi="Arial" w:cs="Arial"/>
          <w:sz w:val="24"/>
          <w:szCs w:val="24"/>
          <w:lang w:val="en-US"/>
        </w:rPr>
        <w:t xml:space="preserve">potential </w:t>
      </w:r>
      <w:r w:rsidR="00E1711E" w:rsidRPr="00CC1992">
        <w:rPr>
          <w:rFonts w:ascii="Arial" w:hAnsi="Arial" w:cs="Arial"/>
          <w:sz w:val="24"/>
          <w:szCs w:val="24"/>
          <w:lang w:val="en-US"/>
        </w:rPr>
        <w:t>mediating role in this relationship.</w:t>
      </w:r>
    </w:p>
    <w:p w14:paraId="21CE7FF9" w14:textId="77777777" w:rsidR="00357482" w:rsidRDefault="00357482" w:rsidP="00217E81">
      <w:pPr>
        <w:spacing w:line="480" w:lineRule="auto"/>
        <w:jc w:val="both"/>
        <w:rPr>
          <w:rFonts w:ascii="Arial" w:hAnsi="Arial" w:cs="Arial"/>
          <w:sz w:val="24"/>
          <w:szCs w:val="24"/>
          <w:lang w:val="en-US"/>
        </w:rPr>
      </w:pPr>
    </w:p>
    <w:p w14:paraId="0A104701" w14:textId="77777777" w:rsidR="00357482" w:rsidRPr="00EA1674" w:rsidRDefault="00357482" w:rsidP="00357482">
      <w:pPr>
        <w:spacing w:line="480" w:lineRule="auto"/>
        <w:jc w:val="both"/>
        <w:rPr>
          <w:rFonts w:ascii="Arial" w:hAnsi="Arial" w:cs="Arial"/>
          <w:b/>
          <w:bCs/>
          <w:color w:val="000000" w:themeColor="text1"/>
          <w:sz w:val="24"/>
          <w:szCs w:val="24"/>
          <w:lang w:val="en-US"/>
        </w:rPr>
      </w:pPr>
      <w:r w:rsidRPr="00EA1674">
        <w:rPr>
          <w:rFonts w:ascii="Arial" w:hAnsi="Arial" w:cs="Arial"/>
          <w:b/>
          <w:bCs/>
          <w:color w:val="000000" w:themeColor="text1"/>
          <w:sz w:val="24"/>
          <w:szCs w:val="24"/>
          <w:lang w:val="en-US"/>
        </w:rPr>
        <w:t>Conflicts of interest</w:t>
      </w:r>
    </w:p>
    <w:p w14:paraId="3E4B9ABB" w14:textId="122F0FDE" w:rsidR="00357482" w:rsidRDefault="008F0753" w:rsidP="00357482">
      <w:pPr>
        <w:spacing w:line="480" w:lineRule="auto"/>
        <w:jc w:val="both"/>
        <w:rPr>
          <w:rFonts w:ascii="Arial" w:hAnsi="Arial" w:cs="Arial"/>
          <w:sz w:val="24"/>
          <w:szCs w:val="24"/>
          <w:lang w:val="en-US"/>
        </w:rPr>
      </w:pPr>
      <w:r w:rsidRPr="008F0753">
        <w:rPr>
          <w:rFonts w:ascii="Arial" w:hAnsi="Arial" w:cs="Arial"/>
          <w:sz w:val="24"/>
          <w:szCs w:val="24"/>
          <w:lang w:val="en-US"/>
        </w:rPr>
        <w:t>The authors have no conflict of interest to report</w:t>
      </w:r>
      <w:r>
        <w:rPr>
          <w:rFonts w:ascii="Arial" w:hAnsi="Arial" w:cs="Arial"/>
          <w:sz w:val="24"/>
          <w:szCs w:val="24"/>
          <w:lang w:val="en-US"/>
        </w:rPr>
        <w:t>.</w:t>
      </w:r>
    </w:p>
    <w:p w14:paraId="603FFF39" w14:textId="77777777" w:rsidR="008F0753" w:rsidRPr="00EA1674" w:rsidRDefault="008F0753" w:rsidP="00357482">
      <w:pPr>
        <w:spacing w:line="480" w:lineRule="auto"/>
        <w:jc w:val="both"/>
        <w:rPr>
          <w:rFonts w:ascii="Arial" w:hAnsi="Arial" w:cs="Arial"/>
          <w:color w:val="000000" w:themeColor="text1"/>
          <w:sz w:val="24"/>
          <w:szCs w:val="24"/>
          <w:lang w:val="en-US"/>
        </w:rPr>
      </w:pPr>
    </w:p>
    <w:p w14:paraId="757BCD0D" w14:textId="77777777" w:rsidR="00357482" w:rsidRPr="00EA1674" w:rsidRDefault="00357482" w:rsidP="00A37A26">
      <w:pPr>
        <w:pStyle w:val="Heading1"/>
      </w:pPr>
      <w:r w:rsidRPr="00EA1674">
        <w:lastRenderedPageBreak/>
        <w:t>Acknowledgments</w:t>
      </w:r>
    </w:p>
    <w:p w14:paraId="297652C0" w14:textId="77777777" w:rsidR="00357482" w:rsidRPr="00EA1674" w:rsidRDefault="00357482" w:rsidP="00357482">
      <w:pPr>
        <w:spacing w:line="480" w:lineRule="auto"/>
        <w:jc w:val="both"/>
        <w:rPr>
          <w:rFonts w:ascii="Arial" w:hAnsi="Arial" w:cs="Arial"/>
          <w:sz w:val="24"/>
          <w:szCs w:val="24"/>
          <w:lang w:val="en-US"/>
        </w:rPr>
      </w:pPr>
      <w:r w:rsidRPr="00EA1674">
        <w:rPr>
          <w:rFonts w:ascii="Arial" w:hAnsi="Arial" w:cs="Arial"/>
          <w:sz w:val="24"/>
          <w:szCs w:val="24"/>
          <w:lang w:val="en-US"/>
        </w:rPr>
        <w:t>Professional English language editing services were provided by Claudia Jones, MA, Radford, Virginia, United States.</w:t>
      </w:r>
    </w:p>
    <w:p w14:paraId="3B51604C" w14:textId="77777777" w:rsidR="00357482" w:rsidRPr="00EA1674" w:rsidRDefault="00357482" w:rsidP="00357482">
      <w:pPr>
        <w:spacing w:line="480" w:lineRule="auto"/>
        <w:jc w:val="both"/>
        <w:rPr>
          <w:rFonts w:ascii="Arial" w:hAnsi="Arial" w:cs="Arial"/>
          <w:sz w:val="24"/>
          <w:szCs w:val="24"/>
          <w:lang w:val="en-US"/>
        </w:rPr>
      </w:pPr>
    </w:p>
    <w:p w14:paraId="3BE82790" w14:textId="77777777" w:rsidR="00357482" w:rsidRPr="00EA1674" w:rsidRDefault="00357482" w:rsidP="00A37A26">
      <w:pPr>
        <w:pStyle w:val="Heading1"/>
      </w:pPr>
      <w:r w:rsidRPr="00EA1674">
        <w:t>Funding</w:t>
      </w:r>
    </w:p>
    <w:p w14:paraId="5442A4FD" w14:textId="77777777" w:rsidR="00357482" w:rsidRDefault="00357482" w:rsidP="00357482">
      <w:pPr>
        <w:spacing w:line="480" w:lineRule="auto"/>
        <w:jc w:val="both"/>
        <w:rPr>
          <w:rFonts w:ascii="Arial" w:hAnsi="Arial" w:cs="Arial"/>
          <w:color w:val="000000" w:themeColor="text1"/>
          <w:sz w:val="24"/>
          <w:szCs w:val="24"/>
          <w:lang w:val="en-US"/>
        </w:rPr>
      </w:pPr>
      <w:r w:rsidRPr="00EA1674">
        <w:rPr>
          <w:rFonts w:ascii="Arial" w:hAnsi="Arial" w:cs="Arial"/>
          <w:color w:val="000000" w:themeColor="text1"/>
          <w:sz w:val="24"/>
          <w:szCs w:val="24"/>
          <w:lang w:val="en-US"/>
        </w:rPr>
        <w:t>This research did not receive any specific grants from funding agencies in the public, commercial, or not-for-profit sectors.</w:t>
      </w:r>
    </w:p>
    <w:p w14:paraId="1BC06A69" w14:textId="77777777" w:rsidR="00357482" w:rsidRPr="00EA1674" w:rsidRDefault="00357482" w:rsidP="00357482">
      <w:pPr>
        <w:spacing w:line="480" w:lineRule="auto"/>
        <w:jc w:val="both"/>
        <w:rPr>
          <w:rFonts w:ascii="Arial" w:hAnsi="Arial" w:cs="Arial"/>
          <w:sz w:val="24"/>
          <w:szCs w:val="24"/>
          <w:lang w:val="en-US"/>
        </w:rPr>
      </w:pPr>
    </w:p>
    <w:p w14:paraId="3FBEF238" w14:textId="77777777" w:rsidR="00357482" w:rsidRPr="00EA1674" w:rsidRDefault="00357482" w:rsidP="00A37A26">
      <w:pPr>
        <w:pStyle w:val="Heading1"/>
      </w:pPr>
      <w:r w:rsidRPr="00EA1674">
        <w:t>Author contributions</w:t>
      </w:r>
    </w:p>
    <w:p w14:paraId="7AB8A9E2" w14:textId="77777777" w:rsidR="007408A1" w:rsidRDefault="00357482" w:rsidP="00217E81">
      <w:pPr>
        <w:spacing w:line="480" w:lineRule="auto"/>
        <w:jc w:val="both"/>
        <w:rPr>
          <w:rFonts w:ascii="Arial" w:hAnsi="Arial" w:cs="Arial"/>
          <w:color w:val="000000" w:themeColor="text1"/>
          <w:sz w:val="24"/>
          <w:szCs w:val="24"/>
          <w:lang w:val="en-US"/>
        </w:rPr>
      </w:pPr>
      <w:r w:rsidRPr="00EA1674">
        <w:rPr>
          <w:rFonts w:ascii="Arial" w:hAnsi="Arial" w:cs="Arial"/>
          <w:color w:val="000000" w:themeColor="text1"/>
          <w:sz w:val="24"/>
          <w:szCs w:val="24"/>
          <w:lang w:val="en-US"/>
        </w:rPr>
        <w:t xml:space="preserve">Louis Jacob contributed to the design of the study, managed the literature searches, wrote the first draft of the manuscript, and corrected the manuscript. </w:t>
      </w:r>
      <w:r>
        <w:rPr>
          <w:rFonts w:ascii="Arial" w:hAnsi="Arial" w:cs="Arial"/>
          <w:color w:val="000000" w:themeColor="text1"/>
          <w:sz w:val="24"/>
          <w:szCs w:val="24"/>
          <w:lang w:val="en-US"/>
        </w:rPr>
        <w:t xml:space="preserve">Lee Smith, Ai </w:t>
      </w:r>
      <w:proofErr w:type="spellStart"/>
      <w:r>
        <w:rPr>
          <w:rFonts w:ascii="Arial" w:hAnsi="Arial" w:cs="Arial"/>
          <w:color w:val="000000" w:themeColor="text1"/>
          <w:sz w:val="24"/>
          <w:szCs w:val="24"/>
          <w:lang w:val="en-US"/>
        </w:rPr>
        <w:t>Koyanagi</w:t>
      </w:r>
      <w:proofErr w:type="spellEnd"/>
      <w:r>
        <w:rPr>
          <w:rFonts w:ascii="Arial" w:hAnsi="Arial" w:cs="Arial"/>
          <w:color w:val="000000" w:themeColor="text1"/>
          <w:sz w:val="24"/>
          <w:szCs w:val="24"/>
          <w:lang w:val="en-US"/>
        </w:rPr>
        <w:t>, Alexis Schnitzler, and Jae Il Shin</w:t>
      </w:r>
      <w:r w:rsidRPr="00EA1674">
        <w:rPr>
          <w:rFonts w:ascii="Arial" w:hAnsi="Arial" w:cs="Arial"/>
          <w:color w:val="000000" w:themeColor="text1"/>
          <w:sz w:val="24"/>
          <w:szCs w:val="24"/>
          <w:lang w:val="en-US"/>
        </w:rPr>
        <w:t xml:space="preserve"> corrected the manuscript. Karel </w:t>
      </w:r>
      <w:proofErr w:type="spellStart"/>
      <w:r w:rsidRPr="00EA1674">
        <w:rPr>
          <w:rFonts w:ascii="Arial" w:hAnsi="Arial" w:cs="Arial"/>
          <w:color w:val="000000" w:themeColor="text1"/>
          <w:sz w:val="24"/>
          <w:szCs w:val="24"/>
          <w:lang w:val="en-US"/>
        </w:rPr>
        <w:t>Kostev</w:t>
      </w:r>
      <w:proofErr w:type="spellEnd"/>
      <w:r w:rsidRPr="00EA1674">
        <w:rPr>
          <w:rFonts w:ascii="Arial" w:hAnsi="Arial" w:cs="Arial"/>
          <w:color w:val="000000" w:themeColor="text1"/>
          <w:sz w:val="24"/>
          <w:szCs w:val="24"/>
          <w:lang w:val="en-US"/>
        </w:rPr>
        <w:t xml:space="preserve"> contributed to the design of the study, performed the statistical analyses, and corrected the manuscript. All authors contributed to and have approved the final manuscript.</w:t>
      </w:r>
    </w:p>
    <w:p w14:paraId="34BE3123" w14:textId="77777777" w:rsidR="007408A1" w:rsidRDefault="007408A1" w:rsidP="00217E81">
      <w:pPr>
        <w:spacing w:line="480" w:lineRule="auto"/>
        <w:jc w:val="both"/>
        <w:rPr>
          <w:rFonts w:ascii="Arial" w:hAnsi="Arial" w:cs="Arial"/>
          <w:color w:val="000000" w:themeColor="text1"/>
          <w:sz w:val="24"/>
          <w:szCs w:val="24"/>
          <w:lang w:val="en-US"/>
        </w:rPr>
      </w:pPr>
    </w:p>
    <w:p w14:paraId="4C7DD177" w14:textId="77777777" w:rsidR="007408A1" w:rsidRPr="007408A1" w:rsidRDefault="007408A1" w:rsidP="00A37A26">
      <w:pPr>
        <w:pStyle w:val="Heading1"/>
        <w:rPr>
          <w:lang w:eastAsia="de-DE"/>
        </w:rPr>
      </w:pPr>
      <w:r w:rsidRPr="007408A1">
        <w:rPr>
          <w:lang w:eastAsia="de-DE"/>
        </w:rPr>
        <w:t xml:space="preserve">Sample </w:t>
      </w:r>
      <w:proofErr w:type="spellStart"/>
      <w:r w:rsidRPr="007408A1">
        <w:rPr>
          <w:lang w:eastAsia="de-DE"/>
        </w:rPr>
        <w:t>CRediT</w:t>
      </w:r>
      <w:proofErr w:type="spellEnd"/>
      <w:r w:rsidRPr="007408A1">
        <w:rPr>
          <w:lang w:eastAsia="de-DE"/>
        </w:rPr>
        <w:t xml:space="preserve"> author statement</w:t>
      </w:r>
    </w:p>
    <w:p w14:paraId="11D9A849" w14:textId="3CF1EE81" w:rsidR="007408A1" w:rsidRPr="00A37A26" w:rsidRDefault="007408A1" w:rsidP="00A37A26">
      <w:pPr>
        <w:spacing w:before="100" w:beforeAutospacing="1" w:after="100" w:afterAutospacing="1" w:line="480" w:lineRule="auto"/>
        <w:rPr>
          <w:rFonts w:ascii="Arial" w:eastAsia="Times New Roman" w:hAnsi="Arial" w:cs="Arial"/>
          <w:sz w:val="24"/>
          <w:szCs w:val="24"/>
          <w:lang w:val="en-US" w:eastAsia="de-DE"/>
        </w:rPr>
      </w:pPr>
      <w:r w:rsidRPr="00A37A26">
        <w:rPr>
          <w:rFonts w:ascii="Arial" w:eastAsia="Times New Roman" w:hAnsi="Arial" w:cs="Arial"/>
          <w:b/>
          <w:bCs/>
          <w:sz w:val="24"/>
          <w:szCs w:val="24"/>
          <w:lang w:val="en-US" w:eastAsia="de-DE"/>
        </w:rPr>
        <w:t>Louis Jacob:</w:t>
      </w:r>
      <w:r w:rsidRPr="00A37A26">
        <w:rPr>
          <w:rFonts w:ascii="Arial" w:eastAsia="Times New Roman" w:hAnsi="Arial" w:cs="Arial"/>
          <w:sz w:val="24"/>
          <w:szCs w:val="24"/>
          <w:lang w:val="en-US" w:eastAsia="de-DE"/>
        </w:rPr>
        <w:t xml:space="preserve"> Conceptualization, Methodology, Writing- Original draft preparation. </w:t>
      </w:r>
      <w:r w:rsidRPr="00A37A26">
        <w:rPr>
          <w:rFonts w:ascii="Arial" w:eastAsia="Times New Roman" w:hAnsi="Arial" w:cs="Arial"/>
          <w:b/>
          <w:bCs/>
          <w:sz w:val="24"/>
          <w:szCs w:val="24"/>
          <w:lang w:val="en-US" w:eastAsia="de-DE"/>
        </w:rPr>
        <w:t xml:space="preserve">Karel </w:t>
      </w:r>
      <w:proofErr w:type="spellStart"/>
      <w:r w:rsidRPr="00A37A26">
        <w:rPr>
          <w:rFonts w:ascii="Arial" w:eastAsia="Times New Roman" w:hAnsi="Arial" w:cs="Arial"/>
          <w:b/>
          <w:bCs/>
          <w:sz w:val="24"/>
          <w:szCs w:val="24"/>
          <w:lang w:val="en-US" w:eastAsia="de-DE"/>
        </w:rPr>
        <w:t>Kostev</w:t>
      </w:r>
      <w:proofErr w:type="spellEnd"/>
      <w:r w:rsidRPr="00A37A26">
        <w:rPr>
          <w:rFonts w:ascii="Arial" w:eastAsia="Times New Roman" w:hAnsi="Arial" w:cs="Arial"/>
          <w:sz w:val="24"/>
          <w:szCs w:val="24"/>
          <w:lang w:val="en-US" w:eastAsia="de-DE"/>
        </w:rPr>
        <w:t xml:space="preserve">: Conceptualization, Methodology, </w:t>
      </w:r>
      <w:proofErr w:type="gramStart"/>
      <w:r w:rsidRPr="00A37A26">
        <w:rPr>
          <w:rFonts w:ascii="Arial" w:eastAsia="Times New Roman" w:hAnsi="Arial" w:cs="Arial"/>
          <w:sz w:val="24"/>
          <w:szCs w:val="24"/>
          <w:lang w:val="en-US" w:eastAsia="de-DE"/>
        </w:rPr>
        <w:t>Supervision.</w:t>
      </w:r>
      <w:r w:rsidRPr="00A37A26">
        <w:rPr>
          <w:rFonts w:ascii="Arial" w:eastAsia="Times New Roman" w:hAnsi="Arial" w:cs="Arial"/>
          <w:b/>
          <w:bCs/>
          <w:sz w:val="24"/>
          <w:szCs w:val="24"/>
          <w:lang w:val="en-US" w:eastAsia="de-DE"/>
        </w:rPr>
        <w:t>:</w:t>
      </w:r>
      <w:r w:rsidRPr="00A37A26">
        <w:rPr>
          <w:rFonts w:ascii="Arial" w:eastAsia="Times New Roman" w:hAnsi="Arial" w:cs="Arial"/>
          <w:sz w:val="24"/>
          <w:szCs w:val="24"/>
          <w:lang w:val="en-US" w:eastAsia="de-DE"/>
        </w:rPr>
        <w:t>,</w:t>
      </w:r>
      <w:proofErr w:type="gramEnd"/>
      <w:r w:rsidRPr="00A37A26">
        <w:rPr>
          <w:rFonts w:ascii="Arial" w:eastAsia="Times New Roman" w:hAnsi="Arial" w:cs="Arial"/>
          <w:sz w:val="24"/>
          <w:szCs w:val="24"/>
          <w:lang w:val="en-US" w:eastAsia="de-DE"/>
        </w:rPr>
        <w:t xml:space="preserve"> Writing- Reviewing and Editing, Investigation. </w:t>
      </w:r>
      <w:r w:rsidRPr="00A37A26">
        <w:rPr>
          <w:rFonts w:ascii="Arial" w:eastAsia="Times New Roman" w:hAnsi="Arial" w:cs="Arial"/>
          <w:b/>
          <w:bCs/>
          <w:sz w:val="24"/>
          <w:szCs w:val="24"/>
          <w:lang w:val="en-US" w:eastAsia="de-DE"/>
        </w:rPr>
        <w:t xml:space="preserve">Lee Smith, Ai </w:t>
      </w:r>
      <w:proofErr w:type="spellStart"/>
      <w:r w:rsidRPr="00A37A26">
        <w:rPr>
          <w:rFonts w:ascii="Arial" w:eastAsia="Times New Roman" w:hAnsi="Arial" w:cs="Arial"/>
          <w:b/>
          <w:bCs/>
          <w:sz w:val="24"/>
          <w:szCs w:val="24"/>
          <w:lang w:val="en-US" w:eastAsia="de-DE"/>
        </w:rPr>
        <w:t>Koyanagi</w:t>
      </w:r>
      <w:proofErr w:type="spellEnd"/>
      <w:r w:rsidRPr="00A37A26">
        <w:rPr>
          <w:rFonts w:ascii="Arial" w:eastAsia="Times New Roman" w:hAnsi="Arial" w:cs="Arial"/>
          <w:b/>
          <w:bCs/>
          <w:sz w:val="24"/>
          <w:szCs w:val="24"/>
          <w:lang w:val="en-US" w:eastAsia="de-DE"/>
        </w:rPr>
        <w:t>, Alexis Schnitzler, and Jae Il Shin:</w:t>
      </w:r>
      <w:r w:rsidRPr="00A37A26">
        <w:rPr>
          <w:rFonts w:ascii="Arial" w:eastAsia="Times New Roman" w:hAnsi="Arial" w:cs="Arial"/>
          <w:sz w:val="24"/>
          <w:szCs w:val="24"/>
          <w:lang w:val="en-US" w:eastAsia="de-DE"/>
        </w:rPr>
        <w:t xml:space="preserve"> Writing- Reviewing and Editing,</w:t>
      </w:r>
    </w:p>
    <w:p w14:paraId="6D457506" w14:textId="195A355F" w:rsidR="00D50AEA" w:rsidRPr="00414D4E" w:rsidRDefault="00D50AEA" w:rsidP="00217E81">
      <w:pPr>
        <w:spacing w:line="480" w:lineRule="auto"/>
        <w:jc w:val="both"/>
        <w:rPr>
          <w:rFonts w:ascii="Arial" w:hAnsi="Arial" w:cs="Arial"/>
          <w:color w:val="000000" w:themeColor="text1"/>
          <w:sz w:val="24"/>
          <w:szCs w:val="24"/>
          <w:lang w:val="en-US"/>
        </w:rPr>
      </w:pPr>
      <w:r>
        <w:rPr>
          <w:rFonts w:ascii="Arial" w:hAnsi="Arial" w:cs="Arial"/>
          <w:b/>
          <w:bCs/>
          <w:sz w:val="24"/>
          <w:szCs w:val="24"/>
          <w:lang w:val="en-US"/>
        </w:rPr>
        <w:br w:type="page"/>
      </w:r>
    </w:p>
    <w:p w14:paraId="07EE906B" w14:textId="62F85E45" w:rsidR="00053482" w:rsidRPr="00D47A30" w:rsidRDefault="00FE4E8F" w:rsidP="00A37A26">
      <w:pPr>
        <w:pStyle w:val="Heading1"/>
      </w:pPr>
      <w:r w:rsidRPr="00D47A30">
        <w:lastRenderedPageBreak/>
        <w:t>References</w:t>
      </w:r>
    </w:p>
    <w:p w14:paraId="42C5A686" w14:textId="33924A75" w:rsidR="00FE4E8F" w:rsidRPr="00D47A30" w:rsidRDefault="00FE4E8F" w:rsidP="009703EC">
      <w:pPr>
        <w:spacing w:line="480" w:lineRule="auto"/>
        <w:jc w:val="both"/>
        <w:rPr>
          <w:rFonts w:ascii="Arial" w:hAnsi="Arial" w:cs="Arial"/>
          <w:sz w:val="24"/>
          <w:szCs w:val="24"/>
          <w:lang w:val="en-US"/>
        </w:rPr>
      </w:pPr>
    </w:p>
    <w:p w14:paraId="6E777C2F" w14:textId="77777777" w:rsidR="00F67324" w:rsidRPr="00F67324" w:rsidRDefault="00FE4E8F" w:rsidP="009703EC">
      <w:pPr>
        <w:pStyle w:val="Literaturverzeichnis1"/>
        <w:spacing w:line="480" w:lineRule="auto"/>
      </w:pPr>
      <w:r w:rsidRPr="00D47A30">
        <w:fldChar w:fldCharType="begin"/>
      </w:r>
      <w:r w:rsidR="00F67324">
        <w:instrText xml:space="preserve"> ADDIN ZOTERO_BIBL {"uncited":[],"omitted":[],"custom":[]} CSL_BIBLIOGRAPHY </w:instrText>
      </w:r>
      <w:r w:rsidRPr="00D47A30">
        <w:fldChar w:fldCharType="separate"/>
      </w:r>
      <w:r w:rsidR="00F67324" w:rsidRPr="00F67324">
        <w:t xml:space="preserve">[1] </w:t>
      </w:r>
      <w:r w:rsidR="00F67324" w:rsidRPr="00F67324">
        <w:tab/>
        <w:t xml:space="preserve">Bhat S, Acharya UR, Hagiwara Y, Dadmehr N, Adeli H (2018) Parkinson’s disease: Cause factors, measurable indicators, and early diagnosis. </w:t>
      </w:r>
      <w:r w:rsidR="00F67324" w:rsidRPr="00F67324">
        <w:rPr>
          <w:i/>
          <w:iCs/>
        </w:rPr>
        <w:t>Comput Biol Med</w:t>
      </w:r>
      <w:r w:rsidR="00F67324" w:rsidRPr="00F67324">
        <w:t xml:space="preserve"> </w:t>
      </w:r>
      <w:r w:rsidR="00F67324" w:rsidRPr="00F67324">
        <w:rPr>
          <w:b/>
          <w:bCs/>
        </w:rPr>
        <w:t>102</w:t>
      </w:r>
      <w:r w:rsidR="00F67324" w:rsidRPr="00F67324">
        <w:t>, 234–241.</w:t>
      </w:r>
    </w:p>
    <w:p w14:paraId="78E4122E" w14:textId="77777777" w:rsidR="00F67324" w:rsidRPr="00F67324" w:rsidRDefault="00F67324" w:rsidP="009703EC">
      <w:pPr>
        <w:pStyle w:val="Literaturverzeichnis1"/>
        <w:spacing w:line="480" w:lineRule="auto"/>
      </w:pPr>
      <w:r w:rsidRPr="00F67324">
        <w:t xml:space="preserve">[2] </w:t>
      </w:r>
      <w:r w:rsidRPr="00F67324">
        <w:tab/>
        <w:t xml:space="preserve">Modugno N, Lena F, Di Biasio F, Cerrone G, Ruggieri S, Fornai F (2013) A clinical overview of non-motor symptoms in Parkinson’s Disease. </w:t>
      </w:r>
      <w:r w:rsidRPr="00F67324">
        <w:rPr>
          <w:i/>
          <w:iCs/>
        </w:rPr>
        <w:t>Arch Ital Biol</w:t>
      </w:r>
      <w:r w:rsidRPr="00F67324">
        <w:t xml:space="preserve"> </w:t>
      </w:r>
      <w:r w:rsidRPr="00F67324">
        <w:rPr>
          <w:b/>
          <w:bCs/>
        </w:rPr>
        <w:t>151</w:t>
      </w:r>
      <w:r w:rsidRPr="00F67324">
        <w:t>, 148–168.</w:t>
      </w:r>
    </w:p>
    <w:p w14:paraId="609A5955" w14:textId="77777777" w:rsidR="00F67324" w:rsidRPr="00F67324" w:rsidRDefault="00F67324" w:rsidP="009703EC">
      <w:pPr>
        <w:pStyle w:val="Literaturverzeichnis1"/>
        <w:spacing w:line="480" w:lineRule="auto"/>
      </w:pPr>
      <w:r w:rsidRPr="00F67324">
        <w:t xml:space="preserve">[3] </w:t>
      </w:r>
      <w:r w:rsidRPr="00F67324">
        <w:tab/>
        <w:t xml:space="preserve">DeMaagd G, Philip A (2015) Parkinson’s Disease and Its Management. </w:t>
      </w:r>
      <w:r w:rsidRPr="00F67324">
        <w:rPr>
          <w:i/>
          <w:iCs/>
        </w:rPr>
        <w:t>P T</w:t>
      </w:r>
      <w:r w:rsidRPr="00F67324">
        <w:t xml:space="preserve"> </w:t>
      </w:r>
      <w:r w:rsidRPr="00F67324">
        <w:rPr>
          <w:b/>
          <w:bCs/>
        </w:rPr>
        <w:t>40</w:t>
      </w:r>
      <w:r w:rsidRPr="00F67324">
        <w:t>, 504–532.</w:t>
      </w:r>
    </w:p>
    <w:p w14:paraId="1C61FE01" w14:textId="77777777" w:rsidR="00F67324" w:rsidRPr="00F67324" w:rsidRDefault="00F67324" w:rsidP="009703EC">
      <w:pPr>
        <w:pStyle w:val="Literaturverzeichnis1"/>
        <w:spacing w:line="480" w:lineRule="auto"/>
      </w:pPr>
      <w:r w:rsidRPr="00F67324">
        <w:t xml:space="preserve">[4] </w:t>
      </w:r>
      <w:r w:rsidRPr="00F67324">
        <w:tab/>
        <w:t xml:space="preserve">Tysnes O-B, Storstein A (2017) Epidemiology of Parkinson’s disease. </w:t>
      </w:r>
      <w:r w:rsidRPr="00F67324">
        <w:rPr>
          <w:i/>
          <w:iCs/>
        </w:rPr>
        <w:t>J Neural Transm (Vienna)</w:t>
      </w:r>
      <w:r w:rsidRPr="00F67324">
        <w:t xml:space="preserve"> </w:t>
      </w:r>
      <w:r w:rsidRPr="00F67324">
        <w:rPr>
          <w:b/>
          <w:bCs/>
        </w:rPr>
        <w:t>124</w:t>
      </w:r>
      <w:r w:rsidRPr="00F67324">
        <w:t>, 901–905.</w:t>
      </w:r>
    </w:p>
    <w:p w14:paraId="765A23F5" w14:textId="77777777" w:rsidR="00F67324" w:rsidRPr="00F67324" w:rsidRDefault="00F67324" w:rsidP="009703EC">
      <w:pPr>
        <w:pStyle w:val="Literaturverzeichnis1"/>
        <w:spacing w:line="480" w:lineRule="auto"/>
      </w:pPr>
      <w:r w:rsidRPr="00F67324">
        <w:t xml:space="preserve">[5] </w:t>
      </w:r>
      <w:r w:rsidRPr="00F67324">
        <w:tab/>
        <w:t xml:space="preserve">GBD 2016 Parkinson’s Disease Collaborators (2018) Global, regional, and national burden of Parkinson’s disease, 1990-2016: a systematic analysis for the Global Burden of Disease Study 2016. </w:t>
      </w:r>
      <w:r w:rsidRPr="00F67324">
        <w:rPr>
          <w:i/>
          <w:iCs/>
        </w:rPr>
        <w:t>Lancet Neurol</w:t>
      </w:r>
      <w:r w:rsidRPr="00F67324">
        <w:t xml:space="preserve"> </w:t>
      </w:r>
      <w:r w:rsidRPr="00F67324">
        <w:rPr>
          <w:b/>
          <w:bCs/>
        </w:rPr>
        <w:t>17</w:t>
      </w:r>
      <w:r w:rsidRPr="00F67324">
        <w:t>, 939–953.</w:t>
      </w:r>
    </w:p>
    <w:p w14:paraId="7B2265A9" w14:textId="77777777" w:rsidR="00F67324" w:rsidRPr="00F67324" w:rsidRDefault="00F67324" w:rsidP="009703EC">
      <w:pPr>
        <w:pStyle w:val="Literaturverzeichnis1"/>
        <w:spacing w:line="480" w:lineRule="auto"/>
      </w:pPr>
      <w:r w:rsidRPr="00F67324">
        <w:t xml:space="preserve">[6] </w:t>
      </w:r>
      <w:r w:rsidRPr="00F67324">
        <w:tab/>
        <w:t xml:space="preserve">McMillan JM, Michalchuk Q, Goodarzi Z (2021) Frailty in Parkinson’s disease: A systematic review and meta-analysis. </w:t>
      </w:r>
      <w:r w:rsidRPr="00F67324">
        <w:rPr>
          <w:i/>
          <w:iCs/>
        </w:rPr>
        <w:t>Clinical Parkinsonism &amp; Related Disorders</w:t>
      </w:r>
      <w:r w:rsidRPr="00F67324">
        <w:t xml:space="preserve"> </w:t>
      </w:r>
      <w:r w:rsidRPr="00F67324">
        <w:rPr>
          <w:b/>
          <w:bCs/>
        </w:rPr>
        <w:t>4</w:t>
      </w:r>
      <w:r w:rsidRPr="00F67324">
        <w:t>, 100095.</w:t>
      </w:r>
    </w:p>
    <w:p w14:paraId="71A307BE" w14:textId="77777777" w:rsidR="00F67324" w:rsidRPr="00F67324" w:rsidRDefault="00F67324" w:rsidP="009703EC">
      <w:pPr>
        <w:pStyle w:val="Literaturverzeichnis1"/>
        <w:spacing w:line="480" w:lineRule="auto"/>
      </w:pPr>
      <w:r w:rsidRPr="00F67324">
        <w:t xml:space="preserve">[7] </w:t>
      </w:r>
      <w:r w:rsidRPr="00F67324">
        <w:tab/>
        <w:t xml:space="preserve">Macleod AD, Taylor KSM, Counsell CE (2014) Mortality in Parkinson’s disease: a systematic review and meta-analysis. </w:t>
      </w:r>
      <w:r w:rsidRPr="00F67324">
        <w:rPr>
          <w:i/>
          <w:iCs/>
        </w:rPr>
        <w:t>Mov Disord</w:t>
      </w:r>
      <w:r w:rsidRPr="00F67324">
        <w:t xml:space="preserve"> </w:t>
      </w:r>
      <w:r w:rsidRPr="00F67324">
        <w:rPr>
          <w:b/>
          <w:bCs/>
        </w:rPr>
        <w:t>29</w:t>
      </w:r>
      <w:r w:rsidRPr="00F67324">
        <w:t>, 1615–1622.</w:t>
      </w:r>
    </w:p>
    <w:p w14:paraId="166CEDE6" w14:textId="77777777" w:rsidR="00F67324" w:rsidRPr="00F67324" w:rsidRDefault="00F67324" w:rsidP="009703EC">
      <w:pPr>
        <w:pStyle w:val="Literaturverzeichnis1"/>
        <w:spacing w:line="480" w:lineRule="auto"/>
      </w:pPr>
      <w:r w:rsidRPr="00F67324">
        <w:t xml:space="preserve">[8] </w:t>
      </w:r>
      <w:r w:rsidRPr="00F67324">
        <w:tab/>
        <w:t xml:space="preserve">Leibson CL, Long KH, Maraganore DM, Bower JH, Ransom JE, O’Brien PC, Rocca WA (2006) Direct medical costs associated with Parkinson’s disease: a population-based study. </w:t>
      </w:r>
      <w:r w:rsidRPr="00F67324">
        <w:rPr>
          <w:i/>
          <w:iCs/>
        </w:rPr>
        <w:t>Mov Disord</w:t>
      </w:r>
      <w:r w:rsidRPr="00F67324">
        <w:t xml:space="preserve"> </w:t>
      </w:r>
      <w:r w:rsidRPr="00F67324">
        <w:rPr>
          <w:b/>
          <w:bCs/>
        </w:rPr>
        <w:t>21</w:t>
      </w:r>
      <w:r w:rsidRPr="00F67324">
        <w:t>, 1864–1871.</w:t>
      </w:r>
    </w:p>
    <w:p w14:paraId="6BEF5D5B" w14:textId="77777777" w:rsidR="00F67324" w:rsidRPr="00F67324" w:rsidRDefault="00F67324" w:rsidP="009703EC">
      <w:pPr>
        <w:pStyle w:val="Literaturverzeichnis1"/>
        <w:spacing w:line="480" w:lineRule="auto"/>
      </w:pPr>
      <w:r w:rsidRPr="00F67324">
        <w:lastRenderedPageBreak/>
        <w:t xml:space="preserve">[9] </w:t>
      </w:r>
      <w:r w:rsidRPr="00F67324">
        <w:tab/>
        <w:t xml:space="preserve">Rodríguez-Blázquez C, Forjaz MJ, Lizán L, Paz S, Martínez-Martín P (2015) Estimating the direct and indirect costs associated with Parkinson’s disease. </w:t>
      </w:r>
      <w:r w:rsidRPr="00F67324">
        <w:rPr>
          <w:i/>
          <w:iCs/>
        </w:rPr>
        <w:t>Expert Rev Pharmacoecon Outcomes Res</w:t>
      </w:r>
      <w:r w:rsidRPr="00F67324">
        <w:t xml:space="preserve"> </w:t>
      </w:r>
      <w:r w:rsidRPr="00F67324">
        <w:rPr>
          <w:b/>
          <w:bCs/>
        </w:rPr>
        <w:t>15</w:t>
      </w:r>
      <w:r w:rsidRPr="00F67324">
        <w:t>, 889–911.</w:t>
      </w:r>
    </w:p>
    <w:p w14:paraId="58DD4CDD" w14:textId="77777777" w:rsidR="00F67324" w:rsidRPr="00F67324" w:rsidRDefault="00F67324" w:rsidP="009703EC">
      <w:pPr>
        <w:pStyle w:val="Literaturverzeichnis1"/>
        <w:spacing w:line="480" w:lineRule="auto"/>
      </w:pPr>
      <w:r w:rsidRPr="00F67324">
        <w:t xml:space="preserve">[10] </w:t>
      </w:r>
      <w:r w:rsidRPr="00F67324">
        <w:tab/>
        <w:t xml:space="preserve">Rugbjerg K, Friis S, Jørgensen TL, Ritz B, Korbo L, Olsen JH (2010) Risk for Parkinson’s disease among patients with osteoarthritis: a Danish cohort study. </w:t>
      </w:r>
      <w:r w:rsidRPr="00F67324">
        <w:rPr>
          <w:i/>
          <w:iCs/>
        </w:rPr>
        <w:t>Mov Disord</w:t>
      </w:r>
      <w:r w:rsidRPr="00F67324">
        <w:t xml:space="preserve"> </w:t>
      </w:r>
      <w:r w:rsidRPr="00F67324">
        <w:rPr>
          <w:b/>
          <w:bCs/>
        </w:rPr>
        <w:t>25</w:t>
      </w:r>
      <w:r w:rsidRPr="00F67324">
        <w:t>, 2355–2360.</w:t>
      </w:r>
    </w:p>
    <w:p w14:paraId="3CDAAE33" w14:textId="77777777" w:rsidR="00F67324" w:rsidRPr="00F67324" w:rsidRDefault="00F67324" w:rsidP="009703EC">
      <w:pPr>
        <w:pStyle w:val="Literaturverzeichnis1"/>
        <w:spacing w:line="480" w:lineRule="auto"/>
      </w:pPr>
      <w:r w:rsidRPr="00F67324">
        <w:t xml:space="preserve">[11] </w:t>
      </w:r>
      <w:r w:rsidRPr="00F67324">
        <w:tab/>
        <w:t xml:space="preserve">Feng S-H, Chuang H-J, Yeh K-C, Pan S-L (2021) Osteoarthritis is associated with an increased risk of Parkinson’s disease: A population-based, longitudinal follow-up study. </w:t>
      </w:r>
      <w:r w:rsidRPr="00F67324">
        <w:rPr>
          <w:i/>
          <w:iCs/>
        </w:rPr>
        <w:t>Arthritis Care Res (Hoboken)</w:t>
      </w:r>
      <w:r w:rsidRPr="00F67324">
        <w:t>.</w:t>
      </w:r>
    </w:p>
    <w:p w14:paraId="2C59B44B" w14:textId="77777777" w:rsidR="00F67324" w:rsidRPr="00F67324" w:rsidRDefault="00F67324" w:rsidP="009703EC">
      <w:pPr>
        <w:pStyle w:val="Literaturverzeichnis1"/>
        <w:spacing w:line="480" w:lineRule="auto"/>
      </w:pPr>
      <w:r w:rsidRPr="00F67324">
        <w:t xml:space="preserve">[12] </w:t>
      </w:r>
      <w:r w:rsidRPr="00F67324">
        <w:tab/>
        <w:t xml:space="preserve">O’Neill TW, McCabe PS, McBeth J (2018) Update on the epidemiology, risk factors and disease outcomes of osteoarthritis. </w:t>
      </w:r>
      <w:r w:rsidRPr="00F67324">
        <w:rPr>
          <w:i/>
          <w:iCs/>
        </w:rPr>
        <w:t>Best Pract Res Clin Rheumatol</w:t>
      </w:r>
      <w:r w:rsidRPr="00F67324">
        <w:t xml:space="preserve"> </w:t>
      </w:r>
      <w:r w:rsidRPr="00F67324">
        <w:rPr>
          <w:b/>
          <w:bCs/>
        </w:rPr>
        <w:t>32</w:t>
      </w:r>
      <w:r w:rsidRPr="00F67324">
        <w:t>, 312–326.</w:t>
      </w:r>
    </w:p>
    <w:p w14:paraId="08666BF4" w14:textId="77777777" w:rsidR="00F67324" w:rsidRPr="00F67324" w:rsidRDefault="00F67324" w:rsidP="009703EC">
      <w:pPr>
        <w:pStyle w:val="Literaturverzeichnis1"/>
        <w:spacing w:line="480" w:lineRule="auto"/>
      </w:pPr>
      <w:r w:rsidRPr="00F67324">
        <w:t xml:space="preserve">[13] </w:t>
      </w:r>
      <w:r w:rsidRPr="00F67324">
        <w:tab/>
        <w:t xml:space="preserve">Chen D, Shen J, Zhao W, Wang T, Han L, Hamilton JL, Im H-J (2017) Osteoarthritis: toward a comprehensive understanding of pathological mechanism. </w:t>
      </w:r>
      <w:r w:rsidRPr="00F67324">
        <w:rPr>
          <w:i/>
          <w:iCs/>
        </w:rPr>
        <w:t>Bone Res</w:t>
      </w:r>
      <w:r w:rsidRPr="00F67324">
        <w:t xml:space="preserve"> </w:t>
      </w:r>
      <w:r w:rsidRPr="00F67324">
        <w:rPr>
          <w:b/>
          <w:bCs/>
        </w:rPr>
        <w:t>5</w:t>
      </w:r>
      <w:r w:rsidRPr="00F67324">
        <w:t>, 16044.</w:t>
      </w:r>
    </w:p>
    <w:p w14:paraId="5C4826C9" w14:textId="77777777" w:rsidR="00F67324" w:rsidRPr="00F67324" w:rsidRDefault="00F67324" w:rsidP="009703EC">
      <w:pPr>
        <w:pStyle w:val="Literaturverzeichnis1"/>
        <w:spacing w:line="480" w:lineRule="auto"/>
      </w:pPr>
      <w:r w:rsidRPr="00F67324">
        <w:t xml:space="preserve">[14] </w:t>
      </w:r>
      <w:r w:rsidRPr="00F67324">
        <w:tab/>
        <w:t xml:space="preserve">Scanzello CR (2017) Role of low-grade inflammation in osteoarthritis. </w:t>
      </w:r>
      <w:r w:rsidRPr="00F67324">
        <w:rPr>
          <w:i/>
          <w:iCs/>
        </w:rPr>
        <w:t>Curr Opin Rheumatol</w:t>
      </w:r>
      <w:r w:rsidRPr="00F67324">
        <w:t xml:space="preserve"> </w:t>
      </w:r>
      <w:r w:rsidRPr="00F67324">
        <w:rPr>
          <w:b/>
          <w:bCs/>
        </w:rPr>
        <w:t>29</w:t>
      </w:r>
      <w:r w:rsidRPr="00F67324">
        <w:t>, 79–85.</w:t>
      </w:r>
    </w:p>
    <w:p w14:paraId="5704E13B" w14:textId="77777777" w:rsidR="00F67324" w:rsidRPr="00F67324" w:rsidRDefault="00F67324" w:rsidP="009703EC">
      <w:pPr>
        <w:pStyle w:val="Literaturverzeichnis1"/>
        <w:spacing w:line="480" w:lineRule="auto"/>
      </w:pPr>
      <w:r w:rsidRPr="00F67324">
        <w:t xml:space="preserve">[15] </w:t>
      </w:r>
      <w:r w:rsidRPr="00F67324">
        <w:tab/>
        <w:t xml:space="preserve">Pajares M, I. Rojo A, Manda G, Boscá L, Cuadrado A (2020) Inflammation in Parkinson’s Disease: Mechanisms and Therapeutic Implications. </w:t>
      </w:r>
      <w:r w:rsidRPr="00F67324">
        <w:rPr>
          <w:i/>
          <w:iCs/>
        </w:rPr>
        <w:t>Cells</w:t>
      </w:r>
      <w:r w:rsidRPr="00F67324">
        <w:t xml:space="preserve"> </w:t>
      </w:r>
      <w:r w:rsidRPr="00F67324">
        <w:rPr>
          <w:b/>
          <w:bCs/>
        </w:rPr>
        <w:t>9</w:t>
      </w:r>
      <w:r w:rsidRPr="00F67324">
        <w:t>, 1687.</w:t>
      </w:r>
    </w:p>
    <w:p w14:paraId="71418A11" w14:textId="77777777" w:rsidR="00F67324" w:rsidRPr="00F67324" w:rsidRDefault="00F67324" w:rsidP="009703EC">
      <w:pPr>
        <w:pStyle w:val="Literaturverzeichnis1"/>
        <w:spacing w:line="480" w:lineRule="auto"/>
      </w:pPr>
      <w:r w:rsidRPr="00F67324">
        <w:t xml:space="preserve">[16] </w:t>
      </w:r>
      <w:r w:rsidRPr="00F67324">
        <w:tab/>
        <w:t xml:space="preserve">Zhang FF, Driban JB, Lo GH, Price LL, Booth S, Eaton CB, Lu B, Nevitt M, Jackson B, Garganta C, Hochberg MC, Kwoh K, McAlindon TE (2014) Vitamin D deficiency is associated with progression of knee osteoarthritis. </w:t>
      </w:r>
      <w:r w:rsidRPr="00F67324">
        <w:rPr>
          <w:i/>
          <w:iCs/>
        </w:rPr>
        <w:t>J Nutr</w:t>
      </w:r>
      <w:r w:rsidRPr="00F67324">
        <w:t xml:space="preserve"> </w:t>
      </w:r>
      <w:r w:rsidRPr="00F67324">
        <w:rPr>
          <w:b/>
          <w:bCs/>
        </w:rPr>
        <w:t>144</w:t>
      </w:r>
      <w:r w:rsidRPr="00F67324">
        <w:t>, 2002–2008.</w:t>
      </w:r>
    </w:p>
    <w:p w14:paraId="7A5AB51E" w14:textId="77777777" w:rsidR="00F67324" w:rsidRPr="00F67324" w:rsidRDefault="00F67324" w:rsidP="009703EC">
      <w:pPr>
        <w:pStyle w:val="Literaturverzeichnis1"/>
        <w:spacing w:line="480" w:lineRule="auto"/>
      </w:pPr>
      <w:r w:rsidRPr="00F67324">
        <w:t xml:space="preserve">[17] </w:t>
      </w:r>
      <w:r w:rsidRPr="00F67324">
        <w:tab/>
        <w:t xml:space="preserve">Garfinkel RJ, Dilisio MF, Agrawal DK (2017) Vitamin D and Its Effects on Articular Cartilage and Osteoarthritis. </w:t>
      </w:r>
      <w:r w:rsidRPr="00F67324">
        <w:rPr>
          <w:i/>
          <w:iCs/>
        </w:rPr>
        <w:t>Orthop J Sports Med</w:t>
      </w:r>
      <w:r w:rsidRPr="00F67324">
        <w:t xml:space="preserve"> </w:t>
      </w:r>
      <w:r w:rsidRPr="00F67324">
        <w:rPr>
          <w:b/>
          <w:bCs/>
        </w:rPr>
        <w:t>5</w:t>
      </w:r>
      <w:r w:rsidRPr="00F67324">
        <w:t>, 2325967117711376.</w:t>
      </w:r>
    </w:p>
    <w:p w14:paraId="04E3455A" w14:textId="77777777" w:rsidR="00F67324" w:rsidRPr="00F67324" w:rsidRDefault="00F67324" w:rsidP="009703EC">
      <w:pPr>
        <w:pStyle w:val="Literaturverzeichnis1"/>
        <w:spacing w:line="480" w:lineRule="auto"/>
      </w:pPr>
      <w:r w:rsidRPr="00F67324">
        <w:lastRenderedPageBreak/>
        <w:t xml:space="preserve">[18] </w:t>
      </w:r>
      <w:r w:rsidRPr="00F67324">
        <w:tab/>
        <w:t xml:space="preserve">Sleeman I, Aspray T, Lawson R, Coleman S, Duncan G, Khoo TK, Schoenmakers I, Rochester L, Burn D, Yarnall A (2017) The Role of Vitamin D in Disease Progression in Early Parkinson’s Disease. </w:t>
      </w:r>
      <w:r w:rsidRPr="00F67324">
        <w:rPr>
          <w:i/>
          <w:iCs/>
        </w:rPr>
        <w:t>J Parkinsons Dis</w:t>
      </w:r>
      <w:r w:rsidRPr="00F67324">
        <w:t xml:space="preserve"> </w:t>
      </w:r>
      <w:r w:rsidRPr="00F67324">
        <w:rPr>
          <w:b/>
          <w:bCs/>
        </w:rPr>
        <w:t>7</w:t>
      </w:r>
      <w:r w:rsidRPr="00F67324">
        <w:t>, 669–675.</w:t>
      </w:r>
    </w:p>
    <w:p w14:paraId="1DE82E24" w14:textId="77777777" w:rsidR="00F67324" w:rsidRPr="00F67324" w:rsidRDefault="00F67324" w:rsidP="009703EC">
      <w:pPr>
        <w:pStyle w:val="Literaturverzeichnis1"/>
        <w:spacing w:line="480" w:lineRule="auto"/>
      </w:pPr>
      <w:r w:rsidRPr="00F67324">
        <w:t xml:space="preserve">[19] </w:t>
      </w:r>
      <w:r w:rsidRPr="00F67324">
        <w:tab/>
        <w:t xml:space="preserve">Shih M, Hootman JM, Kruger J, Helmick CG (2006) Physical activity in men and women with arthritis National Health Interview Survey, 2002. </w:t>
      </w:r>
      <w:r w:rsidRPr="00F67324">
        <w:rPr>
          <w:i/>
          <w:iCs/>
        </w:rPr>
        <w:t>Am J Prev Med</w:t>
      </w:r>
      <w:r w:rsidRPr="00F67324">
        <w:t xml:space="preserve"> </w:t>
      </w:r>
      <w:r w:rsidRPr="00F67324">
        <w:rPr>
          <w:b/>
          <w:bCs/>
        </w:rPr>
        <w:t>30</w:t>
      </w:r>
      <w:r w:rsidRPr="00F67324">
        <w:t>, 385–393.</w:t>
      </w:r>
    </w:p>
    <w:p w14:paraId="6F3EE781" w14:textId="77777777" w:rsidR="00F67324" w:rsidRPr="00F67324" w:rsidRDefault="00F67324" w:rsidP="009703EC">
      <w:pPr>
        <w:pStyle w:val="Literaturverzeichnis1"/>
        <w:spacing w:line="480" w:lineRule="auto"/>
      </w:pPr>
      <w:r w:rsidRPr="00F67324">
        <w:t xml:space="preserve">[20] </w:t>
      </w:r>
      <w:r w:rsidRPr="00F67324">
        <w:tab/>
        <w:t xml:space="preserve">Fang X, Han D, Cheng Q, Zhang P, Zhao C, Min J, Wang F (2018) Association of Levels of Physical Activity With Risk of Parkinson Disease: A Systematic Review and Meta-analysis. </w:t>
      </w:r>
      <w:r w:rsidRPr="00F67324">
        <w:rPr>
          <w:i/>
          <w:iCs/>
        </w:rPr>
        <w:t>JAMA Netw Open</w:t>
      </w:r>
      <w:r w:rsidRPr="00F67324">
        <w:t xml:space="preserve"> </w:t>
      </w:r>
      <w:r w:rsidRPr="00F67324">
        <w:rPr>
          <w:b/>
          <w:bCs/>
        </w:rPr>
        <w:t>1</w:t>
      </w:r>
      <w:r w:rsidRPr="00F67324">
        <w:t>, e182421.</w:t>
      </w:r>
    </w:p>
    <w:p w14:paraId="5B442431" w14:textId="77777777" w:rsidR="00F67324" w:rsidRPr="00F67324" w:rsidRDefault="00F67324" w:rsidP="009703EC">
      <w:pPr>
        <w:pStyle w:val="Literaturverzeichnis1"/>
        <w:spacing w:line="480" w:lineRule="auto"/>
      </w:pPr>
      <w:r w:rsidRPr="00F67324">
        <w:t xml:space="preserve">[21] </w:t>
      </w:r>
      <w:r w:rsidRPr="00F67324">
        <w:tab/>
        <w:t xml:space="preserve">Veronese N, Stubbs B, Solmi M, Smith TO, Noale M, Schofield P, Maggi S (2018) Knee Osteoarthritis and Risk of Hypertension: A Longitudinal Cohort Study. </w:t>
      </w:r>
      <w:r w:rsidRPr="00F67324">
        <w:rPr>
          <w:i/>
          <w:iCs/>
        </w:rPr>
        <w:t>Rejuvenation Res</w:t>
      </w:r>
      <w:r w:rsidRPr="00F67324">
        <w:t xml:space="preserve"> </w:t>
      </w:r>
      <w:r w:rsidRPr="00F67324">
        <w:rPr>
          <w:b/>
          <w:bCs/>
        </w:rPr>
        <w:t>21</w:t>
      </w:r>
      <w:r w:rsidRPr="00F67324">
        <w:t>, 15–21.</w:t>
      </w:r>
    </w:p>
    <w:p w14:paraId="602D4E08" w14:textId="77777777" w:rsidR="00F67324" w:rsidRPr="00F67324" w:rsidRDefault="00F67324" w:rsidP="009703EC">
      <w:pPr>
        <w:pStyle w:val="Literaturverzeichnis1"/>
        <w:spacing w:line="480" w:lineRule="auto"/>
      </w:pPr>
      <w:r w:rsidRPr="00F67324">
        <w:t xml:space="preserve">[22] </w:t>
      </w:r>
      <w:r w:rsidRPr="00F67324">
        <w:tab/>
        <w:t xml:space="preserve">Chen J, Zhang C, Wu Y, Zhang D (2019) Association between Hypertension and the Risk of Parkinson’s Disease: A Meta-Analysis of Analytical Studies. </w:t>
      </w:r>
      <w:r w:rsidRPr="00F67324">
        <w:rPr>
          <w:i/>
          <w:iCs/>
        </w:rPr>
        <w:t>Neuroepidemiology</w:t>
      </w:r>
      <w:r w:rsidRPr="00F67324">
        <w:t xml:space="preserve"> </w:t>
      </w:r>
      <w:r w:rsidRPr="00F67324">
        <w:rPr>
          <w:b/>
          <w:bCs/>
        </w:rPr>
        <w:t>52</w:t>
      </w:r>
      <w:r w:rsidRPr="00F67324">
        <w:t>, 181–192.</w:t>
      </w:r>
    </w:p>
    <w:p w14:paraId="451767C4" w14:textId="77777777" w:rsidR="00F67324" w:rsidRPr="00F67324" w:rsidRDefault="00F67324" w:rsidP="009703EC">
      <w:pPr>
        <w:pStyle w:val="Literaturverzeichnis1"/>
        <w:spacing w:line="480" w:lineRule="auto"/>
      </w:pPr>
      <w:r w:rsidRPr="00F67324">
        <w:t xml:space="preserve">[23] </w:t>
      </w:r>
      <w:r w:rsidRPr="00F67324">
        <w:tab/>
        <w:t xml:space="preserve">Veronese N, Stubbs B, Solmi M, Smith TO, Noale M, Cooper C, Maggi S (2017) Association between lower limb osteoarthritis and incidence of depressive symptoms: data from the osteoarthritis initiative. </w:t>
      </w:r>
      <w:r w:rsidRPr="00F67324">
        <w:rPr>
          <w:i/>
          <w:iCs/>
        </w:rPr>
        <w:t>Age Ageing</w:t>
      </w:r>
      <w:r w:rsidRPr="00F67324">
        <w:t xml:space="preserve"> </w:t>
      </w:r>
      <w:r w:rsidRPr="00F67324">
        <w:rPr>
          <w:b/>
          <w:bCs/>
        </w:rPr>
        <w:t>46</w:t>
      </w:r>
      <w:r w:rsidRPr="00F67324">
        <w:t>, 470–476.</w:t>
      </w:r>
    </w:p>
    <w:p w14:paraId="2DF4A265" w14:textId="77777777" w:rsidR="00F67324" w:rsidRPr="00F67324" w:rsidRDefault="00F67324" w:rsidP="009703EC">
      <w:pPr>
        <w:pStyle w:val="Literaturverzeichnis1"/>
        <w:spacing w:line="480" w:lineRule="auto"/>
      </w:pPr>
      <w:r w:rsidRPr="00F67324">
        <w:t xml:space="preserve">[24] </w:t>
      </w:r>
      <w:r w:rsidRPr="00F67324">
        <w:tab/>
        <w:t xml:space="preserve">Wang S, Mao S, Xiang D, Fang C (2018) Association between depression and the subsequent risk of Parkinson’s disease: A meta-analysis. </w:t>
      </w:r>
      <w:r w:rsidRPr="00F67324">
        <w:rPr>
          <w:i/>
          <w:iCs/>
        </w:rPr>
        <w:t>Prog Neuropsychopharmacol Biol Psychiatry</w:t>
      </w:r>
      <w:r w:rsidRPr="00F67324">
        <w:t xml:space="preserve"> </w:t>
      </w:r>
      <w:r w:rsidRPr="00F67324">
        <w:rPr>
          <w:b/>
          <w:bCs/>
        </w:rPr>
        <w:t>86</w:t>
      </w:r>
      <w:r w:rsidRPr="00F67324">
        <w:t>, 186–192.</w:t>
      </w:r>
    </w:p>
    <w:p w14:paraId="1D06CE84" w14:textId="77777777" w:rsidR="00F67324" w:rsidRPr="00F67324" w:rsidRDefault="00F67324" w:rsidP="009703EC">
      <w:pPr>
        <w:pStyle w:val="Literaturverzeichnis1"/>
        <w:spacing w:line="480" w:lineRule="auto"/>
      </w:pPr>
      <w:r w:rsidRPr="00F67324">
        <w:t xml:space="preserve">[25] </w:t>
      </w:r>
      <w:r w:rsidRPr="00F67324">
        <w:tab/>
        <w:t xml:space="preserve">Safiri S, Kolahi A-A, Smith E, Hill C, Bettampadi D, Mansournia MA, Hoy D, Ashrafi-Asgarabad A, Sepidarkish M, Almasi-Hashiani A, Collins G, Kaufman J, Qorbani M, Moradi-Lakeh M, Woolf AD, Guillemin F, March L, Cross M (2020) </w:t>
      </w:r>
      <w:r w:rsidRPr="00F67324">
        <w:lastRenderedPageBreak/>
        <w:t xml:space="preserve">Global, regional and national burden of osteoarthritis 1990-2017: a systematic analysis of the Global Burden of Disease Study 2017. </w:t>
      </w:r>
      <w:r w:rsidRPr="00F67324">
        <w:rPr>
          <w:i/>
          <w:iCs/>
        </w:rPr>
        <w:t>Ann Rheum Dis</w:t>
      </w:r>
      <w:r w:rsidRPr="00F67324">
        <w:t xml:space="preserve"> </w:t>
      </w:r>
      <w:r w:rsidRPr="00F67324">
        <w:rPr>
          <w:b/>
          <w:bCs/>
        </w:rPr>
        <w:t>79</w:t>
      </w:r>
      <w:r w:rsidRPr="00F67324">
        <w:t>, 819–828.</w:t>
      </w:r>
    </w:p>
    <w:p w14:paraId="292D5EEB" w14:textId="77777777" w:rsidR="00F67324" w:rsidRPr="00F67324" w:rsidRDefault="00F67324" w:rsidP="009703EC">
      <w:pPr>
        <w:pStyle w:val="Literaturverzeichnis1"/>
        <w:spacing w:line="480" w:lineRule="auto"/>
      </w:pPr>
      <w:r w:rsidRPr="00F67324">
        <w:t xml:space="preserve">[26] </w:t>
      </w:r>
      <w:r w:rsidRPr="00F67324">
        <w:tab/>
        <w:t xml:space="preserve">Ogdie A, Langan SM, Parkinson J, Dattani H, Kostev K, Gelfand JM (2012) Medical Record Databases. In </w:t>
      </w:r>
      <w:r w:rsidRPr="00F67324">
        <w:rPr>
          <w:i/>
          <w:iCs/>
        </w:rPr>
        <w:t>Pharmacoepidemiology</w:t>
      </w:r>
      <w:r w:rsidRPr="00F67324">
        <w:t xml:space="preserve"> John Wiley &amp; Sons, Ltd, pp. 224–243.</w:t>
      </w:r>
    </w:p>
    <w:p w14:paraId="4C9F235B" w14:textId="77777777" w:rsidR="00F67324" w:rsidRPr="00F67324" w:rsidRDefault="00F67324" w:rsidP="009703EC">
      <w:pPr>
        <w:pStyle w:val="Literaturverzeichnis1"/>
        <w:spacing w:line="480" w:lineRule="auto"/>
      </w:pPr>
      <w:r w:rsidRPr="00F67324">
        <w:t xml:space="preserve">[27] </w:t>
      </w:r>
      <w:r w:rsidRPr="00F67324">
        <w:tab/>
        <w:t xml:space="preserve">Anderson AS, Loeser RF (2010) Why is Osteoarthritis an Age-Related Disease? </w:t>
      </w:r>
      <w:r w:rsidRPr="00F67324">
        <w:rPr>
          <w:i/>
          <w:iCs/>
        </w:rPr>
        <w:t>Best Pract Res Clin Rheumatol</w:t>
      </w:r>
      <w:r w:rsidRPr="00F67324">
        <w:t xml:space="preserve"> </w:t>
      </w:r>
      <w:r w:rsidRPr="00F67324">
        <w:rPr>
          <w:b/>
          <w:bCs/>
        </w:rPr>
        <w:t>24</w:t>
      </w:r>
      <w:r w:rsidRPr="00F67324">
        <w:t>, 15.</w:t>
      </w:r>
    </w:p>
    <w:p w14:paraId="101C2690" w14:textId="77777777" w:rsidR="00F67324" w:rsidRPr="00F67324" w:rsidRDefault="00F67324" w:rsidP="009703EC">
      <w:pPr>
        <w:pStyle w:val="Literaturverzeichnis1"/>
        <w:spacing w:line="480" w:lineRule="auto"/>
      </w:pPr>
      <w:r w:rsidRPr="00F67324">
        <w:t xml:space="preserve">[28] </w:t>
      </w:r>
      <w:r w:rsidRPr="00F67324">
        <w:tab/>
        <w:t xml:space="preserve">Reeve A, Simcox E, Turnbull D (2014) Ageing and Parkinson’s disease: why is advancing age the biggest risk factor? </w:t>
      </w:r>
      <w:r w:rsidRPr="00F67324">
        <w:rPr>
          <w:i/>
          <w:iCs/>
        </w:rPr>
        <w:t>Ageing Res Rev</w:t>
      </w:r>
      <w:r w:rsidRPr="00F67324">
        <w:t xml:space="preserve"> </w:t>
      </w:r>
      <w:r w:rsidRPr="00F67324">
        <w:rPr>
          <w:b/>
          <w:bCs/>
        </w:rPr>
        <w:t>14</w:t>
      </w:r>
      <w:r w:rsidRPr="00F67324">
        <w:t>, 19–30.</w:t>
      </w:r>
    </w:p>
    <w:p w14:paraId="23002740" w14:textId="77777777" w:rsidR="00F67324" w:rsidRPr="00F67324" w:rsidRDefault="00F67324" w:rsidP="009703EC">
      <w:pPr>
        <w:pStyle w:val="Literaturverzeichnis1"/>
        <w:spacing w:line="480" w:lineRule="auto"/>
      </w:pPr>
      <w:r w:rsidRPr="00F67324">
        <w:t xml:space="preserve">[29] </w:t>
      </w:r>
      <w:r w:rsidRPr="00F67324">
        <w:tab/>
        <w:t xml:space="preserve">Holick MF, Chen TC (2008) Vitamin D deficiency: a worldwide problem with health consequences. </w:t>
      </w:r>
      <w:r w:rsidRPr="00F67324">
        <w:rPr>
          <w:i/>
          <w:iCs/>
        </w:rPr>
        <w:t>Am J Clin Nutr</w:t>
      </w:r>
      <w:r w:rsidRPr="00F67324">
        <w:t xml:space="preserve"> </w:t>
      </w:r>
      <w:r w:rsidRPr="00F67324">
        <w:rPr>
          <w:b/>
          <w:bCs/>
        </w:rPr>
        <w:t>87</w:t>
      </w:r>
      <w:r w:rsidRPr="00F67324">
        <w:t>, 1080S–6S.</w:t>
      </w:r>
    </w:p>
    <w:p w14:paraId="57EE79EC" w14:textId="77777777" w:rsidR="00F67324" w:rsidRPr="00F67324" w:rsidRDefault="00F67324" w:rsidP="009703EC">
      <w:pPr>
        <w:pStyle w:val="Literaturverzeichnis1"/>
        <w:spacing w:line="480" w:lineRule="auto"/>
      </w:pPr>
      <w:r w:rsidRPr="00F67324">
        <w:t xml:space="preserve">[30] </w:t>
      </w:r>
      <w:r w:rsidRPr="00F67324">
        <w:tab/>
        <w:t xml:space="preserve">Herbolsheimer F, Schaap LA, Edwards MH, Maggi S, Otero Á, Timmermans EJ, Denkinger MD, van der Pas S, Dekker J, Cooper C, Dennison EM, van Schoor NM, Peter R, Eposa Study Group (2016) Physical Activity Patterns Among Older Adults With and Without Knee Osteoarthritis in Six European Countries. </w:t>
      </w:r>
      <w:r w:rsidRPr="00F67324">
        <w:rPr>
          <w:i/>
          <w:iCs/>
        </w:rPr>
        <w:t>Arthritis Care Res (Hoboken)</w:t>
      </w:r>
      <w:r w:rsidRPr="00F67324">
        <w:t xml:space="preserve"> </w:t>
      </w:r>
      <w:r w:rsidRPr="00F67324">
        <w:rPr>
          <w:b/>
          <w:bCs/>
        </w:rPr>
        <w:t>68</w:t>
      </w:r>
      <w:r w:rsidRPr="00F67324">
        <w:t>, 228–236.</w:t>
      </w:r>
    </w:p>
    <w:p w14:paraId="72C82AFF" w14:textId="77777777" w:rsidR="00F67324" w:rsidRPr="00F67324" w:rsidRDefault="00F67324" w:rsidP="009703EC">
      <w:pPr>
        <w:pStyle w:val="Literaturverzeichnis1"/>
        <w:spacing w:line="480" w:lineRule="auto"/>
      </w:pPr>
      <w:r w:rsidRPr="00F67324">
        <w:t xml:space="preserve">[31] </w:t>
      </w:r>
      <w:r w:rsidRPr="00F67324">
        <w:tab/>
        <w:t xml:space="preserve">Fan B, Jabeen R, Bo B, Guo C, Han M, Zhang H, Cen J, Ji X, Wei J (2020) What and How Can Physical Activity Prevention Function on Parkinson’s Disease? </w:t>
      </w:r>
      <w:r w:rsidRPr="00F67324">
        <w:rPr>
          <w:i/>
          <w:iCs/>
        </w:rPr>
        <w:t>Oxid Med Cell Longev</w:t>
      </w:r>
      <w:r w:rsidRPr="00F67324">
        <w:t xml:space="preserve"> </w:t>
      </w:r>
      <w:r w:rsidRPr="00F67324">
        <w:rPr>
          <w:b/>
          <w:bCs/>
        </w:rPr>
        <w:t>2020</w:t>
      </w:r>
      <w:r w:rsidRPr="00F67324">
        <w:t>, 4293071.</w:t>
      </w:r>
    </w:p>
    <w:p w14:paraId="042677CB" w14:textId="77777777" w:rsidR="00F67324" w:rsidRPr="00F67324" w:rsidRDefault="00F67324" w:rsidP="009703EC">
      <w:pPr>
        <w:pStyle w:val="Literaturverzeichnis1"/>
        <w:spacing w:line="480" w:lineRule="auto"/>
      </w:pPr>
      <w:r w:rsidRPr="00F67324">
        <w:t xml:space="preserve">[32] </w:t>
      </w:r>
      <w:r w:rsidRPr="00F67324">
        <w:tab/>
        <w:t xml:space="preserve">Yohannes AM, Caton S (2010) Management of depression in older people with osteoarthritis: A systematic review. </w:t>
      </w:r>
      <w:r w:rsidRPr="00F67324">
        <w:rPr>
          <w:i/>
          <w:iCs/>
        </w:rPr>
        <w:t>Aging Ment Health</w:t>
      </w:r>
      <w:r w:rsidRPr="00F67324">
        <w:t xml:space="preserve"> </w:t>
      </w:r>
      <w:r w:rsidRPr="00F67324">
        <w:rPr>
          <w:b/>
          <w:bCs/>
        </w:rPr>
        <w:t>14</w:t>
      </w:r>
      <w:r w:rsidRPr="00F67324">
        <w:t>, 637–651.</w:t>
      </w:r>
    </w:p>
    <w:p w14:paraId="52CE63A9" w14:textId="77777777" w:rsidR="00F67324" w:rsidRPr="00F67324" w:rsidRDefault="00F67324" w:rsidP="009703EC">
      <w:pPr>
        <w:pStyle w:val="Literaturverzeichnis1"/>
        <w:spacing w:line="480" w:lineRule="auto"/>
      </w:pPr>
      <w:r w:rsidRPr="00F67324">
        <w:t xml:space="preserve">[33] </w:t>
      </w:r>
      <w:r w:rsidRPr="00F67324">
        <w:tab/>
        <w:t xml:space="preserve">Li X, Li W, Liu G, Shen X, Tang Y (2015) Association between cigarette smoking and Parkinson’s disease: A meta-analysis. </w:t>
      </w:r>
      <w:r w:rsidRPr="00F67324">
        <w:rPr>
          <w:i/>
          <w:iCs/>
        </w:rPr>
        <w:t>Arch Gerontol Geriatr</w:t>
      </w:r>
      <w:r w:rsidRPr="00F67324">
        <w:t xml:space="preserve"> </w:t>
      </w:r>
      <w:r w:rsidRPr="00F67324">
        <w:rPr>
          <w:b/>
          <w:bCs/>
        </w:rPr>
        <w:t>61</w:t>
      </w:r>
      <w:r w:rsidRPr="00F67324">
        <w:t>, 510–516.</w:t>
      </w:r>
    </w:p>
    <w:p w14:paraId="52D23E15" w14:textId="77777777" w:rsidR="00F67324" w:rsidRPr="00F67324" w:rsidRDefault="00F67324" w:rsidP="009703EC">
      <w:pPr>
        <w:pStyle w:val="Literaturverzeichnis1"/>
        <w:spacing w:line="480" w:lineRule="auto"/>
      </w:pPr>
      <w:r w:rsidRPr="00F67324">
        <w:lastRenderedPageBreak/>
        <w:t xml:space="preserve">[34] </w:t>
      </w:r>
      <w:r w:rsidRPr="00F67324">
        <w:tab/>
        <w:t xml:space="preserve">Kong L, Wang L, Meng F, Cao J, Shen Y (2017) Association between smoking and risk of knee osteoarthritis: a systematic review and meta-analysis. </w:t>
      </w:r>
      <w:r w:rsidRPr="00F67324">
        <w:rPr>
          <w:i/>
          <w:iCs/>
        </w:rPr>
        <w:t>Osteoarthritis Cartilage</w:t>
      </w:r>
      <w:r w:rsidRPr="00F67324">
        <w:t xml:space="preserve"> </w:t>
      </w:r>
      <w:r w:rsidRPr="00F67324">
        <w:rPr>
          <w:b/>
          <w:bCs/>
        </w:rPr>
        <w:t>25</w:t>
      </w:r>
      <w:r w:rsidRPr="00F67324">
        <w:t>, 809–816.</w:t>
      </w:r>
    </w:p>
    <w:p w14:paraId="7C4BC447" w14:textId="44CC1CB9" w:rsidR="00596C66" w:rsidRDefault="00FE4E8F" w:rsidP="00414D4E">
      <w:pPr>
        <w:spacing w:line="480" w:lineRule="auto"/>
        <w:jc w:val="both"/>
        <w:rPr>
          <w:rFonts w:ascii="Arial" w:hAnsi="Arial" w:cs="Arial"/>
          <w:sz w:val="20"/>
          <w:szCs w:val="20"/>
          <w:lang w:val="en-US"/>
        </w:rPr>
      </w:pPr>
      <w:r w:rsidRPr="00D47A30">
        <w:rPr>
          <w:rFonts w:ascii="Arial" w:hAnsi="Arial" w:cs="Arial"/>
          <w:sz w:val="24"/>
          <w:szCs w:val="24"/>
          <w:lang w:val="en-US"/>
        </w:rPr>
        <w:fldChar w:fldCharType="end"/>
      </w:r>
      <w:r w:rsidR="00596C66">
        <w:rPr>
          <w:rFonts w:ascii="Arial" w:hAnsi="Arial" w:cs="Arial"/>
          <w:sz w:val="20"/>
          <w:szCs w:val="20"/>
          <w:lang w:val="en-US"/>
        </w:rPr>
        <w:br w:type="page"/>
      </w:r>
    </w:p>
    <w:p w14:paraId="56C52114" w14:textId="77777777" w:rsidR="00A37A26" w:rsidRDefault="00A37A26" w:rsidP="00A37A26">
      <w:pPr>
        <w:pStyle w:val="Heading1"/>
      </w:pPr>
      <w:r>
        <w:lastRenderedPageBreak/>
        <w:t>Tables and Figures</w:t>
      </w:r>
    </w:p>
    <w:p w14:paraId="2E77B20F" w14:textId="5E4D4E63" w:rsidR="00596C66" w:rsidRPr="00D47A30" w:rsidRDefault="00596C66" w:rsidP="00596C66">
      <w:pPr>
        <w:spacing w:line="480" w:lineRule="auto"/>
        <w:rPr>
          <w:rFonts w:ascii="Arial" w:hAnsi="Arial" w:cs="Arial"/>
          <w:b/>
          <w:sz w:val="24"/>
          <w:szCs w:val="24"/>
          <w:lang w:val="en-US"/>
        </w:rPr>
      </w:pPr>
      <w:r w:rsidRPr="00D47A30">
        <w:rPr>
          <w:rFonts w:ascii="Arial" w:hAnsi="Arial" w:cs="Arial"/>
          <w:b/>
          <w:sz w:val="24"/>
          <w:szCs w:val="24"/>
          <w:lang w:val="en-US"/>
        </w:rPr>
        <w:t xml:space="preserve">Table 1. </w:t>
      </w:r>
      <w:r w:rsidRPr="00D47A30">
        <w:rPr>
          <w:rFonts w:ascii="Arial" w:hAnsi="Arial" w:cs="Arial"/>
          <w:sz w:val="24"/>
          <w:szCs w:val="24"/>
          <w:lang w:val="en-US"/>
        </w:rPr>
        <w:t>Baseline characteristics of study patients after 1:1 matching</w:t>
      </w:r>
    </w:p>
    <w:tbl>
      <w:tblPr>
        <w:tblStyle w:val="TableGrid"/>
        <w:tblW w:w="8971"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3691"/>
        <w:gridCol w:w="1828"/>
        <w:gridCol w:w="1968"/>
        <w:gridCol w:w="1484"/>
      </w:tblGrid>
      <w:tr w:rsidR="00596C66" w:rsidRPr="00D47A30" w14:paraId="0C2A59C2" w14:textId="77777777" w:rsidTr="00D33D45">
        <w:trPr>
          <w:trHeight w:val="469"/>
          <w:jc w:val="center"/>
        </w:trPr>
        <w:tc>
          <w:tcPr>
            <w:tcW w:w="3691" w:type="dxa"/>
            <w:tcBorders>
              <w:bottom w:val="single" w:sz="4" w:space="0" w:color="auto"/>
            </w:tcBorders>
            <w:vAlign w:val="center"/>
          </w:tcPr>
          <w:p w14:paraId="40F6A252"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Variable</w:t>
            </w:r>
          </w:p>
        </w:tc>
        <w:tc>
          <w:tcPr>
            <w:tcW w:w="1828" w:type="dxa"/>
            <w:tcBorders>
              <w:bottom w:val="single" w:sz="4" w:space="0" w:color="auto"/>
            </w:tcBorders>
            <w:vAlign w:val="center"/>
          </w:tcPr>
          <w:p w14:paraId="50BDF875"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Patients with osteoarthritis (N = 130,112)</w:t>
            </w:r>
          </w:p>
        </w:tc>
        <w:tc>
          <w:tcPr>
            <w:tcW w:w="1968" w:type="dxa"/>
            <w:tcBorders>
              <w:bottom w:val="single" w:sz="4" w:space="0" w:color="auto"/>
            </w:tcBorders>
            <w:vAlign w:val="center"/>
          </w:tcPr>
          <w:p w14:paraId="22F18416"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Patients without osteoarthritis (N = 130,112)</w:t>
            </w:r>
          </w:p>
        </w:tc>
        <w:tc>
          <w:tcPr>
            <w:tcW w:w="1484" w:type="dxa"/>
            <w:tcBorders>
              <w:bottom w:val="single" w:sz="4" w:space="0" w:color="auto"/>
            </w:tcBorders>
            <w:vAlign w:val="center"/>
          </w:tcPr>
          <w:p w14:paraId="266502D5"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P-value</w:t>
            </w:r>
          </w:p>
        </w:tc>
      </w:tr>
      <w:tr w:rsidR="00596C66" w:rsidRPr="00D47A30" w14:paraId="645FF682" w14:textId="77777777" w:rsidTr="00D33D45">
        <w:trPr>
          <w:trHeight w:val="234"/>
          <w:jc w:val="center"/>
        </w:trPr>
        <w:tc>
          <w:tcPr>
            <w:tcW w:w="8971" w:type="dxa"/>
            <w:gridSpan w:val="4"/>
            <w:tcBorders>
              <w:bottom w:val="nil"/>
            </w:tcBorders>
            <w:vAlign w:val="center"/>
          </w:tcPr>
          <w:p w14:paraId="4FC219AE" w14:textId="77777777" w:rsidR="00596C66" w:rsidRPr="00D47A30" w:rsidRDefault="00596C66" w:rsidP="00D33D45">
            <w:pPr>
              <w:rPr>
                <w:rFonts w:ascii="Arial" w:hAnsi="Arial" w:cs="Arial"/>
                <w:i/>
                <w:iCs/>
                <w:sz w:val="20"/>
                <w:szCs w:val="20"/>
                <w:lang w:val="en-US"/>
              </w:rPr>
            </w:pPr>
            <w:r w:rsidRPr="00D47A30">
              <w:rPr>
                <w:rFonts w:ascii="Arial" w:hAnsi="Arial" w:cs="Arial"/>
                <w:i/>
                <w:iCs/>
                <w:sz w:val="20"/>
                <w:szCs w:val="20"/>
                <w:lang w:val="en-US"/>
              </w:rPr>
              <w:t>Sex</w:t>
            </w:r>
          </w:p>
        </w:tc>
      </w:tr>
      <w:tr w:rsidR="00596C66" w:rsidRPr="00D47A30" w14:paraId="7016E730" w14:textId="77777777" w:rsidTr="00D33D45">
        <w:trPr>
          <w:trHeight w:val="234"/>
          <w:jc w:val="center"/>
        </w:trPr>
        <w:tc>
          <w:tcPr>
            <w:tcW w:w="3691" w:type="dxa"/>
            <w:tcBorders>
              <w:top w:val="nil"/>
              <w:bottom w:val="nil"/>
            </w:tcBorders>
            <w:vAlign w:val="center"/>
          </w:tcPr>
          <w:p w14:paraId="5080D24F"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Female</w:t>
            </w:r>
          </w:p>
        </w:tc>
        <w:tc>
          <w:tcPr>
            <w:tcW w:w="1828" w:type="dxa"/>
            <w:tcBorders>
              <w:top w:val="nil"/>
              <w:bottom w:val="nil"/>
            </w:tcBorders>
            <w:vAlign w:val="center"/>
          </w:tcPr>
          <w:p w14:paraId="79110EEA"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80,687 (62.0)</w:t>
            </w:r>
          </w:p>
        </w:tc>
        <w:tc>
          <w:tcPr>
            <w:tcW w:w="1968" w:type="dxa"/>
            <w:tcBorders>
              <w:top w:val="nil"/>
              <w:bottom w:val="nil"/>
            </w:tcBorders>
            <w:vAlign w:val="center"/>
          </w:tcPr>
          <w:p w14:paraId="1E762EA1"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80,687 (62.0)</w:t>
            </w:r>
          </w:p>
        </w:tc>
        <w:tc>
          <w:tcPr>
            <w:tcW w:w="1484" w:type="dxa"/>
            <w:vMerge w:val="restart"/>
            <w:tcBorders>
              <w:top w:val="nil"/>
              <w:bottom w:val="nil"/>
            </w:tcBorders>
            <w:vAlign w:val="center"/>
          </w:tcPr>
          <w:p w14:paraId="36E7A7A3"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1.000</w:t>
            </w:r>
          </w:p>
        </w:tc>
      </w:tr>
      <w:tr w:rsidR="00596C66" w:rsidRPr="00D47A30" w14:paraId="1140BEBD" w14:textId="77777777" w:rsidTr="00D33D45">
        <w:trPr>
          <w:trHeight w:val="234"/>
          <w:jc w:val="center"/>
        </w:trPr>
        <w:tc>
          <w:tcPr>
            <w:tcW w:w="3691" w:type="dxa"/>
            <w:tcBorders>
              <w:top w:val="nil"/>
              <w:bottom w:val="nil"/>
            </w:tcBorders>
            <w:vAlign w:val="center"/>
          </w:tcPr>
          <w:p w14:paraId="39B00783"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Male</w:t>
            </w:r>
          </w:p>
        </w:tc>
        <w:tc>
          <w:tcPr>
            <w:tcW w:w="1828" w:type="dxa"/>
            <w:tcBorders>
              <w:top w:val="nil"/>
              <w:bottom w:val="nil"/>
            </w:tcBorders>
            <w:vAlign w:val="center"/>
          </w:tcPr>
          <w:p w14:paraId="311CF5CC"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49,425 (38.0)</w:t>
            </w:r>
          </w:p>
        </w:tc>
        <w:tc>
          <w:tcPr>
            <w:tcW w:w="1968" w:type="dxa"/>
            <w:tcBorders>
              <w:top w:val="nil"/>
              <w:bottom w:val="nil"/>
            </w:tcBorders>
            <w:vAlign w:val="center"/>
          </w:tcPr>
          <w:p w14:paraId="3F0E5858"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49,425 (38.0)</w:t>
            </w:r>
          </w:p>
        </w:tc>
        <w:tc>
          <w:tcPr>
            <w:tcW w:w="1484" w:type="dxa"/>
            <w:vMerge/>
            <w:tcBorders>
              <w:top w:val="nil"/>
              <w:bottom w:val="nil"/>
            </w:tcBorders>
            <w:vAlign w:val="center"/>
          </w:tcPr>
          <w:p w14:paraId="245FFB84" w14:textId="77777777" w:rsidR="00596C66" w:rsidRPr="00D47A30" w:rsidRDefault="00596C66" w:rsidP="00D33D45">
            <w:pPr>
              <w:rPr>
                <w:rFonts w:ascii="Arial" w:hAnsi="Arial" w:cs="Arial"/>
                <w:sz w:val="20"/>
                <w:szCs w:val="20"/>
                <w:lang w:val="en-US"/>
              </w:rPr>
            </w:pPr>
          </w:p>
        </w:tc>
      </w:tr>
      <w:tr w:rsidR="00596C66" w:rsidRPr="00D47A30" w14:paraId="3C67587D" w14:textId="77777777" w:rsidTr="00D33D45">
        <w:trPr>
          <w:trHeight w:val="234"/>
          <w:jc w:val="center"/>
        </w:trPr>
        <w:tc>
          <w:tcPr>
            <w:tcW w:w="3691" w:type="dxa"/>
            <w:tcBorders>
              <w:top w:val="nil"/>
              <w:bottom w:val="nil"/>
            </w:tcBorders>
            <w:vAlign w:val="center"/>
          </w:tcPr>
          <w:p w14:paraId="7BE20C95" w14:textId="77777777" w:rsidR="00596C66" w:rsidRPr="00D47A30" w:rsidRDefault="00596C66" w:rsidP="00D33D45">
            <w:pPr>
              <w:rPr>
                <w:rFonts w:ascii="Arial" w:hAnsi="Arial" w:cs="Arial"/>
                <w:i/>
                <w:iCs/>
                <w:sz w:val="20"/>
                <w:szCs w:val="20"/>
                <w:lang w:val="en-US"/>
              </w:rPr>
            </w:pPr>
            <w:r w:rsidRPr="00D47A30">
              <w:rPr>
                <w:rFonts w:ascii="Arial" w:hAnsi="Arial" w:cs="Arial"/>
                <w:i/>
                <w:iCs/>
                <w:sz w:val="20"/>
                <w:szCs w:val="20"/>
                <w:lang w:val="en-US"/>
              </w:rPr>
              <w:t>Age (in years)</w:t>
            </w:r>
          </w:p>
        </w:tc>
        <w:tc>
          <w:tcPr>
            <w:tcW w:w="1828" w:type="dxa"/>
            <w:tcBorders>
              <w:top w:val="nil"/>
              <w:bottom w:val="nil"/>
            </w:tcBorders>
            <w:vAlign w:val="center"/>
          </w:tcPr>
          <w:p w14:paraId="2A09AB9D" w14:textId="77777777" w:rsidR="00596C66" w:rsidRPr="00D47A30" w:rsidRDefault="00596C66" w:rsidP="00D33D45">
            <w:pPr>
              <w:rPr>
                <w:rFonts w:ascii="Arial" w:hAnsi="Arial" w:cs="Arial"/>
                <w:sz w:val="20"/>
                <w:szCs w:val="20"/>
                <w:lang w:val="en-US"/>
              </w:rPr>
            </w:pPr>
          </w:p>
        </w:tc>
        <w:tc>
          <w:tcPr>
            <w:tcW w:w="1968" w:type="dxa"/>
            <w:tcBorders>
              <w:top w:val="nil"/>
              <w:bottom w:val="nil"/>
            </w:tcBorders>
            <w:vAlign w:val="center"/>
          </w:tcPr>
          <w:p w14:paraId="500966B3" w14:textId="77777777" w:rsidR="00596C66" w:rsidRPr="00D47A30" w:rsidRDefault="00596C66" w:rsidP="00D33D45">
            <w:pPr>
              <w:rPr>
                <w:rFonts w:ascii="Arial" w:hAnsi="Arial" w:cs="Arial"/>
                <w:sz w:val="20"/>
                <w:szCs w:val="20"/>
                <w:lang w:val="en-US"/>
              </w:rPr>
            </w:pPr>
          </w:p>
        </w:tc>
        <w:tc>
          <w:tcPr>
            <w:tcW w:w="1484" w:type="dxa"/>
            <w:tcBorders>
              <w:top w:val="nil"/>
              <w:bottom w:val="nil"/>
            </w:tcBorders>
            <w:vAlign w:val="center"/>
          </w:tcPr>
          <w:p w14:paraId="13B5B181" w14:textId="77777777" w:rsidR="00596C66" w:rsidRPr="00D47A30" w:rsidRDefault="00596C66" w:rsidP="00D33D45">
            <w:pPr>
              <w:rPr>
                <w:rFonts w:ascii="Arial" w:hAnsi="Arial" w:cs="Arial"/>
                <w:sz w:val="20"/>
                <w:szCs w:val="20"/>
                <w:lang w:val="en-US"/>
              </w:rPr>
            </w:pPr>
          </w:p>
        </w:tc>
      </w:tr>
      <w:tr w:rsidR="00596C66" w:rsidRPr="00D47A30" w14:paraId="249AD49F" w14:textId="77777777" w:rsidTr="00D33D45">
        <w:trPr>
          <w:trHeight w:val="234"/>
          <w:jc w:val="center"/>
        </w:trPr>
        <w:tc>
          <w:tcPr>
            <w:tcW w:w="3691" w:type="dxa"/>
            <w:tcBorders>
              <w:top w:val="nil"/>
              <w:bottom w:val="nil"/>
            </w:tcBorders>
            <w:vAlign w:val="center"/>
          </w:tcPr>
          <w:p w14:paraId="63BA76D8"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Mean (standard deviation)</w:t>
            </w:r>
          </w:p>
        </w:tc>
        <w:tc>
          <w:tcPr>
            <w:tcW w:w="1828" w:type="dxa"/>
            <w:tcBorders>
              <w:top w:val="nil"/>
              <w:bottom w:val="nil"/>
            </w:tcBorders>
            <w:vAlign w:val="center"/>
          </w:tcPr>
          <w:p w14:paraId="036E2898"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66.4 (12.7)</w:t>
            </w:r>
          </w:p>
        </w:tc>
        <w:tc>
          <w:tcPr>
            <w:tcW w:w="1968" w:type="dxa"/>
            <w:tcBorders>
              <w:top w:val="nil"/>
              <w:bottom w:val="nil"/>
            </w:tcBorders>
            <w:vAlign w:val="center"/>
          </w:tcPr>
          <w:p w14:paraId="341806D1"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66.4 (12.7)</w:t>
            </w:r>
          </w:p>
        </w:tc>
        <w:tc>
          <w:tcPr>
            <w:tcW w:w="1484" w:type="dxa"/>
            <w:tcBorders>
              <w:top w:val="nil"/>
              <w:bottom w:val="nil"/>
            </w:tcBorders>
            <w:vAlign w:val="center"/>
          </w:tcPr>
          <w:p w14:paraId="18CA513A"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1.000</w:t>
            </w:r>
          </w:p>
        </w:tc>
      </w:tr>
      <w:tr w:rsidR="00596C66" w:rsidRPr="00D47A30" w14:paraId="041B7AC8" w14:textId="77777777" w:rsidTr="00D33D45">
        <w:trPr>
          <w:trHeight w:val="234"/>
          <w:jc w:val="center"/>
        </w:trPr>
        <w:tc>
          <w:tcPr>
            <w:tcW w:w="3691" w:type="dxa"/>
            <w:tcBorders>
              <w:top w:val="nil"/>
              <w:bottom w:val="nil"/>
            </w:tcBorders>
            <w:vAlign w:val="center"/>
          </w:tcPr>
          <w:p w14:paraId="62DB943A"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≤50</w:t>
            </w:r>
          </w:p>
        </w:tc>
        <w:tc>
          <w:tcPr>
            <w:tcW w:w="1828" w:type="dxa"/>
            <w:tcBorders>
              <w:top w:val="nil"/>
              <w:bottom w:val="nil"/>
            </w:tcBorders>
            <w:vAlign w:val="center"/>
          </w:tcPr>
          <w:p w14:paraId="1CD26551"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14,544 (11.2)</w:t>
            </w:r>
          </w:p>
        </w:tc>
        <w:tc>
          <w:tcPr>
            <w:tcW w:w="1968" w:type="dxa"/>
            <w:tcBorders>
              <w:top w:val="nil"/>
              <w:bottom w:val="nil"/>
            </w:tcBorders>
            <w:vAlign w:val="center"/>
          </w:tcPr>
          <w:p w14:paraId="4E858BA6"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14,544 (11.2)</w:t>
            </w:r>
          </w:p>
        </w:tc>
        <w:tc>
          <w:tcPr>
            <w:tcW w:w="1484" w:type="dxa"/>
            <w:vMerge w:val="restart"/>
            <w:tcBorders>
              <w:top w:val="nil"/>
              <w:bottom w:val="nil"/>
            </w:tcBorders>
            <w:vAlign w:val="center"/>
          </w:tcPr>
          <w:p w14:paraId="744B341F"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1.000</w:t>
            </w:r>
          </w:p>
        </w:tc>
      </w:tr>
      <w:tr w:rsidR="00596C66" w:rsidRPr="00D47A30" w14:paraId="220539E2" w14:textId="77777777" w:rsidTr="00D33D45">
        <w:trPr>
          <w:trHeight w:val="234"/>
          <w:jc w:val="center"/>
        </w:trPr>
        <w:tc>
          <w:tcPr>
            <w:tcW w:w="3691" w:type="dxa"/>
            <w:tcBorders>
              <w:top w:val="nil"/>
              <w:bottom w:val="nil"/>
            </w:tcBorders>
            <w:vAlign w:val="center"/>
          </w:tcPr>
          <w:p w14:paraId="2D420554"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51-60</w:t>
            </w:r>
          </w:p>
        </w:tc>
        <w:tc>
          <w:tcPr>
            <w:tcW w:w="1828" w:type="dxa"/>
            <w:tcBorders>
              <w:top w:val="nil"/>
              <w:bottom w:val="nil"/>
            </w:tcBorders>
            <w:vAlign w:val="center"/>
          </w:tcPr>
          <w:p w14:paraId="58D3239B"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31,170 (24.0)</w:t>
            </w:r>
          </w:p>
        </w:tc>
        <w:tc>
          <w:tcPr>
            <w:tcW w:w="1968" w:type="dxa"/>
            <w:tcBorders>
              <w:top w:val="nil"/>
              <w:bottom w:val="nil"/>
            </w:tcBorders>
            <w:vAlign w:val="center"/>
          </w:tcPr>
          <w:p w14:paraId="3709E513"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31,170 (24.0)</w:t>
            </w:r>
          </w:p>
        </w:tc>
        <w:tc>
          <w:tcPr>
            <w:tcW w:w="1484" w:type="dxa"/>
            <w:vMerge/>
            <w:tcBorders>
              <w:top w:val="nil"/>
              <w:bottom w:val="nil"/>
            </w:tcBorders>
            <w:vAlign w:val="center"/>
          </w:tcPr>
          <w:p w14:paraId="11A5D5BC" w14:textId="77777777" w:rsidR="00596C66" w:rsidRPr="00D47A30" w:rsidRDefault="00596C66" w:rsidP="00D33D45">
            <w:pPr>
              <w:rPr>
                <w:rFonts w:ascii="Arial" w:hAnsi="Arial" w:cs="Arial"/>
                <w:sz w:val="20"/>
                <w:szCs w:val="20"/>
                <w:lang w:val="en-US"/>
              </w:rPr>
            </w:pPr>
          </w:p>
        </w:tc>
      </w:tr>
      <w:tr w:rsidR="00596C66" w:rsidRPr="00D47A30" w14:paraId="7F9E48EA" w14:textId="77777777" w:rsidTr="00D33D45">
        <w:trPr>
          <w:trHeight w:val="234"/>
          <w:jc w:val="center"/>
        </w:trPr>
        <w:tc>
          <w:tcPr>
            <w:tcW w:w="3691" w:type="dxa"/>
            <w:tcBorders>
              <w:top w:val="nil"/>
              <w:bottom w:val="nil"/>
            </w:tcBorders>
            <w:vAlign w:val="center"/>
          </w:tcPr>
          <w:p w14:paraId="3D8A4980"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61-70</w:t>
            </w:r>
          </w:p>
        </w:tc>
        <w:tc>
          <w:tcPr>
            <w:tcW w:w="1828" w:type="dxa"/>
            <w:tcBorders>
              <w:top w:val="nil"/>
              <w:bottom w:val="nil"/>
            </w:tcBorders>
            <w:vAlign w:val="center"/>
          </w:tcPr>
          <w:p w14:paraId="7D328864"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34,217 (26.3)</w:t>
            </w:r>
          </w:p>
        </w:tc>
        <w:tc>
          <w:tcPr>
            <w:tcW w:w="1968" w:type="dxa"/>
            <w:tcBorders>
              <w:top w:val="nil"/>
              <w:bottom w:val="nil"/>
            </w:tcBorders>
            <w:vAlign w:val="center"/>
          </w:tcPr>
          <w:p w14:paraId="16A75CD1"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34,217 (26.3)</w:t>
            </w:r>
          </w:p>
        </w:tc>
        <w:tc>
          <w:tcPr>
            <w:tcW w:w="1484" w:type="dxa"/>
            <w:vMerge/>
            <w:tcBorders>
              <w:top w:val="nil"/>
              <w:bottom w:val="nil"/>
            </w:tcBorders>
            <w:vAlign w:val="center"/>
          </w:tcPr>
          <w:p w14:paraId="2DA07466" w14:textId="77777777" w:rsidR="00596C66" w:rsidRPr="00D47A30" w:rsidRDefault="00596C66" w:rsidP="00D33D45">
            <w:pPr>
              <w:rPr>
                <w:rFonts w:ascii="Arial" w:hAnsi="Arial" w:cs="Arial"/>
                <w:sz w:val="20"/>
                <w:szCs w:val="20"/>
                <w:lang w:val="en-US"/>
              </w:rPr>
            </w:pPr>
          </w:p>
        </w:tc>
      </w:tr>
      <w:tr w:rsidR="00596C66" w:rsidRPr="00D47A30" w14:paraId="27F58B94" w14:textId="77777777" w:rsidTr="00D33D45">
        <w:trPr>
          <w:trHeight w:val="234"/>
          <w:jc w:val="center"/>
        </w:trPr>
        <w:tc>
          <w:tcPr>
            <w:tcW w:w="3691" w:type="dxa"/>
            <w:tcBorders>
              <w:top w:val="nil"/>
              <w:bottom w:val="nil"/>
            </w:tcBorders>
            <w:vAlign w:val="center"/>
          </w:tcPr>
          <w:p w14:paraId="76602D5E"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71-80</w:t>
            </w:r>
          </w:p>
        </w:tc>
        <w:tc>
          <w:tcPr>
            <w:tcW w:w="1828" w:type="dxa"/>
            <w:tcBorders>
              <w:top w:val="nil"/>
              <w:bottom w:val="nil"/>
            </w:tcBorders>
            <w:vAlign w:val="center"/>
          </w:tcPr>
          <w:p w14:paraId="62B972CC"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30,047 (23.1)</w:t>
            </w:r>
          </w:p>
        </w:tc>
        <w:tc>
          <w:tcPr>
            <w:tcW w:w="1968" w:type="dxa"/>
            <w:tcBorders>
              <w:top w:val="nil"/>
              <w:bottom w:val="nil"/>
            </w:tcBorders>
            <w:vAlign w:val="center"/>
          </w:tcPr>
          <w:p w14:paraId="7F75DB7D"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30,047 (23.1)</w:t>
            </w:r>
          </w:p>
        </w:tc>
        <w:tc>
          <w:tcPr>
            <w:tcW w:w="1484" w:type="dxa"/>
            <w:vMerge/>
            <w:tcBorders>
              <w:top w:val="nil"/>
              <w:bottom w:val="nil"/>
            </w:tcBorders>
            <w:vAlign w:val="center"/>
          </w:tcPr>
          <w:p w14:paraId="67725361" w14:textId="77777777" w:rsidR="00596C66" w:rsidRPr="00D47A30" w:rsidRDefault="00596C66" w:rsidP="00D33D45">
            <w:pPr>
              <w:rPr>
                <w:rFonts w:ascii="Arial" w:hAnsi="Arial" w:cs="Arial"/>
                <w:sz w:val="20"/>
                <w:szCs w:val="20"/>
                <w:lang w:val="en-US"/>
              </w:rPr>
            </w:pPr>
          </w:p>
        </w:tc>
      </w:tr>
      <w:tr w:rsidR="00596C66" w:rsidRPr="00D47A30" w14:paraId="42A8CAA7" w14:textId="77777777" w:rsidTr="00D33D45">
        <w:trPr>
          <w:trHeight w:val="234"/>
          <w:jc w:val="center"/>
        </w:trPr>
        <w:tc>
          <w:tcPr>
            <w:tcW w:w="3691" w:type="dxa"/>
            <w:tcBorders>
              <w:top w:val="nil"/>
              <w:bottom w:val="nil"/>
            </w:tcBorders>
            <w:vAlign w:val="center"/>
          </w:tcPr>
          <w:p w14:paraId="11F8705B"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&gt;80</w:t>
            </w:r>
          </w:p>
        </w:tc>
        <w:tc>
          <w:tcPr>
            <w:tcW w:w="1828" w:type="dxa"/>
            <w:tcBorders>
              <w:top w:val="nil"/>
              <w:bottom w:val="nil"/>
            </w:tcBorders>
            <w:vAlign w:val="center"/>
          </w:tcPr>
          <w:p w14:paraId="02FB0065"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20,134 (15.4)</w:t>
            </w:r>
          </w:p>
        </w:tc>
        <w:tc>
          <w:tcPr>
            <w:tcW w:w="1968" w:type="dxa"/>
            <w:tcBorders>
              <w:top w:val="nil"/>
              <w:bottom w:val="nil"/>
            </w:tcBorders>
            <w:vAlign w:val="center"/>
          </w:tcPr>
          <w:p w14:paraId="724AD20B"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20,134 (15.4)</w:t>
            </w:r>
          </w:p>
        </w:tc>
        <w:tc>
          <w:tcPr>
            <w:tcW w:w="1484" w:type="dxa"/>
            <w:vMerge/>
            <w:tcBorders>
              <w:top w:val="nil"/>
              <w:bottom w:val="nil"/>
            </w:tcBorders>
            <w:vAlign w:val="center"/>
          </w:tcPr>
          <w:p w14:paraId="3B68E869" w14:textId="77777777" w:rsidR="00596C66" w:rsidRPr="00D47A30" w:rsidRDefault="00596C66" w:rsidP="00D33D45">
            <w:pPr>
              <w:rPr>
                <w:rFonts w:ascii="Arial" w:hAnsi="Arial" w:cs="Arial"/>
                <w:sz w:val="20"/>
                <w:szCs w:val="20"/>
                <w:lang w:val="en-US"/>
              </w:rPr>
            </w:pPr>
          </w:p>
        </w:tc>
      </w:tr>
      <w:tr w:rsidR="00596C66" w:rsidRPr="00596C66" w14:paraId="405B2BF1" w14:textId="77777777" w:rsidTr="00D33D45">
        <w:trPr>
          <w:trHeight w:val="234"/>
          <w:jc w:val="center"/>
        </w:trPr>
        <w:tc>
          <w:tcPr>
            <w:tcW w:w="8971" w:type="dxa"/>
            <w:gridSpan w:val="4"/>
            <w:tcBorders>
              <w:top w:val="nil"/>
              <w:bottom w:val="nil"/>
            </w:tcBorders>
            <w:vAlign w:val="center"/>
          </w:tcPr>
          <w:p w14:paraId="60733F95" w14:textId="77777777" w:rsidR="00596C66" w:rsidRPr="00D47A30" w:rsidRDefault="00596C66" w:rsidP="00D33D45">
            <w:pPr>
              <w:rPr>
                <w:rFonts w:ascii="Arial" w:hAnsi="Arial" w:cs="Arial"/>
                <w:i/>
                <w:iCs/>
                <w:sz w:val="20"/>
                <w:szCs w:val="20"/>
                <w:lang w:val="en-US"/>
              </w:rPr>
            </w:pPr>
            <w:r w:rsidRPr="00D47A30">
              <w:rPr>
                <w:rFonts w:ascii="Arial" w:hAnsi="Arial" w:cs="Arial"/>
                <w:i/>
                <w:iCs/>
                <w:sz w:val="20"/>
                <w:szCs w:val="20"/>
                <w:lang w:val="en-US"/>
              </w:rPr>
              <w:t>Disorders documented prior to or on the index date</w:t>
            </w:r>
          </w:p>
        </w:tc>
      </w:tr>
      <w:tr w:rsidR="00596C66" w:rsidRPr="00D47A30" w14:paraId="227EE0FE" w14:textId="77777777" w:rsidTr="00D33D45">
        <w:trPr>
          <w:trHeight w:val="234"/>
          <w:jc w:val="center"/>
        </w:trPr>
        <w:tc>
          <w:tcPr>
            <w:tcW w:w="3691" w:type="dxa"/>
            <w:tcBorders>
              <w:top w:val="nil"/>
              <w:bottom w:val="nil"/>
            </w:tcBorders>
            <w:vAlign w:val="center"/>
          </w:tcPr>
          <w:p w14:paraId="04B19D36"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Hypertension</w:t>
            </w:r>
          </w:p>
        </w:tc>
        <w:tc>
          <w:tcPr>
            <w:tcW w:w="1828" w:type="dxa"/>
            <w:tcBorders>
              <w:top w:val="nil"/>
              <w:bottom w:val="nil"/>
            </w:tcBorders>
            <w:vAlign w:val="center"/>
          </w:tcPr>
          <w:p w14:paraId="2CE8E03C"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42,170 (32.4)</w:t>
            </w:r>
          </w:p>
        </w:tc>
        <w:tc>
          <w:tcPr>
            <w:tcW w:w="1968" w:type="dxa"/>
            <w:tcBorders>
              <w:top w:val="nil"/>
              <w:bottom w:val="nil"/>
            </w:tcBorders>
            <w:vAlign w:val="center"/>
          </w:tcPr>
          <w:p w14:paraId="7CEF1970"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36,776 (28.3)</w:t>
            </w:r>
          </w:p>
        </w:tc>
        <w:tc>
          <w:tcPr>
            <w:tcW w:w="1484" w:type="dxa"/>
            <w:tcBorders>
              <w:top w:val="nil"/>
              <w:bottom w:val="nil"/>
            </w:tcBorders>
            <w:vAlign w:val="center"/>
          </w:tcPr>
          <w:p w14:paraId="7BAFCE00"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&lt;0.001</w:t>
            </w:r>
          </w:p>
        </w:tc>
      </w:tr>
      <w:tr w:rsidR="00596C66" w:rsidRPr="00D47A30" w14:paraId="5A24A0B1" w14:textId="77777777" w:rsidTr="00D33D45">
        <w:trPr>
          <w:trHeight w:val="234"/>
          <w:jc w:val="center"/>
        </w:trPr>
        <w:tc>
          <w:tcPr>
            <w:tcW w:w="3691" w:type="dxa"/>
            <w:tcBorders>
              <w:top w:val="nil"/>
              <w:bottom w:val="nil"/>
            </w:tcBorders>
            <w:vAlign w:val="center"/>
          </w:tcPr>
          <w:p w14:paraId="788A4803"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Diabetes mellitus</w:t>
            </w:r>
          </w:p>
        </w:tc>
        <w:tc>
          <w:tcPr>
            <w:tcW w:w="1828" w:type="dxa"/>
            <w:tcBorders>
              <w:top w:val="nil"/>
              <w:bottom w:val="nil"/>
            </w:tcBorders>
            <w:vAlign w:val="center"/>
          </w:tcPr>
          <w:p w14:paraId="6BF98FD3"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12,114 (9.3)</w:t>
            </w:r>
          </w:p>
        </w:tc>
        <w:tc>
          <w:tcPr>
            <w:tcW w:w="1968" w:type="dxa"/>
            <w:tcBorders>
              <w:top w:val="nil"/>
              <w:bottom w:val="nil"/>
            </w:tcBorders>
            <w:vAlign w:val="center"/>
          </w:tcPr>
          <w:p w14:paraId="600F91DA"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10,660 (8.2)</w:t>
            </w:r>
          </w:p>
        </w:tc>
        <w:tc>
          <w:tcPr>
            <w:tcW w:w="1484" w:type="dxa"/>
            <w:tcBorders>
              <w:top w:val="nil"/>
              <w:bottom w:val="nil"/>
            </w:tcBorders>
            <w:vAlign w:val="center"/>
          </w:tcPr>
          <w:p w14:paraId="505B504E"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&lt;0.001</w:t>
            </w:r>
          </w:p>
        </w:tc>
      </w:tr>
      <w:tr w:rsidR="00596C66" w:rsidRPr="00D47A30" w14:paraId="04CE79AE" w14:textId="77777777" w:rsidTr="00D33D45">
        <w:trPr>
          <w:trHeight w:val="234"/>
          <w:jc w:val="center"/>
        </w:trPr>
        <w:tc>
          <w:tcPr>
            <w:tcW w:w="3691" w:type="dxa"/>
            <w:tcBorders>
              <w:top w:val="nil"/>
              <w:bottom w:val="nil"/>
            </w:tcBorders>
            <w:vAlign w:val="center"/>
          </w:tcPr>
          <w:p w14:paraId="4A3596C5"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 xml:space="preserve">Thyroid </w:t>
            </w:r>
            <w:r>
              <w:rPr>
                <w:rFonts w:ascii="Arial" w:hAnsi="Arial" w:cs="Arial"/>
                <w:sz w:val="20"/>
                <w:szCs w:val="20"/>
                <w:lang w:val="en-US"/>
              </w:rPr>
              <w:t>d</w:t>
            </w:r>
            <w:r w:rsidRPr="00D47A30">
              <w:rPr>
                <w:rFonts w:ascii="Arial" w:hAnsi="Arial" w:cs="Arial"/>
                <w:sz w:val="20"/>
                <w:szCs w:val="20"/>
                <w:lang w:val="en-US"/>
              </w:rPr>
              <w:t>iseases</w:t>
            </w:r>
          </w:p>
        </w:tc>
        <w:tc>
          <w:tcPr>
            <w:tcW w:w="1828" w:type="dxa"/>
            <w:tcBorders>
              <w:top w:val="nil"/>
              <w:bottom w:val="nil"/>
            </w:tcBorders>
            <w:vAlign w:val="center"/>
          </w:tcPr>
          <w:p w14:paraId="04E5CFB3"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11,781 (9.1)</w:t>
            </w:r>
          </w:p>
        </w:tc>
        <w:tc>
          <w:tcPr>
            <w:tcW w:w="1968" w:type="dxa"/>
            <w:tcBorders>
              <w:top w:val="nil"/>
              <w:bottom w:val="nil"/>
            </w:tcBorders>
            <w:vAlign w:val="center"/>
          </w:tcPr>
          <w:p w14:paraId="7F5DA81E"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9,760 (7.5)</w:t>
            </w:r>
          </w:p>
        </w:tc>
        <w:tc>
          <w:tcPr>
            <w:tcW w:w="1484" w:type="dxa"/>
            <w:tcBorders>
              <w:top w:val="nil"/>
              <w:bottom w:val="nil"/>
            </w:tcBorders>
            <w:vAlign w:val="center"/>
          </w:tcPr>
          <w:p w14:paraId="4707798A"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&lt;0.001</w:t>
            </w:r>
          </w:p>
        </w:tc>
      </w:tr>
      <w:tr w:rsidR="00596C66" w:rsidRPr="00D47A30" w14:paraId="2F1EEAD0" w14:textId="77777777" w:rsidTr="00D33D45">
        <w:trPr>
          <w:trHeight w:val="234"/>
          <w:jc w:val="center"/>
        </w:trPr>
        <w:tc>
          <w:tcPr>
            <w:tcW w:w="3691" w:type="dxa"/>
            <w:tcBorders>
              <w:top w:val="nil"/>
              <w:bottom w:val="nil"/>
            </w:tcBorders>
            <w:vAlign w:val="center"/>
          </w:tcPr>
          <w:p w14:paraId="001EB3D3"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Dyslipidemia</w:t>
            </w:r>
          </w:p>
        </w:tc>
        <w:tc>
          <w:tcPr>
            <w:tcW w:w="1828" w:type="dxa"/>
            <w:tcBorders>
              <w:top w:val="nil"/>
              <w:bottom w:val="nil"/>
            </w:tcBorders>
            <w:vAlign w:val="center"/>
          </w:tcPr>
          <w:p w14:paraId="34E54E31"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11,031 (8.5)</w:t>
            </w:r>
          </w:p>
        </w:tc>
        <w:tc>
          <w:tcPr>
            <w:tcW w:w="1968" w:type="dxa"/>
            <w:tcBorders>
              <w:top w:val="nil"/>
              <w:bottom w:val="nil"/>
            </w:tcBorders>
            <w:vAlign w:val="center"/>
          </w:tcPr>
          <w:p w14:paraId="5BF56B8B"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9,240 (7.1)</w:t>
            </w:r>
          </w:p>
        </w:tc>
        <w:tc>
          <w:tcPr>
            <w:tcW w:w="1484" w:type="dxa"/>
            <w:tcBorders>
              <w:top w:val="nil"/>
              <w:bottom w:val="nil"/>
            </w:tcBorders>
            <w:vAlign w:val="center"/>
          </w:tcPr>
          <w:p w14:paraId="712B8F21"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&lt;0.001</w:t>
            </w:r>
          </w:p>
        </w:tc>
      </w:tr>
      <w:tr w:rsidR="00596C66" w:rsidRPr="00D47A30" w14:paraId="28CB6817" w14:textId="77777777" w:rsidTr="00D33D45">
        <w:trPr>
          <w:trHeight w:val="234"/>
          <w:jc w:val="center"/>
        </w:trPr>
        <w:tc>
          <w:tcPr>
            <w:tcW w:w="3691" w:type="dxa"/>
            <w:tcBorders>
              <w:top w:val="nil"/>
              <w:bottom w:val="nil"/>
            </w:tcBorders>
            <w:vAlign w:val="center"/>
          </w:tcPr>
          <w:p w14:paraId="5022F0EC"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Coronary heart disease</w:t>
            </w:r>
          </w:p>
        </w:tc>
        <w:tc>
          <w:tcPr>
            <w:tcW w:w="1828" w:type="dxa"/>
            <w:tcBorders>
              <w:top w:val="nil"/>
              <w:bottom w:val="nil"/>
            </w:tcBorders>
            <w:vAlign w:val="center"/>
          </w:tcPr>
          <w:p w14:paraId="678172E3"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8,972 (6.9)</w:t>
            </w:r>
          </w:p>
        </w:tc>
        <w:tc>
          <w:tcPr>
            <w:tcW w:w="1968" w:type="dxa"/>
            <w:tcBorders>
              <w:top w:val="nil"/>
              <w:bottom w:val="nil"/>
            </w:tcBorders>
            <w:vAlign w:val="center"/>
          </w:tcPr>
          <w:p w14:paraId="6C21508B"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6</w:t>
            </w:r>
            <w:r>
              <w:rPr>
                <w:rFonts w:ascii="Arial" w:hAnsi="Arial" w:cs="Arial"/>
                <w:sz w:val="20"/>
                <w:szCs w:val="20"/>
                <w:lang w:val="en-US"/>
              </w:rPr>
              <w:t>,</w:t>
            </w:r>
            <w:r w:rsidRPr="00D47A30">
              <w:rPr>
                <w:rFonts w:ascii="Arial" w:hAnsi="Arial" w:cs="Arial"/>
                <w:sz w:val="20"/>
                <w:szCs w:val="20"/>
                <w:lang w:val="en-US"/>
              </w:rPr>
              <w:t>347 (4.9)</w:t>
            </w:r>
          </w:p>
        </w:tc>
        <w:tc>
          <w:tcPr>
            <w:tcW w:w="1484" w:type="dxa"/>
            <w:tcBorders>
              <w:top w:val="nil"/>
              <w:bottom w:val="nil"/>
            </w:tcBorders>
            <w:vAlign w:val="center"/>
          </w:tcPr>
          <w:p w14:paraId="551BDBC8"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&lt;0.001</w:t>
            </w:r>
          </w:p>
        </w:tc>
      </w:tr>
      <w:tr w:rsidR="00596C66" w:rsidRPr="00D47A30" w14:paraId="63B77B6B" w14:textId="77777777" w:rsidTr="00D33D45">
        <w:trPr>
          <w:trHeight w:val="234"/>
          <w:jc w:val="center"/>
        </w:trPr>
        <w:tc>
          <w:tcPr>
            <w:tcW w:w="3691" w:type="dxa"/>
            <w:tcBorders>
              <w:top w:val="nil"/>
              <w:bottom w:val="nil"/>
            </w:tcBorders>
            <w:vAlign w:val="center"/>
          </w:tcPr>
          <w:p w14:paraId="1E650B6E"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Gout</w:t>
            </w:r>
          </w:p>
        </w:tc>
        <w:tc>
          <w:tcPr>
            <w:tcW w:w="1828" w:type="dxa"/>
            <w:tcBorders>
              <w:top w:val="nil"/>
              <w:bottom w:val="nil"/>
            </w:tcBorders>
            <w:vAlign w:val="center"/>
          </w:tcPr>
          <w:p w14:paraId="257442F8"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5,952 (4.6)</w:t>
            </w:r>
          </w:p>
        </w:tc>
        <w:tc>
          <w:tcPr>
            <w:tcW w:w="1968" w:type="dxa"/>
            <w:tcBorders>
              <w:top w:val="nil"/>
              <w:bottom w:val="nil"/>
            </w:tcBorders>
            <w:vAlign w:val="center"/>
          </w:tcPr>
          <w:p w14:paraId="7839ECEC"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4,601 (3.5)</w:t>
            </w:r>
          </w:p>
        </w:tc>
        <w:tc>
          <w:tcPr>
            <w:tcW w:w="1484" w:type="dxa"/>
            <w:tcBorders>
              <w:top w:val="nil"/>
              <w:bottom w:val="nil"/>
            </w:tcBorders>
            <w:vAlign w:val="center"/>
          </w:tcPr>
          <w:p w14:paraId="614308DA"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&lt;0.001</w:t>
            </w:r>
          </w:p>
        </w:tc>
      </w:tr>
      <w:tr w:rsidR="00596C66" w:rsidRPr="00D47A30" w14:paraId="140EB060" w14:textId="77777777" w:rsidTr="00D33D45">
        <w:trPr>
          <w:trHeight w:val="234"/>
          <w:jc w:val="center"/>
        </w:trPr>
        <w:tc>
          <w:tcPr>
            <w:tcW w:w="3691" w:type="dxa"/>
            <w:tcBorders>
              <w:top w:val="nil"/>
              <w:bottom w:val="nil"/>
            </w:tcBorders>
            <w:vAlign w:val="center"/>
          </w:tcPr>
          <w:p w14:paraId="1106AB1D"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Chronic obstructive pulmonary disease</w:t>
            </w:r>
          </w:p>
        </w:tc>
        <w:tc>
          <w:tcPr>
            <w:tcW w:w="1828" w:type="dxa"/>
            <w:tcBorders>
              <w:top w:val="nil"/>
              <w:bottom w:val="nil"/>
            </w:tcBorders>
            <w:vAlign w:val="center"/>
          </w:tcPr>
          <w:p w14:paraId="47DF38F3"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5,865 (4.5)</w:t>
            </w:r>
          </w:p>
        </w:tc>
        <w:tc>
          <w:tcPr>
            <w:tcW w:w="1968" w:type="dxa"/>
            <w:tcBorders>
              <w:top w:val="nil"/>
              <w:bottom w:val="nil"/>
            </w:tcBorders>
            <w:vAlign w:val="center"/>
          </w:tcPr>
          <w:p w14:paraId="59988BB5"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5,339 (4.1)</w:t>
            </w:r>
          </w:p>
        </w:tc>
        <w:tc>
          <w:tcPr>
            <w:tcW w:w="1484" w:type="dxa"/>
            <w:tcBorders>
              <w:top w:val="nil"/>
              <w:bottom w:val="nil"/>
            </w:tcBorders>
            <w:vAlign w:val="center"/>
          </w:tcPr>
          <w:p w14:paraId="4C3478E4"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&lt;0.001</w:t>
            </w:r>
          </w:p>
        </w:tc>
      </w:tr>
      <w:tr w:rsidR="00596C66" w:rsidRPr="00D47A30" w14:paraId="72394FB4" w14:textId="77777777" w:rsidTr="00D33D45">
        <w:trPr>
          <w:trHeight w:val="234"/>
          <w:jc w:val="center"/>
        </w:trPr>
        <w:tc>
          <w:tcPr>
            <w:tcW w:w="3691" w:type="dxa"/>
            <w:tcBorders>
              <w:top w:val="nil"/>
              <w:bottom w:val="nil"/>
            </w:tcBorders>
            <w:vAlign w:val="center"/>
          </w:tcPr>
          <w:p w14:paraId="12911BC9"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Stroke incl</w:t>
            </w:r>
            <w:r>
              <w:rPr>
                <w:rFonts w:ascii="Arial" w:hAnsi="Arial" w:cs="Arial"/>
                <w:sz w:val="20"/>
                <w:szCs w:val="20"/>
                <w:lang w:val="en-US"/>
              </w:rPr>
              <w:t>uding transient ischemic attack</w:t>
            </w:r>
          </w:p>
        </w:tc>
        <w:tc>
          <w:tcPr>
            <w:tcW w:w="1828" w:type="dxa"/>
            <w:tcBorders>
              <w:top w:val="nil"/>
              <w:bottom w:val="nil"/>
            </w:tcBorders>
            <w:vAlign w:val="center"/>
          </w:tcPr>
          <w:p w14:paraId="63E39761"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5,759 (4.4)</w:t>
            </w:r>
          </w:p>
        </w:tc>
        <w:tc>
          <w:tcPr>
            <w:tcW w:w="1968" w:type="dxa"/>
            <w:tcBorders>
              <w:top w:val="nil"/>
              <w:bottom w:val="nil"/>
            </w:tcBorders>
            <w:vAlign w:val="center"/>
          </w:tcPr>
          <w:p w14:paraId="2D334845"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5,964 (4.6)</w:t>
            </w:r>
          </w:p>
        </w:tc>
        <w:tc>
          <w:tcPr>
            <w:tcW w:w="1484" w:type="dxa"/>
            <w:tcBorders>
              <w:top w:val="nil"/>
              <w:bottom w:val="nil"/>
            </w:tcBorders>
            <w:vAlign w:val="center"/>
          </w:tcPr>
          <w:p w14:paraId="2368455A"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0.053</w:t>
            </w:r>
          </w:p>
        </w:tc>
      </w:tr>
      <w:tr w:rsidR="00596C66" w:rsidRPr="00D47A30" w14:paraId="7DA04E96" w14:textId="77777777" w:rsidTr="00D33D45">
        <w:trPr>
          <w:trHeight w:val="234"/>
          <w:jc w:val="center"/>
        </w:trPr>
        <w:tc>
          <w:tcPr>
            <w:tcW w:w="3691" w:type="dxa"/>
            <w:tcBorders>
              <w:top w:val="nil"/>
            </w:tcBorders>
            <w:vAlign w:val="center"/>
          </w:tcPr>
          <w:p w14:paraId="1BB3AD92"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Intracranial injury</w:t>
            </w:r>
          </w:p>
        </w:tc>
        <w:tc>
          <w:tcPr>
            <w:tcW w:w="1828" w:type="dxa"/>
            <w:tcBorders>
              <w:top w:val="nil"/>
            </w:tcBorders>
            <w:vAlign w:val="center"/>
          </w:tcPr>
          <w:p w14:paraId="57167335"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1,811 (1.4)</w:t>
            </w:r>
          </w:p>
        </w:tc>
        <w:tc>
          <w:tcPr>
            <w:tcW w:w="1968" w:type="dxa"/>
            <w:tcBorders>
              <w:top w:val="nil"/>
            </w:tcBorders>
            <w:vAlign w:val="center"/>
          </w:tcPr>
          <w:p w14:paraId="134EA8CD"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2,015 (1.</w:t>
            </w:r>
            <w:r>
              <w:rPr>
                <w:rFonts w:ascii="Arial" w:hAnsi="Arial" w:cs="Arial"/>
                <w:sz w:val="20"/>
                <w:szCs w:val="20"/>
                <w:lang w:val="en-US"/>
              </w:rPr>
              <w:t>5</w:t>
            </w:r>
            <w:r w:rsidRPr="00D47A30">
              <w:rPr>
                <w:rFonts w:ascii="Arial" w:hAnsi="Arial" w:cs="Arial"/>
                <w:sz w:val="20"/>
                <w:szCs w:val="20"/>
                <w:lang w:val="en-US"/>
              </w:rPr>
              <w:t>)</w:t>
            </w:r>
          </w:p>
        </w:tc>
        <w:tc>
          <w:tcPr>
            <w:tcW w:w="1484" w:type="dxa"/>
            <w:tcBorders>
              <w:top w:val="nil"/>
            </w:tcBorders>
            <w:vAlign w:val="center"/>
          </w:tcPr>
          <w:p w14:paraId="4BAE6D34" w14:textId="77777777" w:rsidR="00596C66" w:rsidRPr="00D47A30" w:rsidRDefault="00596C66" w:rsidP="00D33D45">
            <w:pPr>
              <w:rPr>
                <w:rFonts w:ascii="Arial" w:hAnsi="Arial" w:cs="Arial"/>
                <w:sz w:val="20"/>
                <w:szCs w:val="20"/>
                <w:lang w:val="en-US"/>
              </w:rPr>
            </w:pPr>
            <w:r w:rsidRPr="00D47A30">
              <w:rPr>
                <w:rFonts w:ascii="Arial" w:hAnsi="Arial" w:cs="Arial"/>
                <w:sz w:val="20"/>
                <w:szCs w:val="20"/>
                <w:lang w:val="en-US"/>
              </w:rPr>
              <w:t>0.009</w:t>
            </w:r>
          </w:p>
        </w:tc>
      </w:tr>
    </w:tbl>
    <w:p w14:paraId="09F3C383" w14:textId="77777777" w:rsidR="00596C66" w:rsidRPr="00D47A30" w:rsidRDefault="00596C66" w:rsidP="00596C66">
      <w:pPr>
        <w:spacing w:line="480" w:lineRule="auto"/>
        <w:jc w:val="both"/>
        <w:rPr>
          <w:rFonts w:ascii="Arial" w:hAnsi="Arial" w:cs="Arial"/>
          <w:sz w:val="20"/>
          <w:szCs w:val="20"/>
          <w:lang w:val="en-US"/>
        </w:rPr>
      </w:pPr>
      <w:r w:rsidRPr="00D47A30">
        <w:rPr>
          <w:rFonts w:ascii="Arial" w:hAnsi="Arial" w:cs="Arial"/>
          <w:sz w:val="20"/>
          <w:szCs w:val="20"/>
          <w:lang w:val="en-US"/>
        </w:rPr>
        <w:t xml:space="preserve">Data are N (%) unless otherwise specified. </w:t>
      </w:r>
    </w:p>
    <w:p w14:paraId="579E2BB5" w14:textId="77777777" w:rsidR="006C6CE8" w:rsidRDefault="006C6CE8" w:rsidP="00707271">
      <w:pPr>
        <w:jc w:val="both"/>
        <w:rPr>
          <w:rFonts w:ascii="Arial" w:hAnsi="Arial" w:cs="Arial"/>
          <w:sz w:val="20"/>
          <w:szCs w:val="20"/>
          <w:lang w:val="en-US"/>
        </w:rPr>
        <w:sectPr w:rsidR="006C6CE8" w:rsidSect="005B220D">
          <w:footerReference w:type="even" r:id="rId7"/>
          <w:footerReference w:type="default" r:id="rId8"/>
          <w:pgSz w:w="11906" w:h="16838"/>
          <w:pgMar w:top="1417" w:right="1417" w:bottom="1417" w:left="1417" w:header="708" w:footer="708" w:gutter="0"/>
          <w:cols w:space="708"/>
          <w:docGrid w:linePitch="360"/>
        </w:sectPr>
      </w:pPr>
    </w:p>
    <w:p w14:paraId="69FFB07E" w14:textId="77777777" w:rsidR="006C6CE8" w:rsidRPr="00A439A9" w:rsidRDefault="006C6CE8" w:rsidP="006C6CE8">
      <w:pPr>
        <w:spacing w:line="480" w:lineRule="auto"/>
        <w:rPr>
          <w:rFonts w:ascii="Arial" w:hAnsi="Arial" w:cs="Arial"/>
          <w:b/>
          <w:sz w:val="24"/>
          <w:szCs w:val="24"/>
          <w:lang w:val="en-US"/>
        </w:rPr>
      </w:pPr>
      <w:r w:rsidRPr="00A439A9">
        <w:rPr>
          <w:rFonts w:ascii="Arial" w:hAnsi="Arial" w:cs="Arial"/>
          <w:b/>
          <w:sz w:val="24"/>
          <w:szCs w:val="24"/>
          <w:lang w:val="en-US"/>
        </w:rPr>
        <w:lastRenderedPageBreak/>
        <w:t>Table 2.</w:t>
      </w:r>
      <w:r w:rsidRPr="00A439A9">
        <w:rPr>
          <w:rFonts w:ascii="Arial" w:hAnsi="Arial" w:cs="Arial"/>
          <w:sz w:val="24"/>
          <w:szCs w:val="24"/>
          <w:lang w:val="en-US"/>
        </w:rPr>
        <w:t xml:space="preserve"> Association between </w:t>
      </w:r>
      <w:r>
        <w:rPr>
          <w:rFonts w:ascii="Arial" w:hAnsi="Arial" w:cs="Arial"/>
          <w:sz w:val="24"/>
          <w:szCs w:val="24"/>
          <w:lang w:val="en-US"/>
        </w:rPr>
        <w:t>osteoarthritis</w:t>
      </w:r>
      <w:r w:rsidRPr="00A439A9">
        <w:rPr>
          <w:rFonts w:ascii="Arial" w:hAnsi="Arial" w:cs="Arial"/>
          <w:sz w:val="24"/>
          <w:szCs w:val="24"/>
          <w:lang w:val="en-US"/>
        </w:rPr>
        <w:t xml:space="preserve"> and the incidence of Parkinson’s </w:t>
      </w:r>
      <w:r>
        <w:rPr>
          <w:rFonts w:ascii="Arial" w:hAnsi="Arial" w:cs="Arial"/>
          <w:sz w:val="24"/>
          <w:szCs w:val="24"/>
          <w:lang w:val="en-US"/>
        </w:rPr>
        <w:t>d</w:t>
      </w:r>
      <w:r w:rsidRPr="00A439A9">
        <w:rPr>
          <w:rFonts w:ascii="Arial" w:hAnsi="Arial" w:cs="Arial"/>
          <w:sz w:val="24"/>
          <w:szCs w:val="24"/>
          <w:lang w:val="en-US"/>
        </w:rPr>
        <w:t xml:space="preserve">isease in </w:t>
      </w:r>
      <w:r>
        <w:rPr>
          <w:rFonts w:ascii="Arial" w:hAnsi="Arial" w:cs="Arial"/>
          <w:sz w:val="24"/>
          <w:szCs w:val="24"/>
          <w:lang w:val="en-US"/>
        </w:rPr>
        <w:t>the overall population and in sex and age subgroups</w:t>
      </w:r>
    </w:p>
    <w:tbl>
      <w:tblPr>
        <w:tblStyle w:val="TableGrid"/>
        <w:tblW w:w="13183" w:type="dxa"/>
        <w:tblInd w:w="-5" w:type="dxa"/>
        <w:tblBorders>
          <w:left w:val="none" w:sz="0" w:space="0" w:color="auto"/>
          <w:right w:val="none" w:sz="0" w:space="0" w:color="auto"/>
          <w:insideV w:val="none" w:sz="0" w:space="0" w:color="auto"/>
        </w:tblBorders>
        <w:tblLook w:val="04A0" w:firstRow="1" w:lastRow="0" w:firstColumn="1" w:lastColumn="0" w:noHBand="0" w:noVBand="1"/>
      </w:tblPr>
      <w:tblGrid>
        <w:gridCol w:w="2176"/>
        <w:gridCol w:w="1701"/>
        <w:gridCol w:w="1701"/>
        <w:gridCol w:w="1843"/>
        <w:gridCol w:w="1134"/>
        <w:gridCol w:w="1701"/>
        <w:gridCol w:w="2927"/>
      </w:tblGrid>
      <w:tr w:rsidR="006C6CE8" w:rsidRPr="00EF6421" w14:paraId="17C52CE6" w14:textId="77777777" w:rsidTr="00D33D45">
        <w:trPr>
          <w:trHeight w:val="554"/>
        </w:trPr>
        <w:tc>
          <w:tcPr>
            <w:tcW w:w="2176" w:type="dxa"/>
            <w:tcBorders>
              <w:bottom w:val="single" w:sz="4" w:space="0" w:color="auto"/>
            </w:tcBorders>
            <w:vAlign w:val="center"/>
          </w:tcPr>
          <w:p w14:paraId="1122C7A4"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Population</w:t>
            </w:r>
          </w:p>
        </w:tc>
        <w:tc>
          <w:tcPr>
            <w:tcW w:w="1701" w:type="dxa"/>
            <w:tcBorders>
              <w:bottom w:val="single" w:sz="4" w:space="0" w:color="auto"/>
            </w:tcBorders>
            <w:vAlign w:val="center"/>
          </w:tcPr>
          <w:p w14:paraId="7E518756" w14:textId="77777777" w:rsidR="006C6CE8" w:rsidRPr="00FA5D09" w:rsidRDefault="006C6CE8" w:rsidP="00D33D45">
            <w:pPr>
              <w:rPr>
                <w:rFonts w:ascii="Arial" w:hAnsi="Arial" w:cs="Arial"/>
                <w:sz w:val="20"/>
                <w:szCs w:val="20"/>
                <w:lang w:val="en-US"/>
              </w:rPr>
            </w:pPr>
            <w:r>
              <w:rPr>
                <w:rFonts w:ascii="Arial" w:hAnsi="Arial" w:cs="Arial"/>
                <w:sz w:val="20"/>
                <w:szCs w:val="20"/>
                <w:lang w:val="en-US"/>
              </w:rPr>
              <w:t xml:space="preserve">Incidence of Parkinson’s disease in patients with </w:t>
            </w:r>
            <w:proofErr w:type="spellStart"/>
            <w:r>
              <w:rPr>
                <w:rFonts w:ascii="Arial" w:hAnsi="Arial" w:cs="Arial"/>
                <w:sz w:val="20"/>
                <w:szCs w:val="20"/>
                <w:lang w:val="en-US"/>
              </w:rPr>
              <w:t>osteoarthritis</w:t>
            </w:r>
            <w:r w:rsidRPr="005B57DD">
              <w:rPr>
                <w:rFonts w:ascii="Arial" w:hAnsi="Arial" w:cs="Arial"/>
                <w:sz w:val="20"/>
                <w:szCs w:val="20"/>
                <w:vertAlign w:val="superscript"/>
                <w:lang w:val="en-US"/>
              </w:rPr>
              <w:t>a</w:t>
            </w:r>
            <w:proofErr w:type="spellEnd"/>
          </w:p>
        </w:tc>
        <w:tc>
          <w:tcPr>
            <w:tcW w:w="1701" w:type="dxa"/>
            <w:tcBorders>
              <w:bottom w:val="single" w:sz="4" w:space="0" w:color="auto"/>
            </w:tcBorders>
            <w:vAlign w:val="center"/>
          </w:tcPr>
          <w:p w14:paraId="18C1E741" w14:textId="77777777" w:rsidR="006C6CE8" w:rsidRPr="00FA5D09" w:rsidRDefault="006C6CE8" w:rsidP="00D33D45">
            <w:pPr>
              <w:rPr>
                <w:rFonts w:ascii="Arial" w:hAnsi="Arial" w:cs="Arial"/>
                <w:sz w:val="20"/>
                <w:szCs w:val="20"/>
                <w:lang w:val="en-US"/>
              </w:rPr>
            </w:pPr>
            <w:r>
              <w:rPr>
                <w:rFonts w:ascii="Arial" w:hAnsi="Arial" w:cs="Arial"/>
                <w:sz w:val="20"/>
                <w:szCs w:val="20"/>
                <w:lang w:val="en-US"/>
              </w:rPr>
              <w:t xml:space="preserve">Incidence of Parkinson’s disease in patients without </w:t>
            </w:r>
            <w:proofErr w:type="spellStart"/>
            <w:r>
              <w:rPr>
                <w:rFonts w:ascii="Arial" w:hAnsi="Arial" w:cs="Arial"/>
                <w:sz w:val="20"/>
                <w:szCs w:val="20"/>
                <w:lang w:val="en-US"/>
              </w:rPr>
              <w:t>osteoarthritis</w:t>
            </w:r>
            <w:r w:rsidRPr="005B57DD">
              <w:rPr>
                <w:rFonts w:ascii="Arial" w:hAnsi="Arial" w:cs="Arial"/>
                <w:sz w:val="20"/>
                <w:szCs w:val="20"/>
                <w:vertAlign w:val="superscript"/>
                <w:lang w:val="en-US"/>
              </w:rPr>
              <w:t>a</w:t>
            </w:r>
            <w:proofErr w:type="spellEnd"/>
          </w:p>
        </w:tc>
        <w:tc>
          <w:tcPr>
            <w:tcW w:w="1843" w:type="dxa"/>
            <w:tcBorders>
              <w:bottom w:val="single" w:sz="4" w:space="0" w:color="auto"/>
            </w:tcBorders>
            <w:vAlign w:val="center"/>
          </w:tcPr>
          <w:p w14:paraId="61D16993" w14:textId="77777777" w:rsidR="006C6CE8" w:rsidRPr="00FA5D09" w:rsidRDefault="006C6CE8" w:rsidP="00D33D45">
            <w:pPr>
              <w:rPr>
                <w:rFonts w:ascii="Arial" w:hAnsi="Arial" w:cs="Arial"/>
                <w:sz w:val="20"/>
                <w:szCs w:val="20"/>
                <w:lang w:val="en-US"/>
              </w:rPr>
            </w:pPr>
            <w:r>
              <w:rPr>
                <w:rFonts w:ascii="Arial" w:hAnsi="Arial" w:cs="Arial"/>
                <w:sz w:val="20"/>
                <w:szCs w:val="20"/>
                <w:lang w:val="en-US"/>
              </w:rPr>
              <w:t>Unadjusted hazard ratio</w:t>
            </w:r>
            <w:r w:rsidRPr="00FA5D09">
              <w:rPr>
                <w:rFonts w:ascii="Arial" w:hAnsi="Arial" w:cs="Arial"/>
                <w:sz w:val="20"/>
                <w:szCs w:val="20"/>
                <w:lang w:val="en-US"/>
              </w:rPr>
              <w:t xml:space="preserve"> (95% </w:t>
            </w:r>
            <w:r>
              <w:rPr>
                <w:rFonts w:ascii="Arial" w:hAnsi="Arial" w:cs="Arial"/>
                <w:sz w:val="20"/>
                <w:szCs w:val="20"/>
                <w:lang w:val="en-US"/>
              </w:rPr>
              <w:t>confidence interval</w:t>
            </w:r>
            <w:r w:rsidRPr="00FA5D09">
              <w:rPr>
                <w:rFonts w:ascii="Arial" w:hAnsi="Arial" w:cs="Arial"/>
                <w:sz w:val="20"/>
                <w:szCs w:val="20"/>
                <w:lang w:val="en-US"/>
              </w:rPr>
              <w:t>)</w:t>
            </w:r>
          </w:p>
        </w:tc>
        <w:tc>
          <w:tcPr>
            <w:tcW w:w="1134" w:type="dxa"/>
            <w:tcBorders>
              <w:bottom w:val="single" w:sz="4" w:space="0" w:color="auto"/>
            </w:tcBorders>
            <w:vAlign w:val="center"/>
          </w:tcPr>
          <w:p w14:paraId="39CC18C0" w14:textId="77777777" w:rsidR="006C6CE8" w:rsidRPr="00FA5D09" w:rsidRDefault="006C6CE8" w:rsidP="00D33D45">
            <w:pPr>
              <w:rPr>
                <w:rFonts w:ascii="Arial" w:hAnsi="Arial" w:cs="Arial"/>
                <w:sz w:val="20"/>
                <w:szCs w:val="20"/>
                <w:lang w:val="en-US"/>
              </w:rPr>
            </w:pPr>
            <w:r>
              <w:rPr>
                <w:rFonts w:ascii="Arial" w:hAnsi="Arial" w:cs="Arial"/>
                <w:sz w:val="20"/>
                <w:szCs w:val="20"/>
                <w:lang w:val="en-US"/>
              </w:rPr>
              <w:t>P-</w:t>
            </w:r>
            <w:r w:rsidRPr="00FA5D09">
              <w:rPr>
                <w:rFonts w:ascii="Arial" w:hAnsi="Arial" w:cs="Arial"/>
                <w:sz w:val="20"/>
                <w:szCs w:val="20"/>
                <w:lang w:val="en-US"/>
              </w:rPr>
              <w:t>value</w:t>
            </w:r>
          </w:p>
        </w:tc>
        <w:tc>
          <w:tcPr>
            <w:tcW w:w="1701" w:type="dxa"/>
            <w:tcBorders>
              <w:bottom w:val="single" w:sz="4" w:space="0" w:color="auto"/>
            </w:tcBorders>
            <w:vAlign w:val="center"/>
          </w:tcPr>
          <w:p w14:paraId="65DE4A40" w14:textId="77777777" w:rsidR="006C6CE8" w:rsidRPr="00FA5D09" w:rsidRDefault="006C6CE8" w:rsidP="00D33D45">
            <w:pPr>
              <w:rPr>
                <w:rFonts w:ascii="Arial" w:hAnsi="Arial" w:cs="Arial"/>
                <w:sz w:val="20"/>
                <w:szCs w:val="20"/>
                <w:lang w:val="en-US"/>
              </w:rPr>
            </w:pPr>
            <w:r>
              <w:rPr>
                <w:rFonts w:ascii="Arial" w:hAnsi="Arial" w:cs="Arial"/>
                <w:sz w:val="20"/>
                <w:szCs w:val="20"/>
                <w:lang w:val="en-US"/>
              </w:rPr>
              <w:t>Adjusted hazard ratio</w:t>
            </w:r>
            <w:r w:rsidRPr="00FA5D09">
              <w:rPr>
                <w:rFonts w:ascii="Arial" w:hAnsi="Arial" w:cs="Arial"/>
                <w:sz w:val="20"/>
                <w:szCs w:val="20"/>
                <w:lang w:val="en-US"/>
              </w:rPr>
              <w:t xml:space="preserve"> (95% </w:t>
            </w:r>
            <w:r>
              <w:rPr>
                <w:rFonts w:ascii="Arial" w:hAnsi="Arial" w:cs="Arial"/>
                <w:sz w:val="20"/>
                <w:szCs w:val="20"/>
                <w:lang w:val="en-US"/>
              </w:rPr>
              <w:t xml:space="preserve">confidence </w:t>
            </w:r>
            <w:proofErr w:type="gramStart"/>
            <w:r>
              <w:rPr>
                <w:rFonts w:ascii="Arial" w:hAnsi="Arial" w:cs="Arial"/>
                <w:sz w:val="20"/>
                <w:szCs w:val="20"/>
                <w:lang w:val="en-US"/>
              </w:rPr>
              <w:t>interval</w:t>
            </w:r>
            <w:r w:rsidRPr="00FA5D09">
              <w:rPr>
                <w:rFonts w:ascii="Arial" w:hAnsi="Arial" w:cs="Arial"/>
                <w:sz w:val="20"/>
                <w:szCs w:val="20"/>
                <w:lang w:val="en-US"/>
              </w:rPr>
              <w:t>)</w:t>
            </w:r>
            <w:r w:rsidRPr="00473F2E">
              <w:rPr>
                <w:rFonts w:ascii="Arial" w:hAnsi="Arial" w:cs="Arial"/>
                <w:sz w:val="20"/>
                <w:szCs w:val="20"/>
                <w:vertAlign w:val="superscript"/>
                <w:lang w:val="en-US"/>
              </w:rPr>
              <w:t>b</w:t>
            </w:r>
            <w:proofErr w:type="gramEnd"/>
          </w:p>
        </w:tc>
        <w:tc>
          <w:tcPr>
            <w:tcW w:w="2927" w:type="dxa"/>
            <w:tcBorders>
              <w:bottom w:val="single" w:sz="4" w:space="0" w:color="auto"/>
            </w:tcBorders>
            <w:vAlign w:val="center"/>
          </w:tcPr>
          <w:p w14:paraId="1BD3648D" w14:textId="77777777" w:rsidR="006C6CE8" w:rsidRPr="00FA5D09" w:rsidRDefault="006C6CE8" w:rsidP="00D33D45">
            <w:pPr>
              <w:rPr>
                <w:rFonts w:ascii="Arial" w:hAnsi="Arial" w:cs="Arial"/>
                <w:sz w:val="20"/>
                <w:szCs w:val="20"/>
                <w:lang w:val="en-US"/>
              </w:rPr>
            </w:pPr>
            <w:r>
              <w:rPr>
                <w:rFonts w:ascii="Arial" w:hAnsi="Arial" w:cs="Arial"/>
                <w:sz w:val="20"/>
                <w:szCs w:val="20"/>
                <w:lang w:val="en-US"/>
              </w:rPr>
              <w:t>P-</w:t>
            </w:r>
            <w:r w:rsidRPr="00FA5D09">
              <w:rPr>
                <w:rFonts w:ascii="Arial" w:hAnsi="Arial" w:cs="Arial"/>
                <w:sz w:val="20"/>
                <w:szCs w:val="20"/>
                <w:lang w:val="en-US"/>
              </w:rPr>
              <w:t>value</w:t>
            </w:r>
          </w:p>
        </w:tc>
      </w:tr>
      <w:tr w:rsidR="006C6CE8" w:rsidRPr="00EF6421" w14:paraId="0A57D75F" w14:textId="77777777" w:rsidTr="00D33D45">
        <w:trPr>
          <w:trHeight w:val="277"/>
        </w:trPr>
        <w:tc>
          <w:tcPr>
            <w:tcW w:w="2176" w:type="dxa"/>
            <w:tcBorders>
              <w:bottom w:val="nil"/>
            </w:tcBorders>
            <w:vAlign w:val="center"/>
          </w:tcPr>
          <w:p w14:paraId="02582576" w14:textId="77777777" w:rsidR="006C6CE8" w:rsidRPr="00FA5D09" w:rsidRDefault="006C6CE8" w:rsidP="00D33D45">
            <w:pPr>
              <w:rPr>
                <w:rFonts w:ascii="Arial" w:hAnsi="Arial" w:cs="Arial"/>
                <w:sz w:val="20"/>
                <w:szCs w:val="20"/>
                <w:lang w:val="en-US"/>
              </w:rPr>
            </w:pPr>
            <w:r>
              <w:rPr>
                <w:rFonts w:ascii="Arial" w:hAnsi="Arial" w:cs="Arial"/>
                <w:sz w:val="20"/>
                <w:szCs w:val="20"/>
                <w:lang w:val="en-US"/>
              </w:rPr>
              <w:t>Overall</w:t>
            </w:r>
          </w:p>
        </w:tc>
        <w:tc>
          <w:tcPr>
            <w:tcW w:w="1701" w:type="dxa"/>
            <w:tcBorders>
              <w:bottom w:val="nil"/>
            </w:tcBorders>
            <w:vAlign w:val="center"/>
          </w:tcPr>
          <w:p w14:paraId="0AA1D24C"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124.1</w:t>
            </w:r>
          </w:p>
        </w:tc>
        <w:tc>
          <w:tcPr>
            <w:tcW w:w="1701" w:type="dxa"/>
            <w:tcBorders>
              <w:bottom w:val="nil"/>
            </w:tcBorders>
            <w:vAlign w:val="center"/>
          </w:tcPr>
          <w:p w14:paraId="7D0D6A73"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67.1</w:t>
            </w:r>
          </w:p>
        </w:tc>
        <w:tc>
          <w:tcPr>
            <w:tcW w:w="1843" w:type="dxa"/>
            <w:tcBorders>
              <w:bottom w:val="nil"/>
            </w:tcBorders>
            <w:vAlign w:val="center"/>
          </w:tcPr>
          <w:p w14:paraId="06B9C17F"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1.85 (1.66-2.06)</w:t>
            </w:r>
          </w:p>
        </w:tc>
        <w:tc>
          <w:tcPr>
            <w:tcW w:w="1134" w:type="dxa"/>
            <w:tcBorders>
              <w:bottom w:val="nil"/>
            </w:tcBorders>
            <w:vAlign w:val="center"/>
          </w:tcPr>
          <w:p w14:paraId="1F40D5EB"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c>
          <w:tcPr>
            <w:tcW w:w="1701" w:type="dxa"/>
            <w:tcBorders>
              <w:bottom w:val="nil"/>
            </w:tcBorders>
            <w:vAlign w:val="center"/>
          </w:tcPr>
          <w:p w14:paraId="155B555E"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1.82 (1.63-2.02)</w:t>
            </w:r>
          </w:p>
        </w:tc>
        <w:tc>
          <w:tcPr>
            <w:tcW w:w="2927" w:type="dxa"/>
            <w:tcBorders>
              <w:bottom w:val="nil"/>
            </w:tcBorders>
            <w:vAlign w:val="center"/>
          </w:tcPr>
          <w:p w14:paraId="6BE6A514"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r>
      <w:tr w:rsidR="006C6CE8" w:rsidRPr="00EF6421" w14:paraId="54CC61B8" w14:textId="77777777" w:rsidTr="00D33D45">
        <w:trPr>
          <w:trHeight w:val="277"/>
        </w:trPr>
        <w:tc>
          <w:tcPr>
            <w:tcW w:w="13183" w:type="dxa"/>
            <w:gridSpan w:val="7"/>
            <w:tcBorders>
              <w:top w:val="nil"/>
              <w:bottom w:val="nil"/>
            </w:tcBorders>
            <w:vAlign w:val="center"/>
          </w:tcPr>
          <w:p w14:paraId="66EE0896" w14:textId="77777777" w:rsidR="006C6CE8" w:rsidRPr="00FC1B55" w:rsidRDefault="006C6CE8" w:rsidP="00D33D45">
            <w:pPr>
              <w:rPr>
                <w:rFonts w:ascii="Arial" w:hAnsi="Arial" w:cs="Arial"/>
                <w:i/>
                <w:iCs/>
                <w:sz w:val="20"/>
                <w:szCs w:val="20"/>
                <w:lang w:val="en-US"/>
              </w:rPr>
            </w:pPr>
            <w:r>
              <w:rPr>
                <w:rFonts w:ascii="Arial" w:hAnsi="Arial" w:cs="Arial"/>
                <w:i/>
                <w:iCs/>
                <w:sz w:val="20"/>
                <w:szCs w:val="20"/>
                <w:lang w:val="en-US"/>
              </w:rPr>
              <w:t>By s</w:t>
            </w:r>
            <w:r w:rsidRPr="00FC1B55">
              <w:rPr>
                <w:rFonts w:ascii="Arial" w:hAnsi="Arial" w:cs="Arial"/>
                <w:i/>
                <w:iCs/>
                <w:sz w:val="20"/>
                <w:szCs w:val="20"/>
                <w:lang w:val="en-US"/>
              </w:rPr>
              <w:t>ex</w:t>
            </w:r>
          </w:p>
        </w:tc>
      </w:tr>
      <w:tr w:rsidR="006C6CE8" w:rsidRPr="00EF6421" w14:paraId="57055AFF" w14:textId="77777777" w:rsidTr="00D33D45">
        <w:trPr>
          <w:trHeight w:val="277"/>
        </w:trPr>
        <w:tc>
          <w:tcPr>
            <w:tcW w:w="2176" w:type="dxa"/>
            <w:tcBorders>
              <w:top w:val="nil"/>
              <w:bottom w:val="nil"/>
            </w:tcBorders>
            <w:vAlign w:val="center"/>
          </w:tcPr>
          <w:p w14:paraId="3FCDBA04"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Female</w:t>
            </w:r>
          </w:p>
        </w:tc>
        <w:tc>
          <w:tcPr>
            <w:tcW w:w="1701" w:type="dxa"/>
            <w:tcBorders>
              <w:top w:val="nil"/>
              <w:bottom w:val="nil"/>
            </w:tcBorders>
            <w:vAlign w:val="center"/>
          </w:tcPr>
          <w:p w14:paraId="5266140D"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101.1</w:t>
            </w:r>
          </w:p>
        </w:tc>
        <w:tc>
          <w:tcPr>
            <w:tcW w:w="1701" w:type="dxa"/>
            <w:tcBorders>
              <w:top w:val="nil"/>
              <w:bottom w:val="nil"/>
            </w:tcBorders>
            <w:vAlign w:val="center"/>
          </w:tcPr>
          <w:p w14:paraId="311C2671"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52.6</w:t>
            </w:r>
          </w:p>
        </w:tc>
        <w:tc>
          <w:tcPr>
            <w:tcW w:w="1843" w:type="dxa"/>
            <w:tcBorders>
              <w:top w:val="nil"/>
              <w:bottom w:val="nil"/>
            </w:tcBorders>
            <w:vAlign w:val="center"/>
          </w:tcPr>
          <w:p w14:paraId="1FFB9039"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1.92 (1.65-2.24)</w:t>
            </w:r>
          </w:p>
        </w:tc>
        <w:tc>
          <w:tcPr>
            <w:tcW w:w="1134" w:type="dxa"/>
            <w:tcBorders>
              <w:top w:val="nil"/>
              <w:bottom w:val="nil"/>
            </w:tcBorders>
            <w:vAlign w:val="center"/>
          </w:tcPr>
          <w:p w14:paraId="10D8A603"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c>
          <w:tcPr>
            <w:tcW w:w="1701" w:type="dxa"/>
            <w:tcBorders>
              <w:top w:val="nil"/>
              <w:bottom w:val="nil"/>
            </w:tcBorders>
            <w:vAlign w:val="center"/>
          </w:tcPr>
          <w:p w14:paraId="6265899E"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1</w:t>
            </w:r>
            <w:r>
              <w:rPr>
                <w:rFonts w:ascii="Arial" w:hAnsi="Arial" w:cs="Arial"/>
                <w:sz w:val="20"/>
                <w:szCs w:val="20"/>
                <w:lang w:val="en-US"/>
              </w:rPr>
              <w:t>.</w:t>
            </w:r>
            <w:r w:rsidRPr="00FA5D09">
              <w:rPr>
                <w:rFonts w:ascii="Arial" w:hAnsi="Arial" w:cs="Arial"/>
                <w:sz w:val="20"/>
                <w:szCs w:val="20"/>
                <w:lang w:val="en-US"/>
              </w:rPr>
              <w:t>88 (1.61-2.19)</w:t>
            </w:r>
          </w:p>
        </w:tc>
        <w:tc>
          <w:tcPr>
            <w:tcW w:w="2927" w:type="dxa"/>
            <w:tcBorders>
              <w:top w:val="nil"/>
              <w:bottom w:val="nil"/>
            </w:tcBorders>
            <w:vAlign w:val="center"/>
          </w:tcPr>
          <w:p w14:paraId="6C5D6C01"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r>
      <w:tr w:rsidR="006C6CE8" w:rsidRPr="00EF6421" w14:paraId="67FC5AB3" w14:textId="77777777" w:rsidTr="00D33D45">
        <w:trPr>
          <w:trHeight w:val="277"/>
        </w:trPr>
        <w:tc>
          <w:tcPr>
            <w:tcW w:w="2176" w:type="dxa"/>
            <w:tcBorders>
              <w:top w:val="nil"/>
              <w:bottom w:val="nil"/>
            </w:tcBorders>
            <w:vAlign w:val="center"/>
          </w:tcPr>
          <w:p w14:paraId="0380D390"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Male</w:t>
            </w:r>
          </w:p>
        </w:tc>
        <w:tc>
          <w:tcPr>
            <w:tcW w:w="1701" w:type="dxa"/>
            <w:tcBorders>
              <w:top w:val="nil"/>
              <w:bottom w:val="nil"/>
            </w:tcBorders>
            <w:vAlign w:val="center"/>
          </w:tcPr>
          <w:p w14:paraId="0040F683"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161.8</w:t>
            </w:r>
          </w:p>
        </w:tc>
        <w:tc>
          <w:tcPr>
            <w:tcW w:w="1701" w:type="dxa"/>
            <w:tcBorders>
              <w:top w:val="nil"/>
              <w:bottom w:val="nil"/>
            </w:tcBorders>
            <w:vAlign w:val="center"/>
          </w:tcPr>
          <w:p w14:paraId="573D9FBC"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90.8</w:t>
            </w:r>
          </w:p>
        </w:tc>
        <w:tc>
          <w:tcPr>
            <w:tcW w:w="1843" w:type="dxa"/>
            <w:tcBorders>
              <w:top w:val="nil"/>
              <w:bottom w:val="nil"/>
            </w:tcBorders>
            <w:vAlign w:val="center"/>
          </w:tcPr>
          <w:p w14:paraId="7225C636"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1.78 (1.53-2.07)</w:t>
            </w:r>
          </w:p>
        </w:tc>
        <w:tc>
          <w:tcPr>
            <w:tcW w:w="1134" w:type="dxa"/>
            <w:tcBorders>
              <w:top w:val="nil"/>
              <w:bottom w:val="nil"/>
            </w:tcBorders>
            <w:vAlign w:val="center"/>
          </w:tcPr>
          <w:p w14:paraId="2E3208D1"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c>
          <w:tcPr>
            <w:tcW w:w="1701" w:type="dxa"/>
            <w:tcBorders>
              <w:top w:val="nil"/>
              <w:bottom w:val="nil"/>
            </w:tcBorders>
            <w:vAlign w:val="center"/>
          </w:tcPr>
          <w:p w14:paraId="508915DD"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1.75 (1.51-2.04)</w:t>
            </w:r>
          </w:p>
        </w:tc>
        <w:tc>
          <w:tcPr>
            <w:tcW w:w="2927" w:type="dxa"/>
            <w:tcBorders>
              <w:top w:val="nil"/>
              <w:bottom w:val="nil"/>
            </w:tcBorders>
            <w:vAlign w:val="center"/>
          </w:tcPr>
          <w:p w14:paraId="36189441"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r>
      <w:tr w:rsidR="006C6CE8" w:rsidRPr="00EF6421" w14:paraId="7B48DC0B" w14:textId="77777777" w:rsidTr="00D33D45">
        <w:trPr>
          <w:trHeight w:val="277"/>
        </w:trPr>
        <w:tc>
          <w:tcPr>
            <w:tcW w:w="13183" w:type="dxa"/>
            <w:gridSpan w:val="7"/>
            <w:tcBorders>
              <w:top w:val="nil"/>
              <w:bottom w:val="nil"/>
            </w:tcBorders>
            <w:vAlign w:val="center"/>
          </w:tcPr>
          <w:p w14:paraId="5730841B" w14:textId="77777777" w:rsidR="006C6CE8" w:rsidRPr="00FC1B55" w:rsidRDefault="006C6CE8" w:rsidP="00D33D45">
            <w:pPr>
              <w:rPr>
                <w:rFonts w:ascii="Arial" w:hAnsi="Arial" w:cs="Arial"/>
                <w:i/>
                <w:iCs/>
                <w:sz w:val="20"/>
                <w:szCs w:val="20"/>
                <w:lang w:val="en-US"/>
              </w:rPr>
            </w:pPr>
            <w:r>
              <w:rPr>
                <w:rFonts w:ascii="Arial" w:hAnsi="Arial" w:cs="Arial"/>
                <w:i/>
                <w:iCs/>
                <w:sz w:val="20"/>
                <w:szCs w:val="20"/>
                <w:lang w:val="en-US"/>
              </w:rPr>
              <w:t>By a</w:t>
            </w:r>
            <w:r w:rsidRPr="00FC1B55">
              <w:rPr>
                <w:rFonts w:ascii="Arial" w:hAnsi="Arial" w:cs="Arial"/>
                <w:i/>
                <w:iCs/>
                <w:sz w:val="20"/>
                <w:szCs w:val="20"/>
                <w:lang w:val="en-US"/>
              </w:rPr>
              <w:t>ge (in years)</w:t>
            </w:r>
          </w:p>
        </w:tc>
      </w:tr>
      <w:tr w:rsidR="006C6CE8" w:rsidRPr="00EF6421" w14:paraId="34FBEFAA" w14:textId="77777777" w:rsidTr="00D33D45">
        <w:trPr>
          <w:trHeight w:val="277"/>
        </w:trPr>
        <w:tc>
          <w:tcPr>
            <w:tcW w:w="2176" w:type="dxa"/>
            <w:tcBorders>
              <w:top w:val="nil"/>
              <w:bottom w:val="nil"/>
            </w:tcBorders>
            <w:vAlign w:val="center"/>
          </w:tcPr>
          <w:p w14:paraId="352E82D7"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Age ≤50</w:t>
            </w:r>
          </w:p>
        </w:tc>
        <w:tc>
          <w:tcPr>
            <w:tcW w:w="1701" w:type="dxa"/>
            <w:tcBorders>
              <w:top w:val="nil"/>
              <w:bottom w:val="nil"/>
            </w:tcBorders>
            <w:vAlign w:val="center"/>
          </w:tcPr>
          <w:p w14:paraId="545E3ADC"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14.7</w:t>
            </w:r>
          </w:p>
        </w:tc>
        <w:tc>
          <w:tcPr>
            <w:tcW w:w="1701" w:type="dxa"/>
            <w:tcBorders>
              <w:top w:val="nil"/>
              <w:bottom w:val="nil"/>
            </w:tcBorders>
            <w:vAlign w:val="center"/>
          </w:tcPr>
          <w:p w14:paraId="3E04F213"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4.2</w:t>
            </w:r>
          </w:p>
        </w:tc>
        <w:tc>
          <w:tcPr>
            <w:tcW w:w="1843" w:type="dxa"/>
            <w:tcBorders>
              <w:top w:val="nil"/>
              <w:bottom w:val="nil"/>
            </w:tcBorders>
            <w:vAlign w:val="center"/>
          </w:tcPr>
          <w:p w14:paraId="5EC788CF"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3.48 (1.15-10.58)</w:t>
            </w:r>
          </w:p>
        </w:tc>
        <w:tc>
          <w:tcPr>
            <w:tcW w:w="1134" w:type="dxa"/>
            <w:tcBorders>
              <w:top w:val="nil"/>
              <w:bottom w:val="nil"/>
            </w:tcBorders>
            <w:vAlign w:val="center"/>
          </w:tcPr>
          <w:p w14:paraId="27D85919"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0.028</w:t>
            </w:r>
          </w:p>
        </w:tc>
        <w:tc>
          <w:tcPr>
            <w:tcW w:w="1701" w:type="dxa"/>
            <w:tcBorders>
              <w:top w:val="nil"/>
              <w:bottom w:val="nil"/>
            </w:tcBorders>
            <w:vAlign w:val="center"/>
          </w:tcPr>
          <w:p w14:paraId="31DEDD23"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3.22 (1.06-9.38)</w:t>
            </w:r>
          </w:p>
        </w:tc>
        <w:tc>
          <w:tcPr>
            <w:tcW w:w="2927" w:type="dxa"/>
            <w:tcBorders>
              <w:top w:val="nil"/>
              <w:bottom w:val="nil"/>
            </w:tcBorders>
            <w:vAlign w:val="center"/>
          </w:tcPr>
          <w:p w14:paraId="4DD66560"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0.040</w:t>
            </w:r>
          </w:p>
        </w:tc>
      </w:tr>
      <w:tr w:rsidR="006C6CE8" w:rsidRPr="00EF6421" w14:paraId="181C0343" w14:textId="77777777" w:rsidTr="00D33D45">
        <w:trPr>
          <w:trHeight w:val="277"/>
        </w:trPr>
        <w:tc>
          <w:tcPr>
            <w:tcW w:w="2176" w:type="dxa"/>
            <w:tcBorders>
              <w:top w:val="nil"/>
              <w:bottom w:val="nil"/>
            </w:tcBorders>
            <w:vAlign w:val="center"/>
          </w:tcPr>
          <w:p w14:paraId="402613CA"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Age 51-60</w:t>
            </w:r>
          </w:p>
        </w:tc>
        <w:tc>
          <w:tcPr>
            <w:tcW w:w="1701" w:type="dxa"/>
            <w:tcBorders>
              <w:top w:val="nil"/>
              <w:bottom w:val="nil"/>
            </w:tcBorders>
            <w:vAlign w:val="center"/>
          </w:tcPr>
          <w:p w14:paraId="0FD20DB8"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39.1</w:t>
            </w:r>
          </w:p>
        </w:tc>
        <w:tc>
          <w:tcPr>
            <w:tcW w:w="1701" w:type="dxa"/>
            <w:tcBorders>
              <w:top w:val="nil"/>
              <w:bottom w:val="nil"/>
            </w:tcBorders>
            <w:vAlign w:val="center"/>
          </w:tcPr>
          <w:p w14:paraId="0864FD73"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17.9</w:t>
            </w:r>
          </w:p>
        </w:tc>
        <w:tc>
          <w:tcPr>
            <w:tcW w:w="1843" w:type="dxa"/>
            <w:tcBorders>
              <w:top w:val="nil"/>
              <w:bottom w:val="nil"/>
            </w:tcBorders>
            <w:vAlign w:val="center"/>
          </w:tcPr>
          <w:p w14:paraId="255BE1B2"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2.18 (1.47-3.24)</w:t>
            </w:r>
          </w:p>
        </w:tc>
        <w:tc>
          <w:tcPr>
            <w:tcW w:w="1134" w:type="dxa"/>
            <w:tcBorders>
              <w:top w:val="nil"/>
              <w:bottom w:val="nil"/>
            </w:tcBorders>
            <w:vAlign w:val="center"/>
          </w:tcPr>
          <w:p w14:paraId="50EE36FD"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c>
          <w:tcPr>
            <w:tcW w:w="1701" w:type="dxa"/>
            <w:tcBorders>
              <w:top w:val="nil"/>
              <w:bottom w:val="nil"/>
            </w:tcBorders>
            <w:vAlign w:val="center"/>
          </w:tcPr>
          <w:p w14:paraId="5DC07322"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2.12 (1.43-3.14)</w:t>
            </w:r>
          </w:p>
        </w:tc>
        <w:tc>
          <w:tcPr>
            <w:tcW w:w="2927" w:type="dxa"/>
            <w:tcBorders>
              <w:top w:val="nil"/>
              <w:bottom w:val="nil"/>
            </w:tcBorders>
            <w:vAlign w:val="center"/>
          </w:tcPr>
          <w:p w14:paraId="3B0DB66B"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r>
      <w:tr w:rsidR="006C6CE8" w:rsidRPr="00EF6421" w14:paraId="3DDD4C03" w14:textId="77777777" w:rsidTr="00D33D45">
        <w:trPr>
          <w:trHeight w:val="277"/>
        </w:trPr>
        <w:tc>
          <w:tcPr>
            <w:tcW w:w="2176" w:type="dxa"/>
            <w:tcBorders>
              <w:top w:val="nil"/>
              <w:bottom w:val="nil"/>
            </w:tcBorders>
            <w:vAlign w:val="center"/>
          </w:tcPr>
          <w:p w14:paraId="05B5D365"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Age 61-70</w:t>
            </w:r>
          </w:p>
        </w:tc>
        <w:tc>
          <w:tcPr>
            <w:tcW w:w="1701" w:type="dxa"/>
            <w:tcBorders>
              <w:top w:val="nil"/>
              <w:bottom w:val="nil"/>
            </w:tcBorders>
            <w:vAlign w:val="center"/>
          </w:tcPr>
          <w:p w14:paraId="2B7B8A0E"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116.3</w:t>
            </w:r>
          </w:p>
        </w:tc>
        <w:tc>
          <w:tcPr>
            <w:tcW w:w="1701" w:type="dxa"/>
            <w:tcBorders>
              <w:top w:val="nil"/>
              <w:bottom w:val="nil"/>
            </w:tcBorders>
            <w:vAlign w:val="center"/>
          </w:tcPr>
          <w:p w14:paraId="3D6C160D"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54.1</w:t>
            </w:r>
          </w:p>
        </w:tc>
        <w:tc>
          <w:tcPr>
            <w:tcW w:w="1843" w:type="dxa"/>
            <w:tcBorders>
              <w:top w:val="nil"/>
              <w:bottom w:val="nil"/>
            </w:tcBorders>
            <w:vAlign w:val="center"/>
          </w:tcPr>
          <w:p w14:paraId="7696B7D4"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2.15 (1.72-2.68)</w:t>
            </w:r>
          </w:p>
        </w:tc>
        <w:tc>
          <w:tcPr>
            <w:tcW w:w="1134" w:type="dxa"/>
            <w:tcBorders>
              <w:top w:val="nil"/>
              <w:bottom w:val="nil"/>
            </w:tcBorders>
            <w:vAlign w:val="center"/>
          </w:tcPr>
          <w:p w14:paraId="0F172852"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c>
          <w:tcPr>
            <w:tcW w:w="1701" w:type="dxa"/>
            <w:tcBorders>
              <w:top w:val="nil"/>
              <w:bottom w:val="nil"/>
            </w:tcBorders>
            <w:vAlign w:val="center"/>
          </w:tcPr>
          <w:p w14:paraId="06727F46"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2.14 (1.72-2.67)</w:t>
            </w:r>
          </w:p>
        </w:tc>
        <w:tc>
          <w:tcPr>
            <w:tcW w:w="2927" w:type="dxa"/>
            <w:tcBorders>
              <w:top w:val="nil"/>
              <w:bottom w:val="nil"/>
            </w:tcBorders>
            <w:vAlign w:val="center"/>
          </w:tcPr>
          <w:p w14:paraId="71895DB8"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r>
      <w:tr w:rsidR="006C6CE8" w:rsidRPr="00EF6421" w14:paraId="7D7F5C28" w14:textId="77777777" w:rsidTr="00D33D45">
        <w:trPr>
          <w:trHeight w:val="277"/>
        </w:trPr>
        <w:tc>
          <w:tcPr>
            <w:tcW w:w="2176" w:type="dxa"/>
            <w:tcBorders>
              <w:top w:val="nil"/>
              <w:bottom w:val="nil"/>
            </w:tcBorders>
            <w:vAlign w:val="center"/>
          </w:tcPr>
          <w:p w14:paraId="6DB9E5C8"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Age 71-80</w:t>
            </w:r>
          </w:p>
        </w:tc>
        <w:tc>
          <w:tcPr>
            <w:tcW w:w="1701" w:type="dxa"/>
            <w:tcBorders>
              <w:top w:val="nil"/>
              <w:bottom w:val="nil"/>
            </w:tcBorders>
            <w:vAlign w:val="center"/>
          </w:tcPr>
          <w:p w14:paraId="0FB10991"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243.7</w:t>
            </w:r>
          </w:p>
        </w:tc>
        <w:tc>
          <w:tcPr>
            <w:tcW w:w="1701" w:type="dxa"/>
            <w:tcBorders>
              <w:top w:val="nil"/>
              <w:bottom w:val="nil"/>
            </w:tcBorders>
            <w:vAlign w:val="center"/>
          </w:tcPr>
          <w:p w14:paraId="15C8C656"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136.8</w:t>
            </w:r>
          </w:p>
        </w:tc>
        <w:tc>
          <w:tcPr>
            <w:tcW w:w="1843" w:type="dxa"/>
            <w:tcBorders>
              <w:top w:val="nil"/>
              <w:bottom w:val="nil"/>
            </w:tcBorders>
            <w:vAlign w:val="center"/>
          </w:tcPr>
          <w:p w14:paraId="526D8FBB"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1.78 (1.52-2.09)</w:t>
            </w:r>
          </w:p>
        </w:tc>
        <w:tc>
          <w:tcPr>
            <w:tcW w:w="1134" w:type="dxa"/>
            <w:tcBorders>
              <w:top w:val="nil"/>
              <w:bottom w:val="nil"/>
            </w:tcBorders>
            <w:vAlign w:val="center"/>
          </w:tcPr>
          <w:p w14:paraId="502FE581"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c>
          <w:tcPr>
            <w:tcW w:w="1701" w:type="dxa"/>
            <w:tcBorders>
              <w:top w:val="nil"/>
              <w:bottom w:val="nil"/>
            </w:tcBorders>
            <w:vAlign w:val="center"/>
          </w:tcPr>
          <w:p w14:paraId="58846745"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1.79 (1.53-2.09)</w:t>
            </w:r>
          </w:p>
        </w:tc>
        <w:tc>
          <w:tcPr>
            <w:tcW w:w="2927" w:type="dxa"/>
            <w:tcBorders>
              <w:top w:val="nil"/>
              <w:bottom w:val="nil"/>
            </w:tcBorders>
            <w:vAlign w:val="center"/>
          </w:tcPr>
          <w:p w14:paraId="6A7AA100"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r>
      <w:tr w:rsidR="006C6CE8" w:rsidRPr="00EF6421" w14:paraId="42FD4571" w14:textId="77777777" w:rsidTr="00D33D45">
        <w:trPr>
          <w:trHeight w:val="277"/>
        </w:trPr>
        <w:tc>
          <w:tcPr>
            <w:tcW w:w="2176" w:type="dxa"/>
            <w:tcBorders>
              <w:top w:val="nil"/>
            </w:tcBorders>
            <w:vAlign w:val="center"/>
          </w:tcPr>
          <w:p w14:paraId="19FF5E99"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Age &gt;80</w:t>
            </w:r>
          </w:p>
        </w:tc>
        <w:tc>
          <w:tcPr>
            <w:tcW w:w="1701" w:type="dxa"/>
            <w:tcBorders>
              <w:top w:val="nil"/>
            </w:tcBorders>
            <w:vAlign w:val="center"/>
          </w:tcPr>
          <w:p w14:paraId="74DCD4FE"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218.3</w:t>
            </w:r>
          </w:p>
        </w:tc>
        <w:tc>
          <w:tcPr>
            <w:tcW w:w="1701" w:type="dxa"/>
            <w:tcBorders>
              <w:top w:val="nil"/>
            </w:tcBorders>
            <w:vAlign w:val="center"/>
          </w:tcPr>
          <w:p w14:paraId="56E40411" w14:textId="77777777" w:rsidR="006C6CE8" w:rsidRPr="00FA5D09" w:rsidRDefault="006C6CE8" w:rsidP="00D33D45">
            <w:pPr>
              <w:rPr>
                <w:rFonts w:ascii="Arial" w:hAnsi="Arial" w:cs="Arial"/>
                <w:sz w:val="20"/>
                <w:szCs w:val="20"/>
                <w:lang w:val="en-US"/>
              </w:rPr>
            </w:pPr>
            <w:r w:rsidRPr="00FA5D09">
              <w:rPr>
                <w:rFonts w:ascii="Arial" w:hAnsi="Arial" w:cs="Arial"/>
                <w:color w:val="000000"/>
                <w:sz w:val="20"/>
                <w:szCs w:val="20"/>
              </w:rPr>
              <w:t>139.8</w:t>
            </w:r>
          </w:p>
        </w:tc>
        <w:tc>
          <w:tcPr>
            <w:tcW w:w="1843" w:type="dxa"/>
            <w:tcBorders>
              <w:top w:val="nil"/>
            </w:tcBorders>
            <w:vAlign w:val="center"/>
          </w:tcPr>
          <w:p w14:paraId="047CDA52"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1.56 (1.24-1.96)</w:t>
            </w:r>
          </w:p>
        </w:tc>
        <w:tc>
          <w:tcPr>
            <w:tcW w:w="1134" w:type="dxa"/>
            <w:tcBorders>
              <w:top w:val="nil"/>
            </w:tcBorders>
            <w:vAlign w:val="center"/>
          </w:tcPr>
          <w:p w14:paraId="44D01C9C"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c>
          <w:tcPr>
            <w:tcW w:w="1701" w:type="dxa"/>
            <w:tcBorders>
              <w:top w:val="nil"/>
            </w:tcBorders>
            <w:vAlign w:val="center"/>
          </w:tcPr>
          <w:p w14:paraId="7EE65593"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1.59 (1.27-1.99)</w:t>
            </w:r>
          </w:p>
        </w:tc>
        <w:tc>
          <w:tcPr>
            <w:tcW w:w="2927" w:type="dxa"/>
            <w:tcBorders>
              <w:top w:val="nil"/>
            </w:tcBorders>
            <w:vAlign w:val="center"/>
          </w:tcPr>
          <w:p w14:paraId="656DDE7D" w14:textId="77777777" w:rsidR="006C6CE8" w:rsidRPr="00FA5D09" w:rsidRDefault="006C6CE8" w:rsidP="00D33D45">
            <w:pPr>
              <w:rPr>
                <w:rFonts w:ascii="Arial" w:hAnsi="Arial" w:cs="Arial"/>
                <w:sz w:val="20"/>
                <w:szCs w:val="20"/>
                <w:lang w:val="en-US"/>
              </w:rPr>
            </w:pPr>
            <w:r w:rsidRPr="00FA5D09">
              <w:rPr>
                <w:rFonts w:ascii="Arial" w:hAnsi="Arial" w:cs="Arial"/>
                <w:sz w:val="20"/>
                <w:szCs w:val="20"/>
                <w:lang w:val="en-US"/>
              </w:rPr>
              <w:t>&lt;0.001</w:t>
            </w:r>
          </w:p>
        </w:tc>
      </w:tr>
    </w:tbl>
    <w:p w14:paraId="095DC656" w14:textId="77777777" w:rsidR="006C6CE8" w:rsidRDefault="006C6CE8" w:rsidP="006C6CE8">
      <w:pPr>
        <w:jc w:val="both"/>
        <w:rPr>
          <w:rFonts w:ascii="Arial" w:hAnsi="Arial" w:cs="Arial"/>
          <w:sz w:val="20"/>
          <w:szCs w:val="20"/>
          <w:lang w:val="en-US"/>
        </w:rPr>
      </w:pPr>
      <w:proofErr w:type="gramStart"/>
      <w:r w:rsidRPr="009E4F5D">
        <w:rPr>
          <w:rFonts w:ascii="Arial" w:hAnsi="Arial" w:cs="Arial"/>
          <w:sz w:val="20"/>
          <w:szCs w:val="20"/>
          <w:vertAlign w:val="superscript"/>
          <w:lang w:val="en-US"/>
        </w:rPr>
        <w:t>a</w:t>
      </w:r>
      <w:r>
        <w:rPr>
          <w:rFonts w:ascii="Arial" w:hAnsi="Arial" w:cs="Arial"/>
          <w:sz w:val="20"/>
          <w:szCs w:val="20"/>
          <w:lang w:val="en-US"/>
        </w:rPr>
        <w:t xml:space="preserve"> Number of</w:t>
      </w:r>
      <w:proofErr w:type="gramEnd"/>
      <w:r>
        <w:rPr>
          <w:rFonts w:ascii="Arial" w:hAnsi="Arial" w:cs="Arial"/>
          <w:sz w:val="20"/>
          <w:szCs w:val="20"/>
          <w:lang w:val="en-US"/>
        </w:rPr>
        <w:t xml:space="preserve"> patients diagnosed with Parkinson’s disease per 100,000 people.</w:t>
      </w:r>
    </w:p>
    <w:p w14:paraId="6D8E9340" w14:textId="77777777" w:rsidR="006C6CE8" w:rsidRPr="00246145" w:rsidRDefault="006C6CE8" w:rsidP="006C6CE8">
      <w:pPr>
        <w:jc w:val="both"/>
        <w:rPr>
          <w:lang w:val="en-US"/>
        </w:rPr>
      </w:pPr>
      <w:r w:rsidRPr="00513C13">
        <w:rPr>
          <w:rFonts w:ascii="Arial" w:hAnsi="Arial" w:cs="Arial"/>
          <w:sz w:val="20"/>
          <w:szCs w:val="20"/>
          <w:vertAlign w:val="superscript"/>
          <w:lang w:val="en-US"/>
        </w:rPr>
        <w:t>b</w:t>
      </w:r>
      <w:r>
        <w:rPr>
          <w:rFonts w:ascii="Arial" w:hAnsi="Arial" w:cs="Arial"/>
          <w:sz w:val="20"/>
          <w:szCs w:val="20"/>
          <w:lang w:val="en-US"/>
        </w:rPr>
        <w:t xml:space="preserve"> Adjusted Cox regression models included hypertension, diabetes mellitus, thyroid diseases, dyslipidemia, coronary heart disease, gout, chronic obstructive pulmonary disease, stroke including transient ischemic attack, and intracranial injury.</w:t>
      </w:r>
      <w:r w:rsidRPr="00246145">
        <w:rPr>
          <w:lang w:val="en-US"/>
        </w:rPr>
        <w:t xml:space="preserve"> </w:t>
      </w:r>
    </w:p>
    <w:p w14:paraId="154DCEB2" w14:textId="77777777" w:rsidR="0094399B" w:rsidRDefault="0094399B" w:rsidP="00707271">
      <w:pPr>
        <w:jc w:val="both"/>
        <w:rPr>
          <w:rFonts w:ascii="Arial" w:hAnsi="Arial" w:cs="Arial"/>
          <w:sz w:val="20"/>
          <w:szCs w:val="20"/>
          <w:lang w:val="en-US"/>
        </w:rPr>
        <w:sectPr w:rsidR="0094399B" w:rsidSect="00A512D9">
          <w:pgSz w:w="16840" w:h="11900" w:orient="landscape"/>
          <w:pgMar w:top="1417" w:right="1417" w:bottom="1417" w:left="1417" w:header="708" w:footer="708" w:gutter="0"/>
          <w:cols w:space="708"/>
          <w:docGrid w:linePitch="360"/>
        </w:sectPr>
      </w:pPr>
    </w:p>
    <w:p w14:paraId="64FF51B6" w14:textId="77777777" w:rsidR="0094399B" w:rsidRPr="00A439A9" w:rsidRDefault="0094399B" w:rsidP="0094399B">
      <w:pPr>
        <w:spacing w:line="480" w:lineRule="auto"/>
        <w:rPr>
          <w:rFonts w:ascii="Arial" w:hAnsi="Arial" w:cs="Arial"/>
          <w:b/>
          <w:sz w:val="24"/>
          <w:szCs w:val="24"/>
          <w:lang w:val="en-US"/>
        </w:rPr>
      </w:pPr>
      <w:r w:rsidRPr="00A439A9">
        <w:rPr>
          <w:rFonts w:ascii="Arial" w:hAnsi="Arial" w:cs="Arial"/>
          <w:b/>
          <w:sz w:val="24"/>
          <w:szCs w:val="24"/>
          <w:lang w:val="en-US"/>
        </w:rPr>
        <w:lastRenderedPageBreak/>
        <w:t xml:space="preserve">Table </w:t>
      </w:r>
      <w:r>
        <w:rPr>
          <w:rFonts w:ascii="Arial" w:hAnsi="Arial" w:cs="Arial"/>
          <w:b/>
          <w:sz w:val="24"/>
          <w:szCs w:val="24"/>
          <w:lang w:val="en-US"/>
        </w:rPr>
        <w:t>3</w:t>
      </w:r>
      <w:r w:rsidRPr="00A439A9">
        <w:rPr>
          <w:rFonts w:ascii="Arial" w:hAnsi="Arial" w:cs="Arial"/>
          <w:b/>
          <w:sz w:val="24"/>
          <w:szCs w:val="24"/>
          <w:lang w:val="en-US"/>
        </w:rPr>
        <w:t>.</w:t>
      </w:r>
      <w:r w:rsidRPr="00A439A9">
        <w:rPr>
          <w:rFonts w:ascii="Arial" w:hAnsi="Arial" w:cs="Arial"/>
          <w:sz w:val="24"/>
          <w:szCs w:val="24"/>
          <w:lang w:val="en-US"/>
        </w:rPr>
        <w:t xml:space="preserve"> Association between </w:t>
      </w:r>
      <w:r>
        <w:rPr>
          <w:rFonts w:ascii="Arial" w:hAnsi="Arial" w:cs="Arial"/>
          <w:sz w:val="24"/>
          <w:szCs w:val="24"/>
          <w:lang w:val="en-US"/>
        </w:rPr>
        <w:t>different types of osteoarthritis</w:t>
      </w:r>
      <w:r w:rsidRPr="00A439A9">
        <w:rPr>
          <w:rFonts w:ascii="Arial" w:hAnsi="Arial" w:cs="Arial"/>
          <w:sz w:val="24"/>
          <w:szCs w:val="24"/>
          <w:lang w:val="en-US"/>
        </w:rPr>
        <w:t xml:space="preserve"> and the incidence of Parkinson’s </w:t>
      </w:r>
      <w:r>
        <w:rPr>
          <w:rFonts w:ascii="Arial" w:hAnsi="Arial" w:cs="Arial"/>
          <w:sz w:val="24"/>
          <w:szCs w:val="24"/>
          <w:lang w:val="en-US"/>
        </w:rPr>
        <w:t>d</w:t>
      </w:r>
      <w:r w:rsidRPr="00A439A9">
        <w:rPr>
          <w:rFonts w:ascii="Arial" w:hAnsi="Arial" w:cs="Arial"/>
          <w:sz w:val="24"/>
          <w:szCs w:val="24"/>
          <w:lang w:val="en-US"/>
        </w:rPr>
        <w:t xml:space="preserve">isease in </w:t>
      </w:r>
      <w:r>
        <w:rPr>
          <w:rFonts w:ascii="Arial" w:hAnsi="Arial" w:cs="Arial"/>
          <w:sz w:val="24"/>
          <w:szCs w:val="24"/>
          <w:lang w:val="en-US"/>
        </w:rPr>
        <w:t xml:space="preserve">the overall population </w:t>
      </w:r>
    </w:p>
    <w:tbl>
      <w:tblPr>
        <w:tblStyle w:val="TableGrid"/>
        <w:tblW w:w="13183" w:type="dxa"/>
        <w:tblInd w:w="-5" w:type="dxa"/>
        <w:tblBorders>
          <w:left w:val="none" w:sz="0" w:space="0" w:color="auto"/>
          <w:right w:val="none" w:sz="0" w:space="0" w:color="auto"/>
          <w:insideV w:val="none" w:sz="0" w:space="0" w:color="auto"/>
        </w:tblBorders>
        <w:tblLook w:val="04A0" w:firstRow="1" w:lastRow="0" w:firstColumn="1" w:lastColumn="0" w:noHBand="0" w:noVBand="1"/>
      </w:tblPr>
      <w:tblGrid>
        <w:gridCol w:w="2176"/>
        <w:gridCol w:w="1701"/>
        <w:gridCol w:w="1701"/>
        <w:gridCol w:w="1843"/>
        <w:gridCol w:w="1134"/>
        <w:gridCol w:w="1701"/>
        <w:gridCol w:w="2927"/>
      </w:tblGrid>
      <w:tr w:rsidR="0094399B" w:rsidRPr="00EF6421" w14:paraId="7E0052E0" w14:textId="77777777" w:rsidTr="00D33D45">
        <w:trPr>
          <w:trHeight w:val="554"/>
        </w:trPr>
        <w:tc>
          <w:tcPr>
            <w:tcW w:w="2176" w:type="dxa"/>
            <w:tcBorders>
              <w:bottom w:val="single" w:sz="4" w:space="0" w:color="auto"/>
            </w:tcBorders>
            <w:vAlign w:val="center"/>
          </w:tcPr>
          <w:p w14:paraId="31EEA529" w14:textId="77777777" w:rsidR="0094399B" w:rsidRPr="00FA5D09" w:rsidRDefault="0094399B" w:rsidP="00D33D45">
            <w:pPr>
              <w:rPr>
                <w:rFonts w:ascii="Arial" w:hAnsi="Arial" w:cs="Arial"/>
                <w:sz w:val="20"/>
                <w:szCs w:val="20"/>
                <w:lang w:val="en-US"/>
              </w:rPr>
            </w:pPr>
            <w:r>
              <w:rPr>
                <w:rFonts w:ascii="Arial" w:hAnsi="Arial" w:cs="Arial"/>
                <w:sz w:val="20"/>
                <w:szCs w:val="20"/>
                <w:lang w:val="en-US"/>
              </w:rPr>
              <w:t>Type of osteoarthritis</w:t>
            </w:r>
          </w:p>
        </w:tc>
        <w:tc>
          <w:tcPr>
            <w:tcW w:w="1701" w:type="dxa"/>
            <w:tcBorders>
              <w:bottom w:val="single" w:sz="4" w:space="0" w:color="auto"/>
            </w:tcBorders>
            <w:vAlign w:val="center"/>
          </w:tcPr>
          <w:p w14:paraId="2B42DAE8" w14:textId="77777777" w:rsidR="0094399B" w:rsidRPr="00FA5D09" w:rsidRDefault="0094399B" w:rsidP="00D33D45">
            <w:pPr>
              <w:rPr>
                <w:rFonts w:ascii="Arial" w:hAnsi="Arial" w:cs="Arial"/>
                <w:sz w:val="20"/>
                <w:szCs w:val="20"/>
                <w:lang w:val="en-US"/>
              </w:rPr>
            </w:pPr>
            <w:r>
              <w:rPr>
                <w:rFonts w:ascii="Arial" w:hAnsi="Arial" w:cs="Arial"/>
                <w:sz w:val="20"/>
                <w:szCs w:val="20"/>
                <w:lang w:val="en-US"/>
              </w:rPr>
              <w:t xml:space="preserve">Incidence of Parkinson’s disease in patients with </w:t>
            </w:r>
            <w:proofErr w:type="spellStart"/>
            <w:r>
              <w:rPr>
                <w:rFonts w:ascii="Arial" w:hAnsi="Arial" w:cs="Arial"/>
                <w:sz w:val="20"/>
                <w:szCs w:val="20"/>
                <w:lang w:val="en-US"/>
              </w:rPr>
              <w:t>osteoarthritis</w:t>
            </w:r>
            <w:r w:rsidRPr="005B57DD">
              <w:rPr>
                <w:rFonts w:ascii="Arial" w:hAnsi="Arial" w:cs="Arial"/>
                <w:sz w:val="20"/>
                <w:szCs w:val="20"/>
                <w:vertAlign w:val="superscript"/>
                <w:lang w:val="en-US"/>
              </w:rPr>
              <w:t>a</w:t>
            </w:r>
            <w:proofErr w:type="spellEnd"/>
          </w:p>
        </w:tc>
        <w:tc>
          <w:tcPr>
            <w:tcW w:w="1701" w:type="dxa"/>
            <w:tcBorders>
              <w:bottom w:val="single" w:sz="4" w:space="0" w:color="auto"/>
            </w:tcBorders>
            <w:vAlign w:val="center"/>
          </w:tcPr>
          <w:p w14:paraId="3ED4B4EC" w14:textId="77777777" w:rsidR="0094399B" w:rsidRPr="00FA5D09" w:rsidRDefault="0094399B" w:rsidP="00D33D45">
            <w:pPr>
              <w:rPr>
                <w:rFonts w:ascii="Arial" w:hAnsi="Arial" w:cs="Arial"/>
                <w:sz w:val="20"/>
                <w:szCs w:val="20"/>
                <w:lang w:val="en-US"/>
              </w:rPr>
            </w:pPr>
            <w:r>
              <w:rPr>
                <w:rFonts w:ascii="Arial" w:hAnsi="Arial" w:cs="Arial"/>
                <w:sz w:val="20"/>
                <w:szCs w:val="20"/>
                <w:lang w:val="en-US"/>
              </w:rPr>
              <w:t xml:space="preserve">Incidence of Parkinson’s disease in patients without </w:t>
            </w:r>
            <w:proofErr w:type="spellStart"/>
            <w:r>
              <w:rPr>
                <w:rFonts w:ascii="Arial" w:hAnsi="Arial" w:cs="Arial"/>
                <w:sz w:val="20"/>
                <w:szCs w:val="20"/>
                <w:lang w:val="en-US"/>
              </w:rPr>
              <w:t>osteoarthritis</w:t>
            </w:r>
            <w:r w:rsidRPr="005B57DD">
              <w:rPr>
                <w:rFonts w:ascii="Arial" w:hAnsi="Arial" w:cs="Arial"/>
                <w:sz w:val="20"/>
                <w:szCs w:val="20"/>
                <w:vertAlign w:val="superscript"/>
                <w:lang w:val="en-US"/>
              </w:rPr>
              <w:t>a</w:t>
            </w:r>
            <w:proofErr w:type="spellEnd"/>
          </w:p>
        </w:tc>
        <w:tc>
          <w:tcPr>
            <w:tcW w:w="1843" w:type="dxa"/>
            <w:tcBorders>
              <w:bottom w:val="single" w:sz="4" w:space="0" w:color="auto"/>
            </w:tcBorders>
            <w:vAlign w:val="center"/>
          </w:tcPr>
          <w:p w14:paraId="012D95E2" w14:textId="77777777" w:rsidR="0094399B" w:rsidRPr="00FA5D09" w:rsidRDefault="0094399B" w:rsidP="00D33D45">
            <w:pPr>
              <w:rPr>
                <w:rFonts w:ascii="Arial" w:hAnsi="Arial" w:cs="Arial"/>
                <w:sz w:val="20"/>
                <w:szCs w:val="20"/>
                <w:lang w:val="en-US"/>
              </w:rPr>
            </w:pPr>
            <w:r>
              <w:rPr>
                <w:rFonts w:ascii="Arial" w:hAnsi="Arial" w:cs="Arial"/>
                <w:sz w:val="20"/>
                <w:szCs w:val="20"/>
                <w:lang w:val="en-US"/>
              </w:rPr>
              <w:t>Unadjusted hazard ratio</w:t>
            </w:r>
            <w:r w:rsidRPr="00FA5D09">
              <w:rPr>
                <w:rFonts w:ascii="Arial" w:hAnsi="Arial" w:cs="Arial"/>
                <w:sz w:val="20"/>
                <w:szCs w:val="20"/>
                <w:lang w:val="en-US"/>
              </w:rPr>
              <w:t xml:space="preserve"> (95% </w:t>
            </w:r>
            <w:r>
              <w:rPr>
                <w:rFonts w:ascii="Arial" w:hAnsi="Arial" w:cs="Arial"/>
                <w:sz w:val="20"/>
                <w:szCs w:val="20"/>
                <w:lang w:val="en-US"/>
              </w:rPr>
              <w:t>confidence interval</w:t>
            </w:r>
            <w:r w:rsidRPr="00FA5D09">
              <w:rPr>
                <w:rFonts w:ascii="Arial" w:hAnsi="Arial" w:cs="Arial"/>
                <w:sz w:val="20"/>
                <w:szCs w:val="20"/>
                <w:lang w:val="en-US"/>
              </w:rPr>
              <w:t>)</w:t>
            </w:r>
          </w:p>
        </w:tc>
        <w:tc>
          <w:tcPr>
            <w:tcW w:w="1134" w:type="dxa"/>
            <w:tcBorders>
              <w:bottom w:val="single" w:sz="4" w:space="0" w:color="auto"/>
            </w:tcBorders>
            <w:vAlign w:val="center"/>
          </w:tcPr>
          <w:p w14:paraId="4CDBB1E7" w14:textId="77777777" w:rsidR="0094399B" w:rsidRPr="00FA5D09" w:rsidRDefault="0094399B" w:rsidP="00D33D45">
            <w:pPr>
              <w:rPr>
                <w:rFonts w:ascii="Arial" w:hAnsi="Arial" w:cs="Arial"/>
                <w:sz w:val="20"/>
                <w:szCs w:val="20"/>
                <w:lang w:val="en-US"/>
              </w:rPr>
            </w:pPr>
            <w:r>
              <w:rPr>
                <w:rFonts w:ascii="Arial" w:hAnsi="Arial" w:cs="Arial"/>
                <w:sz w:val="20"/>
                <w:szCs w:val="20"/>
                <w:lang w:val="en-US"/>
              </w:rPr>
              <w:t>P-</w:t>
            </w:r>
            <w:r w:rsidRPr="00FA5D09">
              <w:rPr>
                <w:rFonts w:ascii="Arial" w:hAnsi="Arial" w:cs="Arial"/>
                <w:sz w:val="20"/>
                <w:szCs w:val="20"/>
                <w:lang w:val="en-US"/>
              </w:rPr>
              <w:t>value</w:t>
            </w:r>
          </w:p>
        </w:tc>
        <w:tc>
          <w:tcPr>
            <w:tcW w:w="1701" w:type="dxa"/>
            <w:tcBorders>
              <w:bottom w:val="single" w:sz="4" w:space="0" w:color="auto"/>
            </w:tcBorders>
            <w:vAlign w:val="center"/>
          </w:tcPr>
          <w:p w14:paraId="2344CA9B" w14:textId="77777777" w:rsidR="0094399B" w:rsidRPr="00FA5D09" w:rsidRDefault="0094399B" w:rsidP="00D33D45">
            <w:pPr>
              <w:rPr>
                <w:rFonts w:ascii="Arial" w:hAnsi="Arial" w:cs="Arial"/>
                <w:sz w:val="20"/>
                <w:szCs w:val="20"/>
                <w:lang w:val="en-US"/>
              </w:rPr>
            </w:pPr>
            <w:r>
              <w:rPr>
                <w:rFonts w:ascii="Arial" w:hAnsi="Arial" w:cs="Arial"/>
                <w:sz w:val="20"/>
                <w:szCs w:val="20"/>
                <w:lang w:val="en-US"/>
              </w:rPr>
              <w:t>Adjusted hazard ratio</w:t>
            </w:r>
            <w:r w:rsidRPr="00FA5D09">
              <w:rPr>
                <w:rFonts w:ascii="Arial" w:hAnsi="Arial" w:cs="Arial"/>
                <w:sz w:val="20"/>
                <w:szCs w:val="20"/>
                <w:lang w:val="en-US"/>
              </w:rPr>
              <w:t xml:space="preserve"> (95% </w:t>
            </w:r>
            <w:r>
              <w:rPr>
                <w:rFonts w:ascii="Arial" w:hAnsi="Arial" w:cs="Arial"/>
                <w:sz w:val="20"/>
                <w:szCs w:val="20"/>
                <w:lang w:val="en-US"/>
              </w:rPr>
              <w:t xml:space="preserve">confidence </w:t>
            </w:r>
            <w:proofErr w:type="gramStart"/>
            <w:r>
              <w:rPr>
                <w:rFonts w:ascii="Arial" w:hAnsi="Arial" w:cs="Arial"/>
                <w:sz w:val="20"/>
                <w:szCs w:val="20"/>
                <w:lang w:val="en-US"/>
              </w:rPr>
              <w:t>interval</w:t>
            </w:r>
            <w:r w:rsidRPr="00FA5D09">
              <w:rPr>
                <w:rFonts w:ascii="Arial" w:hAnsi="Arial" w:cs="Arial"/>
                <w:sz w:val="20"/>
                <w:szCs w:val="20"/>
                <w:lang w:val="en-US"/>
              </w:rPr>
              <w:t>)</w:t>
            </w:r>
            <w:r w:rsidRPr="00473F2E">
              <w:rPr>
                <w:rFonts w:ascii="Arial" w:hAnsi="Arial" w:cs="Arial"/>
                <w:sz w:val="20"/>
                <w:szCs w:val="20"/>
                <w:vertAlign w:val="superscript"/>
                <w:lang w:val="en-US"/>
              </w:rPr>
              <w:t>b</w:t>
            </w:r>
            <w:proofErr w:type="gramEnd"/>
          </w:p>
        </w:tc>
        <w:tc>
          <w:tcPr>
            <w:tcW w:w="2927" w:type="dxa"/>
            <w:tcBorders>
              <w:bottom w:val="single" w:sz="4" w:space="0" w:color="auto"/>
            </w:tcBorders>
            <w:vAlign w:val="center"/>
          </w:tcPr>
          <w:p w14:paraId="211D5987" w14:textId="77777777" w:rsidR="0094399B" w:rsidRPr="00FA5D09" w:rsidRDefault="0094399B" w:rsidP="00D33D45">
            <w:pPr>
              <w:rPr>
                <w:rFonts w:ascii="Arial" w:hAnsi="Arial" w:cs="Arial"/>
                <w:sz w:val="20"/>
                <w:szCs w:val="20"/>
                <w:lang w:val="en-US"/>
              </w:rPr>
            </w:pPr>
            <w:r>
              <w:rPr>
                <w:rFonts w:ascii="Arial" w:hAnsi="Arial" w:cs="Arial"/>
                <w:sz w:val="20"/>
                <w:szCs w:val="20"/>
                <w:lang w:val="en-US"/>
              </w:rPr>
              <w:t>P-</w:t>
            </w:r>
            <w:r w:rsidRPr="00FA5D09">
              <w:rPr>
                <w:rFonts w:ascii="Arial" w:hAnsi="Arial" w:cs="Arial"/>
                <w:sz w:val="20"/>
                <w:szCs w:val="20"/>
                <w:lang w:val="en-US"/>
              </w:rPr>
              <w:t>value</w:t>
            </w:r>
          </w:p>
        </w:tc>
      </w:tr>
      <w:tr w:rsidR="0094399B" w:rsidRPr="00EF6421" w14:paraId="42BBF2FB" w14:textId="77777777" w:rsidTr="00D33D45">
        <w:trPr>
          <w:trHeight w:val="277"/>
        </w:trPr>
        <w:tc>
          <w:tcPr>
            <w:tcW w:w="2176" w:type="dxa"/>
            <w:tcBorders>
              <w:bottom w:val="nil"/>
            </w:tcBorders>
            <w:vAlign w:val="center"/>
          </w:tcPr>
          <w:p w14:paraId="6D785C79" w14:textId="77777777" w:rsidR="0094399B" w:rsidRPr="00FA5D09" w:rsidRDefault="0094399B" w:rsidP="00D33D45">
            <w:pPr>
              <w:rPr>
                <w:rFonts w:ascii="Arial" w:hAnsi="Arial" w:cs="Arial"/>
                <w:sz w:val="20"/>
                <w:szCs w:val="20"/>
                <w:lang w:val="en-US"/>
              </w:rPr>
            </w:pPr>
            <w:proofErr w:type="spellStart"/>
            <w:r w:rsidRPr="00FA5D09">
              <w:rPr>
                <w:rFonts w:ascii="Arial" w:hAnsi="Arial" w:cs="Arial"/>
                <w:sz w:val="20"/>
                <w:szCs w:val="20"/>
                <w:lang w:val="en-US"/>
              </w:rPr>
              <w:t>Polyosteoarthritis</w:t>
            </w:r>
            <w:proofErr w:type="spellEnd"/>
            <w:r w:rsidRPr="00FA5D09">
              <w:rPr>
                <w:rFonts w:ascii="Arial" w:hAnsi="Arial" w:cs="Arial"/>
                <w:sz w:val="20"/>
                <w:szCs w:val="20"/>
                <w:lang w:val="en-US"/>
              </w:rPr>
              <w:t xml:space="preserve"> </w:t>
            </w:r>
          </w:p>
        </w:tc>
        <w:tc>
          <w:tcPr>
            <w:tcW w:w="1701" w:type="dxa"/>
            <w:tcBorders>
              <w:bottom w:val="nil"/>
            </w:tcBorders>
            <w:vAlign w:val="center"/>
          </w:tcPr>
          <w:p w14:paraId="3D808CF6" w14:textId="77777777" w:rsidR="0094399B" w:rsidRPr="00FA5D09" w:rsidRDefault="0094399B" w:rsidP="00D33D45">
            <w:pPr>
              <w:rPr>
                <w:rFonts w:ascii="Arial" w:hAnsi="Arial" w:cs="Arial"/>
                <w:sz w:val="20"/>
                <w:szCs w:val="20"/>
                <w:lang w:val="en-US"/>
              </w:rPr>
            </w:pPr>
            <w:r w:rsidRPr="00FA5D09">
              <w:rPr>
                <w:rFonts w:ascii="Arial" w:hAnsi="Arial" w:cs="Arial"/>
                <w:color w:val="000000"/>
                <w:sz w:val="20"/>
                <w:szCs w:val="20"/>
              </w:rPr>
              <w:t>105.3</w:t>
            </w:r>
          </w:p>
        </w:tc>
        <w:tc>
          <w:tcPr>
            <w:tcW w:w="1701" w:type="dxa"/>
            <w:tcBorders>
              <w:bottom w:val="nil"/>
            </w:tcBorders>
            <w:vAlign w:val="center"/>
          </w:tcPr>
          <w:p w14:paraId="07AC8EB7" w14:textId="77777777" w:rsidR="0094399B" w:rsidRPr="00FA5D09" w:rsidRDefault="0094399B" w:rsidP="00D33D45">
            <w:pPr>
              <w:rPr>
                <w:rFonts w:ascii="Arial" w:hAnsi="Arial" w:cs="Arial"/>
                <w:sz w:val="20"/>
                <w:szCs w:val="20"/>
                <w:lang w:val="en-US"/>
              </w:rPr>
            </w:pPr>
            <w:r w:rsidRPr="00FA5D09">
              <w:rPr>
                <w:rFonts w:ascii="Arial" w:hAnsi="Arial" w:cs="Arial"/>
                <w:color w:val="000000"/>
                <w:sz w:val="20"/>
                <w:szCs w:val="20"/>
              </w:rPr>
              <w:t>65.5</w:t>
            </w:r>
          </w:p>
        </w:tc>
        <w:tc>
          <w:tcPr>
            <w:tcW w:w="1843" w:type="dxa"/>
            <w:tcBorders>
              <w:bottom w:val="nil"/>
            </w:tcBorders>
            <w:vAlign w:val="center"/>
          </w:tcPr>
          <w:p w14:paraId="01EBB1B0"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1.61 (1.03-2.51)</w:t>
            </w:r>
          </w:p>
        </w:tc>
        <w:tc>
          <w:tcPr>
            <w:tcW w:w="1134" w:type="dxa"/>
            <w:tcBorders>
              <w:bottom w:val="nil"/>
            </w:tcBorders>
            <w:vAlign w:val="center"/>
          </w:tcPr>
          <w:p w14:paraId="4A0C710C"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0.038</w:t>
            </w:r>
          </w:p>
        </w:tc>
        <w:tc>
          <w:tcPr>
            <w:tcW w:w="1701" w:type="dxa"/>
            <w:tcBorders>
              <w:bottom w:val="nil"/>
            </w:tcBorders>
            <w:vAlign w:val="center"/>
          </w:tcPr>
          <w:p w14:paraId="5A59B778"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1.52 (0.97-2.39)</w:t>
            </w:r>
          </w:p>
        </w:tc>
        <w:tc>
          <w:tcPr>
            <w:tcW w:w="2927" w:type="dxa"/>
            <w:tcBorders>
              <w:bottom w:val="nil"/>
            </w:tcBorders>
            <w:vAlign w:val="center"/>
          </w:tcPr>
          <w:p w14:paraId="3EE06CD5"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0.066</w:t>
            </w:r>
          </w:p>
        </w:tc>
      </w:tr>
      <w:tr w:rsidR="0094399B" w:rsidRPr="00EF6421" w14:paraId="26D43B0F" w14:textId="77777777" w:rsidTr="00D33D45">
        <w:trPr>
          <w:trHeight w:val="277"/>
        </w:trPr>
        <w:tc>
          <w:tcPr>
            <w:tcW w:w="2176" w:type="dxa"/>
            <w:tcBorders>
              <w:top w:val="nil"/>
              <w:bottom w:val="nil"/>
            </w:tcBorders>
            <w:vAlign w:val="center"/>
          </w:tcPr>
          <w:p w14:paraId="3F656B96" w14:textId="77777777" w:rsidR="0094399B" w:rsidRPr="00FA5D09" w:rsidRDefault="0094399B" w:rsidP="00D33D45">
            <w:pPr>
              <w:rPr>
                <w:rFonts w:ascii="Arial" w:hAnsi="Arial" w:cs="Arial"/>
                <w:sz w:val="20"/>
                <w:szCs w:val="20"/>
                <w:lang w:val="en-US"/>
              </w:rPr>
            </w:pPr>
            <w:r>
              <w:rPr>
                <w:rFonts w:ascii="Arial" w:hAnsi="Arial" w:cs="Arial"/>
                <w:sz w:val="20"/>
                <w:szCs w:val="20"/>
                <w:lang w:val="en-US"/>
              </w:rPr>
              <w:t>Hip osteoarthritis</w:t>
            </w:r>
          </w:p>
        </w:tc>
        <w:tc>
          <w:tcPr>
            <w:tcW w:w="1701" w:type="dxa"/>
            <w:tcBorders>
              <w:top w:val="nil"/>
              <w:bottom w:val="nil"/>
            </w:tcBorders>
            <w:vAlign w:val="center"/>
          </w:tcPr>
          <w:p w14:paraId="30DD429E" w14:textId="77777777" w:rsidR="0094399B" w:rsidRPr="00FA5D09" w:rsidRDefault="0094399B" w:rsidP="00D33D45">
            <w:pPr>
              <w:rPr>
                <w:rFonts w:ascii="Arial" w:hAnsi="Arial" w:cs="Arial"/>
                <w:sz w:val="20"/>
                <w:szCs w:val="20"/>
                <w:lang w:val="en-US"/>
              </w:rPr>
            </w:pPr>
            <w:r w:rsidRPr="00FA5D09">
              <w:rPr>
                <w:rFonts w:ascii="Arial" w:hAnsi="Arial" w:cs="Arial"/>
                <w:color w:val="000000"/>
                <w:sz w:val="20"/>
                <w:szCs w:val="20"/>
              </w:rPr>
              <w:t>123.7</w:t>
            </w:r>
          </w:p>
        </w:tc>
        <w:tc>
          <w:tcPr>
            <w:tcW w:w="1701" w:type="dxa"/>
            <w:tcBorders>
              <w:top w:val="nil"/>
              <w:bottom w:val="nil"/>
            </w:tcBorders>
            <w:vAlign w:val="center"/>
          </w:tcPr>
          <w:p w14:paraId="33517B2B" w14:textId="77777777" w:rsidR="0094399B" w:rsidRPr="00FA5D09" w:rsidRDefault="0094399B" w:rsidP="00D33D45">
            <w:pPr>
              <w:rPr>
                <w:rFonts w:ascii="Arial" w:hAnsi="Arial" w:cs="Arial"/>
                <w:sz w:val="20"/>
                <w:szCs w:val="20"/>
                <w:lang w:val="en-US"/>
              </w:rPr>
            </w:pPr>
            <w:r w:rsidRPr="00FA5D09">
              <w:rPr>
                <w:rFonts w:ascii="Arial" w:hAnsi="Arial" w:cs="Arial"/>
                <w:color w:val="000000"/>
                <w:sz w:val="20"/>
                <w:szCs w:val="20"/>
              </w:rPr>
              <w:t>85.8</w:t>
            </w:r>
          </w:p>
        </w:tc>
        <w:tc>
          <w:tcPr>
            <w:tcW w:w="1843" w:type="dxa"/>
            <w:tcBorders>
              <w:top w:val="nil"/>
              <w:bottom w:val="nil"/>
            </w:tcBorders>
            <w:vAlign w:val="center"/>
          </w:tcPr>
          <w:p w14:paraId="57EEFD4E"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1.44 (</w:t>
            </w:r>
            <w:r>
              <w:rPr>
                <w:rFonts w:ascii="Arial" w:hAnsi="Arial" w:cs="Arial"/>
                <w:sz w:val="20"/>
                <w:szCs w:val="20"/>
                <w:lang w:val="en-US"/>
              </w:rPr>
              <w:t>0</w:t>
            </w:r>
            <w:r w:rsidRPr="00FA5D09">
              <w:rPr>
                <w:rFonts w:ascii="Arial" w:hAnsi="Arial" w:cs="Arial"/>
                <w:sz w:val="20"/>
                <w:szCs w:val="20"/>
                <w:lang w:val="en-US"/>
              </w:rPr>
              <w:t>.95-2.18)</w:t>
            </w:r>
          </w:p>
        </w:tc>
        <w:tc>
          <w:tcPr>
            <w:tcW w:w="1134" w:type="dxa"/>
            <w:tcBorders>
              <w:top w:val="nil"/>
              <w:bottom w:val="nil"/>
            </w:tcBorders>
            <w:vAlign w:val="center"/>
          </w:tcPr>
          <w:p w14:paraId="06788DA1"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0.083</w:t>
            </w:r>
          </w:p>
        </w:tc>
        <w:tc>
          <w:tcPr>
            <w:tcW w:w="1701" w:type="dxa"/>
            <w:tcBorders>
              <w:top w:val="nil"/>
              <w:bottom w:val="nil"/>
            </w:tcBorders>
            <w:vAlign w:val="center"/>
          </w:tcPr>
          <w:p w14:paraId="59DE095E"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1.41 (0.93-2.13)</w:t>
            </w:r>
          </w:p>
        </w:tc>
        <w:tc>
          <w:tcPr>
            <w:tcW w:w="2927" w:type="dxa"/>
            <w:tcBorders>
              <w:top w:val="nil"/>
              <w:bottom w:val="nil"/>
            </w:tcBorders>
            <w:vAlign w:val="center"/>
          </w:tcPr>
          <w:p w14:paraId="361A379C"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0.104</w:t>
            </w:r>
          </w:p>
        </w:tc>
      </w:tr>
      <w:tr w:rsidR="0094399B" w:rsidRPr="00EF6421" w14:paraId="690C60D9" w14:textId="77777777" w:rsidTr="00D33D45">
        <w:trPr>
          <w:trHeight w:val="277"/>
        </w:trPr>
        <w:tc>
          <w:tcPr>
            <w:tcW w:w="2176" w:type="dxa"/>
            <w:tcBorders>
              <w:top w:val="nil"/>
              <w:bottom w:val="nil"/>
            </w:tcBorders>
            <w:vAlign w:val="center"/>
          </w:tcPr>
          <w:p w14:paraId="36EA6AB1" w14:textId="77777777" w:rsidR="0094399B" w:rsidRPr="00FA5D09" w:rsidRDefault="0094399B" w:rsidP="00D33D45">
            <w:pPr>
              <w:rPr>
                <w:rFonts w:ascii="Arial" w:hAnsi="Arial" w:cs="Arial"/>
                <w:sz w:val="20"/>
                <w:szCs w:val="20"/>
                <w:lang w:val="en-US"/>
              </w:rPr>
            </w:pPr>
            <w:r>
              <w:rPr>
                <w:rFonts w:ascii="Arial" w:hAnsi="Arial" w:cs="Arial"/>
                <w:sz w:val="20"/>
                <w:szCs w:val="20"/>
                <w:lang w:val="en-US"/>
              </w:rPr>
              <w:t>Knee osteoarthritis</w:t>
            </w:r>
          </w:p>
        </w:tc>
        <w:tc>
          <w:tcPr>
            <w:tcW w:w="1701" w:type="dxa"/>
            <w:tcBorders>
              <w:top w:val="nil"/>
              <w:bottom w:val="nil"/>
            </w:tcBorders>
            <w:vAlign w:val="center"/>
          </w:tcPr>
          <w:p w14:paraId="5A0BE3A3" w14:textId="77777777" w:rsidR="0094399B" w:rsidRPr="00FA5D09" w:rsidRDefault="0094399B" w:rsidP="00D33D45">
            <w:pPr>
              <w:rPr>
                <w:rFonts w:ascii="Arial" w:hAnsi="Arial" w:cs="Arial"/>
                <w:sz w:val="20"/>
                <w:szCs w:val="20"/>
                <w:lang w:val="en-US"/>
              </w:rPr>
            </w:pPr>
            <w:r w:rsidRPr="00FA5D09">
              <w:rPr>
                <w:rFonts w:ascii="Arial" w:hAnsi="Arial" w:cs="Arial"/>
                <w:color w:val="000000"/>
                <w:sz w:val="20"/>
                <w:szCs w:val="20"/>
              </w:rPr>
              <w:t>163.7</w:t>
            </w:r>
          </w:p>
        </w:tc>
        <w:tc>
          <w:tcPr>
            <w:tcW w:w="1701" w:type="dxa"/>
            <w:tcBorders>
              <w:top w:val="nil"/>
              <w:bottom w:val="nil"/>
            </w:tcBorders>
            <w:vAlign w:val="center"/>
          </w:tcPr>
          <w:p w14:paraId="1528CE2B" w14:textId="77777777" w:rsidR="0094399B" w:rsidRPr="00FA5D09" w:rsidRDefault="0094399B" w:rsidP="00D33D45">
            <w:pPr>
              <w:rPr>
                <w:rFonts w:ascii="Arial" w:hAnsi="Arial" w:cs="Arial"/>
                <w:sz w:val="20"/>
                <w:szCs w:val="20"/>
                <w:lang w:val="en-US"/>
              </w:rPr>
            </w:pPr>
            <w:r w:rsidRPr="00FA5D09">
              <w:rPr>
                <w:rFonts w:ascii="Arial" w:hAnsi="Arial" w:cs="Arial"/>
                <w:color w:val="000000"/>
                <w:sz w:val="20"/>
                <w:szCs w:val="20"/>
              </w:rPr>
              <w:t>71.3</w:t>
            </w:r>
          </w:p>
        </w:tc>
        <w:tc>
          <w:tcPr>
            <w:tcW w:w="1843" w:type="dxa"/>
            <w:tcBorders>
              <w:top w:val="nil"/>
              <w:bottom w:val="nil"/>
            </w:tcBorders>
            <w:vAlign w:val="center"/>
          </w:tcPr>
          <w:p w14:paraId="5979F4F4"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2.30 (1.4</w:t>
            </w:r>
            <w:r>
              <w:rPr>
                <w:rFonts w:ascii="Arial" w:hAnsi="Arial" w:cs="Arial"/>
                <w:sz w:val="20"/>
                <w:szCs w:val="20"/>
                <w:lang w:val="en-US"/>
              </w:rPr>
              <w:t>0</w:t>
            </w:r>
            <w:r w:rsidRPr="00FA5D09">
              <w:rPr>
                <w:rFonts w:ascii="Arial" w:hAnsi="Arial" w:cs="Arial"/>
                <w:sz w:val="20"/>
                <w:szCs w:val="20"/>
                <w:lang w:val="en-US"/>
              </w:rPr>
              <w:t>-3.75)</w:t>
            </w:r>
          </w:p>
        </w:tc>
        <w:tc>
          <w:tcPr>
            <w:tcW w:w="1134" w:type="dxa"/>
            <w:tcBorders>
              <w:top w:val="nil"/>
              <w:bottom w:val="nil"/>
            </w:tcBorders>
            <w:vAlign w:val="center"/>
          </w:tcPr>
          <w:p w14:paraId="36B70A5C"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&lt;0.001</w:t>
            </w:r>
          </w:p>
        </w:tc>
        <w:tc>
          <w:tcPr>
            <w:tcW w:w="1701" w:type="dxa"/>
            <w:tcBorders>
              <w:top w:val="nil"/>
              <w:bottom w:val="nil"/>
            </w:tcBorders>
            <w:vAlign w:val="center"/>
          </w:tcPr>
          <w:p w14:paraId="27153D78"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2.32 (1.42-3.79)</w:t>
            </w:r>
          </w:p>
        </w:tc>
        <w:tc>
          <w:tcPr>
            <w:tcW w:w="2927" w:type="dxa"/>
            <w:tcBorders>
              <w:top w:val="nil"/>
              <w:bottom w:val="nil"/>
            </w:tcBorders>
            <w:vAlign w:val="center"/>
          </w:tcPr>
          <w:p w14:paraId="74E3FA75"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&lt;0.001</w:t>
            </w:r>
          </w:p>
        </w:tc>
      </w:tr>
      <w:tr w:rsidR="0094399B" w:rsidRPr="00EF6421" w14:paraId="7EB7A7F8" w14:textId="77777777" w:rsidTr="00D33D45">
        <w:trPr>
          <w:trHeight w:val="277"/>
        </w:trPr>
        <w:tc>
          <w:tcPr>
            <w:tcW w:w="2176" w:type="dxa"/>
            <w:tcBorders>
              <w:top w:val="nil"/>
            </w:tcBorders>
            <w:vAlign w:val="center"/>
          </w:tcPr>
          <w:p w14:paraId="1AEC58E6"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 xml:space="preserve">Other and unspecified osteoarthritis </w:t>
            </w:r>
          </w:p>
        </w:tc>
        <w:tc>
          <w:tcPr>
            <w:tcW w:w="1701" w:type="dxa"/>
            <w:tcBorders>
              <w:top w:val="nil"/>
            </w:tcBorders>
            <w:vAlign w:val="center"/>
          </w:tcPr>
          <w:p w14:paraId="781B30E4" w14:textId="77777777" w:rsidR="0094399B" w:rsidRPr="00FA5D09" w:rsidRDefault="0094399B" w:rsidP="00D33D45">
            <w:pPr>
              <w:rPr>
                <w:rFonts w:ascii="Arial" w:hAnsi="Arial" w:cs="Arial"/>
                <w:sz w:val="20"/>
                <w:szCs w:val="20"/>
                <w:lang w:val="en-US"/>
              </w:rPr>
            </w:pPr>
            <w:r w:rsidRPr="00FA5D09">
              <w:rPr>
                <w:rFonts w:ascii="Arial" w:hAnsi="Arial" w:cs="Arial"/>
                <w:color w:val="000000"/>
                <w:sz w:val="20"/>
                <w:szCs w:val="20"/>
              </w:rPr>
              <w:t>123.6</w:t>
            </w:r>
          </w:p>
        </w:tc>
        <w:tc>
          <w:tcPr>
            <w:tcW w:w="1701" w:type="dxa"/>
            <w:tcBorders>
              <w:top w:val="nil"/>
            </w:tcBorders>
            <w:vAlign w:val="center"/>
          </w:tcPr>
          <w:p w14:paraId="462F83A7" w14:textId="77777777" w:rsidR="0094399B" w:rsidRPr="00FA5D09" w:rsidRDefault="0094399B" w:rsidP="00D33D45">
            <w:pPr>
              <w:rPr>
                <w:rFonts w:ascii="Arial" w:hAnsi="Arial" w:cs="Arial"/>
                <w:sz w:val="20"/>
                <w:szCs w:val="20"/>
                <w:lang w:val="en-US"/>
              </w:rPr>
            </w:pPr>
            <w:r w:rsidRPr="00FA5D09">
              <w:rPr>
                <w:rFonts w:ascii="Arial" w:hAnsi="Arial" w:cs="Arial"/>
                <w:color w:val="000000"/>
                <w:sz w:val="20"/>
                <w:szCs w:val="20"/>
              </w:rPr>
              <w:t>65.7</w:t>
            </w:r>
          </w:p>
        </w:tc>
        <w:tc>
          <w:tcPr>
            <w:tcW w:w="1843" w:type="dxa"/>
            <w:tcBorders>
              <w:top w:val="nil"/>
            </w:tcBorders>
            <w:vAlign w:val="center"/>
          </w:tcPr>
          <w:p w14:paraId="27DA7C01"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1.88 (1.67-2.11)</w:t>
            </w:r>
          </w:p>
        </w:tc>
        <w:tc>
          <w:tcPr>
            <w:tcW w:w="1134" w:type="dxa"/>
            <w:tcBorders>
              <w:top w:val="nil"/>
            </w:tcBorders>
            <w:vAlign w:val="center"/>
          </w:tcPr>
          <w:p w14:paraId="03D40025"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&lt;0.001</w:t>
            </w:r>
          </w:p>
        </w:tc>
        <w:tc>
          <w:tcPr>
            <w:tcW w:w="1701" w:type="dxa"/>
            <w:tcBorders>
              <w:top w:val="nil"/>
            </w:tcBorders>
            <w:vAlign w:val="center"/>
          </w:tcPr>
          <w:p w14:paraId="77162D62"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1.85 (1.64-2.08)</w:t>
            </w:r>
          </w:p>
        </w:tc>
        <w:tc>
          <w:tcPr>
            <w:tcW w:w="2927" w:type="dxa"/>
            <w:tcBorders>
              <w:top w:val="nil"/>
            </w:tcBorders>
            <w:vAlign w:val="center"/>
          </w:tcPr>
          <w:p w14:paraId="28D7ED4F" w14:textId="77777777" w:rsidR="0094399B" w:rsidRPr="00FA5D09" w:rsidRDefault="0094399B" w:rsidP="00D33D45">
            <w:pPr>
              <w:rPr>
                <w:rFonts w:ascii="Arial" w:hAnsi="Arial" w:cs="Arial"/>
                <w:sz w:val="20"/>
                <w:szCs w:val="20"/>
                <w:lang w:val="en-US"/>
              </w:rPr>
            </w:pPr>
            <w:r w:rsidRPr="00FA5D09">
              <w:rPr>
                <w:rFonts w:ascii="Arial" w:hAnsi="Arial" w:cs="Arial"/>
                <w:sz w:val="20"/>
                <w:szCs w:val="20"/>
                <w:lang w:val="en-US"/>
              </w:rPr>
              <w:t>&lt;0.001</w:t>
            </w:r>
          </w:p>
        </w:tc>
      </w:tr>
    </w:tbl>
    <w:p w14:paraId="66B3BEBE" w14:textId="77777777" w:rsidR="0094399B" w:rsidRPr="00FA5D09" w:rsidRDefault="0094399B" w:rsidP="0094399B">
      <w:pPr>
        <w:jc w:val="both"/>
        <w:rPr>
          <w:rFonts w:ascii="Arial" w:hAnsi="Arial" w:cs="Arial"/>
          <w:sz w:val="20"/>
          <w:szCs w:val="20"/>
          <w:lang w:val="en-US"/>
        </w:rPr>
      </w:pPr>
      <w:r>
        <w:rPr>
          <w:rFonts w:ascii="Arial" w:hAnsi="Arial" w:cs="Arial"/>
          <w:sz w:val="20"/>
          <w:szCs w:val="20"/>
          <w:lang w:val="en-US"/>
        </w:rPr>
        <w:t>The reference group is the group without osteoarthritis.</w:t>
      </w:r>
    </w:p>
    <w:p w14:paraId="18A95D5C" w14:textId="77777777" w:rsidR="0094399B" w:rsidRDefault="0094399B" w:rsidP="0094399B">
      <w:pPr>
        <w:jc w:val="both"/>
        <w:rPr>
          <w:rFonts w:ascii="Arial" w:hAnsi="Arial" w:cs="Arial"/>
          <w:sz w:val="20"/>
          <w:szCs w:val="20"/>
          <w:lang w:val="en-US"/>
        </w:rPr>
      </w:pPr>
      <w:proofErr w:type="gramStart"/>
      <w:r w:rsidRPr="009E4F5D">
        <w:rPr>
          <w:rFonts w:ascii="Arial" w:hAnsi="Arial" w:cs="Arial"/>
          <w:sz w:val="20"/>
          <w:szCs w:val="20"/>
          <w:vertAlign w:val="superscript"/>
          <w:lang w:val="en-US"/>
        </w:rPr>
        <w:t>a</w:t>
      </w:r>
      <w:r>
        <w:rPr>
          <w:rFonts w:ascii="Arial" w:hAnsi="Arial" w:cs="Arial"/>
          <w:sz w:val="20"/>
          <w:szCs w:val="20"/>
          <w:lang w:val="en-US"/>
        </w:rPr>
        <w:t xml:space="preserve"> Number of</w:t>
      </w:r>
      <w:proofErr w:type="gramEnd"/>
      <w:r>
        <w:rPr>
          <w:rFonts w:ascii="Arial" w:hAnsi="Arial" w:cs="Arial"/>
          <w:sz w:val="20"/>
          <w:szCs w:val="20"/>
          <w:lang w:val="en-US"/>
        </w:rPr>
        <w:t xml:space="preserve"> patients diagnosed with Parkinson’s disease per 100,000 people.</w:t>
      </w:r>
    </w:p>
    <w:p w14:paraId="346F6033" w14:textId="77777777" w:rsidR="0094399B" w:rsidRPr="00880E70" w:rsidRDefault="0094399B" w:rsidP="0094399B">
      <w:pPr>
        <w:rPr>
          <w:lang w:val="en-US"/>
        </w:rPr>
      </w:pPr>
      <w:r w:rsidRPr="00513C13">
        <w:rPr>
          <w:rFonts w:ascii="Arial" w:hAnsi="Arial" w:cs="Arial"/>
          <w:sz w:val="20"/>
          <w:szCs w:val="20"/>
          <w:vertAlign w:val="superscript"/>
          <w:lang w:val="en-US"/>
        </w:rPr>
        <w:t>b</w:t>
      </w:r>
      <w:r>
        <w:rPr>
          <w:rFonts w:ascii="Arial" w:hAnsi="Arial" w:cs="Arial"/>
          <w:sz w:val="20"/>
          <w:szCs w:val="20"/>
          <w:lang w:val="en-US"/>
        </w:rPr>
        <w:t xml:space="preserve"> Adjusted Cox regression models included hypertension, diabetes mellitus, thyroid diseases, dyslipidemia, coronary heart disease, gout, chronic obstructive pulmonary disease, stroke including transient ischemic attack, and intracranial injury.</w:t>
      </w:r>
    </w:p>
    <w:p w14:paraId="77776CBB" w14:textId="77777777" w:rsidR="00707BAA" w:rsidRDefault="00707BAA" w:rsidP="00707271">
      <w:pPr>
        <w:jc w:val="both"/>
        <w:rPr>
          <w:rFonts w:ascii="Arial" w:hAnsi="Arial" w:cs="Arial"/>
          <w:sz w:val="20"/>
          <w:szCs w:val="20"/>
          <w:lang w:val="en-US"/>
        </w:rPr>
        <w:sectPr w:rsidR="00707BAA" w:rsidSect="00A512D9">
          <w:pgSz w:w="16840" w:h="11900" w:orient="landscape"/>
          <w:pgMar w:top="1417" w:right="1417" w:bottom="1417" w:left="1417" w:header="708" w:footer="708" w:gutter="0"/>
          <w:cols w:space="708"/>
          <w:docGrid w:linePitch="360"/>
        </w:sectPr>
      </w:pPr>
    </w:p>
    <w:p w14:paraId="3B933732" w14:textId="77777777" w:rsidR="00707BAA" w:rsidRPr="00D47A30" w:rsidRDefault="00707BAA" w:rsidP="00707BAA">
      <w:pPr>
        <w:spacing w:line="480" w:lineRule="auto"/>
        <w:jc w:val="both"/>
        <w:rPr>
          <w:rFonts w:ascii="Arial" w:hAnsi="Arial" w:cs="Arial"/>
          <w:b/>
          <w:bCs/>
          <w:sz w:val="24"/>
          <w:szCs w:val="24"/>
          <w:lang w:val="en-US"/>
        </w:rPr>
      </w:pPr>
      <w:r>
        <w:rPr>
          <w:rFonts w:ascii="Arial" w:hAnsi="Arial" w:cs="Arial"/>
          <w:b/>
          <w:bCs/>
          <w:noProof/>
          <w:sz w:val="24"/>
          <w:szCs w:val="24"/>
          <w:lang w:val="en-GB" w:eastAsia="en-GB"/>
        </w:rPr>
        <w:lastRenderedPageBreak/>
        <w:drawing>
          <wp:inline distT="0" distB="0" distL="0" distR="0" wp14:anchorId="67F703E8" wp14:editId="4C685BD0">
            <wp:extent cx="5760720" cy="6882130"/>
            <wp:effectExtent l="0" t="0" r="5080" b="1270"/>
            <wp:docPr id="3" name="Image 3" descr="Flow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Flow chart"/>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6882130"/>
                    </a:xfrm>
                    <a:prstGeom prst="rect">
                      <a:avLst/>
                    </a:prstGeom>
                  </pic:spPr>
                </pic:pic>
              </a:graphicData>
            </a:graphic>
          </wp:inline>
        </w:drawing>
      </w:r>
    </w:p>
    <w:p w14:paraId="3F528A92" w14:textId="1AB8B561" w:rsidR="00707BAA" w:rsidRPr="003831DF" w:rsidRDefault="00707BAA" w:rsidP="003831DF">
      <w:pPr>
        <w:spacing w:line="480" w:lineRule="auto"/>
        <w:jc w:val="both"/>
        <w:rPr>
          <w:rFonts w:ascii="Arial" w:hAnsi="Arial" w:cs="Arial"/>
          <w:sz w:val="24"/>
          <w:szCs w:val="24"/>
          <w:lang w:val="en-US"/>
        </w:rPr>
      </w:pPr>
      <w:r w:rsidRPr="00D47A30">
        <w:rPr>
          <w:rFonts w:ascii="Arial" w:hAnsi="Arial" w:cs="Arial"/>
          <w:b/>
          <w:bCs/>
          <w:sz w:val="24"/>
          <w:szCs w:val="24"/>
          <w:lang w:val="en-US"/>
        </w:rPr>
        <w:t>Figure 1.</w:t>
      </w:r>
      <w:r w:rsidRPr="00D47A30">
        <w:rPr>
          <w:rFonts w:ascii="Arial" w:hAnsi="Arial" w:cs="Arial"/>
          <w:sz w:val="24"/>
          <w:szCs w:val="24"/>
          <w:lang w:val="en-US"/>
        </w:rPr>
        <w:t xml:space="preserve"> Selection of study patients</w:t>
      </w:r>
      <w:r>
        <w:rPr>
          <w:rFonts w:ascii="Arial" w:hAnsi="Arial" w:cs="Arial"/>
          <w:sz w:val="20"/>
          <w:szCs w:val="20"/>
          <w:lang w:val="en-US"/>
        </w:rPr>
        <w:br w:type="page"/>
      </w:r>
    </w:p>
    <w:p w14:paraId="5C9ADEAD" w14:textId="77777777" w:rsidR="00707BAA" w:rsidRPr="00D47A30" w:rsidRDefault="00707BAA" w:rsidP="00707BAA">
      <w:pPr>
        <w:spacing w:line="480" w:lineRule="auto"/>
        <w:jc w:val="both"/>
        <w:rPr>
          <w:rFonts w:ascii="Arial" w:hAnsi="Arial" w:cs="Arial"/>
          <w:b/>
          <w:bCs/>
          <w:sz w:val="24"/>
          <w:szCs w:val="24"/>
          <w:lang w:val="en-US"/>
        </w:rPr>
      </w:pPr>
      <w:r w:rsidRPr="00D47A30">
        <w:rPr>
          <w:noProof/>
          <w:lang w:val="en-GB" w:eastAsia="en-GB"/>
        </w:rPr>
        <w:lastRenderedPageBreak/>
        <w:drawing>
          <wp:inline distT="0" distB="0" distL="0" distR="0" wp14:anchorId="4D555A3F" wp14:editId="642F06E4">
            <wp:extent cx="5760720" cy="3460750"/>
            <wp:effectExtent l="0" t="0" r="5080" b="6350"/>
            <wp:docPr id="2" name="Image 2"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Graph"/>
                    <pic:cNvPicPr/>
                  </pic:nvPicPr>
                  <pic:blipFill>
                    <a:blip r:embed="rId10"/>
                    <a:stretch>
                      <a:fillRect/>
                    </a:stretch>
                  </pic:blipFill>
                  <pic:spPr>
                    <a:xfrm>
                      <a:off x="0" y="0"/>
                      <a:ext cx="5760720" cy="3460750"/>
                    </a:xfrm>
                    <a:prstGeom prst="rect">
                      <a:avLst/>
                    </a:prstGeom>
                  </pic:spPr>
                </pic:pic>
              </a:graphicData>
            </a:graphic>
          </wp:inline>
        </w:drawing>
      </w:r>
    </w:p>
    <w:p w14:paraId="7A51C822" w14:textId="7578D602" w:rsidR="00473F2E" w:rsidRPr="003831DF" w:rsidRDefault="00707BAA" w:rsidP="003831DF">
      <w:pPr>
        <w:spacing w:line="480" w:lineRule="auto"/>
        <w:jc w:val="both"/>
        <w:rPr>
          <w:rFonts w:ascii="Arial" w:hAnsi="Arial" w:cs="Arial"/>
          <w:sz w:val="24"/>
          <w:szCs w:val="24"/>
          <w:lang w:val="en-US"/>
        </w:rPr>
      </w:pPr>
      <w:r w:rsidRPr="00D47A30">
        <w:rPr>
          <w:rFonts w:ascii="Arial" w:hAnsi="Arial" w:cs="Arial"/>
          <w:b/>
          <w:bCs/>
          <w:sz w:val="24"/>
          <w:szCs w:val="24"/>
          <w:lang w:val="en-US"/>
        </w:rPr>
        <w:t>Figure 2.</w:t>
      </w:r>
      <w:r w:rsidRPr="00D47A30">
        <w:rPr>
          <w:rFonts w:ascii="Arial" w:hAnsi="Arial" w:cs="Arial"/>
          <w:sz w:val="24"/>
          <w:szCs w:val="24"/>
          <w:lang w:val="en-US"/>
        </w:rPr>
        <w:t xml:space="preserve"> </w:t>
      </w:r>
      <w:r>
        <w:rPr>
          <w:rFonts w:ascii="Arial" w:hAnsi="Arial" w:cs="Arial"/>
          <w:sz w:val="24"/>
          <w:szCs w:val="24"/>
          <w:lang w:val="en-US"/>
        </w:rPr>
        <w:t>C</w:t>
      </w:r>
      <w:r w:rsidRPr="00D47A30">
        <w:rPr>
          <w:rFonts w:ascii="Arial" w:hAnsi="Arial" w:cs="Arial"/>
          <w:sz w:val="24"/>
          <w:szCs w:val="24"/>
          <w:lang w:val="en-US"/>
        </w:rPr>
        <w:t xml:space="preserve">umulative incidence of Parkinson’s disease in patients with and without osteoarthritis </w:t>
      </w:r>
      <w:r>
        <w:rPr>
          <w:rFonts w:ascii="Arial" w:hAnsi="Arial" w:cs="Arial"/>
          <w:sz w:val="24"/>
          <w:szCs w:val="24"/>
          <w:lang w:val="en-US"/>
        </w:rPr>
        <w:t>followed up in general practices in the United Kingdom for up to 10 years</w:t>
      </w:r>
    </w:p>
    <w:sectPr w:rsidR="00473F2E" w:rsidRPr="003831DF" w:rsidSect="00A512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FB463" w14:textId="77777777" w:rsidR="003718AC" w:rsidRDefault="003718AC" w:rsidP="006B45F1">
      <w:r>
        <w:separator/>
      </w:r>
    </w:p>
  </w:endnote>
  <w:endnote w:type="continuationSeparator" w:id="0">
    <w:p w14:paraId="31A76F1A" w14:textId="77777777" w:rsidR="003718AC" w:rsidRDefault="003718AC" w:rsidP="006B4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23016378"/>
      <w:docPartObj>
        <w:docPartGallery w:val="Page Numbers (Bottom of Page)"/>
        <w:docPartUnique/>
      </w:docPartObj>
    </w:sdtPr>
    <w:sdtEndPr>
      <w:rPr>
        <w:rStyle w:val="PageNumber"/>
      </w:rPr>
    </w:sdtEndPr>
    <w:sdtContent>
      <w:p w14:paraId="6DCC43A0" w14:textId="748474F2" w:rsidR="00CA71DD" w:rsidRDefault="00CA71DD" w:rsidP="00CA71D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6708E0" w14:textId="77777777" w:rsidR="00CA71DD" w:rsidRDefault="00CA71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8333534"/>
      <w:docPartObj>
        <w:docPartGallery w:val="Page Numbers (Bottom of Page)"/>
        <w:docPartUnique/>
      </w:docPartObj>
    </w:sdtPr>
    <w:sdtEndPr>
      <w:rPr>
        <w:rStyle w:val="PageNumber"/>
      </w:rPr>
    </w:sdtEndPr>
    <w:sdtContent>
      <w:p w14:paraId="6E89A021" w14:textId="522C208D" w:rsidR="00CA71DD" w:rsidRDefault="00CA71DD" w:rsidP="00CA71DD">
        <w:pPr>
          <w:pStyle w:val="Footer"/>
          <w:framePr w:wrap="none" w:vAnchor="text" w:hAnchor="margin" w:xAlign="center" w:y="1"/>
          <w:rPr>
            <w:rStyle w:val="PageNumber"/>
          </w:rPr>
        </w:pPr>
        <w:r w:rsidRPr="00D30993">
          <w:rPr>
            <w:rStyle w:val="PageNumber"/>
            <w:rFonts w:ascii="Arial" w:hAnsi="Arial" w:cs="Arial"/>
            <w:sz w:val="24"/>
            <w:szCs w:val="24"/>
          </w:rPr>
          <w:fldChar w:fldCharType="begin"/>
        </w:r>
        <w:r w:rsidRPr="00D30993">
          <w:rPr>
            <w:rStyle w:val="PageNumber"/>
            <w:rFonts w:ascii="Arial" w:hAnsi="Arial" w:cs="Arial"/>
            <w:sz w:val="24"/>
            <w:szCs w:val="24"/>
          </w:rPr>
          <w:instrText xml:space="preserve"> PAGE </w:instrText>
        </w:r>
        <w:r w:rsidRPr="00D30993">
          <w:rPr>
            <w:rStyle w:val="PageNumber"/>
            <w:rFonts w:ascii="Arial" w:hAnsi="Arial" w:cs="Arial"/>
            <w:sz w:val="24"/>
            <w:szCs w:val="24"/>
          </w:rPr>
          <w:fldChar w:fldCharType="separate"/>
        </w:r>
        <w:r w:rsidR="009577F7">
          <w:rPr>
            <w:rStyle w:val="PageNumber"/>
            <w:rFonts w:ascii="Arial" w:hAnsi="Arial" w:cs="Arial"/>
            <w:noProof/>
            <w:sz w:val="24"/>
            <w:szCs w:val="24"/>
          </w:rPr>
          <w:t>1</w:t>
        </w:r>
        <w:r w:rsidRPr="00D30993">
          <w:rPr>
            <w:rStyle w:val="PageNumber"/>
            <w:rFonts w:ascii="Arial" w:hAnsi="Arial" w:cs="Arial"/>
            <w:sz w:val="24"/>
            <w:szCs w:val="24"/>
          </w:rPr>
          <w:fldChar w:fldCharType="end"/>
        </w:r>
      </w:p>
    </w:sdtContent>
  </w:sdt>
  <w:p w14:paraId="60E93B02" w14:textId="77777777" w:rsidR="00CA71DD" w:rsidRDefault="00CA71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BA472" w14:textId="77777777" w:rsidR="003718AC" w:rsidRDefault="003718AC" w:rsidP="006B45F1">
      <w:r>
        <w:separator/>
      </w:r>
    </w:p>
  </w:footnote>
  <w:footnote w:type="continuationSeparator" w:id="0">
    <w:p w14:paraId="71941197" w14:textId="77777777" w:rsidR="003718AC" w:rsidRDefault="003718AC" w:rsidP="006B4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11D"/>
    <w:rsid w:val="0000003F"/>
    <w:rsid w:val="00001983"/>
    <w:rsid w:val="0000225E"/>
    <w:rsid w:val="00002D14"/>
    <w:rsid w:val="00004BCF"/>
    <w:rsid w:val="0000721D"/>
    <w:rsid w:val="00010D43"/>
    <w:rsid w:val="00012B84"/>
    <w:rsid w:val="0001449C"/>
    <w:rsid w:val="00015A86"/>
    <w:rsid w:val="00020542"/>
    <w:rsid w:val="00023518"/>
    <w:rsid w:val="000236FB"/>
    <w:rsid w:val="000309FD"/>
    <w:rsid w:val="0003486E"/>
    <w:rsid w:val="0003493F"/>
    <w:rsid w:val="00036672"/>
    <w:rsid w:val="00036D0F"/>
    <w:rsid w:val="0004008C"/>
    <w:rsid w:val="000429E3"/>
    <w:rsid w:val="00042A00"/>
    <w:rsid w:val="00044112"/>
    <w:rsid w:val="00046EF0"/>
    <w:rsid w:val="00047743"/>
    <w:rsid w:val="00050CC2"/>
    <w:rsid w:val="00052311"/>
    <w:rsid w:val="00053482"/>
    <w:rsid w:val="0005389E"/>
    <w:rsid w:val="0005440B"/>
    <w:rsid w:val="000549AB"/>
    <w:rsid w:val="000616BA"/>
    <w:rsid w:val="000621CA"/>
    <w:rsid w:val="00062C03"/>
    <w:rsid w:val="000654A8"/>
    <w:rsid w:val="00073FA0"/>
    <w:rsid w:val="00077CC4"/>
    <w:rsid w:val="00081E65"/>
    <w:rsid w:val="00084735"/>
    <w:rsid w:val="00085A87"/>
    <w:rsid w:val="00085FEA"/>
    <w:rsid w:val="00086846"/>
    <w:rsid w:val="00093290"/>
    <w:rsid w:val="00093D8B"/>
    <w:rsid w:val="000940CA"/>
    <w:rsid w:val="00094892"/>
    <w:rsid w:val="000A2C58"/>
    <w:rsid w:val="000A5172"/>
    <w:rsid w:val="000A5295"/>
    <w:rsid w:val="000A5954"/>
    <w:rsid w:val="000A7A84"/>
    <w:rsid w:val="000B5E16"/>
    <w:rsid w:val="000C039B"/>
    <w:rsid w:val="000C425A"/>
    <w:rsid w:val="000C6F24"/>
    <w:rsid w:val="000D17B4"/>
    <w:rsid w:val="000D5E18"/>
    <w:rsid w:val="000D7DC5"/>
    <w:rsid w:val="000E054D"/>
    <w:rsid w:val="000E222C"/>
    <w:rsid w:val="000E2A5E"/>
    <w:rsid w:val="000E32D7"/>
    <w:rsid w:val="000E5FF7"/>
    <w:rsid w:val="000E6A77"/>
    <w:rsid w:val="000F3568"/>
    <w:rsid w:val="000F7040"/>
    <w:rsid w:val="000F7662"/>
    <w:rsid w:val="0010000D"/>
    <w:rsid w:val="00100C56"/>
    <w:rsid w:val="0010139F"/>
    <w:rsid w:val="0010227D"/>
    <w:rsid w:val="00103CF4"/>
    <w:rsid w:val="00104E1D"/>
    <w:rsid w:val="00110CE3"/>
    <w:rsid w:val="0012165E"/>
    <w:rsid w:val="00127DA3"/>
    <w:rsid w:val="00127F13"/>
    <w:rsid w:val="00130D89"/>
    <w:rsid w:val="00130FA8"/>
    <w:rsid w:val="00132052"/>
    <w:rsid w:val="001332BE"/>
    <w:rsid w:val="00135CDC"/>
    <w:rsid w:val="0013722B"/>
    <w:rsid w:val="00143D48"/>
    <w:rsid w:val="00143FAB"/>
    <w:rsid w:val="001462DD"/>
    <w:rsid w:val="001470B3"/>
    <w:rsid w:val="0014712B"/>
    <w:rsid w:val="00150789"/>
    <w:rsid w:val="00154378"/>
    <w:rsid w:val="00161B05"/>
    <w:rsid w:val="00162084"/>
    <w:rsid w:val="00167CC6"/>
    <w:rsid w:val="00172882"/>
    <w:rsid w:val="00173444"/>
    <w:rsid w:val="001771F0"/>
    <w:rsid w:val="00177ADF"/>
    <w:rsid w:val="0018009C"/>
    <w:rsid w:val="00180F27"/>
    <w:rsid w:val="00187E4E"/>
    <w:rsid w:val="00190189"/>
    <w:rsid w:val="001945D7"/>
    <w:rsid w:val="001951A8"/>
    <w:rsid w:val="0019711D"/>
    <w:rsid w:val="0019745E"/>
    <w:rsid w:val="001A110B"/>
    <w:rsid w:val="001A3026"/>
    <w:rsid w:val="001A5A34"/>
    <w:rsid w:val="001B4015"/>
    <w:rsid w:val="001B43EF"/>
    <w:rsid w:val="001B586B"/>
    <w:rsid w:val="001C08A7"/>
    <w:rsid w:val="001C1988"/>
    <w:rsid w:val="001D4C2E"/>
    <w:rsid w:val="001E3250"/>
    <w:rsid w:val="001E37D9"/>
    <w:rsid w:val="001E422D"/>
    <w:rsid w:val="001E58C5"/>
    <w:rsid w:val="001E6CA9"/>
    <w:rsid w:val="001E7BCF"/>
    <w:rsid w:val="001F0200"/>
    <w:rsid w:val="001F0719"/>
    <w:rsid w:val="001F277B"/>
    <w:rsid w:val="00204944"/>
    <w:rsid w:val="0020646E"/>
    <w:rsid w:val="002079A2"/>
    <w:rsid w:val="00210147"/>
    <w:rsid w:val="00211154"/>
    <w:rsid w:val="00211586"/>
    <w:rsid w:val="00212191"/>
    <w:rsid w:val="0021427C"/>
    <w:rsid w:val="00217BC7"/>
    <w:rsid w:val="00217E81"/>
    <w:rsid w:val="002224E1"/>
    <w:rsid w:val="002256A0"/>
    <w:rsid w:val="002264EF"/>
    <w:rsid w:val="00226EA3"/>
    <w:rsid w:val="00227802"/>
    <w:rsid w:val="00227D0F"/>
    <w:rsid w:val="00227DA3"/>
    <w:rsid w:val="002307AA"/>
    <w:rsid w:val="002350C4"/>
    <w:rsid w:val="00240203"/>
    <w:rsid w:val="00242C5B"/>
    <w:rsid w:val="00247B2F"/>
    <w:rsid w:val="002508B7"/>
    <w:rsid w:val="00251431"/>
    <w:rsid w:val="00254CA1"/>
    <w:rsid w:val="0025656D"/>
    <w:rsid w:val="00262B63"/>
    <w:rsid w:val="002664B8"/>
    <w:rsid w:val="0026757B"/>
    <w:rsid w:val="002710BB"/>
    <w:rsid w:val="00274E60"/>
    <w:rsid w:val="00275E8C"/>
    <w:rsid w:val="002805D0"/>
    <w:rsid w:val="00285599"/>
    <w:rsid w:val="00285FDC"/>
    <w:rsid w:val="00292551"/>
    <w:rsid w:val="002942FE"/>
    <w:rsid w:val="0029553C"/>
    <w:rsid w:val="002A21C5"/>
    <w:rsid w:val="002B084B"/>
    <w:rsid w:val="002B157A"/>
    <w:rsid w:val="002B16EA"/>
    <w:rsid w:val="002B307C"/>
    <w:rsid w:val="002B3E90"/>
    <w:rsid w:val="002B441B"/>
    <w:rsid w:val="002B6553"/>
    <w:rsid w:val="002B700A"/>
    <w:rsid w:val="002B76F0"/>
    <w:rsid w:val="002B77BE"/>
    <w:rsid w:val="002C1D83"/>
    <w:rsid w:val="002C52B6"/>
    <w:rsid w:val="002D0654"/>
    <w:rsid w:val="002D4B80"/>
    <w:rsid w:val="002D5F2F"/>
    <w:rsid w:val="002D628D"/>
    <w:rsid w:val="002E090A"/>
    <w:rsid w:val="002E38D8"/>
    <w:rsid w:val="002E3A7D"/>
    <w:rsid w:val="002E6011"/>
    <w:rsid w:val="002E6271"/>
    <w:rsid w:val="002F20C6"/>
    <w:rsid w:val="002F2A21"/>
    <w:rsid w:val="002F31E4"/>
    <w:rsid w:val="002F3D13"/>
    <w:rsid w:val="002F54CA"/>
    <w:rsid w:val="00303035"/>
    <w:rsid w:val="0030356D"/>
    <w:rsid w:val="003123F1"/>
    <w:rsid w:val="00313C5D"/>
    <w:rsid w:val="0031523B"/>
    <w:rsid w:val="00316FAA"/>
    <w:rsid w:val="003178DE"/>
    <w:rsid w:val="00320376"/>
    <w:rsid w:val="00320C8F"/>
    <w:rsid w:val="00321A93"/>
    <w:rsid w:val="00323CD4"/>
    <w:rsid w:val="00324EE2"/>
    <w:rsid w:val="003262EF"/>
    <w:rsid w:val="00330E33"/>
    <w:rsid w:val="003319ED"/>
    <w:rsid w:val="00333A10"/>
    <w:rsid w:val="00335B05"/>
    <w:rsid w:val="00336F78"/>
    <w:rsid w:val="00340290"/>
    <w:rsid w:val="00340ADB"/>
    <w:rsid w:val="00346700"/>
    <w:rsid w:val="00347090"/>
    <w:rsid w:val="003472B8"/>
    <w:rsid w:val="0034796F"/>
    <w:rsid w:val="00352270"/>
    <w:rsid w:val="003532EE"/>
    <w:rsid w:val="0035423E"/>
    <w:rsid w:val="00355F49"/>
    <w:rsid w:val="00357482"/>
    <w:rsid w:val="00360B0F"/>
    <w:rsid w:val="00362125"/>
    <w:rsid w:val="00363AC2"/>
    <w:rsid w:val="0036659D"/>
    <w:rsid w:val="00367645"/>
    <w:rsid w:val="00367C8D"/>
    <w:rsid w:val="00370039"/>
    <w:rsid w:val="003704FF"/>
    <w:rsid w:val="003718AC"/>
    <w:rsid w:val="00372AAB"/>
    <w:rsid w:val="00372CFD"/>
    <w:rsid w:val="0037321E"/>
    <w:rsid w:val="00375CB8"/>
    <w:rsid w:val="00380EA8"/>
    <w:rsid w:val="0038309F"/>
    <w:rsid w:val="003831DF"/>
    <w:rsid w:val="003833B2"/>
    <w:rsid w:val="00384B41"/>
    <w:rsid w:val="00385815"/>
    <w:rsid w:val="00392699"/>
    <w:rsid w:val="00392AAE"/>
    <w:rsid w:val="003942DB"/>
    <w:rsid w:val="00397836"/>
    <w:rsid w:val="003A082A"/>
    <w:rsid w:val="003A0B5C"/>
    <w:rsid w:val="003A1924"/>
    <w:rsid w:val="003A3964"/>
    <w:rsid w:val="003A3D48"/>
    <w:rsid w:val="003A4AAF"/>
    <w:rsid w:val="003A4FAC"/>
    <w:rsid w:val="003A5994"/>
    <w:rsid w:val="003A7293"/>
    <w:rsid w:val="003B133B"/>
    <w:rsid w:val="003B1758"/>
    <w:rsid w:val="003B38CA"/>
    <w:rsid w:val="003B59A7"/>
    <w:rsid w:val="003B6355"/>
    <w:rsid w:val="003B6D14"/>
    <w:rsid w:val="003B6FF6"/>
    <w:rsid w:val="003C02D9"/>
    <w:rsid w:val="003C17B7"/>
    <w:rsid w:val="003C3020"/>
    <w:rsid w:val="003C42F9"/>
    <w:rsid w:val="003C76B4"/>
    <w:rsid w:val="003D1A90"/>
    <w:rsid w:val="003D1B5A"/>
    <w:rsid w:val="003D203B"/>
    <w:rsid w:val="003D2137"/>
    <w:rsid w:val="003D3D91"/>
    <w:rsid w:val="003D616C"/>
    <w:rsid w:val="003D7AB6"/>
    <w:rsid w:val="003E35A0"/>
    <w:rsid w:val="003E38FF"/>
    <w:rsid w:val="003E488C"/>
    <w:rsid w:val="003E5357"/>
    <w:rsid w:val="003E621B"/>
    <w:rsid w:val="003F026F"/>
    <w:rsid w:val="003F0E02"/>
    <w:rsid w:val="003F0F92"/>
    <w:rsid w:val="003F2C69"/>
    <w:rsid w:val="003F6A9C"/>
    <w:rsid w:val="003F6D7A"/>
    <w:rsid w:val="004018D4"/>
    <w:rsid w:val="00403787"/>
    <w:rsid w:val="0040481F"/>
    <w:rsid w:val="0040490B"/>
    <w:rsid w:val="00404D6E"/>
    <w:rsid w:val="0040530A"/>
    <w:rsid w:val="00412EC7"/>
    <w:rsid w:val="00414D4E"/>
    <w:rsid w:val="0041539D"/>
    <w:rsid w:val="0041734F"/>
    <w:rsid w:val="00420AD9"/>
    <w:rsid w:val="00422809"/>
    <w:rsid w:val="00422B8A"/>
    <w:rsid w:val="00423254"/>
    <w:rsid w:val="0042464E"/>
    <w:rsid w:val="00427DCC"/>
    <w:rsid w:val="00427ECB"/>
    <w:rsid w:val="00430261"/>
    <w:rsid w:val="004317F3"/>
    <w:rsid w:val="00431A7B"/>
    <w:rsid w:val="0043204B"/>
    <w:rsid w:val="00435384"/>
    <w:rsid w:val="00436DDF"/>
    <w:rsid w:val="00437CEF"/>
    <w:rsid w:val="00443913"/>
    <w:rsid w:val="00444309"/>
    <w:rsid w:val="00444833"/>
    <w:rsid w:val="004462DE"/>
    <w:rsid w:val="0045024A"/>
    <w:rsid w:val="004561D7"/>
    <w:rsid w:val="00457330"/>
    <w:rsid w:val="00457933"/>
    <w:rsid w:val="00462E1A"/>
    <w:rsid w:val="004666AC"/>
    <w:rsid w:val="0046684E"/>
    <w:rsid w:val="00467FAD"/>
    <w:rsid w:val="00473DF2"/>
    <w:rsid w:val="00473F2E"/>
    <w:rsid w:val="00476560"/>
    <w:rsid w:val="004779E1"/>
    <w:rsid w:val="00482A73"/>
    <w:rsid w:val="004847DD"/>
    <w:rsid w:val="00485E7F"/>
    <w:rsid w:val="004907EA"/>
    <w:rsid w:val="00494639"/>
    <w:rsid w:val="004960D5"/>
    <w:rsid w:val="00496120"/>
    <w:rsid w:val="004A431E"/>
    <w:rsid w:val="004A4B2F"/>
    <w:rsid w:val="004B41F6"/>
    <w:rsid w:val="004B651A"/>
    <w:rsid w:val="004B6E8C"/>
    <w:rsid w:val="004C0594"/>
    <w:rsid w:val="004C308B"/>
    <w:rsid w:val="004C4D7E"/>
    <w:rsid w:val="004C6920"/>
    <w:rsid w:val="004D511A"/>
    <w:rsid w:val="004D5362"/>
    <w:rsid w:val="004D54E9"/>
    <w:rsid w:val="004D5C80"/>
    <w:rsid w:val="004D6EDB"/>
    <w:rsid w:val="004E0ABB"/>
    <w:rsid w:val="004E0FF8"/>
    <w:rsid w:val="004E1022"/>
    <w:rsid w:val="004E321A"/>
    <w:rsid w:val="004E5031"/>
    <w:rsid w:val="004E55CC"/>
    <w:rsid w:val="004E589E"/>
    <w:rsid w:val="004F18A5"/>
    <w:rsid w:val="004F18F9"/>
    <w:rsid w:val="004F2E29"/>
    <w:rsid w:val="004F4188"/>
    <w:rsid w:val="004F6B01"/>
    <w:rsid w:val="005001AA"/>
    <w:rsid w:val="0050137E"/>
    <w:rsid w:val="00502035"/>
    <w:rsid w:val="00502787"/>
    <w:rsid w:val="00512047"/>
    <w:rsid w:val="00513C13"/>
    <w:rsid w:val="0051581D"/>
    <w:rsid w:val="0051635B"/>
    <w:rsid w:val="0052163E"/>
    <w:rsid w:val="00523A34"/>
    <w:rsid w:val="00523F6A"/>
    <w:rsid w:val="00524631"/>
    <w:rsid w:val="00524F4F"/>
    <w:rsid w:val="005276C9"/>
    <w:rsid w:val="00531BCB"/>
    <w:rsid w:val="00531EB7"/>
    <w:rsid w:val="00532BBE"/>
    <w:rsid w:val="005370BC"/>
    <w:rsid w:val="005377CB"/>
    <w:rsid w:val="00537B19"/>
    <w:rsid w:val="0054014E"/>
    <w:rsid w:val="00541AF7"/>
    <w:rsid w:val="0054469A"/>
    <w:rsid w:val="0054507B"/>
    <w:rsid w:val="00545CDC"/>
    <w:rsid w:val="00557203"/>
    <w:rsid w:val="0056239F"/>
    <w:rsid w:val="0056293C"/>
    <w:rsid w:val="00563207"/>
    <w:rsid w:val="00563AE3"/>
    <w:rsid w:val="005657F9"/>
    <w:rsid w:val="005704E6"/>
    <w:rsid w:val="0057180A"/>
    <w:rsid w:val="00572FC5"/>
    <w:rsid w:val="00573FD7"/>
    <w:rsid w:val="005745DB"/>
    <w:rsid w:val="00574624"/>
    <w:rsid w:val="00577ECB"/>
    <w:rsid w:val="00580DA4"/>
    <w:rsid w:val="0058165A"/>
    <w:rsid w:val="00583812"/>
    <w:rsid w:val="00583AF8"/>
    <w:rsid w:val="00585EE2"/>
    <w:rsid w:val="00593C21"/>
    <w:rsid w:val="00596C66"/>
    <w:rsid w:val="005A0E0B"/>
    <w:rsid w:val="005A1FFB"/>
    <w:rsid w:val="005A32A6"/>
    <w:rsid w:val="005A7FCA"/>
    <w:rsid w:val="005B130E"/>
    <w:rsid w:val="005B1478"/>
    <w:rsid w:val="005B220D"/>
    <w:rsid w:val="005B57DD"/>
    <w:rsid w:val="005C02E7"/>
    <w:rsid w:val="005C2EC5"/>
    <w:rsid w:val="005C34DF"/>
    <w:rsid w:val="005C5215"/>
    <w:rsid w:val="005C692A"/>
    <w:rsid w:val="005D0422"/>
    <w:rsid w:val="005D0BD3"/>
    <w:rsid w:val="005E446F"/>
    <w:rsid w:val="005E4643"/>
    <w:rsid w:val="005F1EA2"/>
    <w:rsid w:val="005F2D22"/>
    <w:rsid w:val="005F4A6C"/>
    <w:rsid w:val="005F7A7C"/>
    <w:rsid w:val="00602485"/>
    <w:rsid w:val="00602EA4"/>
    <w:rsid w:val="00604477"/>
    <w:rsid w:val="00606537"/>
    <w:rsid w:val="0061144F"/>
    <w:rsid w:val="00611742"/>
    <w:rsid w:val="00613C3F"/>
    <w:rsid w:val="00613D6E"/>
    <w:rsid w:val="00620197"/>
    <w:rsid w:val="00624DC3"/>
    <w:rsid w:val="00627195"/>
    <w:rsid w:val="006342A8"/>
    <w:rsid w:val="006345FE"/>
    <w:rsid w:val="0063484A"/>
    <w:rsid w:val="006357CD"/>
    <w:rsid w:val="00636E52"/>
    <w:rsid w:val="0064197D"/>
    <w:rsid w:val="00642686"/>
    <w:rsid w:val="0064280D"/>
    <w:rsid w:val="00643B25"/>
    <w:rsid w:val="00644147"/>
    <w:rsid w:val="00646328"/>
    <w:rsid w:val="0064635C"/>
    <w:rsid w:val="00647B6C"/>
    <w:rsid w:val="006509C0"/>
    <w:rsid w:val="0065440C"/>
    <w:rsid w:val="00656014"/>
    <w:rsid w:val="00660C26"/>
    <w:rsid w:val="00667407"/>
    <w:rsid w:val="00667F87"/>
    <w:rsid w:val="0067077D"/>
    <w:rsid w:val="00670EB1"/>
    <w:rsid w:val="00671E3C"/>
    <w:rsid w:val="006722BE"/>
    <w:rsid w:val="00674DD0"/>
    <w:rsid w:val="00684F4B"/>
    <w:rsid w:val="006908AB"/>
    <w:rsid w:val="00690FD6"/>
    <w:rsid w:val="00692BB8"/>
    <w:rsid w:val="0069378F"/>
    <w:rsid w:val="006938B6"/>
    <w:rsid w:val="00694A86"/>
    <w:rsid w:val="0069520A"/>
    <w:rsid w:val="00695DD2"/>
    <w:rsid w:val="0069771F"/>
    <w:rsid w:val="006A0723"/>
    <w:rsid w:val="006A0F6F"/>
    <w:rsid w:val="006A4C8A"/>
    <w:rsid w:val="006A4DE7"/>
    <w:rsid w:val="006A7465"/>
    <w:rsid w:val="006B45F1"/>
    <w:rsid w:val="006B7DAD"/>
    <w:rsid w:val="006C0677"/>
    <w:rsid w:val="006C5A9D"/>
    <w:rsid w:val="006C6CE8"/>
    <w:rsid w:val="006C73D0"/>
    <w:rsid w:val="006D293D"/>
    <w:rsid w:val="006D2DF0"/>
    <w:rsid w:val="006D2DF1"/>
    <w:rsid w:val="006D3924"/>
    <w:rsid w:val="006D5317"/>
    <w:rsid w:val="006E5B9B"/>
    <w:rsid w:val="006F2397"/>
    <w:rsid w:val="006F4F52"/>
    <w:rsid w:val="006F640F"/>
    <w:rsid w:val="007012AC"/>
    <w:rsid w:val="00706337"/>
    <w:rsid w:val="00707271"/>
    <w:rsid w:val="00707BAA"/>
    <w:rsid w:val="0071163F"/>
    <w:rsid w:val="00711C4B"/>
    <w:rsid w:val="00711DAB"/>
    <w:rsid w:val="00713A0F"/>
    <w:rsid w:val="007151C3"/>
    <w:rsid w:val="00715F6F"/>
    <w:rsid w:val="00717AB3"/>
    <w:rsid w:val="00721F79"/>
    <w:rsid w:val="00725450"/>
    <w:rsid w:val="007255FA"/>
    <w:rsid w:val="0073369C"/>
    <w:rsid w:val="00734635"/>
    <w:rsid w:val="007408A1"/>
    <w:rsid w:val="00741991"/>
    <w:rsid w:val="00742155"/>
    <w:rsid w:val="0074217D"/>
    <w:rsid w:val="0074317B"/>
    <w:rsid w:val="00744A6A"/>
    <w:rsid w:val="007466E9"/>
    <w:rsid w:val="007468E4"/>
    <w:rsid w:val="0075180B"/>
    <w:rsid w:val="00752E4A"/>
    <w:rsid w:val="00753128"/>
    <w:rsid w:val="00754F50"/>
    <w:rsid w:val="00755B23"/>
    <w:rsid w:val="0076168C"/>
    <w:rsid w:val="00763849"/>
    <w:rsid w:val="00763F80"/>
    <w:rsid w:val="00764B29"/>
    <w:rsid w:val="0076745B"/>
    <w:rsid w:val="00770856"/>
    <w:rsid w:val="007721F9"/>
    <w:rsid w:val="007758F7"/>
    <w:rsid w:val="00775D69"/>
    <w:rsid w:val="00777274"/>
    <w:rsid w:val="0078375B"/>
    <w:rsid w:val="007847A4"/>
    <w:rsid w:val="00784A63"/>
    <w:rsid w:val="00786999"/>
    <w:rsid w:val="0079399C"/>
    <w:rsid w:val="00793E41"/>
    <w:rsid w:val="00794A7A"/>
    <w:rsid w:val="00795A30"/>
    <w:rsid w:val="00797096"/>
    <w:rsid w:val="007A1E18"/>
    <w:rsid w:val="007A2CBA"/>
    <w:rsid w:val="007A3AE7"/>
    <w:rsid w:val="007A3EE3"/>
    <w:rsid w:val="007A4A0B"/>
    <w:rsid w:val="007B0933"/>
    <w:rsid w:val="007B0B6E"/>
    <w:rsid w:val="007C06F6"/>
    <w:rsid w:val="007C0F9D"/>
    <w:rsid w:val="007D2AA3"/>
    <w:rsid w:val="007D6856"/>
    <w:rsid w:val="007D7C32"/>
    <w:rsid w:val="007D7D33"/>
    <w:rsid w:val="007E31F4"/>
    <w:rsid w:val="007F2627"/>
    <w:rsid w:val="00804688"/>
    <w:rsid w:val="0080718F"/>
    <w:rsid w:val="008079C4"/>
    <w:rsid w:val="00815406"/>
    <w:rsid w:val="008165FE"/>
    <w:rsid w:val="008178BF"/>
    <w:rsid w:val="008314D2"/>
    <w:rsid w:val="00836626"/>
    <w:rsid w:val="00841452"/>
    <w:rsid w:val="008424F6"/>
    <w:rsid w:val="008473BF"/>
    <w:rsid w:val="00847BE1"/>
    <w:rsid w:val="00847C88"/>
    <w:rsid w:val="00852097"/>
    <w:rsid w:val="0085453B"/>
    <w:rsid w:val="0085502B"/>
    <w:rsid w:val="0086023E"/>
    <w:rsid w:val="0086197D"/>
    <w:rsid w:val="00862097"/>
    <w:rsid w:val="00862386"/>
    <w:rsid w:val="008709CE"/>
    <w:rsid w:val="0087435C"/>
    <w:rsid w:val="008762A4"/>
    <w:rsid w:val="00882171"/>
    <w:rsid w:val="008854B5"/>
    <w:rsid w:val="00886B95"/>
    <w:rsid w:val="00887BC5"/>
    <w:rsid w:val="008912E0"/>
    <w:rsid w:val="00892A11"/>
    <w:rsid w:val="00893D60"/>
    <w:rsid w:val="00895CD2"/>
    <w:rsid w:val="00895D83"/>
    <w:rsid w:val="008A2486"/>
    <w:rsid w:val="008A3893"/>
    <w:rsid w:val="008A4796"/>
    <w:rsid w:val="008A4B27"/>
    <w:rsid w:val="008A6FCC"/>
    <w:rsid w:val="008B1FBB"/>
    <w:rsid w:val="008C1075"/>
    <w:rsid w:val="008C1B94"/>
    <w:rsid w:val="008C27BA"/>
    <w:rsid w:val="008C2D2E"/>
    <w:rsid w:val="008C3D6B"/>
    <w:rsid w:val="008C42B1"/>
    <w:rsid w:val="008D57AB"/>
    <w:rsid w:val="008D7844"/>
    <w:rsid w:val="008E481B"/>
    <w:rsid w:val="008E543E"/>
    <w:rsid w:val="008E67F5"/>
    <w:rsid w:val="008E704A"/>
    <w:rsid w:val="008E7EEE"/>
    <w:rsid w:val="008F058F"/>
    <w:rsid w:val="008F0753"/>
    <w:rsid w:val="008F4328"/>
    <w:rsid w:val="008F4A4F"/>
    <w:rsid w:val="008F67D3"/>
    <w:rsid w:val="00902669"/>
    <w:rsid w:val="009027E5"/>
    <w:rsid w:val="00905E00"/>
    <w:rsid w:val="00906D35"/>
    <w:rsid w:val="009070DD"/>
    <w:rsid w:val="009107B8"/>
    <w:rsid w:val="009112F6"/>
    <w:rsid w:val="00913A20"/>
    <w:rsid w:val="00914A02"/>
    <w:rsid w:val="00920745"/>
    <w:rsid w:val="009234C6"/>
    <w:rsid w:val="0093343A"/>
    <w:rsid w:val="00941A2E"/>
    <w:rsid w:val="009431AF"/>
    <w:rsid w:val="0094399B"/>
    <w:rsid w:val="009543CD"/>
    <w:rsid w:val="009543DA"/>
    <w:rsid w:val="009577F7"/>
    <w:rsid w:val="00960EF2"/>
    <w:rsid w:val="00963F2E"/>
    <w:rsid w:val="00966709"/>
    <w:rsid w:val="00966787"/>
    <w:rsid w:val="00967F56"/>
    <w:rsid w:val="009703EC"/>
    <w:rsid w:val="00970EF9"/>
    <w:rsid w:val="0097576A"/>
    <w:rsid w:val="009757D1"/>
    <w:rsid w:val="00984FEA"/>
    <w:rsid w:val="00987B03"/>
    <w:rsid w:val="0099168F"/>
    <w:rsid w:val="009921F4"/>
    <w:rsid w:val="00992C7B"/>
    <w:rsid w:val="009936EB"/>
    <w:rsid w:val="00994B20"/>
    <w:rsid w:val="00997F21"/>
    <w:rsid w:val="009A07E9"/>
    <w:rsid w:val="009A0E5E"/>
    <w:rsid w:val="009A0EF9"/>
    <w:rsid w:val="009A513E"/>
    <w:rsid w:val="009B09FC"/>
    <w:rsid w:val="009B105D"/>
    <w:rsid w:val="009B3C42"/>
    <w:rsid w:val="009B473C"/>
    <w:rsid w:val="009B5BA9"/>
    <w:rsid w:val="009C031B"/>
    <w:rsid w:val="009C30DF"/>
    <w:rsid w:val="009C3926"/>
    <w:rsid w:val="009C5D6E"/>
    <w:rsid w:val="009D1808"/>
    <w:rsid w:val="009D383A"/>
    <w:rsid w:val="009D742A"/>
    <w:rsid w:val="009D7854"/>
    <w:rsid w:val="009E0E2A"/>
    <w:rsid w:val="009E1E73"/>
    <w:rsid w:val="009E48C8"/>
    <w:rsid w:val="009E4AAC"/>
    <w:rsid w:val="009E4F5D"/>
    <w:rsid w:val="009E51D8"/>
    <w:rsid w:val="009E6A1C"/>
    <w:rsid w:val="009E6B71"/>
    <w:rsid w:val="009E7C12"/>
    <w:rsid w:val="009F0ADC"/>
    <w:rsid w:val="009F0E6C"/>
    <w:rsid w:val="009F110F"/>
    <w:rsid w:val="009F14A1"/>
    <w:rsid w:val="009F3AFA"/>
    <w:rsid w:val="009F529C"/>
    <w:rsid w:val="009F57AE"/>
    <w:rsid w:val="009F6496"/>
    <w:rsid w:val="009F75CE"/>
    <w:rsid w:val="00A012E8"/>
    <w:rsid w:val="00A02719"/>
    <w:rsid w:val="00A0376B"/>
    <w:rsid w:val="00A119C7"/>
    <w:rsid w:val="00A162A4"/>
    <w:rsid w:val="00A17D8D"/>
    <w:rsid w:val="00A2045A"/>
    <w:rsid w:val="00A24D35"/>
    <w:rsid w:val="00A264E9"/>
    <w:rsid w:val="00A2744C"/>
    <w:rsid w:val="00A32D80"/>
    <w:rsid w:val="00A33160"/>
    <w:rsid w:val="00A33390"/>
    <w:rsid w:val="00A34692"/>
    <w:rsid w:val="00A37A26"/>
    <w:rsid w:val="00A40181"/>
    <w:rsid w:val="00A411A4"/>
    <w:rsid w:val="00A41592"/>
    <w:rsid w:val="00A439A9"/>
    <w:rsid w:val="00A45646"/>
    <w:rsid w:val="00A45B36"/>
    <w:rsid w:val="00A512D9"/>
    <w:rsid w:val="00A515BF"/>
    <w:rsid w:val="00A53424"/>
    <w:rsid w:val="00A5749F"/>
    <w:rsid w:val="00A574A0"/>
    <w:rsid w:val="00A6189C"/>
    <w:rsid w:val="00A6325C"/>
    <w:rsid w:val="00A722CC"/>
    <w:rsid w:val="00A74381"/>
    <w:rsid w:val="00A7537C"/>
    <w:rsid w:val="00A76CED"/>
    <w:rsid w:val="00A807C7"/>
    <w:rsid w:val="00A82301"/>
    <w:rsid w:val="00A82F9A"/>
    <w:rsid w:val="00A836EC"/>
    <w:rsid w:val="00A837AC"/>
    <w:rsid w:val="00A855CA"/>
    <w:rsid w:val="00A86543"/>
    <w:rsid w:val="00A94A9A"/>
    <w:rsid w:val="00A95EF8"/>
    <w:rsid w:val="00AA0C33"/>
    <w:rsid w:val="00AA2141"/>
    <w:rsid w:val="00AA6129"/>
    <w:rsid w:val="00AB3AA9"/>
    <w:rsid w:val="00AB4CB3"/>
    <w:rsid w:val="00AB62CC"/>
    <w:rsid w:val="00AC0380"/>
    <w:rsid w:val="00AC30AF"/>
    <w:rsid w:val="00AC52ED"/>
    <w:rsid w:val="00AC5FF4"/>
    <w:rsid w:val="00AC6641"/>
    <w:rsid w:val="00AC6812"/>
    <w:rsid w:val="00AD2B9D"/>
    <w:rsid w:val="00AD4E9F"/>
    <w:rsid w:val="00AD5032"/>
    <w:rsid w:val="00AD7BC1"/>
    <w:rsid w:val="00AE09A6"/>
    <w:rsid w:val="00AE3A17"/>
    <w:rsid w:val="00AE3F35"/>
    <w:rsid w:val="00AE5031"/>
    <w:rsid w:val="00AE5A6A"/>
    <w:rsid w:val="00AE6D3E"/>
    <w:rsid w:val="00AF0798"/>
    <w:rsid w:val="00AF4680"/>
    <w:rsid w:val="00AF4B09"/>
    <w:rsid w:val="00AF69FB"/>
    <w:rsid w:val="00B014AE"/>
    <w:rsid w:val="00B01501"/>
    <w:rsid w:val="00B018A7"/>
    <w:rsid w:val="00B01A72"/>
    <w:rsid w:val="00B02B28"/>
    <w:rsid w:val="00B03DC6"/>
    <w:rsid w:val="00B0769B"/>
    <w:rsid w:val="00B109CB"/>
    <w:rsid w:val="00B1484E"/>
    <w:rsid w:val="00B14BEA"/>
    <w:rsid w:val="00B1614A"/>
    <w:rsid w:val="00B20016"/>
    <w:rsid w:val="00B243DA"/>
    <w:rsid w:val="00B24A1B"/>
    <w:rsid w:val="00B32994"/>
    <w:rsid w:val="00B33EC4"/>
    <w:rsid w:val="00B3690F"/>
    <w:rsid w:val="00B36C42"/>
    <w:rsid w:val="00B376B5"/>
    <w:rsid w:val="00B41552"/>
    <w:rsid w:val="00B41A7E"/>
    <w:rsid w:val="00B42F40"/>
    <w:rsid w:val="00B46C49"/>
    <w:rsid w:val="00B46EA9"/>
    <w:rsid w:val="00B47CE2"/>
    <w:rsid w:val="00B52E28"/>
    <w:rsid w:val="00B53F31"/>
    <w:rsid w:val="00B547FA"/>
    <w:rsid w:val="00B54C54"/>
    <w:rsid w:val="00B56855"/>
    <w:rsid w:val="00B6105E"/>
    <w:rsid w:val="00B7213C"/>
    <w:rsid w:val="00B72EBE"/>
    <w:rsid w:val="00B76D1C"/>
    <w:rsid w:val="00B77C2A"/>
    <w:rsid w:val="00B80F19"/>
    <w:rsid w:val="00B83E63"/>
    <w:rsid w:val="00B8437A"/>
    <w:rsid w:val="00B903A9"/>
    <w:rsid w:val="00B9413D"/>
    <w:rsid w:val="00B94F29"/>
    <w:rsid w:val="00B96009"/>
    <w:rsid w:val="00B97BD9"/>
    <w:rsid w:val="00BA03B1"/>
    <w:rsid w:val="00BA0C94"/>
    <w:rsid w:val="00BA1043"/>
    <w:rsid w:val="00BA18BA"/>
    <w:rsid w:val="00BA2137"/>
    <w:rsid w:val="00BA374E"/>
    <w:rsid w:val="00BA43CF"/>
    <w:rsid w:val="00BA6D3B"/>
    <w:rsid w:val="00BB1519"/>
    <w:rsid w:val="00BB2841"/>
    <w:rsid w:val="00BC3970"/>
    <w:rsid w:val="00BC5E8A"/>
    <w:rsid w:val="00BD121C"/>
    <w:rsid w:val="00BD16EB"/>
    <w:rsid w:val="00BD2DAB"/>
    <w:rsid w:val="00BD3786"/>
    <w:rsid w:val="00BD481B"/>
    <w:rsid w:val="00BD5011"/>
    <w:rsid w:val="00BD518C"/>
    <w:rsid w:val="00BD5E91"/>
    <w:rsid w:val="00BD601E"/>
    <w:rsid w:val="00BE5397"/>
    <w:rsid w:val="00BE6013"/>
    <w:rsid w:val="00BE6A87"/>
    <w:rsid w:val="00BE7CDF"/>
    <w:rsid w:val="00BF58D5"/>
    <w:rsid w:val="00BF6134"/>
    <w:rsid w:val="00C00211"/>
    <w:rsid w:val="00C07BD9"/>
    <w:rsid w:val="00C07C68"/>
    <w:rsid w:val="00C14924"/>
    <w:rsid w:val="00C20DD7"/>
    <w:rsid w:val="00C216A5"/>
    <w:rsid w:val="00C22090"/>
    <w:rsid w:val="00C31084"/>
    <w:rsid w:val="00C3497B"/>
    <w:rsid w:val="00C3559D"/>
    <w:rsid w:val="00C359F5"/>
    <w:rsid w:val="00C41E53"/>
    <w:rsid w:val="00C43EF0"/>
    <w:rsid w:val="00C4432E"/>
    <w:rsid w:val="00C47300"/>
    <w:rsid w:val="00C47744"/>
    <w:rsid w:val="00C47B55"/>
    <w:rsid w:val="00C50F5E"/>
    <w:rsid w:val="00C53833"/>
    <w:rsid w:val="00C54C34"/>
    <w:rsid w:val="00C54F2D"/>
    <w:rsid w:val="00C55804"/>
    <w:rsid w:val="00C5708F"/>
    <w:rsid w:val="00C6067E"/>
    <w:rsid w:val="00C60937"/>
    <w:rsid w:val="00C61C68"/>
    <w:rsid w:val="00C61EE1"/>
    <w:rsid w:val="00C633BE"/>
    <w:rsid w:val="00C6380B"/>
    <w:rsid w:val="00C64570"/>
    <w:rsid w:val="00C665AE"/>
    <w:rsid w:val="00C721B9"/>
    <w:rsid w:val="00C73895"/>
    <w:rsid w:val="00C742CB"/>
    <w:rsid w:val="00C76484"/>
    <w:rsid w:val="00C7671F"/>
    <w:rsid w:val="00C80A38"/>
    <w:rsid w:val="00C83F50"/>
    <w:rsid w:val="00C853EE"/>
    <w:rsid w:val="00C920F6"/>
    <w:rsid w:val="00C956DD"/>
    <w:rsid w:val="00C95CD5"/>
    <w:rsid w:val="00CA49B8"/>
    <w:rsid w:val="00CA5F07"/>
    <w:rsid w:val="00CA6A24"/>
    <w:rsid w:val="00CA71DD"/>
    <w:rsid w:val="00CA76E0"/>
    <w:rsid w:val="00CB1F94"/>
    <w:rsid w:val="00CB57EC"/>
    <w:rsid w:val="00CC1992"/>
    <w:rsid w:val="00CC2D2D"/>
    <w:rsid w:val="00CC3043"/>
    <w:rsid w:val="00CC4167"/>
    <w:rsid w:val="00CC46EE"/>
    <w:rsid w:val="00CD0BA0"/>
    <w:rsid w:val="00CD270E"/>
    <w:rsid w:val="00CD2D16"/>
    <w:rsid w:val="00CD2D7B"/>
    <w:rsid w:val="00CD351F"/>
    <w:rsid w:val="00CD5170"/>
    <w:rsid w:val="00CD6DF1"/>
    <w:rsid w:val="00CD7ADE"/>
    <w:rsid w:val="00CD7AF5"/>
    <w:rsid w:val="00CE08EF"/>
    <w:rsid w:val="00CE2DB3"/>
    <w:rsid w:val="00CF1051"/>
    <w:rsid w:val="00CF45E9"/>
    <w:rsid w:val="00CF469C"/>
    <w:rsid w:val="00D00BC0"/>
    <w:rsid w:val="00D01C91"/>
    <w:rsid w:val="00D0770C"/>
    <w:rsid w:val="00D119C9"/>
    <w:rsid w:val="00D1369D"/>
    <w:rsid w:val="00D21AFB"/>
    <w:rsid w:val="00D25A8E"/>
    <w:rsid w:val="00D276A3"/>
    <w:rsid w:val="00D30993"/>
    <w:rsid w:val="00D31B66"/>
    <w:rsid w:val="00D322FA"/>
    <w:rsid w:val="00D3275E"/>
    <w:rsid w:val="00D40399"/>
    <w:rsid w:val="00D42A59"/>
    <w:rsid w:val="00D446D7"/>
    <w:rsid w:val="00D47A30"/>
    <w:rsid w:val="00D50AEA"/>
    <w:rsid w:val="00D51CD9"/>
    <w:rsid w:val="00D525C6"/>
    <w:rsid w:val="00D569C5"/>
    <w:rsid w:val="00D57578"/>
    <w:rsid w:val="00D6229E"/>
    <w:rsid w:val="00D6376C"/>
    <w:rsid w:val="00D6758A"/>
    <w:rsid w:val="00D729D2"/>
    <w:rsid w:val="00D74C45"/>
    <w:rsid w:val="00D7563C"/>
    <w:rsid w:val="00D75C4D"/>
    <w:rsid w:val="00D77059"/>
    <w:rsid w:val="00D801C2"/>
    <w:rsid w:val="00D806A4"/>
    <w:rsid w:val="00D82052"/>
    <w:rsid w:val="00D83E30"/>
    <w:rsid w:val="00D847BE"/>
    <w:rsid w:val="00D87CA9"/>
    <w:rsid w:val="00D90898"/>
    <w:rsid w:val="00D9242B"/>
    <w:rsid w:val="00D92F3F"/>
    <w:rsid w:val="00D96670"/>
    <w:rsid w:val="00DA13A8"/>
    <w:rsid w:val="00DA3E5C"/>
    <w:rsid w:val="00DA4468"/>
    <w:rsid w:val="00DA48F9"/>
    <w:rsid w:val="00DA4957"/>
    <w:rsid w:val="00DA5EA9"/>
    <w:rsid w:val="00DB0545"/>
    <w:rsid w:val="00DB13EF"/>
    <w:rsid w:val="00DB3E3C"/>
    <w:rsid w:val="00DB67D8"/>
    <w:rsid w:val="00DC10D9"/>
    <w:rsid w:val="00DC2D25"/>
    <w:rsid w:val="00DC3CEC"/>
    <w:rsid w:val="00DC42DD"/>
    <w:rsid w:val="00DC7B7D"/>
    <w:rsid w:val="00DD6BFE"/>
    <w:rsid w:val="00DD6E4C"/>
    <w:rsid w:val="00DD762A"/>
    <w:rsid w:val="00DD79F9"/>
    <w:rsid w:val="00DE0263"/>
    <w:rsid w:val="00DE09E8"/>
    <w:rsid w:val="00DE14FE"/>
    <w:rsid w:val="00DE20E7"/>
    <w:rsid w:val="00DE238A"/>
    <w:rsid w:val="00DE3C2B"/>
    <w:rsid w:val="00DE5832"/>
    <w:rsid w:val="00DE73C2"/>
    <w:rsid w:val="00DF0692"/>
    <w:rsid w:val="00DF32A1"/>
    <w:rsid w:val="00E00E5F"/>
    <w:rsid w:val="00E01CDB"/>
    <w:rsid w:val="00E0267C"/>
    <w:rsid w:val="00E052B5"/>
    <w:rsid w:val="00E0607B"/>
    <w:rsid w:val="00E102F8"/>
    <w:rsid w:val="00E12031"/>
    <w:rsid w:val="00E1580F"/>
    <w:rsid w:val="00E1711E"/>
    <w:rsid w:val="00E2083B"/>
    <w:rsid w:val="00E24659"/>
    <w:rsid w:val="00E24EC4"/>
    <w:rsid w:val="00E25B54"/>
    <w:rsid w:val="00E30D19"/>
    <w:rsid w:val="00E32330"/>
    <w:rsid w:val="00E32A51"/>
    <w:rsid w:val="00E34A0F"/>
    <w:rsid w:val="00E3561D"/>
    <w:rsid w:val="00E35D12"/>
    <w:rsid w:val="00E3743E"/>
    <w:rsid w:val="00E401A6"/>
    <w:rsid w:val="00E40B9E"/>
    <w:rsid w:val="00E45711"/>
    <w:rsid w:val="00E45EEE"/>
    <w:rsid w:val="00E4641C"/>
    <w:rsid w:val="00E47AD8"/>
    <w:rsid w:val="00E514D3"/>
    <w:rsid w:val="00E5225A"/>
    <w:rsid w:val="00E54C5B"/>
    <w:rsid w:val="00E54EED"/>
    <w:rsid w:val="00E55309"/>
    <w:rsid w:val="00E56724"/>
    <w:rsid w:val="00E60251"/>
    <w:rsid w:val="00E61201"/>
    <w:rsid w:val="00E618E2"/>
    <w:rsid w:val="00E6239B"/>
    <w:rsid w:val="00E62CC6"/>
    <w:rsid w:val="00E63A6E"/>
    <w:rsid w:val="00E64B44"/>
    <w:rsid w:val="00E64D4B"/>
    <w:rsid w:val="00E7086D"/>
    <w:rsid w:val="00E74995"/>
    <w:rsid w:val="00E74A19"/>
    <w:rsid w:val="00E801CD"/>
    <w:rsid w:val="00E80D50"/>
    <w:rsid w:val="00E81DE0"/>
    <w:rsid w:val="00E87756"/>
    <w:rsid w:val="00E91D35"/>
    <w:rsid w:val="00E92E3F"/>
    <w:rsid w:val="00E934C3"/>
    <w:rsid w:val="00E938FB"/>
    <w:rsid w:val="00E97641"/>
    <w:rsid w:val="00EA0911"/>
    <w:rsid w:val="00EA1601"/>
    <w:rsid w:val="00EA1818"/>
    <w:rsid w:val="00EA2875"/>
    <w:rsid w:val="00EA439D"/>
    <w:rsid w:val="00EA4A31"/>
    <w:rsid w:val="00EA55FF"/>
    <w:rsid w:val="00EA5AAE"/>
    <w:rsid w:val="00EA5C93"/>
    <w:rsid w:val="00EA73B1"/>
    <w:rsid w:val="00EB4C1A"/>
    <w:rsid w:val="00EB70C9"/>
    <w:rsid w:val="00EB796F"/>
    <w:rsid w:val="00EB7DBF"/>
    <w:rsid w:val="00EC019B"/>
    <w:rsid w:val="00EC1FAB"/>
    <w:rsid w:val="00EC5D4A"/>
    <w:rsid w:val="00EC6BA6"/>
    <w:rsid w:val="00ED0642"/>
    <w:rsid w:val="00ED1873"/>
    <w:rsid w:val="00ED6AAA"/>
    <w:rsid w:val="00ED77D1"/>
    <w:rsid w:val="00ED7E2E"/>
    <w:rsid w:val="00EE41ED"/>
    <w:rsid w:val="00EE42C8"/>
    <w:rsid w:val="00EE483F"/>
    <w:rsid w:val="00EE5E9A"/>
    <w:rsid w:val="00EF01D2"/>
    <w:rsid w:val="00EF1F53"/>
    <w:rsid w:val="00EF1FC9"/>
    <w:rsid w:val="00EF730E"/>
    <w:rsid w:val="00F00049"/>
    <w:rsid w:val="00F02432"/>
    <w:rsid w:val="00F03313"/>
    <w:rsid w:val="00F03DCB"/>
    <w:rsid w:val="00F05680"/>
    <w:rsid w:val="00F10611"/>
    <w:rsid w:val="00F13256"/>
    <w:rsid w:val="00F159FD"/>
    <w:rsid w:val="00F16689"/>
    <w:rsid w:val="00F17EB0"/>
    <w:rsid w:val="00F21CB5"/>
    <w:rsid w:val="00F22BE2"/>
    <w:rsid w:val="00F231BA"/>
    <w:rsid w:val="00F2384B"/>
    <w:rsid w:val="00F26722"/>
    <w:rsid w:val="00F26B3B"/>
    <w:rsid w:val="00F3063C"/>
    <w:rsid w:val="00F315D3"/>
    <w:rsid w:val="00F31755"/>
    <w:rsid w:val="00F322DD"/>
    <w:rsid w:val="00F3259B"/>
    <w:rsid w:val="00F351D4"/>
    <w:rsid w:val="00F379C5"/>
    <w:rsid w:val="00F407AE"/>
    <w:rsid w:val="00F40F47"/>
    <w:rsid w:val="00F41F73"/>
    <w:rsid w:val="00F423AA"/>
    <w:rsid w:val="00F43252"/>
    <w:rsid w:val="00F442B6"/>
    <w:rsid w:val="00F4481F"/>
    <w:rsid w:val="00F45E4B"/>
    <w:rsid w:val="00F45F5C"/>
    <w:rsid w:val="00F46B71"/>
    <w:rsid w:val="00F47652"/>
    <w:rsid w:val="00F4771C"/>
    <w:rsid w:val="00F54732"/>
    <w:rsid w:val="00F54F9A"/>
    <w:rsid w:val="00F553A6"/>
    <w:rsid w:val="00F605DB"/>
    <w:rsid w:val="00F60A7B"/>
    <w:rsid w:val="00F61E90"/>
    <w:rsid w:val="00F637F3"/>
    <w:rsid w:val="00F66641"/>
    <w:rsid w:val="00F66656"/>
    <w:rsid w:val="00F668AA"/>
    <w:rsid w:val="00F66D03"/>
    <w:rsid w:val="00F67324"/>
    <w:rsid w:val="00F72459"/>
    <w:rsid w:val="00F7332C"/>
    <w:rsid w:val="00F74681"/>
    <w:rsid w:val="00F76660"/>
    <w:rsid w:val="00F77A2A"/>
    <w:rsid w:val="00F825EC"/>
    <w:rsid w:val="00F82751"/>
    <w:rsid w:val="00F83C66"/>
    <w:rsid w:val="00F87456"/>
    <w:rsid w:val="00F902C0"/>
    <w:rsid w:val="00F91013"/>
    <w:rsid w:val="00F9218D"/>
    <w:rsid w:val="00F92627"/>
    <w:rsid w:val="00F9381D"/>
    <w:rsid w:val="00F93F92"/>
    <w:rsid w:val="00F9730B"/>
    <w:rsid w:val="00FA035E"/>
    <w:rsid w:val="00FA1D23"/>
    <w:rsid w:val="00FA5D09"/>
    <w:rsid w:val="00FA7439"/>
    <w:rsid w:val="00FB3728"/>
    <w:rsid w:val="00FB4013"/>
    <w:rsid w:val="00FB7782"/>
    <w:rsid w:val="00FB7E1A"/>
    <w:rsid w:val="00FB7FAB"/>
    <w:rsid w:val="00FC1B55"/>
    <w:rsid w:val="00FC5D95"/>
    <w:rsid w:val="00FD0532"/>
    <w:rsid w:val="00FD33EC"/>
    <w:rsid w:val="00FD475B"/>
    <w:rsid w:val="00FE0B3A"/>
    <w:rsid w:val="00FE4233"/>
    <w:rsid w:val="00FE4E8F"/>
    <w:rsid w:val="00FE6D93"/>
    <w:rsid w:val="00FF0AFE"/>
    <w:rsid w:val="00FF1D47"/>
    <w:rsid w:val="00FF2669"/>
    <w:rsid w:val="00FF2BA0"/>
    <w:rsid w:val="00FF3E3D"/>
    <w:rsid w:val="00FF591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C30D3"/>
  <w15:chartTrackingRefBased/>
  <w15:docId w15:val="{DBEA1CD0-8C2F-A946-88FB-D08306341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2097"/>
    <w:pPr>
      <w:spacing w:line="480" w:lineRule="auto"/>
      <w:jc w:val="both"/>
      <w:outlineLvl w:val="0"/>
    </w:pPr>
    <w:rPr>
      <w:rFonts w:ascii="Arial" w:hAnsi="Arial" w:cs="Arial"/>
      <w:b/>
      <w:bCs/>
      <w:sz w:val="24"/>
      <w:szCs w:val="24"/>
      <w:lang w:val="en-US"/>
    </w:rPr>
  </w:style>
  <w:style w:type="paragraph" w:styleId="Heading2">
    <w:name w:val="heading 2"/>
    <w:basedOn w:val="Normal"/>
    <w:link w:val="Heading2Char"/>
    <w:uiPriority w:val="9"/>
    <w:qFormat/>
    <w:rsid w:val="00A37A26"/>
    <w:pPr>
      <w:spacing w:line="480" w:lineRule="auto"/>
      <w:jc w:val="both"/>
      <w:outlineLvl w:val="1"/>
    </w:pPr>
    <w:rPr>
      <w:rFonts w:ascii="Arial" w:hAnsi="Arial" w:cs="Arial"/>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2084"/>
    <w:rPr>
      <w:color w:val="0563C1" w:themeColor="hyperlink"/>
      <w:u w:val="single"/>
    </w:rPr>
  </w:style>
  <w:style w:type="character" w:customStyle="1" w:styleId="1">
    <w:name w:val="확인되지 않은 멘션1"/>
    <w:basedOn w:val="DefaultParagraphFont"/>
    <w:uiPriority w:val="99"/>
    <w:semiHidden/>
    <w:unhideWhenUsed/>
    <w:rsid w:val="00162084"/>
    <w:rPr>
      <w:color w:val="605E5C"/>
      <w:shd w:val="clear" w:color="auto" w:fill="E1DFDD"/>
    </w:rPr>
  </w:style>
  <w:style w:type="character" w:styleId="FollowedHyperlink">
    <w:name w:val="FollowedHyperlink"/>
    <w:basedOn w:val="DefaultParagraphFont"/>
    <w:uiPriority w:val="99"/>
    <w:semiHidden/>
    <w:unhideWhenUsed/>
    <w:rsid w:val="00CC2D2D"/>
    <w:rPr>
      <w:color w:val="954F72" w:themeColor="followedHyperlink"/>
      <w:u w:val="single"/>
    </w:rPr>
  </w:style>
  <w:style w:type="paragraph" w:styleId="Header">
    <w:name w:val="header"/>
    <w:basedOn w:val="Normal"/>
    <w:link w:val="HeaderChar"/>
    <w:uiPriority w:val="99"/>
    <w:unhideWhenUsed/>
    <w:rsid w:val="006B45F1"/>
    <w:pPr>
      <w:tabs>
        <w:tab w:val="center" w:pos="4536"/>
        <w:tab w:val="right" w:pos="9072"/>
      </w:tabs>
    </w:pPr>
  </w:style>
  <w:style w:type="character" w:customStyle="1" w:styleId="HeaderChar">
    <w:name w:val="Header Char"/>
    <w:basedOn w:val="DefaultParagraphFont"/>
    <w:link w:val="Header"/>
    <w:uiPriority w:val="99"/>
    <w:rsid w:val="006B45F1"/>
  </w:style>
  <w:style w:type="paragraph" w:styleId="Footer">
    <w:name w:val="footer"/>
    <w:basedOn w:val="Normal"/>
    <w:link w:val="FooterChar"/>
    <w:uiPriority w:val="99"/>
    <w:unhideWhenUsed/>
    <w:rsid w:val="006B45F1"/>
    <w:pPr>
      <w:tabs>
        <w:tab w:val="center" w:pos="4536"/>
        <w:tab w:val="right" w:pos="9072"/>
      </w:tabs>
    </w:pPr>
  </w:style>
  <w:style w:type="character" w:customStyle="1" w:styleId="FooterChar">
    <w:name w:val="Footer Char"/>
    <w:basedOn w:val="DefaultParagraphFont"/>
    <w:link w:val="Footer"/>
    <w:uiPriority w:val="99"/>
    <w:rsid w:val="006B45F1"/>
  </w:style>
  <w:style w:type="paragraph" w:customStyle="1" w:styleId="Bibliographie1">
    <w:name w:val="Bibliographie1"/>
    <w:basedOn w:val="Normal"/>
    <w:link w:val="BibliographyCar"/>
    <w:rsid w:val="00F159FD"/>
    <w:pPr>
      <w:tabs>
        <w:tab w:val="left" w:pos="380"/>
      </w:tabs>
      <w:spacing w:after="240"/>
      <w:ind w:left="384" w:hanging="384"/>
      <w:jc w:val="both"/>
    </w:pPr>
    <w:rPr>
      <w:rFonts w:ascii="Arial" w:hAnsi="Arial" w:cs="Arial"/>
      <w:sz w:val="24"/>
      <w:szCs w:val="24"/>
      <w:lang w:val="en-US"/>
    </w:rPr>
  </w:style>
  <w:style w:type="character" w:customStyle="1" w:styleId="BibliographyCar">
    <w:name w:val="Bibliography Car"/>
    <w:basedOn w:val="DefaultParagraphFont"/>
    <w:link w:val="Bibliographie1"/>
    <w:rsid w:val="00F159FD"/>
    <w:rPr>
      <w:rFonts w:ascii="Arial" w:hAnsi="Arial" w:cs="Arial"/>
      <w:sz w:val="24"/>
      <w:szCs w:val="24"/>
      <w:lang w:val="en-US"/>
    </w:rPr>
  </w:style>
  <w:style w:type="table" w:customStyle="1" w:styleId="Gitternetztabelle1hell2">
    <w:name w:val="Gitternetztabelle 1 hell2"/>
    <w:basedOn w:val="TableNormal"/>
    <w:uiPriority w:val="46"/>
    <w:rsid w:val="00E32A51"/>
    <w:rPr>
      <w:rFonts w:eastAsiaTheme="minorHAnsi"/>
      <w:lang w:val="de-DE"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ageNumber">
    <w:name w:val="page number"/>
    <w:basedOn w:val="DefaultParagraphFont"/>
    <w:uiPriority w:val="99"/>
    <w:semiHidden/>
    <w:unhideWhenUsed/>
    <w:rsid w:val="00D30993"/>
  </w:style>
  <w:style w:type="table" w:styleId="TableGrid">
    <w:name w:val="Table Grid"/>
    <w:basedOn w:val="TableNormal"/>
    <w:uiPriority w:val="39"/>
    <w:rsid w:val="009543DA"/>
    <w:rPr>
      <w:rFonts w:eastAsiaTheme="minorHAnsi"/>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2083B"/>
    <w:rPr>
      <w:sz w:val="16"/>
      <w:szCs w:val="16"/>
    </w:rPr>
  </w:style>
  <w:style w:type="paragraph" w:styleId="CommentText">
    <w:name w:val="annotation text"/>
    <w:basedOn w:val="Normal"/>
    <w:link w:val="CommentTextChar"/>
    <w:uiPriority w:val="99"/>
    <w:semiHidden/>
    <w:unhideWhenUsed/>
    <w:rsid w:val="00E2083B"/>
    <w:rPr>
      <w:sz w:val="20"/>
      <w:szCs w:val="20"/>
    </w:rPr>
  </w:style>
  <w:style w:type="character" w:customStyle="1" w:styleId="CommentTextChar">
    <w:name w:val="Comment Text Char"/>
    <w:basedOn w:val="DefaultParagraphFont"/>
    <w:link w:val="CommentText"/>
    <w:uiPriority w:val="99"/>
    <w:semiHidden/>
    <w:rsid w:val="00E2083B"/>
    <w:rPr>
      <w:sz w:val="20"/>
      <w:szCs w:val="20"/>
    </w:rPr>
  </w:style>
  <w:style w:type="paragraph" w:styleId="CommentSubject">
    <w:name w:val="annotation subject"/>
    <w:basedOn w:val="CommentText"/>
    <w:next w:val="CommentText"/>
    <w:link w:val="CommentSubjectChar"/>
    <w:uiPriority w:val="99"/>
    <w:semiHidden/>
    <w:unhideWhenUsed/>
    <w:rsid w:val="00E2083B"/>
    <w:rPr>
      <w:b/>
      <w:bCs/>
    </w:rPr>
  </w:style>
  <w:style w:type="character" w:customStyle="1" w:styleId="CommentSubjectChar">
    <w:name w:val="Comment Subject Char"/>
    <w:basedOn w:val="CommentTextChar"/>
    <w:link w:val="CommentSubject"/>
    <w:uiPriority w:val="99"/>
    <w:semiHidden/>
    <w:rsid w:val="00E2083B"/>
    <w:rPr>
      <w:b/>
      <w:bCs/>
      <w:sz w:val="20"/>
      <w:szCs w:val="20"/>
    </w:rPr>
  </w:style>
  <w:style w:type="paragraph" w:styleId="BalloonText">
    <w:name w:val="Balloon Text"/>
    <w:basedOn w:val="Normal"/>
    <w:link w:val="BalloonTextChar"/>
    <w:uiPriority w:val="99"/>
    <w:semiHidden/>
    <w:unhideWhenUsed/>
    <w:rsid w:val="00CA71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71DD"/>
    <w:rPr>
      <w:rFonts w:ascii="Segoe UI" w:hAnsi="Segoe UI" w:cs="Segoe UI"/>
      <w:sz w:val="18"/>
      <w:szCs w:val="18"/>
    </w:rPr>
  </w:style>
  <w:style w:type="paragraph" w:customStyle="1" w:styleId="Bibliographie2">
    <w:name w:val="Bibliographie2"/>
    <w:basedOn w:val="Normal"/>
    <w:link w:val="BibliographyCar1"/>
    <w:rsid w:val="00E6239B"/>
    <w:pPr>
      <w:tabs>
        <w:tab w:val="left" w:pos="500"/>
      </w:tabs>
      <w:spacing w:after="240"/>
      <w:ind w:left="504" w:hanging="504"/>
      <w:jc w:val="both"/>
    </w:pPr>
    <w:rPr>
      <w:rFonts w:ascii="Arial" w:hAnsi="Arial" w:cs="Arial"/>
      <w:sz w:val="24"/>
      <w:szCs w:val="24"/>
      <w:lang w:val="en-US"/>
    </w:rPr>
  </w:style>
  <w:style w:type="character" w:customStyle="1" w:styleId="BibliographyCar1">
    <w:name w:val="Bibliography Car1"/>
    <w:basedOn w:val="DefaultParagraphFont"/>
    <w:link w:val="Bibliographie2"/>
    <w:rsid w:val="00E6239B"/>
    <w:rPr>
      <w:rFonts w:ascii="Arial" w:hAnsi="Arial" w:cs="Arial"/>
      <w:sz w:val="24"/>
      <w:szCs w:val="24"/>
      <w:lang w:val="en-US"/>
    </w:rPr>
  </w:style>
  <w:style w:type="paragraph" w:customStyle="1" w:styleId="Literaturverzeichnis1">
    <w:name w:val="Literaturverzeichnis1"/>
    <w:basedOn w:val="Normal"/>
    <w:link w:val="BibliographyCar2"/>
    <w:rsid w:val="00F67324"/>
    <w:pPr>
      <w:tabs>
        <w:tab w:val="left" w:pos="620"/>
      </w:tabs>
      <w:ind w:left="624" w:hanging="624"/>
      <w:jc w:val="both"/>
    </w:pPr>
    <w:rPr>
      <w:rFonts w:ascii="Arial" w:hAnsi="Arial" w:cs="Arial"/>
      <w:sz w:val="24"/>
      <w:szCs w:val="24"/>
      <w:lang w:val="en-US"/>
    </w:rPr>
  </w:style>
  <w:style w:type="character" w:customStyle="1" w:styleId="BibliographyCar2">
    <w:name w:val="Bibliography Car2"/>
    <w:basedOn w:val="DefaultParagraphFont"/>
    <w:link w:val="Literaturverzeichnis1"/>
    <w:rsid w:val="00F67324"/>
    <w:rPr>
      <w:rFonts w:ascii="Arial" w:hAnsi="Arial" w:cs="Arial"/>
      <w:sz w:val="24"/>
      <w:szCs w:val="24"/>
      <w:lang w:val="en-US"/>
    </w:rPr>
  </w:style>
  <w:style w:type="character" w:styleId="LineNumber">
    <w:name w:val="line number"/>
    <w:basedOn w:val="DefaultParagraphFont"/>
    <w:uiPriority w:val="99"/>
    <w:semiHidden/>
    <w:unhideWhenUsed/>
    <w:rsid w:val="00414D4E"/>
  </w:style>
  <w:style w:type="character" w:customStyle="1" w:styleId="Heading2Char">
    <w:name w:val="Heading 2 Char"/>
    <w:basedOn w:val="DefaultParagraphFont"/>
    <w:link w:val="Heading2"/>
    <w:uiPriority w:val="9"/>
    <w:rsid w:val="00A37A26"/>
    <w:rPr>
      <w:rFonts w:ascii="Arial" w:hAnsi="Arial" w:cs="Arial"/>
      <w:i/>
      <w:iCs/>
      <w:sz w:val="24"/>
      <w:szCs w:val="24"/>
      <w:lang w:val="en-US"/>
    </w:rPr>
  </w:style>
  <w:style w:type="paragraph" w:styleId="NormalWeb">
    <w:name w:val="Normal (Web)"/>
    <w:basedOn w:val="Normal"/>
    <w:uiPriority w:val="99"/>
    <w:semiHidden/>
    <w:unhideWhenUsed/>
    <w:rsid w:val="007408A1"/>
    <w:pPr>
      <w:spacing w:before="100" w:beforeAutospacing="1" w:after="100" w:afterAutospacing="1"/>
    </w:pPr>
    <w:rPr>
      <w:rFonts w:ascii="Times New Roman" w:eastAsia="Times New Roman" w:hAnsi="Times New Roman" w:cs="Times New Roman"/>
      <w:sz w:val="24"/>
      <w:szCs w:val="24"/>
      <w:lang w:val="de-DE" w:eastAsia="de-DE"/>
    </w:rPr>
  </w:style>
  <w:style w:type="character" w:styleId="Strong">
    <w:name w:val="Strong"/>
    <w:basedOn w:val="DefaultParagraphFont"/>
    <w:uiPriority w:val="22"/>
    <w:qFormat/>
    <w:rsid w:val="007408A1"/>
    <w:rPr>
      <w:b/>
      <w:bCs/>
    </w:rPr>
  </w:style>
  <w:style w:type="character" w:styleId="Emphasis">
    <w:name w:val="Emphasis"/>
    <w:basedOn w:val="DefaultParagraphFont"/>
    <w:uiPriority w:val="20"/>
    <w:qFormat/>
    <w:rsid w:val="007408A1"/>
    <w:rPr>
      <w:i/>
      <w:iCs/>
    </w:rPr>
  </w:style>
  <w:style w:type="paragraph" w:styleId="Title">
    <w:name w:val="Title"/>
    <w:basedOn w:val="Normal"/>
    <w:next w:val="Normal"/>
    <w:link w:val="TitleChar"/>
    <w:uiPriority w:val="10"/>
    <w:qFormat/>
    <w:rsid w:val="00862097"/>
    <w:pPr>
      <w:spacing w:line="480" w:lineRule="auto"/>
      <w:jc w:val="center"/>
    </w:pPr>
    <w:rPr>
      <w:rFonts w:ascii="Arial" w:hAnsi="Arial" w:cs="Arial"/>
      <w:b/>
      <w:bCs/>
      <w:sz w:val="24"/>
      <w:szCs w:val="24"/>
      <w:lang w:val="en-US"/>
    </w:rPr>
  </w:style>
  <w:style w:type="character" w:customStyle="1" w:styleId="TitleChar">
    <w:name w:val="Title Char"/>
    <w:basedOn w:val="DefaultParagraphFont"/>
    <w:link w:val="Title"/>
    <w:uiPriority w:val="10"/>
    <w:rsid w:val="00862097"/>
    <w:rPr>
      <w:rFonts w:ascii="Arial" w:hAnsi="Arial" w:cs="Arial"/>
      <w:b/>
      <w:bCs/>
      <w:sz w:val="24"/>
      <w:szCs w:val="24"/>
      <w:lang w:val="en-US"/>
    </w:rPr>
  </w:style>
  <w:style w:type="character" w:customStyle="1" w:styleId="Heading1Char">
    <w:name w:val="Heading 1 Char"/>
    <w:basedOn w:val="DefaultParagraphFont"/>
    <w:link w:val="Heading1"/>
    <w:uiPriority w:val="9"/>
    <w:rsid w:val="00862097"/>
    <w:rPr>
      <w:rFonts w:ascii="Arial" w:hAnsi="Arial" w:cs="Arial"/>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7614">
      <w:bodyDiv w:val="1"/>
      <w:marLeft w:val="0"/>
      <w:marRight w:val="0"/>
      <w:marTop w:val="0"/>
      <w:marBottom w:val="0"/>
      <w:divBdr>
        <w:top w:val="none" w:sz="0" w:space="0" w:color="auto"/>
        <w:left w:val="none" w:sz="0" w:space="0" w:color="auto"/>
        <w:bottom w:val="none" w:sz="0" w:space="0" w:color="auto"/>
        <w:right w:val="none" w:sz="0" w:space="0" w:color="auto"/>
      </w:divBdr>
    </w:div>
    <w:div w:id="86272051">
      <w:bodyDiv w:val="1"/>
      <w:marLeft w:val="0"/>
      <w:marRight w:val="0"/>
      <w:marTop w:val="0"/>
      <w:marBottom w:val="0"/>
      <w:divBdr>
        <w:top w:val="none" w:sz="0" w:space="0" w:color="auto"/>
        <w:left w:val="none" w:sz="0" w:space="0" w:color="auto"/>
        <w:bottom w:val="none" w:sz="0" w:space="0" w:color="auto"/>
        <w:right w:val="none" w:sz="0" w:space="0" w:color="auto"/>
      </w:divBdr>
      <w:divsChild>
        <w:div w:id="690692145">
          <w:marLeft w:val="0"/>
          <w:marRight w:val="0"/>
          <w:marTop w:val="0"/>
          <w:marBottom w:val="0"/>
          <w:divBdr>
            <w:top w:val="none" w:sz="0" w:space="0" w:color="auto"/>
            <w:left w:val="none" w:sz="0" w:space="0" w:color="auto"/>
            <w:bottom w:val="none" w:sz="0" w:space="0" w:color="auto"/>
            <w:right w:val="none" w:sz="0" w:space="0" w:color="auto"/>
          </w:divBdr>
          <w:divsChild>
            <w:div w:id="1208029743">
              <w:marLeft w:val="0"/>
              <w:marRight w:val="0"/>
              <w:marTop w:val="0"/>
              <w:marBottom w:val="0"/>
              <w:divBdr>
                <w:top w:val="none" w:sz="0" w:space="0" w:color="auto"/>
                <w:left w:val="none" w:sz="0" w:space="0" w:color="auto"/>
                <w:bottom w:val="none" w:sz="0" w:space="0" w:color="auto"/>
                <w:right w:val="none" w:sz="0" w:space="0" w:color="auto"/>
              </w:divBdr>
              <w:divsChild>
                <w:div w:id="149687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7817">
      <w:bodyDiv w:val="1"/>
      <w:marLeft w:val="0"/>
      <w:marRight w:val="0"/>
      <w:marTop w:val="0"/>
      <w:marBottom w:val="0"/>
      <w:divBdr>
        <w:top w:val="none" w:sz="0" w:space="0" w:color="auto"/>
        <w:left w:val="none" w:sz="0" w:space="0" w:color="auto"/>
        <w:bottom w:val="none" w:sz="0" w:space="0" w:color="auto"/>
        <w:right w:val="none" w:sz="0" w:space="0" w:color="auto"/>
      </w:divBdr>
    </w:div>
    <w:div w:id="367146480">
      <w:bodyDiv w:val="1"/>
      <w:marLeft w:val="0"/>
      <w:marRight w:val="0"/>
      <w:marTop w:val="0"/>
      <w:marBottom w:val="0"/>
      <w:divBdr>
        <w:top w:val="none" w:sz="0" w:space="0" w:color="auto"/>
        <w:left w:val="none" w:sz="0" w:space="0" w:color="auto"/>
        <w:bottom w:val="none" w:sz="0" w:space="0" w:color="auto"/>
        <w:right w:val="none" w:sz="0" w:space="0" w:color="auto"/>
      </w:divBdr>
    </w:div>
    <w:div w:id="373628011">
      <w:bodyDiv w:val="1"/>
      <w:marLeft w:val="0"/>
      <w:marRight w:val="0"/>
      <w:marTop w:val="0"/>
      <w:marBottom w:val="0"/>
      <w:divBdr>
        <w:top w:val="none" w:sz="0" w:space="0" w:color="auto"/>
        <w:left w:val="none" w:sz="0" w:space="0" w:color="auto"/>
        <w:bottom w:val="none" w:sz="0" w:space="0" w:color="auto"/>
        <w:right w:val="none" w:sz="0" w:space="0" w:color="auto"/>
      </w:divBdr>
    </w:div>
    <w:div w:id="409430705">
      <w:bodyDiv w:val="1"/>
      <w:marLeft w:val="0"/>
      <w:marRight w:val="0"/>
      <w:marTop w:val="0"/>
      <w:marBottom w:val="0"/>
      <w:divBdr>
        <w:top w:val="none" w:sz="0" w:space="0" w:color="auto"/>
        <w:left w:val="none" w:sz="0" w:space="0" w:color="auto"/>
        <w:bottom w:val="none" w:sz="0" w:space="0" w:color="auto"/>
        <w:right w:val="none" w:sz="0" w:space="0" w:color="auto"/>
      </w:divBdr>
    </w:div>
    <w:div w:id="513769327">
      <w:bodyDiv w:val="1"/>
      <w:marLeft w:val="0"/>
      <w:marRight w:val="0"/>
      <w:marTop w:val="0"/>
      <w:marBottom w:val="0"/>
      <w:divBdr>
        <w:top w:val="none" w:sz="0" w:space="0" w:color="auto"/>
        <w:left w:val="none" w:sz="0" w:space="0" w:color="auto"/>
        <w:bottom w:val="none" w:sz="0" w:space="0" w:color="auto"/>
        <w:right w:val="none" w:sz="0" w:space="0" w:color="auto"/>
      </w:divBdr>
    </w:div>
    <w:div w:id="522129760">
      <w:bodyDiv w:val="1"/>
      <w:marLeft w:val="0"/>
      <w:marRight w:val="0"/>
      <w:marTop w:val="0"/>
      <w:marBottom w:val="0"/>
      <w:divBdr>
        <w:top w:val="none" w:sz="0" w:space="0" w:color="auto"/>
        <w:left w:val="none" w:sz="0" w:space="0" w:color="auto"/>
        <w:bottom w:val="none" w:sz="0" w:space="0" w:color="auto"/>
        <w:right w:val="none" w:sz="0" w:space="0" w:color="auto"/>
      </w:divBdr>
    </w:div>
    <w:div w:id="567570972">
      <w:bodyDiv w:val="1"/>
      <w:marLeft w:val="0"/>
      <w:marRight w:val="0"/>
      <w:marTop w:val="0"/>
      <w:marBottom w:val="0"/>
      <w:divBdr>
        <w:top w:val="none" w:sz="0" w:space="0" w:color="auto"/>
        <w:left w:val="none" w:sz="0" w:space="0" w:color="auto"/>
        <w:bottom w:val="none" w:sz="0" w:space="0" w:color="auto"/>
        <w:right w:val="none" w:sz="0" w:space="0" w:color="auto"/>
      </w:divBdr>
    </w:div>
    <w:div w:id="724254744">
      <w:bodyDiv w:val="1"/>
      <w:marLeft w:val="0"/>
      <w:marRight w:val="0"/>
      <w:marTop w:val="0"/>
      <w:marBottom w:val="0"/>
      <w:divBdr>
        <w:top w:val="none" w:sz="0" w:space="0" w:color="auto"/>
        <w:left w:val="none" w:sz="0" w:space="0" w:color="auto"/>
        <w:bottom w:val="none" w:sz="0" w:space="0" w:color="auto"/>
        <w:right w:val="none" w:sz="0" w:space="0" w:color="auto"/>
      </w:divBdr>
    </w:div>
    <w:div w:id="948392985">
      <w:bodyDiv w:val="1"/>
      <w:marLeft w:val="0"/>
      <w:marRight w:val="0"/>
      <w:marTop w:val="0"/>
      <w:marBottom w:val="0"/>
      <w:divBdr>
        <w:top w:val="none" w:sz="0" w:space="0" w:color="auto"/>
        <w:left w:val="none" w:sz="0" w:space="0" w:color="auto"/>
        <w:bottom w:val="none" w:sz="0" w:space="0" w:color="auto"/>
        <w:right w:val="none" w:sz="0" w:space="0" w:color="auto"/>
      </w:divBdr>
    </w:div>
    <w:div w:id="1012799607">
      <w:bodyDiv w:val="1"/>
      <w:marLeft w:val="0"/>
      <w:marRight w:val="0"/>
      <w:marTop w:val="0"/>
      <w:marBottom w:val="0"/>
      <w:divBdr>
        <w:top w:val="none" w:sz="0" w:space="0" w:color="auto"/>
        <w:left w:val="none" w:sz="0" w:space="0" w:color="auto"/>
        <w:bottom w:val="none" w:sz="0" w:space="0" w:color="auto"/>
        <w:right w:val="none" w:sz="0" w:space="0" w:color="auto"/>
      </w:divBdr>
    </w:div>
    <w:div w:id="1189370386">
      <w:bodyDiv w:val="1"/>
      <w:marLeft w:val="0"/>
      <w:marRight w:val="0"/>
      <w:marTop w:val="0"/>
      <w:marBottom w:val="0"/>
      <w:divBdr>
        <w:top w:val="none" w:sz="0" w:space="0" w:color="auto"/>
        <w:left w:val="none" w:sz="0" w:space="0" w:color="auto"/>
        <w:bottom w:val="none" w:sz="0" w:space="0" w:color="auto"/>
        <w:right w:val="none" w:sz="0" w:space="0" w:color="auto"/>
      </w:divBdr>
    </w:div>
    <w:div w:id="1329746701">
      <w:bodyDiv w:val="1"/>
      <w:marLeft w:val="0"/>
      <w:marRight w:val="0"/>
      <w:marTop w:val="0"/>
      <w:marBottom w:val="0"/>
      <w:divBdr>
        <w:top w:val="none" w:sz="0" w:space="0" w:color="auto"/>
        <w:left w:val="none" w:sz="0" w:space="0" w:color="auto"/>
        <w:bottom w:val="none" w:sz="0" w:space="0" w:color="auto"/>
        <w:right w:val="none" w:sz="0" w:space="0" w:color="auto"/>
      </w:divBdr>
    </w:div>
    <w:div w:id="1395007993">
      <w:bodyDiv w:val="1"/>
      <w:marLeft w:val="0"/>
      <w:marRight w:val="0"/>
      <w:marTop w:val="0"/>
      <w:marBottom w:val="0"/>
      <w:divBdr>
        <w:top w:val="none" w:sz="0" w:space="0" w:color="auto"/>
        <w:left w:val="none" w:sz="0" w:space="0" w:color="auto"/>
        <w:bottom w:val="none" w:sz="0" w:space="0" w:color="auto"/>
        <w:right w:val="none" w:sz="0" w:space="0" w:color="auto"/>
      </w:divBdr>
    </w:div>
    <w:div w:id="1407604381">
      <w:bodyDiv w:val="1"/>
      <w:marLeft w:val="0"/>
      <w:marRight w:val="0"/>
      <w:marTop w:val="0"/>
      <w:marBottom w:val="0"/>
      <w:divBdr>
        <w:top w:val="none" w:sz="0" w:space="0" w:color="auto"/>
        <w:left w:val="none" w:sz="0" w:space="0" w:color="auto"/>
        <w:bottom w:val="none" w:sz="0" w:space="0" w:color="auto"/>
        <w:right w:val="none" w:sz="0" w:space="0" w:color="auto"/>
      </w:divBdr>
    </w:div>
    <w:div w:id="1617523360">
      <w:bodyDiv w:val="1"/>
      <w:marLeft w:val="0"/>
      <w:marRight w:val="0"/>
      <w:marTop w:val="0"/>
      <w:marBottom w:val="0"/>
      <w:divBdr>
        <w:top w:val="none" w:sz="0" w:space="0" w:color="auto"/>
        <w:left w:val="none" w:sz="0" w:space="0" w:color="auto"/>
        <w:bottom w:val="none" w:sz="0" w:space="0" w:color="auto"/>
        <w:right w:val="none" w:sz="0" w:space="0" w:color="auto"/>
      </w:divBdr>
    </w:div>
    <w:div w:id="1667780361">
      <w:bodyDiv w:val="1"/>
      <w:marLeft w:val="0"/>
      <w:marRight w:val="0"/>
      <w:marTop w:val="0"/>
      <w:marBottom w:val="0"/>
      <w:divBdr>
        <w:top w:val="none" w:sz="0" w:space="0" w:color="auto"/>
        <w:left w:val="none" w:sz="0" w:space="0" w:color="auto"/>
        <w:bottom w:val="none" w:sz="0" w:space="0" w:color="auto"/>
        <w:right w:val="none" w:sz="0" w:space="0" w:color="auto"/>
      </w:divBdr>
    </w:div>
    <w:div w:id="1701929754">
      <w:bodyDiv w:val="1"/>
      <w:marLeft w:val="0"/>
      <w:marRight w:val="0"/>
      <w:marTop w:val="0"/>
      <w:marBottom w:val="0"/>
      <w:divBdr>
        <w:top w:val="none" w:sz="0" w:space="0" w:color="auto"/>
        <w:left w:val="none" w:sz="0" w:space="0" w:color="auto"/>
        <w:bottom w:val="none" w:sz="0" w:space="0" w:color="auto"/>
        <w:right w:val="none" w:sz="0" w:space="0" w:color="auto"/>
      </w:divBdr>
    </w:div>
    <w:div w:id="1729645247">
      <w:bodyDiv w:val="1"/>
      <w:marLeft w:val="0"/>
      <w:marRight w:val="0"/>
      <w:marTop w:val="0"/>
      <w:marBottom w:val="0"/>
      <w:divBdr>
        <w:top w:val="none" w:sz="0" w:space="0" w:color="auto"/>
        <w:left w:val="none" w:sz="0" w:space="0" w:color="auto"/>
        <w:bottom w:val="none" w:sz="0" w:space="0" w:color="auto"/>
        <w:right w:val="none" w:sz="0" w:space="0" w:color="auto"/>
      </w:divBdr>
    </w:div>
    <w:div w:id="2067414637">
      <w:bodyDiv w:val="1"/>
      <w:marLeft w:val="0"/>
      <w:marRight w:val="0"/>
      <w:marTop w:val="0"/>
      <w:marBottom w:val="0"/>
      <w:divBdr>
        <w:top w:val="none" w:sz="0" w:space="0" w:color="auto"/>
        <w:left w:val="none" w:sz="0" w:space="0" w:color="auto"/>
        <w:bottom w:val="none" w:sz="0" w:space="0" w:color="auto"/>
        <w:right w:val="none" w:sz="0" w:space="0" w:color="auto"/>
      </w:divBdr>
    </w:div>
    <w:div w:id="2097625824">
      <w:bodyDiv w:val="1"/>
      <w:marLeft w:val="0"/>
      <w:marRight w:val="0"/>
      <w:marTop w:val="0"/>
      <w:marBottom w:val="0"/>
      <w:divBdr>
        <w:top w:val="none" w:sz="0" w:space="0" w:color="auto"/>
        <w:left w:val="none" w:sz="0" w:space="0" w:color="auto"/>
        <w:bottom w:val="none" w:sz="0" w:space="0" w:color="auto"/>
        <w:right w:val="none" w:sz="0" w:space="0" w:color="auto"/>
      </w:divBdr>
      <w:divsChild>
        <w:div w:id="769590710">
          <w:marLeft w:val="0"/>
          <w:marRight w:val="0"/>
          <w:marTop w:val="0"/>
          <w:marBottom w:val="0"/>
          <w:divBdr>
            <w:top w:val="none" w:sz="0" w:space="0" w:color="auto"/>
            <w:left w:val="none" w:sz="0" w:space="0" w:color="auto"/>
            <w:bottom w:val="none" w:sz="0" w:space="0" w:color="auto"/>
            <w:right w:val="none" w:sz="0" w:space="0" w:color="auto"/>
          </w:divBdr>
        </w:div>
      </w:divsChild>
    </w:div>
    <w:div w:id="211493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el.kostev@iqvia.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2.emf"/><Relationship Id="rId4" Type="http://schemas.openxmlformats.org/officeDocument/2006/relationships/footnotes" Target="footnote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25</Pages>
  <Words>24001</Words>
  <Characters>136808</Characters>
  <Application>Microsoft Office Word</Application>
  <DocSecurity>0</DocSecurity>
  <Lines>1140</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Jacob</dc:creator>
  <cp:keywords/>
  <dc:description/>
  <cp:lastModifiedBy>Blanshard, Lisa</cp:lastModifiedBy>
  <cp:revision>4</cp:revision>
  <dcterms:created xsi:type="dcterms:W3CDTF">2021-11-19T16:02:00Z</dcterms:created>
  <dcterms:modified xsi:type="dcterms:W3CDTF">2021-11-22T09:47:00Z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id="mI3GKbjH"/&gt;&lt;style id="http://www.zotero.org/styles/journal-of-alzheimers-disease" hasBibliography="1" bibliographyStyleHasBeenSet="1"/&gt;&lt;prefs&gt;&lt;pref name="fieldType" value="Field"/&gt;&lt;/prefs&gt;&lt;/dat</vt:lpwstr>
  </property>
  <property fmtid="{D5CDD505-2E9C-101B-9397-08002B2CF9AE}" pid="3" name="ZOTERO_PREF_2">
    <vt:lpwstr>a&gt;</vt:lpwstr>
  </property>
</Properties>
</file>