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4BF2A" w14:textId="6A766CC8" w:rsidR="00257DD2" w:rsidRPr="001B20BA" w:rsidRDefault="00257DD2" w:rsidP="001B20BA">
      <w:pPr>
        <w:pStyle w:val="Title"/>
        <w:rPr>
          <w:b w:val="0"/>
          <w:bCs/>
        </w:rPr>
      </w:pPr>
      <w:r w:rsidRPr="001B20BA">
        <w:t xml:space="preserve">Title: </w:t>
      </w:r>
      <w:r w:rsidR="0091107E" w:rsidRPr="001B20BA">
        <w:rPr>
          <w:b w:val="0"/>
          <w:bCs/>
        </w:rPr>
        <w:t xml:space="preserve">Anxiety symptoms among </w:t>
      </w:r>
      <w:r w:rsidR="00A94C09" w:rsidRPr="001B20BA">
        <w:rPr>
          <w:b w:val="0"/>
          <w:bCs/>
        </w:rPr>
        <w:t xml:space="preserve">informal </w:t>
      </w:r>
      <w:r w:rsidR="0091107E" w:rsidRPr="001B20BA">
        <w:rPr>
          <w:b w:val="0"/>
          <w:bCs/>
        </w:rPr>
        <w:t>caregivers in 47 low- and middle-income countries</w:t>
      </w:r>
      <w:r w:rsidR="003F6FAE" w:rsidRPr="001B20BA">
        <w:rPr>
          <w:b w:val="0"/>
          <w:bCs/>
        </w:rPr>
        <w:t>: a cross-sectional analysis of community-based surveys</w:t>
      </w:r>
    </w:p>
    <w:p w14:paraId="5C382A11" w14:textId="77777777" w:rsidR="00EB4F48" w:rsidRDefault="00EB4F48" w:rsidP="0091107E">
      <w:pPr>
        <w:spacing w:line="480" w:lineRule="auto"/>
      </w:pPr>
    </w:p>
    <w:p w14:paraId="3B082BB9" w14:textId="77777777" w:rsidR="00EB4F48" w:rsidRDefault="00EB4F48" w:rsidP="00EB4F48">
      <w:pPr>
        <w:spacing w:line="480" w:lineRule="auto"/>
        <w:rPr>
          <w:vertAlign w:val="superscript"/>
        </w:rPr>
      </w:pPr>
      <w:r>
        <w:t>Lee Smith</w:t>
      </w:r>
      <w:r w:rsidRPr="003F29B9">
        <w:rPr>
          <w:vertAlign w:val="superscript"/>
        </w:rPr>
        <w:t>1</w:t>
      </w:r>
      <w:r>
        <w:t>, Jae Il Shin</w:t>
      </w:r>
      <w:r w:rsidRPr="003F29B9">
        <w:rPr>
          <w:vertAlign w:val="superscript"/>
        </w:rPr>
        <w:t>2</w:t>
      </w:r>
      <w:r>
        <w:t xml:space="preserve">, Hans </w:t>
      </w:r>
      <w:r w:rsidRPr="001D119A">
        <w:t>Oh</w:t>
      </w:r>
      <w:r w:rsidRPr="001D119A">
        <w:rPr>
          <w:vertAlign w:val="superscript"/>
        </w:rPr>
        <w:t>3</w:t>
      </w:r>
      <w:r w:rsidRPr="001D119A">
        <w:t xml:space="preserve">, </w:t>
      </w:r>
      <w:r>
        <w:t xml:space="preserve">Guillermo F. </w:t>
      </w:r>
      <w:r w:rsidRPr="001D119A">
        <w:t>López Sánchez</w:t>
      </w:r>
      <w:r w:rsidRPr="001D119A">
        <w:rPr>
          <w:vertAlign w:val="superscript"/>
        </w:rPr>
        <w:t>4</w:t>
      </w:r>
      <w:r>
        <w:t>*</w:t>
      </w:r>
      <w:r w:rsidRPr="001D119A">
        <w:t>, Benjamin</w:t>
      </w:r>
      <w:r>
        <w:t xml:space="preserve"> Underwood</w:t>
      </w:r>
      <w:r>
        <w:rPr>
          <w:vertAlign w:val="superscript"/>
        </w:rPr>
        <w:t>5</w:t>
      </w:r>
      <w:r>
        <w:t>, Louis Jacob</w:t>
      </w:r>
      <w:r>
        <w:rPr>
          <w:vertAlign w:val="superscript"/>
        </w:rPr>
        <w:t>6,7</w:t>
      </w:r>
      <w:r>
        <w:t>, Nicola Veronese</w:t>
      </w:r>
      <w:r>
        <w:rPr>
          <w:vertAlign w:val="superscript"/>
        </w:rPr>
        <w:t>8</w:t>
      </w:r>
      <w:r>
        <w:t>, Pinar Soysal</w:t>
      </w:r>
      <w:r>
        <w:rPr>
          <w:vertAlign w:val="superscript"/>
        </w:rPr>
        <w:t>9</w:t>
      </w:r>
      <w:r>
        <w:t>, Laurie Butler</w:t>
      </w:r>
      <w:r w:rsidRPr="00203207">
        <w:rPr>
          <w:vertAlign w:val="superscript"/>
        </w:rPr>
        <w:t>1</w:t>
      </w:r>
      <w:r>
        <w:t>, Yvonne Barnett</w:t>
      </w:r>
      <w:r w:rsidRPr="00203207">
        <w:rPr>
          <w:vertAlign w:val="superscript"/>
        </w:rPr>
        <w:t>1</w:t>
      </w:r>
      <w:r>
        <w:t>, Mark A. Tully</w:t>
      </w:r>
      <w:r>
        <w:rPr>
          <w:vertAlign w:val="superscript"/>
        </w:rPr>
        <w:t>10</w:t>
      </w:r>
      <w:r>
        <w:t>, Ai Koyanagi</w:t>
      </w:r>
      <w:r>
        <w:rPr>
          <w:vertAlign w:val="superscript"/>
        </w:rPr>
        <w:t>6,11</w:t>
      </w:r>
    </w:p>
    <w:p w14:paraId="43821C18" w14:textId="77777777" w:rsidR="00EB4F48" w:rsidRDefault="00EB4F48" w:rsidP="00EB4F48">
      <w:pPr>
        <w:spacing w:line="360" w:lineRule="auto"/>
        <w:rPr>
          <w:vertAlign w:val="superscript"/>
        </w:rPr>
      </w:pPr>
    </w:p>
    <w:p w14:paraId="717C8DEC" w14:textId="77777777" w:rsidR="00EB4F48" w:rsidRPr="00BD3467" w:rsidRDefault="00EB4F48" w:rsidP="00EB4F48">
      <w:pPr>
        <w:pStyle w:val="ListParagraph"/>
        <w:numPr>
          <w:ilvl w:val="0"/>
          <w:numId w:val="5"/>
        </w:numPr>
        <w:spacing w:line="360" w:lineRule="auto"/>
        <w:rPr>
          <w:rFonts w:ascii="Times New Roman" w:hAnsi="Times New Roman" w:cs="Times New Roman"/>
          <w:sz w:val="24"/>
          <w:szCs w:val="24"/>
        </w:rPr>
      </w:pPr>
      <w:r w:rsidRPr="00BD3467">
        <w:rPr>
          <w:rFonts w:ascii="Times New Roman" w:hAnsi="Times New Roman" w:cs="Times New Roman"/>
          <w:sz w:val="24"/>
          <w:szCs w:val="24"/>
        </w:rPr>
        <w:t>Cambridge Centre for Health, Performance, and Wellbeing, Anglia Ruskin University, Cambridge</w:t>
      </w:r>
      <w:r>
        <w:rPr>
          <w:rFonts w:ascii="Times New Roman" w:hAnsi="Times New Roman" w:cs="Times New Roman"/>
          <w:sz w:val="24"/>
          <w:szCs w:val="24"/>
        </w:rPr>
        <w:t>,</w:t>
      </w:r>
      <w:r w:rsidRPr="00BD3467">
        <w:rPr>
          <w:rFonts w:ascii="Times New Roman" w:hAnsi="Times New Roman" w:cs="Times New Roman"/>
          <w:sz w:val="24"/>
          <w:szCs w:val="24"/>
        </w:rPr>
        <w:t xml:space="preserve"> UK</w:t>
      </w:r>
      <w:r>
        <w:rPr>
          <w:rFonts w:ascii="Times New Roman" w:hAnsi="Times New Roman" w:cs="Times New Roman"/>
          <w:sz w:val="24"/>
          <w:szCs w:val="24"/>
        </w:rPr>
        <w:t>.</w:t>
      </w:r>
    </w:p>
    <w:p w14:paraId="525D8255" w14:textId="77777777" w:rsidR="00EB4F48" w:rsidRPr="00BD3467" w:rsidRDefault="00EB4F48" w:rsidP="00EB4F48">
      <w:pPr>
        <w:pStyle w:val="ListParagraph"/>
        <w:numPr>
          <w:ilvl w:val="0"/>
          <w:numId w:val="5"/>
        </w:numPr>
        <w:spacing w:line="360" w:lineRule="auto"/>
        <w:rPr>
          <w:rFonts w:ascii="Times New Roman" w:hAnsi="Times New Roman" w:cs="Times New Roman"/>
          <w:sz w:val="24"/>
          <w:szCs w:val="24"/>
        </w:rPr>
      </w:pPr>
      <w:r w:rsidRPr="00BD3467">
        <w:rPr>
          <w:rFonts w:ascii="Times New Roman" w:hAnsi="Times New Roman" w:cs="Times New Roman"/>
          <w:sz w:val="24"/>
          <w:szCs w:val="24"/>
        </w:rPr>
        <w:t>Department of Pediatrics, Yonsei University College of Medicine, Seoul, Republic of Korea.</w:t>
      </w:r>
    </w:p>
    <w:p w14:paraId="685DCA6C" w14:textId="77777777" w:rsidR="00EB4F48" w:rsidRDefault="00EB4F48" w:rsidP="00EB4F48">
      <w:pPr>
        <w:pStyle w:val="ListParagraph"/>
        <w:numPr>
          <w:ilvl w:val="0"/>
          <w:numId w:val="5"/>
        </w:numPr>
        <w:spacing w:line="360" w:lineRule="auto"/>
        <w:rPr>
          <w:rFonts w:ascii="Times New Roman" w:hAnsi="Times New Roman" w:cs="Times New Roman"/>
          <w:sz w:val="24"/>
          <w:szCs w:val="24"/>
        </w:rPr>
      </w:pPr>
      <w:r w:rsidRPr="00BD3467">
        <w:rPr>
          <w:rFonts w:ascii="Times New Roman" w:hAnsi="Times New Roman" w:cs="Times New Roman"/>
          <w:sz w:val="24"/>
          <w:szCs w:val="24"/>
        </w:rPr>
        <w:t xml:space="preserve">Suzanne </w:t>
      </w:r>
      <w:proofErr w:type="spellStart"/>
      <w:r w:rsidRPr="00BD3467">
        <w:rPr>
          <w:rFonts w:ascii="Times New Roman" w:hAnsi="Times New Roman" w:cs="Times New Roman"/>
          <w:sz w:val="24"/>
          <w:szCs w:val="24"/>
        </w:rPr>
        <w:t>Dworak</w:t>
      </w:r>
      <w:proofErr w:type="spellEnd"/>
      <w:r w:rsidRPr="00BD3467">
        <w:rPr>
          <w:rFonts w:ascii="Times New Roman" w:hAnsi="Times New Roman" w:cs="Times New Roman"/>
          <w:sz w:val="24"/>
          <w:szCs w:val="24"/>
        </w:rPr>
        <w:t xml:space="preserve"> Peck School of Social Work, University of Southern California, Los Angeles, CA 90007, USA</w:t>
      </w:r>
      <w:r>
        <w:rPr>
          <w:rFonts w:ascii="Times New Roman" w:hAnsi="Times New Roman" w:cs="Times New Roman"/>
          <w:sz w:val="24"/>
          <w:szCs w:val="24"/>
        </w:rPr>
        <w:t>.</w:t>
      </w:r>
    </w:p>
    <w:p w14:paraId="712B7F60" w14:textId="77777777" w:rsidR="00EB4F48" w:rsidRPr="001D119A" w:rsidRDefault="00EB4F48" w:rsidP="00EB4F48">
      <w:pPr>
        <w:pStyle w:val="ListParagraph"/>
        <w:numPr>
          <w:ilvl w:val="0"/>
          <w:numId w:val="5"/>
        </w:numPr>
        <w:spacing w:line="360" w:lineRule="auto"/>
        <w:rPr>
          <w:rFonts w:ascii="Times New Roman" w:hAnsi="Times New Roman" w:cs="Times New Roman"/>
          <w:sz w:val="24"/>
          <w:szCs w:val="24"/>
        </w:rPr>
      </w:pPr>
      <w:r w:rsidRPr="001D119A">
        <w:rPr>
          <w:rFonts w:ascii="Times New Roman" w:hAnsi="Times New Roman" w:cs="Times New Roman"/>
          <w:sz w:val="24"/>
          <w:szCs w:val="24"/>
        </w:rPr>
        <w:t xml:space="preserve">Vision and Eye Research Institute, School of Medicine, Faculty of Health, Education, Medicine and Social Care, Anglia Ruskin University, Cambridge, UK. </w:t>
      </w:r>
    </w:p>
    <w:p w14:paraId="2CC28687" w14:textId="77777777" w:rsidR="00EB4F48" w:rsidRPr="00BD3467" w:rsidRDefault="00EB4F48" w:rsidP="00EB4F48">
      <w:pPr>
        <w:pStyle w:val="ListParagraph"/>
        <w:numPr>
          <w:ilvl w:val="0"/>
          <w:numId w:val="5"/>
        </w:numPr>
        <w:spacing w:line="360" w:lineRule="auto"/>
        <w:rPr>
          <w:rFonts w:ascii="Times New Roman" w:hAnsi="Times New Roman" w:cs="Times New Roman"/>
          <w:sz w:val="24"/>
          <w:szCs w:val="24"/>
        </w:rPr>
      </w:pPr>
      <w:proofErr w:type="spellStart"/>
      <w:r w:rsidRPr="00BD3467">
        <w:rPr>
          <w:rFonts w:ascii="Times New Roman" w:hAnsi="Times New Roman" w:cs="Times New Roman"/>
          <w:sz w:val="24"/>
          <w:szCs w:val="24"/>
        </w:rPr>
        <w:t>Cambridgeshire</w:t>
      </w:r>
      <w:proofErr w:type="spellEnd"/>
      <w:r w:rsidRPr="00BD3467">
        <w:rPr>
          <w:rFonts w:ascii="Times New Roman" w:hAnsi="Times New Roman" w:cs="Times New Roman"/>
          <w:sz w:val="24"/>
          <w:szCs w:val="24"/>
        </w:rPr>
        <w:t xml:space="preserve"> and Peterborough NHS Foundation Trust, The </w:t>
      </w:r>
      <w:proofErr w:type="spellStart"/>
      <w:r w:rsidRPr="00BD3467">
        <w:rPr>
          <w:rFonts w:ascii="Times New Roman" w:hAnsi="Times New Roman" w:cs="Times New Roman"/>
          <w:sz w:val="24"/>
          <w:szCs w:val="24"/>
        </w:rPr>
        <w:t>Gnodde</w:t>
      </w:r>
      <w:proofErr w:type="spellEnd"/>
      <w:r w:rsidRPr="00BD3467">
        <w:rPr>
          <w:rFonts w:ascii="Times New Roman" w:hAnsi="Times New Roman" w:cs="Times New Roman"/>
          <w:sz w:val="24"/>
          <w:szCs w:val="24"/>
        </w:rPr>
        <w:t xml:space="preserve"> Goldman Sachs Translational Neuroscience Unit, University of Cambridge, Cambridge, UK</w:t>
      </w:r>
      <w:r>
        <w:rPr>
          <w:rFonts w:ascii="Times New Roman" w:hAnsi="Times New Roman" w:cs="Times New Roman"/>
          <w:sz w:val="24"/>
          <w:szCs w:val="24"/>
        </w:rPr>
        <w:t>.</w:t>
      </w:r>
    </w:p>
    <w:p w14:paraId="3DAFBE3D" w14:textId="77777777" w:rsidR="00EB4F48" w:rsidRPr="00BD3467" w:rsidRDefault="00EB4F48" w:rsidP="00EB4F48">
      <w:pPr>
        <w:pStyle w:val="ListParagraph"/>
        <w:numPr>
          <w:ilvl w:val="0"/>
          <w:numId w:val="5"/>
        </w:numPr>
        <w:spacing w:line="360" w:lineRule="auto"/>
        <w:rPr>
          <w:rFonts w:ascii="Times New Roman" w:hAnsi="Times New Roman" w:cs="Times New Roman"/>
          <w:sz w:val="24"/>
          <w:szCs w:val="24"/>
        </w:rPr>
      </w:pPr>
      <w:r w:rsidRPr="00BD3467">
        <w:rPr>
          <w:rFonts w:ascii="Times New Roman" w:hAnsi="Times New Roman" w:cs="Times New Roman"/>
          <w:sz w:val="24"/>
          <w:szCs w:val="24"/>
        </w:rPr>
        <w:t xml:space="preserve">Research and Development Unit, Parc </w:t>
      </w:r>
      <w:proofErr w:type="spellStart"/>
      <w:r w:rsidRPr="00BD3467">
        <w:rPr>
          <w:rFonts w:ascii="Times New Roman" w:hAnsi="Times New Roman" w:cs="Times New Roman"/>
          <w:sz w:val="24"/>
          <w:szCs w:val="24"/>
        </w:rPr>
        <w:t>Sanitari</w:t>
      </w:r>
      <w:proofErr w:type="spellEnd"/>
      <w:r w:rsidRPr="00BD3467">
        <w:rPr>
          <w:rFonts w:ascii="Times New Roman" w:hAnsi="Times New Roman" w:cs="Times New Roman"/>
          <w:sz w:val="24"/>
          <w:szCs w:val="24"/>
        </w:rPr>
        <w:t xml:space="preserve"> Sant Joan de </w:t>
      </w:r>
      <w:proofErr w:type="spellStart"/>
      <w:r w:rsidRPr="00BD3467">
        <w:rPr>
          <w:rFonts w:ascii="Times New Roman" w:hAnsi="Times New Roman" w:cs="Times New Roman"/>
          <w:sz w:val="24"/>
          <w:szCs w:val="24"/>
        </w:rPr>
        <w:t>Déu</w:t>
      </w:r>
      <w:proofErr w:type="spellEnd"/>
      <w:r w:rsidRPr="00BD3467">
        <w:rPr>
          <w:rFonts w:ascii="Times New Roman" w:hAnsi="Times New Roman" w:cs="Times New Roman"/>
          <w:sz w:val="24"/>
          <w:szCs w:val="24"/>
        </w:rPr>
        <w:t xml:space="preserve">, CIBERSAM, Dr. Antoni Pujadas, 42, Sant </w:t>
      </w:r>
      <w:proofErr w:type="spellStart"/>
      <w:r w:rsidRPr="00BD3467">
        <w:rPr>
          <w:rFonts w:ascii="Times New Roman" w:hAnsi="Times New Roman" w:cs="Times New Roman"/>
          <w:sz w:val="24"/>
          <w:szCs w:val="24"/>
        </w:rPr>
        <w:t>Boi</w:t>
      </w:r>
      <w:proofErr w:type="spellEnd"/>
      <w:r w:rsidRPr="00BD3467">
        <w:rPr>
          <w:rFonts w:ascii="Times New Roman" w:hAnsi="Times New Roman" w:cs="Times New Roman"/>
          <w:sz w:val="24"/>
          <w:szCs w:val="24"/>
        </w:rPr>
        <w:t xml:space="preserve"> de </w:t>
      </w:r>
      <w:proofErr w:type="spellStart"/>
      <w:r w:rsidRPr="00BD3467">
        <w:rPr>
          <w:rFonts w:ascii="Times New Roman" w:hAnsi="Times New Roman" w:cs="Times New Roman"/>
          <w:sz w:val="24"/>
          <w:szCs w:val="24"/>
        </w:rPr>
        <w:t>Llobregat</w:t>
      </w:r>
      <w:proofErr w:type="spellEnd"/>
      <w:r w:rsidRPr="00BD3467">
        <w:rPr>
          <w:rFonts w:ascii="Times New Roman" w:hAnsi="Times New Roman" w:cs="Times New Roman"/>
          <w:sz w:val="24"/>
          <w:szCs w:val="24"/>
        </w:rPr>
        <w:t>, Barcelona 08830, Barcelona, Spain</w:t>
      </w:r>
      <w:r>
        <w:rPr>
          <w:rFonts w:ascii="Times New Roman" w:hAnsi="Times New Roman" w:cs="Times New Roman"/>
          <w:sz w:val="24"/>
          <w:szCs w:val="24"/>
        </w:rPr>
        <w:t>.</w:t>
      </w:r>
    </w:p>
    <w:p w14:paraId="1A21F1CB" w14:textId="77777777" w:rsidR="00EB4F48" w:rsidRPr="00BD3467" w:rsidRDefault="00EB4F48" w:rsidP="00EB4F48">
      <w:pPr>
        <w:pStyle w:val="ListParagraph"/>
        <w:numPr>
          <w:ilvl w:val="0"/>
          <w:numId w:val="5"/>
        </w:numPr>
        <w:spacing w:line="360" w:lineRule="auto"/>
        <w:rPr>
          <w:rFonts w:ascii="Times New Roman" w:hAnsi="Times New Roman" w:cs="Times New Roman"/>
          <w:sz w:val="24"/>
          <w:szCs w:val="24"/>
        </w:rPr>
      </w:pPr>
      <w:r w:rsidRPr="00BD3467">
        <w:rPr>
          <w:rFonts w:ascii="Times New Roman" w:hAnsi="Times New Roman" w:cs="Times New Roman"/>
          <w:sz w:val="24"/>
          <w:szCs w:val="24"/>
        </w:rPr>
        <w:t>Faculty of Medicine, University of Versailles Saint-Quentin-</w:t>
      </w:r>
      <w:proofErr w:type="spellStart"/>
      <w:r w:rsidRPr="00BD3467">
        <w:rPr>
          <w:rFonts w:ascii="Times New Roman" w:hAnsi="Times New Roman" w:cs="Times New Roman"/>
          <w:sz w:val="24"/>
          <w:szCs w:val="24"/>
        </w:rPr>
        <w:t>en</w:t>
      </w:r>
      <w:proofErr w:type="spellEnd"/>
      <w:r w:rsidRPr="00BD3467">
        <w:rPr>
          <w:rFonts w:ascii="Times New Roman" w:hAnsi="Times New Roman" w:cs="Times New Roman"/>
          <w:sz w:val="24"/>
          <w:szCs w:val="24"/>
        </w:rPr>
        <w:t>-Yvelines, 78000 Versailles, France</w:t>
      </w:r>
      <w:r>
        <w:rPr>
          <w:rFonts w:ascii="Times New Roman" w:hAnsi="Times New Roman" w:cs="Times New Roman"/>
          <w:sz w:val="24"/>
          <w:szCs w:val="24"/>
        </w:rPr>
        <w:t>.</w:t>
      </w:r>
    </w:p>
    <w:p w14:paraId="2345C51A" w14:textId="77777777" w:rsidR="00EB4F48" w:rsidRPr="00BD3467" w:rsidRDefault="00EB4F48" w:rsidP="00EB4F48">
      <w:pPr>
        <w:pStyle w:val="ListParagraph"/>
        <w:numPr>
          <w:ilvl w:val="0"/>
          <w:numId w:val="5"/>
        </w:numPr>
        <w:spacing w:line="360" w:lineRule="auto"/>
        <w:rPr>
          <w:rFonts w:ascii="Times New Roman" w:hAnsi="Times New Roman" w:cs="Times New Roman"/>
          <w:sz w:val="24"/>
          <w:szCs w:val="24"/>
        </w:rPr>
      </w:pPr>
      <w:r w:rsidRPr="00BD3467">
        <w:rPr>
          <w:rFonts w:ascii="Times New Roman" w:hAnsi="Times New Roman" w:cs="Times New Roman"/>
          <w:sz w:val="24"/>
          <w:szCs w:val="24"/>
        </w:rPr>
        <w:t>Department of Internal Medicine and Geriatrics, University of Palermo, 90133 Palermo, Italy</w:t>
      </w:r>
      <w:r>
        <w:rPr>
          <w:rFonts w:ascii="Times New Roman" w:hAnsi="Times New Roman" w:cs="Times New Roman"/>
          <w:sz w:val="24"/>
          <w:szCs w:val="24"/>
        </w:rPr>
        <w:t>.</w:t>
      </w:r>
    </w:p>
    <w:p w14:paraId="46A72D71" w14:textId="77777777" w:rsidR="00EB4F48" w:rsidRPr="00BD3467" w:rsidRDefault="00EB4F48" w:rsidP="00EB4F48">
      <w:pPr>
        <w:pStyle w:val="ListParagraph"/>
        <w:numPr>
          <w:ilvl w:val="0"/>
          <w:numId w:val="5"/>
        </w:numPr>
        <w:spacing w:line="360" w:lineRule="auto"/>
        <w:rPr>
          <w:rFonts w:ascii="Times New Roman" w:hAnsi="Times New Roman" w:cs="Times New Roman"/>
          <w:sz w:val="24"/>
          <w:szCs w:val="24"/>
        </w:rPr>
      </w:pPr>
      <w:r w:rsidRPr="00BD3467">
        <w:rPr>
          <w:rFonts w:ascii="Times New Roman" w:hAnsi="Times New Roman" w:cs="Times New Roman"/>
          <w:sz w:val="24"/>
          <w:szCs w:val="24"/>
        </w:rPr>
        <w:t xml:space="preserve">Department of Geriatric Medicine, </w:t>
      </w:r>
      <w:proofErr w:type="spellStart"/>
      <w:r w:rsidRPr="00BD3467">
        <w:rPr>
          <w:rFonts w:ascii="Times New Roman" w:hAnsi="Times New Roman" w:cs="Times New Roman"/>
          <w:sz w:val="24"/>
          <w:szCs w:val="24"/>
        </w:rPr>
        <w:t>Bezmialem</w:t>
      </w:r>
      <w:proofErr w:type="spellEnd"/>
      <w:r w:rsidRPr="00BD3467">
        <w:rPr>
          <w:rFonts w:ascii="Times New Roman" w:hAnsi="Times New Roman" w:cs="Times New Roman"/>
          <w:sz w:val="24"/>
          <w:szCs w:val="24"/>
        </w:rPr>
        <w:t xml:space="preserve"> </w:t>
      </w:r>
      <w:proofErr w:type="spellStart"/>
      <w:r w:rsidRPr="00BD3467">
        <w:rPr>
          <w:rFonts w:ascii="Times New Roman" w:hAnsi="Times New Roman" w:cs="Times New Roman"/>
          <w:sz w:val="24"/>
          <w:szCs w:val="24"/>
        </w:rPr>
        <w:t>Vakif</w:t>
      </w:r>
      <w:proofErr w:type="spellEnd"/>
      <w:r w:rsidRPr="00BD3467">
        <w:rPr>
          <w:rFonts w:ascii="Times New Roman" w:hAnsi="Times New Roman" w:cs="Times New Roman"/>
          <w:sz w:val="24"/>
          <w:szCs w:val="24"/>
        </w:rPr>
        <w:t xml:space="preserve"> University, 34093 Istanbul, Turkey</w:t>
      </w:r>
      <w:r>
        <w:rPr>
          <w:rFonts w:ascii="Times New Roman" w:hAnsi="Times New Roman" w:cs="Times New Roman"/>
          <w:sz w:val="24"/>
          <w:szCs w:val="24"/>
        </w:rPr>
        <w:t>.</w:t>
      </w:r>
    </w:p>
    <w:p w14:paraId="16872E55" w14:textId="77777777" w:rsidR="00EB4F48" w:rsidRPr="00BD3467" w:rsidRDefault="00EB4F48" w:rsidP="00EB4F48">
      <w:pPr>
        <w:pStyle w:val="ListParagraph"/>
        <w:numPr>
          <w:ilvl w:val="0"/>
          <w:numId w:val="5"/>
        </w:numPr>
        <w:spacing w:line="360" w:lineRule="auto"/>
        <w:rPr>
          <w:rFonts w:ascii="Times New Roman" w:hAnsi="Times New Roman" w:cs="Times New Roman"/>
          <w:sz w:val="24"/>
          <w:szCs w:val="24"/>
        </w:rPr>
      </w:pPr>
      <w:r w:rsidRPr="00BD3467">
        <w:rPr>
          <w:rFonts w:ascii="Times New Roman" w:hAnsi="Times New Roman" w:cs="Times New Roman"/>
          <w:sz w:val="24"/>
          <w:szCs w:val="24"/>
        </w:rPr>
        <w:t>School of Health Sciences, Institute of Mental Health Sciences, Ulster University, Newtownabbey BT15 1ED, Northern Ireland, UK.</w:t>
      </w:r>
    </w:p>
    <w:p w14:paraId="5B092408" w14:textId="77777777" w:rsidR="00EB4F48" w:rsidRDefault="00EB4F48" w:rsidP="00EB4F48">
      <w:pPr>
        <w:pStyle w:val="ListParagraph"/>
        <w:numPr>
          <w:ilvl w:val="0"/>
          <w:numId w:val="5"/>
        </w:numPr>
        <w:spacing w:line="360" w:lineRule="auto"/>
        <w:rPr>
          <w:rFonts w:ascii="Times New Roman" w:hAnsi="Times New Roman" w:cs="Times New Roman"/>
          <w:sz w:val="24"/>
          <w:szCs w:val="24"/>
          <w:lang w:val="es-ES"/>
        </w:rPr>
      </w:pPr>
      <w:r w:rsidRPr="00BD3467">
        <w:rPr>
          <w:rFonts w:ascii="Times New Roman" w:hAnsi="Times New Roman" w:cs="Times New Roman"/>
          <w:sz w:val="24"/>
          <w:szCs w:val="24"/>
          <w:lang w:val="es-ES"/>
        </w:rPr>
        <w:t xml:space="preserve">ICREA, </w:t>
      </w:r>
      <w:proofErr w:type="spellStart"/>
      <w:r w:rsidRPr="00BD3467">
        <w:rPr>
          <w:rFonts w:ascii="Times New Roman" w:hAnsi="Times New Roman" w:cs="Times New Roman"/>
          <w:sz w:val="24"/>
          <w:szCs w:val="24"/>
          <w:lang w:val="es-ES"/>
        </w:rPr>
        <w:t>Pg</w:t>
      </w:r>
      <w:proofErr w:type="spellEnd"/>
      <w:r w:rsidRPr="00BD3467">
        <w:rPr>
          <w:rFonts w:ascii="Times New Roman" w:hAnsi="Times New Roman" w:cs="Times New Roman"/>
          <w:sz w:val="24"/>
          <w:szCs w:val="24"/>
          <w:lang w:val="es-ES"/>
        </w:rPr>
        <w:t xml:space="preserve">, </w:t>
      </w:r>
      <w:proofErr w:type="spellStart"/>
      <w:r w:rsidRPr="00BD3467">
        <w:rPr>
          <w:rFonts w:ascii="Times New Roman" w:hAnsi="Times New Roman" w:cs="Times New Roman"/>
          <w:sz w:val="24"/>
          <w:szCs w:val="24"/>
          <w:lang w:val="es-ES"/>
        </w:rPr>
        <w:t>Lluis</w:t>
      </w:r>
      <w:proofErr w:type="spellEnd"/>
      <w:r w:rsidRPr="00BD3467">
        <w:rPr>
          <w:rFonts w:ascii="Times New Roman" w:hAnsi="Times New Roman" w:cs="Times New Roman"/>
          <w:sz w:val="24"/>
          <w:szCs w:val="24"/>
          <w:lang w:val="es-ES"/>
        </w:rPr>
        <w:t xml:space="preserve"> Companys 23, 08010Barcelona, </w:t>
      </w:r>
      <w:proofErr w:type="spellStart"/>
      <w:r w:rsidRPr="00BD3467">
        <w:rPr>
          <w:rFonts w:ascii="Times New Roman" w:hAnsi="Times New Roman" w:cs="Times New Roman"/>
          <w:sz w:val="24"/>
          <w:szCs w:val="24"/>
          <w:lang w:val="es-ES"/>
        </w:rPr>
        <w:t>Spain</w:t>
      </w:r>
      <w:proofErr w:type="spellEnd"/>
      <w:r>
        <w:rPr>
          <w:rFonts w:ascii="Times New Roman" w:hAnsi="Times New Roman" w:cs="Times New Roman"/>
          <w:sz w:val="24"/>
          <w:szCs w:val="24"/>
          <w:lang w:val="es-ES"/>
        </w:rPr>
        <w:t>.</w:t>
      </w:r>
    </w:p>
    <w:p w14:paraId="08B826BE" w14:textId="77777777" w:rsidR="00EB4F48" w:rsidRDefault="00EB4F48" w:rsidP="00EB4F48">
      <w:pPr>
        <w:spacing w:line="360" w:lineRule="auto"/>
        <w:rPr>
          <w:lang w:val="es-ES"/>
        </w:rPr>
      </w:pPr>
    </w:p>
    <w:p w14:paraId="1BB306B7" w14:textId="77777777" w:rsidR="00EB4F48" w:rsidRPr="00AD24BB" w:rsidRDefault="00EB4F48" w:rsidP="00EB4F48">
      <w:pPr>
        <w:spacing w:line="360" w:lineRule="auto"/>
        <w:rPr>
          <w:lang w:val="es-ES"/>
        </w:rPr>
      </w:pPr>
      <w:r>
        <w:rPr>
          <w:lang w:val="es-ES"/>
        </w:rPr>
        <w:t xml:space="preserve">* </w:t>
      </w:r>
      <w:proofErr w:type="spellStart"/>
      <w:r>
        <w:rPr>
          <w:lang w:val="es-ES"/>
        </w:rPr>
        <w:t>Correspondece</w:t>
      </w:r>
      <w:proofErr w:type="spellEnd"/>
      <w:r>
        <w:rPr>
          <w:lang w:val="es-ES"/>
        </w:rPr>
        <w:t xml:space="preserve">: Dr. </w:t>
      </w:r>
      <w:r w:rsidRPr="00AB4695">
        <w:rPr>
          <w:lang w:val="es-ES"/>
        </w:rPr>
        <w:t>Guillermo F. López Sánchez</w:t>
      </w:r>
      <w:r>
        <w:rPr>
          <w:lang w:val="es-ES"/>
        </w:rPr>
        <w:t xml:space="preserve">. </w:t>
      </w:r>
      <w:hyperlink r:id="rId8" w:history="1">
        <w:r w:rsidRPr="008E7C7A">
          <w:rPr>
            <w:rStyle w:val="Hyperlink"/>
            <w:lang w:val="es-ES"/>
          </w:rPr>
          <w:t>guillermo.lopez-sanchez@aru.ac.uk</w:t>
        </w:r>
      </w:hyperlink>
      <w:r>
        <w:rPr>
          <w:lang w:val="es-ES"/>
        </w:rPr>
        <w:t xml:space="preserve"> </w:t>
      </w:r>
    </w:p>
    <w:p w14:paraId="3D46B26B" w14:textId="5C378105" w:rsidR="00EB4F48" w:rsidRDefault="00EB4F48" w:rsidP="0091107E">
      <w:pPr>
        <w:spacing w:line="480" w:lineRule="auto"/>
      </w:pPr>
    </w:p>
    <w:p w14:paraId="068735A5" w14:textId="77777777" w:rsidR="00EB4F48" w:rsidRPr="001B20BA" w:rsidRDefault="00EB4F48" w:rsidP="001B20BA">
      <w:pPr>
        <w:pStyle w:val="Heading1"/>
      </w:pPr>
      <w:r w:rsidRPr="001B20BA">
        <w:lastRenderedPageBreak/>
        <w:t>ABSTRACT</w:t>
      </w:r>
    </w:p>
    <w:p w14:paraId="0C21A7AD" w14:textId="77777777" w:rsidR="00EB4F48" w:rsidRDefault="00EB4F48" w:rsidP="00EB4F48">
      <w:pPr>
        <w:spacing w:line="480" w:lineRule="auto"/>
      </w:pPr>
      <w:r>
        <w:rPr>
          <w:b/>
          <w:bCs/>
        </w:rPr>
        <w:t xml:space="preserve">Background: </w:t>
      </w:r>
      <w:r>
        <w:rPr>
          <w:bCs/>
        </w:rPr>
        <w:t>T</w:t>
      </w:r>
      <w:r>
        <w:t xml:space="preserve">here are no multi-country studies on the association between informal caregiving and anxiety from low- and middle-income countries (LMICs). Therefore, we </w:t>
      </w:r>
      <w:r w:rsidRPr="00B40236">
        <w:t>investigate</w:t>
      </w:r>
      <w:r>
        <w:t>d</w:t>
      </w:r>
      <w:r w:rsidRPr="00B40236">
        <w:t xml:space="preserve"> th</w:t>
      </w:r>
      <w:r>
        <w:t>is</w:t>
      </w:r>
      <w:r w:rsidRPr="00B40236">
        <w:t xml:space="preserve"> </w:t>
      </w:r>
      <w:r>
        <w:t>relationship in a large predominantly nationally representative sample from 47 LMICs.</w:t>
      </w:r>
    </w:p>
    <w:p w14:paraId="022A5C30" w14:textId="77777777" w:rsidR="00EB4F48" w:rsidRDefault="00EB4F48" w:rsidP="00EB4F48">
      <w:pPr>
        <w:spacing w:line="480" w:lineRule="auto"/>
      </w:pPr>
      <w:r>
        <w:rPr>
          <w:b/>
          <w:bCs/>
        </w:rPr>
        <w:t xml:space="preserve">Methods: </w:t>
      </w:r>
      <w:r>
        <w:t xml:space="preserve">Cross sectional data from the World Health Survey were analyzed. Anxiety symptoms referred to severe or extreme problems with worries or anxiety in the past 30 days. </w:t>
      </w:r>
    </w:p>
    <w:p w14:paraId="2E1F43BA" w14:textId="77777777" w:rsidR="00EB4F48" w:rsidRDefault="00EB4F48" w:rsidP="00EB4F48">
      <w:pPr>
        <w:spacing w:line="480" w:lineRule="auto"/>
      </w:pPr>
      <w:r>
        <w:t>Information on caregiving in the past 12 months was obtained. Multivariable logistic regression analysis adjusting for age, sex, marital status, education, household size, employment, disability, and country was conducted. Data on 237,952 individuals aged ≥18 years [mean (SD) age 38.4 (16.0) years; 50.8% female] were analyzed.</w:t>
      </w:r>
    </w:p>
    <w:p w14:paraId="00760973" w14:textId="77777777" w:rsidR="00EB4F48" w:rsidRDefault="00EB4F48" w:rsidP="00EB4F48">
      <w:pPr>
        <w:spacing w:line="480" w:lineRule="auto"/>
      </w:pPr>
      <w:r>
        <w:rPr>
          <w:b/>
          <w:bCs/>
        </w:rPr>
        <w:t xml:space="preserve">Results: </w:t>
      </w:r>
      <w:r>
        <w:t xml:space="preserve">After adjustment for potential confounders, caregiving was positively associated with anxiety symptoms (OR=1.52; 95%CI=1.40, 1.65). Greater number of caregiving activities was associated with higher odds for anxiety symptoms dose-dependently, with the OR (95%CI) for engagement in 5 activities (vs. no caregiving) being 2.19 (1.86-2.58). </w:t>
      </w:r>
    </w:p>
    <w:p w14:paraId="4B5520D9" w14:textId="77777777" w:rsidR="00EB4F48" w:rsidRDefault="00EB4F48" w:rsidP="00EB4F48">
      <w:pPr>
        <w:spacing w:line="480" w:lineRule="auto"/>
      </w:pPr>
      <w:r>
        <w:rPr>
          <w:b/>
          <w:bCs/>
        </w:rPr>
        <w:t>Conclusion:</w:t>
      </w:r>
      <w:r>
        <w:t xml:space="preserve"> Caregiving is associated with higher odds for anxiety symptoms among adults in LMICs. Given the increasing importance of informal caregivers in long-term care provision and the fact that good health of caregivers is vital to sustain this system, interventions to address mental health of caregivers in LMICs are urgently needed.</w:t>
      </w:r>
    </w:p>
    <w:p w14:paraId="1BD9F4C9" w14:textId="77777777" w:rsidR="00EB4F48" w:rsidRDefault="00EB4F48" w:rsidP="00EB4F48">
      <w:pPr>
        <w:spacing w:line="480" w:lineRule="auto"/>
      </w:pPr>
    </w:p>
    <w:p w14:paraId="13907AB2" w14:textId="77777777" w:rsidR="00EB4F48" w:rsidRDefault="00EB4F48" w:rsidP="00EB4F48">
      <w:pPr>
        <w:spacing w:line="480" w:lineRule="auto"/>
      </w:pPr>
      <w:r>
        <w:rPr>
          <w:b/>
          <w:bCs/>
        </w:rPr>
        <w:t xml:space="preserve">Keywords: </w:t>
      </w:r>
      <w:r>
        <w:t>anxiety, caregivers, low- and middle-income countries, epidemiology.</w:t>
      </w:r>
    </w:p>
    <w:p w14:paraId="0F719C75" w14:textId="77777777" w:rsidR="00EB4F48" w:rsidRDefault="00EB4F48" w:rsidP="0091107E">
      <w:pPr>
        <w:spacing w:line="480" w:lineRule="auto"/>
        <w:rPr>
          <w:b/>
          <w:bCs/>
        </w:rPr>
      </w:pPr>
    </w:p>
    <w:p w14:paraId="57C5090B" w14:textId="77777777" w:rsidR="00EB4F48" w:rsidRDefault="00EB4F48" w:rsidP="0091107E">
      <w:pPr>
        <w:spacing w:line="480" w:lineRule="auto"/>
        <w:rPr>
          <w:b/>
          <w:bCs/>
        </w:rPr>
      </w:pPr>
    </w:p>
    <w:p w14:paraId="2EC695DD" w14:textId="77777777" w:rsidR="00EB4F48" w:rsidRDefault="00EB4F48" w:rsidP="0091107E">
      <w:pPr>
        <w:spacing w:line="480" w:lineRule="auto"/>
        <w:rPr>
          <w:b/>
          <w:bCs/>
        </w:rPr>
      </w:pPr>
    </w:p>
    <w:p w14:paraId="4CC60636" w14:textId="77777777" w:rsidR="00EB4F48" w:rsidRDefault="00EB4F48" w:rsidP="0091107E">
      <w:pPr>
        <w:spacing w:line="480" w:lineRule="auto"/>
        <w:rPr>
          <w:b/>
          <w:bCs/>
        </w:rPr>
      </w:pPr>
    </w:p>
    <w:p w14:paraId="4BDA4E77" w14:textId="00D40708" w:rsidR="00D83F5A" w:rsidRPr="00271DA5" w:rsidRDefault="00B40236" w:rsidP="001B20BA">
      <w:pPr>
        <w:pStyle w:val="Heading1"/>
      </w:pPr>
      <w:r w:rsidRPr="00271DA5">
        <w:lastRenderedPageBreak/>
        <w:t>INTRODUCTION</w:t>
      </w:r>
    </w:p>
    <w:p w14:paraId="3AAF2089" w14:textId="47CC07BB" w:rsidR="00E10470" w:rsidRPr="00271DA5" w:rsidRDefault="003F22D4" w:rsidP="00E10470">
      <w:pPr>
        <w:spacing w:line="480" w:lineRule="auto"/>
      </w:pPr>
      <w:r w:rsidRPr="00271DA5">
        <w:t>The global population is ageing at an unprecedented rapid pace. Specifically, b</w:t>
      </w:r>
      <w:r w:rsidR="00D83F5A" w:rsidRPr="00271DA5">
        <w:t xml:space="preserve">etween 2015 and 2050, the proportion of the world's population over 60 years </w:t>
      </w:r>
      <w:r w:rsidR="00D579AD" w:rsidRPr="00271DA5">
        <w:t xml:space="preserve">is projected to </w:t>
      </w:r>
      <w:r w:rsidR="00D83F5A" w:rsidRPr="00271DA5">
        <w:t>nearly double from 12% to 22%, and</w:t>
      </w:r>
      <w:r w:rsidRPr="00271DA5">
        <w:t xml:space="preserve"> 80% of older people will be residing in low- and middle-income countries</w:t>
      </w:r>
      <w:r w:rsidR="00D579AD" w:rsidRPr="00271DA5">
        <w:t xml:space="preserve"> (LMICs)</w:t>
      </w:r>
      <w:r w:rsidRPr="00271DA5">
        <w:t xml:space="preserve"> in 2050</w:t>
      </w:r>
      <w:r w:rsidR="008D28A2" w:rsidRPr="00271DA5">
        <w:t xml:space="preserve"> </w:t>
      </w:r>
      <w:r w:rsidR="008D28A2" w:rsidRPr="00271DA5">
        <w:fldChar w:fldCharType="begin"/>
      </w:r>
      <w:r w:rsidR="008D28A2" w:rsidRPr="00271DA5">
        <w:instrText>ADDIN RW.CITE{{doc:60a3ef5f8f08acdb7796fe2e WorldHealthOrganization 2018}}</w:instrText>
      </w:r>
      <w:r w:rsidR="008D28A2" w:rsidRPr="00271DA5">
        <w:fldChar w:fldCharType="separate"/>
      </w:r>
      <w:r w:rsidR="008D28A2" w:rsidRPr="00271DA5">
        <w:rPr>
          <w:bCs/>
        </w:rPr>
        <w:t>(World Health Organization, 2018)</w:t>
      </w:r>
      <w:r w:rsidR="008D28A2" w:rsidRPr="00271DA5">
        <w:fldChar w:fldCharType="end"/>
      </w:r>
      <w:r w:rsidR="008D28A2" w:rsidRPr="00271DA5">
        <w:t xml:space="preserve">. </w:t>
      </w:r>
      <w:r w:rsidR="00D579AD" w:rsidRPr="00271DA5">
        <w:rPr>
          <w:rStyle w:val="Hyperlink"/>
          <w:color w:val="auto"/>
          <w:u w:val="none"/>
        </w:rPr>
        <w:t xml:space="preserve">Furthermore, </w:t>
      </w:r>
      <w:r w:rsidR="00544843" w:rsidRPr="00271DA5">
        <w:rPr>
          <w:rStyle w:val="Hyperlink"/>
          <w:color w:val="auto"/>
          <w:u w:val="none"/>
        </w:rPr>
        <w:t xml:space="preserve">largely as the result of medical advances, </w:t>
      </w:r>
      <w:r w:rsidR="00D579AD" w:rsidRPr="00271DA5">
        <w:rPr>
          <w:rStyle w:val="Hyperlink"/>
          <w:color w:val="auto"/>
          <w:u w:val="none"/>
        </w:rPr>
        <w:t>people often now live longer</w:t>
      </w:r>
      <w:r w:rsidR="00544843" w:rsidRPr="00271DA5">
        <w:rPr>
          <w:rStyle w:val="Hyperlink"/>
          <w:color w:val="auto"/>
          <w:u w:val="none"/>
        </w:rPr>
        <w:t xml:space="preserve"> than before,</w:t>
      </w:r>
      <w:r w:rsidR="00D579AD" w:rsidRPr="00271DA5">
        <w:rPr>
          <w:rStyle w:val="Hyperlink"/>
          <w:color w:val="auto"/>
          <w:u w:val="none"/>
        </w:rPr>
        <w:t xml:space="preserve"> but </w:t>
      </w:r>
      <w:r w:rsidR="00544843" w:rsidRPr="00271DA5">
        <w:rPr>
          <w:rStyle w:val="Hyperlink"/>
          <w:color w:val="auto"/>
          <w:u w:val="none"/>
        </w:rPr>
        <w:t xml:space="preserve">many live </w:t>
      </w:r>
      <w:r w:rsidR="00D579AD" w:rsidRPr="00271DA5">
        <w:rPr>
          <w:rStyle w:val="Hyperlink"/>
          <w:color w:val="auto"/>
          <w:u w:val="none"/>
        </w:rPr>
        <w:t>with disabilities</w:t>
      </w:r>
      <w:r w:rsidR="008D28A2" w:rsidRPr="00271DA5">
        <w:rPr>
          <w:rStyle w:val="Hyperlink"/>
          <w:color w:val="auto"/>
          <w:u w:val="none"/>
        </w:rPr>
        <w:t xml:space="preserve"> </w:t>
      </w:r>
      <w:r w:rsidR="008D28A2" w:rsidRPr="00271DA5">
        <w:rPr>
          <w:rStyle w:val="Hyperlink"/>
          <w:color w:val="auto"/>
          <w:u w:val="none"/>
        </w:rPr>
        <w:fldChar w:fldCharType="begin"/>
      </w:r>
      <w:r w:rsidR="008D28A2" w:rsidRPr="00271DA5">
        <w:rPr>
          <w:rStyle w:val="Hyperlink"/>
          <w:color w:val="auto"/>
          <w:u w:val="none"/>
        </w:rPr>
        <w:instrText>ADDIN RW.CITE{{doc:615972c68f0880b79cdceae9 Emerson,Eric 2014}}</w:instrText>
      </w:r>
      <w:r w:rsidR="008D28A2" w:rsidRPr="00271DA5">
        <w:rPr>
          <w:rStyle w:val="Hyperlink"/>
          <w:color w:val="auto"/>
          <w:u w:val="none"/>
        </w:rPr>
        <w:fldChar w:fldCharType="separate"/>
      </w:r>
      <w:r w:rsidR="00054682" w:rsidRPr="00271DA5">
        <w:rPr>
          <w:rStyle w:val="Hyperlink"/>
          <w:bCs/>
          <w:color w:val="auto"/>
          <w:u w:val="none"/>
        </w:rPr>
        <w:t>(Emerson, et al, 2014)</w:t>
      </w:r>
      <w:r w:rsidR="008D28A2" w:rsidRPr="00271DA5">
        <w:rPr>
          <w:rStyle w:val="Hyperlink"/>
          <w:color w:val="auto"/>
          <w:u w:val="none"/>
        </w:rPr>
        <w:fldChar w:fldCharType="end"/>
      </w:r>
      <w:r w:rsidR="00D579AD" w:rsidRPr="00271DA5">
        <w:rPr>
          <w:rStyle w:val="Hyperlink"/>
          <w:color w:val="auto"/>
          <w:u w:val="none"/>
        </w:rPr>
        <w:t>.</w:t>
      </w:r>
      <w:r w:rsidR="008D28A2" w:rsidRPr="00271DA5">
        <w:t xml:space="preserve"> </w:t>
      </w:r>
      <w:bookmarkStart w:id="0" w:name="_Hlk87450608"/>
      <w:r w:rsidR="000C0FFB" w:rsidRPr="00271DA5">
        <w:t>H</w:t>
      </w:r>
      <w:r w:rsidR="00D83F5A" w:rsidRPr="00271DA5">
        <w:t>igh-income countries (HICs)</w:t>
      </w:r>
      <w:r w:rsidR="00A0749C" w:rsidRPr="00271DA5">
        <w:t>,</w:t>
      </w:r>
      <w:r w:rsidR="00D83F5A" w:rsidRPr="00271DA5">
        <w:t xml:space="preserve"> have well-established and often highly functional healthcare systems that can adapt to the health care needs of an increasing ageing population. </w:t>
      </w:r>
      <w:bookmarkStart w:id="1" w:name="_Hlk87446679"/>
      <w:r w:rsidR="00D83F5A" w:rsidRPr="00271DA5">
        <w:t xml:space="preserve">However, </w:t>
      </w:r>
      <w:r w:rsidR="00D579AD" w:rsidRPr="00271DA5">
        <w:t xml:space="preserve">population ageing </w:t>
      </w:r>
      <w:r w:rsidR="000C0FFB" w:rsidRPr="00271DA5">
        <w:t xml:space="preserve">is also </w:t>
      </w:r>
      <w:r w:rsidR="00D579AD" w:rsidRPr="00271DA5">
        <w:t>occurring in LMICs</w:t>
      </w:r>
      <w:r w:rsidR="0013602B" w:rsidRPr="00271DA5">
        <w:t xml:space="preserve"> </w:t>
      </w:r>
      <w:r w:rsidR="0013602B" w:rsidRPr="00271DA5">
        <w:fldChar w:fldCharType="begin"/>
      </w:r>
      <w:r w:rsidR="0013602B" w:rsidRPr="00271DA5">
        <w:instrText>ADDIN RW.CITE{{doc:60a3ef5f8f08acdb7796fe2e WorldHealthOrganization 2018}}</w:instrText>
      </w:r>
      <w:r w:rsidR="0013602B" w:rsidRPr="00271DA5">
        <w:fldChar w:fldCharType="separate"/>
      </w:r>
      <w:r w:rsidR="0013602B" w:rsidRPr="00271DA5">
        <w:rPr>
          <w:bCs/>
        </w:rPr>
        <w:t>(World Health Organization, 2018)</w:t>
      </w:r>
      <w:r w:rsidR="0013602B" w:rsidRPr="00271DA5">
        <w:fldChar w:fldCharType="end"/>
      </w:r>
      <w:r w:rsidR="0013602B" w:rsidRPr="00271DA5">
        <w:t xml:space="preserve">, </w:t>
      </w:r>
      <w:r w:rsidR="00E10470" w:rsidRPr="00271DA5">
        <w:t>where health care systems can be under</w:t>
      </w:r>
      <w:r w:rsidR="00971213" w:rsidRPr="00271DA5">
        <w:t>-</w:t>
      </w:r>
      <w:r w:rsidR="00E10470" w:rsidRPr="00271DA5">
        <w:t>resourced, fragmented</w:t>
      </w:r>
      <w:r w:rsidR="00BB5903" w:rsidRPr="00271DA5">
        <w:t>,</w:t>
      </w:r>
      <w:r w:rsidR="00E10470" w:rsidRPr="00271DA5">
        <w:t xml:space="preserve"> and suboptimal</w:t>
      </w:r>
      <w:r w:rsidR="00CC18B6" w:rsidRPr="00271DA5">
        <w:t xml:space="preserve"> </w:t>
      </w:r>
      <w:r w:rsidR="00CC18B6" w:rsidRPr="00271DA5">
        <w:fldChar w:fldCharType="begin"/>
      </w:r>
      <w:r w:rsidR="00CC18B6" w:rsidRPr="00271DA5">
        <w:instrText>ADDIN RW.CITE{{doc:6150c0598f087ebda4d84224 Bitton,Asaf 2019}}</w:instrText>
      </w:r>
      <w:r w:rsidR="00CC18B6" w:rsidRPr="00271DA5">
        <w:fldChar w:fldCharType="separate"/>
      </w:r>
      <w:r w:rsidR="00054682" w:rsidRPr="00271DA5">
        <w:rPr>
          <w:bCs/>
        </w:rPr>
        <w:t>(Bitton, et al, 2019)</w:t>
      </w:r>
      <w:r w:rsidR="00CC18B6" w:rsidRPr="00271DA5">
        <w:fldChar w:fldCharType="end"/>
      </w:r>
      <w:r w:rsidR="00CC18B6" w:rsidRPr="00271DA5">
        <w:t>.</w:t>
      </w:r>
      <w:r w:rsidR="00D83D1B" w:rsidRPr="00271DA5">
        <w:rPr>
          <w:rStyle w:val="Hyperlink"/>
          <w:color w:val="auto"/>
        </w:rPr>
        <w:t xml:space="preserve"> </w:t>
      </w:r>
    </w:p>
    <w:bookmarkEnd w:id="0"/>
    <w:bookmarkEnd w:id="1"/>
    <w:p w14:paraId="29EA026A" w14:textId="61D73C0C" w:rsidR="00E10470" w:rsidRPr="00271DA5" w:rsidRDefault="00E10470" w:rsidP="0091107E">
      <w:pPr>
        <w:spacing w:line="480" w:lineRule="auto"/>
      </w:pPr>
    </w:p>
    <w:p w14:paraId="0C93C0AB" w14:textId="2866D3AD" w:rsidR="00F569A2" w:rsidRPr="00271DA5" w:rsidRDefault="00D83D1B" w:rsidP="0022319A">
      <w:pPr>
        <w:spacing w:line="480" w:lineRule="auto"/>
      </w:pPr>
      <w:r w:rsidRPr="00271DA5">
        <w:t>Globally, older adults and people living with long-term illness or disabilities are often provided informal care.</w:t>
      </w:r>
      <w:r w:rsidR="000C0FFB" w:rsidRPr="00271DA5">
        <w:t xml:space="preserve"> </w:t>
      </w:r>
      <w:bookmarkStart w:id="2" w:name="_Hlk87451104"/>
      <w:r w:rsidR="000C0FFB" w:rsidRPr="00271DA5">
        <w:t>Informal care may be defined as the unpaid care provided to older and dependent persons by a person with whom they have a social relationship, such as a spouse, parent, child, other relative, neighbor, friend or other non-kin</w:t>
      </w:r>
      <w:r w:rsidR="00054682" w:rsidRPr="00271DA5">
        <w:t xml:space="preserve"> </w:t>
      </w:r>
      <w:r w:rsidR="00054682" w:rsidRPr="00271DA5">
        <w:fldChar w:fldCharType="begin"/>
      </w:r>
      <w:r w:rsidR="00054682" w:rsidRPr="00271DA5">
        <w:instrText>ADDIN RW.CITE{{doc:618c32818f08cd76952194f6 INTERLINKS 2021}}</w:instrText>
      </w:r>
      <w:r w:rsidR="00054682" w:rsidRPr="00271DA5">
        <w:fldChar w:fldCharType="separate"/>
      </w:r>
      <w:r w:rsidR="00054682" w:rsidRPr="00271DA5">
        <w:rPr>
          <w:bCs/>
        </w:rPr>
        <w:t>(INTERLINKS, 2021)</w:t>
      </w:r>
      <w:r w:rsidR="00054682" w:rsidRPr="00271DA5">
        <w:fldChar w:fldCharType="end"/>
      </w:r>
      <w:r w:rsidR="000C0FFB" w:rsidRPr="00271DA5">
        <w:t>.</w:t>
      </w:r>
      <w:bookmarkEnd w:id="2"/>
      <w:r w:rsidR="00054682" w:rsidRPr="00271DA5">
        <w:t xml:space="preserve"> </w:t>
      </w:r>
      <w:r w:rsidR="00CA2790" w:rsidRPr="00271DA5">
        <w:t xml:space="preserve">It is possible that there is a particularly heavy reliance on informal care in the context of LMICs as health systems and welfare systems are often not as developed as in HICs (Prince 2004). Thus, it is of vital importance to understand the health conditions of informal caregivers, as the system of </w:t>
      </w:r>
      <w:r w:rsidR="003811DA" w:rsidRPr="00271DA5">
        <w:t xml:space="preserve">caregiving </w:t>
      </w:r>
      <w:r w:rsidR="00CA2790" w:rsidRPr="00271DA5">
        <w:t xml:space="preserve">would not be sustainable without </w:t>
      </w:r>
      <w:r w:rsidR="009033C4" w:rsidRPr="00271DA5">
        <w:t xml:space="preserve">the </w:t>
      </w:r>
      <w:r w:rsidR="00CA2790" w:rsidRPr="00271DA5">
        <w:t xml:space="preserve">good health of the caregivers, especially in the context of LMICs </w:t>
      </w:r>
      <w:r w:rsidR="00CC18B6" w:rsidRPr="00271DA5">
        <w:fldChar w:fldCharType="begin"/>
      </w:r>
      <w:r w:rsidR="00CC18B6" w:rsidRPr="00271DA5">
        <w:instrText>ADDIN RW.CITE{{doc:61598eb38f087ebda4d98a7c Jacob,Louis 2020; doc:61598ef58f087ebda4d98a83 Lambert,SylvieD 2017}}</w:instrText>
      </w:r>
      <w:r w:rsidR="00CC18B6" w:rsidRPr="00271DA5">
        <w:fldChar w:fldCharType="separate"/>
      </w:r>
      <w:r w:rsidR="00054682" w:rsidRPr="00271DA5">
        <w:rPr>
          <w:bCs/>
        </w:rPr>
        <w:t>(Jacob, et al, 2020; Lambert, et al, 2017)</w:t>
      </w:r>
      <w:r w:rsidR="00CC18B6" w:rsidRPr="00271DA5">
        <w:fldChar w:fldCharType="end"/>
      </w:r>
      <w:r w:rsidR="00CC18B6" w:rsidRPr="00271DA5">
        <w:t xml:space="preserve">. </w:t>
      </w:r>
      <w:r w:rsidR="00630403" w:rsidRPr="00271DA5">
        <w:t xml:space="preserve">For example, previous studies have shown that caregiver ill health may lead to </w:t>
      </w:r>
      <w:r w:rsidR="009033C4" w:rsidRPr="00271DA5">
        <w:t xml:space="preserve">the </w:t>
      </w:r>
      <w:r w:rsidR="00630403" w:rsidRPr="00271DA5">
        <w:t xml:space="preserve">institutionalization of the care recipients, harmful caregiving behavior, or that caregiving strain may lead to premature mortality </w:t>
      </w:r>
      <w:r w:rsidR="00F569A2" w:rsidRPr="00271DA5">
        <w:t>of the caregiver</w:t>
      </w:r>
      <w:r w:rsidR="00CC18B6" w:rsidRPr="00271DA5">
        <w:t xml:space="preserve"> </w:t>
      </w:r>
      <w:r w:rsidR="00CC18B6" w:rsidRPr="00271DA5">
        <w:fldChar w:fldCharType="begin"/>
      </w:r>
      <w:r w:rsidR="00CC18B6" w:rsidRPr="00271DA5">
        <w:instrText>ADDIN RW.CITE{{doc:61598fbe8f086e0f01b43358 Colerick,ElizabethJ 1986; doc:61598ff88f08aa04754db4d8 Beach,ScottR 2005; doc:615990248f087ebda4d98b4b Lin,Mei-Chen 2013; doc:615990ec8f08336c1b953648 Schulz,Richard 1999}}</w:instrText>
      </w:r>
      <w:r w:rsidR="00CC18B6" w:rsidRPr="00271DA5">
        <w:fldChar w:fldCharType="separate"/>
      </w:r>
      <w:r w:rsidR="00054682" w:rsidRPr="00271DA5">
        <w:rPr>
          <w:bCs/>
        </w:rPr>
        <w:t>(Beach, et al, 2005; Colerick and George, 1986; Lin and Giles, 2013; Schulz and Beach, 1999)</w:t>
      </w:r>
      <w:r w:rsidR="00CC18B6" w:rsidRPr="00271DA5">
        <w:fldChar w:fldCharType="end"/>
      </w:r>
      <w:r w:rsidR="00630403" w:rsidRPr="00271DA5">
        <w:t xml:space="preserve">. </w:t>
      </w:r>
      <w:bookmarkStart w:id="3" w:name="_Hlk87451759"/>
      <w:r w:rsidR="00200992" w:rsidRPr="00271DA5">
        <w:t xml:space="preserve">Caregiver ill health may arise, </w:t>
      </w:r>
      <w:r w:rsidR="00200992" w:rsidRPr="00271DA5">
        <w:lastRenderedPageBreak/>
        <w:t>for example, owing to a high need for providing hands-on care that may affect caregiver health through physical strain, changes in health habits, psychological distress, and physiological changes</w:t>
      </w:r>
      <w:r w:rsidR="009B3D41" w:rsidRPr="00271DA5">
        <w:t xml:space="preserve"> </w:t>
      </w:r>
      <w:r w:rsidR="009B3D41" w:rsidRPr="00271DA5">
        <w:fldChar w:fldCharType="begin"/>
      </w:r>
      <w:r w:rsidR="009B3D41" w:rsidRPr="00271DA5">
        <w:instrText>ADDIN RW.CITE{{doc:618c35188f089b7c9caf9e27 Pinquart,Martin 2007}}</w:instrText>
      </w:r>
      <w:r w:rsidR="009B3D41" w:rsidRPr="00271DA5">
        <w:fldChar w:fldCharType="separate"/>
      </w:r>
      <w:r w:rsidR="009B3D41" w:rsidRPr="00271DA5">
        <w:rPr>
          <w:bCs/>
        </w:rPr>
        <w:t>(Pinquart and Sörensen, 2007)</w:t>
      </w:r>
      <w:r w:rsidR="009B3D41" w:rsidRPr="00271DA5">
        <w:fldChar w:fldCharType="end"/>
      </w:r>
      <w:r w:rsidR="00200992" w:rsidRPr="00271DA5">
        <w:t xml:space="preserve">. </w:t>
      </w:r>
      <w:bookmarkEnd w:id="3"/>
    </w:p>
    <w:p w14:paraId="5BB0D6EF" w14:textId="77777777" w:rsidR="00F569A2" w:rsidRPr="00271DA5" w:rsidRDefault="00F569A2" w:rsidP="0022319A">
      <w:pPr>
        <w:spacing w:line="480" w:lineRule="auto"/>
      </w:pPr>
    </w:p>
    <w:p w14:paraId="54B845C3" w14:textId="55731DF1" w:rsidR="0065238E" w:rsidRPr="00271DA5" w:rsidRDefault="00F569A2" w:rsidP="0065238E">
      <w:pPr>
        <w:spacing w:line="480" w:lineRule="auto"/>
      </w:pPr>
      <w:r w:rsidRPr="00271DA5">
        <w:t xml:space="preserve">Studies from </w:t>
      </w:r>
      <w:r w:rsidR="00142E9F" w:rsidRPr="00271DA5">
        <w:t xml:space="preserve">HICs </w:t>
      </w:r>
      <w:r w:rsidRPr="00271DA5">
        <w:t>have shown that caregiving activities are associated with increased risk of mental health probl</w:t>
      </w:r>
      <w:r w:rsidR="00ED6F86" w:rsidRPr="00271DA5">
        <w:t>ems</w:t>
      </w:r>
      <w:r w:rsidR="008A5965" w:rsidRPr="00271DA5">
        <w:t xml:space="preserve"> </w:t>
      </w:r>
      <w:r w:rsidR="008A5965" w:rsidRPr="00271DA5">
        <w:fldChar w:fldCharType="begin"/>
      </w:r>
      <w:r w:rsidR="008A5965" w:rsidRPr="00271DA5">
        <w:instrText>ADDIN RW.CITE{{doc:6159960f8f08e5f355a6ef1e Sallim,AdnaanBin 2015; doc:615996348f0891dd105ba217 Loh,AlvonaZ 2017; doc:6159967a8f08abc5a98040e6 Geng,Hai-mei 2018}}</w:instrText>
      </w:r>
      <w:r w:rsidR="008A5965" w:rsidRPr="00271DA5">
        <w:fldChar w:fldCharType="separate"/>
      </w:r>
      <w:r w:rsidR="00054682" w:rsidRPr="00271DA5">
        <w:rPr>
          <w:bCs/>
        </w:rPr>
        <w:t>(Geng, et al, 2018; Loh, et al, 2017; Sallim, et al, 2015)</w:t>
      </w:r>
      <w:r w:rsidR="008A5965" w:rsidRPr="00271DA5">
        <w:fldChar w:fldCharType="end"/>
      </w:r>
      <w:r w:rsidR="008A5965" w:rsidRPr="00271DA5">
        <w:t xml:space="preserve"> </w:t>
      </w:r>
      <w:r w:rsidR="00ED6F86" w:rsidRPr="00271DA5">
        <w:rPr>
          <w:rStyle w:val="Hyperlink"/>
          <w:color w:val="auto"/>
          <w:u w:val="none"/>
        </w:rPr>
        <w:t>including anxiety</w:t>
      </w:r>
      <w:r w:rsidR="008A5965" w:rsidRPr="00271DA5">
        <w:rPr>
          <w:rStyle w:val="Hyperlink"/>
          <w:color w:val="auto"/>
          <w:u w:val="none"/>
        </w:rPr>
        <w:t xml:space="preserve"> </w:t>
      </w:r>
      <w:r w:rsidR="008A5965" w:rsidRPr="00271DA5">
        <w:rPr>
          <w:rStyle w:val="Hyperlink"/>
          <w:color w:val="auto"/>
          <w:u w:val="none"/>
        </w:rPr>
        <w:fldChar w:fldCharType="begin"/>
      </w:r>
      <w:r w:rsidR="008A5965" w:rsidRPr="00271DA5">
        <w:rPr>
          <w:rStyle w:val="Hyperlink"/>
          <w:color w:val="auto"/>
          <w:u w:val="none"/>
        </w:rPr>
        <w:instrText>ADDIN RW.CITE{{doc:615996aa8f08fb6ba45bb944 del-Pino-Casado,Rafael 2021}}</w:instrText>
      </w:r>
      <w:r w:rsidR="008A5965" w:rsidRPr="00271DA5">
        <w:rPr>
          <w:rStyle w:val="Hyperlink"/>
          <w:color w:val="auto"/>
          <w:u w:val="none"/>
        </w:rPr>
        <w:fldChar w:fldCharType="separate"/>
      </w:r>
      <w:r w:rsidR="00054682" w:rsidRPr="00271DA5">
        <w:rPr>
          <w:rStyle w:val="Hyperlink"/>
          <w:bCs/>
          <w:color w:val="auto"/>
          <w:u w:val="none"/>
        </w:rPr>
        <w:t>(del-Pino-Casado, et al, 2021)</w:t>
      </w:r>
      <w:r w:rsidR="008A5965" w:rsidRPr="00271DA5">
        <w:rPr>
          <w:rStyle w:val="Hyperlink"/>
          <w:color w:val="auto"/>
          <w:u w:val="none"/>
        </w:rPr>
        <w:fldChar w:fldCharType="end"/>
      </w:r>
      <w:r w:rsidR="008A5965" w:rsidRPr="00271DA5">
        <w:t xml:space="preserve">. </w:t>
      </w:r>
      <w:r w:rsidR="005C748F" w:rsidRPr="00271DA5">
        <w:t>Anxiety is often defined as an unpleasant mood characterized by thoughts of worry, and is an adaptive response to perceived threats that can develop into a maladaptive anxiety disorder if it becomes severe and chronic</w:t>
      </w:r>
      <w:r w:rsidR="00DE6EC2" w:rsidRPr="00271DA5">
        <w:t xml:space="preserve"> </w:t>
      </w:r>
      <w:r w:rsidR="00DE6EC2" w:rsidRPr="00271DA5">
        <w:fldChar w:fldCharType="begin"/>
      </w:r>
      <w:r w:rsidR="00DE6EC2" w:rsidRPr="00271DA5">
        <w:instrText>ADDIN RW.CITE{{doc:615997228f08aa04754db52d Barlow,DavidH 2004}}</w:instrText>
      </w:r>
      <w:r w:rsidR="00DE6EC2" w:rsidRPr="00271DA5">
        <w:fldChar w:fldCharType="separate"/>
      </w:r>
      <w:r w:rsidR="00DE6EC2" w:rsidRPr="00271DA5">
        <w:rPr>
          <w:bCs/>
        </w:rPr>
        <w:t>(Barlow, 2004)</w:t>
      </w:r>
      <w:r w:rsidR="00DE6EC2" w:rsidRPr="00271DA5">
        <w:fldChar w:fldCharType="end"/>
      </w:r>
      <w:r w:rsidR="005C748F" w:rsidRPr="00271DA5">
        <w:t>.</w:t>
      </w:r>
      <w:r w:rsidR="00DE6EC2" w:rsidRPr="00271DA5">
        <w:t xml:space="preserve"> </w:t>
      </w:r>
      <w:r w:rsidR="009A3E10" w:rsidRPr="00271DA5">
        <w:t xml:space="preserve">It is associated with adverse </w:t>
      </w:r>
      <w:r w:rsidR="009033C4" w:rsidRPr="00271DA5">
        <w:t xml:space="preserve">physical </w:t>
      </w:r>
      <w:r w:rsidR="009A3E10" w:rsidRPr="00271DA5">
        <w:t xml:space="preserve">health outcomes such as </w:t>
      </w:r>
      <w:r w:rsidR="00B4011E" w:rsidRPr="00271DA5">
        <w:t>cardiovascular disease</w:t>
      </w:r>
      <w:r w:rsidR="00DE6EC2" w:rsidRPr="00271DA5">
        <w:t xml:space="preserve"> </w:t>
      </w:r>
      <w:r w:rsidR="00DE6EC2" w:rsidRPr="00271DA5">
        <w:fldChar w:fldCharType="begin"/>
      </w:r>
      <w:r w:rsidR="00DE6EC2" w:rsidRPr="00271DA5">
        <w:instrText>ADDIN RW.CITE{{doc:6121056d8f080b27fa08d112 Celano,ChristopherM 2016}}</w:instrText>
      </w:r>
      <w:r w:rsidR="00DE6EC2" w:rsidRPr="00271DA5">
        <w:fldChar w:fldCharType="separate"/>
      </w:r>
      <w:r w:rsidR="00054682" w:rsidRPr="00271DA5">
        <w:rPr>
          <w:bCs/>
        </w:rPr>
        <w:t>(Celano, et al, 2016)</w:t>
      </w:r>
      <w:r w:rsidR="00DE6EC2" w:rsidRPr="00271DA5">
        <w:fldChar w:fldCharType="end"/>
      </w:r>
      <w:r w:rsidR="00B4011E" w:rsidRPr="00271DA5">
        <w:t>, sleep disorders</w:t>
      </w:r>
      <w:r w:rsidR="00DE6EC2" w:rsidRPr="00271DA5">
        <w:t xml:space="preserve"> </w:t>
      </w:r>
      <w:r w:rsidR="00DE6EC2" w:rsidRPr="00271DA5">
        <w:fldChar w:fldCharType="begin"/>
      </w:r>
      <w:r w:rsidR="00DE6EC2" w:rsidRPr="00271DA5">
        <w:instrText>ADDIN RW.CITE{{doc:612fd49a8f08d6bedf385729 SleepFoundation 2020}}</w:instrText>
      </w:r>
      <w:r w:rsidR="00DE6EC2" w:rsidRPr="00271DA5">
        <w:fldChar w:fldCharType="separate"/>
      </w:r>
      <w:r w:rsidR="00DE6EC2" w:rsidRPr="00271DA5">
        <w:rPr>
          <w:bCs/>
        </w:rPr>
        <w:t>(Sleep Foundation, 2020)</w:t>
      </w:r>
      <w:r w:rsidR="00DE6EC2" w:rsidRPr="00271DA5">
        <w:fldChar w:fldCharType="end"/>
      </w:r>
      <w:r w:rsidR="00B4011E" w:rsidRPr="00271DA5">
        <w:t>, and premature mortality</w:t>
      </w:r>
      <w:r w:rsidR="00DE6EC2" w:rsidRPr="00271DA5">
        <w:t xml:space="preserve"> </w:t>
      </w:r>
      <w:r w:rsidR="00DE6EC2" w:rsidRPr="00271DA5">
        <w:fldChar w:fldCharType="begin"/>
      </w:r>
      <w:r w:rsidR="00DE6EC2" w:rsidRPr="00271DA5">
        <w:instrText>ADDIN RW.CITE{{doc:6023c8a08f08999e37c30643 Archer,Gemma 2020}}</w:instrText>
      </w:r>
      <w:r w:rsidR="00DE6EC2" w:rsidRPr="00271DA5">
        <w:fldChar w:fldCharType="separate"/>
      </w:r>
      <w:r w:rsidR="00054682" w:rsidRPr="00271DA5">
        <w:rPr>
          <w:bCs/>
        </w:rPr>
        <w:t>(Archer, et al, 2020)</w:t>
      </w:r>
      <w:r w:rsidR="00DE6EC2" w:rsidRPr="00271DA5">
        <w:fldChar w:fldCharType="end"/>
      </w:r>
      <w:r w:rsidR="004F02D6" w:rsidRPr="00271DA5">
        <w:t>.</w:t>
      </w:r>
      <w:r w:rsidR="00DE6EC2" w:rsidRPr="00271DA5">
        <w:t xml:space="preserve"> </w:t>
      </w:r>
      <w:bookmarkStart w:id="4" w:name="_Hlk87446724"/>
      <w:bookmarkStart w:id="5" w:name="_Hlk87448724"/>
      <w:r w:rsidR="009A3E10" w:rsidRPr="00271DA5">
        <w:t>Caregiving activities may increase risk for anxiety via</w:t>
      </w:r>
      <w:r w:rsidR="00BB5903" w:rsidRPr="00271DA5">
        <w:t>, for example,</w:t>
      </w:r>
      <w:r w:rsidR="004F02D6" w:rsidRPr="00271DA5">
        <w:t xml:space="preserve"> physical and psychological strain over extended periods of time accompanied by high levels of unpredictability and uncontrollability</w:t>
      </w:r>
      <w:r w:rsidR="008146BB" w:rsidRPr="00271DA5">
        <w:t xml:space="preserve"> </w:t>
      </w:r>
      <w:r w:rsidR="008146BB" w:rsidRPr="00271DA5">
        <w:fldChar w:fldCharType="begin"/>
      </w:r>
      <w:r w:rsidR="008146BB" w:rsidRPr="00271DA5">
        <w:instrText>ADDIN RW.CITE{{doc:615999a38f08aa04754db559 Schulz,Richard 2008}}</w:instrText>
      </w:r>
      <w:r w:rsidR="008146BB" w:rsidRPr="00271DA5">
        <w:fldChar w:fldCharType="separate"/>
      </w:r>
      <w:r w:rsidR="00054682" w:rsidRPr="00271DA5">
        <w:rPr>
          <w:bCs/>
        </w:rPr>
        <w:t>(Schulz and Sherwood, 2008)</w:t>
      </w:r>
      <w:r w:rsidR="008146BB" w:rsidRPr="00271DA5">
        <w:fldChar w:fldCharType="end"/>
      </w:r>
      <w:r w:rsidR="006A1C95" w:rsidRPr="00271DA5">
        <w:t>, as well as sleep loss and stigma</w:t>
      </w:r>
      <w:r w:rsidR="009B3D41" w:rsidRPr="00271DA5">
        <w:t xml:space="preserve"> </w:t>
      </w:r>
      <w:r w:rsidR="009B3D41" w:rsidRPr="00271DA5">
        <w:fldChar w:fldCharType="begin"/>
      </w:r>
      <w:r w:rsidR="009B3D41" w:rsidRPr="00271DA5">
        <w:instrText>ADDIN RW.CITE{{doc:618c358d8f084f820ef71650 Su,Jian-An 2020; doc:618c35c68f0853639385c4ea Koyanagi,Ai 2018}}</w:instrText>
      </w:r>
      <w:r w:rsidR="009B3D41" w:rsidRPr="00271DA5">
        <w:fldChar w:fldCharType="separate"/>
      </w:r>
      <w:r w:rsidR="009B3D41" w:rsidRPr="00271DA5">
        <w:rPr>
          <w:bCs/>
        </w:rPr>
        <w:t>(Koyanagi, et al, 2018; Su and Chang, 2020)</w:t>
      </w:r>
      <w:r w:rsidR="009B3D41" w:rsidRPr="00271DA5">
        <w:fldChar w:fldCharType="end"/>
      </w:r>
      <w:r w:rsidR="008146BB" w:rsidRPr="00271DA5">
        <w:t>.</w:t>
      </w:r>
      <w:bookmarkEnd w:id="4"/>
      <w:bookmarkEnd w:id="5"/>
      <w:r w:rsidR="009B3D41" w:rsidRPr="00271DA5">
        <w:t xml:space="preserve"> </w:t>
      </w:r>
      <w:r w:rsidR="00F14ED3" w:rsidRPr="00271DA5">
        <w:t>With more women joining the working force, and shifts away from institutional care in some countries without adequate community care being provided, it is possible that caregiving is becoming more stressful than before, causing increas</w:t>
      </w:r>
      <w:r w:rsidR="00DC2BF8" w:rsidRPr="00271DA5">
        <w:t>ed</w:t>
      </w:r>
      <w:r w:rsidR="00F14ED3" w:rsidRPr="00271DA5">
        <w:t xml:space="preserve"> anxiety among caregivers. </w:t>
      </w:r>
      <w:r w:rsidR="009A3E10" w:rsidRPr="00271DA5">
        <w:t xml:space="preserve">However, </w:t>
      </w:r>
      <w:r w:rsidR="00CE6B50" w:rsidRPr="00271DA5">
        <w:t>while mental health in caregivers such as sleep problems, depression, and perceived stress ha</w:t>
      </w:r>
      <w:r w:rsidR="006750DF" w:rsidRPr="00271DA5">
        <w:t>s</w:t>
      </w:r>
      <w:r w:rsidR="00CE6B50" w:rsidRPr="00271DA5">
        <w:t xml:space="preserve"> been examined in multiple LMICs</w:t>
      </w:r>
      <w:r w:rsidR="000F0E33" w:rsidRPr="00271DA5">
        <w:t xml:space="preserve"> </w:t>
      </w:r>
      <w:r w:rsidR="009B3D41" w:rsidRPr="00271DA5">
        <w:fldChar w:fldCharType="begin"/>
      </w:r>
      <w:r w:rsidR="009B3D41" w:rsidRPr="00271DA5">
        <w:instrText>ADDIN RW.CITE{{doc:618c35c68f0853639385c4ea Koyanagi,Ai 2018}}</w:instrText>
      </w:r>
      <w:r w:rsidR="009B3D41" w:rsidRPr="00271DA5">
        <w:fldChar w:fldCharType="separate"/>
      </w:r>
      <w:r w:rsidR="009B3D41" w:rsidRPr="00271DA5">
        <w:rPr>
          <w:bCs/>
        </w:rPr>
        <w:t>(Koyanagi, et al, 2018)</w:t>
      </w:r>
      <w:r w:rsidR="009B3D41" w:rsidRPr="00271DA5">
        <w:fldChar w:fldCharType="end"/>
      </w:r>
      <w:r w:rsidR="00CE6B50" w:rsidRPr="00271DA5">
        <w:t>,</w:t>
      </w:r>
      <w:r w:rsidR="009B3D41" w:rsidRPr="00271DA5">
        <w:t xml:space="preserve"> </w:t>
      </w:r>
      <w:r w:rsidR="009A3E10" w:rsidRPr="00271DA5">
        <w:t xml:space="preserve">there are </w:t>
      </w:r>
      <w:r w:rsidR="00CE6B50" w:rsidRPr="00271DA5">
        <w:t xml:space="preserve">currently </w:t>
      </w:r>
      <w:r w:rsidR="009A3E10" w:rsidRPr="00271DA5">
        <w:t>no multi</w:t>
      </w:r>
      <w:r w:rsidR="009033C4" w:rsidRPr="00271DA5">
        <w:t>-</w:t>
      </w:r>
      <w:r w:rsidR="009A3E10" w:rsidRPr="00271DA5">
        <w:t xml:space="preserve">country studies of the general LMIC population on the association between caregiving and anxiety. </w:t>
      </w:r>
      <w:r w:rsidR="00ED6F86" w:rsidRPr="00271DA5">
        <w:t xml:space="preserve">Community-based studies are important as </w:t>
      </w:r>
      <w:r w:rsidR="009A3E10" w:rsidRPr="00271DA5">
        <w:t xml:space="preserve">most </w:t>
      </w:r>
      <w:r w:rsidR="00ED6F86" w:rsidRPr="00271DA5">
        <w:t xml:space="preserve">previous studies on caregiving and </w:t>
      </w:r>
      <w:r w:rsidR="009A3E10" w:rsidRPr="00271DA5">
        <w:t xml:space="preserve">anxiety </w:t>
      </w:r>
      <w:r w:rsidR="00ED6F86" w:rsidRPr="00271DA5">
        <w:t xml:space="preserve">have only focused on care recipients with a certain disease </w:t>
      </w:r>
      <w:r w:rsidR="0065238E" w:rsidRPr="00271DA5">
        <w:t xml:space="preserve">(e.g., dementia) </w:t>
      </w:r>
      <w:r w:rsidR="00ED6F86" w:rsidRPr="00271DA5">
        <w:t>and this may limit generalizability</w:t>
      </w:r>
      <w:r w:rsidR="008146BB" w:rsidRPr="00271DA5">
        <w:t xml:space="preserve"> </w:t>
      </w:r>
      <w:r w:rsidR="008146BB" w:rsidRPr="00271DA5">
        <w:fldChar w:fldCharType="begin"/>
      </w:r>
      <w:r w:rsidR="008146BB" w:rsidRPr="00271DA5">
        <w:instrText>ADDIN RW.CITE{{doc:615996aa8f08fb6ba45bb944 del-Pino-Casado,Rafael 2021}}</w:instrText>
      </w:r>
      <w:r w:rsidR="008146BB" w:rsidRPr="00271DA5">
        <w:fldChar w:fldCharType="separate"/>
      </w:r>
      <w:r w:rsidR="00054682" w:rsidRPr="00271DA5">
        <w:rPr>
          <w:bCs/>
        </w:rPr>
        <w:t>(del-Pino-Casado, et al, 2021)</w:t>
      </w:r>
      <w:r w:rsidR="008146BB" w:rsidRPr="00271DA5">
        <w:fldChar w:fldCharType="end"/>
      </w:r>
      <w:r w:rsidR="00ED6F86" w:rsidRPr="00271DA5">
        <w:t>.</w:t>
      </w:r>
      <w:r w:rsidR="008146BB" w:rsidRPr="00271DA5">
        <w:t xml:space="preserve"> </w:t>
      </w:r>
      <w:r w:rsidR="00ED6F86" w:rsidRPr="00271DA5">
        <w:t xml:space="preserve">Furthermore, </w:t>
      </w:r>
      <w:bookmarkStart w:id="6" w:name="_Hlk87448989"/>
      <w:r w:rsidR="009A3E10" w:rsidRPr="00271DA5">
        <w:t>multi</w:t>
      </w:r>
      <w:r w:rsidR="009033C4" w:rsidRPr="00271DA5">
        <w:t>-</w:t>
      </w:r>
      <w:r w:rsidR="009A3E10" w:rsidRPr="00271DA5">
        <w:t xml:space="preserve">country studies using standardized methodology across countries are important as </w:t>
      </w:r>
      <w:r w:rsidR="009033C4" w:rsidRPr="00271DA5">
        <w:t xml:space="preserve">contextual </w:t>
      </w:r>
      <w:r w:rsidR="009A3E10" w:rsidRPr="00271DA5">
        <w:t xml:space="preserve">factors such as </w:t>
      </w:r>
      <w:r w:rsidR="009A3E10" w:rsidRPr="00271DA5">
        <w:lastRenderedPageBreak/>
        <w:t xml:space="preserve">difference in disease profiles of the care recipient, household size, or availability of social welfare </w:t>
      </w:r>
      <w:r w:rsidR="00377C00" w:rsidRPr="00271DA5">
        <w:t>are</w:t>
      </w:r>
      <w:r w:rsidR="009A3E10" w:rsidRPr="00271DA5">
        <w:t xml:space="preserve"> likely to largely influence anxiety levels among caregivers</w:t>
      </w:r>
      <w:r w:rsidR="00515F45" w:rsidRPr="00271DA5">
        <w:t xml:space="preserve">, and </w:t>
      </w:r>
      <w:r w:rsidR="0065238E" w:rsidRPr="00271DA5">
        <w:t xml:space="preserve">these studies </w:t>
      </w:r>
      <w:r w:rsidR="00515F45" w:rsidRPr="00271DA5">
        <w:t xml:space="preserve">may provide </w:t>
      </w:r>
      <w:r w:rsidR="0065238E" w:rsidRPr="00271DA5">
        <w:t xml:space="preserve">important information for context-specific targeted interventions. </w:t>
      </w:r>
      <w:bookmarkEnd w:id="6"/>
      <w:r w:rsidR="0065238E" w:rsidRPr="00271DA5">
        <w:t xml:space="preserve">Given this background, the aim of the present study was to investigate the relationship between informal caregiving and anxiety symptoms in a community-based sample of 237,952 individuals aged ≥18 years from 47 LMICs. </w:t>
      </w:r>
    </w:p>
    <w:p w14:paraId="3D4C1EC3" w14:textId="10609096" w:rsidR="003F6FAE" w:rsidRPr="00271DA5" w:rsidRDefault="00FB1BFE" w:rsidP="00FB1BFE">
      <w:pPr>
        <w:tabs>
          <w:tab w:val="left" w:pos="1310"/>
        </w:tabs>
        <w:spacing w:line="480" w:lineRule="auto"/>
      </w:pPr>
      <w:r w:rsidRPr="00271DA5">
        <w:tab/>
      </w:r>
      <w:bookmarkStart w:id="7" w:name="_Hlk83043978"/>
    </w:p>
    <w:bookmarkEnd w:id="7"/>
    <w:p w14:paraId="2BE3F5AD" w14:textId="77777777" w:rsidR="0076133F" w:rsidRPr="00271DA5" w:rsidRDefault="0076133F" w:rsidP="00387261">
      <w:pPr>
        <w:spacing w:line="480" w:lineRule="auto"/>
        <w:sectPr w:rsidR="0076133F" w:rsidRPr="00271DA5" w:rsidSect="00CB0B05">
          <w:footerReference w:type="default" r:id="rId9"/>
          <w:pgSz w:w="11900" w:h="16840"/>
          <w:pgMar w:top="1440" w:right="1440" w:bottom="1440" w:left="1440" w:header="720" w:footer="720" w:gutter="0"/>
          <w:cols w:space="720"/>
          <w:docGrid w:linePitch="360"/>
        </w:sectPr>
      </w:pPr>
    </w:p>
    <w:p w14:paraId="7FF80E95" w14:textId="78BC6BB6" w:rsidR="0079187B" w:rsidRPr="00271DA5" w:rsidRDefault="0079187B" w:rsidP="001B20BA">
      <w:pPr>
        <w:pStyle w:val="Heading1"/>
      </w:pPr>
      <w:r w:rsidRPr="00271DA5">
        <w:lastRenderedPageBreak/>
        <w:t>M</w:t>
      </w:r>
      <w:r w:rsidR="00307AC6" w:rsidRPr="00271DA5">
        <w:t>ETHODS</w:t>
      </w:r>
    </w:p>
    <w:p w14:paraId="49A18A80" w14:textId="77777777" w:rsidR="00013D3C" w:rsidRPr="001B20BA" w:rsidRDefault="00013D3C" w:rsidP="001B20BA">
      <w:pPr>
        <w:pStyle w:val="Heading2"/>
      </w:pPr>
      <w:r w:rsidRPr="001B20BA">
        <w:t>The survey</w:t>
      </w:r>
    </w:p>
    <w:p w14:paraId="554B2F22" w14:textId="65C4A6B7" w:rsidR="00013D3C" w:rsidRPr="00271DA5" w:rsidRDefault="00025AD5" w:rsidP="0079187B">
      <w:pPr>
        <w:spacing w:line="480" w:lineRule="auto"/>
      </w:pPr>
      <w:r w:rsidRPr="00271DA5">
        <w:t xml:space="preserve">The </w:t>
      </w:r>
      <w:r w:rsidR="00377C00" w:rsidRPr="00271DA5">
        <w:t>World Health Survey (</w:t>
      </w:r>
      <w:r w:rsidRPr="00271DA5">
        <w:t>WHS</w:t>
      </w:r>
      <w:r w:rsidR="00377C00" w:rsidRPr="00271DA5">
        <w:t>)</w:t>
      </w:r>
      <w:r w:rsidRPr="00271DA5">
        <w:t xml:space="preserve"> was</w:t>
      </w:r>
      <w:r w:rsidR="00013D3C" w:rsidRPr="00271DA5">
        <w:t xml:space="preserve"> a cross-sectional survey </w:t>
      </w:r>
      <w:r w:rsidR="00F8367F" w:rsidRPr="00271DA5">
        <w:t xml:space="preserve">conducted </w:t>
      </w:r>
      <w:r w:rsidR="00013D3C" w:rsidRPr="00271DA5">
        <w:t>in 70 countries</w:t>
      </w:r>
      <w:r w:rsidR="00065672" w:rsidRPr="00271DA5">
        <w:t xml:space="preserve"> in 2002-2004</w:t>
      </w:r>
      <w:r w:rsidR="00EF5C6A" w:rsidRPr="00271DA5">
        <w:t xml:space="preserve">. </w:t>
      </w:r>
      <w:r w:rsidR="003A5DC9" w:rsidRPr="00271DA5">
        <w:t xml:space="preserve">Survey details are available </w:t>
      </w:r>
      <w:r w:rsidR="000B6757" w:rsidRPr="00271DA5">
        <w:t>elsewhere</w:t>
      </w:r>
      <w:r w:rsidR="00045E74" w:rsidRPr="00271DA5">
        <w:t xml:space="preserve"> </w:t>
      </w:r>
      <w:r w:rsidR="00045E74" w:rsidRPr="00271DA5">
        <w:fldChar w:fldCharType="begin"/>
      </w:r>
      <w:r w:rsidR="00045E74" w:rsidRPr="00271DA5">
        <w:instrText>ADDIN RW.CITE{{doc:60a3e78d8f08fb39ea02ab14 Üstün,TBedirhan 2003}}</w:instrText>
      </w:r>
      <w:r w:rsidR="00045E74" w:rsidRPr="00271DA5">
        <w:fldChar w:fldCharType="separate"/>
      </w:r>
      <w:r w:rsidR="00054682" w:rsidRPr="00271DA5">
        <w:rPr>
          <w:bCs/>
        </w:rPr>
        <w:t>(Üstün, et al, 2003)</w:t>
      </w:r>
      <w:r w:rsidR="00045E74" w:rsidRPr="00271DA5">
        <w:fldChar w:fldCharType="end"/>
      </w:r>
      <w:r w:rsidR="000B6757" w:rsidRPr="00271DA5">
        <w:t xml:space="preserve">. </w:t>
      </w:r>
      <w:r w:rsidR="006554CA" w:rsidRPr="00271DA5">
        <w:t>Briefly, s</w:t>
      </w:r>
      <w:r w:rsidR="00013D3C" w:rsidRPr="00271DA5">
        <w:t xml:space="preserve">ingle-stage random sampling was carried out in 10 countries, while </w:t>
      </w:r>
      <w:r w:rsidR="001A3C78" w:rsidRPr="00271DA5">
        <w:t xml:space="preserve">the remaining 60 countries used </w:t>
      </w:r>
      <w:r w:rsidR="00013D3C" w:rsidRPr="00271DA5">
        <w:t xml:space="preserve">stratified multi-stage random cluster sampling. </w:t>
      </w:r>
      <w:r w:rsidR="003A5DC9" w:rsidRPr="00271DA5">
        <w:t>A</w:t>
      </w:r>
      <w:r w:rsidR="00E63323" w:rsidRPr="00271DA5">
        <w:t xml:space="preserve">ll adults aged </w:t>
      </w:r>
      <w:r w:rsidR="003A5DC9" w:rsidRPr="00271DA5">
        <w:t>≥</w:t>
      </w:r>
      <w:r w:rsidR="00E63323" w:rsidRPr="00271DA5">
        <w:t>18 years with a valid home address were assigned a non-zero chance of</w:t>
      </w:r>
      <w:r w:rsidR="00A1018B" w:rsidRPr="00271DA5">
        <w:t xml:space="preserve"> inclusion</w:t>
      </w:r>
      <w:r w:rsidR="00013D3C" w:rsidRPr="00271DA5">
        <w:t xml:space="preserve">. </w:t>
      </w:r>
      <w:r w:rsidR="00736F8A" w:rsidRPr="00271DA5">
        <w:t>S</w:t>
      </w:r>
      <w:r w:rsidR="00013D3C" w:rsidRPr="00271DA5">
        <w:t>tandard translation procedures</w:t>
      </w:r>
      <w:r w:rsidR="00AA72C7" w:rsidRPr="00271DA5">
        <w:t xml:space="preserve"> </w:t>
      </w:r>
      <w:r w:rsidR="00736F8A" w:rsidRPr="00271DA5">
        <w:t xml:space="preserve">for the survey questionnaire were followed </w:t>
      </w:r>
      <w:r w:rsidR="00AA72C7" w:rsidRPr="00271DA5">
        <w:t>to ensure comparability across countries</w:t>
      </w:r>
      <w:r w:rsidR="00013D3C" w:rsidRPr="00271DA5">
        <w:t>. Face-to-face interviews and telephone interviews were conducted by trained interviewers</w:t>
      </w:r>
      <w:r w:rsidR="001A3C78" w:rsidRPr="00271DA5">
        <w:t xml:space="preserve">. </w:t>
      </w:r>
      <w:r w:rsidR="003A5DC9" w:rsidRPr="00271DA5">
        <w:t xml:space="preserve">Individual </w:t>
      </w:r>
      <w:r w:rsidR="00736F8A" w:rsidRPr="00271DA5">
        <w:t xml:space="preserve">level response rates were </w:t>
      </w:r>
      <w:r w:rsidR="0095571C" w:rsidRPr="00271DA5">
        <w:t xml:space="preserve">over </w:t>
      </w:r>
      <w:r w:rsidR="003A5DC9" w:rsidRPr="00271DA5">
        <w:t xml:space="preserve">82%. </w:t>
      </w:r>
      <w:r w:rsidR="00EE0DFF" w:rsidRPr="00271DA5">
        <w:t>Post-stratification corrections were made to sampling weights to adjust for non-response and the po</w:t>
      </w:r>
      <w:r w:rsidR="001A7D63" w:rsidRPr="00271DA5">
        <w:t>pulation distribution reported</w:t>
      </w:r>
      <w:r w:rsidR="00EE0DFF" w:rsidRPr="00271DA5">
        <w:t xml:space="preserve"> by the United Nations Statistical Division. </w:t>
      </w:r>
      <w:r w:rsidR="00013D3C" w:rsidRPr="00271DA5">
        <w:t>Ethical boards at each study site provided ethical approval for the survey with all participants providing informed consent.</w:t>
      </w:r>
    </w:p>
    <w:p w14:paraId="4A4D0701" w14:textId="5DA4A54B" w:rsidR="006F6A69" w:rsidRPr="00271DA5" w:rsidRDefault="006F6A69" w:rsidP="0079187B">
      <w:pPr>
        <w:spacing w:line="480" w:lineRule="auto"/>
      </w:pPr>
    </w:p>
    <w:p w14:paraId="1066108E" w14:textId="7CFBC052" w:rsidR="006F6A69" w:rsidRPr="00271DA5" w:rsidRDefault="006F6A69" w:rsidP="0079187B">
      <w:pPr>
        <w:spacing w:line="480" w:lineRule="auto"/>
        <w:rPr>
          <w:lang w:val="en-GB"/>
        </w:rPr>
      </w:pPr>
      <w:r w:rsidRPr="00271DA5">
        <w:t xml:space="preserve">Data were publicly available for 69 countries. Of these, 10 countries were excluded due to a lack of sampling information. Furthermore, 10 high-income countries were excluded to focus on LMICs. Moreover, Turkey was deleted due to lack of data on caregiving, while Morocco was deleted due to lack of data on anxiety symptoms. Thus, the final sample consisted of 47 LMICs according to the World Bank classification at the time of the survey (2003). </w:t>
      </w:r>
      <w:r w:rsidRPr="00271DA5">
        <w:rPr>
          <w:lang w:val="en-GB"/>
        </w:rPr>
        <w:t xml:space="preserve">The data were nationally representative for all countries, except for China, Comoros, the Republic of Congo, Ivory Coast, India, and Russia. The list of included countries and their sample sizes can be found in </w:t>
      </w:r>
      <w:r w:rsidRPr="00271DA5">
        <w:rPr>
          <w:b/>
          <w:bCs/>
          <w:lang w:val="en-GB"/>
        </w:rPr>
        <w:t>Table S1</w:t>
      </w:r>
      <w:r w:rsidRPr="00271DA5">
        <w:rPr>
          <w:lang w:val="en-GB"/>
        </w:rPr>
        <w:t xml:space="preserve"> (Appendix).</w:t>
      </w:r>
    </w:p>
    <w:p w14:paraId="04CB70E6" w14:textId="6C27B3F9" w:rsidR="001F20B2" w:rsidRDefault="001F20B2" w:rsidP="0005089C">
      <w:pPr>
        <w:spacing w:line="480" w:lineRule="auto"/>
        <w:rPr>
          <w:b/>
          <w:i/>
        </w:rPr>
      </w:pPr>
    </w:p>
    <w:p w14:paraId="4A304753" w14:textId="392D1C56" w:rsidR="001B20BA" w:rsidRDefault="001B20BA" w:rsidP="0005089C">
      <w:pPr>
        <w:spacing w:line="480" w:lineRule="auto"/>
        <w:rPr>
          <w:b/>
          <w:i/>
        </w:rPr>
      </w:pPr>
    </w:p>
    <w:p w14:paraId="12A4D946" w14:textId="77777777" w:rsidR="001B20BA" w:rsidRPr="00271DA5" w:rsidRDefault="001B20BA" w:rsidP="0005089C">
      <w:pPr>
        <w:spacing w:line="480" w:lineRule="auto"/>
        <w:rPr>
          <w:b/>
          <w:i/>
        </w:rPr>
      </w:pPr>
    </w:p>
    <w:p w14:paraId="06821448" w14:textId="18A5DD7F" w:rsidR="00EE3C24" w:rsidRPr="00271DA5" w:rsidRDefault="00EE3C24" w:rsidP="001B20BA">
      <w:pPr>
        <w:pStyle w:val="Heading2"/>
      </w:pPr>
      <w:r w:rsidRPr="00271DA5">
        <w:lastRenderedPageBreak/>
        <w:t>Caregiving</w:t>
      </w:r>
      <w:r w:rsidR="007B404E" w:rsidRPr="00271DA5">
        <w:t xml:space="preserve"> (Exposure variable)</w:t>
      </w:r>
    </w:p>
    <w:p w14:paraId="4750B857" w14:textId="610DF3D0" w:rsidR="00EE3C24" w:rsidRPr="00271DA5" w:rsidRDefault="00596890" w:rsidP="004A7F08">
      <w:pPr>
        <w:spacing w:line="480" w:lineRule="auto"/>
      </w:pPr>
      <w:r w:rsidRPr="00271DA5">
        <w:t xml:space="preserve">Those who answered affirmatively to the question </w:t>
      </w:r>
      <w:r w:rsidR="00C22B3C" w:rsidRPr="00271DA5">
        <w:t>“During the past year, did you provide help to a relative or friend (adult or child), because this person has a long-term physical or mental illness or disability, or is getting old and weak</w:t>
      </w:r>
      <w:r w:rsidR="00D35F66" w:rsidRPr="00271DA5">
        <w:t>?</w:t>
      </w:r>
      <w:r w:rsidR="00C22B3C" w:rsidRPr="00271DA5">
        <w:t xml:space="preserve">” </w:t>
      </w:r>
      <w:r w:rsidRPr="00271DA5">
        <w:t>were considered to be caregivers</w:t>
      </w:r>
      <w:r w:rsidR="00045E74" w:rsidRPr="00271DA5">
        <w:t xml:space="preserve"> </w:t>
      </w:r>
      <w:r w:rsidR="002E0592" w:rsidRPr="00271DA5">
        <w:fldChar w:fldCharType="begin"/>
      </w:r>
      <w:r w:rsidR="002E0592" w:rsidRPr="00271DA5">
        <w:instrText>ADDIN RW.CITE{{doc:61599ba78f08e5f355a6ef58 Hosseinpoor,AhmadReza 2013}}</w:instrText>
      </w:r>
      <w:r w:rsidR="002E0592" w:rsidRPr="00271DA5">
        <w:fldChar w:fldCharType="separate"/>
      </w:r>
      <w:r w:rsidR="00054682" w:rsidRPr="00271DA5">
        <w:rPr>
          <w:bCs/>
        </w:rPr>
        <w:t>(Hosseinpoor, et al, 2013)</w:t>
      </w:r>
      <w:r w:rsidR="002E0592" w:rsidRPr="00271DA5">
        <w:fldChar w:fldCharType="end"/>
      </w:r>
      <w:r w:rsidR="00691CB8" w:rsidRPr="00271DA5">
        <w:t>.</w:t>
      </w:r>
      <w:r w:rsidR="00A01C63" w:rsidRPr="00271DA5">
        <w:t xml:space="preserve"> </w:t>
      </w:r>
      <w:r w:rsidR="00B17DD7" w:rsidRPr="00271DA5">
        <w:t>This qu</w:t>
      </w:r>
      <w:r w:rsidR="00AF5052" w:rsidRPr="00271DA5">
        <w:t>estion is comparable to those used in previous surveys to identify caregivers</w:t>
      </w:r>
      <w:r w:rsidR="002E0592" w:rsidRPr="00271DA5">
        <w:t xml:space="preserve"> </w:t>
      </w:r>
      <w:r w:rsidR="002E0592" w:rsidRPr="00271DA5">
        <w:fldChar w:fldCharType="begin"/>
      </w:r>
      <w:r w:rsidR="002E0592" w:rsidRPr="00271DA5">
        <w:instrText>ADDIN RW.CITE{{doc:61599c298f08fb6ba45bb979 Smith,Lindsay 2014}}</w:instrText>
      </w:r>
      <w:r w:rsidR="002E0592" w:rsidRPr="00271DA5">
        <w:fldChar w:fldCharType="separate"/>
      </w:r>
      <w:r w:rsidR="00054682" w:rsidRPr="00271DA5">
        <w:rPr>
          <w:bCs/>
        </w:rPr>
        <w:t>(Smith, et al, 2014)</w:t>
      </w:r>
      <w:r w:rsidR="002E0592" w:rsidRPr="00271DA5">
        <w:fldChar w:fldCharType="end"/>
      </w:r>
      <w:r w:rsidR="00691CB8" w:rsidRPr="00271DA5">
        <w:t>.</w:t>
      </w:r>
      <w:r w:rsidR="00E963DF" w:rsidRPr="00271DA5">
        <w:t xml:space="preserve"> </w:t>
      </w:r>
      <w:r w:rsidR="005707CA" w:rsidRPr="00271DA5">
        <w:t xml:space="preserve">Furthermore, </w:t>
      </w:r>
      <w:r w:rsidR="00104751" w:rsidRPr="00271DA5">
        <w:t>q</w:t>
      </w:r>
      <w:r w:rsidR="00DF0C27" w:rsidRPr="00271DA5">
        <w:t xml:space="preserve">uestions </w:t>
      </w:r>
      <w:r w:rsidR="005707CA" w:rsidRPr="00271DA5">
        <w:t xml:space="preserve">on five types of caregiving activities (personal care, medical care, household activities, </w:t>
      </w:r>
      <w:r w:rsidR="00343A84" w:rsidRPr="00271DA5">
        <w:t>supervision, transport/mobility) wi</w:t>
      </w:r>
      <w:r w:rsidR="00DF0C27" w:rsidRPr="00271DA5">
        <w:t xml:space="preserve">th “Yes” and “No” </w:t>
      </w:r>
      <w:r w:rsidR="00971213" w:rsidRPr="00271DA5">
        <w:t xml:space="preserve">answer </w:t>
      </w:r>
      <w:r w:rsidR="00DF0C27" w:rsidRPr="00271DA5">
        <w:t>options were asked</w:t>
      </w:r>
      <w:r w:rsidR="00F15DF7" w:rsidRPr="00271DA5">
        <w:t xml:space="preserve"> </w:t>
      </w:r>
      <w:r w:rsidR="00104751" w:rsidRPr="00271DA5">
        <w:t xml:space="preserve">to caregivers </w:t>
      </w:r>
      <w:r w:rsidR="00F15DF7" w:rsidRPr="00271DA5">
        <w:t xml:space="preserve">(See </w:t>
      </w:r>
      <w:r w:rsidR="00F15DF7" w:rsidRPr="00271DA5">
        <w:rPr>
          <w:b/>
        </w:rPr>
        <w:t xml:space="preserve">Table </w:t>
      </w:r>
      <w:r w:rsidR="00D86403" w:rsidRPr="00271DA5">
        <w:rPr>
          <w:b/>
        </w:rPr>
        <w:t>S</w:t>
      </w:r>
      <w:r w:rsidR="006F6A69" w:rsidRPr="00271DA5">
        <w:rPr>
          <w:b/>
        </w:rPr>
        <w:t>2</w:t>
      </w:r>
      <w:r w:rsidR="00F15DF7" w:rsidRPr="00271DA5">
        <w:t xml:space="preserve"> </w:t>
      </w:r>
      <w:r w:rsidR="006A050F" w:rsidRPr="00271DA5">
        <w:t xml:space="preserve">of the Appendix </w:t>
      </w:r>
      <w:r w:rsidR="00F15DF7" w:rsidRPr="00271DA5">
        <w:t>for actual questions)</w:t>
      </w:r>
      <w:r w:rsidR="00343A84" w:rsidRPr="00271DA5">
        <w:t xml:space="preserve">. </w:t>
      </w:r>
      <w:r w:rsidR="009D0014" w:rsidRPr="00271DA5">
        <w:t xml:space="preserve">The number of caregiving </w:t>
      </w:r>
      <w:r w:rsidR="00BA0C4A" w:rsidRPr="00271DA5">
        <w:t>activities was</w:t>
      </w:r>
      <w:r w:rsidR="009D0014" w:rsidRPr="00271DA5">
        <w:t xml:space="preserve"> summed.</w:t>
      </w:r>
      <w:r w:rsidR="00CF47BD" w:rsidRPr="00271DA5">
        <w:t xml:space="preserve"> </w:t>
      </w:r>
      <w:r w:rsidR="00D407B9" w:rsidRPr="00271DA5">
        <w:t xml:space="preserve">Non-caregivers were assigned a score of 0. </w:t>
      </w:r>
    </w:p>
    <w:p w14:paraId="7EBCC58E" w14:textId="1A93278B" w:rsidR="0005089C" w:rsidRPr="00271DA5" w:rsidRDefault="0005089C" w:rsidP="004A7F08">
      <w:pPr>
        <w:spacing w:line="480" w:lineRule="auto"/>
        <w:rPr>
          <w:b/>
        </w:rPr>
      </w:pPr>
    </w:p>
    <w:p w14:paraId="66766A98" w14:textId="4BA5A1BB" w:rsidR="00F95F39" w:rsidRPr="00271DA5" w:rsidRDefault="001728CF" w:rsidP="001B20BA">
      <w:pPr>
        <w:pStyle w:val="Heading2"/>
      </w:pPr>
      <w:r w:rsidRPr="00271DA5">
        <w:t>Anxiety</w:t>
      </w:r>
      <w:r w:rsidR="00E133FB" w:rsidRPr="00271DA5">
        <w:t xml:space="preserve"> </w:t>
      </w:r>
      <w:r w:rsidR="00130E4B" w:rsidRPr="00271DA5">
        <w:t xml:space="preserve">symptoms </w:t>
      </w:r>
      <w:r w:rsidR="00E133FB" w:rsidRPr="00271DA5">
        <w:t>(Outcome variable)</w:t>
      </w:r>
    </w:p>
    <w:p w14:paraId="4B866B2F" w14:textId="7EBFE200" w:rsidR="001728CF" w:rsidRPr="00271DA5" w:rsidRDefault="00E133FB" w:rsidP="00507DB4">
      <w:pPr>
        <w:spacing w:line="480" w:lineRule="auto"/>
        <w:rPr>
          <w:iCs/>
        </w:rPr>
      </w:pPr>
      <w:r w:rsidRPr="00271DA5">
        <w:rPr>
          <w:lang w:val="en-GB"/>
        </w:rPr>
        <w:t xml:space="preserve">Anxiety symptoms were assessed by the question </w:t>
      </w:r>
      <w:r w:rsidR="00130E4B" w:rsidRPr="00271DA5">
        <w:rPr>
          <w:lang w:val="en-GB"/>
        </w:rPr>
        <w:t>“</w:t>
      </w:r>
      <w:r w:rsidRPr="00271DA5">
        <w:rPr>
          <w:lang w:val="en-GB"/>
        </w:rPr>
        <w:t>Overall in the past 30 days, how much of a problem did you have with worry or anxiety</w:t>
      </w:r>
      <w:r w:rsidR="00130E4B" w:rsidRPr="00271DA5">
        <w:rPr>
          <w:lang w:val="en-GB"/>
        </w:rPr>
        <w:t>?”</w:t>
      </w:r>
      <w:r w:rsidRPr="00271DA5">
        <w:rPr>
          <w:lang w:val="en-GB"/>
        </w:rPr>
        <w:t xml:space="preserve"> with answer options being </w:t>
      </w:r>
      <w:r w:rsidRPr="00271DA5">
        <w:t xml:space="preserve">none, mild, moderate, severe, and extreme. In accordance with previous WHS publications, those who answered </w:t>
      </w:r>
      <w:r w:rsidR="0006465E" w:rsidRPr="00271DA5">
        <w:t>“</w:t>
      </w:r>
      <w:r w:rsidRPr="00271DA5">
        <w:t>severe</w:t>
      </w:r>
      <w:r w:rsidR="0006465E" w:rsidRPr="00271DA5">
        <w:t>”</w:t>
      </w:r>
      <w:r w:rsidRPr="00271DA5">
        <w:t xml:space="preserve"> and </w:t>
      </w:r>
      <w:r w:rsidR="0006465E" w:rsidRPr="00271DA5">
        <w:t>“</w:t>
      </w:r>
      <w:r w:rsidRPr="00271DA5">
        <w:t>extreme</w:t>
      </w:r>
      <w:r w:rsidR="0006465E" w:rsidRPr="00271DA5">
        <w:t>”</w:t>
      </w:r>
      <w:r w:rsidRPr="00271DA5">
        <w:t xml:space="preserve"> were considered to have anxiety symptoms</w:t>
      </w:r>
      <w:r w:rsidR="002E0592" w:rsidRPr="00271DA5">
        <w:t xml:space="preserve"> </w:t>
      </w:r>
      <w:r w:rsidR="00BB606D" w:rsidRPr="00271DA5">
        <w:fldChar w:fldCharType="begin"/>
      </w:r>
      <w:r w:rsidR="00BB606D" w:rsidRPr="00271DA5">
        <w:instrText>ADDIN RW.CITE{{doc:602e267f8f085533dc67b16d Koyanagi,Ai 2015; doc:6150c8c08f08e5f355a59af1 Wong,KaiOn 2013}}</w:instrText>
      </w:r>
      <w:r w:rsidR="00BB606D" w:rsidRPr="00271DA5">
        <w:fldChar w:fldCharType="separate"/>
      </w:r>
      <w:r w:rsidR="00054682" w:rsidRPr="00271DA5">
        <w:rPr>
          <w:bCs/>
        </w:rPr>
        <w:t>(Koyanagi and Stickley, 2015; Wong, et al, 2013)</w:t>
      </w:r>
      <w:r w:rsidR="00BB606D" w:rsidRPr="00271DA5">
        <w:fldChar w:fldCharType="end"/>
      </w:r>
      <w:r w:rsidRPr="00271DA5">
        <w:t>.</w:t>
      </w:r>
    </w:p>
    <w:p w14:paraId="7637322C" w14:textId="77777777" w:rsidR="007B165E" w:rsidRPr="00271DA5" w:rsidRDefault="007B165E" w:rsidP="00507DB4">
      <w:pPr>
        <w:spacing w:line="480" w:lineRule="auto"/>
        <w:rPr>
          <w:iCs/>
        </w:rPr>
      </w:pPr>
    </w:p>
    <w:p w14:paraId="32AEF9F2" w14:textId="6D649D2B" w:rsidR="009C201C" w:rsidRPr="00271DA5" w:rsidRDefault="002C1ABF" w:rsidP="001B20BA">
      <w:pPr>
        <w:pStyle w:val="Heading2"/>
      </w:pPr>
      <w:r w:rsidRPr="00271DA5">
        <w:t>Control variables</w:t>
      </w:r>
    </w:p>
    <w:p w14:paraId="483D2381" w14:textId="6AE8B3C9" w:rsidR="00E143D4" w:rsidRPr="00271DA5" w:rsidRDefault="002827CA" w:rsidP="00E143D4">
      <w:pPr>
        <w:pStyle w:val="BodyA"/>
        <w:suppressAutoHyphens/>
        <w:spacing w:line="480" w:lineRule="auto"/>
        <w:rPr>
          <w:rFonts w:hAnsi="Times New Roman" w:cs="Times New Roman"/>
          <w:color w:val="auto"/>
        </w:rPr>
      </w:pPr>
      <w:r w:rsidRPr="00271DA5">
        <w:rPr>
          <w:rFonts w:hAnsi="Times New Roman" w:cs="Times New Roman"/>
          <w:color w:val="auto"/>
        </w:rPr>
        <w:t xml:space="preserve">The selection of the control variables used in this analysis was based on </w:t>
      </w:r>
      <w:r w:rsidR="000D212A" w:rsidRPr="00271DA5">
        <w:rPr>
          <w:rFonts w:hAnsi="Times New Roman" w:cs="Times New Roman"/>
          <w:color w:val="auto"/>
        </w:rPr>
        <w:t>past literature</w:t>
      </w:r>
      <w:r w:rsidR="00772011" w:rsidRPr="00271DA5">
        <w:rPr>
          <w:rFonts w:hAnsi="Times New Roman" w:cs="Times New Roman"/>
          <w:color w:val="auto"/>
        </w:rPr>
        <w:t xml:space="preserve"> </w:t>
      </w:r>
      <w:r w:rsidR="00E143D4" w:rsidRPr="00271DA5">
        <w:rPr>
          <w:rFonts w:hAnsi="Times New Roman" w:cs="Times New Roman"/>
          <w:color w:val="auto"/>
        </w:rPr>
        <w:t>and included age</w:t>
      </w:r>
      <w:r w:rsidR="001728CF" w:rsidRPr="00271DA5">
        <w:rPr>
          <w:rFonts w:hAnsi="Times New Roman" w:cs="Times New Roman"/>
          <w:color w:val="auto"/>
        </w:rPr>
        <w:t xml:space="preserve">, </w:t>
      </w:r>
      <w:r w:rsidR="00826A2E" w:rsidRPr="00271DA5">
        <w:rPr>
          <w:rFonts w:hAnsi="Times New Roman" w:cs="Times New Roman"/>
          <w:color w:val="auto"/>
        </w:rPr>
        <w:t>sex, marital status</w:t>
      </w:r>
      <w:r w:rsidR="00D7717F" w:rsidRPr="00271DA5">
        <w:rPr>
          <w:rFonts w:hAnsi="Times New Roman" w:cs="Times New Roman"/>
          <w:color w:val="auto"/>
        </w:rPr>
        <w:t xml:space="preserve"> (married/cohabiting, never</w:t>
      </w:r>
      <w:r w:rsidR="003F29B9" w:rsidRPr="00271DA5">
        <w:rPr>
          <w:rFonts w:hAnsi="Times New Roman" w:cs="Times New Roman"/>
          <w:color w:val="auto"/>
        </w:rPr>
        <w:t xml:space="preserve"> </w:t>
      </w:r>
      <w:r w:rsidR="00FC46F3" w:rsidRPr="00271DA5">
        <w:rPr>
          <w:rFonts w:hAnsi="Times New Roman" w:cs="Times New Roman"/>
          <w:color w:val="auto"/>
        </w:rPr>
        <w:t>married</w:t>
      </w:r>
      <w:r w:rsidR="00826A2E" w:rsidRPr="00271DA5">
        <w:rPr>
          <w:rFonts w:hAnsi="Times New Roman" w:cs="Times New Roman"/>
          <w:color w:val="auto"/>
        </w:rPr>
        <w:t>,</w:t>
      </w:r>
      <w:r w:rsidR="003F29B9" w:rsidRPr="00271DA5">
        <w:rPr>
          <w:rFonts w:hAnsi="Times New Roman" w:cs="Times New Roman"/>
          <w:color w:val="auto"/>
        </w:rPr>
        <w:t xml:space="preserve"> </w:t>
      </w:r>
      <w:r w:rsidR="00FC46F3" w:rsidRPr="00271DA5">
        <w:rPr>
          <w:rFonts w:hAnsi="Times New Roman" w:cs="Times New Roman"/>
          <w:color w:val="auto"/>
        </w:rPr>
        <w:t xml:space="preserve">separated/divorced/widowed), </w:t>
      </w:r>
      <w:r w:rsidR="00CD7A69" w:rsidRPr="00271DA5">
        <w:rPr>
          <w:rFonts w:hAnsi="Times New Roman" w:cs="Times New Roman"/>
          <w:color w:val="auto"/>
        </w:rPr>
        <w:t xml:space="preserve">highest </w:t>
      </w:r>
      <w:r w:rsidR="00826A2E" w:rsidRPr="00271DA5">
        <w:rPr>
          <w:rFonts w:hAnsi="Times New Roman" w:cs="Times New Roman"/>
          <w:color w:val="auto"/>
        </w:rPr>
        <w:t>education</w:t>
      </w:r>
      <w:r w:rsidR="00CD7A69" w:rsidRPr="00271DA5">
        <w:rPr>
          <w:rFonts w:hAnsi="Times New Roman" w:cs="Times New Roman"/>
          <w:color w:val="auto"/>
        </w:rPr>
        <w:t xml:space="preserve"> attained (no formal education</w:t>
      </w:r>
      <w:r w:rsidR="00826A2E" w:rsidRPr="00271DA5">
        <w:rPr>
          <w:rFonts w:hAnsi="Times New Roman" w:cs="Times New Roman"/>
          <w:color w:val="auto"/>
        </w:rPr>
        <w:t xml:space="preserve">, </w:t>
      </w:r>
      <w:r w:rsidR="00CD7A69" w:rsidRPr="00271DA5">
        <w:rPr>
          <w:rFonts w:hAnsi="Times New Roman" w:cs="Times New Roman"/>
          <w:color w:val="auto"/>
        </w:rPr>
        <w:t xml:space="preserve">primary education, secondary or high school completed, and tertiary education completed), </w:t>
      </w:r>
      <w:r w:rsidR="00826A2E" w:rsidRPr="00271DA5">
        <w:rPr>
          <w:rFonts w:hAnsi="Times New Roman" w:cs="Times New Roman"/>
          <w:color w:val="auto"/>
        </w:rPr>
        <w:t>household size</w:t>
      </w:r>
      <w:r w:rsidR="00C85BDC" w:rsidRPr="00271DA5">
        <w:rPr>
          <w:rFonts w:hAnsi="Times New Roman" w:cs="Times New Roman"/>
          <w:color w:val="auto"/>
        </w:rPr>
        <w:t xml:space="preserve"> (1, 2, 3-5, ≥6)</w:t>
      </w:r>
      <w:r w:rsidR="00CC7968" w:rsidRPr="00271DA5">
        <w:rPr>
          <w:rFonts w:hAnsi="Times New Roman" w:cs="Times New Roman"/>
          <w:color w:val="auto"/>
        </w:rPr>
        <w:t>,</w:t>
      </w:r>
      <w:r w:rsidR="00826A2E" w:rsidRPr="00271DA5">
        <w:rPr>
          <w:rFonts w:hAnsi="Times New Roman" w:cs="Times New Roman"/>
          <w:color w:val="auto"/>
        </w:rPr>
        <w:t xml:space="preserve"> employment status</w:t>
      </w:r>
      <w:r w:rsidR="00CC7968" w:rsidRPr="00271DA5">
        <w:rPr>
          <w:rFonts w:hAnsi="Times New Roman" w:cs="Times New Roman"/>
          <w:color w:val="auto"/>
        </w:rPr>
        <w:t xml:space="preserve"> (</w:t>
      </w:r>
      <w:r w:rsidR="002A17E7" w:rsidRPr="00271DA5">
        <w:rPr>
          <w:rFonts w:hAnsi="Times New Roman" w:cs="Times New Roman"/>
          <w:color w:val="auto"/>
        </w:rPr>
        <w:t>not working for pay or currently in paid employment)</w:t>
      </w:r>
      <w:r w:rsidR="00E143D4" w:rsidRPr="00271DA5">
        <w:rPr>
          <w:rFonts w:hAnsi="Times New Roman" w:cs="Times New Roman"/>
          <w:color w:val="auto"/>
        </w:rPr>
        <w:t>, and disability</w:t>
      </w:r>
      <w:r w:rsidR="00BB606D" w:rsidRPr="00271DA5">
        <w:rPr>
          <w:rFonts w:hAnsi="Times New Roman" w:cs="Times New Roman"/>
          <w:color w:val="auto"/>
        </w:rPr>
        <w:t xml:space="preserve"> </w:t>
      </w:r>
      <w:r w:rsidR="00BB606D" w:rsidRPr="00271DA5">
        <w:rPr>
          <w:rFonts w:hAnsi="Times New Roman" w:cs="Times New Roman"/>
          <w:color w:val="auto"/>
        </w:rPr>
        <w:fldChar w:fldCharType="begin"/>
      </w:r>
      <w:r w:rsidR="00BB606D" w:rsidRPr="00271DA5">
        <w:rPr>
          <w:rFonts w:hAnsi="Times New Roman" w:cs="Times New Roman"/>
          <w:color w:val="auto"/>
        </w:rPr>
        <w:instrText>ADDIN RW.CITE{{doc:61599ba78f08e5f355a6ef58 Hosseinpoor,AhmadReza 2013; doc:61599c298f08fb6ba45bb979 Smith,Lindsay 2014}}</w:instrText>
      </w:r>
      <w:r w:rsidR="00BB606D" w:rsidRPr="00271DA5">
        <w:rPr>
          <w:rFonts w:hAnsi="Times New Roman" w:cs="Times New Roman"/>
          <w:color w:val="auto"/>
        </w:rPr>
        <w:fldChar w:fldCharType="separate"/>
      </w:r>
      <w:r w:rsidR="00054682" w:rsidRPr="00271DA5">
        <w:rPr>
          <w:rFonts w:hAnsi="Times New Roman" w:cs="Times New Roman"/>
          <w:bCs/>
          <w:color w:val="auto"/>
        </w:rPr>
        <w:t>(Hosseinpoor, et al, 2013; Smith, et al, 2014)</w:t>
      </w:r>
      <w:r w:rsidR="00BB606D" w:rsidRPr="00271DA5">
        <w:rPr>
          <w:rFonts w:hAnsi="Times New Roman" w:cs="Times New Roman"/>
          <w:color w:val="auto"/>
        </w:rPr>
        <w:fldChar w:fldCharType="end"/>
      </w:r>
      <w:r w:rsidR="00691CB8" w:rsidRPr="00271DA5">
        <w:rPr>
          <w:rFonts w:hAnsi="Times New Roman" w:cs="Times New Roman"/>
          <w:color w:val="auto"/>
        </w:rPr>
        <w:t>.</w:t>
      </w:r>
      <w:r w:rsidR="00826A2E" w:rsidRPr="00271DA5">
        <w:rPr>
          <w:rFonts w:hAnsi="Times New Roman" w:cs="Times New Roman"/>
          <w:color w:val="auto"/>
        </w:rPr>
        <w:t xml:space="preserve"> </w:t>
      </w:r>
      <w:r w:rsidR="00457175" w:rsidRPr="00271DA5">
        <w:rPr>
          <w:rFonts w:hAnsi="Times New Roman" w:cs="Times New Roman"/>
          <w:color w:val="auto"/>
        </w:rPr>
        <w:t xml:space="preserve">Individuals who </w:t>
      </w:r>
      <w:r w:rsidR="00457175" w:rsidRPr="00271DA5">
        <w:rPr>
          <w:rFonts w:hAnsi="Times New Roman" w:cs="Times New Roman"/>
          <w:color w:val="auto"/>
        </w:rPr>
        <w:lastRenderedPageBreak/>
        <w:t xml:space="preserve">had severe/extreme difficulty in either </w:t>
      </w:r>
      <w:r w:rsidR="00E143D4" w:rsidRPr="00271DA5">
        <w:rPr>
          <w:rFonts w:hAnsi="Times New Roman" w:cs="Times New Roman"/>
          <w:color w:val="auto"/>
        </w:rPr>
        <w:t>moving around, performing self-care</w:t>
      </w:r>
      <w:r w:rsidR="0080144D" w:rsidRPr="00271DA5">
        <w:rPr>
          <w:rFonts w:hAnsi="Times New Roman" w:cs="Times New Roman"/>
          <w:color w:val="auto"/>
        </w:rPr>
        <w:t xml:space="preserve">, </w:t>
      </w:r>
      <w:r w:rsidR="00E143D4" w:rsidRPr="00271DA5">
        <w:rPr>
          <w:rFonts w:hAnsi="Times New Roman" w:cs="Times New Roman"/>
          <w:color w:val="auto"/>
        </w:rPr>
        <w:t>concentr</w:t>
      </w:r>
      <w:r w:rsidR="00FD2B3B" w:rsidRPr="00271DA5">
        <w:rPr>
          <w:rFonts w:hAnsi="Times New Roman" w:cs="Times New Roman"/>
          <w:color w:val="auto"/>
        </w:rPr>
        <w:t>ating/</w:t>
      </w:r>
      <w:r w:rsidR="00457175" w:rsidRPr="00271DA5">
        <w:rPr>
          <w:rFonts w:hAnsi="Times New Roman" w:cs="Times New Roman"/>
          <w:color w:val="auto"/>
        </w:rPr>
        <w:t>remembering things, or</w:t>
      </w:r>
      <w:r w:rsidR="00E143D4" w:rsidRPr="00271DA5">
        <w:rPr>
          <w:rFonts w:hAnsi="Times New Roman" w:cs="Times New Roman"/>
          <w:color w:val="auto"/>
        </w:rPr>
        <w:t xml:space="preserve"> seeing and recognizing a person across the road</w:t>
      </w:r>
      <w:r w:rsidR="00457175" w:rsidRPr="00271DA5">
        <w:rPr>
          <w:rFonts w:hAnsi="Times New Roman" w:cs="Times New Roman"/>
          <w:color w:val="auto"/>
        </w:rPr>
        <w:t xml:space="preserve"> in the past 30 days </w:t>
      </w:r>
      <w:r w:rsidR="00FD2B3B" w:rsidRPr="00271DA5">
        <w:rPr>
          <w:rFonts w:hAnsi="Times New Roman" w:cs="Times New Roman"/>
          <w:color w:val="auto"/>
        </w:rPr>
        <w:t xml:space="preserve">were </w:t>
      </w:r>
      <w:r w:rsidR="00E143D4" w:rsidRPr="00271DA5">
        <w:rPr>
          <w:rFonts w:hAnsi="Times New Roman" w:cs="Times New Roman"/>
          <w:color w:val="auto"/>
        </w:rPr>
        <w:t>con</w:t>
      </w:r>
      <w:r w:rsidR="00D7717F" w:rsidRPr="00271DA5">
        <w:rPr>
          <w:rFonts w:hAnsi="Times New Roman" w:cs="Times New Roman"/>
          <w:color w:val="auto"/>
        </w:rPr>
        <w:t>sidered to have disability</w:t>
      </w:r>
      <w:r w:rsidR="00BB606D" w:rsidRPr="00271DA5">
        <w:rPr>
          <w:rFonts w:hAnsi="Times New Roman" w:cs="Times New Roman"/>
          <w:color w:val="auto"/>
        </w:rPr>
        <w:t xml:space="preserve"> </w:t>
      </w:r>
      <w:r w:rsidR="00BB606D" w:rsidRPr="00271DA5">
        <w:rPr>
          <w:rFonts w:hAnsi="Times New Roman" w:cs="Times New Roman"/>
          <w:color w:val="auto"/>
        </w:rPr>
        <w:fldChar w:fldCharType="begin"/>
      </w:r>
      <w:r w:rsidR="00BB606D" w:rsidRPr="00271DA5">
        <w:rPr>
          <w:rFonts w:hAnsi="Times New Roman" w:cs="Times New Roman"/>
          <w:color w:val="auto"/>
        </w:rPr>
        <w:instrText>ADDIN RW.CITE{{doc:61599e688f08e5f355a6ef7d Mitra,Sophie 2014}}</w:instrText>
      </w:r>
      <w:r w:rsidR="00BB606D" w:rsidRPr="00271DA5">
        <w:rPr>
          <w:rFonts w:hAnsi="Times New Roman" w:cs="Times New Roman"/>
          <w:color w:val="auto"/>
        </w:rPr>
        <w:fldChar w:fldCharType="separate"/>
      </w:r>
      <w:r w:rsidR="00054682" w:rsidRPr="00271DA5">
        <w:rPr>
          <w:rFonts w:hAnsi="Times New Roman" w:cs="Times New Roman"/>
          <w:bCs/>
          <w:color w:val="auto"/>
        </w:rPr>
        <w:t>(Mitra and Sambamoorthi, 2014)</w:t>
      </w:r>
      <w:r w:rsidR="00BB606D" w:rsidRPr="00271DA5">
        <w:rPr>
          <w:rFonts w:hAnsi="Times New Roman" w:cs="Times New Roman"/>
          <w:color w:val="auto"/>
        </w:rPr>
        <w:fldChar w:fldCharType="end"/>
      </w:r>
      <w:r w:rsidR="00691CB8" w:rsidRPr="00271DA5">
        <w:rPr>
          <w:rFonts w:hAnsi="Times New Roman" w:cs="Times New Roman"/>
          <w:color w:val="auto"/>
        </w:rPr>
        <w:t>.</w:t>
      </w:r>
      <w:r w:rsidR="00D7717F" w:rsidRPr="00271DA5">
        <w:rPr>
          <w:rFonts w:hAnsi="Times New Roman" w:cs="Times New Roman"/>
          <w:color w:val="auto"/>
        </w:rPr>
        <w:t xml:space="preserve"> </w:t>
      </w:r>
      <w:r w:rsidR="00E143D4" w:rsidRPr="00271DA5">
        <w:rPr>
          <w:rFonts w:hAnsi="Times New Roman" w:cs="Times New Roman"/>
          <w:color w:val="auto"/>
        </w:rPr>
        <w:t xml:space="preserve"> </w:t>
      </w:r>
    </w:p>
    <w:p w14:paraId="468C9B94" w14:textId="77777777" w:rsidR="00F164A8" w:rsidRPr="00271DA5" w:rsidRDefault="00F164A8" w:rsidP="00E143D4">
      <w:pPr>
        <w:pStyle w:val="BodyA"/>
        <w:suppressAutoHyphens/>
        <w:spacing w:line="480" w:lineRule="auto"/>
        <w:rPr>
          <w:rFonts w:hAnsi="Times New Roman" w:cs="Times New Roman"/>
          <w:color w:val="auto"/>
        </w:rPr>
      </w:pPr>
    </w:p>
    <w:p w14:paraId="167FEFCF" w14:textId="232549E2" w:rsidR="00910EA7" w:rsidRPr="00271DA5" w:rsidRDefault="00910EA7" w:rsidP="001B20BA">
      <w:pPr>
        <w:pStyle w:val="Heading2"/>
      </w:pPr>
      <w:r w:rsidRPr="00271DA5">
        <w:t>Statistical analysis</w:t>
      </w:r>
    </w:p>
    <w:p w14:paraId="6B5032FB" w14:textId="08E47FC4" w:rsidR="007B1314" w:rsidRPr="00271DA5" w:rsidRDefault="00AD6B9A" w:rsidP="00BE5A91">
      <w:pPr>
        <w:spacing w:line="480" w:lineRule="auto"/>
        <w:rPr>
          <w:lang w:val="en-GB"/>
        </w:rPr>
      </w:pPr>
      <w:r w:rsidRPr="00271DA5">
        <w:t>Statistical analy</w:t>
      </w:r>
      <w:r w:rsidR="00A8125A" w:rsidRPr="00271DA5">
        <w:t>ses were performed with Stata 14</w:t>
      </w:r>
      <w:r w:rsidRPr="00271DA5">
        <w:t>.</w:t>
      </w:r>
      <w:r w:rsidR="00D86189" w:rsidRPr="00271DA5">
        <w:t>2</w:t>
      </w:r>
      <w:r w:rsidRPr="00271DA5">
        <w:t xml:space="preserve"> (Stata Corp LP, College station, Texas).</w:t>
      </w:r>
      <w:r w:rsidR="00B62411" w:rsidRPr="00271DA5">
        <w:t xml:space="preserve"> </w:t>
      </w:r>
      <w:r w:rsidR="00971E23" w:rsidRPr="00271DA5">
        <w:rPr>
          <w:lang w:val="en-GB"/>
        </w:rPr>
        <w:t xml:space="preserve">The difference in sample characteristics by caregiving status was </w:t>
      </w:r>
      <w:r w:rsidR="00E3477D" w:rsidRPr="00271DA5">
        <w:rPr>
          <w:lang w:val="en-GB"/>
        </w:rPr>
        <w:t xml:space="preserve">tested by Student’s </w:t>
      </w:r>
      <w:r w:rsidR="00E3477D" w:rsidRPr="00271DA5">
        <w:rPr>
          <w:i/>
          <w:iCs/>
          <w:lang w:val="en-GB"/>
        </w:rPr>
        <w:t>t</w:t>
      </w:r>
      <w:r w:rsidR="00E3477D" w:rsidRPr="00271DA5">
        <w:rPr>
          <w:lang w:val="en-GB"/>
        </w:rPr>
        <w:t xml:space="preserve">-test for continuous variables, and Chi-squared test for categorical variables. </w:t>
      </w:r>
      <w:r w:rsidR="00BE5A91" w:rsidRPr="00271DA5">
        <w:rPr>
          <w:lang w:val="en-GB"/>
        </w:rPr>
        <w:t xml:space="preserve">The associations between </w:t>
      </w:r>
      <w:r w:rsidR="00520F96" w:rsidRPr="00271DA5">
        <w:rPr>
          <w:lang w:val="en-GB"/>
        </w:rPr>
        <w:t xml:space="preserve">the presence of </w:t>
      </w:r>
      <w:r w:rsidR="00BE5A91" w:rsidRPr="00271DA5">
        <w:rPr>
          <w:lang w:val="en-GB"/>
        </w:rPr>
        <w:t>caregiving or the number of caregiving activities (exposures) and anxiety symptoms (</w:t>
      </w:r>
      <w:r w:rsidR="00B901CB" w:rsidRPr="00271DA5">
        <w:rPr>
          <w:lang w:val="en-GB"/>
        </w:rPr>
        <w:t xml:space="preserve">dichotomous </w:t>
      </w:r>
      <w:r w:rsidR="00BE5A91" w:rsidRPr="00271DA5">
        <w:rPr>
          <w:lang w:val="en-GB"/>
        </w:rPr>
        <w:t xml:space="preserve">outcome) were estimated by multivariable logistic regression. The analysis on </w:t>
      </w:r>
      <w:r w:rsidR="002A2BB6" w:rsidRPr="00271DA5">
        <w:rPr>
          <w:lang w:val="en-GB"/>
        </w:rPr>
        <w:t xml:space="preserve">the presence of </w:t>
      </w:r>
      <w:r w:rsidR="00BE5A91" w:rsidRPr="00271DA5">
        <w:rPr>
          <w:lang w:val="en-GB"/>
        </w:rPr>
        <w:t>caregiving and anxiety symptoms was also stratified by age groups (i.e., 18-44, 45-64, ≥65 years)</w:t>
      </w:r>
      <w:r w:rsidR="00762D2D" w:rsidRPr="00271DA5">
        <w:rPr>
          <w:lang w:val="en-GB"/>
        </w:rPr>
        <w:t xml:space="preserve">, </w:t>
      </w:r>
      <w:r w:rsidR="00BE5A91" w:rsidRPr="00271DA5">
        <w:rPr>
          <w:lang w:val="en-GB"/>
        </w:rPr>
        <w:t>sex</w:t>
      </w:r>
      <w:r w:rsidR="00762D2D" w:rsidRPr="00271DA5">
        <w:rPr>
          <w:lang w:val="en-GB"/>
        </w:rPr>
        <w:t>, and country income levels</w:t>
      </w:r>
      <w:r w:rsidR="00BE5A91" w:rsidRPr="00271DA5">
        <w:rPr>
          <w:lang w:val="en-GB"/>
        </w:rPr>
        <w:t xml:space="preserve">. </w:t>
      </w:r>
      <w:r w:rsidR="006D7465" w:rsidRPr="00271DA5">
        <w:rPr>
          <w:lang w:val="en-GB"/>
        </w:rPr>
        <w:t xml:space="preserve">We also tested whether there is effect modification by unemployment and education in the association between </w:t>
      </w:r>
      <w:r w:rsidR="00F71389" w:rsidRPr="00271DA5">
        <w:rPr>
          <w:lang w:val="en-GB"/>
        </w:rPr>
        <w:t xml:space="preserve">the presence of </w:t>
      </w:r>
      <w:r w:rsidR="006D7465" w:rsidRPr="00271DA5">
        <w:rPr>
          <w:lang w:val="en-GB"/>
        </w:rPr>
        <w:t xml:space="preserve">caregiving and anxiety symptoms by including </w:t>
      </w:r>
      <w:r w:rsidR="0028105B" w:rsidRPr="00271DA5">
        <w:rPr>
          <w:lang w:val="en-GB"/>
        </w:rPr>
        <w:t xml:space="preserve">product </w:t>
      </w:r>
      <w:r w:rsidR="006D7465" w:rsidRPr="00271DA5">
        <w:rPr>
          <w:lang w:val="en-GB"/>
        </w:rPr>
        <w:t>terms of unemployment X caregiving and education X caregiving</w:t>
      </w:r>
      <w:r w:rsidR="0028105B" w:rsidRPr="00271DA5">
        <w:rPr>
          <w:lang w:val="en-GB"/>
        </w:rPr>
        <w:t xml:space="preserve"> in the model</w:t>
      </w:r>
      <w:r w:rsidR="006D7465" w:rsidRPr="00271DA5">
        <w:rPr>
          <w:lang w:val="en-GB"/>
        </w:rPr>
        <w:t xml:space="preserve">. </w:t>
      </w:r>
      <w:r w:rsidR="007B1314" w:rsidRPr="00271DA5">
        <w:rPr>
          <w:lang w:val="en-GB"/>
        </w:rPr>
        <w:t xml:space="preserve">These regression analyses were </w:t>
      </w:r>
      <w:r w:rsidR="007B1314" w:rsidRPr="00271DA5">
        <w:t xml:space="preserve">adjusted for age, sex, marital status, education, household size, employment status, disability, and country, </w:t>
      </w:r>
      <w:r w:rsidR="004E3F07" w:rsidRPr="00271DA5">
        <w:t>except for</w:t>
      </w:r>
      <w:r w:rsidR="007B1314" w:rsidRPr="00271DA5">
        <w:t xml:space="preserve"> the sex-stratified analysis which was not adjusted for sex.</w:t>
      </w:r>
      <w:r w:rsidR="007B1314" w:rsidRPr="00271DA5">
        <w:rPr>
          <w:sz w:val="20"/>
          <w:szCs w:val="20"/>
        </w:rPr>
        <w:t xml:space="preserve"> </w:t>
      </w:r>
      <w:r w:rsidR="007B1314" w:rsidRPr="00271DA5">
        <w:t>Adjustment for country was done by including dummy variables for each country</w:t>
      </w:r>
      <w:r w:rsidR="007B1314" w:rsidRPr="00271DA5">
        <w:rPr>
          <w:rFonts w:eastAsia="MS Mincho"/>
        </w:rPr>
        <w:t xml:space="preserve"> as in previous WHS publications</w:t>
      </w:r>
      <w:r w:rsidR="00991C3C" w:rsidRPr="00271DA5">
        <w:rPr>
          <w:rFonts w:eastAsia="MS Mincho"/>
        </w:rPr>
        <w:t xml:space="preserve"> </w:t>
      </w:r>
      <w:r w:rsidR="00991C3C" w:rsidRPr="00271DA5">
        <w:rPr>
          <w:rFonts w:eastAsia="MS Mincho"/>
        </w:rPr>
        <w:fldChar w:fldCharType="begin"/>
      </w:r>
      <w:r w:rsidR="00FA7DC7" w:rsidRPr="00271DA5">
        <w:rPr>
          <w:rFonts w:eastAsia="MS Mincho"/>
        </w:rPr>
        <w:instrText>ADDIN RW.CITE{{doc:602e267f8f085533dc67b16d Koyanagi,Ai 2015; doc:5fecc49c8f08b235bc24f7e1 Koyanagi,Ai 2017}}</w:instrText>
      </w:r>
      <w:r w:rsidR="00991C3C" w:rsidRPr="00271DA5">
        <w:rPr>
          <w:rFonts w:eastAsia="MS Mincho"/>
        </w:rPr>
        <w:fldChar w:fldCharType="separate"/>
      </w:r>
      <w:r w:rsidR="00054682" w:rsidRPr="00271DA5">
        <w:rPr>
          <w:rFonts w:eastAsia="MS Mincho"/>
          <w:bCs/>
        </w:rPr>
        <w:t>(Koyanagi and Stickley, 2015; Koyanagi, et al, 2017)</w:t>
      </w:r>
      <w:r w:rsidR="00991C3C" w:rsidRPr="00271DA5">
        <w:rPr>
          <w:rFonts w:eastAsia="MS Mincho"/>
        </w:rPr>
        <w:fldChar w:fldCharType="end"/>
      </w:r>
      <w:r w:rsidR="007B1314" w:rsidRPr="00271DA5">
        <w:rPr>
          <w:rFonts w:eastAsia="MS Mincho"/>
        </w:rPr>
        <w:t>.</w:t>
      </w:r>
    </w:p>
    <w:p w14:paraId="4201D17E" w14:textId="77777777" w:rsidR="007B1314" w:rsidRPr="00271DA5" w:rsidRDefault="007B1314" w:rsidP="00BE5A91">
      <w:pPr>
        <w:spacing w:line="480" w:lineRule="auto"/>
        <w:rPr>
          <w:lang w:val="en-GB"/>
        </w:rPr>
      </w:pPr>
    </w:p>
    <w:p w14:paraId="7BB430FF" w14:textId="4264BE8C" w:rsidR="007B1314" w:rsidRPr="00271DA5" w:rsidRDefault="00BE5A91" w:rsidP="007B1314">
      <w:pPr>
        <w:spacing w:line="480" w:lineRule="auto"/>
      </w:pPr>
      <w:r w:rsidRPr="00271DA5">
        <w:t xml:space="preserve">Next, </w:t>
      </w:r>
      <w:r w:rsidR="004E3F07" w:rsidRPr="00271DA5">
        <w:t>to</w:t>
      </w:r>
      <w:r w:rsidRPr="00271DA5">
        <w:t xml:space="preserve"> assess whether there is between-country heterogeneity in the association between</w:t>
      </w:r>
      <w:r w:rsidRPr="00271DA5">
        <w:rPr>
          <w:lang w:eastAsia="da-DK"/>
        </w:rPr>
        <w:t xml:space="preserve"> caregiving and anxiety symptoms, </w:t>
      </w:r>
      <w:r w:rsidRPr="00271DA5">
        <w:t>we conducted country-wise analysis</w:t>
      </w:r>
      <w:r w:rsidR="007B1314" w:rsidRPr="00271DA5">
        <w:t xml:space="preserve"> adjusting for sex and age</w:t>
      </w:r>
      <w:r w:rsidRPr="00271DA5">
        <w:t xml:space="preserve">. The Higgins’s </w:t>
      </w:r>
      <w:r w:rsidRPr="00271DA5">
        <w:rPr>
          <w:i/>
        </w:rPr>
        <w:t>I</w:t>
      </w:r>
      <w:r w:rsidRPr="00271DA5">
        <w:rPr>
          <w:i/>
          <w:vertAlign w:val="superscript"/>
        </w:rPr>
        <w:t>2</w:t>
      </w:r>
      <w:r w:rsidRPr="00271DA5">
        <w:rPr>
          <w:vertAlign w:val="superscript"/>
        </w:rPr>
        <w:t xml:space="preserve"> </w:t>
      </w:r>
      <w:r w:rsidRPr="00271DA5">
        <w:t>statistic</w:t>
      </w:r>
      <w:r w:rsidRPr="00271DA5">
        <w:rPr>
          <w:vertAlign w:val="superscript"/>
        </w:rPr>
        <w:t xml:space="preserve"> </w:t>
      </w:r>
      <w:r w:rsidRPr="00271DA5">
        <w:t xml:space="preserve">was calculated, which represents the degree of heterogeneity that is not explained by sampling error with values of 25%, 50%, and 75% often being </w:t>
      </w:r>
      <w:r w:rsidRPr="00271DA5">
        <w:lastRenderedPageBreak/>
        <w:t>considered low, moderate, and high level of heterogeneity, respectively</w:t>
      </w:r>
      <w:r w:rsidR="008947F9" w:rsidRPr="00271DA5">
        <w:t xml:space="preserve"> </w:t>
      </w:r>
      <w:r w:rsidR="008947F9" w:rsidRPr="00271DA5">
        <w:fldChar w:fldCharType="begin"/>
      </w:r>
      <w:r w:rsidR="008947F9" w:rsidRPr="00271DA5">
        <w:instrText>ADDIN RW.CITE{{doc:611d60158f0803a1f33a54d4 Higgins,JulianPT 2003}}</w:instrText>
      </w:r>
      <w:r w:rsidR="008947F9" w:rsidRPr="00271DA5">
        <w:fldChar w:fldCharType="separate"/>
      </w:r>
      <w:r w:rsidR="00054682" w:rsidRPr="00271DA5">
        <w:rPr>
          <w:bCs/>
        </w:rPr>
        <w:t>(Higgins, et al, 2003)</w:t>
      </w:r>
      <w:r w:rsidR="008947F9" w:rsidRPr="00271DA5">
        <w:fldChar w:fldCharType="end"/>
      </w:r>
      <w:r w:rsidRPr="00271DA5">
        <w:t xml:space="preserve">. </w:t>
      </w:r>
      <w:r w:rsidR="007B1314" w:rsidRPr="00271DA5">
        <w:t xml:space="preserve">The sample weighting and the complex study design were </w:t>
      </w:r>
      <w:r w:rsidR="004E3F07" w:rsidRPr="00271DA5">
        <w:t>considered</w:t>
      </w:r>
      <w:r w:rsidR="007B1314" w:rsidRPr="00271DA5">
        <w:t xml:space="preserve"> in all analyses. Results from the </w:t>
      </w:r>
      <w:r w:rsidR="008668FA" w:rsidRPr="00271DA5">
        <w:t xml:space="preserve">logistic </w:t>
      </w:r>
      <w:r w:rsidR="007B1314" w:rsidRPr="00271DA5">
        <w:t xml:space="preserve">regression models are presented as odds ratios (ORs) with 95% confidence intervals (CIs). The level of statistical significance was set at P&lt;0.05. </w:t>
      </w:r>
    </w:p>
    <w:p w14:paraId="159745D4" w14:textId="6E2832CD" w:rsidR="00B6069B" w:rsidRPr="00271DA5" w:rsidRDefault="00B6069B" w:rsidP="008668FA">
      <w:pPr>
        <w:spacing w:line="480" w:lineRule="auto"/>
      </w:pPr>
    </w:p>
    <w:p w14:paraId="2D510AE2" w14:textId="61E6CA72" w:rsidR="00910FD2" w:rsidRPr="00271DA5" w:rsidRDefault="00237798" w:rsidP="001B20BA">
      <w:pPr>
        <w:pStyle w:val="Heading1"/>
      </w:pPr>
      <w:r w:rsidRPr="00271DA5">
        <w:t>RESULTS</w:t>
      </w:r>
    </w:p>
    <w:p w14:paraId="6DF15945" w14:textId="5A7478BD" w:rsidR="00237798" w:rsidRPr="00271DA5" w:rsidRDefault="00CA5E95" w:rsidP="00387261">
      <w:pPr>
        <w:spacing w:line="480" w:lineRule="auto"/>
      </w:pPr>
      <w:r w:rsidRPr="00271DA5">
        <w:t xml:space="preserve">A total of 237,952 individuals aged ≥18 years [mean (SD) age 38.4 (16.0) years; 50.8% female] were included in the analysis. Overall, the prevalence (95%CI) of caregiving and anxiety </w:t>
      </w:r>
      <w:r w:rsidR="000C4467" w:rsidRPr="00271DA5">
        <w:t xml:space="preserve">symptoms </w:t>
      </w:r>
      <w:r w:rsidRPr="00271DA5">
        <w:t>was 19.1% (18.6%</w:t>
      </w:r>
      <w:r w:rsidR="00A408BC" w:rsidRPr="00271DA5">
        <w:t xml:space="preserve">, </w:t>
      </w:r>
      <w:r w:rsidRPr="00271DA5">
        <w:t>19.6%) and 11.5% (11.1%</w:t>
      </w:r>
      <w:r w:rsidR="00A408BC" w:rsidRPr="00271DA5">
        <w:t xml:space="preserve">, </w:t>
      </w:r>
      <w:r w:rsidRPr="00271DA5">
        <w:t xml:space="preserve">11.9%), respectively. </w:t>
      </w:r>
      <w:r w:rsidR="006624AD" w:rsidRPr="00271DA5">
        <w:t xml:space="preserve">The sample characteristics are provided in </w:t>
      </w:r>
      <w:r w:rsidR="006624AD" w:rsidRPr="00271DA5">
        <w:rPr>
          <w:b/>
          <w:bCs/>
        </w:rPr>
        <w:t>Table 1</w:t>
      </w:r>
      <w:r w:rsidR="006624AD" w:rsidRPr="00271DA5">
        <w:t xml:space="preserve">. </w:t>
      </w:r>
      <w:r w:rsidR="00237EDE" w:rsidRPr="00271DA5">
        <w:t>Compared to non-caregivers, the prevalence of anxiety</w:t>
      </w:r>
      <w:r w:rsidR="000C4467" w:rsidRPr="00271DA5">
        <w:t xml:space="preserve"> symptoms</w:t>
      </w:r>
      <w:r w:rsidR="00237EDE" w:rsidRPr="00271DA5">
        <w:t xml:space="preserve">, female sex, higher levels of education, </w:t>
      </w:r>
      <w:r w:rsidR="00143178" w:rsidRPr="00271DA5">
        <w:t xml:space="preserve">having an </w:t>
      </w:r>
      <w:r w:rsidR="00237EDE" w:rsidRPr="00271DA5">
        <w:t xml:space="preserve">employment, and disability was higher among caregivers, while they were also slightly younger and more likely to be from middle-sized households. </w:t>
      </w:r>
      <w:r w:rsidR="006D770F" w:rsidRPr="00271DA5">
        <w:t xml:space="preserve">The prevalence of anxiety </w:t>
      </w:r>
      <w:r w:rsidR="00852BAA" w:rsidRPr="00271DA5">
        <w:t xml:space="preserve">symptoms </w:t>
      </w:r>
      <w:r w:rsidR="006D770F" w:rsidRPr="00271DA5">
        <w:t>increased with increasing number of caregiving activities (</w:t>
      </w:r>
      <w:r w:rsidR="006D770F" w:rsidRPr="00271DA5">
        <w:rPr>
          <w:b/>
          <w:bCs/>
        </w:rPr>
        <w:t>Figure 1</w:t>
      </w:r>
      <w:r w:rsidR="006D770F" w:rsidRPr="00271DA5">
        <w:t xml:space="preserve">). Specifically, the prevalence of anxiety </w:t>
      </w:r>
      <w:r w:rsidR="00852BAA" w:rsidRPr="00271DA5">
        <w:t xml:space="preserve">symptoms </w:t>
      </w:r>
      <w:r w:rsidR="006D770F" w:rsidRPr="00271DA5">
        <w:t xml:space="preserve">in non-caregivers was 10.4% but this increased to 21.4% among those who engage in five caregiving activities. After adjustment for potential confounders, compared to non-caregivers, caregivers </w:t>
      </w:r>
      <w:r w:rsidR="00E13261" w:rsidRPr="00271DA5">
        <w:t xml:space="preserve">had </w:t>
      </w:r>
      <w:r w:rsidR="006D770F" w:rsidRPr="00271DA5">
        <w:t>1.52 (95%CI=1.40-1.65) times higher odds for anxiety symptoms in the overall sample (</w:t>
      </w:r>
      <w:r w:rsidR="006D770F" w:rsidRPr="00271DA5">
        <w:rPr>
          <w:b/>
          <w:bCs/>
        </w:rPr>
        <w:t>Table 2</w:t>
      </w:r>
      <w:r w:rsidR="006D770F" w:rsidRPr="00271DA5">
        <w:t xml:space="preserve">). </w:t>
      </w:r>
      <w:r w:rsidR="006D7465" w:rsidRPr="00271DA5">
        <w:t xml:space="preserve">No significant effect modifications were observed for education and unemployment in the association between caregiving and anxiety symptoms. </w:t>
      </w:r>
      <w:r w:rsidR="006D770F" w:rsidRPr="00271DA5">
        <w:t xml:space="preserve">The association was similar across all age groups and both sexes. </w:t>
      </w:r>
      <w:r w:rsidR="00DD67EB" w:rsidRPr="00271DA5">
        <w:t xml:space="preserve">In terms of country income levels, the association was more pronounced in upper middle-income countries than in low-income countries and lower middle-income countries. </w:t>
      </w:r>
      <w:r w:rsidR="006D770F" w:rsidRPr="00271DA5">
        <w:t xml:space="preserve">Compared to engaging in no caregiving activities, </w:t>
      </w:r>
      <w:r w:rsidR="00A408BC" w:rsidRPr="00271DA5">
        <w:t xml:space="preserve">a </w:t>
      </w:r>
      <w:r w:rsidR="006D770F" w:rsidRPr="00271DA5">
        <w:t xml:space="preserve">greater number of caregiving activities was associated with significantly higher odds for anxiety </w:t>
      </w:r>
      <w:r w:rsidR="00072AFA" w:rsidRPr="00271DA5">
        <w:t>symptoms</w:t>
      </w:r>
      <w:r w:rsidR="00852BAA" w:rsidRPr="00271DA5">
        <w:t xml:space="preserve"> </w:t>
      </w:r>
      <w:r w:rsidR="006D770F" w:rsidRPr="00271DA5">
        <w:t>in the adjusted models in a near linear fashion (OR 1.2</w:t>
      </w:r>
      <w:r w:rsidR="00930E9D" w:rsidRPr="00271DA5">
        <w:t>5</w:t>
      </w:r>
      <w:r w:rsidR="006D770F" w:rsidRPr="00271DA5">
        <w:t>-2.1</w:t>
      </w:r>
      <w:r w:rsidR="00930E9D" w:rsidRPr="00271DA5">
        <w:t>9</w:t>
      </w:r>
      <w:r w:rsidR="006D770F" w:rsidRPr="00271DA5">
        <w:t>) (</w:t>
      </w:r>
      <w:r w:rsidR="006D770F" w:rsidRPr="00271DA5">
        <w:rPr>
          <w:b/>
          <w:bCs/>
        </w:rPr>
        <w:t>Figure 2</w:t>
      </w:r>
      <w:r w:rsidR="006D770F" w:rsidRPr="00271DA5">
        <w:t xml:space="preserve">). </w:t>
      </w:r>
      <w:r w:rsidR="00285D93" w:rsidRPr="00271DA5">
        <w:t xml:space="preserve">Finally, country-wise analysis showed that caregiving is </w:t>
      </w:r>
      <w:r w:rsidR="00285D93" w:rsidRPr="00271DA5">
        <w:lastRenderedPageBreak/>
        <w:t xml:space="preserve">positively associated with anxiety symptoms (i.e., OR &gt;1) in the vast majority of countries </w:t>
      </w:r>
      <w:r w:rsidR="00130E4B" w:rsidRPr="00271DA5">
        <w:t xml:space="preserve">included in the study </w:t>
      </w:r>
      <w:r w:rsidR="00285D93" w:rsidRPr="00271DA5">
        <w:t>although statistical significance was not reached in all countries (</w:t>
      </w:r>
      <w:r w:rsidR="00285D93" w:rsidRPr="00271DA5">
        <w:rPr>
          <w:b/>
          <w:bCs/>
        </w:rPr>
        <w:t>Figure 3</w:t>
      </w:r>
      <w:r w:rsidR="00285D93" w:rsidRPr="00271DA5">
        <w:t xml:space="preserve">). </w:t>
      </w:r>
      <w:r w:rsidR="00830FAD" w:rsidRPr="00271DA5">
        <w:t xml:space="preserve">There was a </w:t>
      </w:r>
      <w:bookmarkStart w:id="8" w:name="_Hlk83034024"/>
      <w:r w:rsidR="00285D93" w:rsidRPr="00271DA5">
        <w:t xml:space="preserve">moderate level of between-country heterogeneity </w:t>
      </w:r>
      <w:bookmarkEnd w:id="8"/>
      <w:r w:rsidR="00285D93" w:rsidRPr="00271DA5">
        <w:t>(</w:t>
      </w:r>
      <w:r w:rsidR="00285D93" w:rsidRPr="00271DA5">
        <w:rPr>
          <w:i/>
          <w:iCs/>
        </w:rPr>
        <w:t>I</w:t>
      </w:r>
      <w:r w:rsidR="00285D93" w:rsidRPr="00271DA5">
        <w:rPr>
          <w:i/>
          <w:iCs/>
          <w:vertAlign w:val="superscript"/>
        </w:rPr>
        <w:t>2</w:t>
      </w:r>
      <w:r w:rsidR="00285D93" w:rsidRPr="00271DA5">
        <w:t xml:space="preserve">=63.7%). </w:t>
      </w:r>
    </w:p>
    <w:p w14:paraId="468F19F3" w14:textId="77777777" w:rsidR="00CA5E95" w:rsidRPr="00271DA5" w:rsidRDefault="00CA5E95" w:rsidP="00387261">
      <w:pPr>
        <w:spacing w:line="480" w:lineRule="auto"/>
      </w:pPr>
    </w:p>
    <w:p w14:paraId="734B0248" w14:textId="48285950" w:rsidR="000F6B03" w:rsidRPr="00271DA5" w:rsidRDefault="000F6B03" w:rsidP="001B20BA">
      <w:pPr>
        <w:pStyle w:val="Heading1"/>
      </w:pPr>
      <w:r w:rsidRPr="00271DA5">
        <w:t>D</w:t>
      </w:r>
      <w:r w:rsidR="00D86403" w:rsidRPr="00271DA5">
        <w:t>ISCUSSION</w:t>
      </w:r>
    </w:p>
    <w:p w14:paraId="4EF71E44" w14:textId="69674CD5" w:rsidR="00262553" w:rsidRPr="00271DA5" w:rsidRDefault="002508C5" w:rsidP="001B20BA">
      <w:pPr>
        <w:pStyle w:val="Heading2"/>
      </w:pPr>
      <w:r w:rsidRPr="00271DA5">
        <w:t>Main findings</w:t>
      </w:r>
    </w:p>
    <w:p w14:paraId="020771F4" w14:textId="11DD5E70" w:rsidR="008E43EF" w:rsidRPr="00271DA5" w:rsidRDefault="008E43EF" w:rsidP="00387261">
      <w:pPr>
        <w:spacing w:line="480" w:lineRule="auto"/>
        <w:rPr>
          <w:bCs/>
        </w:rPr>
      </w:pPr>
      <w:r w:rsidRPr="00271DA5">
        <w:rPr>
          <w:bCs/>
        </w:rPr>
        <w:t>In this large sample of adults from 47 LMICs</w:t>
      </w:r>
      <w:r w:rsidR="00E5381B" w:rsidRPr="00271DA5">
        <w:rPr>
          <w:bCs/>
        </w:rPr>
        <w:t xml:space="preserve">, </w:t>
      </w:r>
      <w:r w:rsidRPr="00271DA5">
        <w:rPr>
          <w:bCs/>
        </w:rPr>
        <w:t>after adjustment for potential confounders, compared to non-caregivers, caregivers had a 1.52 (95%CI=1.40</w:t>
      </w:r>
      <w:r w:rsidR="00A408BC" w:rsidRPr="00271DA5">
        <w:rPr>
          <w:bCs/>
        </w:rPr>
        <w:t xml:space="preserve">, </w:t>
      </w:r>
      <w:r w:rsidRPr="00271DA5">
        <w:rPr>
          <w:bCs/>
        </w:rPr>
        <w:t xml:space="preserve">1.65) </w:t>
      </w:r>
      <w:r w:rsidR="00E5381B" w:rsidRPr="00271DA5">
        <w:rPr>
          <w:bCs/>
        </w:rPr>
        <w:t xml:space="preserve">times </w:t>
      </w:r>
      <w:r w:rsidRPr="00271DA5">
        <w:rPr>
          <w:bCs/>
        </w:rPr>
        <w:t xml:space="preserve">higher odds </w:t>
      </w:r>
      <w:r w:rsidR="00A408BC" w:rsidRPr="00271DA5">
        <w:rPr>
          <w:bCs/>
        </w:rPr>
        <w:t xml:space="preserve">of reporting </w:t>
      </w:r>
      <w:r w:rsidRPr="00271DA5">
        <w:rPr>
          <w:bCs/>
        </w:rPr>
        <w:t xml:space="preserve">anxiety symptoms in the overall sample. </w:t>
      </w:r>
      <w:r w:rsidR="009C2995" w:rsidRPr="00271DA5">
        <w:rPr>
          <w:bCs/>
        </w:rPr>
        <w:t xml:space="preserve">Similar associations were found for different age groups and sex. </w:t>
      </w:r>
      <w:r w:rsidR="00D80420" w:rsidRPr="00271DA5">
        <w:rPr>
          <w:bCs/>
        </w:rPr>
        <w:t xml:space="preserve">Upper middle-income countries showed higher odds (OR=1.93) compared to low-income countries (OR=1.48) and lower middle-income countries (OR=1.54). </w:t>
      </w:r>
      <w:r w:rsidRPr="00271DA5">
        <w:rPr>
          <w:bCs/>
        </w:rPr>
        <w:t xml:space="preserve">Moreover, importantly, compared to engaging in no caregiving activities, a greater number of caregiving activities was associated with significantly higher odds for anxiety </w:t>
      </w:r>
      <w:r w:rsidR="00AC7C64" w:rsidRPr="00271DA5">
        <w:rPr>
          <w:bCs/>
        </w:rPr>
        <w:t xml:space="preserve">symptoms </w:t>
      </w:r>
      <w:r w:rsidRPr="00271DA5">
        <w:rPr>
          <w:bCs/>
        </w:rPr>
        <w:t>in a linear fashion</w:t>
      </w:r>
      <w:r w:rsidR="00772517" w:rsidRPr="00271DA5">
        <w:rPr>
          <w:bCs/>
        </w:rPr>
        <w:t xml:space="preserve">. For example, compared to not </w:t>
      </w:r>
      <w:r w:rsidR="00BB5903" w:rsidRPr="00271DA5">
        <w:rPr>
          <w:bCs/>
        </w:rPr>
        <w:t xml:space="preserve">engaging </w:t>
      </w:r>
      <w:r w:rsidR="00772517" w:rsidRPr="00271DA5">
        <w:rPr>
          <w:bCs/>
        </w:rPr>
        <w:t xml:space="preserve">in any caregiving activities, engagement in </w:t>
      </w:r>
      <w:r w:rsidR="004E3F07" w:rsidRPr="00271DA5">
        <w:rPr>
          <w:bCs/>
        </w:rPr>
        <w:t>five</w:t>
      </w:r>
      <w:r w:rsidR="00772517" w:rsidRPr="00271DA5">
        <w:rPr>
          <w:bCs/>
        </w:rPr>
        <w:t xml:space="preserve"> caregiving activities was associated with </w:t>
      </w:r>
      <w:r w:rsidR="004E3F07" w:rsidRPr="00271DA5">
        <w:rPr>
          <w:bCs/>
        </w:rPr>
        <w:t xml:space="preserve">more than double the odds for anxiety </w:t>
      </w:r>
      <w:r w:rsidR="00AC7C64" w:rsidRPr="00271DA5">
        <w:rPr>
          <w:bCs/>
        </w:rPr>
        <w:t xml:space="preserve">symptoms </w:t>
      </w:r>
      <w:r w:rsidR="004E3F07" w:rsidRPr="00271DA5">
        <w:rPr>
          <w:bCs/>
        </w:rPr>
        <w:t xml:space="preserve">(OR: </w:t>
      </w:r>
      <w:r w:rsidR="00772517" w:rsidRPr="00271DA5">
        <w:rPr>
          <w:bCs/>
        </w:rPr>
        <w:t>2.1</w:t>
      </w:r>
      <w:r w:rsidR="00583AB5" w:rsidRPr="00271DA5">
        <w:rPr>
          <w:bCs/>
        </w:rPr>
        <w:t>9</w:t>
      </w:r>
      <w:r w:rsidR="004E3F07" w:rsidRPr="00271DA5">
        <w:rPr>
          <w:bCs/>
        </w:rPr>
        <w:t xml:space="preserve">; </w:t>
      </w:r>
      <w:r w:rsidR="00772517" w:rsidRPr="00271DA5">
        <w:rPr>
          <w:bCs/>
        </w:rPr>
        <w:t>95%CI=1.8</w:t>
      </w:r>
      <w:r w:rsidR="00583AB5" w:rsidRPr="00271DA5">
        <w:rPr>
          <w:bCs/>
        </w:rPr>
        <w:t>6</w:t>
      </w:r>
      <w:r w:rsidR="00A408BC" w:rsidRPr="00271DA5">
        <w:rPr>
          <w:bCs/>
        </w:rPr>
        <w:t xml:space="preserve">, </w:t>
      </w:r>
      <w:r w:rsidR="00772517" w:rsidRPr="00271DA5">
        <w:rPr>
          <w:bCs/>
        </w:rPr>
        <w:t>2.5</w:t>
      </w:r>
      <w:r w:rsidR="00583AB5" w:rsidRPr="00271DA5">
        <w:rPr>
          <w:bCs/>
        </w:rPr>
        <w:t>8</w:t>
      </w:r>
      <w:r w:rsidR="00772517" w:rsidRPr="00271DA5">
        <w:rPr>
          <w:bCs/>
        </w:rPr>
        <w:t>)</w:t>
      </w:r>
      <w:r w:rsidR="004E3F07" w:rsidRPr="00271DA5">
        <w:rPr>
          <w:bCs/>
        </w:rPr>
        <w:t>, which was much higher than engagement in only one caregiving activity (OR: 1.2</w:t>
      </w:r>
      <w:r w:rsidR="00583AB5" w:rsidRPr="00271DA5">
        <w:rPr>
          <w:bCs/>
        </w:rPr>
        <w:t>5</w:t>
      </w:r>
      <w:r w:rsidR="004E3F07" w:rsidRPr="00271DA5">
        <w:rPr>
          <w:bCs/>
        </w:rPr>
        <w:t>; 95% CI: 1.</w:t>
      </w:r>
      <w:r w:rsidR="00583AB5" w:rsidRPr="00271DA5">
        <w:rPr>
          <w:bCs/>
        </w:rPr>
        <w:t>08</w:t>
      </w:r>
      <w:r w:rsidR="00A408BC" w:rsidRPr="00271DA5">
        <w:rPr>
          <w:bCs/>
        </w:rPr>
        <w:t xml:space="preserve">, </w:t>
      </w:r>
      <w:r w:rsidR="004E3F07" w:rsidRPr="00271DA5">
        <w:rPr>
          <w:bCs/>
        </w:rPr>
        <w:t>1.</w:t>
      </w:r>
      <w:r w:rsidR="00583AB5" w:rsidRPr="00271DA5">
        <w:rPr>
          <w:bCs/>
        </w:rPr>
        <w:t>45</w:t>
      </w:r>
      <w:r w:rsidR="004E3F07" w:rsidRPr="00271DA5">
        <w:rPr>
          <w:bCs/>
        </w:rPr>
        <w:t>)</w:t>
      </w:r>
      <w:r w:rsidR="00772517" w:rsidRPr="00271DA5">
        <w:rPr>
          <w:bCs/>
        </w:rPr>
        <w:t xml:space="preserve">. </w:t>
      </w:r>
      <w:r w:rsidR="009C2995" w:rsidRPr="00271DA5">
        <w:rPr>
          <w:bCs/>
        </w:rPr>
        <w:t xml:space="preserve">Finally, although caregiving was positively associated with anxiety symptoms in the majority of the countries included in our study, a </w:t>
      </w:r>
      <w:r w:rsidRPr="00271DA5">
        <w:rPr>
          <w:bCs/>
        </w:rPr>
        <w:t>moderate level of between-country heterogeneity was observed.</w:t>
      </w:r>
    </w:p>
    <w:p w14:paraId="61121CE5" w14:textId="77777777" w:rsidR="008E43EF" w:rsidRPr="00271DA5" w:rsidRDefault="008E43EF" w:rsidP="00387261">
      <w:pPr>
        <w:spacing w:line="480" w:lineRule="auto"/>
        <w:rPr>
          <w:bCs/>
        </w:rPr>
      </w:pPr>
    </w:p>
    <w:p w14:paraId="1115306D" w14:textId="061BDC5C" w:rsidR="002508C5" w:rsidRPr="00271DA5" w:rsidRDefault="002508C5" w:rsidP="001B20BA">
      <w:pPr>
        <w:pStyle w:val="Heading2"/>
      </w:pPr>
      <w:r w:rsidRPr="00271DA5">
        <w:t>Interpretation of the findings</w:t>
      </w:r>
    </w:p>
    <w:p w14:paraId="75FFF921" w14:textId="747C9D24" w:rsidR="001B1214" w:rsidRPr="00271DA5" w:rsidRDefault="008E43EF" w:rsidP="00387261">
      <w:pPr>
        <w:spacing w:line="480" w:lineRule="auto"/>
        <w:rPr>
          <w:bCs/>
        </w:rPr>
      </w:pPr>
      <w:r w:rsidRPr="00271DA5">
        <w:rPr>
          <w:bCs/>
        </w:rPr>
        <w:t>Findings from the present study both support and add to previous literature. They support previous literature, predominantly carried out in single HICs</w:t>
      </w:r>
      <w:r w:rsidR="00CD5463" w:rsidRPr="00271DA5">
        <w:rPr>
          <w:bCs/>
        </w:rPr>
        <w:t xml:space="preserve"> </w:t>
      </w:r>
      <w:r w:rsidR="00CD5463" w:rsidRPr="00271DA5">
        <w:rPr>
          <w:bCs/>
        </w:rPr>
        <w:fldChar w:fldCharType="begin"/>
      </w:r>
      <w:r w:rsidR="00CD5463" w:rsidRPr="00271DA5">
        <w:rPr>
          <w:bCs/>
        </w:rPr>
        <w:instrText>ADDIN RW.CITE{{doc:615996aa8f08fb6ba45bb944 del-Pino-Casado,Rafael 2021}}</w:instrText>
      </w:r>
      <w:r w:rsidR="00CD5463" w:rsidRPr="00271DA5">
        <w:rPr>
          <w:bCs/>
        </w:rPr>
        <w:fldChar w:fldCharType="separate"/>
      </w:r>
      <w:r w:rsidR="00054682" w:rsidRPr="00271DA5">
        <w:t>(del-Pino-Casado, et al, 2021)</w:t>
      </w:r>
      <w:r w:rsidR="00CD5463" w:rsidRPr="00271DA5">
        <w:rPr>
          <w:bCs/>
        </w:rPr>
        <w:fldChar w:fldCharType="end"/>
      </w:r>
      <w:r w:rsidRPr="00271DA5">
        <w:rPr>
          <w:bCs/>
        </w:rPr>
        <w:t>,</w:t>
      </w:r>
      <w:r w:rsidR="00CD5463" w:rsidRPr="00271DA5">
        <w:rPr>
          <w:bCs/>
        </w:rPr>
        <w:t xml:space="preserve"> </w:t>
      </w:r>
      <w:r w:rsidRPr="00271DA5">
        <w:rPr>
          <w:bCs/>
        </w:rPr>
        <w:t xml:space="preserve">through confirming </w:t>
      </w:r>
      <w:r w:rsidR="00894779" w:rsidRPr="00271DA5">
        <w:rPr>
          <w:bCs/>
        </w:rPr>
        <w:t>that a</w:t>
      </w:r>
      <w:r w:rsidR="00BB5903" w:rsidRPr="00271DA5">
        <w:rPr>
          <w:bCs/>
        </w:rPr>
        <w:t xml:space="preserve"> positive</w:t>
      </w:r>
      <w:r w:rsidR="00894779" w:rsidRPr="00271DA5">
        <w:rPr>
          <w:bCs/>
        </w:rPr>
        <w:t xml:space="preserve"> </w:t>
      </w:r>
      <w:r w:rsidRPr="00271DA5">
        <w:rPr>
          <w:bCs/>
        </w:rPr>
        <w:t xml:space="preserve">association exists between informal caregiving and anxiety </w:t>
      </w:r>
      <w:r w:rsidRPr="00271DA5">
        <w:rPr>
          <w:bCs/>
        </w:rPr>
        <w:lastRenderedPageBreak/>
        <w:t>symptoms</w:t>
      </w:r>
      <w:r w:rsidR="00894779" w:rsidRPr="00271DA5">
        <w:rPr>
          <w:bCs/>
        </w:rPr>
        <w:t>,</w:t>
      </w:r>
      <w:r w:rsidRPr="00271DA5">
        <w:rPr>
          <w:bCs/>
        </w:rPr>
        <w:t xml:space="preserve"> and add to this </w:t>
      </w:r>
      <w:r w:rsidR="00F1088C" w:rsidRPr="00271DA5">
        <w:rPr>
          <w:bCs/>
        </w:rPr>
        <w:t>by</w:t>
      </w:r>
      <w:r w:rsidRPr="00271DA5">
        <w:rPr>
          <w:bCs/>
        </w:rPr>
        <w:t xml:space="preserve"> showing that such an association holds in a very large </w:t>
      </w:r>
      <w:r w:rsidR="00834336" w:rsidRPr="00271DA5">
        <w:rPr>
          <w:bCs/>
        </w:rPr>
        <w:t xml:space="preserve">community-based </w:t>
      </w:r>
      <w:r w:rsidRPr="00271DA5">
        <w:rPr>
          <w:bCs/>
        </w:rPr>
        <w:t xml:space="preserve">sample of </w:t>
      </w:r>
      <w:r w:rsidR="00894779" w:rsidRPr="00271DA5">
        <w:rPr>
          <w:bCs/>
        </w:rPr>
        <w:t xml:space="preserve">adults </w:t>
      </w:r>
      <w:r w:rsidRPr="00271DA5">
        <w:rPr>
          <w:bCs/>
        </w:rPr>
        <w:t xml:space="preserve">from multiple LMICs. There are several plausible pathways that likely explain a high level of anxiety symptoms among informal caregivers. First, </w:t>
      </w:r>
      <w:r w:rsidR="00D55589" w:rsidRPr="00271DA5">
        <w:rPr>
          <w:bCs/>
        </w:rPr>
        <w:t>informal caregivers may face financial difficulties</w:t>
      </w:r>
      <w:r w:rsidR="00513E74" w:rsidRPr="00271DA5">
        <w:rPr>
          <w:bCs/>
        </w:rPr>
        <w:t>,</w:t>
      </w:r>
      <w:r w:rsidR="00D55589" w:rsidRPr="00271DA5">
        <w:rPr>
          <w:bCs/>
        </w:rPr>
        <w:t xml:space="preserve"> as in many countries, particularly LMICs, little financial support is available. </w:t>
      </w:r>
      <w:r w:rsidR="00503CD1" w:rsidRPr="00271DA5">
        <w:rPr>
          <w:bCs/>
        </w:rPr>
        <w:t xml:space="preserve">Financial losses may </w:t>
      </w:r>
      <w:r w:rsidR="00513E74" w:rsidRPr="00271DA5">
        <w:rPr>
          <w:bCs/>
        </w:rPr>
        <w:t xml:space="preserve">also </w:t>
      </w:r>
      <w:r w:rsidR="00503CD1" w:rsidRPr="00271DA5">
        <w:rPr>
          <w:bCs/>
        </w:rPr>
        <w:t>arise from loss of working hours, and this has been reported to be more severe in caregivers of LMICs compared to HICs</w:t>
      </w:r>
      <w:r w:rsidR="00CD5463" w:rsidRPr="00271DA5">
        <w:rPr>
          <w:bCs/>
        </w:rPr>
        <w:t xml:space="preserve"> </w:t>
      </w:r>
      <w:r w:rsidR="00CD5463" w:rsidRPr="00271DA5">
        <w:rPr>
          <w:bCs/>
        </w:rPr>
        <w:fldChar w:fldCharType="begin"/>
      </w:r>
      <w:r w:rsidR="00CD5463" w:rsidRPr="00271DA5">
        <w:rPr>
          <w:bCs/>
        </w:rPr>
        <w:instrText>ADDIN RW.CITE{{doc:6159a7b08f087d3748632793 Viana,MariaCarmen 2013}}</w:instrText>
      </w:r>
      <w:r w:rsidR="00CD5463" w:rsidRPr="00271DA5">
        <w:rPr>
          <w:bCs/>
        </w:rPr>
        <w:fldChar w:fldCharType="separate"/>
      </w:r>
      <w:r w:rsidR="00054682" w:rsidRPr="00271DA5">
        <w:t>(Viana, et al, 2013)</w:t>
      </w:r>
      <w:r w:rsidR="00CD5463" w:rsidRPr="00271DA5">
        <w:rPr>
          <w:bCs/>
        </w:rPr>
        <w:fldChar w:fldCharType="end"/>
      </w:r>
      <w:r w:rsidR="00503CD1" w:rsidRPr="00271DA5">
        <w:rPr>
          <w:bCs/>
        </w:rPr>
        <w:t>.</w:t>
      </w:r>
      <w:r w:rsidR="00CD5463" w:rsidRPr="00271DA5">
        <w:t xml:space="preserve"> </w:t>
      </w:r>
      <w:r w:rsidR="00D55589" w:rsidRPr="00271DA5">
        <w:rPr>
          <w:bCs/>
        </w:rPr>
        <w:t xml:space="preserve">Indeed, financial concerns have been reported as a key </w:t>
      </w:r>
      <w:r w:rsidR="00E836F6" w:rsidRPr="00271DA5">
        <w:rPr>
          <w:bCs/>
        </w:rPr>
        <w:t xml:space="preserve">risk factor for anxiety </w:t>
      </w:r>
      <w:r w:rsidR="00E836F6" w:rsidRPr="00271DA5">
        <w:rPr>
          <w:bCs/>
          <w:i/>
          <w:iCs/>
        </w:rPr>
        <w:t>per se</w:t>
      </w:r>
      <w:r w:rsidR="00CD5463" w:rsidRPr="00271DA5">
        <w:rPr>
          <w:bCs/>
          <w:i/>
          <w:iCs/>
        </w:rPr>
        <w:t xml:space="preserve"> </w:t>
      </w:r>
      <w:r w:rsidR="005C3671" w:rsidRPr="00271DA5">
        <w:rPr>
          <w:bCs/>
          <w:iCs/>
        </w:rPr>
        <w:fldChar w:fldCharType="begin"/>
      </w:r>
      <w:r w:rsidR="005C3671" w:rsidRPr="00271DA5">
        <w:rPr>
          <w:bCs/>
          <w:iCs/>
        </w:rPr>
        <w:instrText>ADDIN RW.CITE{{doc:6159a7f68f08fb6ba45bba4b Sun,Fei 2009}}</w:instrText>
      </w:r>
      <w:r w:rsidR="005C3671" w:rsidRPr="00271DA5">
        <w:rPr>
          <w:bCs/>
          <w:iCs/>
        </w:rPr>
        <w:fldChar w:fldCharType="separate"/>
      </w:r>
      <w:r w:rsidR="00054682" w:rsidRPr="00271DA5">
        <w:rPr>
          <w:iCs/>
        </w:rPr>
        <w:t>(Sun, et al, 2009)</w:t>
      </w:r>
      <w:r w:rsidR="005C3671" w:rsidRPr="00271DA5">
        <w:rPr>
          <w:bCs/>
          <w:iCs/>
        </w:rPr>
        <w:fldChar w:fldCharType="end"/>
      </w:r>
      <w:r w:rsidR="00CD5463" w:rsidRPr="00271DA5">
        <w:rPr>
          <w:bCs/>
        </w:rPr>
        <w:t xml:space="preserve">. </w:t>
      </w:r>
      <w:r w:rsidR="00C44DCF" w:rsidRPr="00271DA5">
        <w:rPr>
          <w:bCs/>
        </w:rPr>
        <w:t xml:space="preserve">Second, caregivers likely experience high levels of psychological distress. Indeed, caregiving creates physical and psychological strain over extended periods of </w:t>
      </w:r>
      <w:r w:rsidR="004E3F07" w:rsidRPr="00271DA5">
        <w:rPr>
          <w:bCs/>
        </w:rPr>
        <w:t>time and</w:t>
      </w:r>
      <w:r w:rsidR="00AE6452" w:rsidRPr="00271DA5">
        <w:rPr>
          <w:bCs/>
        </w:rPr>
        <w:t xml:space="preserve"> </w:t>
      </w:r>
      <w:r w:rsidR="00C44DCF" w:rsidRPr="00271DA5">
        <w:rPr>
          <w:bCs/>
        </w:rPr>
        <w:t>is accompanied by high levels of unpredictability and uncontrollability</w:t>
      </w:r>
      <w:r w:rsidR="004A1902" w:rsidRPr="00271DA5">
        <w:rPr>
          <w:bCs/>
        </w:rPr>
        <w:t>.</w:t>
      </w:r>
      <w:r w:rsidR="00C44DCF" w:rsidRPr="00271DA5">
        <w:rPr>
          <w:bCs/>
        </w:rPr>
        <w:t xml:space="preserve"> </w:t>
      </w:r>
      <w:r w:rsidR="004A1902" w:rsidRPr="00271DA5">
        <w:rPr>
          <w:bCs/>
        </w:rPr>
        <w:t>Caregiving also</w:t>
      </w:r>
      <w:r w:rsidR="00AE6452" w:rsidRPr="00271DA5">
        <w:rPr>
          <w:bCs/>
        </w:rPr>
        <w:t xml:space="preserve"> </w:t>
      </w:r>
      <w:r w:rsidR="00C44DCF" w:rsidRPr="00271DA5">
        <w:rPr>
          <w:bCs/>
        </w:rPr>
        <w:t>has the capacity to create secondary stress in multiple life domains</w:t>
      </w:r>
      <w:r w:rsidR="004A1902" w:rsidRPr="00271DA5">
        <w:rPr>
          <w:bCs/>
        </w:rPr>
        <w:t xml:space="preserve"> (e.g.,</w:t>
      </w:r>
      <w:r w:rsidR="00C44DCF" w:rsidRPr="00271DA5">
        <w:rPr>
          <w:bCs/>
        </w:rPr>
        <w:t xml:space="preserve"> work and family relationships</w:t>
      </w:r>
      <w:r w:rsidR="004A1902" w:rsidRPr="00271DA5">
        <w:rPr>
          <w:bCs/>
        </w:rPr>
        <w:t>)</w:t>
      </w:r>
      <w:r w:rsidR="00C44DCF" w:rsidRPr="00271DA5">
        <w:rPr>
          <w:bCs/>
        </w:rPr>
        <w:t xml:space="preserve">, and frequently requires high levels of vigilance. Such distress can subsequently </w:t>
      </w:r>
      <w:r w:rsidR="005C3671" w:rsidRPr="00271DA5">
        <w:rPr>
          <w:bCs/>
        </w:rPr>
        <w:t xml:space="preserve">increase levels of anxiety </w:t>
      </w:r>
      <w:r w:rsidR="005C3671" w:rsidRPr="00271DA5">
        <w:rPr>
          <w:bCs/>
        </w:rPr>
        <w:fldChar w:fldCharType="begin"/>
      </w:r>
      <w:r w:rsidR="005C3671" w:rsidRPr="00271DA5">
        <w:rPr>
          <w:bCs/>
        </w:rPr>
        <w:instrText>ADDIN RW.CITE{{doc:615999a38f08aa04754db559 Schulz,Richard 2008}}</w:instrText>
      </w:r>
      <w:r w:rsidR="005C3671" w:rsidRPr="00271DA5">
        <w:rPr>
          <w:bCs/>
        </w:rPr>
        <w:fldChar w:fldCharType="separate"/>
      </w:r>
      <w:r w:rsidR="00054682" w:rsidRPr="00271DA5">
        <w:t>(Schulz and Sherwood, 2008)</w:t>
      </w:r>
      <w:r w:rsidR="005C3671" w:rsidRPr="00271DA5">
        <w:rPr>
          <w:bCs/>
        </w:rPr>
        <w:fldChar w:fldCharType="end"/>
      </w:r>
      <w:r w:rsidR="005C3671" w:rsidRPr="00271DA5">
        <w:rPr>
          <w:bCs/>
        </w:rPr>
        <w:t xml:space="preserve">. </w:t>
      </w:r>
      <w:r w:rsidR="00863649" w:rsidRPr="00271DA5">
        <w:rPr>
          <w:bCs/>
        </w:rPr>
        <w:t>Third, research has shown that informal caregivers are in general more likely to allocate less time to physical activity, hobbies, and their social lives</w:t>
      </w:r>
      <w:r w:rsidR="005C3671" w:rsidRPr="00271DA5">
        <w:rPr>
          <w:bCs/>
        </w:rPr>
        <w:t xml:space="preserve"> </w:t>
      </w:r>
      <w:r w:rsidR="005C3671" w:rsidRPr="00271DA5">
        <w:rPr>
          <w:bCs/>
        </w:rPr>
        <w:fldChar w:fldCharType="begin"/>
      </w:r>
      <w:r w:rsidR="005C3671" w:rsidRPr="00271DA5">
        <w:rPr>
          <w:bCs/>
        </w:rPr>
        <w:instrText>ADDIN RW.CITE{{doc:6159a8678f0832c826bd00be Rokicka,Magdalena 2020}}</w:instrText>
      </w:r>
      <w:r w:rsidR="005C3671" w:rsidRPr="00271DA5">
        <w:rPr>
          <w:bCs/>
        </w:rPr>
        <w:fldChar w:fldCharType="separate"/>
      </w:r>
      <w:r w:rsidR="00054682" w:rsidRPr="00271DA5">
        <w:t>(Rokicka and Zajkowska, 2020)</w:t>
      </w:r>
      <w:r w:rsidR="005C3671" w:rsidRPr="00271DA5">
        <w:rPr>
          <w:bCs/>
        </w:rPr>
        <w:fldChar w:fldCharType="end"/>
      </w:r>
      <w:r w:rsidR="00863649" w:rsidRPr="00271DA5">
        <w:rPr>
          <w:bCs/>
        </w:rPr>
        <w:t>.</w:t>
      </w:r>
      <w:r w:rsidR="005C3671" w:rsidRPr="00271DA5">
        <w:t xml:space="preserve"> </w:t>
      </w:r>
      <w:r w:rsidR="00863649" w:rsidRPr="00271DA5">
        <w:rPr>
          <w:bCs/>
        </w:rPr>
        <w:t>Such a reduction in discretionary leisure time will likely increase risk of anxiety.</w:t>
      </w:r>
      <w:r w:rsidR="00503CD1" w:rsidRPr="00271DA5">
        <w:rPr>
          <w:bCs/>
        </w:rPr>
        <w:t xml:space="preserve"> For example, physical activity may </w:t>
      </w:r>
      <w:r w:rsidR="003F29B9" w:rsidRPr="00271DA5">
        <w:rPr>
          <w:bCs/>
        </w:rPr>
        <w:t xml:space="preserve">promote </w:t>
      </w:r>
      <w:r w:rsidR="00863649" w:rsidRPr="00271DA5">
        <w:rPr>
          <w:bCs/>
        </w:rPr>
        <w:t>neurogenesis, potentially reduc</w:t>
      </w:r>
      <w:r w:rsidR="00503CD1" w:rsidRPr="00271DA5">
        <w:rPr>
          <w:bCs/>
        </w:rPr>
        <w:t xml:space="preserve">ing </w:t>
      </w:r>
      <w:r w:rsidR="00863649" w:rsidRPr="00271DA5">
        <w:rPr>
          <w:bCs/>
        </w:rPr>
        <w:t>hyperactivity of the sympathetic nervous system affecting abnormalities in the fear conditioning processing</w:t>
      </w:r>
      <w:r w:rsidR="004A1902" w:rsidRPr="00271DA5">
        <w:rPr>
          <w:bCs/>
        </w:rPr>
        <w:t>.</w:t>
      </w:r>
      <w:r w:rsidR="00863649" w:rsidRPr="00271DA5">
        <w:rPr>
          <w:bCs/>
        </w:rPr>
        <w:t xml:space="preserve"> </w:t>
      </w:r>
      <w:r w:rsidR="004A1902" w:rsidRPr="00271DA5">
        <w:rPr>
          <w:bCs/>
        </w:rPr>
        <w:t xml:space="preserve">Physical activity also </w:t>
      </w:r>
      <w:r w:rsidR="00863649" w:rsidRPr="00271DA5">
        <w:rPr>
          <w:bCs/>
        </w:rPr>
        <w:t>tends to activate anti-inflammatory mechanisms to diminish oxidative stress</w:t>
      </w:r>
      <w:r w:rsidR="005C3671" w:rsidRPr="00271DA5">
        <w:rPr>
          <w:bCs/>
        </w:rPr>
        <w:t xml:space="preserve"> </w:t>
      </w:r>
      <w:r w:rsidR="005C3671" w:rsidRPr="00271DA5">
        <w:rPr>
          <w:bCs/>
        </w:rPr>
        <w:fldChar w:fldCharType="begin"/>
      </w:r>
      <w:r w:rsidR="005C3671" w:rsidRPr="00271DA5">
        <w:rPr>
          <w:bCs/>
        </w:rPr>
        <w:instrText>ADDIN RW.CITE{{doc:6159a8e78f08e5f355a6f761 MeiraJr,CassioM 2020}}</w:instrText>
      </w:r>
      <w:r w:rsidR="005C3671" w:rsidRPr="00271DA5">
        <w:rPr>
          <w:bCs/>
        </w:rPr>
        <w:fldChar w:fldCharType="separate"/>
      </w:r>
      <w:r w:rsidR="00054682" w:rsidRPr="00271DA5">
        <w:t>(Meira Jr, et al, 2020)</w:t>
      </w:r>
      <w:r w:rsidR="005C3671" w:rsidRPr="00271DA5">
        <w:rPr>
          <w:bCs/>
        </w:rPr>
        <w:fldChar w:fldCharType="end"/>
      </w:r>
      <w:r w:rsidR="005C3671" w:rsidRPr="00271DA5">
        <w:rPr>
          <w:bCs/>
        </w:rPr>
        <w:t xml:space="preserve">. </w:t>
      </w:r>
      <w:r w:rsidR="000223B3" w:rsidRPr="00271DA5">
        <w:rPr>
          <w:bCs/>
        </w:rPr>
        <w:t xml:space="preserve">Moreover, </w:t>
      </w:r>
      <w:r w:rsidR="004A1902" w:rsidRPr="00271DA5">
        <w:rPr>
          <w:bCs/>
        </w:rPr>
        <w:t xml:space="preserve">caregiving may impinge on the caregiver’s ability to socialize with others, and social </w:t>
      </w:r>
      <w:r w:rsidR="000223B3" w:rsidRPr="00271DA5">
        <w:rPr>
          <w:bCs/>
        </w:rPr>
        <w:t>interaction</w:t>
      </w:r>
      <w:r w:rsidR="004A1902" w:rsidRPr="00271DA5">
        <w:rPr>
          <w:bCs/>
        </w:rPr>
        <w:t>s</w:t>
      </w:r>
      <w:r w:rsidR="000223B3" w:rsidRPr="00271DA5">
        <w:rPr>
          <w:bCs/>
        </w:rPr>
        <w:t xml:space="preserve"> in social activities </w:t>
      </w:r>
      <w:r w:rsidR="00BB5903" w:rsidRPr="00271DA5">
        <w:rPr>
          <w:bCs/>
        </w:rPr>
        <w:t>ha</w:t>
      </w:r>
      <w:r w:rsidR="00B77C0F" w:rsidRPr="00271DA5">
        <w:rPr>
          <w:bCs/>
        </w:rPr>
        <w:t>ve</w:t>
      </w:r>
      <w:r w:rsidR="00BB5903" w:rsidRPr="00271DA5">
        <w:rPr>
          <w:bCs/>
        </w:rPr>
        <w:t xml:space="preserve"> </w:t>
      </w:r>
      <w:r w:rsidR="000223B3" w:rsidRPr="00271DA5">
        <w:rPr>
          <w:bCs/>
        </w:rPr>
        <w:t>been shown to aid in the reduc</w:t>
      </w:r>
      <w:r w:rsidR="00D76E58" w:rsidRPr="00271DA5">
        <w:rPr>
          <w:bCs/>
        </w:rPr>
        <w:t xml:space="preserve">tion and management of anxiety </w:t>
      </w:r>
      <w:r w:rsidR="00D76E58" w:rsidRPr="00271DA5">
        <w:rPr>
          <w:bCs/>
        </w:rPr>
        <w:fldChar w:fldCharType="begin"/>
      </w:r>
      <w:r w:rsidR="00D76E58" w:rsidRPr="00271DA5">
        <w:rPr>
          <w:bCs/>
        </w:rPr>
        <w:instrText>ADDIN RW.CITE{{doc:6159ab188f086e0f01b434e6 Rebar,AmandaL 2015}}</w:instrText>
      </w:r>
      <w:r w:rsidR="00D76E58" w:rsidRPr="00271DA5">
        <w:rPr>
          <w:bCs/>
        </w:rPr>
        <w:fldChar w:fldCharType="separate"/>
      </w:r>
      <w:r w:rsidR="00054682" w:rsidRPr="00271DA5">
        <w:t>(Rebar, et al, 2015)</w:t>
      </w:r>
      <w:r w:rsidR="00D76E58" w:rsidRPr="00271DA5">
        <w:rPr>
          <w:bCs/>
        </w:rPr>
        <w:fldChar w:fldCharType="end"/>
      </w:r>
      <w:r w:rsidR="00D76E58" w:rsidRPr="00271DA5">
        <w:rPr>
          <w:bCs/>
        </w:rPr>
        <w:t xml:space="preserve">. </w:t>
      </w:r>
      <w:r w:rsidR="001B1214" w:rsidRPr="00271DA5">
        <w:rPr>
          <w:bCs/>
        </w:rPr>
        <w:t>Finally, the uncertainty in terms of the outcome of the care receiver’s illness and duration of care is likely to induce anxiety in the caregiver.</w:t>
      </w:r>
    </w:p>
    <w:p w14:paraId="77B9A1B8" w14:textId="277E0436" w:rsidR="003B7AB4" w:rsidRPr="00271DA5" w:rsidRDefault="003B7AB4" w:rsidP="00387261">
      <w:pPr>
        <w:spacing w:line="480" w:lineRule="auto"/>
        <w:rPr>
          <w:bCs/>
        </w:rPr>
      </w:pPr>
    </w:p>
    <w:p w14:paraId="2874428B" w14:textId="767C91F9" w:rsidR="003B7AB4" w:rsidRPr="00271DA5" w:rsidRDefault="003B7AB4" w:rsidP="00B5346B">
      <w:pPr>
        <w:spacing w:line="480" w:lineRule="auto"/>
      </w:pPr>
      <w:r w:rsidRPr="00271DA5">
        <w:rPr>
          <w:bCs/>
        </w:rPr>
        <w:lastRenderedPageBreak/>
        <w:t xml:space="preserve">In our study, we found that caregiving was positively associated with anxiety symptoms in almost </w:t>
      </w:r>
      <w:r w:rsidR="004A1902" w:rsidRPr="00271DA5">
        <w:rPr>
          <w:bCs/>
        </w:rPr>
        <w:t>all</w:t>
      </w:r>
      <w:r w:rsidRPr="00271DA5">
        <w:rPr>
          <w:bCs/>
        </w:rPr>
        <w:t xml:space="preserve"> the countries included in our study, but a moderate degree of heterogeneity was found. Although the reasons for this between-country heterogeneity </w:t>
      </w:r>
      <w:r w:rsidR="00DA6D44" w:rsidRPr="00271DA5">
        <w:rPr>
          <w:bCs/>
        </w:rPr>
        <w:t>are</w:t>
      </w:r>
      <w:r w:rsidRPr="00271DA5">
        <w:rPr>
          <w:bCs/>
        </w:rPr>
        <w:t xml:space="preserve"> unknown, it can be related to differences in </w:t>
      </w:r>
      <w:r w:rsidR="00DA6D44" w:rsidRPr="00271DA5">
        <w:rPr>
          <w:bCs/>
        </w:rPr>
        <w:t xml:space="preserve">factors such as </w:t>
      </w:r>
      <w:r w:rsidRPr="00271DA5">
        <w:rPr>
          <w:bCs/>
        </w:rPr>
        <w:t>the underlying illness of the care recipient, the relation of the caregiver with the care recipients (child or spouse), number of siblings</w:t>
      </w:r>
      <w:r w:rsidR="00DA6D44" w:rsidRPr="00271DA5">
        <w:rPr>
          <w:bCs/>
        </w:rPr>
        <w:t xml:space="preserve"> to share caregiving tasks</w:t>
      </w:r>
      <w:r w:rsidRPr="00271DA5">
        <w:rPr>
          <w:bCs/>
        </w:rPr>
        <w:t xml:space="preserve">, availability and quality of welfare, </w:t>
      </w:r>
      <w:r w:rsidR="00DA6D44" w:rsidRPr="00271DA5">
        <w:rPr>
          <w:bCs/>
        </w:rPr>
        <w:t xml:space="preserve">and </w:t>
      </w:r>
      <w:r w:rsidRPr="00271DA5">
        <w:rPr>
          <w:bCs/>
        </w:rPr>
        <w:t>duration/intensity of caregiving activities, which may differ between countries</w:t>
      </w:r>
      <w:r w:rsidR="00DA6D44" w:rsidRPr="00271DA5">
        <w:rPr>
          <w:bCs/>
        </w:rPr>
        <w:t>,</w:t>
      </w:r>
      <w:r w:rsidRPr="00271DA5">
        <w:rPr>
          <w:bCs/>
        </w:rPr>
        <w:t xml:space="preserve"> and may explain this heterogeneity. </w:t>
      </w:r>
      <w:r w:rsidR="003A181E" w:rsidRPr="00271DA5">
        <w:rPr>
          <w:bCs/>
        </w:rPr>
        <w:t>For example, kinship status has been shown to affect caregiving burden</w:t>
      </w:r>
      <w:r w:rsidR="00D76E58" w:rsidRPr="00271DA5">
        <w:rPr>
          <w:bCs/>
        </w:rPr>
        <w:t xml:space="preserve"> </w:t>
      </w:r>
      <w:r w:rsidR="00D76E58" w:rsidRPr="00271DA5">
        <w:rPr>
          <w:bCs/>
        </w:rPr>
        <w:fldChar w:fldCharType="begin"/>
      </w:r>
      <w:r w:rsidR="00D76E58" w:rsidRPr="00271DA5">
        <w:rPr>
          <w:bCs/>
        </w:rPr>
        <w:instrText>ADDIN RW.CITE{{doc:6159a7b08f087d3748632793 Viana,MariaCarmen 2013}}</w:instrText>
      </w:r>
      <w:r w:rsidR="00D76E58" w:rsidRPr="00271DA5">
        <w:rPr>
          <w:bCs/>
        </w:rPr>
        <w:fldChar w:fldCharType="separate"/>
      </w:r>
      <w:r w:rsidR="00054682" w:rsidRPr="00271DA5">
        <w:t>(Viana, et al, 2013)</w:t>
      </w:r>
      <w:r w:rsidR="00D76E58" w:rsidRPr="00271DA5">
        <w:rPr>
          <w:bCs/>
        </w:rPr>
        <w:fldChar w:fldCharType="end"/>
      </w:r>
      <w:r w:rsidR="003A181E" w:rsidRPr="00271DA5">
        <w:rPr>
          <w:bCs/>
        </w:rPr>
        <w:t>,</w:t>
      </w:r>
      <w:r w:rsidR="00BD3467" w:rsidRPr="00271DA5">
        <w:t xml:space="preserve"> </w:t>
      </w:r>
      <w:r w:rsidR="003A181E" w:rsidRPr="00271DA5">
        <w:rPr>
          <w:bCs/>
        </w:rPr>
        <w:t xml:space="preserve">while some illnesses (e.g., dementia) are known to </w:t>
      </w:r>
      <w:r w:rsidR="00DA6D44" w:rsidRPr="00271DA5">
        <w:rPr>
          <w:bCs/>
        </w:rPr>
        <w:t>be associated with higher levels of caregiver strain than others</w:t>
      </w:r>
      <w:r w:rsidR="00D76E58" w:rsidRPr="00271DA5">
        <w:rPr>
          <w:bCs/>
        </w:rPr>
        <w:t xml:space="preserve"> </w:t>
      </w:r>
      <w:r w:rsidR="00D76E58" w:rsidRPr="00271DA5">
        <w:rPr>
          <w:bCs/>
        </w:rPr>
        <w:fldChar w:fldCharType="begin"/>
      </w:r>
      <w:r w:rsidR="00D76E58" w:rsidRPr="00271DA5">
        <w:rPr>
          <w:bCs/>
        </w:rPr>
        <w:instrText>ADDIN RW.CITE{{doc:6159ab978f086e0f01b434ec Ory,MarciaG 1999}}</w:instrText>
      </w:r>
      <w:r w:rsidR="00D76E58" w:rsidRPr="00271DA5">
        <w:rPr>
          <w:bCs/>
        </w:rPr>
        <w:fldChar w:fldCharType="separate"/>
      </w:r>
      <w:r w:rsidR="00054682" w:rsidRPr="00271DA5">
        <w:t>(Ory, et al, 1999)</w:t>
      </w:r>
      <w:r w:rsidR="00D76E58" w:rsidRPr="00271DA5">
        <w:rPr>
          <w:bCs/>
        </w:rPr>
        <w:fldChar w:fldCharType="end"/>
      </w:r>
      <w:r w:rsidR="00DA6D44" w:rsidRPr="00271DA5">
        <w:rPr>
          <w:bCs/>
        </w:rPr>
        <w:t>.</w:t>
      </w:r>
      <w:r w:rsidR="00D76E58" w:rsidRPr="00271DA5">
        <w:rPr>
          <w:bCs/>
        </w:rPr>
        <w:t xml:space="preserve"> </w:t>
      </w:r>
      <w:bookmarkStart w:id="9" w:name="_Hlk87449884"/>
      <w:r w:rsidR="00636F01" w:rsidRPr="00271DA5">
        <w:rPr>
          <w:bCs/>
        </w:rPr>
        <w:t>In our study, the association between caregiving and anxiety was more pronounced in upper middle-income countries compared to countries with lower income levels</w:t>
      </w:r>
      <w:r w:rsidR="00305C28" w:rsidRPr="00271DA5">
        <w:rPr>
          <w:bCs/>
        </w:rPr>
        <w:t>, and this suggests that country income may partly explain the between-country heterogeneity observed</w:t>
      </w:r>
      <w:r w:rsidR="00636F01" w:rsidRPr="00271DA5">
        <w:rPr>
          <w:bCs/>
        </w:rPr>
        <w:t xml:space="preserve">. </w:t>
      </w:r>
      <w:r w:rsidR="00B5346B" w:rsidRPr="00271DA5">
        <w:t xml:space="preserve">Previous studies have also found that caregiving in higher income countries is associated with higher levels of distress </w:t>
      </w:r>
      <w:r w:rsidR="00B5346B" w:rsidRPr="00271DA5">
        <w:rPr>
          <w:bCs/>
        </w:rPr>
        <w:fldChar w:fldCharType="begin"/>
      </w:r>
      <w:r w:rsidR="00B5346B" w:rsidRPr="00271DA5">
        <w:rPr>
          <w:bCs/>
        </w:rPr>
        <w:instrText>ADDIN RW.CITE{{doc:6159a7b08f087d3748632793 Viana,MariaCarmen 2013}}</w:instrText>
      </w:r>
      <w:r w:rsidR="00B5346B" w:rsidRPr="00271DA5">
        <w:rPr>
          <w:bCs/>
        </w:rPr>
        <w:fldChar w:fldCharType="separate"/>
      </w:r>
      <w:r w:rsidR="00054682" w:rsidRPr="00271DA5">
        <w:t>(Viana, et al, 2013)</w:t>
      </w:r>
      <w:r w:rsidR="00B5346B" w:rsidRPr="00271DA5">
        <w:rPr>
          <w:bCs/>
        </w:rPr>
        <w:fldChar w:fldCharType="end"/>
      </w:r>
      <w:r w:rsidR="00B5346B" w:rsidRPr="00271DA5">
        <w:t xml:space="preserve">. This may be related to factors such as fewer siblings to share the caregiving task, and more intense caregiving, or more long-term caregiving due to longer life lived but with disabilities of the care recipient. </w:t>
      </w:r>
      <w:r w:rsidR="00BB5903" w:rsidRPr="00271DA5">
        <w:rPr>
          <w:bCs/>
        </w:rPr>
        <w:t>However, future studies that examine the reasons for the between-country heterogeneity are needed.</w:t>
      </w:r>
    </w:p>
    <w:bookmarkEnd w:id="9"/>
    <w:p w14:paraId="7493C224" w14:textId="77777777" w:rsidR="00A13EEA" w:rsidRPr="00271DA5" w:rsidRDefault="00A13EEA" w:rsidP="00387261">
      <w:pPr>
        <w:spacing w:line="480" w:lineRule="auto"/>
        <w:rPr>
          <w:bCs/>
        </w:rPr>
      </w:pPr>
    </w:p>
    <w:p w14:paraId="6DF2180F" w14:textId="30FF881A" w:rsidR="002508C5" w:rsidRPr="00271DA5" w:rsidRDefault="002508C5" w:rsidP="001B20BA">
      <w:pPr>
        <w:pStyle w:val="Heading2"/>
      </w:pPr>
      <w:r w:rsidRPr="00271DA5">
        <w:t>Implication of the study findings</w:t>
      </w:r>
    </w:p>
    <w:p w14:paraId="283AB2DF" w14:textId="57214947" w:rsidR="000223B3" w:rsidRPr="00271DA5" w:rsidRDefault="00A13EEA" w:rsidP="00AC1606">
      <w:pPr>
        <w:spacing w:line="480" w:lineRule="auto"/>
      </w:pPr>
      <w:r w:rsidRPr="00271DA5">
        <w:rPr>
          <w:bCs/>
        </w:rPr>
        <w:t xml:space="preserve">Findings from the present study suggest that informal caregivers residing in LMICs are at </w:t>
      </w:r>
      <w:r w:rsidR="001B1214" w:rsidRPr="00271DA5">
        <w:rPr>
          <w:bCs/>
        </w:rPr>
        <w:t xml:space="preserve">high </w:t>
      </w:r>
      <w:r w:rsidRPr="00271DA5">
        <w:rPr>
          <w:bCs/>
        </w:rPr>
        <w:t xml:space="preserve">risk of anxiety symptoms. It is important to address </w:t>
      </w:r>
      <w:r w:rsidR="001B1214" w:rsidRPr="00271DA5">
        <w:rPr>
          <w:bCs/>
        </w:rPr>
        <w:t xml:space="preserve">anxiety in informal caregivers as poor mental health </w:t>
      </w:r>
      <w:r w:rsidRPr="00271DA5">
        <w:rPr>
          <w:bCs/>
        </w:rPr>
        <w:t>may result in inability to care</w:t>
      </w:r>
      <w:r w:rsidR="001B1214" w:rsidRPr="00271DA5">
        <w:rPr>
          <w:bCs/>
        </w:rPr>
        <w:t>,</w:t>
      </w:r>
      <w:r w:rsidRPr="00271DA5">
        <w:rPr>
          <w:bCs/>
        </w:rPr>
        <w:t xml:space="preserve"> </w:t>
      </w:r>
      <w:r w:rsidR="001B1214" w:rsidRPr="00271DA5">
        <w:rPr>
          <w:bCs/>
        </w:rPr>
        <w:t xml:space="preserve">while </w:t>
      </w:r>
      <w:r w:rsidRPr="00271DA5">
        <w:rPr>
          <w:bCs/>
        </w:rPr>
        <w:t>informal caregivers are essential to maintain adequate health care needs in such settings.</w:t>
      </w:r>
      <w:r w:rsidR="003A0032" w:rsidRPr="00271DA5">
        <w:t xml:space="preserve"> </w:t>
      </w:r>
      <w:r w:rsidR="003A0032" w:rsidRPr="00271DA5">
        <w:rPr>
          <w:bCs/>
        </w:rPr>
        <w:t xml:space="preserve">It may be prudent to introduce </w:t>
      </w:r>
      <w:proofErr w:type="spellStart"/>
      <w:r w:rsidR="003A0032" w:rsidRPr="00271DA5">
        <w:rPr>
          <w:bCs/>
        </w:rPr>
        <w:t>programmes</w:t>
      </w:r>
      <w:proofErr w:type="spellEnd"/>
      <w:r w:rsidR="003A0032" w:rsidRPr="00271DA5">
        <w:rPr>
          <w:bCs/>
        </w:rPr>
        <w:t xml:space="preserve"> to prevent and manage anxiety among informal caregivers. </w:t>
      </w:r>
      <w:r w:rsidR="000223B3" w:rsidRPr="00271DA5">
        <w:rPr>
          <w:bCs/>
        </w:rPr>
        <w:t xml:space="preserve">Importantly, some </w:t>
      </w:r>
      <w:r w:rsidR="000223B3" w:rsidRPr="00271DA5">
        <w:rPr>
          <w:bCs/>
        </w:rPr>
        <w:lastRenderedPageBreak/>
        <w:t xml:space="preserve">randomized controlled trials have shown that interventions may be effective in LMICs for caregivers. For example, </w:t>
      </w:r>
      <w:r w:rsidR="003A0032" w:rsidRPr="00271DA5">
        <w:rPr>
          <w:bCs/>
        </w:rPr>
        <w:t xml:space="preserve">the 10/66 Dementia Research Group's ‘Helping </w:t>
      </w:r>
      <w:proofErr w:type="spellStart"/>
      <w:r w:rsidR="003A0032" w:rsidRPr="00271DA5">
        <w:rPr>
          <w:bCs/>
        </w:rPr>
        <w:t>Carers</w:t>
      </w:r>
      <w:proofErr w:type="spellEnd"/>
      <w:r w:rsidR="003A0032" w:rsidRPr="00271DA5">
        <w:rPr>
          <w:bCs/>
        </w:rPr>
        <w:t xml:space="preserve"> to care’ intervention implemented in India was found to relieve </w:t>
      </w:r>
      <w:proofErr w:type="spellStart"/>
      <w:r w:rsidR="003A0032" w:rsidRPr="00271DA5">
        <w:rPr>
          <w:bCs/>
        </w:rPr>
        <w:t>carer</w:t>
      </w:r>
      <w:proofErr w:type="spellEnd"/>
      <w:r w:rsidR="003A0032" w:rsidRPr="00271DA5">
        <w:rPr>
          <w:bCs/>
        </w:rPr>
        <w:t xml:space="preserve"> strain and/or reduce psychological morbidity.</w:t>
      </w:r>
      <w:r w:rsidR="003A0032" w:rsidRPr="00271DA5">
        <w:t xml:space="preserve"> Briefly, this was a </w:t>
      </w:r>
      <w:r w:rsidR="003A0032" w:rsidRPr="00271DA5">
        <w:rPr>
          <w:bCs/>
        </w:rPr>
        <w:t>community-based intervention provided by a team consisting of Home Care Advisors who were supervised by a counselor and a psychiatrist, focusing on supporting the caregiver through information on dementia, guidance on behavior management, a single psychiatric assessment and psychotropic medication if needed</w:t>
      </w:r>
      <w:r w:rsidR="00D76E58" w:rsidRPr="00271DA5">
        <w:rPr>
          <w:bCs/>
        </w:rPr>
        <w:t xml:space="preserve"> </w:t>
      </w:r>
      <w:r w:rsidR="00D76E58" w:rsidRPr="00271DA5">
        <w:rPr>
          <w:bCs/>
        </w:rPr>
        <w:fldChar w:fldCharType="begin"/>
      </w:r>
      <w:r w:rsidR="00D76E58" w:rsidRPr="00271DA5">
        <w:rPr>
          <w:bCs/>
        </w:rPr>
        <w:instrText>ADDIN RW.CITE{{doc:6159abfa8f086b76721fd0c8 Dias,Amit 2008}}</w:instrText>
      </w:r>
      <w:r w:rsidR="00D76E58" w:rsidRPr="00271DA5">
        <w:rPr>
          <w:bCs/>
        </w:rPr>
        <w:fldChar w:fldCharType="separate"/>
      </w:r>
      <w:r w:rsidR="00054682" w:rsidRPr="00271DA5">
        <w:t>(Dias, et al, 2008)</w:t>
      </w:r>
      <w:r w:rsidR="00D76E58" w:rsidRPr="00271DA5">
        <w:rPr>
          <w:bCs/>
        </w:rPr>
        <w:fldChar w:fldCharType="end"/>
      </w:r>
      <w:r w:rsidR="003A0032" w:rsidRPr="00271DA5">
        <w:rPr>
          <w:bCs/>
        </w:rPr>
        <w:t xml:space="preserve">. Moreover, </w:t>
      </w:r>
      <w:proofErr w:type="spellStart"/>
      <w:r w:rsidR="003A0032" w:rsidRPr="00271DA5">
        <w:rPr>
          <w:bCs/>
        </w:rPr>
        <w:t>programmes</w:t>
      </w:r>
      <w:proofErr w:type="spellEnd"/>
      <w:r w:rsidR="003A0032" w:rsidRPr="00271DA5">
        <w:rPr>
          <w:bCs/>
        </w:rPr>
        <w:t xml:space="preserve"> to address anxiety among </w:t>
      </w:r>
      <w:proofErr w:type="spellStart"/>
      <w:r w:rsidR="003A0032" w:rsidRPr="00271DA5">
        <w:rPr>
          <w:bCs/>
        </w:rPr>
        <w:t>carers</w:t>
      </w:r>
      <w:proofErr w:type="spellEnd"/>
      <w:r w:rsidR="003A0032" w:rsidRPr="00271DA5">
        <w:rPr>
          <w:bCs/>
        </w:rPr>
        <w:t xml:space="preserve"> may incorporate mind-body exercises that have been shown to be highly beneficial for preventing and managing anxiety</w:t>
      </w:r>
      <w:r w:rsidR="00D76E58" w:rsidRPr="00271DA5">
        <w:rPr>
          <w:bCs/>
        </w:rPr>
        <w:t xml:space="preserve"> </w:t>
      </w:r>
      <w:r w:rsidR="00D76E58" w:rsidRPr="00271DA5">
        <w:rPr>
          <w:bCs/>
        </w:rPr>
        <w:fldChar w:fldCharType="begin"/>
      </w:r>
      <w:r w:rsidR="00D76E58" w:rsidRPr="00271DA5">
        <w:rPr>
          <w:bCs/>
        </w:rPr>
        <w:instrText>ADDIN RW.CITE{{doc:6159ac648f0880b79cdcf206 Tsai,Jen-Chen 2003}}</w:instrText>
      </w:r>
      <w:r w:rsidR="00D76E58" w:rsidRPr="00271DA5">
        <w:rPr>
          <w:bCs/>
        </w:rPr>
        <w:fldChar w:fldCharType="separate"/>
      </w:r>
      <w:r w:rsidR="00054682" w:rsidRPr="00271DA5">
        <w:t>(Tsai, et al, 2003)</w:t>
      </w:r>
      <w:r w:rsidR="00D76E58" w:rsidRPr="00271DA5">
        <w:rPr>
          <w:bCs/>
        </w:rPr>
        <w:fldChar w:fldCharType="end"/>
      </w:r>
      <w:r w:rsidR="003A0032" w:rsidRPr="00271DA5">
        <w:rPr>
          <w:bCs/>
        </w:rPr>
        <w:t xml:space="preserve">. </w:t>
      </w:r>
      <w:r w:rsidR="00BB0BCF" w:rsidRPr="00271DA5">
        <w:rPr>
          <w:bCs/>
        </w:rPr>
        <w:t>Indeed</w:t>
      </w:r>
      <w:r w:rsidR="003A0032" w:rsidRPr="00271DA5">
        <w:rPr>
          <w:bCs/>
        </w:rPr>
        <w:t xml:space="preserve">, such exercises have been found to </w:t>
      </w:r>
      <w:r w:rsidR="004A1902" w:rsidRPr="00271DA5">
        <w:rPr>
          <w:bCs/>
        </w:rPr>
        <w:t xml:space="preserve">be </w:t>
      </w:r>
      <w:r w:rsidR="003A0032" w:rsidRPr="00271DA5">
        <w:rPr>
          <w:bCs/>
        </w:rPr>
        <w:t>feasible for informal caregivers and can be performed with those who are being cared for, thus potentially overcoming discretionary time as a barrier to such activities</w:t>
      </w:r>
      <w:r w:rsidR="00D76E58" w:rsidRPr="00271DA5">
        <w:rPr>
          <w:bCs/>
        </w:rPr>
        <w:t xml:space="preserve"> </w:t>
      </w:r>
      <w:r w:rsidR="00D76E58" w:rsidRPr="00271DA5">
        <w:rPr>
          <w:bCs/>
        </w:rPr>
        <w:fldChar w:fldCharType="begin"/>
      </w:r>
      <w:r w:rsidR="00D76E58" w:rsidRPr="00271DA5">
        <w:rPr>
          <w:bCs/>
        </w:rPr>
        <w:instrText>ADDIN RW.CITE{{doc:6159acb48f087d37486327e5 Barrado-Martín,Yolanda 2019}}</w:instrText>
      </w:r>
      <w:r w:rsidR="00D76E58" w:rsidRPr="00271DA5">
        <w:rPr>
          <w:bCs/>
        </w:rPr>
        <w:fldChar w:fldCharType="separate"/>
      </w:r>
      <w:r w:rsidR="00054682" w:rsidRPr="00271DA5">
        <w:t>(Barrado-Martín, et al, 2019)</w:t>
      </w:r>
      <w:r w:rsidR="00D76E58" w:rsidRPr="00271DA5">
        <w:rPr>
          <w:bCs/>
        </w:rPr>
        <w:fldChar w:fldCharType="end"/>
      </w:r>
      <w:r w:rsidR="003A0032" w:rsidRPr="00271DA5">
        <w:rPr>
          <w:bCs/>
        </w:rPr>
        <w:t xml:space="preserve">. </w:t>
      </w:r>
      <w:r w:rsidR="00AC1606" w:rsidRPr="00271DA5">
        <w:t xml:space="preserve">Direct benefits and financial compensation (e.g., state-funded salaries or reimbursements through the health care system) may also alleviate some of the strain of informal caregiving, particularly for those with lower incomes </w:t>
      </w:r>
      <w:r w:rsidR="000050EC" w:rsidRPr="00271DA5">
        <w:fldChar w:fldCharType="begin"/>
      </w:r>
      <w:r w:rsidR="000050EC" w:rsidRPr="00271DA5">
        <w:instrText>ADDIN RW.CITE{{doc:618c36f38f08932a06e8cb23 Rabarison,KristinaM 2018}}</w:instrText>
      </w:r>
      <w:r w:rsidR="000050EC" w:rsidRPr="00271DA5">
        <w:fldChar w:fldCharType="separate"/>
      </w:r>
      <w:r w:rsidR="000050EC" w:rsidRPr="00271DA5">
        <w:rPr>
          <w:bCs/>
        </w:rPr>
        <w:t>(Rabarison, et al, 2018)</w:t>
      </w:r>
      <w:r w:rsidR="000050EC" w:rsidRPr="00271DA5">
        <w:fldChar w:fldCharType="end"/>
      </w:r>
      <w:r w:rsidR="00AC1606" w:rsidRPr="00271DA5">
        <w:t xml:space="preserve">. Furthermore, </w:t>
      </w:r>
      <w:r w:rsidR="00AC1606" w:rsidRPr="00271DA5">
        <w:rPr>
          <w:bCs/>
        </w:rPr>
        <w:t>i</w:t>
      </w:r>
      <w:r w:rsidR="00011D93" w:rsidRPr="00271DA5">
        <w:rPr>
          <w:bCs/>
        </w:rPr>
        <w:t xml:space="preserve">t would also be prudent to carry out future research that identifies </w:t>
      </w:r>
      <w:r w:rsidR="00AC1606" w:rsidRPr="00271DA5">
        <w:rPr>
          <w:bCs/>
        </w:rPr>
        <w:t xml:space="preserve">possible solutions </w:t>
      </w:r>
      <w:r w:rsidR="00011D93" w:rsidRPr="00271DA5">
        <w:rPr>
          <w:bCs/>
        </w:rPr>
        <w:t>that can be employed to address informal caregiver burden in terms of workloa</w:t>
      </w:r>
      <w:r w:rsidR="00AC1606" w:rsidRPr="00271DA5">
        <w:rPr>
          <w:bCs/>
        </w:rPr>
        <w:t>d (e.g.,</w:t>
      </w:r>
      <w:r w:rsidR="00011D93" w:rsidRPr="00271DA5">
        <w:rPr>
          <w:bCs/>
        </w:rPr>
        <w:t xml:space="preserve"> share</w:t>
      </w:r>
      <w:r w:rsidR="007662A8" w:rsidRPr="00271DA5">
        <w:rPr>
          <w:bCs/>
        </w:rPr>
        <w:t>d</w:t>
      </w:r>
      <w:r w:rsidR="00011D93" w:rsidRPr="00271DA5">
        <w:rPr>
          <w:bCs/>
        </w:rPr>
        <w:t xml:space="preserve"> caregiving roles between family members</w:t>
      </w:r>
      <w:r w:rsidR="00AC1606" w:rsidRPr="00271DA5">
        <w:rPr>
          <w:bCs/>
        </w:rPr>
        <w:t>)</w:t>
      </w:r>
      <w:r w:rsidR="00011D93" w:rsidRPr="00271DA5">
        <w:rPr>
          <w:bCs/>
        </w:rPr>
        <w:t>.</w:t>
      </w:r>
    </w:p>
    <w:p w14:paraId="64DB7CC6" w14:textId="6445EF82" w:rsidR="003B7AB4" w:rsidRPr="00271DA5" w:rsidRDefault="003B7AB4" w:rsidP="00387261">
      <w:pPr>
        <w:spacing w:line="480" w:lineRule="auto"/>
        <w:rPr>
          <w:bCs/>
        </w:rPr>
      </w:pPr>
    </w:p>
    <w:p w14:paraId="6DF07D3A" w14:textId="373DF656" w:rsidR="002508C5" w:rsidRPr="00271DA5" w:rsidRDefault="002508C5" w:rsidP="001B20BA">
      <w:pPr>
        <w:pStyle w:val="Heading2"/>
      </w:pPr>
      <w:r w:rsidRPr="00271DA5">
        <w:t>Strength and limitations</w:t>
      </w:r>
    </w:p>
    <w:p w14:paraId="5F200ECB" w14:textId="6C81D3CA" w:rsidR="00583509" w:rsidRPr="00271DA5" w:rsidRDefault="00583509" w:rsidP="00583509">
      <w:pPr>
        <w:spacing w:line="480" w:lineRule="auto"/>
        <w:rPr>
          <w:bCs/>
        </w:rPr>
      </w:pPr>
      <w:r w:rsidRPr="00271DA5">
        <w:rPr>
          <w:bCs/>
        </w:rPr>
        <w:t xml:space="preserve">The large sample size </w:t>
      </w:r>
      <w:r w:rsidR="00BB5903" w:rsidRPr="00271DA5">
        <w:rPr>
          <w:bCs/>
        </w:rPr>
        <w:t xml:space="preserve">and the inclusion of </w:t>
      </w:r>
      <w:r w:rsidRPr="00271DA5">
        <w:rPr>
          <w:bCs/>
        </w:rPr>
        <w:t>multiple LMICs are clear strengths of the present study. However, findings must be interpreted in light of the stud</w:t>
      </w:r>
      <w:r w:rsidR="00BB5903" w:rsidRPr="00271DA5">
        <w:rPr>
          <w:bCs/>
        </w:rPr>
        <w:t>y’s</w:t>
      </w:r>
      <w:r w:rsidRPr="00271DA5">
        <w:rPr>
          <w:bCs/>
        </w:rPr>
        <w:t xml:space="preserve"> limitations. First, data were self-reported potentia</w:t>
      </w:r>
      <w:r w:rsidR="00BF1C05" w:rsidRPr="00271DA5">
        <w:rPr>
          <w:bCs/>
        </w:rPr>
        <w:t>l</w:t>
      </w:r>
      <w:r w:rsidRPr="00271DA5">
        <w:rPr>
          <w:bCs/>
        </w:rPr>
        <w:t>l</w:t>
      </w:r>
      <w:r w:rsidR="00BF1C05" w:rsidRPr="00271DA5">
        <w:rPr>
          <w:bCs/>
        </w:rPr>
        <w:t>y</w:t>
      </w:r>
      <w:r w:rsidRPr="00271DA5">
        <w:rPr>
          <w:bCs/>
        </w:rPr>
        <w:t xml:space="preserve"> introducing social desirability and recall bias into the findings. Second, we </w:t>
      </w:r>
      <w:r w:rsidR="00D9008B" w:rsidRPr="00271DA5">
        <w:rPr>
          <w:bCs/>
        </w:rPr>
        <w:t xml:space="preserve">lacked </w:t>
      </w:r>
      <w:r w:rsidRPr="00271DA5">
        <w:rPr>
          <w:bCs/>
        </w:rPr>
        <w:t xml:space="preserve">information on </w:t>
      </w:r>
      <w:r w:rsidR="00D9008B" w:rsidRPr="00271DA5">
        <w:rPr>
          <w:bCs/>
        </w:rPr>
        <w:t xml:space="preserve">some characteristics of </w:t>
      </w:r>
      <w:r w:rsidRPr="00271DA5">
        <w:rPr>
          <w:bCs/>
        </w:rPr>
        <w:t>caregiving</w:t>
      </w:r>
      <w:r w:rsidR="00754994" w:rsidRPr="00271DA5">
        <w:rPr>
          <w:bCs/>
        </w:rPr>
        <w:t xml:space="preserve"> </w:t>
      </w:r>
      <w:r w:rsidR="00D9008B" w:rsidRPr="00271DA5">
        <w:rPr>
          <w:bCs/>
        </w:rPr>
        <w:t xml:space="preserve">(e.g., </w:t>
      </w:r>
      <w:r w:rsidRPr="00271DA5">
        <w:rPr>
          <w:bCs/>
        </w:rPr>
        <w:t>intensity</w:t>
      </w:r>
      <w:r w:rsidR="00D9008B" w:rsidRPr="00271DA5">
        <w:rPr>
          <w:bCs/>
        </w:rPr>
        <w:t xml:space="preserve">, </w:t>
      </w:r>
      <w:r w:rsidRPr="00271DA5">
        <w:rPr>
          <w:bCs/>
        </w:rPr>
        <w:t>duration</w:t>
      </w:r>
      <w:r w:rsidR="00D9008B" w:rsidRPr="00271DA5">
        <w:rPr>
          <w:bCs/>
        </w:rPr>
        <w:t>)</w:t>
      </w:r>
      <w:r w:rsidRPr="00271DA5">
        <w:rPr>
          <w:bCs/>
        </w:rPr>
        <w:t>, financial loss associated with caregiving, or the</w:t>
      </w:r>
      <w:r w:rsidR="00754994" w:rsidRPr="00271DA5">
        <w:rPr>
          <w:bCs/>
        </w:rPr>
        <w:t xml:space="preserve"> </w:t>
      </w:r>
      <w:r w:rsidRPr="00271DA5">
        <w:rPr>
          <w:bCs/>
        </w:rPr>
        <w:t xml:space="preserve">characteristic of the care recipient. </w:t>
      </w:r>
      <w:r w:rsidR="00D9008B" w:rsidRPr="00271DA5">
        <w:rPr>
          <w:bCs/>
        </w:rPr>
        <w:lastRenderedPageBreak/>
        <w:t>Thus,</w:t>
      </w:r>
      <w:r w:rsidR="007026CF" w:rsidRPr="00271DA5">
        <w:rPr>
          <w:bCs/>
        </w:rPr>
        <w:t xml:space="preserve"> </w:t>
      </w:r>
      <w:r w:rsidRPr="00271DA5">
        <w:rPr>
          <w:bCs/>
        </w:rPr>
        <w:t>our estimate</w:t>
      </w:r>
      <w:r w:rsidR="00754994" w:rsidRPr="00271DA5">
        <w:rPr>
          <w:bCs/>
        </w:rPr>
        <w:t xml:space="preserve"> for anxiety </w:t>
      </w:r>
      <w:r w:rsidR="00D9008B" w:rsidRPr="00271DA5">
        <w:rPr>
          <w:bCs/>
        </w:rPr>
        <w:t>may be</w:t>
      </w:r>
      <w:r w:rsidRPr="00271DA5">
        <w:rPr>
          <w:bCs/>
        </w:rPr>
        <w:t xml:space="preserve"> conservative </w:t>
      </w:r>
      <w:r w:rsidR="00D9008B" w:rsidRPr="00271DA5">
        <w:rPr>
          <w:bCs/>
        </w:rPr>
        <w:t xml:space="preserve">as </w:t>
      </w:r>
      <w:r w:rsidRPr="00271DA5">
        <w:rPr>
          <w:bCs/>
        </w:rPr>
        <w:t>individuals with very little involvement in caregiving may have been</w:t>
      </w:r>
      <w:r w:rsidR="00754994" w:rsidRPr="00271DA5">
        <w:rPr>
          <w:bCs/>
        </w:rPr>
        <w:t xml:space="preserve"> </w:t>
      </w:r>
      <w:r w:rsidRPr="00271DA5">
        <w:rPr>
          <w:bCs/>
        </w:rPr>
        <w:t xml:space="preserve">considered to be caregivers. </w:t>
      </w:r>
      <w:r w:rsidR="00D9008B" w:rsidRPr="00271DA5">
        <w:rPr>
          <w:bCs/>
        </w:rPr>
        <w:t>Third, anxiety symptoms w</w:t>
      </w:r>
      <w:r w:rsidR="007026CF" w:rsidRPr="00271DA5">
        <w:rPr>
          <w:bCs/>
        </w:rPr>
        <w:t>ere</w:t>
      </w:r>
      <w:r w:rsidR="00D9008B" w:rsidRPr="00271DA5">
        <w:rPr>
          <w:bCs/>
        </w:rPr>
        <w:t xml:space="preserve"> assessed by a single non-validated question in our study. However, the use of extreme categories (i.e., sever</w:t>
      </w:r>
      <w:r w:rsidR="00B77C0F" w:rsidRPr="00271DA5">
        <w:rPr>
          <w:bCs/>
        </w:rPr>
        <w:t>e</w:t>
      </w:r>
      <w:r w:rsidR="00D9008B" w:rsidRPr="00271DA5">
        <w:rPr>
          <w:bCs/>
        </w:rPr>
        <w:t xml:space="preserve"> and extreme) is likely to have improved specificity. </w:t>
      </w:r>
      <w:r w:rsidR="003B7AB4" w:rsidRPr="00271DA5">
        <w:rPr>
          <w:bCs/>
        </w:rPr>
        <w:t>Next, data collection was conducted in 200</w:t>
      </w:r>
      <w:r w:rsidR="00E573F8" w:rsidRPr="00271DA5">
        <w:rPr>
          <w:bCs/>
        </w:rPr>
        <w:t>2</w:t>
      </w:r>
      <w:r w:rsidR="003B7AB4" w:rsidRPr="00271DA5">
        <w:rPr>
          <w:bCs/>
        </w:rPr>
        <w:t xml:space="preserve">-2004. Thus, it is possible for the data to not reflect the current situation. </w:t>
      </w:r>
      <w:r w:rsidR="00E573F8" w:rsidRPr="00271DA5">
        <w:rPr>
          <w:bCs/>
        </w:rPr>
        <w:t xml:space="preserve">With lowering fertility rates and less family members to share caregiving tasks, increasing life expectancy, and increase in the proportion of women in the work force, it is possible that the association between caregiving and anxiety is now more pronounced. </w:t>
      </w:r>
      <w:r w:rsidR="00AB60F3" w:rsidRPr="00271DA5">
        <w:rPr>
          <w:bCs/>
        </w:rPr>
        <w:t xml:space="preserve">Finally, </w:t>
      </w:r>
      <w:r w:rsidR="00D9008B" w:rsidRPr="00271DA5">
        <w:rPr>
          <w:bCs/>
        </w:rPr>
        <w:t>temporal associations and causality cannot be inferred from our study as the study had a cross-sectional design.</w:t>
      </w:r>
    </w:p>
    <w:p w14:paraId="0F78FC31" w14:textId="77777777" w:rsidR="007026CF" w:rsidRPr="00271DA5" w:rsidRDefault="007026CF" w:rsidP="00387261">
      <w:pPr>
        <w:spacing w:line="480" w:lineRule="auto"/>
        <w:rPr>
          <w:b/>
          <w:i/>
          <w:iCs/>
        </w:rPr>
      </w:pPr>
    </w:p>
    <w:p w14:paraId="31302E7E" w14:textId="0A08D250" w:rsidR="002508C5" w:rsidRPr="00271DA5" w:rsidRDefault="002508C5" w:rsidP="001B20BA">
      <w:pPr>
        <w:pStyle w:val="Heading2"/>
      </w:pPr>
      <w:r w:rsidRPr="00271DA5">
        <w:t>Conclusion</w:t>
      </w:r>
    </w:p>
    <w:p w14:paraId="1E876EBF" w14:textId="05B83A6B" w:rsidR="008921C4" w:rsidRPr="00271DA5" w:rsidRDefault="008921C4" w:rsidP="00387261">
      <w:pPr>
        <w:spacing w:line="480" w:lineRule="auto"/>
        <w:rPr>
          <w:bCs/>
        </w:rPr>
      </w:pPr>
      <w:r w:rsidRPr="00271DA5">
        <w:rPr>
          <w:bCs/>
        </w:rPr>
        <w:t>In our large sample of adults from LMICs, we found that caregiving is associated with higher odds for anxiety symptoms</w:t>
      </w:r>
      <w:r w:rsidR="003B7AB4" w:rsidRPr="00271DA5">
        <w:rPr>
          <w:bCs/>
        </w:rPr>
        <w:t>,</w:t>
      </w:r>
      <w:r w:rsidRPr="00271DA5">
        <w:rPr>
          <w:bCs/>
        </w:rPr>
        <w:t xml:space="preserve"> and that engaging in </w:t>
      </w:r>
      <w:r w:rsidR="00A16E22" w:rsidRPr="00271DA5">
        <w:rPr>
          <w:bCs/>
        </w:rPr>
        <w:t>many</w:t>
      </w:r>
      <w:r w:rsidRPr="00271DA5">
        <w:rPr>
          <w:bCs/>
        </w:rPr>
        <w:t xml:space="preserve"> caregiving activities is associated with particularly high odds for anxiety symptoms. </w:t>
      </w:r>
      <w:r w:rsidR="0061294F" w:rsidRPr="00271DA5">
        <w:rPr>
          <w:bCs/>
        </w:rPr>
        <w:t xml:space="preserve">Given the rapid pace of population ageing in LMICs, the number of caregivers is likely to increase drastically in the coming years in this setting. Thus, </w:t>
      </w:r>
      <w:r w:rsidR="003B7AB4" w:rsidRPr="00271DA5">
        <w:rPr>
          <w:bCs/>
        </w:rPr>
        <w:t>more studies to identify effective strategies to reduce caregiving burden and its associated mental health problem</w:t>
      </w:r>
      <w:r w:rsidR="007026CF" w:rsidRPr="00271DA5">
        <w:rPr>
          <w:bCs/>
        </w:rPr>
        <w:t>s</w:t>
      </w:r>
      <w:r w:rsidR="003B7AB4" w:rsidRPr="00271DA5">
        <w:rPr>
          <w:bCs/>
        </w:rPr>
        <w:t xml:space="preserve"> in LMICs are needed. This is particularly important given that the system of informal caregiving is not sustainable if the health of caregivers is neglected.</w:t>
      </w:r>
    </w:p>
    <w:p w14:paraId="3DCC919F" w14:textId="77777777" w:rsidR="002508C5" w:rsidRPr="00271DA5" w:rsidRDefault="002508C5" w:rsidP="00387261">
      <w:pPr>
        <w:spacing w:line="480" w:lineRule="auto"/>
        <w:rPr>
          <w:b/>
        </w:rPr>
      </w:pPr>
    </w:p>
    <w:p w14:paraId="614C88FC" w14:textId="77777777" w:rsidR="001B20BA" w:rsidRDefault="001B20BA">
      <w:pPr>
        <w:rPr>
          <w:b/>
          <w:bCs/>
        </w:rPr>
      </w:pPr>
      <w:r>
        <w:br w:type="page"/>
      </w:r>
    </w:p>
    <w:p w14:paraId="2F994825" w14:textId="69E71639" w:rsidR="00262553" w:rsidRPr="00271DA5" w:rsidRDefault="00262553" w:rsidP="001B20BA">
      <w:pPr>
        <w:pStyle w:val="Heading1"/>
      </w:pPr>
      <w:r w:rsidRPr="00271DA5">
        <w:lastRenderedPageBreak/>
        <w:t>REFERENCES</w:t>
      </w:r>
    </w:p>
    <w:p w14:paraId="1860AEF8" w14:textId="4A171EA0" w:rsidR="000050EC" w:rsidRPr="00271DA5" w:rsidRDefault="00904BED" w:rsidP="000050EC">
      <w:pPr>
        <w:pStyle w:val="NormalWeb"/>
        <w:rPr>
          <w:lang w:val="en-US"/>
        </w:rPr>
      </w:pPr>
      <w:r w:rsidRPr="00271DA5">
        <w:rPr>
          <w:b/>
        </w:rPr>
        <w:fldChar w:fldCharType="begin"/>
      </w:r>
      <w:r w:rsidR="000050EC" w:rsidRPr="00271DA5">
        <w:rPr>
          <w:b/>
          <w:lang w:val="en-US"/>
        </w:rPr>
        <w:instrText>ADDIN RW.BIB</w:instrText>
      </w:r>
      <w:r w:rsidRPr="00271DA5">
        <w:rPr>
          <w:b/>
        </w:rPr>
        <w:fldChar w:fldCharType="separate"/>
      </w:r>
      <w:r w:rsidR="000050EC" w:rsidRPr="00271DA5">
        <w:rPr>
          <w:lang w:val="en-US"/>
        </w:rPr>
        <w:t>Archer, G., Kuh, D., Hotopf, M., Stafford, M., Richards, M., 2020. Association between lifetime affective symptoms and premature mortality. JAMA psychiatry. 77, 806-813.</w:t>
      </w:r>
    </w:p>
    <w:p w14:paraId="5025106C" w14:textId="77777777" w:rsidR="000050EC" w:rsidRPr="00271DA5" w:rsidRDefault="000050EC" w:rsidP="000050EC">
      <w:pPr>
        <w:pStyle w:val="NormalWeb"/>
        <w:rPr>
          <w:lang w:val="en-US"/>
        </w:rPr>
      </w:pPr>
      <w:r w:rsidRPr="00271DA5">
        <w:rPr>
          <w:lang w:val="en-US"/>
        </w:rPr>
        <w:t>Barlow, D.H., 2004. Anxiety and its Disorders: The Nature and Treatment of Anxiety and Panic. Guilford press.</w:t>
      </w:r>
    </w:p>
    <w:p w14:paraId="38F3DF25" w14:textId="77777777" w:rsidR="000050EC" w:rsidRPr="00271DA5" w:rsidRDefault="000050EC" w:rsidP="000050EC">
      <w:pPr>
        <w:pStyle w:val="NormalWeb"/>
        <w:rPr>
          <w:lang w:val="en-US"/>
        </w:rPr>
      </w:pPr>
      <w:r w:rsidRPr="00271DA5">
        <w:rPr>
          <w:lang w:val="en-US"/>
        </w:rPr>
        <w:t>Barrado-Martín, Y., Heward, M., Polman, R., Nyman, S.R., 2019. Acceptability of a dyadic Tai Chi intervention for older people living with dementia and their informal carers. J. Aging Phys. Act. 27, 166-183.</w:t>
      </w:r>
    </w:p>
    <w:p w14:paraId="7EC45518" w14:textId="77777777" w:rsidR="000050EC" w:rsidRPr="00271DA5" w:rsidRDefault="000050EC" w:rsidP="000050EC">
      <w:pPr>
        <w:pStyle w:val="NormalWeb"/>
        <w:rPr>
          <w:lang w:val="en-US"/>
        </w:rPr>
      </w:pPr>
      <w:r w:rsidRPr="00271DA5">
        <w:rPr>
          <w:lang w:val="en-US"/>
        </w:rPr>
        <w:t>Beach, S.R., Schulz, R., Williamson, G.M., Miller, L.S., Weiner, M.F., Lance, C.E., 2005. Risk factors for potentially harmful informal caregiver behavior. J. Am. Geriatr. Soc. 53, 255-261.</w:t>
      </w:r>
    </w:p>
    <w:p w14:paraId="4D0184EF" w14:textId="77777777" w:rsidR="000050EC" w:rsidRPr="00271DA5" w:rsidRDefault="000050EC" w:rsidP="000050EC">
      <w:pPr>
        <w:pStyle w:val="NormalWeb"/>
        <w:rPr>
          <w:lang w:val="en-US"/>
        </w:rPr>
      </w:pPr>
      <w:r w:rsidRPr="00271DA5">
        <w:rPr>
          <w:lang w:val="en-US"/>
        </w:rPr>
        <w:t>Bitton, A., Fifield, J., Ratcliffe, H., Karlage, A., Wang, H., Veillard, J.H., Schwarz, D., Hirschhorn, L.R., 2019. Primary healthcare system performance in low-income and middle-income countries: a scoping review of the evidence from 2010 to 2017. BMJ global health. 4, e001551.</w:t>
      </w:r>
    </w:p>
    <w:p w14:paraId="4E55B18B" w14:textId="77777777" w:rsidR="000050EC" w:rsidRPr="00271DA5" w:rsidRDefault="000050EC" w:rsidP="000050EC">
      <w:pPr>
        <w:pStyle w:val="NormalWeb"/>
        <w:rPr>
          <w:lang w:val="en-US"/>
        </w:rPr>
      </w:pPr>
      <w:r w:rsidRPr="00271DA5">
        <w:rPr>
          <w:lang w:val="en-US"/>
        </w:rPr>
        <w:t>Celano, C.M., Daunis, D.J., Lokko, H.N., Campbell, K.A., Huffman, J.C., 2016. Anxiety disorders and cardiovascular disease. Curr. Psychiatry Rep. 18, 1-11.</w:t>
      </w:r>
    </w:p>
    <w:p w14:paraId="488910D7" w14:textId="77777777" w:rsidR="000050EC" w:rsidRPr="00271DA5" w:rsidRDefault="000050EC" w:rsidP="000050EC">
      <w:pPr>
        <w:pStyle w:val="NormalWeb"/>
      </w:pPr>
      <w:r w:rsidRPr="00271DA5">
        <w:rPr>
          <w:lang w:val="en-US"/>
        </w:rPr>
        <w:t xml:space="preserve">Colerick, E.J. and George, L.K., 1986. Predictors of institutionalization among caregivers of patients with Alzheimer's disease. </w:t>
      </w:r>
      <w:r w:rsidRPr="00271DA5">
        <w:t>J. Am. Geriatr. Soc. 34, 493-498.</w:t>
      </w:r>
    </w:p>
    <w:p w14:paraId="4D57DECC" w14:textId="77777777" w:rsidR="000050EC" w:rsidRPr="00271DA5" w:rsidRDefault="000050EC" w:rsidP="000050EC">
      <w:pPr>
        <w:pStyle w:val="NormalWeb"/>
        <w:rPr>
          <w:lang w:val="en-US"/>
        </w:rPr>
      </w:pPr>
      <w:r w:rsidRPr="00271DA5">
        <w:t xml:space="preserve">del-Pino-Casado, R., Priego-Cubero, E., López-Martínez, C., Orgeta, V., 2021. </w:t>
      </w:r>
      <w:r w:rsidRPr="00271DA5">
        <w:rPr>
          <w:lang w:val="en-US"/>
        </w:rPr>
        <w:t>Subjective caregiver burden and anxiety in informal caregivers: A systematic review and meta-analysis. PloS one. 16, e0247143.</w:t>
      </w:r>
    </w:p>
    <w:p w14:paraId="3F0B1805" w14:textId="77777777" w:rsidR="000050EC" w:rsidRPr="00271DA5" w:rsidRDefault="000050EC" w:rsidP="000050EC">
      <w:pPr>
        <w:pStyle w:val="NormalWeb"/>
        <w:rPr>
          <w:lang w:val="en-US"/>
        </w:rPr>
      </w:pPr>
      <w:r w:rsidRPr="00271DA5">
        <w:rPr>
          <w:lang w:val="en-US"/>
        </w:rPr>
        <w:t>Dias, A., Dewey, M.E., D'Souza, J., Dhume, R., Motghare, D.D., Shaji, K.S., Menon, R., Prince, M., Patel, V., 2008. The effectiveness of a home care program for supporting caregivers of persons with dementia in developing countries: a randomised controlled trial from Goa, India. PloS one. 3, e2333.</w:t>
      </w:r>
    </w:p>
    <w:p w14:paraId="27A53E7A" w14:textId="77777777" w:rsidR="000050EC" w:rsidRPr="00271DA5" w:rsidRDefault="000050EC" w:rsidP="000050EC">
      <w:pPr>
        <w:pStyle w:val="NormalWeb"/>
        <w:rPr>
          <w:lang w:val="en-US"/>
        </w:rPr>
      </w:pPr>
      <w:r w:rsidRPr="00271DA5">
        <w:rPr>
          <w:lang w:val="en-US"/>
        </w:rPr>
        <w:t>Emerson, E., Glover, G., Hatton, C., Wolstenholme, J., 2014. Trends in age-standardised mortality rates and life expectancy of people with learning disabilities in Sheffield over a 33-year period. Tizard Learning Disability Review.</w:t>
      </w:r>
    </w:p>
    <w:p w14:paraId="095A8CD0" w14:textId="77777777" w:rsidR="000050EC" w:rsidRPr="00271DA5" w:rsidRDefault="000050EC" w:rsidP="000050EC">
      <w:pPr>
        <w:pStyle w:val="NormalWeb"/>
        <w:rPr>
          <w:lang w:val="en-US"/>
        </w:rPr>
      </w:pPr>
      <w:r w:rsidRPr="00271DA5">
        <w:rPr>
          <w:lang w:val="en-US"/>
        </w:rPr>
        <w:t>Geng, H., Chuang, D., Yang, F., Yang, Y., Liu, W., Liu, L., Tian, H., 2018. Prevalence and determinants of depression in caregivers of cancer patients: A systematic review and meta-analysis. Medicine. 97.</w:t>
      </w:r>
    </w:p>
    <w:p w14:paraId="71D8CDC5" w14:textId="77777777" w:rsidR="000050EC" w:rsidRPr="00271DA5" w:rsidRDefault="000050EC" w:rsidP="000050EC">
      <w:pPr>
        <w:pStyle w:val="NormalWeb"/>
        <w:rPr>
          <w:lang w:val="en-US"/>
        </w:rPr>
      </w:pPr>
      <w:r w:rsidRPr="00271DA5">
        <w:rPr>
          <w:lang w:val="en-US"/>
        </w:rPr>
        <w:t>Higgins, J.P., Thompson, S.G., Deeks, J.J., Altman, D.G., 2003. Measuring inconsistency in meta-analyses. BMJ. 327, 557-560.</w:t>
      </w:r>
    </w:p>
    <w:p w14:paraId="255ADFFA" w14:textId="77777777" w:rsidR="000050EC" w:rsidRPr="00271DA5" w:rsidRDefault="000050EC" w:rsidP="000050EC">
      <w:pPr>
        <w:pStyle w:val="NormalWeb"/>
        <w:rPr>
          <w:lang w:val="en-US"/>
        </w:rPr>
      </w:pPr>
      <w:r w:rsidRPr="00271DA5">
        <w:rPr>
          <w:lang w:val="en-US"/>
        </w:rPr>
        <w:t>Hosseinpoor, A.R., Bergen, N., Chatterji, S., 2013. Socio-demographic determinants of caregiving in older adults of low-and middle-income countries. Age Ageing. 42, 330-338.</w:t>
      </w:r>
    </w:p>
    <w:p w14:paraId="2A4F3265" w14:textId="77777777" w:rsidR="000050EC" w:rsidRPr="00271DA5" w:rsidRDefault="000050EC" w:rsidP="000050EC">
      <w:pPr>
        <w:pStyle w:val="NormalWeb"/>
        <w:rPr>
          <w:lang w:val="en-US"/>
        </w:rPr>
      </w:pPr>
      <w:r w:rsidRPr="00271DA5">
        <w:rPr>
          <w:lang w:val="en-US"/>
        </w:rPr>
        <w:lastRenderedPageBreak/>
        <w:t>INTERLINKS, 2021. INTERLINKS - A Europe-wide resource that aims to improve long-term care for older people. 2021.</w:t>
      </w:r>
    </w:p>
    <w:p w14:paraId="3B4D057D" w14:textId="77777777" w:rsidR="000050EC" w:rsidRPr="00271DA5" w:rsidRDefault="000050EC" w:rsidP="000050EC">
      <w:pPr>
        <w:pStyle w:val="NormalWeb"/>
        <w:rPr>
          <w:lang w:val="en-US"/>
        </w:rPr>
      </w:pPr>
      <w:r w:rsidRPr="00271DA5">
        <w:rPr>
          <w:lang w:val="en-US"/>
        </w:rPr>
        <w:t>Jacob, L., Smith, L., Jackson, S.E., Shin, J.I., Haro, J.M., Vancampfort, D., Stubbs, B., Koyanagi, A., 2020. Informal caregiving and physical activity among 204,315 adults in 38 low-and middle-income countries: A cross-sectional study. Prev. Med. 132, 106007.</w:t>
      </w:r>
    </w:p>
    <w:p w14:paraId="14D85A1D" w14:textId="77777777" w:rsidR="000050EC" w:rsidRPr="00271DA5" w:rsidRDefault="000050EC" w:rsidP="000050EC">
      <w:pPr>
        <w:pStyle w:val="NormalWeb"/>
        <w:rPr>
          <w:lang w:val="en-US"/>
        </w:rPr>
      </w:pPr>
      <w:r w:rsidRPr="00271DA5">
        <w:rPr>
          <w:lang w:val="en-US"/>
        </w:rPr>
        <w:t>Koyanagi, A. and Stickley, A., 2015. The association between sleep problems and psychotic symptoms in the general population: a global perspective. Sleep. 38, 1875-1885.</w:t>
      </w:r>
    </w:p>
    <w:p w14:paraId="4B05CBDF" w14:textId="77777777" w:rsidR="000050EC" w:rsidRPr="00271DA5" w:rsidRDefault="000050EC" w:rsidP="000050EC">
      <w:pPr>
        <w:pStyle w:val="NormalWeb"/>
        <w:rPr>
          <w:lang w:val="en-US"/>
        </w:rPr>
      </w:pPr>
      <w:r w:rsidRPr="00271DA5">
        <w:rPr>
          <w:lang w:val="en-US"/>
        </w:rPr>
        <w:t>Koyanagi, A., Vancampfort, D., Carvalho, A.F., DeVylder, J.E., Haro, J.M., Pizzol, D., Veronese, N., Stubbs, B., 2017. Depression comorbid with tuberculosis and its impact on health status: cross-sectional analysis of community-based data from 48 low-and middle-income countries. BMC medicine. 15, 209.</w:t>
      </w:r>
    </w:p>
    <w:p w14:paraId="386B12D6" w14:textId="77777777" w:rsidR="000050EC" w:rsidRPr="00271DA5" w:rsidRDefault="000050EC" w:rsidP="000050EC">
      <w:pPr>
        <w:pStyle w:val="NormalWeb"/>
        <w:rPr>
          <w:lang w:val="en-US"/>
        </w:rPr>
      </w:pPr>
      <w:r w:rsidRPr="00271DA5">
        <w:rPr>
          <w:lang w:val="en-US"/>
        </w:rPr>
        <w:t>Koyanagi, A., DeVylder, J.E., Stubbs, B., Carvalho, A.F., Veronese, N., Haro, J.M., Santini, Z.I., 2018. Depression, sleep problems, and perceived stress among informal caregivers in 58 low-, middle-, and high-income countries: a cross-sectional analysis of community-based surveys. J. Psychiatr. Res. 96, 115-123.</w:t>
      </w:r>
    </w:p>
    <w:p w14:paraId="7EBE7A00" w14:textId="77777777" w:rsidR="000050EC" w:rsidRPr="00271DA5" w:rsidRDefault="000050EC" w:rsidP="000050EC">
      <w:pPr>
        <w:pStyle w:val="NormalWeb"/>
        <w:rPr>
          <w:lang w:val="en-US"/>
        </w:rPr>
      </w:pPr>
      <w:r w:rsidRPr="00271DA5">
        <w:rPr>
          <w:lang w:val="en-US"/>
        </w:rPr>
        <w:t>Lambert, S.D., Bowe, S.J., Livingston, P.M., Heckel, L., Cook, S., Kowal, P., Orellana, L., 2017. Impact of informal caregiving on older adults’ physical and mental health in low-income and middle-income countries: a cross-sectional, secondary analysis based on the WHO’s Study on global AGEing and adult health (SAGE). BMJ open. 7, e017236.</w:t>
      </w:r>
    </w:p>
    <w:p w14:paraId="6C5B3F2B" w14:textId="77777777" w:rsidR="000050EC" w:rsidRPr="00271DA5" w:rsidRDefault="000050EC" w:rsidP="000050EC">
      <w:pPr>
        <w:pStyle w:val="NormalWeb"/>
        <w:rPr>
          <w:lang w:val="en-US"/>
        </w:rPr>
      </w:pPr>
      <w:r w:rsidRPr="00271DA5">
        <w:rPr>
          <w:lang w:val="en-US"/>
        </w:rPr>
        <w:t>Lin, M. and Giles, H., 2013. The dark side of family communication: a communication model of elder abuse and neglect. International psychogeriatrics. 25, 1275-1290.</w:t>
      </w:r>
    </w:p>
    <w:p w14:paraId="0393477D" w14:textId="77777777" w:rsidR="000050EC" w:rsidRPr="00271DA5" w:rsidRDefault="000050EC" w:rsidP="000050EC">
      <w:pPr>
        <w:pStyle w:val="NormalWeb"/>
        <w:rPr>
          <w:lang w:val="en-US"/>
        </w:rPr>
      </w:pPr>
      <w:r w:rsidRPr="00271DA5">
        <w:rPr>
          <w:lang w:val="en-US"/>
        </w:rPr>
        <w:t>Loh, A.Z., Tan, J.S., Zhang, M.W., Ho, R.C., 2017. The global prevalence of anxiety and depressive symptoms among caregivers of stroke survivors. Journal of the American Medical Directors Association. 18, 111-116.</w:t>
      </w:r>
    </w:p>
    <w:p w14:paraId="442A4B6B" w14:textId="77777777" w:rsidR="000050EC" w:rsidRPr="00271DA5" w:rsidRDefault="000050EC" w:rsidP="000050EC">
      <w:pPr>
        <w:pStyle w:val="NormalWeb"/>
        <w:rPr>
          <w:lang w:val="en-US"/>
        </w:rPr>
      </w:pPr>
      <w:r w:rsidRPr="00271DA5">
        <w:rPr>
          <w:lang w:val="en-US"/>
        </w:rPr>
        <w:t>Meira Jr, C.M., Meneguelli, K.S., Leopoldo, M.P., Florindo, A.A., 2020. Anxiety and Leisure-Domain Physical Activity Frequency, Duration, and Intensity During Covid-19 Pandemic. Frontiers in Psychology. 11, 3758.</w:t>
      </w:r>
    </w:p>
    <w:p w14:paraId="259C2CE0" w14:textId="77777777" w:rsidR="000050EC" w:rsidRPr="00271DA5" w:rsidRDefault="000050EC" w:rsidP="000050EC">
      <w:pPr>
        <w:pStyle w:val="NormalWeb"/>
        <w:rPr>
          <w:lang w:val="en-US"/>
        </w:rPr>
      </w:pPr>
      <w:r w:rsidRPr="00271DA5">
        <w:rPr>
          <w:lang w:val="en-US"/>
        </w:rPr>
        <w:t>Mitra, S. and Sambamoorthi, U., 2014. Disability prevalence among adults: estimates for 54 countries and progress toward a global estimate. Disabil. Rehabil. 36, 940-947.</w:t>
      </w:r>
    </w:p>
    <w:p w14:paraId="73726184" w14:textId="77777777" w:rsidR="000050EC" w:rsidRPr="00271DA5" w:rsidRDefault="000050EC" w:rsidP="000050EC">
      <w:pPr>
        <w:pStyle w:val="NormalWeb"/>
        <w:rPr>
          <w:lang w:val="en-US"/>
        </w:rPr>
      </w:pPr>
      <w:r w:rsidRPr="00271DA5">
        <w:rPr>
          <w:lang w:val="en-US"/>
        </w:rPr>
        <w:t>Ory, M.G., Hoffman III, R.R., Yee, J.L., Tennstedt, S., Schulz, R., 1999. Prevalence and impact of caregiving: A detailed comparison between dementia and nondementia caregivers. Gerontologist. 39, 177-186.</w:t>
      </w:r>
    </w:p>
    <w:p w14:paraId="0614047C" w14:textId="77777777" w:rsidR="000050EC" w:rsidRPr="00271DA5" w:rsidRDefault="000050EC" w:rsidP="000050EC">
      <w:pPr>
        <w:pStyle w:val="NormalWeb"/>
        <w:rPr>
          <w:lang w:val="en-US"/>
        </w:rPr>
      </w:pPr>
      <w:r w:rsidRPr="00271DA5">
        <w:rPr>
          <w:lang w:val="en-US"/>
        </w:rPr>
        <w:t>Pinquart, M. and Sörensen, S., 2007. Correlates of physical health of informal caregivers: a meta-analysis. The Journals of Gerontology Series B: Psychological Sciences and Social Sciences. 62, P126-P137.</w:t>
      </w:r>
    </w:p>
    <w:p w14:paraId="48FCC284" w14:textId="77777777" w:rsidR="000050EC" w:rsidRPr="00271DA5" w:rsidRDefault="000050EC" w:rsidP="000050EC">
      <w:pPr>
        <w:pStyle w:val="NormalWeb"/>
        <w:rPr>
          <w:lang w:val="en-US"/>
        </w:rPr>
      </w:pPr>
      <w:r w:rsidRPr="00271DA5">
        <w:rPr>
          <w:lang w:val="en-US"/>
        </w:rPr>
        <w:t xml:space="preserve">Rabarison, K.M., Bouldin, E.D., Bish, C.L., McGuire, L.C., Taylor, C.A., Greenlund, K.J., 2018. The economic value of informal caregiving for persons with dementia: Results from 38 </w:t>
      </w:r>
      <w:r w:rsidRPr="00271DA5">
        <w:rPr>
          <w:lang w:val="en-US"/>
        </w:rPr>
        <w:lastRenderedPageBreak/>
        <w:t>states, the District of Columbia, and Puerto Rico, 2015 and 2016 BRFSS. Am. J. Public Health. 108, 1370-1377.</w:t>
      </w:r>
    </w:p>
    <w:p w14:paraId="23BF2802" w14:textId="77777777" w:rsidR="000050EC" w:rsidRPr="00271DA5" w:rsidRDefault="000050EC" w:rsidP="000050EC">
      <w:pPr>
        <w:pStyle w:val="NormalWeb"/>
        <w:rPr>
          <w:lang w:val="en-US"/>
        </w:rPr>
      </w:pPr>
      <w:r w:rsidRPr="00271DA5">
        <w:rPr>
          <w:lang w:val="en-US"/>
        </w:rPr>
        <w:t>Rebar, A.L., Stanton, R., Geard, D., Short, C., Duncan, M.J., Vandelanotte, C., 2015. A meta-meta-analysis of the effect of physical activity on depression and anxiety in non-clinical adult populations. Health psychology review. 9, 366-378.</w:t>
      </w:r>
    </w:p>
    <w:p w14:paraId="776E9756" w14:textId="77777777" w:rsidR="000050EC" w:rsidRPr="00271DA5" w:rsidRDefault="000050EC" w:rsidP="000050EC">
      <w:pPr>
        <w:pStyle w:val="NormalWeb"/>
        <w:rPr>
          <w:lang w:val="en-US"/>
        </w:rPr>
      </w:pPr>
      <w:r w:rsidRPr="00271DA5">
        <w:rPr>
          <w:lang w:val="en-US"/>
        </w:rPr>
        <w:t>Rokicka, M. and Zajkowska, O., 2020. Informal Elderly Caregiving and Time Spent on Leisure: Evidence from Time Use Survey. Ageing Int. 45, 393-410.</w:t>
      </w:r>
    </w:p>
    <w:p w14:paraId="68B0AA70" w14:textId="77777777" w:rsidR="000050EC" w:rsidRPr="00271DA5" w:rsidRDefault="000050EC" w:rsidP="000050EC">
      <w:pPr>
        <w:pStyle w:val="NormalWeb"/>
        <w:rPr>
          <w:lang w:val="en-US"/>
        </w:rPr>
      </w:pPr>
      <w:r w:rsidRPr="00271DA5">
        <w:rPr>
          <w:lang w:val="en-US"/>
        </w:rPr>
        <w:t>Sallim, A.B., Sayampanathan, A.A., Cuttilan, A., Ho, R.C., 2015. Prevalence of mental health disorders among caregivers of patients with Alzheimer disease. Journal of the American Medical Directors Association. 16, 1034-1041.</w:t>
      </w:r>
    </w:p>
    <w:p w14:paraId="5C876F9D" w14:textId="77777777" w:rsidR="000050EC" w:rsidRPr="00271DA5" w:rsidRDefault="000050EC" w:rsidP="000050EC">
      <w:pPr>
        <w:pStyle w:val="NormalWeb"/>
        <w:rPr>
          <w:lang w:val="en-US"/>
        </w:rPr>
      </w:pPr>
      <w:r w:rsidRPr="00271DA5">
        <w:rPr>
          <w:lang w:val="en-US"/>
        </w:rPr>
        <w:t>Schulz, R. and Beach, S.R., 1999. Caregiving as a risk factor for mortality: the Caregiver Health Effects Study. JAMA. 282, 2215-2219.</w:t>
      </w:r>
    </w:p>
    <w:p w14:paraId="52D1CD93" w14:textId="77777777" w:rsidR="000050EC" w:rsidRPr="00271DA5" w:rsidRDefault="000050EC" w:rsidP="000050EC">
      <w:pPr>
        <w:pStyle w:val="NormalWeb"/>
        <w:rPr>
          <w:lang w:val="en-US"/>
        </w:rPr>
      </w:pPr>
      <w:r w:rsidRPr="00271DA5">
        <w:rPr>
          <w:lang w:val="en-US"/>
        </w:rPr>
        <w:t>Schulz, R. and Sherwood, P.R., 2008. Physical and mental health effects of family caregiving. Journal of Social Work Education. 44, 105-113.</w:t>
      </w:r>
    </w:p>
    <w:p w14:paraId="55C85DB0" w14:textId="77777777" w:rsidR="000050EC" w:rsidRPr="00271DA5" w:rsidRDefault="000050EC" w:rsidP="000050EC">
      <w:pPr>
        <w:pStyle w:val="NormalWeb"/>
        <w:rPr>
          <w:lang w:val="en-US"/>
        </w:rPr>
      </w:pPr>
      <w:r w:rsidRPr="00271DA5">
        <w:rPr>
          <w:lang w:val="en-US"/>
        </w:rPr>
        <w:t>Sleep Foundation, 2020. Anxiety and Sleep. 2021.</w:t>
      </w:r>
    </w:p>
    <w:p w14:paraId="02BF0840" w14:textId="77777777" w:rsidR="000050EC" w:rsidRPr="00271DA5" w:rsidRDefault="000050EC" w:rsidP="000050EC">
      <w:pPr>
        <w:pStyle w:val="NormalWeb"/>
        <w:rPr>
          <w:lang w:val="en-US"/>
        </w:rPr>
      </w:pPr>
      <w:r w:rsidRPr="00271DA5">
        <w:rPr>
          <w:lang w:val="en-US"/>
        </w:rPr>
        <w:t>Smith, L., Onwumere, J., Craig, T., McManus, S., Bebbington, P., Kuipers, E., 2014. Mental and physical illness in caregivers: results from an English national survey sample. The British Journal of Psychiatry. 205, 197-203.</w:t>
      </w:r>
    </w:p>
    <w:p w14:paraId="75AC3485" w14:textId="77777777" w:rsidR="000050EC" w:rsidRPr="00271DA5" w:rsidRDefault="000050EC" w:rsidP="000050EC">
      <w:pPr>
        <w:pStyle w:val="NormalWeb"/>
        <w:rPr>
          <w:lang w:val="en-US"/>
        </w:rPr>
      </w:pPr>
      <w:r w:rsidRPr="00271DA5">
        <w:rPr>
          <w:lang w:val="en-US"/>
        </w:rPr>
        <w:t>Su, J. and Chang, C., 2020. Association between family caregiver burden and affiliate stigma in the families of people with dementia. International journal of environmental research and public health. 17, 2772.</w:t>
      </w:r>
    </w:p>
    <w:p w14:paraId="6A67D823" w14:textId="77777777" w:rsidR="000050EC" w:rsidRPr="00271DA5" w:rsidRDefault="000050EC" w:rsidP="000050EC">
      <w:pPr>
        <w:pStyle w:val="NormalWeb"/>
        <w:rPr>
          <w:lang w:val="en-US"/>
        </w:rPr>
      </w:pPr>
      <w:r w:rsidRPr="00271DA5">
        <w:rPr>
          <w:lang w:val="en-US"/>
        </w:rPr>
        <w:t>Sun, F., Hilgeman, M.M., Durkin, D.W., Allen, R.S., Burgio, L.D., 2009. Perceived income inadequacy as a predictor of psychological distress in Alzheimer's caregivers. Psychol. Aging. 24, 177.</w:t>
      </w:r>
    </w:p>
    <w:p w14:paraId="2CDBB75E" w14:textId="77777777" w:rsidR="000050EC" w:rsidRPr="00271DA5" w:rsidRDefault="000050EC" w:rsidP="000050EC">
      <w:pPr>
        <w:pStyle w:val="NormalWeb"/>
        <w:rPr>
          <w:lang w:val="en-US"/>
        </w:rPr>
      </w:pPr>
      <w:r w:rsidRPr="00271DA5">
        <w:rPr>
          <w:lang w:val="en-US"/>
        </w:rPr>
        <w:t>Tsai, J., Wang, W., Chan, P., Lin, L., Wang, C., Tomlinson, B., Hsieh, M., Yang, H., Liu, J., 2003. The beneficial effects of Tai Chi Chuan on blood pressure and lipid profile and anxiety status in a randomized controlled trial. The Journal of Alternative &amp; Complementary Medicine. 9, 747-754.</w:t>
      </w:r>
    </w:p>
    <w:p w14:paraId="04166645" w14:textId="77777777" w:rsidR="000050EC" w:rsidRPr="00271DA5" w:rsidRDefault="000050EC" w:rsidP="000050EC">
      <w:pPr>
        <w:pStyle w:val="NormalWeb"/>
        <w:rPr>
          <w:lang w:val="en-US"/>
        </w:rPr>
      </w:pPr>
      <w:r w:rsidRPr="00271DA5">
        <w:rPr>
          <w:lang w:val="en-US"/>
        </w:rPr>
        <w:t>Üstün, T.B., Chatterji, S., Mechbal, A., Murray, C.J., WHS Collaborating Groups, 2003. The world health surveys [chapter 58]. In: Murray, C. and Evans, D.B. (Eds.), Health Systems Performance Assessment: Debates, Methods and Empiricism. World Health Organization, Geneva, Switzerland, pp. 115-126.</w:t>
      </w:r>
    </w:p>
    <w:p w14:paraId="6A5E25BA" w14:textId="77777777" w:rsidR="000050EC" w:rsidRPr="00271DA5" w:rsidRDefault="000050EC" w:rsidP="000050EC">
      <w:pPr>
        <w:pStyle w:val="NormalWeb"/>
        <w:rPr>
          <w:lang w:val="en-US"/>
        </w:rPr>
      </w:pPr>
      <w:r w:rsidRPr="00271DA5">
        <w:rPr>
          <w:lang w:val="en-US"/>
        </w:rPr>
        <w:t>Viana, M.C., Gruber, M.J., Shahly, V., Alhamzawi, A., Alonso, J., Andrade, L.H., Angermeyer, M.C., Benjet, C., Bruffaerts, R., Caldas-de-Almeida, J.M., 2013. Family burden related to mental and physical disorders in the world: results from the WHO World Mental Health (WMH) surveys. Brazilian Journal of Psychiatry. 35, 115-125.</w:t>
      </w:r>
    </w:p>
    <w:p w14:paraId="38DA4768" w14:textId="77777777" w:rsidR="000050EC" w:rsidRPr="00271DA5" w:rsidRDefault="000050EC" w:rsidP="000050EC">
      <w:pPr>
        <w:pStyle w:val="NormalWeb"/>
      </w:pPr>
      <w:r w:rsidRPr="00271DA5">
        <w:rPr>
          <w:lang w:val="en-US"/>
        </w:rPr>
        <w:lastRenderedPageBreak/>
        <w:t xml:space="preserve">Wong, K.O., Hunter Rowe, B., Douwes, J., Senthilselvan, A., 2013. Asthma and wheezing are associated with depression and anxiety in adults: an analysis from 54 countries. </w:t>
      </w:r>
      <w:r w:rsidRPr="00271DA5">
        <w:t>Pulmonary medicine. 2013.</w:t>
      </w:r>
    </w:p>
    <w:p w14:paraId="28F23DC5" w14:textId="77777777" w:rsidR="000050EC" w:rsidRPr="00271DA5" w:rsidRDefault="000050EC" w:rsidP="000050EC">
      <w:pPr>
        <w:pStyle w:val="NormalWeb"/>
      </w:pPr>
      <w:r w:rsidRPr="00271DA5">
        <w:t>World Health Organization, 2018. Ageing and health. 2021.</w:t>
      </w:r>
    </w:p>
    <w:p w14:paraId="2F69F4CA" w14:textId="72004D14" w:rsidR="00262553" w:rsidRPr="00271DA5" w:rsidRDefault="000050EC" w:rsidP="000050EC">
      <w:pPr>
        <w:rPr>
          <w:b/>
        </w:rPr>
      </w:pPr>
      <w:r w:rsidRPr="00271DA5">
        <w:t> </w:t>
      </w:r>
      <w:r w:rsidR="00904BED" w:rsidRPr="00271DA5">
        <w:rPr>
          <w:b/>
        </w:rPr>
        <w:fldChar w:fldCharType="end"/>
      </w:r>
    </w:p>
    <w:p w14:paraId="13A73338" w14:textId="72B7B5EB" w:rsidR="00C357E8" w:rsidRPr="00271DA5" w:rsidRDefault="00C357E8" w:rsidP="00387261">
      <w:pPr>
        <w:spacing w:line="480" w:lineRule="auto"/>
        <w:rPr>
          <w:b/>
        </w:rPr>
      </w:pPr>
    </w:p>
    <w:p w14:paraId="49651931" w14:textId="7B53C3E6" w:rsidR="00DB4F08" w:rsidRPr="00271DA5" w:rsidRDefault="00DB4F08" w:rsidP="00DB4F08">
      <w:pPr>
        <w:pStyle w:val="Heading1"/>
        <w:sectPr w:rsidR="00DB4F08" w:rsidRPr="00271DA5" w:rsidSect="00CB0B05">
          <w:pgSz w:w="11900" w:h="16840"/>
          <w:pgMar w:top="1440" w:right="1440" w:bottom="1440" w:left="1440" w:header="720" w:footer="720" w:gutter="0"/>
          <w:cols w:space="720"/>
          <w:docGrid w:linePitch="360"/>
        </w:sectPr>
      </w:pPr>
      <w:r>
        <w:t>TABLES AND FIGURES</w:t>
      </w:r>
    </w:p>
    <w:tbl>
      <w:tblPr>
        <w:tblW w:w="0" w:type="auto"/>
        <w:tblLayout w:type="fixed"/>
        <w:tblLook w:val="04A0" w:firstRow="1" w:lastRow="0" w:firstColumn="1" w:lastColumn="0" w:noHBand="0" w:noVBand="1"/>
      </w:tblPr>
      <w:tblGrid>
        <w:gridCol w:w="2092"/>
        <w:gridCol w:w="2870"/>
        <w:gridCol w:w="1275"/>
        <w:gridCol w:w="1276"/>
        <w:gridCol w:w="1276"/>
        <w:gridCol w:w="957"/>
      </w:tblGrid>
      <w:tr w:rsidR="00271DA5" w:rsidRPr="00271DA5" w14:paraId="7EBA907A" w14:textId="77777777" w:rsidTr="00A304C8">
        <w:trPr>
          <w:trHeight w:val="340"/>
        </w:trPr>
        <w:tc>
          <w:tcPr>
            <w:tcW w:w="9746" w:type="dxa"/>
            <w:gridSpan w:val="6"/>
            <w:tcBorders>
              <w:top w:val="nil"/>
              <w:left w:val="nil"/>
              <w:bottom w:val="single" w:sz="4" w:space="0" w:color="auto"/>
              <w:right w:val="nil"/>
            </w:tcBorders>
            <w:shd w:val="clear" w:color="auto" w:fill="auto"/>
            <w:noWrap/>
            <w:vAlign w:val="center"/>
            <w:hideMark/>
          </w:tcPr>
          <w:p w14:paraId="47D2D823" w14:textId="77777777" w:rsidR="00E93EF3" w:rsidRPr="00271DA5" w:rsidRDefault="00E93EF3">
            <w:pPr>
              <w:rPr>
                <w:b/>
                <w:bCs/>
              </w:rPr>
            </w:pPr>
            <w:r w:rsidRPr="00271DA5">
              <w:rPr>
                <w:b/>
                <w:bCs/>
              </w:rPr>
              <w:lastRenderedPageBreak/>
              <w:t xml:space="preserve">Table 1 </w:t>
            </w:r>
            <w:r w:rsidRPr="00271DA5">
              <w:t>Sample characteristics (overall and by caregiving)</w:t>
            </w:r>
          </w:p>
        </w:tc>
      </w:tr>
      <w:tr w:rsidR="00271DA5" w:rsidRPr="00271DA5" w14:paraId="6ED09D53" w14:textId="77777777" w:rsidTr="00A304C8">
        <w:trPr>
          <w:trHeight w:val="320"/>
        </w:trPr>
        <w:tc>
          <w:tcPr>
            <w:tcW w:w="2092" w:type="dxa"/>
            <w:tcBorders>
              <w:top w:val="nil"/>
              <w:left w:val="nil"/>
              <w:bottom w:val="nil"/>
              <w:right w:val="nil"/>
            </w:tcBorders>
            <w:shd w:val="clear" w:color="auto" w:fill="auto"/>
            <w:noWrap/>
            <w:vAlign w:val="center"/>
            <w:hideMark/>
          </w:tcPr>
          <w:p w14:paraId="56458963" w14:textId="77777777" w:rsidR="00E93EF3" w:rsidRPr="00271DA5" w:rsidRDefault="00E93EF3">
            <w:pPr>
              <w:rPr>
                <w:sz w:val="22"/>
                <w:szCs w:val="22"/>
              </w:rPr>
            </w:pPr>
            <w:r w:rsidRPr="00271DA5">
              <w:rPr>
                <w:sz w:val="22"/>
                <w:szCs w:val="22"/>
              </w:rPr>
              <w:t> </w:t>
            </w:r>
          </w:p>
        </w:tc>
        <w:tc>
          <w:tcPr>
            <w:tcW w:w="2870" w:type="dxa"/>
            <w:tcBorders>
              <w:top w:val="nil"/>
              <w:left w:val="nil"/>
              <w:bottom w:val="nil"/>
              <w:right w:val="nil"/>
            </w:tcBorders>
            <w:shd w:val="clear" w:color="auto" w:fill="auto"/>
            <w:noWrap/>
            <w:vAlign w:val="center"/>
            <w:hideMark/>
          </w:tcPr>
          <w:p w14:paraId="44B4788D" w14:textId="77777777" w:rsidR="00E93EF3" w:rsidRPr="00271DA5" w:rsidRDefault="00E93EF3">
            <w:pPr>
              <w:rPr>
                <w:sz w:val="22"/>
                <w:szCs w:val="22"/>
              </w:rPr>
            </w:pPr>
            <w:r w:rsidRPr="00271DA5">
              <w:rPr>
                <w:sz w:val="22"/>
                <w:szCs w:val="22"/>
              </w:rPr>
              <w:t> </w:t>
            </w:r>
          </w:p>
        </w:tc>
        <w:tc>
          <w:tcPr>
            <w:tcW w:w="1275" w:type="dxa"/>
            <w:tcBorders>
              <w:top w:val="nil"/>
              <w:left w:val="nil"/>
              <w:bottom w:val="nil"/>
              <w:right w:val="nil"/>
            </w:tcBorders>
            <w:shd w:val="clear" w:color="auto" w:fill="auto"/>
            <w:noWrap/>
            <w:vAlign w:val="center"/>
            <w:hideMark/>
          </w:tcPr>
          <w:p w14:paraId="5A818E0A" w14:textId="77777777" w:rsidR="00E93EF3" w:rsidRPr="00271DA5" w:rsidRDefault="00E93EF3">
            <w:pPr>
              <w:rPr>
                <w:sz w:val="22"/>
                <w:szCs w:val="22"/>
              </w:rPr>
            </w:pPr>
            <w:r w:rsidRPr="00271DA5">
              <w:rPr>
                <w:sz w:val="22"/>
                <w:szCs w:val="22"/>
              </w:rPr>
              <w:t> </w:t>
            </w:r>
          </w:p>
        </w:tc>
        <w:tc>
          <w:tcPr>
            <w:tcW w:w="2552" w:type="dxa"/>
            <w:gridSpan w:val="2"/>
            <w:tcBorders>
              <w:top w:val="single" w:sz="4" w:space="0" w:color="auto"/>
              <w:left w:val="nil"/>
              <w:bottom w:val="nil"/>
              <w:right w:val="nil"/>
            </w:tcBorders>
            <w:shd w:val="clear" w:color="auto" w:fill="auto"/>
            <w:noWrap/>
            <w:vAlign w:val="center"/>
            <w:hideMark/>
          </w:tcPr>
          <w:p w14:paraId="37330726" w14:textId="77777777" w:rsidR="00E93EF3" w:rsidRPr="00271DA5" w:rsidRDefault="00E93EF3">
            <w:pPr>
              <w:rPr>
                <w:sz w:val="22"/>
                <w:szCs w:val="22"/>
              </w:rPr>
            </w:pPr>
            <w:r w:rsidRPr="00271DA5">
              <w:rPr>
                <w:sz w:val="22"/>
                <w:szCs w:val="22"/>
              </w:rPr>
              <w:t>Caregiving</w:t>
            </w:r>
          </w:p>
        </w:tc>
        <w:tc>
          <w:tcPr>
            <w:tcW w:w="957" w:type="dxa"/>
            <w:tcBorders>
              <w:top w:val="nil"/>
              <w:left w:val="nil"/>
              <w:bottom w:val="nil"/>
              <w:right w:val="nil"/>
            </w:tcBorders>
            <w:shd w:val="clear" w:color="auto" w:fill="auto"/>
            <w:noWrap/>
            <w:vAlign w:val="center"/>
            <w:hideMark/>
          </w:tcPr>
          <w:p w14:paraId="3BA61DC3" w14:textId="77777777" w:rsidR="00E93EF3" w:rsidRPr="00271DA5" w:rsidRDefault="00E93EF3">
            <w:pPr>
              <w:rPr>
                <w:sz w:val="22"/>
                <w:szCs w:val="22"/>
              </w:rPr>
            </w:pPr>
            <w:r w:rsidRPr="00271DA5">
              <w:rPr>
                <w:sz w:val="22"/>
                <w:szCs w:val="22"/>
              </w:rPr>
              <w:t> </w:t>
            </w:r>
          </w:p>
        </w:tc>
      </w:tr>
      <w:tr w:rsidR="00271DA5" w:rsidRPr="00271DA5" w14:paraId="797080FC" w14:textId="77777777" w:rsidTr="00A304C8">
        <w:trPr>
          <w:trHeight w:val="340"/>
        </w:trPr>
        <w:tc>
          <w:tcPr>
            <w:tcW w:w="2092" w:type="dxa"/>
            <w:tcBorders>
              <w:top w:val="nil"/>
              <w:left w:val="nil"/>
              <w:bottom w:val="double" w:sz="6" w:space="0" w:color="auto"/>
              <w:right w:val="nil"/>
            </w:tcBorders>
            <w:shd w:val="clear" w:color="auto" w:fill="auto"/>
            <w:noWrap/>
            <w:vAlign w:val="center"/>
            <w:hideMark/>
          </w:tcPr>
          <w:p w14:paraId="54307109" w14:textId="77777777" w:rsidR="00E93EF3" w:rsidRPr="00271DA5" w:rsidRDefault="00E93EF3">
            <w:pPr>
              <w:rPr>
                <w:sz w:val="22"/>
                <w:szCs w:val="22"/>
              </w:rPr>
            </w:pPr>
            <w:r w:rsidRPr="00271DA5">
              <w:rPr>
                <w:sz w:val="22"/>
                <w:szCs w:val="22"/>
              </w:rPr>
              <w:t>Characteristic</w:t>
            </w:r>
          </w:p>
        </w:tc>
        <w:tc>
          <w:tcPr>
            <w:tcW w:w="2870" w:type="dxa"/>
            <w:tcBorders>
              <w:top w:val="nil"/>
              <w:left w:val="nil"/>
              <w:bottom w:val="double" w:sz="6" w:space="0" w:color="auto"/>
              <w:right w:val="nil"/>
            </w:tcBorders>
            <w:shd w:val="clear" w:color="auto" w:fill="auto"/>
            <w:noWrap/>
            <w:vAlign w:val="center"/>
            <w:hideMark/>
          </w:tcPr>
          <w:p w14:paraId="616D5815" w14:textId="77777777" w:rsidR="00E93EF3" w:rsidRPr="00271DA5" w:rsidRDefault="00E93EF3">
            <w:pPr>
              <w:rPr>
                <w:sz w:val="22"/>
                <w:szCs w:val="22"/>
              </w:rPr>
            </w:pPr>
            <w:r w:rsidRPr="00271DA5">
              <w:rPr>
                <w:sz w:val="22"/>
                <w:szCs w:val="22"/>
              </w:rPr>
              <w:t> </w:t>
            </w:r>
          </w:p>
        </w:tc>
        <w:tc>
          <w:tcPr>
            <w:tcW w:w="1275" w:type="dxa"/>
            <w:tcBorders>
              <w:top w:val="nil"/>
              <w:left w:val="nil"/>
              <w:bottom w:val="double" w:sz="6" w:space="0" w:color="auto"/>
              <w:right w:val="nil"/>
            </w:tcBorders>
            <w:shd w:val="clear" w:color="auto" w:fill="auto"/>
            <w:noWrap/>
            <w:vAlign w:val="center"/>
            <w:hideMark/>
          </w:tcPr>
          <w:p w14:paraId="3AD91A76" w14:textId="77777777" w:rsidR="00E93EF3" w:rsidRPr="00271DA5" w:rsidRDefault="00E93EF3">
            <w:pPr>
              <w:rPr>
                <w:sz w:val="22"/>
                <w:szCs w:val="22"/>
              </w:rPr>
            </w:pPr>
            <w:r w:rsidRPr="00271DA5">
              <w:rPr>
                <w:sz w:val="22"/>
                <w:szCs w:val="22"/>
              </w:rPr>
              <w:t>Overall</w:t>
            </w:r>
          </w:p>
        </w:tc>
        <w:tc>
          <w:tcPr>
            <w:tcW w:w="1276" w:type="dxa"/>
            <w:tcBorders>
              <w:top w:val="nil"/>
              <w:left w:val="nil"/>
              <w:bottom w:val="double" w:sz="6" w:space="0" w:color="auto"/>
              <w:right w:val="nil"/>
            </w:tcBorders>
            <w:shd w:val="clear" w:color="auto" w:fill="auto"/>
            <w:noWrap/>
            <w:vAlign w:val="center"/>
            <w:hideMark/>
          </w:tcPr>
          <w:p w14:paraId="35D8EBDF" w14:textId="77777777" w:rsidR="00E93EF3" w:rsidRPr="00271DA5" w:rsidRDefault="00E93EF3">
            <w:pPr>
              <w:rPr>
                <w:sz w:val="22"/>
                <w:szCs w:val="22"/>
              </w:rPr>
            </w:pPr>
            <w:r w:rsidRPr="00271DA5">
              <w:rPr>
                <w:sz w:val="22"/>
                <w:szCs w:val="22"/>
              </w:rPr>
              <w:t>No</w:t>
            </w:r>
          </w:p>
        </w:tc>
        <w:tc>
          <w:tcPr>
            <w:tcW w:w="1276" w:type="dxa"/>
            <w:tcBorders>
              <w:top w:val="nil"/>
              <w:left w:val="nil"/>
              <w:bottom w:val="double" w:sz="6" w:space="0" w:color="auto"/>
              <w:right w:val="nil"/>
            </w:tcBorders>
            <w:shd w:val="clear" w:color="auto" w:fill="auto"/>
            <w:noWrap/>
            <w:vAlign w:val="center"/>
            <w:hideMark/>
          </w:tcPr>
          <w:p w14:paraId="5DDD9D08" w14:textId="77777777" w:rsidR="00E93EF3" w:rsidRPr="00271DA5" w:rsidRDefault="00E93EF3">
            <w:pPr>
              <w:rPr>
                <w:sz w:val="22"/>
                <w:szCs w:val="22"/>
              </w:rPr>
            </w:pPr>
            <w:r w:rsidRPr="00271DA5">
              <w:rPr>
                <w:sz w:val="22"/>
                <w:szCs w:val="22"/>
              </w:rPr>
              <w:t>Yes</w:t>
            </w:r>
          </w:p>
        </w:tc>
        <w:tc>
          <w:tcPr>
            <w:tcW w:w="957" w:type="dxa"/>
            <w:tcBorders>
              <w:top w:val="nil"/>
              <w:left w:val="nil"/>
              <w:bottom w:val="double" w:sz="6" w:space="0" w:color="auto"/>
              <w:right w:val="nil"/>
            </w:tcBorders>
            <w:shd w:val="clear" w:color="auto" w:fill="auto"/>
            <w:noWrap/>
            <w:vAlign w:val="center"/>
            <w:hideMark/>
          </w:tcPr>
          <w:p w14:paraId="19DE1FA3" w14:textId="7E7D7D72" w:rsidR="00E93EF3" w:rsidRPr="00271DA5" w:rsidRDefault="00E93EF3">
            <w:pPr>
              <w:rPr>
                <w:sz w:val="22"/>
                <w:szCs w:val="22"/>
              </w:rPr>
            </w:pPr>
            <w:r w:rsidRPr="00271DA5">
              <w:rPr>
                <w:sz w:val="22"/>
                <w:szCs w:val="22"/>
              </w:rPr>
              <w:t>P-</w:t>
            </w:r>
            <w:proofErr w:type="spellStart"/>
            <w:r w:rsidRPr="00271DA5">
              <w:rPr>
                <w:sz w:val="22"/>
                <w:szCs w:val="22"/>
              </w:rPr>
              <w:t>value</w:t>
            </w:r>
            <w:r w:rsidR="00C84C7C" w:rsidRPr="00271DA5">
              <w:rPr>
                <w:sz w:val="22"/>
                <w:szCs w:val="22"/>
                <w:vertAlign w:val="superscript"/>
              </w:rPr>
              <w:t>a</w:t>
            </w:r>
            <w:proofErr w:type="spellEnd"/>
          </w:p>
        </w:tc>
      </w:tr>
      <w:tr w:rsidR="00271DA5" w:rsidRPr="00271DA5" w14:paraId="27B08157" w14:textId="77777777" w:rsidTr="00A304C8">
        <w:trPr>
          <w:trHeight w:val="340"/>
        </w:trPr>
        <w:tc>
          <w:tcPr>
            <w:tcW w:w="2092" w:type="dxa"/>
            <w:tcBorders>
              <w:top w:val="nil"/>
              <w:left w:val="nil"/>
              <w:bottom w:val="nil"/>
              <w:right w:val="nil"/>
            </w:tcBorders>
            <w:shd w:val="clear" w:color="auto" w:fill="auto"/>
            <w:noWrap/>
            <w:vAlign w:val="center"/>
            <w:hideMark/>
          </w:tcPr>
          <w:p w14:paraId="6C113C67" w14:textId="5E1DF22F" w:rsidR="00E93EF3" w:rsidRPr="00271DA5" w:rsidRDefault="00E93EF3">
            <w:pPr>
              <w:rPr>
                <w:sz w:val="22"/>
                <w:szCs w:val="22"/>
              </w:rPr>
            </w:pPr>
            <w:r w:rsidRPr="00271DA5">
              <w:rPr>
                <w:sz w:val="22"/>
                <w:szCs w:val="22"/>
              </w:rPr>
              <w:t>Anxiety</w:t>
            </w:r>
            <w:r w:rsidR="003E4EC2" w:rsidRPr="00271DA5">
              <w:rPr>
                <w:sz w:val="22"/>
                <w:szCs w:val="22"/>
              </w:rPr>
              <w:t xml:space="preserve"> symptoms</w:t>
            </w:r>
          </w:p>
        </w:tc>
        <w:tc>
          <w:tcPr>
            <w:tcW w:w="2870" w:type="dxa"/>
            <w:tcBorders>
              <w:top w:val="nil"/>
              <w:left w:val="nil"/>
              <w:bottom w:val="nil"/>
              <w:right w:val="nil"/>
            </w:tcBorders>
            <w:shd w:val="clear" w:color="auto" w:fill="auto"/>
            <w:noWrap/>
            <w:vAlign w:val="center"/>
            <w:hideMark/>
          </w:tcPr>
          <w:p w14:paraId="6C473B2B" w14:textId="77777777" w:rsidR="00E93EF3" w:rsidRPr="00271DA5" w:rsidRDefault="00E93EF3">
            <w:pPr>
              <w:rPr>
                <w:sz w:val="22"/>
                <w:szCs w:val="22"/>
              </w:rPr>
            </w:pPr>
            <w:r w:rsidRPr="00271DA5">
              <w:rPr>
                <w:sz w:val="22"/>
                <w:szCs w:val="22"/>
              </w:rPr>
              <w:t>No</w:t>
            </w:r>
          </w:p>
        </w:tc>
        <w:tc>
          <w:tcPr>
            <w:tcW w:w="1275" w:type="dxa"/>
            <w:tcBorders>
              <w:top w:val="nil"/>
              <w:left w:val="nil"/>
              <w:bottom w:val="nil"/>
              <w:right w:val="nil"/>
            </w:tcBorders>
            <w:shd w:val="clear" w:color="auto" w:fill="auto"/>
            <w:noWrap/>
            <w:vAlign w:val="center"/>
            <w:hideMark/>
          </w:tcPr>
          <w:p w14:paraId="03B5D54A" w14:textId="77777777" w:rsidR="00E93EF3" w:rsidRPr="00271DA5" w:rsidRDefault="00E93EF3">
            <w:pPr>
              <w:rPr>
                <w:sz w:val="22"/>
                <w:szCs w:val="22"/>
              </w:rPr>
            </w:pPr>
            <w:r w:rsidRPr="00271DA5">
              <w:rPr>
                <w:sz w:val="22"/>
                <w:szCs w:val="22"/>
              </w:rPr>
              <w:t>88.5</w:t>
            </w:r>
          </w:p>
        </w:tc>
        <w:tc>
          <w:tcPr>
            <w:tcW w:w="1276" w:type="dxa"/>
            <w:tcBorders>
              <w:top w:val="nil"/>
              <w:left w:val="nil"/>
              <w:bottom w:val="nil"/>
              <w:right w:val="nil"/>
            </w:tcBorders>
            <w:shd w:val="clear" w:color="auto" w:fill="auto"/>
            <w:noWrap/>
            <w:vAlign w:val="center"/>
            <w:hideMark/>
          </w:tcPr>
          <w:p w14:paraId="71C42450" w14:textId="77777777" w:rsidR="00E93EF3" w:rsidRPr="00271DA5" w:rsidRDefault="00E93EF3">
            <w:pPr>
              <w:rPr>
                <w:sz w:val="22"/>
                <w:szCs w:val="22"/>
              </w:rPr>
            </w:pPr>
            <w:r w:rsidRPr="00271DA5">
              <w:rPr>
                <w:sz w:val="22"/>
                <w:szCs w:val="22"/>
              </w:rPr>
              <w:t>89.6</w:t>
            </w:r>
          </w:p>
        </w:tc>
        <w:tc>
          <w:tcPr>
            <w:tcW w:w="1276" w:type="dxa"/>
            <w:tcBorders>
              <w:top w:val="nil"/>
              <w:left w:val="nil"/>
              <w:bottom w:val="nil"/>
              <w:right w:val="nil"/>
            </w:tcBorders>
            <w:shd w:val="clear" w:color="auto" w:fill="auto"/>
            <w:noWrap/>
            <w:vAlign w:val="center"/>
            <w:hideMark/>
          </w:tcPr>
          <w:p w14:paraId="0CB20641" w14:textId="77777777" w:rsidR="00E93EF3" w:rsidRPr="00271DA5" w:rsidRDefault="00E93EF3">
            <w:pPr>
              <w:rPr>
                <w:sz w:val="22"/>
                <w:szCs w:val="22"/>
              </w:rPr>
            </w:pPr>
            <w:r w:rsidRPr="00271DA5">
              <w:rPr>
                <w:sz w:val="22"/>
                <w:szCs w:val="22"/>
              </w:rPr>
              <w:t>84.4</w:t>
            </w:r>
          </w:p>
        </w:tc>
        <w:tc>
          <w:tcPr>
            <w:tcW w:w="957" w:type="dxa"/>
            <w:tcBorders>
              <w:top w:val="nil"/>
              <w:left w:val="nil"/>
              <w:bottom w:val="nil"/>
              <w:right w:val="nil"/>
            </w:tcBorders>
            <w:shd w:val="clear" w:color="auto" w:fill="auto"/>
            <w:noWrap/>
            <w:vAlign w:val="center"/>
            <w:hideMark/>
          </w:tcPr>
          <w:p w14:paraId="24A6A263" w14:textId="77777777" w:rsidR="00E93EF3" w:rsidRPr="00271DA5" w:rsidRDefault="00E93EF3">
            <w:pPr>
              <w:rPr>
                <w:sz w:val="22"/>
                <w:szCs w:val="22"/>
              </w:rPr>
            </w:pPr>
            <w:r w:rsidRPr="00271DA5">
              <w:rPr>
                <w:sz w:val="22"/>
                <w:szCs w:val="22"/>
              </w:rPr>
              <w:t>&lt;0.001</w:t>
            </w:r>
          </w:p>
        </w:tc>
      </w:tr>
      <w:tr w:rsidR="00271DA5" w:rsidRPr="00271DA5" w14:paraId="5C530932" w14:textId="77777777" w:rsidTr="00A304C8">
        <w:trPr>
          <w:trHeight w:val="320"/>
        </w:trPr>
        <w:tc>
          <w:tcPr>
            <w:tcW w:w="2092" w:type="dxa"/>
            <w:tcBorders>
              <w:top w:val="nil"/>
              <w:left w:val="nil"/>
              <w:bottom w:val="nil"/>
              <w:right w:val="nil"/>
            </w:tcBorders>
            <w:shd w:val="clear" w:color="auto" w:fill="auto"/>
            <w:noWrap/>
            <w:vAlign w:val="center"/>
            <w:hideMark/>
          </w:tcPr>
          <w:p w14:paraId="395EA41F" w14:textId="77777777" w:rsidR="00E93EF3" w:rsidRPr="00271DA5" w:rsidRDefault="00E93EF3">
            <w:pPr>
              <w:rPr>
                <w:sz w:val="22"/>
                <w:szCs w:val="22"/>
              </w:rPr>
            </w:pPr>
          </w:p>
        </w:tc>
        <w:tc>
          <w:tcPr>
            <w:tcW w:w="2870" w:type="dxa"/>
            <w:tcBorders>
              <w:top w:val="nil"/>
              <w:left w:val="nil"/>
              <w:bottom w:val="nil"/>
              <w:right w:val="nil"/>
            </w:tcBorders>
            <w:shd w:val="clear" w:color="auto" w:fill="auto"/>
            <w:noWrap/>
            <w:vAlign w:val="center"/>
            <w:hideMark/>
          </w:tcPr>
          <w:p w14:paraId="7ECB17F8" w14:textId="77777777" w:rsidR="00E93EF3" w:rsidRPr="00271DA5" w:rsidRDefault="00E93EF3">
            <w:pPr>
              <w:rPr>
                <w:sz w:val="22"/>
                <w:szCs w:val="22"/>
              </w:rPr>
            </w:pPr>
            <w:r w:rsidRPr="00271DA5">
              <w:rPr>
                <w:sz w:val="22"/>
                <w:szCs w:val="22"/>
              </w:rPr>
              <w:t>Yes</w:t>
            </w:r>
          </w:p>
        </w:tc>
        <w:tc>
          <w:tcPr>
            <w:tcW w:w="1275" w:type="dxa"/>
            <w:tcBorders>
              <w:top w:val="nil"/>
              <w:left w:val="nil"/>
              <w:bottom w:val="nil"/>
              <w:right w:val="nil"/>
            </w:tcBorders>
            <w:shd w:val="clear" w:color="auto" w:fill="auto"/>
            <w:noWrap/>
            <w:vAlign w:val="center"/>
            <w:hideMark/>
          </w:tcPr>
          <w:p w14:paraId="506375B6" w14:textId="77777777" w:rsidR="00E93EF3" w:rsidRPr="00271DA5" w:rsidRDefault="00E93EF3">
            <w:pPr>
              <w:rPr>
                <w:sz w:val="22"/>
                <w:szCs w:val="22"/>
              </w:rPr>
            </w:pPr>
            <w:r w:rsidRPr="00271DA5">
              <w:rPr>
                <w:sz w:val="22"/>
                <w:szCs w:val="22"/>
              </w:rPr>
              <w:t>11.5</w:t>
            </w:r>
          </w:p>
        </w:tc>
        <w:tc>
          <w:tcPr>
            <w:tcW w:w="1276" w:type="dxa"/>
            <w:tcBorders>
              <w:top w:val="nil"/>
              <w:left w:val="nil"/>
              <w:bottom w:val="nil"/>
              <w:right w:val="nil"/>
            </w:tcBorders>
            <w:shd w:val="clear" w:color="auto" w:fill="auto"/>
            <w:noWrap/>
            <w:vAlign w:val="center"/>
            <w:hideMark/>
          </w:tcPr>
          <w:p w14:paraId="12A7A142" w14:textId="77777777" w:rsidR="00E93EF3" w:rsidRPr="00271DA5" w:rsidRDefault="00E93EF3">
            <w:pPr>
              <w:rPr>
                <w:sz w:val="22"/>
                <w:szCs w:val="22"/>
              </w:rPr>
            </w:pPr>
            <w:r w:rsidRPr="00271DA5">
              <w:rPr>
                <w:sz w:val="22"/>
                <w:szCs w:val="22"/>
              </w:rPr>
              <w:t>10.4</w:t>
            </w:r>
          </w:p>
        </w:tc>
        <w:tc>
          <w:tcPr>
            <w:tcW w:w="1276" w:type="dxa"/>
            <w:tcBorders>
              <w:top w:val="nil"/>
              <w:left w:val="nil"/>
              <w:bottom w:val="nil"/>
              <w:right w:val="nil"/>
            </w:tcBorders>
            <w:shd w:val="clear" w:color="auto" w:fill="auto"/>
            <w:noWrap/>
            <w:vAlign w:val="center"/>
            <w:hideMark/>
          </w:tcPr>
          <w:p w14:paraId="43E22829" w14:textId="77777777" w:rsidR="00E93EF3" w:rsidRPr="00271DA5" w:rsidRDefault="00E93EF3">
            <w:pPr>
              <w:rPr>
                <w:sz w:val="22"/>
                <w:szCs w:val="22"/>
              </w:rPr>
            </w:pPr>
            <w:r w:rsidRPr="00271DA5">
              <w:rPr>
                <w:sz w:val="22"/>
                <w:szCs w:val="22"/>
              </w:rPr>
              <w:t>15.6</w:t>
            </w:r>
          </w:p>
        </w:tc>
        <w:tc>
          <w:tcPr>
            <w:tcW w:w="957" w:type="dxa"/>
            <w:tcBorders>
              <w:top w:val="nil"/>
              <w:left w:val="nil"/>
              <w:bottom w:val="nil"/>
              <w:right w:val="nil"/>
            </w:tcBorders>
            <w:shd w:val="clear" w:color="auto" w:fill="auto"/>
            <w:noWrap/>
            <w:vAlign w:val="center"/>
            <w:hideMark/>
          </w:tcPr>
          <w:p w14:paraId="562B75CC" w14:textId="77777777" w:rsidR="00E93EF3" w:rsidRPr="00271DA5" w:rsidRDefault="00E93EF3">
            <w:pPr>
              <w:rPr>
                <w:sz w:val="22"/>
                <w:szCs w:val="22"/>
              </w:rPr>
            </w:pPr>
          </w:p>
        </w:tc>
      </w:tr>
      <w:tr w:rsidR="00271DA5" w:rsidRPr="00271DA5" w14:paraId="7146B990" w14:textId="77777777" w:rsidTr="00A304C8">
        <w:trPr>
          <w:trHeight w:val="320"/>
        </w:trPr>
        <w:tc>
          <w:tcPr>
            <w:tcW w:w="2092" w:type="dxa"/>
            <w:tcBorders>
              <w:top w:val="nil"/>
              <w:left w:val="nil"/>
              <w:bottom w:val="nil"/>
              <w:right w:val="nil"/>
            </w:tcBorders>
            <w:shd w:val="clear" w:color="auto" w:fill="auto"/>
            <w:noWrap/>
            <w:vAlign w:val="center"/>
            <w:hideMark/>
          </w:tcPr>
          <w:p w14:paraId="7894A731" w14:textId="77777777" w:rsidR="00E93EF3" w:rsidRPr="00271DA5" w:rsidRDefault="00E93EF3">
            <w:pPr>
              <w:rPr>
                <w:sz w:val="22"/>
                <w:szCs w:val="22"/>
              </w:rPr>
            </w:pPr>
            <w:r w:rsidRPr="00271DA5">
              <w:rPr>
                <w:sz w:val="22"/>
                <w:szCs w:val="22"/>
              </w:rPr>
              <w:t>Age (years)</w:t>
            </w:r>
          </w:p>
        </w:tc>
        <w:tc>
          <w:tcPr>
            <w:tcW w:w="2870" w:type="dxa"/>
            <w:tcBorders>
              <w:top w:val="nil"/>
              <w:left w:val="nil"/>
              <w:bottom w:val="nil"/>
              <w:right w:val="nil"/>
            </w:tcBorders>
            <w:shd w:val="clear" w:color="auto" w:fill="auto"/>
            <w:noWrap/>
            <w:vAlign w:val="center"/>
            <w:hideMark/>
          </w:tcPr>
          <w:p w14:paraId="79DEEF72" w14:textId="77777777" w:rsidR="00E93EF3" w:rsidRPr="00271DA5" w:rsidRDefault="00E93EF3">
            <w:pPr>
              <w:rPr>
                <w:sz w:val="22"/>
                <w:szCs w:val="22"/>
              </w:rPr>
            </w:pPr>
            <w:r w:rsidRPr="00271DA5">
              <w:rPr>
                <w:sz w:val="22"/>
                <w:szCs w:val="22"/>
              </w:rPr>
              <w:t>Mean (SD)</w:t>
            </w:r>
          </w:p>
        </w:tc>
        <w:tc>
          <w:tcPr>
            <w:tcW w:w="1275" w:type="dxa"/>
            <w:tcBorders>
              <w:top w:val="nil"/>
              <w:left w:val="nil"/>
              <w:bottom w:val="nil"/>
              <w:right w:val="nil"/>
            </w:tcBorders>
            <w:shd w:val="clear" w:color="auto" w:fill="auto"/>
            <w:noWrap/>
            <w:vAlign w:val="center"/>
            <w:hideMark/>
          </w:tcPr>
          <w:p w14:paraId="7894D0F0" w14:textId="26C6F422" w:rsidR="00E93EF3" w:rsidRPr="00271DA5" w:rsidRDefault="00D17DC7">
            <w:pPr>
              <w:rPr>
                <w:sz w:val="22"/>
                <w:szCs w:val="22"/>
              </w:rPr>
            </w:pPr>
            <w:r w:rsidRPr="00271DA5">
              <w:rPr>
                <w:sz w:val="22"/>
                <w:szCs w:val="22"/>
              </w:rPr>
              <w:t>38.4 (16.0)</w:t>
            </w:r>
          </w:p>
        </w:tc>
        <w:tc>
          <w:tcPr>
            <w:tcW w:w="1276" w:type="dxa"/>
            <w:tcBorders>
              <w:top w:val="nil"/>
              <w:left w:val="nil"/>
              <w:bottom w:val="nil"/>
              <w:right w:val="nil"/>
            </w:tcBorders>
            <w:shd w:val="clear" w:color="auto" w:fill="auto"/>
            <w:noWrap/>
            <w:vAlign w:val="center"/>
            <w:hideMark/>
          </w:tcPr>
          <w:p w14:paraId="00207004" w14:textId="2005D654" w:rsidR="00E93EF3" w:rsidRPr="00271DA5" w:rsidRDefault="00D17DC7">
            <w:pPr>
              <w:rPr>
                <w:sz w:val="22"/>
                <w:szCs w:val="22"/>
              </w:rPr>
            </w:pPr>
            <w:r w:rsidRPr="00271DA5">
              <w:rPr>
                <w:sz w:val="22"/>
                <w:szCs w:val="22"/>
              </w:rPr>
              <w:t>38.5 (16.4)</w:t>
            </w:r>
          </w:p>
        </w:tc>
        <w:tc>
          <w:tcPr>
            <w:tcW w:w="1276" w:type="dxa"/>
            <w:tcBorders>
              <w:top w:val="nil"/>
              <w:left w:val="nil"/>
              <w:bottom w:val="nil"/>
              <w:right w:val="nil"/>
            </w:tcBorders>
            <w:shd w:val="clear" w:color="auto" w:fill="auto"/>
            <w:noWrap/>
            <w:vAlign w:val="center"/>
            <w:hideMark/>
          </w:tcPr>
          <w:p w14:paraId="7776016C" w14:textId="7487BCDF" w:rsidR="00E93EF3" w:rsidRPr="00271DA5" w:rsidRDefault="00D17DC7">
            <w:pPr>
              <w:rPr>
                <w:sz w:val="22"/>
                <w:szCs w:val="22"/>
              </w:rPr>
            </w:pPr>
            <w:r w:rsidRPr="00271DA5">
              <w:rPr>
                <w:sz w:val="22"/>
                <w:szCs w:val="22"/>
              </w:rPr>
              <w:t>38.1 (14.4)</w:t>
            </w:r>
          </w:p>
        </w:tc>
        <w:tc>
          <w:tcPr>
            <w:tcW w:w="957" w:type="dxa"/>
            <w:tcBorders>
              <w:top w:val="nil"/>
              <w:left w:val="nil"/>
              <w:bottom w:val="nil"/>
              <w:right w:val="nil"/>
            </w:tcBorders>
            <w:shd w:val="clear" w:color="auto" w:fill="auto"/>
            <w:noWrap/>
            <w:vAlign w:val="center"/>
            <w:hideMark/>
          </w:tcPr>
          <w:p w14:paraId="05218061" w14:textId="4D05EF96" w:rsidR="00E93EF3" w:rsidRPr="00271DA5" w:rsidRDefault="00D17DC7">
            <w:pPr>
              <w:rPr>
                <w:sz w:val="22"/>
                <w:szCs w:val="22"/>
              </w:rPr>
            </w:pPr>
            <w:r w:rsidRPr="00271DA5">
              <w:rPr>
                <w:sz w:val="22"/>
                <w:szCs w:val="22"/>
              </w:rPr>
              <w:t>0.036</w:t>
            </w:r>
          </w:p>
        </w:tc>
      </w:tr>
      <w:tr w:rsidR="00271DA5" w:rsidRPr="00271DA5" w14:paraId="52E7C2A5" w14:textId="77777777" w:rsidTr="00A304C8">
        <w:trPr>
          <w:trHeight w:val="320"/>
        </w:trPr>
        <w:tc>
          <w:tcPr>
            <w:tcW w:w="2092" w:type="dxa"/>
            <w:tcBorders>
              <w:top w:val="nil"/>
              <w:left w:val="nil"/>
              <w:bottom w:val="nil"/>
              <w:right w:val="nil"/>
            </w:tcBorders>
            <w:shd w:val="clear" w:color="auto" w:fill="auto"/>
            <w:noWrap/>
            <w:vAlign w:val="center"/>
            <w:hideMark/>
          </w:tcPr>
          <w:p w14:paraId="4149CF96" w14:textId="77777777" w:rsidR="00E93EF3" w:rsidRPr="00271DA5" w:rsidRDefault="00E93EF3">
            <w:pPr>
              <w:rPr>
                <w:sz w:val="22"/>
                <w:szCs w:val="22"/>
              </w:rPr>
            </w:pPr>
            <w:r w:rsidRPr="00271DA5">
              <w:rPr>
                <w:sz w:val="22"/>
                <w:szCs w:val="22"/>
              </w:rPr>
              <w:t>Sex</w:t>
            </w:r>
          </w:p>
        </w:tc>
        <w:tc>
          <w:tcPr>
            <w:tcW w:w="2870" w:type="dxa"/>
            <w:tcBorders>
              <w:top w:val="nil"/>
              <w:left w:val="nil"/>
              <w:bottom w:val="nil"/>
              <w:right w:val="nil"/>
            </w:tcBorders>
            <w:shd w:val="clear" w:color="auto" w:fill="auto"/>
            <w:noWrap/>
            <w:vAlign w:val="center"/>
            <w:hideMark/>
          </w:tcPr>
          <w:p w14:paraId="47AD7426" w14:textId="77777777" w:rsidR="00E93EF3" w:rsidRPr="00271DA5" w:rsidRDefault="00E93EF3">
            <w:pPr>
              <w:rPr>
                <w:sz w:val="22"/>
                <w:szCs w:val="22"/>
              </w:rPr>
            </w:pPr>
            <w:r w:rsidRPr="00271DA5">
              <w:rPr>
                <w:sz w:val="22"/>
                <w:szCs w:val="22"/>
              </w:rPr>
              <w:t>Male</w:t>
            </w:r>
          </w:p>
        </w:tc>
        <w:tc>
          <w:tcPr>
            <w:tcW w:w="1275" w:type="dxa"/>
            <w:tcBorders>
              <w:top w:val="nil"/>
              <w:left w:val="nil"/>
              <w:bottom w:val="nil"/>
              <w:right w:val="nil"/>
            </w:tcBorders>
            <w:shd w:val="clear" w:color="auto" w:fill="auto"/>
            <w:noWrap/>
            <w:vAlign w:val="center"/>
            <w:hideMark/>
          </w:tcPr>
          <w:p w14:paraId="644DBAA8" w14:textId="77777777" w:rsidR="00E93EF3" w:rsidRPr="00271DA5" w:rsidRDefault="00E93EF3">
            <w:pPr>
              <w:rPr>
                <w:sz w:val="22"/>
                <w:szCs w:val="22"/>
              </w:rPr>
            </w:pPr>
            <w:r w:rsidRPr="00271DA5">
              <w:rPr>
                <w:sz w:val="22"/>
                <w:szCs w:val="22"/>
              </w:rPr>
              <w:t>49.2</w:t>
            </w:r>
          </w:p>
        </w:tc>
        <w:tc>
          <w:tcPr>
            <w:tcW w:w="1276" w:type="dxa"/>
            <w:tcBorders>
              <w:top w:val="nil"/>
              <w:left w:val="nil"/>
              <w:bottom w:val="nil"/>
              <w:right w:val="nil"/>
            </w:tcBorders>
            <w:shd w:val="clear" w:color="auto" w:fill="auto"/>
            <w:noWrap/>
            <w:vAlign w:val="center"/>
            <w:hideMark/>
          </w:tcPr>
          <w:p w14:paraId="14FEAB9B" w14:textId="77777777" w:rsidR="00E93EF3" w:rsidRPr="00271DA5" w:rsidRDefault="00E93EF3">
            <w:pPr>
              <w:rPr>
                <w:sz w:val="22"/>
                <w:szCs w:val="22"/>
              </w:rPr>
            </w:pPr>
            <w:r w:rsidRPr="00271DA5">
              <w:rPr>
                <w:sz w:val="22"/>
                <w:szCs w:val="22"/>
              </w:rPr>
              <w:t>49.6</w:t>
            </w:r>
          </w:p>
        </w:tc>
        <w:tc>
          <w:tcPr>
            <w:tcW w:w="1276" w:type="dxa"/>
            <w:tcBorders>
              <w:top w:val="nil"/>
              <w:left w:val="nil"/>
              <w:bottom w:val="nil"/>
              <w:right w:val="nil"/>
            </w:tcBorders>
            <w:shd w:val="clear" w:color="auto" w:fill="auto"/>
            <w:noWrap/>
            <w:vAlign w:val="center"/>
            <w:hideMark/>
          </w:tcPr>
          <w:p w14:paraId="090A145B" w14:textId="77777777" w:rsidR="00E93EF3" w:rsidRPr="00271DA5" w:rsidRDefault="00E93EF3">
            <w:pPr>
              <w:rPr>
                <w:sz w:val="22"/>
                <w:szCs w:val="22"/>
              </w:rPr>
            </w:pPr>
            <w:r w:rsidRPr="00271DA5">
              <w:rPr>
                <w:sz w:val="22"/>
                <w:szCs w:val="22"/>
              </w:rPr>
              <w:t>47.4</w:t>
            </w:r>
          </w:p>
        </w:tc>
        <w:tc>
          <w:tcPr>
            <w:tcW w:w="957" w:type="dxa"/>
            <w:tcBorders>
              <w:top w:val="nil"/>
              <w:left w:val="nil"/>
              <w:bottom w:val="nil"/>
              <w:right w:val="nil"/>
            </w:tcBorders>
            <w:shd w:val="clear" w:color="auto" w:fill="auto"/>
            <w:noWrap/>
            <w:vAlign w:val="center"/>
            <w:hideMark/>
          </w:tcPr>
          <w:p w14:paraId="62BB9FA1" w14:textId="77777777" w:rsidR="00E93EF3" w:rsidRPr="00271DA5" w:rsidRDefault="00E93EF3">
            <w:pPr>
              <w:rPr>
                <w:sz w:val="22"/>
                <w:szCs w:val="22"/>
              </w:rPr>
            </w:pPr>
            <w:r w:rsidRPr="00271DA5">
              <w:rPr>
                <w:sz w:val="22"/>
                <w:szCs w:val="22"/>
              </w:rPr>
              <w:t>&lt;0.001</w:t>
            </w:r>
          </w:p>
        </w:tc>
      </w:tr>
      <w:tr w:rsidR="00271DA5" w:rsidRPr="00271DA5" w14:paraId="1D04E70B" w14:textId="77777777" w:rsidTr="00A304C8">
        <w:trPr>
          <w:trHeight w:val="320"/>
        </w:trPr>
        <w:tc>
          <w:tcPr>
            <w:tcW w:w="2092" w:type="dxa"/>
            <w:tcBorders>
              <w:top w:val="nil"/>
              <w:left w:val="nil"/>
              <w:bottom w:val="nil"/>
              <w:right w:val="nil"/>
            </w:tcBorders>
            <w:shd w:val="clear" w:color="auto" w:fill="auto"/>
            <w:noWrap/>
            <w:vAlign w:val="center"/>
            <w:hideMark/>
          </w:tcPr>
          <w:p w14:paraId="20232802" w14:textId="77777777" w:rsidR="00E93EF3" w:rsidRPr="00271DA5" w:rsidRDefault="00E93EF3">
            <w:pPr>
              <w:rPr>
                <w:sz w:val="22"/>
                <w:szCs w:val="22"/>
              </w:rPr>
            </w:pPr>
          </w:p>
        </w:tc>
        <w:tc>
          <w:tcPr>
            <w:tcW w:w="2870" w:type="dxa"/>
            <w:tcBorders>
              <w:top w:val="nil"/>
              <w:left w:val="nil"/>
              <w:bottom w:val="nil"/>
              <w:right w:val="nil"/>
            </w:tcBorders>
            <w:shd w:val="clear" w:color="auto" w:fill="auto"/>
            <w:noWrap/>
            <w:vAlign w:val="center"/>
            <w:hideMark/>
          </w:tcPr>
          <w:p w14:paraId="7FC2960F" w14:textId="77777777" w:rsidR="00E93EF3" w:rsidRPr="00271DA5" w:rsidRDefault="00E93EF3">
            <w:pPr>
              <w:rPr>
                <w:sz w:val="22"/>
                <w:szCs w:val="22"/>
              </w:rPr>
            </w:pPr>
            <w:r w:rsidRPr="00271DA5">
              <w:rPr>
                <w:sz w:val="22"/>
                <w:szCs w:val="22"/>
              </w:rPr>
              <w:t>Female</w:t>
            </w:r>
          </w:p>
        </w:tc>
        <w:tc>
          <w:tcPr>
            <w:tcW w:w="1275" w:type="dxa"/>
            <w:tcBorders>
              <w:top w:val="nil"/>
              <w:left w:val="nil"/>
              <w:bottom w:val="nil"/>
              <w:right w:val="nil"/>
            </w:tcBorders>
            <w:shd w:val="clear" w:color="auto" w:fill="auto"/>
            <w:noWrap/>
            <w:vAlign w:val="center"/>
            <w:hideMark/>
          </w:tcPr>
          <w:p w14:paraId="6703CCA3" w14:textId="77777777" w:rsidR="00E93EF3" w:rsidRPr="00271DA5" w:rsidRDefault="00E93EF3">
            <w:pPr>
              <w:rPr>
                <w:sz w:val="22"/>
                <w:szCs w:val="22"/>
              </w:rPr>
            </w:pPr>
            <w:r w:rsidRPr="00271DA5">
              <w:rPr>
                <w:sz w:val="22"/>
                <w:szCs w:val="22"/>
              </w:rPr>
              <w:t>50.8</w:t>
            </w:r>
          </w:p>
        </w:tc>
        <w:tc>
          <w:tcPr>
            <w:tcW w:w="1276" w:type="dxa"/>
            <w:tcBorders>
              <w:top w:val="nil"/>
              <w:left w:val="nil"/>
              <w:bottom w:val="nil"/>
              <w:right w:val="nil"/>
            </w:tcBorders>
            <w:shd w:val="clear" w:color="auto" w:fill="auto"/>
            <w:noWrap/>
            <w:vAlign w:val="center"/>
            <w:hideMark/>
          </w:tcPr>
          <w:p w14:paraId="17CE678D" w14:textId="77777777" w:rsidR="00E93EF3" w:rsidRPr="00271DA5" w:rsidRDefault="00E93EF3">
            <w:pPr>
              <w:rPr>
                <w:sz w:val="22"/>
                <w:szCs w:val="22"/>
              </w:rPr>
            </w:pPr>
            <w:r w:rsidRPr="00271DA5">
              <w:rPr>
                <w:sz w:val="22"/>
                <w:szCs w:val="22"/>
              </w:rPr>
              <w:t>50.4</w:t>
            </w:r>
          </w:p>
        </w:tc>
        <w:tc>
          <w:tcPr>
            <w:tcW w:w="1276" w:type="dxa"/>
            <w:tcBorders>
              <w:top w:val="nil"/>
              <w:left w:val="nil"/>
              <w:bottom w:val="nil"/>
              <w:right w:val="nil"/>
            </w:tcBorders>
            <w:shd w:val="clear" w:color="auto" w:fill="auto"/>
            <w:noWrap/>
            <w:vAlign w:val="center"/>
            <w:hideMark/>
          </w:tcPr>
          <w:p w14:paraId="646759FF" w14:textId="77777777" w:rsidR="00E93EF3" w:rsidRPr="00271DA5" w:rsidRDefault="00E93EF3">
            <w:pPr>
              <w:rPr>
                <w:sz w:val="22"/>
                <w:szCs w:val="22"/>
              </w:rPr>
            </w:pPr>
            <w:r w:rsidRPr="00271DA5">
              <w:rPr>
                <w:sz w:val="22"/>
                <w:szCs w:val="22"/>
              </w:rPr>
              <w:t>52.6</w:t>
            </w:r>
          </w:p>
        </w:tc>
        <w:tc>
          <w:tcPr>
            <w:tcW w:w="957" w:type="dxa"/>
            <w:tcBorders>
              <w:top w:val="nil"/>
              <w:left w:val="nil"/>
              <w:bottom w:val="nil"/>
              <w:right w:val="nil"/>
            </w:tcBorders>
            <w:shd w:val="clear" w:color="auto" w:fill="auto"/>
            <w:noWrap/>
            <w:vAlign w:val="center"/>
            <w:hideMark/>
          </w:tcPr>
          <w:p w14:paraId="6BF47A4E" w14:textId="77777777" w:rsidR="00E93EF3" w:rsidRPr="00271DA5" w:rsidRDefault="00E93EF3">
            <w:pPr>
              <w:rPr>
                <w:sz w:val="22"/>
                <w:szCs w:val="22"/>
              </w:rPr>
            </w:pPr>
          </w:p>
        </w:tc>
      </w:tr>
      <w:tr w:rsidR="00271DA5" w:rsidRPr="00271DA5" w14:paraId="0AA911F3" w14:textId="77777777" w:rsidTr="00A304C8">
        <w:trPr>
          <w:trHeight w:val="320"/>
        </w:trPr>
        <w:tc>
          <w:tcPr>
            <w:tcW w:w="2092" w:type="dxa"/>
            <w:tcBorders>
              <w:top w:val="nil"/>
              <w:left w:val="nil"/>
              <w:bottom w:val="nil"/>
              <w:right w:val="nil"/>
            </w:tcBorders>
            <w:shd w:val="clear" w:color="auto" w:fill="auto"/>
            <w:noWrap/>
            <w:vAlign w:val="center"/>
            <w:hideMark/>
          </w:tcPr>
          <w:p w14:paraId="60204944" w14:textId="77777777" w:rsidR="00E93EF3" w:rsidRPr="00271DA5" w:rsidRDefault="00E93EF3">
            <w:pPr>
              <w:rPr>
                <w:sz w:val="22"/>
                <w:szCs w:val="22"/>
              </w:rPr>
            </w:pPr>
            <w:r w:rsidRPr="00271DA5">
              <w:rPr>
                <w:sz w:val="22"/>
                <w:szCs w:val="22"/>
              </w:rPr>
              <w:t>Marital status</w:t>
            </w:r>
          </w:p>
        </w:tc>
        <w:tc>
          <w:tcPr>
            <w:tcW w:w="2870" w:type="dxa"/>
            <w:tcBorders>
              <w:top w:val="nil"/>
              <w:left w:val="nil"/>
              <w:bottom w:val="nil"/>
              <w:right w:val="nil"/>
            </w:tcBorders>
            <w:shd w:val="clear" w:color="auto" w:fill="auto"/>
            <w:noWrap/>
            <w:vAlign w:val="center"/>
            <w:hideMark/>
          </w:tcPr>
          <w:p w14:paraId="51A79F5A" w14:textId="77777777" w:rsidR="00E93EF3" w:rsidRPr="00271DA5" w:rsidRDefault="00E93EF3">
            <w:pPr>
              <w:rPr>
                <w:sz w:val="22"/>
                <w:szCs w:val="22"/>
              </w:rPr>
            </w:pPr>
            <w:r w:rsidRPr="00271DA5">
              <w:rPr>
                <w:sz w:val="22"/>
                <w:szCs w:val="22"/>
              </w:rPr>
              <w:t>Married/cohabiting</w:t>
            </w:r>
          </w:p>
        </w:tc>
        <w:tc>
          <w:tcPr>
            <w:tcW w:w="1275" w:type="dxa"/>
            <w:tcBorders>
              <w:top w:val="nil"/>
              <w:left w:val="nil"/>
              <w:bottom w:val="nil"/>
              <w:right w:val="nil"/>
            </w:tcBorders>
            <w:shd w:val="clear" w:color="auto" w:fill="auto"/>
            <w:noWrap/>
            <w:vAlign w:val="center"/>
            <w:hideMark/>
          </w:tcPr>
          <w:p w14:paraId="26991DE2" w14:textId="77777777" w:rsidR="00E93EF3" w:rsidRPr="00271DA5" w:rsidRDefault="00E93EF3">
            <w:pPr>
              <w:rPr>
                <w:sz w:val="22"/>
                <w:szCs w:val="22"/>
              </w:rPr>
            </w:pPr>
            <w:r w:rsidRPr="00271DA5">
              <w:rPr>
                <w:sz w:val="22"/>
                <w:szCs w:val="22"/>
              </w:rPr>
              <w:t>66.3</w:t>
            </w:r>
          </w:p>
        </w:tc>
        <w:tc>
          <w:tcPr>
            <w:tcW w:w="1276" w:type="dxa"/>
            <w:tcBorders>
              <w:top w:val="nil"/>
              <w:left w:val="nil"/>
              <w:bottom w:val="nil"/>
              <w:right w:val="nil"/>
            </w:tcBorders>
            <w:shd w:val="clear" w:color="auto" w:fill="auto"/>
            <w:noWrap/>
            <w:vAlign w:val="center"/>
            <w:hideMark/>
          </w:tcPr>
          <w:p w14:paraId="5B1C26F0" w14:textId="77777777" w:rsidR="00E93EF3" w:rsidRPr="00271DA5" w:rsidRDefault="00E93EF3">
            <w:pPr>
              <w:rPr>
                <w:sz w:val="22"/>
                <w:szCs w:val="22"/>
              </w:rPr>
            </w:pPr>
            <w:r w:rsidRPr="00271DA5">
              <w:rPr>
                <w:sz w:val="22"/>
                <w:szCs w:val="22"/>
              </w:rPr>
              <w:t>66.1</w:t>
            </w:r>
          </w:p>
        </w:tc>
        <w:tc>
          <w:tcPr>
            <w:tcW w:w="1276" w:type="dxa"/>
            <w:tcBorders>
              <w:top w:val="nil"/>
              <w:left w:val="nil"/>
              <w:bottom w:val="nil"/>
              <w:right w:val="nil"/>
            </w:tcBorders>
            <w:shd w:val="clear" w:color="auto" w:fill="auto"/>
            <w:noWrap/>
            <w:vAlign w:val="center"/>
            <w:hideMark/>
          </w:tcPr>
          <w:p w14:paraId="620EBC19" w14:textId="77777777" w:rsidR="00E93EF3" w:rsidRPr="00271DA5" w:rsidRDefault="00E93EF3">
            <w:pPr>
              <w:rPr>
                <w:sz w:val="22"/>
                <w:szCs w:val="22"/>
              </w:rPr>
            </w:pPr>
            <w:r w:rsidRPr="00271DA5">
              <w:rPr>
                <w:sz w:val="22"/>
                <w:szCs w:val="22"/>
              </w:rPr>
              <w:t>67.0</w:t>
            </w:r>
          </w:p>
        </w:tc>
        <w:tc>
          <w:tcPr>
            <w:tcW w:w="957" w:type="dxa"/>
            <w:tcBorders>
              <w:top w:val="nil"/>
              <w:left w:val="nil"/>
              <w:bottom w:val="nil"/>
              <w:right w:val="nil"/>
            </w:tcBorders>
            <w:shd w:val="clear" w:color="auto" w:fill="auto"/>
            <w:noWrap/>
            <w:vAlign w:val="center"/>
            <w:hideMark/>
          </w:tcPr>
          <w:p w14:paraId="6A52EF09" w14:textId="77777777" w:rsidR="00E93EF3" w:rsidRPr="00271DA5" w:rsidRDefault="00E93EF3">
            <w:pPr>
              <w:rPr>
                <w:sz w:val="22"/>
                <w:szCs w:val="22"/>
              </w:rPr>
            </w:pPr>
            <w:r w:rsidRPr="00271DA5">
              <w:rPr>
                <w:sz w:val="22"/>
                <w:szCs w:val="22"/>
              </w:rPr>
              <w:t>0.136</w:t>
            </w:r>
          </w:p>
        </w:tc>
      </w:tr>
      <w:tr w:rsidR="00271DA5" w:rsidRPr="00271DA5" w14:paraId="2EA37572" w14:textId="77777777" w:rsidTr="00A304C8">
        <w:trPr>
          <w:trHeight w:val="320"/>
        </w:trPr>
        <w:tc>
          <w:tcPr>
            <w:tcW w:w="2092" w:type="dxa"/>
            <w:tcBorders>
              <w:top w:val="nil"/>
              <w:left w:val="nil"/>
              <w:bottom w:val="nil"/>
              <w:right w:val="nil"/>
            </w:tcBorders>
            <w:shd w:val="clear" w:color="auto" w:fill="auto"/>
            <w:noWrap/>
            <w:vAlign w:val="center"/>
            <w:hideMark/>
          </w:tcPr>
          <w:p w14:paraId="13225D6A" w14:textId="77777777" w:rsidR="00E93EF3" w:rsidRPr="00271DA5" w:rsidRDefault="00E93EF3">
            <w:pPr>
              <w:rPr>
                <w:sz w:val="22"/>
                <w:szCs w:val="22"/>
              </w:rPr>
            </w:pPr>
          </w:p>
        </w:tc>
        <w:tc>
          <w:tcPr>
            <w:tcW w:w="2870" w:type="dxa"/>
            <w:tcBorders>
              <w:top w:val="nil"/>
              <w:left w:val="nil"/>
              <w:bottom w:val="nil"/>
              <w:right w:val="nil"/>
            </w:tcBorders>
            <w:shd w:val="clear" w:color="auto" w:fill="auto"/>
            <w:noWrap/>
            <w:vAlign w:val="center"/>
            <w:hideMark/>
          </w:tcPr>
          <w:p w14:paraId="28665F96" w14:textId="77777777" w:rsidR="00E93EF3" w:rsidRPr="00271DA5" w:rsidRDefault="00E93EF3">
            <w:pPr>
              <w:rPr>
                <w:sz w:val="22"/>
                <w:szCs w:val="22"/>
              </w:rPr>
            </w:pPr>
            <w:r w:rsidRPr="00271DA5">
              <w:rPr>
                <w:sz w:val="22"/>
                <w:szCs w:val="22"/>
              </w:rPr>
              <w:t>Never married</w:t>
            </w:r>
          </w:p>
        </w:tc>
        <w:tc>
          <w:tcPr>
            <w:tcW w:w="1275" w:type="dxa"/>
            <w:tcBorders>
              <w:top w:val="nil"/>
              <w:left w:val="nil"/>
              <w:bottom w:val="nil"/>
              <w:right w:val="nil"/>
            </w:tcBorders>
            <w:shd w:val="clear" w:color="auto" w:fill="auto"/>
            <w:noWrap/>
            <w:vAlign w:val="center"/>
            <w:hideMark/>
          </w:tcPr>
          <w:p w14:paraId="7A6DBA2E" w14:textId="77777777" w:rsidR="00E93EF3" w:rsidRPr="00271DA5" w:rsidRDefault="00E93EF3">
            <w:pPr>
              <w:rPr>
                <w:sz w:val="22"/>
                <w:szCs w:val="22"/>
              </w:rPr>
            </w:pPr>
            <w:r w:rsidRPr="00271DA5">
              <w:rPr>
                <w:sz w:val="22"/>
                <w:szCs w:val="22"/>
              </w:rPr>
              <w:t>23.4</w:t>
            </w:r>
          </w:p>
        </w:tc>
        <w:tc>
          <w:tcPr>
            <w:tcW w:w="1276" w:type="dxa"/>
            <w:tcBorders>
              <w:top w:val="nil"/>
              <w:left w:val="nil"/>
              <w:bottom w:val="nil"/>
              <w:right w:val="nil"/>
            </w:tcBorders>
            <w:shd w:val="clear" w:color="auto" w:fill="auto"/>
            <w:noWrap/>
            <w:vAlign w:val="center"/>
            <w:hideMark/>
          </w:tcPr>
          <w:p w14:paraId="5E8C7BDB" w14:textId="77777777" w:rsidR="00E93EF3" w:rsidRPr="00271DA5" w:rsidRDefault="00E93EF3">
            <w:pPr>
              <w:rPr>
                <w:sz w:val="22"/>
                <w:szCs w:val="22"/>
              </w:rPr>
            </w:pPr>
            <w:r w:rsidRPr="00271DA5">
              <w:rPr>
                <w:sz w:val="22"/>
                <w:szCs w:val="22"/>
              </w:rPr>
              <w:t>23.4</w:t>
            </w:r>
          </w:p>
        </w:tc>
        <w:tc>
          <w:tcPr>
            <w:tcW w:w="1276" w:type="dxa"/>
            <w:tcBorders>
              <w:top w:val="nil"/>
              <w:left w:val="nil"/>
              <w:bottom w:val="nil"/>
              <w:right w:val="nil"/>
            </w:tcBorders>
            <w:shd w:val="clear" w:color="auto" w:fill="auto"/>
            <w:noWrap/>
            <w:vAlign w:val="center"/>
            <w:hideMark/>
          </w:tcPr>
          <w:p w14:paraId="4E787838" w14:textId="77777777" w:rsidR="00E93EF3" w:rsidRPr="00271DA5" w:rsidRDefault="00E93EF3">
            <w:pPr>
              <w:rPr>
                <w:sz w:val="22"/>
                <w:szCs w:val="22"/>
              </w:rPr>
            </w:pPr>
            <w:r w:rsidRPr="00271DA5">
              <w:rPr>
                <w:sz w:val="22"/>
                <w:szCs w:val="22"/>
              </w:rPr>
              <w:t>23.2</w:t>
            </w:r>
          </w:p>
        </w:tc>
        <w:tc>
          <w:tcPr>
            <w:tcW w:w="957" w:type="dxa"/>
            <w:tcBorders>
              <w:top w:val="nil"/>
              <w:left w:val="nil"/>
              <w:bottom w:val="nil"/>
              <w:right w:val="nil"/>
            </w:tcBorders>
            <w:shd w:val="clear" w:color="auto" w:fill="auto"/>
            <w:noWrap/>
            <w:vAlign w:val="center"/>
            <w:hideMark/>
          </w:tcPr>
          <w:p w14:paraId="7EA8D940" w14:textId="77777777" w:rsidR="00E93EF3" w:rsidRPr="00271DA5" w:rsidRDefault="00E93EF3">
            <w:pPr>
              <w:rPr>
                <w:sz w:val="22"/>
                <w:szCs w:val="22"/>
              </w:rPr>
            </w:pPr>
          </w:p>
        </w:tc>
      </w:tr>
      <w:tr w:rsidR="00271DA5" w:rsidRPr="00271DA5" w14:paraId="1789FE0E" w14:textId="77777777" w:rsidTr="00A304C8">
        <w:trPr>
          <w:trHeight w:val="320"/>
        </w:trPr>
        <w:tc>
          <w:tcPr>
            <w:tcW w:w="2092" w:type="dxa"/>
            <w:tcBorders>
              <w:top w:val="nil"/>
              <w:left w:val="nil"/>
              <w:bottom w:val="nil"/>
              <w:right w:val="nil"/>
            </w:tcBorders>
            <w:shd w:val="clear" w:color="auto" w:fill="auto"/>
            <w:noWrap/>
            <w:vAlign w:val="center"/>
            <w:hideMark/>
          </w:tcPr>
          <w:p w14:paraId="4FDD605E" w14:textId="77777777" w:rsidR="00E93EF3" w:rsidRPr="00271DA5" w:rsidRDefault="00E93EF3">
            <w:pPr>
              <w:rPr>
                <w:sz w:val="20"/>
                <w:szCs w:val="20"/>
              </w:rPr>
            </w:pPr>
          </w:p>
        </w:tc>
        <w:tc>
          <w:tcPr>
            <w:tcW w:w="2870" w:type="dxa"/>
            <w:tcBorders>
              <w:top w:val="nil"/>
              <w:left w:val="nil"/>
              <w:bottom w:val="nil"/>
              <w:right w:val="nil"/>
            </w:tcBorders>
            <w:shd w:val="clear" w:color="auto" w:fill="auto"/>
            <w:noWrap/>
            <w:vAlign w:val="center"/>
            <w:hideMark/>
          </w:tcPr>
          <w:p w14:paraId="7AC6DAB3" w14:textId="77777777" w:rsidR="00E93EF3" w:rsidRPr="00271DA5" w:rsidRDefault="00E93EF3">
            <w:pPr>
              <w:rPr>
                <w:sz w:val="22"/>
                <w:szCs w:val="22"/>
              </w:rPr>
            </w:pPr>
            <w:r w:rsidRPr="00271DA5">
              <w:rPr>
                <w:sz w:val="22"/>
                <w:szCs w:val="22"/>
              </w:rPr>
              <w:t>Separated/divorced/widowed</w:t>
            </w:r>
          </w:p>
        </w:tc>
        <w:tc>
          <w:tcPr>
            <w:tcW w:w="1275" w:type="dxa"/>
            <w:tcBorders>
              <w:top w:val="nil"/>
              <w:left w:val="nil"/>
              <w:bottom w:val="nil"/>
              <w:right w:val="nil"/>
            </w:tcBorders>
            <w:shd w:val="clear" w:color="auto" w:fill="auto"/>
            <w:noWrap/>
            <w:vAlign w:val="center"/>
            <w:hideMark/>
          </w:tcPr>
          <w:p w14:paraId="39C0FC17" w14:textId="77777777" w:rsidR="00E93EF3" w:rsidRPr="00271DA5" w:rsidRDefault="00E93EF3">
            <w:pPr>
              <w:rPr>
                <w:sz w:val="22"/>
                <w:szCs w:val="22"/>
              </w:rPr>
            </w:pPr>
            <w:r w:rsidRPr="00271DA5">
              <w:rPr>
                <w:sz w:val="22"/>
                <w:szCs w:val="22"/>
              </w:rPr>
              <w:t>10.3</w:t>
            </w:r>
          </w:p>
        </w:tc>
        <w:tc>
          <w:tcPr>
            <w:tcW w:w="1276" w:type="dxa"/>
            <w:tcBorders>
              <w:top w:val="nil"/>
              <w:left w:val="nil"/>
              <w:bottom w:val="nil"/>
              <w:right w:val="nil"/>
            </w:tcBorders>
            <w:shd w:val="clear" w:color="auto" w:fill="auto"/>
            <w:noWrap/>
            <w:vAlign w:val="center"/>
            <w:hideMark/>
          </w:tcPr>
          <w:p w14:paraId="3B93C9F5" w14:textId="77777777" w:rsidR="00E93EF3" w:rsidRPr="00271DA5" w:rsidRDefault="00E93EF3">
            <w:pPr>
              <w:rPr>
                <w:sz w:val="22"/>
                <w:szCs w:val="22"/>
              </w:rPr>
            </w:pPr>
            <w:r w:rsidRPr="00271DA5">
              <w:rPr>
                <w:sz w:val="22"/>
                <w:szCs w:val="22"/>
              </w:rPr>
              <w:t>10.4</w:t>
            </w:r>
          </w:p>
        </w:tc>
        <w:tc>
          <w:tcPr>
            <w:tcW w:w="1276" w:type="dxa"/>
            <w:tcBorders>
              <w:top w:val="nil"/>
              <w:left w:val="nil"/>
              <w:bottom w:val="nil"/>
              <w:right w:val="nil"/>
            </w:tcBorders>
            <w:shd w:val="clear" w:color="auto" w:fill="auto"/>
            <w:noWrap/>
            <w:vAlign w:val="center"/>
            <w:hideMark/>
          </w:tcPr>
          <w:p w14:paraId="2FB7A069" w14:textId="77777777" w:rsidR="00E93EF3" w:rsidRPr="00271DA5" w:rsidRDefault="00E93EF3">
            <w:pPr>
              <w:rPr>
                <w:sz w:val="22"/>
                <w:szCs w:val="22"/>
              </w:rPr>
            </w:pPr>
            <w:r w:rsidRPr="00271DA5">
              <w:rPr>
                <w:sz w:val="22"/>
                <w:szCs w:val="22"/>
              </w:rPr>
              <w:t>9.8</w:t>
            </w:r>
          </w:p>
        </w:tc>
        <w:tc>
          <w:tcPr>
            <w:tcW w:w="957" w:type="dxa"/>
            <w:tcBorders>
              <w:top w:val="nil"/>
              <w:left w:val="nil"/>
              <w:bottom w:val="nil"/>
              <w:right w:val="nil"/>
            </w:tcBorders>
            <w:shd w:val="clear" w:color="auto" w:fill="auto"/>
            <w:noWrap/>
            <w:vAlign w:val="center"/>
            <w:hideMark/>
          </w:tcPr>
          <w:p w14:paraId="32919EE8" w14:textId="77777777" w:rsidR="00E93EF3" w:rsidRPr="00271DA5" w:rsidRDefault="00E93EF3">
            <w:pPr>
              <w:rPr>
                <w:sz w:val="22"/>
                <w:szCs w:val="22"/>
              </w:rPr>
            </w:pPr>
          </w:p>
        </w:tc>
      </w:tr>
      <w:tr w:rsidR="00271DA5" w:rsidRPr="00271DA5" w14:paraId="1D95DCDA" w14:textId="77777777" w:rsidTr="00A304C8">
        <w:trPr>
          <w:trHeight w:val="320"/>
        </w:trPr>
        <w:tc>
          <w:tcPr>
            <w:tcW w:w="2092" w:type="dxa"/>
            <w:tcBorders>
              <w:top w:val="nil"/>
              <w:left w:val="nil"/>
              <w:bottom w:val="nil"/>
              <w:right w:val="nil"/>
            </w:tcBorders>
            <w:shd w:val="clear" w:color="auto" w:fill="auto"/>
            <w:noWrap/>
            <w:vAlign w:val="center"/>
            <w:hideMark/>
          </w:tcPr>
          <w:p w14:paraId="79C8D74B" w14:textId="77777777" w:rsidR="00E93EF3" w:rsidRPr="00271DA5" w:rsidRDefault="00E93EF3">
            <w:pPr>
              <w:rPr>
                <w:sz w:val="22"/>
                <w:szCs w:val="22"/>
              </w:rPr>
            </w:pPr>
            <w:r w:rsidRPr="00271DA5">
              <w:rPr>
                <w:sz w:val="22"/>
                <w:szCs w:val="22"/>
              </w:rPr>
              <w:t>Education</w:t>
            </w:r>
          </w:p>
        </w:tc>
        <w:tc>
          <w:tcPr>
            <w:tcW w:w="2870" w:type="dxa"/>
            <w:tcBorders>
              <w:top w:val="nil"/>
              <w:left w:val="nil"/>
              <w:bottom w:val="nil"/>
              <w:right w:val="nil"/>
            </w:tcBorders>
            <w:shd w:val="clear" w:color="auto" w:fill="auto"/>
            <w:noWrap/>
            <w:vAlign w:val="center"/>
            <w:hideMark/>
          </w:tcPr>
          <w:p w14:paraId="28F85D3F" w14:textId="77777777" w:rsidR="00E93EF3" w:rsidRPr="00271DA5" w:rsidRDefault="00E93EF3">
            <w:pPr>
              <w:rPr>
                <w:sz w:val="22"/>
                <w:szCs w:val="22"/>
              </w:rPr>
            </w:pPr>
            <w:r w:rsidRPr="00271DA5">
              <w:rPr>
                <w:sz w:val="22"/>
                <w:szCs w:val="22"/>
              </w:rPr>
              <w:t>No formal</w:t>
            </w:r>
          </w:p>
        </w:tc>
        <w:tc>
          <w:tcPr>
            <w:tcW w:w="1275" w:type="dxa"/>
            <w:tcBorders>
              <w:top w:val="nil"/>
              <w:left w:val="nil"/>
              <w:bottom w:val="nil"/>
              <w:right w:val="nil"/>
            </w:tcBorders>
            <w:shd w:val="clear" w:color="auto" w:fill="auto"/>
            <w:noWrap/>
            <w:vAlign w:val="center"/>
            <w:hideMark/>
          </w:tcPr>
          <w:p w14:paraId="5B1DFD3F" w14:textId="77777777" w:rsidR="00E93EF3" w:rsidRPr="00271DA5" w:rsidRDefault="00E93EF3">
            <w:pPr>
              <w:rPr>
                <w:sz w:val="22"/>
                <w:szCs w:val="22"/>
              </w:rPr>
            </w:pPr>
            <w:r w:rsidRPr="00271DA5">
              <w:rPr>
                <w:sz w:val="22"/>
                <w:szCs w:val="22"/>
              </w:rPr>
              <w:t>26.1</w:t>
            </w:r>
          </w:p>
        </w:tc>
        <w:tc>
          <w:tcPr>
            <w:tcW w:w="1276" w:type="dxa"/>
            <w:tcBorders>
              <w:top w:val="nil"/>
              <w:left w:val="nil"/>
              <w:bottom w:val="nil"/>
              <w:right w:val="nil"/>
            </w:tcBorders>
            <w:shd w:val="clear" w:color="auto" w:fill="auto"/>
            <w:noWrap/>
            <w:vAlign w:val="center"/>
            <w:hideMark/>
          </w:tcPr>
          <w:p w14:paraId="28893F0B" w14:textId="77777777" w:rsidR="00E93EF3" w:rsidRPr="00271DA5" w:rsidRDefault="00E93EF3">
            <w:pPr>
              <w:rPr>
                <w:sz w:val="22"/>
                <w:szCs w:val="22"/>
              </w:rPr>
            </w:pPr>
            <w:r w:rsidRPr="00271DA5">
              <w:rPr>
                <w:sz w:val="22"/>
                <w:szCs w:val="22"/>
              </w:rPr>
              <w:t>28.0</w:t>
            </w:r>
          </w:p>
        </w:tc>
        <w:tc>
          <w:tcPr>
            <w:tcW w:w="1276" w:type="dxa"/>
            <w:tcBorders>
              <w:top w:val="nil"/>
              <w:left w:val="nil"/>
              <w:bottom w:val="nil"/>
              <w:right w:val="nil"/>
            </w:tcBorders>
            <w:shd w:val="clear" w:color="auto" w:fill="auto"/>
            <w:noWrap/>
            <w:vAlign w:val="center"/>
            <w:hideMark/>
          </w:tcPr>
          <w:p w14:paraId="344444B7" w14:textId="77777777" w:rsidR="00E93EF3" w:rsidRPr="00271DA5" w:rsidRDefault="00E93EF3">
            <w:pPr>
              <w:rPr>
                <w:sz w:val="22"/>
                <w:szCs w:val="22"/>
              </w:rPr>
            </w:pPr>
            <w:r w:rsidRPr="00271DA5">
              <w:rPr>
                <w:sz w:val="22"/>
                <w:szCs w:val="22"/>
              </w:rPr>
              <w:t>16.7</w:t>
            </w:r>
          </w:p>
        </w:tc>
        <w:tc>
          <w:tcPr>
            <w:tcW w:w="957" w:type="dxa"/>
            <w:tcBorders>
              <w:top w:val="nil"/>
              <w:left w:val="nil"/>
              <w:bottom w:val="nil"/>
              <w:right w:val="nil"/>
            </w:tcBorders>
            <w:shd w:val="clear" w:color="auto" w:fill="auto"/>
            <w:noWrap/>
            <w:vAlign w:val="center"/>
            <w:hideMark/>
          </w:tcPr>
          <w:p w14:paraId="3A0CF167" w14:textId="77777777" w:rsidR="00E93EF3" w:rsidRPr="00271DA5" w:rsidRDefault="00E93EF3">
            <w:pPr>
              <w:rPr>
                <w:sz w:val="22"/>
                <w:szCs w:val="22"/>
              </w:rPr>
            </w:pPr>
            <w:r w:rsidRPr="00271DA5">
              <w:rPr>
                <w:sz w:val="22"/>
                <w:szCs w:val="22"/>
              </w:rPr>
              <w:t>&lt;0.001</w:t>
            </w:r>
          </w:p>
        </w:tc>
      </w:tr>
      <w:tr w:rsidR="00271DA5" w:rsidRPr="00271DA5" w14:paraId="04C24FCC" w14:textId="77777777" w:rsidTr="00A304C8">
        <w:trPr>
          <w:trHeight w:val="320"/>
        </w:trPr>
        <w:tc>
          <w:tcPr>
            <w:tcW w:w="2092" w:type="dxa"/>
            <w:tcBorders>
              <w:top w:val="nil"/>
              <w:left w:val="nil"/>
              <w:bottom w:val="nil"/>
              <w:right w:val="nil"/>
            </w:tcBorders>
            <w:shd w:val="clear" w:color="auto" w:fill="auto"/>
            <w:noWrap/>
            <w:vAlign w:val="center"/>
            <w:hideMark/>
          </w:tcPr>
          <w:p w14:paraId="19466845" w14:textId="77777777" w:rsidR="00E93EF3" w:rsidRPr="00271DA5" w:rsidRDefault="00E93EF3">
            <w:pPr>
              <w:rPr>
                <w:sz w:val="22"/>
                <w:szCs w:val="22"/>
              </w:rPr>
            </w:pPr>
          </w:p>
        </w:tc>
        <w:tc>
          <w:tcPr>
            <w:tcW w:w="2870" w:type="dxa"/>
            <w:tcBorders>
              <w:top w:val="nil"/>
              <w:left w:val="nil"/>
              <w:bottom w:val="nil"/>
              <w:right w:val="nil"/>
            </w:tcBorders>
            <w:shd w:val="clear" w:color="auto" w:fill="auto"/>
            <w:noWrap/>
            <w:vAlign w:val="center"/>
            <w:hideMark/>
          </w:tcPr>
          <w:p w14:paraId="3D1AE713" w14:textId="77777777" w:rsidR="00E93EF3" w:rsidRPr="00271DA5" w:rsidRDefault="00E93EF3">
            <w:pPr>
              <w:rPr>
                <w:sz w:val="22"/>
                <w:szCs w:val="22"/>
              </w:rPr>
            </w:pPr>
            <w:r w:rsidRPr="00271DA5">
              <w:rPr>
                <w:sz w:val="22"/>
                <w:szCs w:val="22"/>
              </w:rPr>
              <w:t>Primary</w:t>
            </w:r>
          </w:p>
        </w:tc>
        <w:tc>
          <w:tcPr>
            <w:tcW w:w="1275" w:type="dxa"/>
            <w:tcBorders>
              <w:top w:val="nil"/>
              <w:left w:val="nil"/>
              <w:bottom w:val="nil"/>
              <w:right w:val="nil"/>
            </w:tcBorders>
            <w:shd w:val="clear" w:color="auto" w:fill="auto"/>
            <w:noWrap/>
            <w:vAlign w:val="center"/>
            <w:hideMark/>
          </w:tcPr>
          <w:p w14:paraId="4C1F8CBB" w14:textId="77777777" w:rsidR="00E93EF3" w:rsidRPr="00271DA5" w:rsidRDefault="00E93EF3">
            <w:pPr>
              <w:rPr>
                <w:sz w:val="22"/>
                <w:szCs w:val="22"/>
              </w:rPr>
            </w:pPr>
            <w:r w:rsidRPr="00271DA5">
              <w:rPr>
                <w:sz w:val="22"/>
                <w:szCs w:val="22"/>
              </w:rPr>
              <w:t>31.0</w:t>
            </w:r>
          </w:p>
        </w:tc>
        <w:tc>
          <w:tcPr>
            <w:tcW w:w="1276" w:type="dxa"/>
            <w:tcBorders>
              <w:top w:val="nil"/>
              <w:left w:val="nil"/>
              <w:bottom w:val="nil"/>
              <w:right w:val="nil"/>
            </w:tcBorders>
            <w:shd w:val="clear" w:color="auto" w:fill="auto"/>
            <w:noWrap/>
            <w:vAlign w:val="center"/>
            <w:hideMark/>
          </w:tcPr>
          <w:p w14:paraId="7166D10D" w14:textId="77777777" w:rsidR="00E93EF3" w:rsidRPr="00271DA5" w:rsidRDefault="00E93EF3">
            <w:pPr>
              <w:rPr>
                <w:sz w:val="22"/>
                <w:szCs w:val="22"/>
              </w:rPr>
            </w:pPr>
            <w:r w:rsidRPr="00271DA5">
              <w:rPr>
                <w:sz w:val="22"/>
                <w:szCs w:val="22"/>
              </w:rPr>
              <w:t>30.4</w:t>
            </w:r>
          </w:p>
        </w:tc>
        <w:tc>
          <w:tcPr>
            <w:tcW w:w="1276" w:type="dxa"/>
            <w:tcBorders>
              <w:top w:val="nil"/>
              <w:left w:val="nil"/>
              <w:bottom w:val="nil"/>
              <w:right w:val="nil"/>
            </w:tcBorders>
            <w:shd w:val="clear" w:color="auto" w:fill="auto"/>
            <w:noWrap/>
            <w:vAlign w:val="center"/>
            <w:hideMark/>
          </w:tcPr>
          <w:p w14:paraId="106EC7E0" w14:textId="77777777" w:rsidR="00E93EF3" w:rsidRPr="00271DA5" w:rsidRDefault="00E93EF3">
            <w:pPr>
              <w:rPr>
                <w:sz w:val="22"/>
                <w:szCs w:val="22"/>
              </w:rPr>
            </w:pPr>
            <w:r w:rsidRPr="00271DA5">
              <w:rPr>
                <w:sz w:val="22"/>
                <w:szCs w:val="22"/>
              </w:rPr>
              <w:t>33.8</w:t>
            </w:r>
          </w:p>
        </w:tc>
        <w:tc>
          <w:tcPr>
            <w:tcW w:w="957" w:type="dxa"/>
            <w:tcBorders>
              <w:top w:val="nil"/>
              <w:left w:val="nil"/>
              <w:bottom w:val="nil"/>
              <w:right w:val="nil"/>
            </w:tcBorders>
            <w:shd w:val="clear" w:color="auto" w:fill="auto"/>
            <w:noWrap/>
            <w:vAlign w:val="center"/>
            <w:hideMark/>
          </w:tcPr>
          <w:p w14:paraId="04F6A270" w14:textId="77777777" w:rsidR="00E93EF3" w:rsidRPr="00271DA5" w:rsidRDefault="00E93EF3">
            <w:pPr>
              <w:rPr>
                <w:sz w:val="22"/>
                <w:szCs w:val="22"/>
              </w:rPr>
            </w:pPr>
          </w:p>
        </w:tc>
      </w:tr>
      <w:tr w:rsidR="00271DA5" w:rsidRPr="00271DA5" w14:paraId="1943CA64" w14:textId="77777777" w:rsidTr="00A304C8">
        <w:trPr>
          <w:trHeight w:val="320"/>
        </w:trPr>
        <w:tc>
          <w:tcPr>
            <w:tcW w:w="2092" w:type="dxa"/>
            <w:tcBorders>
              <w:top w:val="nil"/>
              <w:left w:val="nil"/>
              <w:bottom w:val="nil"/>
              <w:right w:val="nil"/>
            </w:tcBorders>
            <w:shd w:val="clear" w:color="auto" w:fill="auto"/>
            <w:noWrap/>
            <w:vAlign w:val="center"/>
            <w:hideMark/>
          </w:tcPr>
          <w:p w14:paraId="2D7C05EC" w14:textId="77777777" w:rsidR="00E93EF3" w:rsidRPr="00271DA5" w:rsidRDefault="00E93EF3">
            <w:pPr>
              <w:rPr>
                <w:sz w:val="20"/>
                <w:szCs w:val="20"/>
              </w:rPr>
            </w:pPr>
          </w:p>
        </w:tc>
        <w:tc>
          <w:tcPr>
            <w:tcW w:w="2870" w:type="dxa"/>
            <w:tcBorders>
              <w:top w:val="nil"/>
              <w:left w:val="nil"/>
              <w:bottom w:val="nil"/>
              <w:right w:val="nil"/>
            </w:tcBorders>
            <w:shd w:val="clear" w:color="auto" w:fill="auto"/>
            <w:noWrap/>
            <w:vAlign w:val="center"/>
            <w:hideMark/>
          </w:tcPr>
          <w:p w14:paraId="09FC0D26" w14:textId="77777777" w:rsidR="00E93EF3" w:rsidRPr="00271DA5" w:rsidRDefault="00E93EF3">
            <w:pPr>
              <w:rPr>
                <w:sz w:val="22"/>
                <w:szCs w:val="22"/>
              </w:rPr>
            </w:pPr>
            <w:r w:rsidRPr="00271DA5">
              <w:rPr>
                <w:sz w:val="22"/>
                <w:szCs w:val="22"/>
              </w:rPr>
              <w:t>Secondary</w:t>
            </w:r>
          </w:p>
        </w:tc>
        <w:tc>
          <w:tcPr>
            <w:tcW w:w="1275" w:type="dxa"/>
            <w:tcBorders>
              <w:top w:val="nil"/>
              <w:left w:val="nil"/>
              <w:bottom w:val="nil"/>
              <w:right w:val="nil"/>
            </w:tcBorders>
            <w:shd w:val="clear" w:color="auto" w:fill="auto"/>
            <w:noWrap/>
            <w:vAlign w:val="center"/>
            <w:hideMark/>
          </w:tcPr>
          <w:p w14:paraId="25911930" w14:textId="77777777" w:rsidR="00E93EF3" w:rsidRPr="00271DA5" w:rsidRDefault="00E93EF3">
            <w:pPr>
              <w:rPr>
                <w:sz w:val="22"/>
                <w:szCs w:val="22"/>
              </w:rPr>
            </w:pPr>
            <w:r w:rsidRPr="00271DA5">
              <w:rPr>
                <w:sz w:val="22"/>
                <w:szCs w:val="22"/>
              </w:rPr>
              <w:t>33.7</w:t>
            </w:r>
          </w:p>
        </w:tc>
        <w:tc>
          <w:tcPr>
            <w:tcW w:w="1276" w:type="dxa"/>
            <w:tcBorders>
              <w:top w:val="nil"/>
              <w:left w:val="nil"/>
              <w:bottom w:val="nil"/>
              <w:right w:val="nil"/>
            </w:tcBorders>
            <w:shd w:val="clear" w:color="auto" w:fill="auto"/>
            <w:noWrap/>
            <w:vAlign w:val="center"/>
            <w:hideMark/>
          </w:tcPr>
          <w:p w14:paraId="4A800A9F" w14:textId="77777777" w:rsidR="00E93EF3" w:rsidRPr="00271DA5" w:rsidRDefault="00E93EF3">
            <w:pPr>
              <w:rPr>
                <w:sz w:val="22"/>
                <w:szCs w:val="22"/>
              </w:rPr>
            </w:pPr>
            <w:r w:rsidRPr="00271DA5">
              <w:rPr>
                <w:sz w:val="22"/>
                <w:szCs w:val="22"/>
              </w:rPr>
              <w:t>33.0</w:t>
            </w:r>
          </w:p>
        </w:tc>
        <w:tc>
          <w:tcPr>
            <w:tcW w:w="1276" w:type="dxa"/>
            <w:tcBorders>
              <w:top w:val="nil"/>
              <w:left w:val="nil"/>
              <w:bottom w:val="nil"/>
              <w:right w:val="nil"/>
            </w:tcBorders>
            <w:shd w:val="clear" w:color="auto" w:fill="auto"/>
            <w:noWrap/>
            <w:vAlign w:val="center"/>
            <w:hideMark/>
          </w:tcPr>
          <w:p w14:paraId="2D245AD7" w14:textId="77777777" w:rsidR="00E93EF3" w:rsidRPr="00271DA5" w:rsidRDefault="00E93EF3">
            <w:pPr>
              <w:rPr>
                <w:sz w:val="22"/>
                <w:szCs w:val="22"/>
              </w:rPr>
            </w:pPr>
            <w:r w:rsidRPr="00271DA5">
              <w:rPr>
                <w:sz w:val="22"/>
                <w:szCs w:val="22"/>
              </w:rPr>
              <w:t>37.5</w:t>
            </w:r>
          </w:p>
        </w:tc>
        <w:tc>
          <w:tcPr>
            <w:tcW w:w="957" w:type="dxa"/>
            <w:tcBorders>
              <w:top w:val="nil"/>
              <w:left w:val="nil"/>
              <w:bottom w:val="nil"/>
              <w:right w:val="nil"/>
            </w:tcBorders>
            <w:shd w:val="clear" w:color="auto" w:fill="auto"/>
            <w:noWrap/>
            <w:vAlign w:val="center"/>
            <w:hideMark/>
          </w:tcPr>
          <w:p w14:paraId="66BDC537" w14:textId="77777777" w:rsidR="00E93EF3" w:rsidRPr="00271DA5" w:rsidRDefault="00E93EF3">
            <w:pPr>
              <w:rPr>
                <w:sz w:val="22"/>
                <w:szCs w:val="22"/>
              </w:rPr>
            </w:pPr>
          </w:p>
        </w:tc>
      </w:tr>
      <w:tr w:rsidR="00271DA5" w:rsidRPr="00271DA5" w14:paraId="224ADC13" w14:textId="77777777" w:rsidTr="00A304C8">
        <w:trPr>
          <w:trHeight w:val="320"/>
        </w:trPr>
        <w:tc>
          <w:tcPr>
            <w:tcW w:w="2092" w:type="dxa"/>
            <w:tcBorders>
              <w:top w:val="nil"/>
              <w:left w:val="nil"/>
              <w:bottom w:val="nil"/>
              <w:right w:val="nil"/>
            </w:tcBorders>
            <w:shd w:val="clear" w:color="auto" w:fill="auto"/>
            <w:noWrap/>
            <w:vAlign w:val="center"/>
            <w:hideMark/>
          </w:tcPr>
          <w:p w14:paraId="58B81806" w14:textId="77777777" w:rsidR="00E93EF3" w:rsidRPr="00271DA5" w:rsidRDefault="00E93EF3">
            <w:pPr>
              <w:rPr>
                <w:sz w:val="20"/>
                <w:szCs w:val="20"/>
              </w:rPr>
            </w:pPr>
          </w:p>
        </w:tc>
        <w:tc>
          <w:tcPr>
            <w:tcW w:w="2870" w:type="dxa"/>
            <w:tcBorders>
              <w:top w:val="nil"/>
              <w:left w:val="nil"/>
              <w:bottom w:val="nil"/>
              <w:right w:val="nil"/>
            </w:tcBorders>
            <w:shd w:val="clear" w:color="auto" w:fill="auto"/>
            <w:noWrap/>
            <w:vAlign w:val="center"/>
            <w:hideMark/>
          </w:tcPr>
          <w:p w14:paraId="297E72C7" w14:textId="77777777" w:rsidR="00E93EF3" w:rsidRPr="00271DA5" w:rsidRDefault="00E93EF3">
            <w:pPr>
              <w:rPr>
                <w:sz w:val="22"/>
                <w:szCs w:val="22"/>
              </w:rPr>
            </w:pPr>
            <w:r w:rsidRPr="00271DA5">
              <w:rPr>
                <w:sz w:val="22"/>
                <w:szCs w:val="22"/>
              </w:rPr>
              <w:t>Tertiary</w:t>
            </w:r>
          </w:p>
        </w:tc>
        <w:tc>
          <w:tcPr>
            <w:tcW w:w="1275" w:type="dxa"/>
            <w:tcBorders>
              <w:top w:val="nil"/>
              <w:left w:val="nil"/>
              <w:bottom w:val="nil"/>
              <w:right w:val="nil"/>
            </w:tcBorders>
            <w:shd w:val="clear" w:color="auto" w:fill="auto"/>
            <w:noWrap/>
            <w:vAlign w:val="center"/>
            <w:hideMark/>
          </w:tcPr>
          <w:p w14:paraId="7305F28A" w14:textId="77777777" w:rsidR="00E93EF3" w:rsidRPr="00271DA5" w:rsidRDefault="00E93EF3">
            <w:pPr>
              <w:rPr>
                <w:sz w:val="22"/>
                <w:szCs w:val="22"/>
              </w:rPr>
            </w:pPr>
            <w:r w:rsidRPr="00271DA5">
              <w:rPr>
                <w:sz w:val="22"/>
                <w:szCs w:val="22"/>
              </w:rPr>
              <w:t>9.2</w:t>
            </w:r>
          </w:p>
        </w:tc>
        <w:tc>
          <w:tcPr>
            <w:tcW w:w="1276" w:type="dxa"/>
            <w:tcBorders>
              <w:top w:val="nil"/>
              <w:left w:val="nil"/>
              <w:bottom w:val="nil"/>
              <w:right w:val="nil"/>
            </w:tcBorders>
            <w:shd w:val="clear" w:color="auto" w:fill="auto"/>
            <w:noWrap/>
            <w:vAlign w:val="center"/>
            <w:hideMark/>
          </w:tcPr>
          <w:p w14:paraId="46368574" w14:textId="77777777" w:rsidR="00E93EF3" w:rsidRPr="00271DA5" w:rsidRDefault="00E93EF3">
            <w:pPr>
              <w:rPr>
                <w:sz w:val="22"/>
                <w:szCs w:val="22"/>
              </w:rPr>
            </w:pPr>
            <w:r w:rsidRPr="00271DA5">
              <w:rPr>
                <w:sz w:val="22"/>
                <w:szCs w:val="22"/>
              </w:rPr>
              <w:t>8.6</w:t>
            </w:r>
          </w:p>
        </w:tc>
        <w:tc>
          <w:tcPr>
            <w:tcW w:w="1276" w:type="dxa"/>
            <w:tcBorders>
              <w:top w:val="nil"/>
              <w:left w:val="nil"/>
              <w:bottom w:val="nil"/>
              <w:right w:val="nil"/>
            </w:tcBorders>
            <w:shd w:val="clear" w:color="auto" w:fill="auto"/>
            <w:noWrap/>
            <w:vAlign w:val="center"/>
            <w:hideMark/>
          </w:tcPr>
          <w:p w14:paraId="34AA8D95" w14:textId="77777777" w:rsidR="00E93EF3" w:rsidRPr="00271DA5" w:rsidRDefault="00E93EF3">
            <w:pPr>
              <w:rPr>
                <w:sz w:val="22"/>
                <w:szCs w:val="22"/>
              </w:rPr>
            </w:pPr>
            <w:r w:rsidRPr="00271DA5">
              <w:rPr>
                <w:sz w:val="22"/>
                <w:szCs w:val="22"/>
              </w:rPr>
              <w:t>12.0</w:t>
            </w:r>
          </w:p>
        </w:tc>
        <w:tc>
          <w:tcPr>
            <w:tcW w:w="957" w:type="dxa"/>
            <w:tcBorders>
              <w:top w:val="nil"/>
              <w:left w:val="nil"/>
              <w:bottom w:val="nil"/>
              <w:right w:val="nil"/>
            </w:tcBorders>
            <w:shd w:val="clear" w:color="auto" w:fill="auto"/>
            <w:noWrap/>
            <w:vAlign w:val="center"/>
            <w:hideMark/>
          </w:tcPr>
          <w:p w14:paraId="0E0649D3" w14:textId="77777777" w:rsidR="00E93EF3" w:rsidRPr="00271DA5" w:rsidRDefault="00E93EF3">
            <w:pPr>
              <w:rPr>
                <w:sz w:val="22"/>
                <w:szCs w:val="22"/>
              </w:rPr>
            </w:pPr>
          </w:p>
        </w:tc>
      </w:tr>
      <w:tr w:rsidR="00271DA5" w:rsidRPr="00271DA5" w14:paraId="76019709" w14:textId="77777777" w:rsidTr="00A304C8">
        <w:trPr>
          <w:trHeight w:val="320"/>
        </w:trPr>
        <w:tc>
          <w:tcPr>
            <w:tcW w:w="2092" w:type="dxa"/>
            <w:tcBorders>
              <w:top w:val="nil"/>
              <w:left w:val="nil"/>
              <w:bottom w:val="nil"/>
              <w:right w:val="nil"/>
            </w:tcBorders>
            <w:shd w:val="clear" w:color="auto" w:fill="auto"/>
            <w:noWrap/>
            <w:vAlign w:val="center"/>
            <w:hideMark/>
          </w:tcPr>
          <w:p w14:paraId="2CE99620" w14:textId="77777777" w:rsidR="00E93EF3" w:rsidRPr="00271DA5" w:rsidRDefault="00E93EF3">
            <w:pPr>
              <w:rPr>
                <w:sz w:val="22"/>
                <w:szCs w:val="22"/>
              </w:rPr>
            </w:pPr>
            <w:r w:rsidRPr="00271DA5">
              <w:rPr>
                <w:sz w:val="22"/>
                <w:szCs w:val="22"/>
              </w:rPr>
              <w:t>Household size</w:t>
            </w:r>
          </w:p>
        </w:tc>
        <w:tc>
          <w:tcPr>
            <w:tcW w:w="2870" w:type="dxa"/>
            <w:tcBorders>
              <w:top w:val="nil"/>
              <w:left w:val="nil"/>
              <w:bottom w:val="nil"/>
              <w:right w:val="nil"/>
            </w:tcBorders>
            <w:shd w:val="clear" w:color="auto" w:fill="auto"/>
            <w:noWrap/>
            <w:vAlign w:val="center"/>
            <w:hideMark/>
          </w:tcPr>
          <w:p w14:paraId="18311F92" w14:textId="77777777" w:rsidR="00E93EF3" w:rsidRPr="00271DA5" w:rsidRDefault="00E93EF3">
            <w:pPr>
              <w:rPr>
                <w:sz w:val="22"/>
                <w:szCs w:val="22"/>
              </w:rPr>
            </w:pPr>
            <w:r w:rsidRPr="00271DA5">
              <w:rPr>
                <w:sz w:val="22"/>
                <w:szCs w:val="22"/>
              </w:rPr>
              <w:t>1</w:t>
            </w:r>
          </w:p>
        </w:tc>
        <w:tc>
          <w:tcPr>
            <w:tcW w:w="1275" w:type="dxa"/>
            <w:tcBorders>
              <w:top w:val="nil"/>
              <w:left w:val="nil"/>
              <w:bottom w:val="nil"/>
              <w:right w:val="nil"/>
            </w:tcBorders>
            <w:shd w:val="clear" w:color="auto" w:fill="auto"/>
            <w:noWrap/>
            <w:vAlign w:val="center"/>
            <w:hideMark/>
          </w:tcPr>
          <w:p w14:paraId="2F94E4A1" w14:textId="77777777" w:rsidR="00E93EF3" w:rsidRPr="00271DA5" w:rsidRDefault="00E93EF3">
            <w:pPr>
              <w:rPr>
                <w:sz w:val="22"/>
                <w:szCs w:val="22"/>
              </w:rPr>
            </w:pPr>
            <w:r w:rsidRPr="00271DA5">
              <w:rPr>
                <w:sz w:val="22"/>
                <w:szCs w:val="22"/>
              </w:rPr>
              <w:t>3.5</w:t>
            </w:r>
          </w:p>
        </w:tc>
        <w:tc>
          <w:tcPr>
            <w:tcW w:w="1276" w:type="dxa"/>
            <w:tcBorders>
              <w:top w:val="nil"/>
              <w:left w:val="nil"/>
              <w:bottom w:val="nil"/>
              <w:right w:val="nil"/>
            </w:tcBorders>
            <w:shd w:val="clear" w:color="auto" w:fill="auto"/>
            <w:noWrap/>
            <w:vAlign w:val="center"/>
            <w:hideMark/>
          </w:tcPr>
          <w:p w14:paraId="7E13BDFD" w14:textId="77777777" w:rsidR="00E93EF3" w:rsidRPr="00271DA5" w:rsidRDefault="00E93EF3">
            <w:pPr>
              <w:rPr>
                <w:sz w:val="22"/>
                <w:szCs w:val="22"/>
              </w:rPr>
            </w:pPr>
            <w:r w:rsidRPr="00271DA5">
              <w:rPr>
                <w:sz w:val="22"/>
                <w:szCs w:val="22"/>
              </w:rPr>
              <w:t>3.6</w:t>
            </w:r>
          </w:p>
        </w:tc>
        <w:tc>
          <w:tcPr>
            <w:tcW w:w="1276" w:type="dxa"/>
            <w:tcBorders>
              <w:top w:val="nil"/>
              <w:left w:val="nil"/>
              <w:bottom w:val="nil"/>
              <w:right w:val="nil"/>
            </w:tcBorders>
            <w:shd w:val="clear" w:color="auto" w:fill="auto"/>
            <w:noWrap/>
            <w:vAlign w:val="center"/>
            <w:hideMark/>
          </w:tcPr>
          <w:p w14:paraId="566C9A61" w14:textId="77777777" w:rsidR="00E93EF3" w:rsidRPr="00271DA5" w:rsidRDefault="00E93EF3">
            <w:pPr>
              <w:rPr>
                <w:sz w:val="22"/>
                <w:szCs w:val="22"/>
              </w:rPr>
            </w:pPr>
            <w:r w:rsidRPr="00271DA5">
              <w:rPr>
                <w:sz w:val="22"/>
                <w:szCs w:val="22"/>
              </w:rPr>
              <w:t>3.1</w:t>
            </w:r>
          </w:p>
        </w:tc>
        <w:tc>
          <w:tcPr>
            <w:tcW w:w="957" w:type="dxa"/>
            <w:tcBorders>
              <w:top w:val="nil"/>
              <w:left w:val="nil"/>
              <w:bottom w:val="nil"/>
              <w:right w:val="nil"/>
            </w:tcBorders>
            <w:shd w:val="clear" w:color="auto" w:fill="auto"/>
            <w:noWrap/>
            <w:vAlign w:val="center"/>
            <w:hideMark/>
          </w:tcPr>
          <w:p w14:paraId="1F6B64AA" w14:textId="77777777" w:rsidR="00E93EF3" w:rsidRPr="00271DA5" w:rsidRDefault="00E93EF3">
            <w:pPr>
              <w:rPr>
                <w:sz w:val="22"/>
                <w:szCs w:val="22"/>
              </w:rPr>
            </w:pPr>
            <w:r w:rsidRPr="00271DA5">
              <w:rPr>
                <w:sz w:val="22"/>
                <w:szCs w:val="22"/>
              </w:rPr>
              <w:t>&lt;0.001</w:t>
            </w:r>
          </w:p>
        </w:tc>
      </w:tr>
      <w:tr w:rsidR="00271DA5" w:rsidRPr="00271DA5" w14:paraId="542EDE99" w14:textId="77777777" w:rsidTr="00A304C8">
        <w:trPr>
          <w:trHeight w:val="320"/>
        </w:trPr>
        <w:tc>
          <w:tcPr>
            <w:tcW w:w="2092" w:type="dxa"/>
            <w:tcBorders>
              <w:top w:val="nil"/>
              <w:left w:val="nil"/>
              <w:bottom w:val="nil"/>
              <w:right w:val="nil"/>
            </w:tcBorders>
            <w:shd w:val="clear" w:color="auto" w:fill="auto"/>
            <w:noWrap/>
            <w:vAlign w:val="center"/>
            <w:hideMark/>
          </w:tcPr>
          <w:p w14:paraId="360C26D6" w14:textId="77777777" w:rsidR="00E93EF3" w:rsidRPr="00271DA5" w:rsidRDefault="00E93EF3">
            <w:pPr>
              <w:rPr>
                <w:sz w:val="22"/>
                <w:szCs w:val="22"/>
              </w:rPr>
            </w:pPr>
          </w:p>
        </w:tc>
        <w:tc>
          <w:tcPr>
            <w:tcW w:w="2870" w:type="dxa"/>
            <w:tcBorders>
              <w:top w:val="nil"/>
              <w:left w:val="nil"/>
              <w:bottom w:val="nil"/>
              <w:right w:val="nil"/>
            </w:tcBorders>
            <w:shd w:val="clear" w:color="auto" w:fill="auto"/>
            <w:noWrap/>
            <w:vAlign w:val="center"/>
            <w:hideMark/>
          </w:tcPr>
          <w:p w14:paraId="0B3AAF3F" w14:textId="77777777" w:rsidR="00E93EF3" w:rsidRPr="00271DA5" w:rsidRDefault="00E93EF3">
            <w:pPr>
              <w:rPr>
                <w:sz w:val="22"/>
                <w:szCs w:val="22"/>
              </w:rPr>
            </w:pPr>
            <w:r w:rsidRPr="00271DA5">
              <w:rPr>
                <w:sz w:val="22"/>
                <w:szCs w:val="22"/>
              </w:rPr>
              <w:t>2</w:t>
            </w:r>
          </w:p>
        </w:tc>
        <w:tc>
          <w:tcPr>
            <w:tcW w:w="1275" w:type="dxa"/>
            <w:tcBorders>
              <w:top w:val="nil"/>
              <w:left w:val="nil"/>
              <w:bottom w:val="nil"/>
              <w:right w:val="nil"/>
            </w:tcBorders>
            <w:shd w:val="clear" w:color="auto" w:fill="auto"/>
            <w:noWrap/>
            <w:vAlign w:val="center"/>
            <w:hideMark/>
          </w:tcPr>
          <w:p w14:paraId="6561ACA5" w14:textId="77777777" w:rsidR="00E93EF3" w:rsidRPr="00271DA5" w:rsidRDefault="00E93EF3">
            <w:pPr>
              <w:rPr>
                <w:sz w:val="22"/>
                <w:szCs w:val="22"/>
              </w:rPr>
            </w:pPr>
            <w:r w:rsidRPr="00271DA5">
              <w:rPr>
                <w:sz w:val="22"/>
                <w:szCs w:val="22"/>
              </w:rPr>
              <w:t>7.7</w:t>
            </w:r>
          </w:p>
        </w:tc>
        <w:tc>
          <w:tcPr>
            <w:tcW w:w="1276" w:type="dxa"/>
            <w:tcBorders>
              <w:top w:val="nil"/>
              <w:left w:val="nil"/>
              <w:bottom w:val="nil"/>
              <w:right w:val="nil"/>
            </w:tcBorders>
            <w:shd w:val="clear" w:color="auto" w:fill="auto"/>
            <w:noWrap/>
            <w:vAlign w:val="center"/>
            <w:hideMark/>
          </w:tcPr>
          <w:p w14:paraId="6F292EF3" w14:textId="77777777" w:rsidR="00E93EF3" w:rsidRPr="00271DA5" w:rsidRDefault="00E93EF3">
            <w:pPr>
              <w:rPr>
                <w:sz w:val="22"/>
                <w:szCs w:val="22"/>
              </w:rPr>
            </w:pPr>
            <w:r w:rsidRPr="00271DA5">
              <w:rPr>
                <w:sz w:val="22"/>
                <w:szCs w:val="22"/>
              </w:rPr>
              <w:t>7.6</w:t>
            </w:r>
          </w:p>
        </w:tc>
        <w:tc>
          <w:tcPr>
            <w:tcW w:w="1276" w:type="dxa"/>
            <w:tcBorders>
              <w:top w:val="nil"/>
              <w:left w:val="nil"/>
              <w:bottom w:val="nil"/>
              <w:right w:val="nil"/>
            </w:tcBorders>
            <w:shd w:val="clear" w:color="auto" w:fill="auto"/>
            <w:noWrap/>
            <w:vAlign w:val="center"/>
            <w:hideMark/>
          </w:tcPr>
          <w:p w14:paraId="19FB0788" w14:textId="77777777" w:rsidR="00E93EF3" w:rsidRPr="00271DA5" w:rsidRDefault="00E93EF3">
            <w:pPr>
              <w:rPr>
                <w:sz w:val="22"/>
                <w:szCs w:val="22"/>
              </w:rPr>
            </w:pPr>
            <w:r w:rsidRPr="00271DA5">
              <w:rPr>
                <w:sz w:val="22"/>
                <w:szCs w:val="22"/>
              </w:rPr>
              <w:t>8.6</w:t>
            </w:r>
          </w:p>
        </w:tc>
        <w:tc>
          <w:tcPr>
            <w:tcW w:w="957" w:type="dxa"/>
            <w:tcBorders>
              <w:top w:val="nil"/>
              <w:left w:val="nil"/>
              <w:bottom w:val="nil"/>
              <w:right w:val="nil"/>
            </w:tcBorders>
            <w:shd w:val="clear" w:color="auto" w:fill="auto"/>
            <w:noWrap/>
            <w:vAlign w:val="center"/>
            <w:hideMark/>
          </w:tcPr>
          <w:p w14:paraId="4E5CAB92" w14:textId="77777777" w:rsidR="00E93EF3" w:rsidRPr="00271DA5" w:rsidRDefault="00E93EF3">
            <w:pPr>
              <w:rPr>
                <w:sz w:val="22"/>
                <w:szCs w:val="22"/>
              </w:rPr>
            </w:pPr>
          </w:p>
        </w:tc>
      </w:tr>
      <w:tr w:rsidR="00271DA5" w:rsidRPr="00271DA5" w14:paraId="29600A05" w14:textId="77777777" w:rsidTr="00A304C8">
        <w:trPr>
          <w:trHeight w:val="320"/>
        </w:trPr>
        <w:tc>
          <w:tcPr>
            <w:tcW w:w="2092" w:type="dxa"/>
            <w:tcBorders>
              <w:top w:val="nil"/>
              <w:left w:val="nil"/>
              <w:bottom w:val="nil"/>
              <w:right w:val="nil"/>
            </w:tcBorders>
            <w:shd w:val="clear" w:color="auto" w:fill="auto"/>
            <w:noWrap/>
            <w:vAlign w:val="center"/>
            <w:hideMark/>
          </w:tcPr>
          <w:p w14:paraId="251E7644" w14:textId="77777777" w:rsidR="00E93EF3" w:rsidRPr="00271DA5" w:rsidRDefault="00E93EF3">
            <w:pPr>
              <w:rPr>
                <w:sz w:val="20"/>
                <w:szCs w:val="20"/>
              </w:rPr>
            </w:pPr>
          </w:p>
        </w:tc>
        <w:tc>
          <w:tcPr>
            <w:tcW w:w="2870" w:type="dxa"/>
            <w:tcBorders>
              <w:top w:val="nil"/>
              <w:left w:val="nil"/>
              <w:bottom w:val="nil"/>
              <w:right w:val="nil"/>
            </w:tcBorders>
            <w:shd w:val="clear" w:color="auto" w:fill="auto"/>
            <w:noWrap/>
            <w:vAlign w:val="center"/>
            <w:hideMark/>
          </w:tcPr>
          <w:p w14:paraId="1CABCAA6" w14:textId="77777777" w:rsidR="00E93EF3" w:rsidRPr="00271DA5" w:rsidRDefault="00E93EF3">
            <w:pPr>
              <w:rPr>
                <w:sz w:val="22"/>
                <w:szCs w:val="22"/>
              </w:rPr>
            </w:pPr>
            <w:r w:rsidRPr="00271DA5">
              <w:rPr>
                <w:sz w:val="22"/>
                <w:szCs w:val="22"/>
              </w:rPr>
              <w:t>3-5</w:t>
            </w:r>
          </w:p>
        </w:tc>
        <w:tc>
          <w:tcPr>
            <w:tcW w:w="1275" w:type="dxa"/>
            <w:tcBorders>
              <w:top w:val="nil"/>
              <w:left w:val="nil"/>
              <w:bottom w:val="nil"/>
              <w:right w:val="nil"/>
            </w:tcBorders>
            <w:shd w:val="clear" w:color="auto" w:fill="auto"/>
            <w:noWrap/>
            <w:vAlign w:val="center"/>
            <w:hideMark/>
          </w:tcPr>
          <w:p w14:paraId="058A01C6" w14:textId="77777777" w:rsidR="00E93EF3" w:rsidRPr="00271DA5" w:rsidRDefault="00E93EF3">
            <w:pPr>
              <w:rPr>
                <w:sz w:val="22"/>
                <w:szCs w:val="22"/>
              </w:rPr>
            </w:pPr>
            <w:r w:rsidRPr="00271DA5">
              <w:rPr>
                <w:sz w:val="22"/>
                <w:szCs w:val="22"/>
              </w:rPr>
              <w:t>43.6</w:t>
            </w:r>
          </w:p>
        </w:tc>
        <w:tc>
          <w:tcPr>
            <w:tcW w:w="1276" w:type="dxa"/>
            <w:tcBorders>
              <w:top w:val="nil"/>
              <w:left w:val="nil"/>
              <w:bottom w:val="nil"/>
              <w:right w:val="nil"/>
            </w:tcBorders>
            <w:shd w:val="clear" w:color="auto" w:fill="auto"/>
            <w:noWrap/>
            <w:vAlign w:val="center"/>
            <w:hideMark/>
          </w:tcPr>
          <w:p w14:paraId="1A72B6A3" w14:textId="77777777" w:rsidR="00E93EF3" w:rsidRPr="00271DA5" w:rsidRDefault="00E93EF3">
            <w:pPr>
              <w:rPr>
                <w:sz w:val="22"/>
                <w:szCs w:val="22"/>
              </w:rPr>
            </w:pPr>
            <w:r w:rsidRPr="00271DA5">
              <w:rPr>
                <w:sz w:val="22"/>
                <w:szCs w:val="22"/>
              </w:rPr>
              <w:t>43.1</w:t>
            </w:r>
          </w:p>
        </w:tc>
        <w:tc>
          <w:tcPr>
            <w:tcW w:w="1276" w:type="dxa"/>
            <w:tcBorders>
              <w:top w:val="nil"/>
              <w:left w:val="nil"/>
              <w:bottom w:val="nil"/>
              <w:right w:val="nil"/>
            </w:tcBorders>
            <w:shd w:val="clear" w:color="auto" w:fill="auto"/>
            <w:noWrap/>
            <w:vAlign w:val="center"/>
            <w:hideMark/>
          </w:tcPr>
          <w:p w14:paraId="3DD55D69" w14:textId="77777777" w:rsidR="00E93EF3" w:rsidRPr="00271DA5" w:rsidRDefault="00E93EF3">
            <w:pPr>
              <w:rPr>
                <w:sz w:val="22"/>
                <w:szCs w:val="22"/>
              </w:rPr>
            </w:pPr>
            <w:r w:rsidRPr="00271DA5">
              <w:rPr>
                <w:sz w:val="22"/>
                <w:szCs w:val="22"/>
              </w:rPr>
              <w:t>46.4</w:t>
            </w:r>
          </w:p>
        </w:tc>
        <w:tc>
          <w:tcPr>
            <w:tcW w:w="957" w:type="dxa"/>
            <w:tcBorders>
              <w:top w:val="nil"/>
              <w:left w:val="nil"/>
              <w:bottom w:val="nil"/>
              <w:right w:val="nil"/>
            </w:tcBorders>
            <w:shd w:val="clear" w:color="auto" w:fill="auto"/>
            <w:noWrap/>
            <w:vAlign w:val="center"/>
            <w:hideMark/>
          </w:tcPr>
          <w:p w14:paraId="3D6D68F3" w14:textId="77777777" w:rsidR="00E93EF3" w:rsidRPr="00271DA5" w:rsidRDefault="00E93EF3">
            <w:pPr>
              <w:rPr>
                <w:sz w:val="22"/>
                <w:szCs w:val="22"/>
              </w:rPr>
            </w:pPr>
          </w:p>
        </w:tc>
      </w:tr>
      <w:tr w:rsidR="00271DA5" w:rsidRPr="00271DA5" w14:paraId="09D78406" w14:textId="77777777" w:rsidTr="00A304C8">
        <w:trPr>
          <w:trHeight w:val="320"/>
        </w:trPr>
        <w:tc>
          <w:tcPr>
            <w:tcW w:w="2092" w:type="dxa"/>
            <w:tcBorders>
              <w:top w:val="nil"/>
              <w:left w:val="nil"/>
              <w:bottom w:val="nil"/>
              <w:right w:val="nil"/>
            </w:tcBorders>
            <w:shd w:val="clear" w:color="auto" w:fill="auto"/>
            <w:noWrap/>
            <w:vAlign w:val="center"/>
            <w:hideMark/>
          </w:tcPr>
          <w:p w14:paraId="646D3031" w14:textId="77777777" w:rsidR="00E93EF3" w:rsidRPr="00271DA5" w:rsidRDefault="00E93EF3">
            <w:pPr>
              <w:rPr>
                <w:sz w:val="20"/>
                <w:szCs w:val="20"/>
              </w:rPr>
            </w:pPr>
          </w:p>
        </w:tc>
        <w:tc>
          <w:tcPr>
            <w:tcW w:w="2870" w:type="dxa"/>
            <w:tcBorders>
              <w:top w:val="nil"/>
              <w:left w:val="nil"/>
              <w:bottom w:val="nil"/>
              <w:right w:val="nil"/>
            </w:tcBorders>
            <w:shd w:val="clear" w:color="auto" w:fill="auto"/>
            <w:noWrap/>
            <w:vAlign w:val="center"/>
            <w:hideMark/>
          </w:tcPr>
          <w:p w14:paraId="4BDEA17D" w14:textId="77777777" w:rsidR="00E93EF3" w:rsidRPr="00271DA5" w:rsidRDefault="00E93EF3">
            <w:pPr>
              <w:rPr>
                <w:sz w:val="22"/>
                <w:szCs w:val="22"/>
              </w:rPr>
            </w:pPr>
            <w:r w:rsidRPr="00271DA5">
              <w:rPr>
                <w:sz w:val="22"/>
                <w:szCs w:val="22"/>
              </w:rPr>
              <w:t>≥6</w:t>
            </w:r>
          </w:p>
        </w:tc>
        <w:tc>
          <w:tcPr>
            <w:tcW w:w="1275" w:type="dxa"/>
            <w:tcBorders>
              <w:top w:val="nil"/>
              <w:left w:val="nil"/>
              <w:bottom w:val="nil"/>
              <w:right w:val="nil"/>
            </w:tcBorders>
            <w:shd w:val="clear" w:color="auto" w:fill="auto"/>
            <w:noWrap/>
            <w:vAlign w:val="center"/>
            <w:hideMark/>
          </w:tcPr>
          <w:p w14:paraId="36E62282" w14:textId="77777777" w:rsidR="00E93EF3" w:rsidRPr="00271DA5" w:rsidRDefault="00E93EF3">
            <w:pPr>
              <w:rPr>
                <w:sz w:val="22"/>
                <w:szCs w:val="22"/>
              </w:rPr>
            </w:pPr>
            <w:r w:rsidRPr="00271DA5">
              <w:rPr>
                <w:sz w:val="22"/>
                <w:szCs w:val="22"/>
              </w:rPr>
              <w:t>45.2</w:t>
            </w:r>
          </w:p>
        </w:tc>
        <w:tc>
          <w:tcPr>
            <w:tcW w:w="1276" w:type="dxa"/>
            <w:tcBorders>
              <w:top w:val="nil"/>
              <w:left w:val="nil"/>
              <w:bottom w:val="nil"/>
              <w:right w:val="nil"/>
            </w:tcBorders>
            <w:shd w:val="clear" w:color="auto" w:fill="auto"/>
            <w:noWrap/>
            <w:vAlign w:val="center"/>
            <w:hideMark/>
          </w:tcPr>
          <w:p w14:paraId="35C6B6DC" w14:textId="77777777" w:rsidR="00E93EF3" w:rsidRPr="00271DA5" w:rsidRDefault="00E93EF3">
            <w:pPr>
              <w:rPr>
                <w:sz w:val="22"/>
                <w:szCs w:val="22"/>
              </w:rPr>
            </w:pPr>
            <w:r w:rsidRPr="00271DA5">
              <w:rPr>
                <w:sz w:val="22"/>
                <w:szCs w:val="22"/>
              </w:rPr>
              <w:t>45.7</w:t>
            </w:r>
          </w:p>
        </w:tc>
        <w:tc>
          <w:tcPr>
            <w:tcW w:w="1276" w:type="dxa"/>
            <w:tcBorders>
              <w:top w:val="nil"/>
              <w:left w:val="nil"/>
              <w:bottom w:val="nil"/>
              <w:right w:val="nil"/>
            </w:tcBorders>
            <w:shd w:val="clear" w:color="auto" w:fill="auto"/>
            <w:noWrap/>
            <w:vAlign w:val="center"/>
            <w:hideMark/>
          </w:tcPr>
          <w:p w14:paraId="2361E366" w14:textId="77777777" w:rsidR="00E93EF3" w:rsidRPr="00271DA5" w:rsidRDefault="00E93EF3">
            <w:pPr>
              <w:rPr>
                <w:sz w:val="22"/>
                <w:szCs w:val="22"/>
              </w:rPr>
            </w:pPr>
            <w:r w:rsidRPr="00271DA5">
              <w:rPr>
                <w:sz w:val="22"/>
                <w:szCs w:val="22"/>
              </w:rPr>
              <w:t>41.9</w:t>
            </w:r>
          </w:p>
        </w:tc>
        <w:tc>
          <w:tcPr>
            <w:tcW w:w="957" w:type="dxa"/>
            <w:tcBorders>
              <w:top w:val="nil"/>
              <w:left w:val="nil"/>
              <w:bottom w:val="nil"/>
              <w:right w:val="nil"/>
            </w:tcBorders>
            <w:shd w:val="clear" w:color="auto" w:fill="auto"/>
            <w:noWrap/>
            <w:vAlign w:val="center"/>
            <w:hideMark/>
          </w:tcPr>
          <w:p w14:paraId="7D5D92D9" w14:textId="77777777" w:rsidR="00E93EF3" w:rsidRPr="00271DA5" w:rsidRDefault="00E93EF3">
            <w:pPr>
              <w:rPr>
                <w:sz w:val="22"/>
                <w:szCs w:val="22"/>
              </w:rPr>
            </w:pPr>
          </w:p>
        </w:tc>
      </w:tr>
      <w:tr w:rsidR="00271DA5" w:rsidRPr="00271DA5" w14:paraId="09426474" w14:textId="77777777" w:rsidTr="00A304C8">
        <w:trPr>
          <w:trHeight w:val="320"/>
        </w:trPr>
        <w:tc>
          <w:tcPr>
            <w:tcW w:w="2092" w:type="dxa"/>
            <w:tcBorders>
              <w:top w:val="nil"/>
              <w:left w:val="nil"/>
              <w:bottom w:val="nil"/>
              <w:right w:val="nil"/>
            </w:tcBorders>
            <w:shd w:val="clear" w:color="auto" w:fill="auto"/>
            <w:noWrap/>
            <w:vAlign w:val="center"/>
            <w:hideMark/>
          </w:tcPr>
          <w:p w14:paraId="2BF090F4" w14:textId="77777777" w:rsidR="00E93EF3" w:rsidRPr="00271DA5" w:rsidRDefault="00E93EF3">
            <w:pPr>
              <w:rPr>
                <w:sz w:val="22"/>
                <w:szCs w:val="22"/>
              </w:rPr>
            </w:pPr>
            <w:r w:rsidRPr="00271DA5">
              <w:rPr>
                <w:sz w:val="22"/>
                <w:szCs w:val="22"/>
              </w:rPr>
              <w:t>Employment</w:t>
            </w:r>
          </w:p>
        </w:tc>
        <w:tc>
          <w:tcPr>
            <w:tcW w:w="2870" w:type="dxa"/>
            <w:tcBorders>
              <w:top w:val="nil"/>
              <w:left w:val="nil"/>
              <w:bottom w:val="nil"/>
              <w:right w:val="nil"/>
            </w:tcBorders>
            <w:shd w:val="clear" w:color="auto" w:fill="auto"/>
            <w:noWrap/>
            <w:vAlign w:val="center"/>
            <w:hideMark/>
          </w:tcPr>
          <w:p w14:paraId="46F5B203" w14:textId="77777777" w:rsidR="00E93EF3" w:rsidRPr="00271DA5" w:rsidRDefault="00E93EF3">
            <w:pPr>
              <w:rPr>
                <w:sz w:val="22"/>
                <w:szCs w:val="22"/>
              </w:rPr>
            </w:pPr>
            <w:r w:rsidRPr="00271DA5">
              <w:rPr>
                <w:sz w:val="22"/>
                <w:szCs w:val="22"/>
              </w:rPr>
              <w:t>Employed</w:t>
            </w:r>
          </w:p>
        </w:tc>
        <w:tc>
          <w:tcPr>
            <w:tcW w:w="1275" w:type="dxa"/>
            <w:tcBorders>
              <w:top w:val="nil"/>
              <w:left w:val="nil"/>
              <w:bottom w:val="nil"/>
              <w:right w:val="nil"/>
            </w:tcBorders>
            <w:shd w:val="clear" w:color="auto" w:fill="auto"/>
            <w:noWrap/>
            <w:vAlign w:val="center"/>
            <w:hideMark/>
          </w:tcPr>
          <w:p w14:paraId="5ABB00F8" w14:textId="77777777" w:rsidR="00E93EF3" w:rsidRPr="00271DA5" w:rsidRDefault="00E93EF3">
            <w:pPr>
              <w:rPr>
                <w:sz w:val="22"/>
                <w:szCs w:val="22"/>
              </w:rPr>
            </w:pPr>
            <w:r w:rsidRPr="00271DA5">
              <w:rPr>
                <w:sz w:val="22"/>
                <w:szCs w:val="22"/>
              </w:rPr>
              <w:t>57.5</w:t>
            </w:r>
          </w:p>
        </w:tc>
        <w:tc>
          <w:tcPr>
            <w:tcW w:w="1276" w:type="dxa"/>
            <w:tcBorders>
              <w:top w:val="nil"/>
              <w:left w:val="nil"/>
              <w:bottom w:val="nil"/>
              <w:right w:val="nil"/>
            </w:tcBorders>
            <w:shd w:val="clear" w:color="auto" w:fill="auto"/>
            <w:noWrap/>
            <w:vAlign w:val="center"/>
            <w:hideMark/>
          </w:tcPr>
          <w:p w14:paraId="532108CD" w14:textId="77777777" w:rsidR="00E93EF3" w:rsidRPr="00271DA5" w:rsidRDefault="00E93EF3">
            <w:pPr>
              <w:rPr>
                <w:sz w:val="22"/>
                <w:szCs w:val="22"/>
              </w:rPr>
            </w:pPr>
            <w:r w:rsidRPr="00271DA5">
              <w:rPr>
                <w:sz w:val="22"/>
                <w:szCs w:val="22"/>
              </w:rPr>
              <w:t>57.1</w:t>
            </w:r>
          </w:p>
        </w:tc>
        <w:tc>
          <w:tcPr>
            <w:tcW w:w="1276" w:type="dxa"/>
            <w:tcBorders>
              <w:top w:val="nil"/>
              <w:left w:val="nil"/>
              <w:bottom w:val="nil"/>
              <w:right w:val="nil"/>
            </w:tcBorders>
            <w:shd w:val="clear" w:color="auto" w:fill="auto"/>
            <w:noWrap/>
            <w:vAlign w:val="center"/>
            <w:hideMark/>
          </w:tcPr>
          <w:p w14:paraId="355B9117" w14:textId="77777777" w:rsidR="00E93EF3" w:rsidRPr="00271DA5" w:rsidRDefault="00E93EF3">
            <w:pPr>
              <w:rPr>
                <w:sz w:val="22"/>
                <w:szCs w:val="22"/>
              </w:rPr>
            </w:pPr>
            <w:r w:rsidRPr="00271DA5">
              <w:rPr>
                <w:sz w:val="22"/>
                <w:szCs w:val="22"/>
              </w:rPr>
              <w:t>59.3</w:t>
            </w:r>
          </w:p>
        </w:tc>
        <w:tc>
          <w:tcPr>
            <w:tcW w:w="957" w:type="dxa"/>
            <w:tcBorders>
              <w:top w:val="nil"/>
              <w:left w:val="nil"/>
              <w:bottom w:val="nil"/>
              <w:right w:val="nil"/>
            </w:tcBorders>
            <w:shd w:val="clear" w:color="auto" w:fill="auto"/>
            <w:noWrap/>
            <w:vAlign w:val="center"/>
            <w:hideMark/>
          </w:tcPr>
          <w:p w14:paraId="14D9F96C" w14:textId="77777777" w:rsidR="00E93EF3" w:rsidRPr="00271DA5" w:rsidRDefault="00E93EF3">
            <w:pPr>
              <w:rPr>
                <w:sz w:val="22"/>
                <w:szCs w:val="22"/>
              </w:rPr>
            </w:pPr>
            <w:r w:rsidRPr="00271DA5">
              <w:rPr>
                <w:sz w:val="22"/>
                <w:szCs w:val="22"/>
              </w:rPr>
              <w:t>0.001</w:t>
            </w:r>
          </w:p>
        </w:tc>
      </w:tr>
      <w:tr w:rsidR="00271DA5" w:rsidRPr="00271DA5" w14:paraId="6EDB5E43" w14:textId="77777777" w:rsidTr="00A304C8">
        <w:trPr>
          <w:trHeight w:val="320"/>
        </w:trPr>
        <w:tc>
          <w:tcPr>
            <w:tcW w:w="2092" w:type="dxa"/>
            <w:tcBorders>
              <w:top w:val="nil"/>
              <w:left w:val="nil"/>
              <w:bottom w:val="nil"/>
              <w:right w:val="nil"/>
            </w:tcBorders>
            <w:shd w:val="clear" w:color="auto" w:fill="auto"/>
            <w:noWrap/>
            <w:vAlign w:val="center"/>
            <w:hideMark/>
          </w:tcPr>
          <w:p w14:paraId="53145CCE" w14:textId="77777777" w:rsidR="00E93EF3" w:rsidRPr="00271DA5" w:rsidRDefault="00E93EF3">
            <w:pPr>
              <w:rPr>
                <w:sz w:val="22"/>
                <w:szCs w:val="22"/>
              </w:rPr>
            </w:pPr>
          </w:p>
        </w:tc>
        <w:tc>
          <w:tcPr>
            <w:tcW w:w="2870" w:type="dxa"/>
            <w:tcBorders>
              <w:top w:val="nil"/>
              <w:left w:val="nil"/>
              <w:bottom w:val="nil"/>
              <w:right w:val="nil"/>
            </w:tcBorders>
            <w:shd w:val="clear" w:color="auto" w:fill="auto"/>
            <w:noWrap/>
            <w:vAlign w:val="center"/>
            <w:hideMark/>
          </w:tcPr>
          <w:p w14:paraId="4F391A2F" w14:textId="77777777" w:rsidR="00E93EF3" w:rsidRPr="00271DA5" w:rsidRDefault="00E93EF3">
            <w:pPr>
              <w:rPr>
                <w:sz w:val="22"/>
                <w:szCs w:val="22"/>
              </w:rPr>
            </w:pPr>
            <w:r w:rsidRPr="00271DA5">
              <w:rPr>
                <w:sz w:val="22"/>
                <w:szCs w:val="22"/>
              </w:rPr>
              <w:t>Unemployed</w:t>
            </w:r>
          </w:p>
        </w:tc>
        <w:tc>
          <w:tcPr>
            <w:tcW w:w="1275" w:type="dxa"/>
            <w:tcBorders>
              <w:top w:val="nil"/>
              <w:left w:val="nil"/>
              <w:bottom w:val="nil"/>
              <w:right w:val="nil"/>
            </w:tcBorders>
            <w:shd w:val="clear" w:color="auto" w:fill="auto"/>
            <w:noWrap/>
            <w:vAlign w:val="center"/>
            <w:hideMark/>
          </w:tcPr>
          <w:p w14:paraId="5CAE64A0" w14:textId="77777777" w:rsidR="00E93EF3" w:rsidRPr="00271DA5" w:rsidRDefault="00E93EF3">
            <w:pPr>
              <w:rPr>
                <w:sz w:val="22"/>
                <w:szCs w:val="22"/>
              </w:rPr>
            </w:pPr>
            <w:r w:rsidRPr="00271DA5">
              <w:rPr>
                <w:sz w:val="22"/>
                <w:szCs w:val="22"/>
              </w:rPr>
              <w:t>42.5</w:t>
            </w:r>
          </w:p>
        </w:tc>
        <w:tc>
          <w:tcPr>
            <w:tcW w:w="1276" w:type="dxa"/>
            <w:tcBorders>
              <w:top w:val="nil"/>
              <w:left w:val="nil"/>
              <w:bottom w:val="nil"/>
              <w:right w:val="nil"/>
            </w:tcBorders>
            <w:shd w:val="clear" w:color="auto" w:fill="auto"/>
            <w:noWrap/>
            <w:vAlign w:val="center"/>
            <w:hideMark/>
          </w:tcPr>
          <w:p w14:paraId="29572904" w14:textId="77777777" w:rsidR="00E93EF3" w:rsidRPr="00271DA5" w:rsidRDefault="00E93EF3">
            <w:pPr>
              <w:rPr>
                <w:sz w:val="22"/>
                <w:szCs w:val="22"/>
              </w:rPr>
            </w:pPr>
            <w:r w:rsidRPr="00271DA5">
              <w:rPr>
                <w:sz w:val="22"/>
                <w:szCs w:val="22"/>
              </w:rPr>
              <w:t>42.9</w:t>
            </w:r>
          </w:p>
        </w:tc>
        <w:tc>
          <w:tcPr>
            <w:tcW w:w="1276" w:type="dxa"/>
            <w:tcBorders>
              <w:top w:val="nil"/>
              <w:left w:val="nil"/>
              <w:bottom w:val="nil"/>
              <w:right w:val="nil"/>
            </w:tcBorders>
            <w:shd w:val="clear" w:color="auto" w:fill="auto"/>
            <w:noWrap/>
            <w:vAlign w:val="center"/>
            <w:hideMark/>
          </w:tcPr>
          <w:p w14:paraId="0FCD3E98" w14:textId="77777777" w:rsidR="00E93EF3" w:rsidRPr="00271DA5" w:rsidRDefault="00E93EF3">
            <w:pPr>
              <w:rPr>
                <w:sz w:val="22"/>
                <w:szCs w:val="22"/>
              </w:rPr>
            </w:pPr>
            <w:r w:rsidRPr="00271DA5">
              <w:rPr>
                <w:sz w:val="22"/>
                <w:szCs w:val="22"/>
              </w:rPr>
              <w:t>40.7</w:t>
            </w:r>
          </w:p>
        </w:tc>
        <w:tc>
          <w:tcPr>
            <w:tcW w:w="957" w:type="dxa"/>
            <w:tcBorders>
              <w:top w:val="nil"/>
              <w:left w:val="nil"/>
              <w:bottom w:val="nil"/>
              <w:right w:val="nil"/>
            </w:tcBorders>
            <w:shd w:val="clear" w:color="auto" w:fill="auto"/>
            <w:noWrap/>
            <w:vAlign w:val="center"/>
            <w:hideMark/>
          </w:tcPr>
          <w:p w14:paraId="4FE71347" w14:textId="77777777" w:rsidR="00E93EF3" w:rsidRPr="00271DA5" w:rsidRDefault="00E93EF3">
            <w:pPr>
              <w:rPr>
                <w:sz w:val="22"/>
                <w:szCs w:val="22"/>
              </w:rPr>
            </w:pPr>
          </w:p>
        </w:tc>
      </w:tr>
      <w:tr w:rsidR="00271DA5" w:rsidRPr="00271DA5" w14:paraId="4F1C6CB5" w14:textId="77777777" w:rsidTr="00A304C8">
        <w:trPr>
          <w:trHeight w:val="320"/>
        </w:trPr>
        <w:tc>
          <w:tcPr>
            <w:tcW w:w="2092" w:type="dxa"/>
            <w:tcBorders>
              <w:top w:val="nil"/>
              <w:left w:val="nil"/>
              <w:bottom w:val="nil"/>
              <w:right w:val="nil"/>
            </w:tcBorders>
            <w:shd w:val="clear" w:color="auto" w:fill="auto"/>
            <w:noWrap/>
            <w:vAlign w:val="center"/>
            <w:hideMark/>
          </w:tcPr>
          <w:p w14:paraId="70BC1783" w14:textId="77777777" w:rsidR="00E93EF3" w:rsidRPr="00271DA5" w:rsidRDefault="00E93EF3">
            <w:pPr>
              <w:rPr>
                <w:sz w:val="22"/>
                <w:szCs w:val="22"/>
              </w:rPr>
            </w:pPr>
            <w:r w:rsidRPr="00271DA5">
              <w:rPr>
                <w:sz w:val="22"/>
                <w:szCs w:val="22"/>
              </w:rPr>
              <w:t>Disability</w:t>
            </w:r>
          </w:p>
        </w:tc>
        <w:tc>
          <w:tcPr>
            <w:tcW w:w="2870" w:type="dxa"/>
            <w:tcBorders>
              <w:top w:val="nil"/>
              <w:left w:val="nil"/>
              <w:bottom w:val="nil"/>
              <w:right w:val="nil"/>
            </w:tcBorders>
            <w:shd w:val="clear" w:color="auto" w:fill="auto"/>
            <w:noWrap/>
            <w:vAlign w:val="center"/>
            <w:hideMark/>
          </w:tcPr>
          <w:p w14:paraId="7ADF016F" w14:textId="77777777" w:rsidR="00E93EF3" w:rsidRPr="00271DA5" w:rsidRDefault="00E93EF3">
            <w:pPr>
              <w:rPr>
                <w:sz w:val="22"/>
                <w:szCs w:val="22"/>
              </w:rPr>
            </w:pPr>
            <w:r w:rsidRPr="00271DA5">
              <w:rPr>
                <w:sz w:val="22"/>
                <w:szCs w:val="22"/>
              </w:rPr>
              <w:t>No</w:t>
            </w:r>
          </w:p>
        </w:tc>
        <w:tc>
          <w:tcPr>
            <w:tcW w:w="1275" w:type="dxa"/>
            <w:tcBorders>
              <w:top w:val="nil"/>
              <w:left w:val="nil"/>
              <w:bottom w:val="nil"/>
              <w:right w:val="nil"/>
            </w:tcBorders>
            <w:shd w:val="clear" w:color="auto" w:fill="auto"/>
            <w:noWrap/>
            <w:vAlign w:val="center"/>
            <w:hideMark/>
          </w:tcPr>
          <w:p w14:paraId="58470179" w14:textId="77777777" w:rsidR="00E93EF3" w:rsidRPr="00271DA5" w:rsidRDefault="00E93EF3">
            <w:pPr>
              <w:rPr>
                <w:sz w:val="22"/>
                <w:szCs w:val="22"/>
              </w:rPr>
            </w:pPr>
            <w:r w:rsidRPr="00271DA5">
              <w:rPr>
                <w:sz w:val="22"/>
                <w:szCs w:val="22"/>
              </w:rPr>
              <w:t>86.8</w:t>
            </w:r>
          </w:p>
        </w:tc>
        <w:tc>
          <w:tcPr>
            <w:tcW w:w="1276" w:type="dxa"/>
            <w:tcBorders>
              <w:top w:val="nil"/>
              <w:left w:val="nil"/>
              <w:bottom w:val="nil"/>
              <w:right w:val="nil"/>
            </w:tcBorders>
            <w:shd w:val="clear" w:color="auto" w:fill="auto"/>
            <w:noWrap/>
            <w:vAlign w:val="center"/>
            <w:hideMark/>
          </w:tcPr>
          <w:p w14:paraId="37106C6E" w14:textId="77777777" w:rsidR="00E93EF3" w:rsidRPr="00271DA5" w:rsidRDefault="00E93EF3">
            <w:pPr>
              <w:rPr>
                <w:sz w:val="22"/>
                <w:szCs w:val="22"/>
              </w:rPr>
            </w:pPr>
            <w:r w:rsidRPr="00271DA5">
              <w:rPr>
                <w:sz w:val="22"/>
                <w:szCs w:val="22"/>
              </w:rPr>
              <w:t>87.2</w:t>
            </w:r>
          </w:p>
        </w:tc>
        <w:tc>
          <w:tcPr>
            <w:tcW w:w="1276" w:type="dxa"/>
            <w:tcBorders>
              <w:top w:val="nil"/>
              <w:left w:val="nil"/>
              <w:bottom w:val="nil"/>
              <w:right w:val="nil"/>
            </w:tcBorders>
            <w:shd w:val="clear" w:color="auto" w:fill="auto"/>
            <w:noWrap/>
            <w:vAlign w:val="center"/>
            <w:hideMark/>
          </w:tcPr>
          <w:p w14:paraId="0C1C79E7" w14:textId="77777777" w:rsidR="00E93EF3" w:rsidRPr="00271DA5" w:rsidRDefault="00E93EF3">
            <w:pPr>
              <w:rPr>
                <w:sz w:val="22"/>
                <w:szCs w:val="22"/>
              </w:rPr>
            </w:pPr>
            <w:r w:rsidRPr="00271DA5">
              <w:rPr>
                <w:sz w:val="22"/>
                <w:szCs w:val="22"/>
              </w:rPr>
              <w:t>85.3</w:t>
            </w:r>
          </w:p>
        </w:tc>
        <w:tc>
          <w:tcPr>
            <w:tcW w:w="957" w:type="dxa"/>
            <w:tcBorders>
              <w:top w:val="nil"/>
              <w:left w:val="nil"/>
              <w:bottom w:val="nil"/>
              <w:right w:val="nil"/>
            </w:tcBorders>
            <w:shd w:val="clear" w:color="auto" w:fill="auto"/>
            <w:noWrap/>
            <w:vAlign w:val="center"/>
            <w:hideMark/>
          </w:tcPr>
          <w:p w14:paraId="3B7D4066" w14:textId="77777777" w:rsidR="00E93EF3" w:rsidRPr="00271DA5" w:rsidRDefault="00E93EF3">
            <w:pPr>
              <w:rPr>
                <w:sz w:val="22"/>
                <w:szCs w:val="22"/>
              </w:rPr>
            </w:pPr>
            <w:r w:rsidRPr="00271DA5">
              <w:rPr>
                <w:sz w:val="22"/>
                <w:szCs w:val="22"/>
              </w:rPr>
              <w:t>&lt;0.001</w:t>
            </w:r>
          </w:p>
        </w:tc>
      </w:tr>
      <w:tr w:rsidR="00271DA5" w:rsidRPr="00271DA5" w14:paraId="7EDB45E5" w14:textId="77777777" w:rsidTr="00A304C8">
        <w:trPr>
          <w:trHeight w:val="320"/>
        </w:trPr>
        <w:tc>
          <w:tcPr>
            <w:tcW w:w="2092" w:type="dxa"/>
            <w:tcBorders>
              <w:top w:val="nil"/>
              <w:left w:val="nil"/>
              <w:bottom w:val="single" w:sz="4" w:space="0" w:color="auto"/>
              <w:right w:val="nil"/>
            </w:tcBorders>
            <w:shd w:val="clear" w:color="auto" w:fill="auto"/>
            <w:noWrap/>
            <w:vAlign w:val="center"/>
            <w:hideMark/>
          </w:tcPr>
          <w:p w14:paraId="10834BED" w14:textId="77777777" w:rsidR="00E93EF3" w:rsidRPr="00271DA5" w:rsidRDefault="00E93EF3">
            <w:pPr>
              <w:rPr>
                <w:sz w:val="22"/>
                <w:szCs w:val="22"/>
              </w:rPr>
            </w:pPr>
            <w:r w:rsidRPr="00271DA5">
              <w:rPr>
                <w:sz w:val="22"/>
                <w:szCs w:val="22"/>
              </w:rPr>
              <w:t> </w:t>
            </w:r>
          </w:p>
        </w:tc>
        <w:tc>
          <w:tcPr>
            <w:tcW w:w="2870" w:type="dxa"/>
            <w:tcBorders>
              <w:top w:val="nil"/>
              <w:left w:val="nil"/>
              <w:bottom w:val="single" w:sz="4" w:space="0" w:color="auto"/>
              <w:right w:val="nil"/>
            </w:tcBorders>
            <w:shd w:val="clear" w:color="auto" w:fill="auto"/>
            <w:noWrap/>
            <w:vAlign w:val="center"/>
            <w:hideMark/>
          </w:tcPr>
          <w:p w14:paraId="1804735B" w14:textId="77777777" w:rsidR="00E93EF3" w:rsidRPr="00271DA5" w:rsidRDefault="00E93EF3">
            <w:pPr>
              <w:rPr>
                <w:sz w:val="22"/>
                <w:szCs w:val="22"/>
              </w:rPr>
            </w:pPr>
            <w:r w:rsidRPr="00271DA5">
              <w:rPr>
                <w:sz w:val="22"/>
                <w:szCs w:val="22"/>
              </w:rPr>
              <w:t>Yes</w:t>
            </w:r>
          </w:p>
        </w:tc>
        <w:tc>
          <w:tcPr>
            <w:tcW w:w="1275" w:type="dxa"/>
            <w:tcBorders>
              <w:top w:val="nil"/>
              <w:left w:val="nil"/>
              <w:bottom w:val="single" w:sz="4" w:space="0" w:color="auto"/>
              <w:right w:val="nil"/>
            </w:tcBorders>
            <w:shd w:val="clear" w:color="auto" w:fill="auto"/>
            <w:noWrap/>
            <w:vAlign w:val="center"/>
            <w:hideMark/>
          </w:tcPr>
          <w:p w14:paraId="7DCA1CA2" w14:textId="77777777" w:rsidR="00E93EF3" w:rsidRPr="00271DA5" w:rsidRDefault="00E93EF3">
            <w:pPr>
              <w:rPr>
                <w:sz w:val="22"/>
                <w:szCs w:val="22"/>
              </w:rPr>
            </w:pPr>
            <w:r w:rsidRPr="00271DA5">
              <w:rPr>
                <w:sz w:val="22"/>
                <w:szCs w:val="22"/>
              </w:rPr>
              <w:t>13.2</w:t>
            </w:r>
          </w:p>
        </w:tc>
        <w:tc>
          <w:tcPr>
            <w:tcW w:w="1276" w:type="dxa"/>
            <w:tcBorders>
              <w:top w:val="nil"/>
              <w:left w:val="nil"/>
              <w:bottom w:val="single" w:sz="4" w:space="0" w:color="auto"/>
              <w:right w:val="nil"/>
            </w:tcBorders>
            <w:shd w:val="clear" w:color="auto" w:fill="auto"/>
            <w:noWrap/>
            <w:vAlign w:val="center"/>
            <w:hideMark/>
          </w:tcPr>
          <w:p w14:paraId="4DB963FE" w14:textId="77777777" w:rsidR="00E93EF3" w:rsidRPr="00271DA5" w:rsidRDefault="00E93EF3">
            <w:pPr>
              <w:rPr>
                <w:sz w:val="22"/>
                <w:szCs w:val="22"/>
              </w:rPr>
            </w:pPr>
            <w:r w:rsidRPr="00271DA5">
              <w:rPr>
                <w:sz w:val="22"/>
                <w:szCs w:val="22"/>
              </w:rPr>
              <w:t>12.8</w:t>
            </w:r>
          </w:p>
        </w:tc>
        <w:tc>
          <w:tcPr>
            <w:tcW w:w="1276" w:type="dxa"/>
            <w:tcBorders>
              <w:top w:val="nil"/>
              <w:left w:val="nil"/>
              <w:bottom w:val="single" w:sz="4" w:space="0" w:color="auto"/>
              <w:right w:val="nil"/>
            </w:tcBorders>
            <w:shd w:val="clear" w:color="auto" w:fill="auto"/>
            <w:noWrap/>
            <w:vAlign w:val="center"/>
            <w:hideMark/>
          </w:tcPr>
          <w:p w14:paraId="5C3DEBE7" w14:textId="77777777" w:rsidR="00E93EF3" w:rsidRPr="00271DA5" w:rsidRDefault="00E93EF3">
            <w:pPr>
              <w:rPr>
                <w:sz w:val="22"/>
                <w:szCs w:val="22"/>
              </w:rPr>
            </w:pPr>
            <w:r w:rsidRPr="00271DA5">
              <w:rPr>
                <w:sz w:val="22"/>
                <w:szCs w:val="22"/>
              </w:rPr>
              <w:t>14.7</w:t>
            </w:r>
          </w:p>
        </w:tc>
        <w:tc>
          <w:tcPr>
            <w:tcW w:w="957" w:type="dxa"/>
            <w:tcBorders>
              <w:top w:val="nil"/>
              <w:left w:val="nil"/>
              <w:bottom w:val="single" w:sz="4" w:space="0" w:color="auto"/>
              <w:right w:val="nil"/>
            </w:tcBorders>
            <w:shd w:val="clear" w:color="auto" w:fill="auto"/>
            <w:noWrap/>
            <w:vAlign w:val="center"/>
            <w:hideMark/>
          </w:tcPr>
          <w:p w14:paraId="4E8FD495" w14:textId="77777777" w:rsidR="00E93EF3" w:rsidRPr="00271DA5" w:rsidRDefault="00E93EF3">
            <w:pPr>
              <w:rPr>
                <w:sz w:val="22"/>
                <w:szCs w:val="22"/>
              </w:rPr>
            </w:pPr>
            <w:r w:rsidRPr="00271DA5">
              <w:rPr>
                <w:sz w:val="22"/>
                <w:szCs w:val="22"/>
              </w:rPr>
              <w:t> </w:t>
            </w:r>
          </w:p>
        </w:tc>
      </w:tr>
    </w:tbl>
    <w:p w14:paraId="39C25F0C" w14:textId="7EA2E98B" w:rsidR="00D65ADF" w:rsidRPr="00271DA5" w:rsidRDefault="00D65ADF" w:rsidP="00E93EF3">
      <w:pPr>
        <w:rPr>
          <w:bCs/>
          <w:sz w:val="20"/>
          <w:szCs w:val="20"/>
        </w:rPr>
      </w:pPr>
      <w:r w:rsidRPr="00271DA5">
        <w:rPr>
          <w:bCs/>
          <w:sz w:val="20"/>
          <w:szCs w:val="20"/>
        </w:rPr>
        <w:t>Abbreviation: SD Standard deviation</w:t>
      </w:r>
    </w:p>
    <w:p w14:paraId="4AE68683" w14:textId="17773AA0" w:rsidR="00A304C8" w:rsidRPr="00271DA5" w:rsidRDefault="00A304C8" w:rsidP="00E93EF3">
      <w:pPr>
        <w:rPr>
          <w:bCs/>
          <w:sz w:val="20"/>
          <w:szCs w:val="20"/>
        </w:rPr>
      </w:pPr>
      <w:r w:rsidRPr="00271DA5">
        <w:rPr>
          <w:bCs/>
          <w:sz w:val="20"/>
          <w:szCs w:val="20"/>
        </w:rPr>
        <w:t>Data are % unless otherwise stated.</w:t>
      </w:r>
    </w:p>
    <w:p w14:paraId="0CCADE47" w14:textId="0A04955C" w:rsidR="00E93EF3" w:rsidRPr="00271DA5" w:rsidRDefault="00C84C7C" w:rsidP="00E93EF3">
      <w:pPr>
        <w:rPr>
          <w:bCs/>
          <w:sz w:val="20"/>
          <w:szCs w:val="20"/>
        </w:rPr>
      </w:pPr>
      <w:r w:rsidRPr="00271DA5">
        <w:rPr>
          <w:bCs/>
          <w:sz w:val="20"/>
          <w:szCs w:val="20"/>
          <w:vertAlign w:val="superscript"/>
        </w:rPr>
        <w:t xml:space="preserve">a </w:t>
      </w:r>
      <w:r w:rsidR="00D65ADF" w:rsidRPr="00271DA5">
        <w:rPr>
          <w:bCs/>
          <w:sz w:val="20"/>
          <w:szCs w:val="20"/>
        </w:rPr>
        <w:t>P-value was calculated based on Student’s</w:t>
      </w:r>
      <w:r w:rsidR="00D65ADF" w:rsidRPr="00271DA5">
        <w:rPr>
          <w:bCs/>
          <w:i/>
          <w:iCs/>
          <w:sz w:val="20"/>
          <w:szCs w:val="20"/>
        </w:rPr>
        <w:t xml:space="preserve"> t</w:t>
      </w:r>
      <w:r w:rsidR="00D65ADF" w:rsidRPr="00271DA5">
        <w:rPr>
          <w:bCs/>
          <w:sz w:val="20"/>
          <w:szCs w:val="20"/>
        </w:rPr>
        <w:t xml:space="preserve">-test for age and </w:t>
      </w:r>
      <w:r w:rsidR="00A304C8" w:rsidRPr="00271DA5">
        <w:rPr>
          <w:bCs/>
          <w:sz w:val="20"/>
          <w:szCs w:val="20"/>
        </w:rPr>
        <w:t>on</w:t>
      </w:r>
      <w:r w:rsidR="00D65ADF" w:rsidRPr="00271DA5">
        <w:rPr>
          <w:bCs/>
          <w:sz w:val="20"/>
          <w:szCs w:val="20"/>
        </w:rPr>
        <w:t xml:space="preserve"> Chi-squared tests for other variables.</w:t>
      </w:r>
    </w:p>
    <w:p w14:paraId="3B12E01C" w14:textId="77777777" w:rsidR="00D65ADF" w:rsidRPr="00271DA5" w:rsidRDefault="00D65ADF" w:rsidP="00E93EF3">
      <w:pPr>
        <w:rPr>
          <w:bCs/>
          <w:sz w:val="20"/>
          <w:szCs w:val="20"/>
        </w:rPr>
      </w:pPr>
    </w:p>
    <w:p w14:paraId="5CD80FAB" w14:textId="77777777" w:rsidR="00E93EF3" w:rsidRPr="00271DA5" w:rsidRDefault="00E93EF3" w:rsidP="00E93EF3">
      <w:pPr>
        <w:rPr>
          <w:b/>
        </w:rPr>
      </w:pPr>
    </w:p>
    <w:p w14:paraId="76BD5CCC" w14:textId="77777777" w:rsidR="00C357E8" w:rsidRPr="00271DA5" w:rsidRDefault="00C357E8" w:rsidP="00387261">
      <w:pPr>
        <w:spacing w:line="480" w:lineRule="auto"/>
        <w:rPr>
          <w:b/>
        </w:rPr>
        <w:sectPr w:rsidR="00C357E8" w:rsidRPr="00271DA5" w:rsidSect="00A304C8">
          <w:pgSz w:w="11900" w:h="16840"/>
          <w:pgMar w:top="1440" w:right="1077" w:bottom="1440" w:left="1077" w:header="720" w:footer="720" w:gutter="0"/>
          <w:cols w:space="720"/>
          <w:docGrid w:linePitch="360"/>
        </w:sectPr>
      </w:pPr>
    </w:p>
    <w:tbl>
      <w:tblPr>
        <w:tblW w:w="0" w:type="auto"/>
        <w:tblLook w:val="04A0" w:firstRow="1" w:lastRow="0" w:firstColumn="1" w:lastColumn="0" w:noHBand="0" w:noVBand="1"/>
      </w:tblPr>
      <w:tblGrid>
        <w:gridCol w:w="2443"/>
        <w:gridCol w:w="3496"/>
        <w:gridCol w:w="691"/>
        <w:gridCol w:w="1367"/>
        <w:gridCol w:w="1023"/>
      </w:tblGrid>
      <w:tr w:rsidR="00271DA5" w:rsidRPr="00271DA5" w14:paraId="45C62326" w14:textId="77777777" w:rsidTr="007E073D">
        <w:trPr>
          <w:trHeight w:val="620"/>
        </w:trPr>
        <w:tc>
          <w:tcPr>
            <w:tcW w:w="0" w:type="auto"/>
            <w:gridSpan w:val="5"/>
            <w:tcBorders>
              <w:top w:val="nil"/>
              <w:left w:val="nil"/>
              <w:bottom w:val="single" w:sz="4" w:space="0" w:color="auto"/>
              <w:right w:val="nil"/>
            </w:tcBorders>
            <w:shd w:val="clear" w:color="auto" w:fill="auto"/>
            <w:vAlign w:val="center"/>
            <w:hideMark/>
          </w:tcPr>
          <w:p w14:paraId="100FB602" w14:textId="55054931" w:rsidR="007E073D" w:rsidRPr="00271DA5" w:rsidRDefault="007E073D">
            <w:pPr>
              <w:rPr>
                <w:b/>
                <w:bCs/>
              </w:rPr>
            </w:pPr>
            <w:r w:rsidRPr="00271DA5">
              <w:rPr>
                <w:b/>
                <w:bCs/>
              </w:rPr>
              <w:lastRenderedPageBreak/>
              <w:t xml:space="preserve">Table 2 </w:t>
            </w:r>
            <w:r w:rsidRPr="00271DA5">
              <w:t xml:space="preserve">Association between caregiving </w:t>
            </w:r>
            <w:r w:rsidR="007B719A" w:rsidRPr="00271DA5">
              <w:t xml:space="preserve">(exposure) </w:t>
            </w:r>
            <w:r w:rsidRPr="00271DA5">
              <w:t>and anxiety symptoms (outcome) estimated by multivariable logistic regression</w:t>
            </w:r>
          </w:p>
        </w:tc>
      </w:tr>
      <w:tr w:rsidR="00271DA5" w:rsidRPr="00271DA5" w14:paraId="5113C584" w14:textId="77777777" w:rsidTr="007E073D">
        <w:trPr>
          <w:trHeight w:val="300"/>
        </w:trPr>
        <w:tc>
          <w:tcPr>
            <w:tcW w:w="0" w:type="auto"/>
            <w:tcBorders>
              <w:top w:val="nil"/>
              <w:left w:val="nil"/>
              <w:bottom w:val="double" w:sz="6" w:space="0" w:color="auto"/>
              <w:right w:val="nil"/>
            </w:tcBorders>
            <w:shd w:val="clear" w:color="auto" w:fill="auto"/>
            <w:noWrap/>
            <w:vAlign w:val="center"/>
            <w:hideMark/>
          </w:tcPr>
          <w:p w14:paraId="5D3F3A07" w14:textId="77777777" w:rsidR="007E073D" w:rsidRPr="00271DA5" w:rsidRDefault="007E073D">
            <w:pPr>
              <w:rPr>
                <w:sz w:val="22"/>
                <w:szCs w:val="22"/>
              </w:rPr>
            </w:pPr>
            <w:r w:rsidRPr="00271DA5">
              <w:rPr>
                <w:sz w:val="22"/>
                <w:szCs w:val="22"/>
              </w:rPr>
              <w:t>Sample</w:t>
            </w:r>
          </w:p>
        </w:tc>
        <w:tc>
          <w:tcPr>
            <w:tcW w:w="0" w:type="auto"/>
            <w:tcBorders>
              <w:top w:val="nil"/>
              <w:left w:val="nil"/>
              <w:bottom w:val="double" w:sz="6" w:space="0" w:color="auto"/>
              <w:right w:val="nil"/>
            </w:tcBorders>
            <w:shd w:val="clear" w:color="auto" w:fill="auto"/>
            <w:noWrap/>
            <w:vAlign w:val="center"/>
            <w:hideMark/>
          </w:tcPr>
          <w:p w14:paraId="5DA1F47C" w14:textId="77777777" w:rsidR="007E073D" w:rsidRPr="00271DA5" w:rsidRDefault="007E073D">
            <w:pPr>
              <w:rPr>
                <w:sz w:val="22"/>
                <w:szCs w:val="22"/>
              </w:rPr>
            </w:pPr>
            <w:r w:rsidRPr="00271DA5">
              <w:rPr>
                <w:sz w:val="22"/>
                <w:szCs w:val="22"/>
              </w:rPr>
              <w:t> </w:t>
            </w:r>
          </w:p>
        </w:tc>
        <w:tc>
          <w:tcPr>
            <w:tcW w:w="0" w:type="auto"/>
            <w:tcBorders>
              <w:top w:val="nil"/>
              <w:left w:val="nil"/>
              <w:bottom w:val="double" w:sz="6" w:space="0" w:color="auto"/>
              <w:right w:val="nil"/>
            </w:tcBorders>
            <w:shd w:val="clear" w:color="auto" w:fill="auto"/>
            <w:noWrap/>
            <w:vAlign w:val="center"/>
            <w:hideMark/>
          </w:tcPr>
          <w:p w14:paraId="292D2000" w14:textId="77777777" w:rsidR="007E073D" w:rsidRPr="00271DA5" w:rsidRDefault="007E073D">
            <w:pPr>
              <w:rPr>
                <w:sz w:val="22"/>
                <w:szCs w:val="22"/>
              </w:rPr>
            </w:pPr>
            <w:r w:rsidRPr="00271DA5">
              <w:rPr>
                <w:sz w:val="22"/>
                <w:szCs w:val="22"/>
              </w:rPr>
              <w:t>OR</w:t>
            </w:r>
          </w:p>
        </w:tc>
        <w:tc>
          <w:tcPr>
            <w:tcW w:w="0" w:type="auto"/>
            <w:tcBorders>
              <w:top w:val="nil"/>
              <w:left w:val="nil"/>
              <w:bottom w:val="double" w:sz="6" w:space="0" w:color="auto"/>
              <w:right w:val="nil"/>
            </w:tcBorders>
            <w:shd w:val="clear" w:color="auto" w:fill="auto"/>
            <w:noWrap/>
            <w:vAlign w:val="center"/>
            <w:hideMark/>
          </w:tcPr>
          <w:p w14:paraId="43316981" w14:textId="77777777" w:rsidR="007E073D" w:rsidRPr="00271DA5" w:rsidRDefault="007E073D">
            <w:pPr>
              <w:rPr>
                <w:sz w:val="22"/>
                <w:szCs w:val="22"/>
              </w:rPr>
            </w:pPr>
            <w:r w:rsidRPr="00271DA5">
              <w:rPr>
                <w:sz w:val="22"/>
                <w:szCs w:val="22"/>
              </w:rPr>
              <w:t>95%CI</w:t>
            </w:r>
          </w:p>
        </w:tc>
        <w:tc>
          <w:tcPr>
            <w:tcW w:w="0" w:type="auto"/>
            <w:tcBorders>
              <w:top w:val="nil"/>
              <w:left w:val="nil"/>
              <w:bottom w:val="double" w:sz="6" w:space="0" w:color="auto"/>
              <w:right w:val="nil"/>
            </w:tcBorders>
            <w:shd w:val="clear" w:color="auto" w:fill="auto"/>
            <w:noWrap/>
            <w:vAlign w:val="center"/>
            <w:hideMark/>
          </w:tcPr>
          <w:p w14:paraId="59A95AF8" w14:textId="77777777" w:rsidR="007E073D" w:rsidRPr="00271DA5" w:rsidRDefault="007E073D">
            <w:pPr>
              <w:rPr>
                <w:sz w:val="22"/>
                <w:szCs w:val="22"/>
              </w:rPr>
            </w:pPr>
            <w:r w:rsidRPr="00271DA5">
              <w:rPr>
                <w:sz w:val="22"/>
                <w:szCs w:val="22"/>
              </w:rPr>
              <w:t>P-value</w:t>
            </w:r>
          </w:p>
        </w:tc>
      </w:tr>
      <w:tr w:rsidR="00271DA5" w:rsidRPr="00271DA5" w14:paraId="17E56CEB" w14:textId="77777777" w:rsidTr="007E073D">
        <w:trPr>
          <w:trHeight w:val="300"/>
        </w:trPr>
        <w:tc>
          <w:tcPr>
            <w:tcW w:w="0" w:type="auto"/>
            <w:tcBorders>
              <w:top w:val="nil"/>
              <w:left w:val="nil"/>
              <w:bottom w:val="nil"/>
              <w:right w:val="nil"/>
            </w:tcBorders>
            <w:shd w:val="clear" w:color="auto" w:fill="auto"/>
            <w:noWrap/>
            <w:vAlign w:val="center"/>
            <w:hideMark/>
          </w:tcPr>
          <w:p w14:paraId="7E8D4898" w14:textId="77777777" w:rsidR="007E073D" w:rsidRPr="00271DA5" w:rsidRDefault="007E073D">
            <w:pPr>
              <w:rPr>
                <w:sz w:val="22"/>
                <w:szCs w:val="22"/>
              </w:rPr>
            </w:pPr>
            <w:r w:rsidRPr="00271DA5">
              <w:rPr>
                <w:sz w:val="22"/>
                <w:szCs w:val="22"/>
              </w:rPr>
              <w:t>Overall</w:t>
            </w:r>
          </w:p>
        </w:tc>
        <w:tc>
          <w:tcPr>
            <w:tcW w:w="0" w:type="auto"/>
            <w:tcBorders>
              <w:top w:val="nil"/>
              <w:left w:val="nil"/>
              <w:bottom w:val="nil"/>
              <w:right w:val="nil"/>
            </w:tcBorders>
            <w:shd w:val="clear" w:color="auto" w:fill="auto"/>
            <w:noWrap/>
            <w:vAlign w:val="center"/>
            <w:hideMark/>
          </w:tcPr>
          <w:p w14:paraId="0D26E1CA" w14:textId="77777777" w:rsidR="007E073D" w:rsidRPr="00271DA5" w:rsidRDefault="007E073D">
            <w:pPr>
              <w:rPr>
                <w:sz w:val="22"/>
                <w:szCs w:val="22"/>
              </w:rPr>
            </w:pPr>
          </w:p>
        </w:tc>
        <w:tc>
          <w:tcPr>
            <w:tcW w:w="0" w:type="auto"/>
            <w:tcBorders>
              <w:top w:val="nil"/>
              <w:left w:val="nil"/>
              <w:bottom w:val="nil"/>
              <w:right w:val="nil"/>
            </w:tcBorders>
            <w:shd w:val="clear" w:color="auto" w:fill="auto"/>
            <w:noWrap/>
            <w:vAlign w:val="center"/>
            <w:hideMark/>
          </w:tcPr>
          <w:p w14:paraId="27B0AB85" w14:textId="77777777" w:rsidR="007E073D" w:rsidRPr="00271DA5" w:rsidRDefault="007E073D">
            <w:pPr>
              <w:rPr>
                <w:sz w:val="22"/>
                <w:szCs w:val="22"/>
              </w:rPr>
            </w:pPr>
            <w:r w:rsidRPr="00271DA5">
              <w:rPr>
                <w:sz w:val="22"/>
                <w:szCs w:val="22"/>
              </w:rPr>
              <w:t>1.52</w:t>
            </w:r>
          </w:p>
        </w:tc>
        <w:tc>
          <w:tcPr>
            <w:tcW w:w="0" w:type="auto"/>
            <w:tcBorders>
              <w:top w:val="nil"/>
              <w:left w:val="nil"/>
              <w:bottom w:val="nil"/>
              <w:right w:val="nil"/>
            </w:tcBorders>
            <w:shd w:val="clear" w:color="auto" w:fill="auto"/>
            <w:noWrap/>
            <w:vAlign w:val="center"/>
            <w:hideMark/>
          </w:tcPr>
          <w:p w14:paraId="3FB0DC71" w14:textId="77777777" w:rsidR="007E073D" w:rsidRPr="00271DA5" w:rsidRDefault="007E073D">
            <w:pPr>
              <w:rPr>
                <w:sz w:val="22"/>
                <w:szCs w:val="22"/>
              </w:rPr>
            </w:pPr>
            <w:r w:rsidRPr="00271DA5">
              <w:rPr>
                <w:sz w:val="22"/>
                <w:szCs w:val="22"/>
              </w:rPr>
              <w:t>[1.40,1.65]</w:t>
            </w:r>
          </w:p>
        </w:tc>
        <w:tc>
          <w:tcPr>
            <w:tcW w:w="0" w:type="auto"/>
            <w:tcBorders>
              <w:top w:val="nil"/>
              <w:left w:val="nil"/>
              <w:bottom w:val="nil"/>
              <w:right w:val="nil"/>
            </w:tcBorders>
            <w:shd w:val="clear" w:color="auto" w:fill="auto"/>
            <w:noWrap/>
            <w:vAlign w:val="center"/>
            <w:hideMark/>
          </w:tcPr>
          <w:p w14:paraId="7F05ADB1" w14:textId="77777777" w:rsidR="007E073D" w:rsidRPr="00271DA5" w:rsidRDefault="007E073D">
            <w:pPr>
              <w:rPr>
                <w:sz w:val="22"/>
                <w:szCs w:val="22"/>
              </w:rPr>
            </w:pPr>
            <w:r w:rsidRPr="00271DA5">
              <w:rPr>
                <w:sz w:val="22"/>
                <w:szCs w:val="22"/>
              </w:rPr>
              <w:t>&lt;0.001</w:t>
            </w:r>
          </w:p>
        </w:tc>
      </w:tr>
      <w:tr w:rsidR="00271DA5" w:rsidRPr="00271DA5" w14:paraId="69260D4D" w14:textId="77777777" w:rsidTr="007E073D">
        <w:trPr>
          <w:trHeight w:val="280"/>
        </w:trPr>
        <w:tc>
          <w:tcPr>
            <w:tcW w:w="0" w:type="auto"/>
            <w:tcBorders>
              <w:top w:val="nil"/>
              <w:left w:val="nil"/>
              <w:bottom w:val="nil"/>
              <w:right w:val="nil"/>
            </w:tcBorders>
            <w:shd w:val="clear" w:color="auto" w:fill="auto"/>
            <w:noWrap/>
            <w:vAlign w:val="center"/>
            <w:hideMark/>
          </w:tcPr>
          <w:p w14:paraId="57903289" w14:textId="77777777" w:rsidR="007E073D" w:rsidRPr="00271DA5" w:rsidRDefault="007E073D">
            <w:pPr>
              <w:rPr>
                <w:sz w:val="22"/>
                <w:szCs w:val="22"/>
              </w:rPr>
            </w:pPr>
            <w:r w:rsidRPr="00271DA5">
              <w:rPr>
                <w:sz w:val="22"/>
                <w:szCs w:val="22"/>
              </w:rPr>
              <w:t>Age (years)</w:t>
            </w:r>
          </w:p>
        </w:tc>
        <w:tc>
          <w:tcPr>
            <w:tcW w:w="0" w:type="auto"/>
            <w:tcBorders>
              <w:top w:val="nil"/>
              <w:left w:val="nil"/>
              <w:bottom w:val="nil"/>
              <w:right w:val="nil"/>
            </w:tcBorders>
            <w:shd w:val="clear" w:color="auto" w:fill="auto"/>
            <w:noWrap/>
            <w:vAlign w:val="center"/>
            <w:hideMark/>
          </w:tcPr>
          <w:p w14:paraId="51EF9054" w14:textId="77777777" w:rsidR="007E073D" w:rsidRPr="00271DA5" w:rsidRDefault="007E073D">
            <w:pPr>
              <w:rPr>
                <w:sz w:val="22"/>
                <w:szCs w:val="22"/>
              </w:rPr>
            </w:pPr>
            <w:r w:rsidRPr="00271DA5">
              <w:rPr>
                <w:sz w:val="22"/>
                <w:szCs w:val="22"/>
              </w:rPr>
              <w:t>18-44</w:t>
            </w:r>
          </w:p>
        </w:tc>
        <w:tc>
          <w:tcPr>
            <w:tcW w:w="0" w:type="auto"/>
            <w:tcBorders>
              <w:top w:val="nil"/>
              <w:left w:val="nil"/>
              <w:bottom w:val="nil"/>
              <w:right w:val="nil"/>
            </w:tcBorders>
            <w:shd w:val="clear" w:color="auto" w:fill="auto"/>
            <w:noWrap/>
            <w:vAlign w:val="center"/>
            <w:hideMark/>
          </w:tcPr>
          <w:p w14:paraId="6E80C932" w14:textId="77777777" w:rsidR="007E073D" w:rsidRPr="00271DA5" w:rsidRDefault="007E073D">
            <w:pPr>
              <w:rPr>
                <w:sz w:val="22"/>
                <w:szCs w:val="22"/>
              </w:rPr>
            </w:pPr>
            <w:r w:rsidRPr="00271DA5">
              <w:rPr>
                <w:sz w:val="22"/>
                <w:szCs w:val="22"/>
              </w:rPr>
              <w:t>1.35</w:t>
            </w:r>
          </w:p>
        </w:tc>
        <w:tc>
          <w:tcPr>
            <w:tcW w:w="0" w:type="auto"/>
            <w:tcBorders>
              <w:top w:val="nil"/>
              <w:left w:val="nil"/>
              <w:bottom w:val="nil"/>
              <w:right w:val="nil"/>
            </w:tcBorders>
            <w:shd w:val="clear" w:color="auto" w:fill="auto"/>
            <w:noWrap/>
            <w:vAlign w:val="center"/>
            <w:hideMark/>
          </w:tcPr>
          <w:p w14:paraId="5DB36578" w14:textId="77777777" w:rsidR="007E073D" w:rsidRPr="00271DA5" w:rsidRDefault="007E073D">
            <w:pPr>
              <w:rPr>
                <w:sz w:val="22"/>
                <w:szCs w:val="22"/>
              </w:rPr>
            </w:pPr>
            <w:r w:rsidRPr="00271DA5">
              <w:rPr>
                <w:sz w:val="22"/>
                <w:szCs w:val="22"/>
              </w:rPr>
              <w:t>[1.21,1.51]</w:t>
            </w:r>
          </w:p>
        </w:tc>
        <w:tc>
          <w:tcPr>
            <w:tcW w:w="0" w:type="auto"/>
            <w:tcBorders>
              <w:top w:val="nil"/>
              <w:left w:val="nil"/>
              <w:bottom w:val="nil"/>
              <w:right w:val="nil"/>
            </w:tcBorders>
            <w:shd w:val="clear" w:color="auto" w:fill="auto"/>
            <w:noWrap/>
            <w:vAlign w:val="center"/>
            <w:hideMark/>
          </w:tcPr>
          <w:p w14:paraId="4648926C" w14:textId="77777777" w:rsidR="007E073D" w:rsidRPr="00271DA5" w:rsidRDefault="007E073D">
            <w:pPr>
              <w:rPr>
                <w:sz w:val="22"/>
                <w:szCs w:val="22"/>
              </w:rPr>
            </w:pPr>
            <w:r w:rsidRPr="00271DA5">
              <w:rPr>
                <w:sz w:val="22"/>
                <w:szCs w:val="22"/>
              </w:rPr>
              <w:t>&lt;0.001</w:t>
            </w:r>
          </w:p>
        </w:tc>
      </w:tr>
      <w:tr w:rsidR="00271DA5" w:rsidRPr="00271DA5" w14:paraId="55F1F33F" w14:textId="77777777" w:rsidTr="007E073D">
        <w:trPr>
          <w:trHeight w:val="280"/>
        </w:trPr>
        <w:tc>
          <w:tcPr>
            <w:tcW w:w="0" w:type="auto"/>
            <w:tcBorders>
              <w:top w:val="nil"/>
              <w:left w:val="nil"/>
              <w:bottom w:val="nil"/>
              <w:right w:val="nil"/>
            </w:tcBorders>
            <w:shd w:val="clear" w:color="auto" w:fill="auto"/>
            <w:noWrap/>
            <w:vAlign w:val="center"/>
            <w:hideMark/>
          </w:tcPr>
          <w:p w14:paraId="73D93B88" w14:textId="77777777" w:rsidR="007E073D" w:rsidRPr="00271DA5" w:rsidRDefault="007E073D">
            <w:pPr>
              <w:rPr>
                <w:sz w:val="22"/>
                <w:szCs w:val="22"/>
              </w:rPr>
            </w:pPr>
          </w:p>
        </w:tc>
        <w:tc>
          <w:tcPr>
            <w:tcW w:w="0" w:type="auto"/>
            <w:tcBorders>
              <w:top w:val="nil"/>
              <w:left w:val="nil"/>
              <w:bottom w:val="nil"/>
              <w:right w:val="nil"/>
            </w:tcBorders>
            <w:shd w:val="clear" w:color="auto" w:fill="auto"/>
            <w:noWrap/>
            <w:vAlign w:val="center"/>
            <w:hideMark/>
          </w:tcPr>
          <w:p w14:paraId="6FCDB435" w14:textId="77777777" w:rsidR="007E073D" w:rsidRPr="00271DA5" w:rsidRDefault="007E073D">
            <w:pPr>
              <w:rPr>
                <w:sz w:val="22"/>
                <w:szCs w:val="22"/>
              </w:rPr>
            </w:pPr>
            <w:r w:rsidRPr="00271DA5">
              <w:rPr>
                <w:sz w:val="22"/>
                <w:szCs w:val="22"/>
              </w:rPr>
              <w:t>45-64</w:t>
            </w:r>
          </w:p>
        </w:tc>
        <w:tc>
          <w:tcPr>
            <w:tcW w:w="0" w:type="auto"/>
            <w:tcBorders>
              <w:top w:val="nil"/>
              <w:left w:val="nil"/>
              <w:bottom w:val="nil"/>
              <w:right w:val="nil"/>
            </w:tcBorders>
            <w:shd w:val="clear" w:color="auto" w:fill="auto"/>
            <w:noWrap/>
            <w:vAlign w:val="center"/>
            <w:hideMark/>
          </w:tcPr>
          <w:p w14:paraId="4187535C" w14:textId="77777777" w:rsidR="007E073D" w:rsidRPr="00271DA5" w:rsidRDefault="007E073D">
            <w:pPr>
              <w:rPr>
                <w:sz w:val="22"/>
                <w:szCs w:val="22"/>
              </w:rPr>
            </w:pPr>
            <w:r w:rsidRPr="00271DA5">
              <w:rPr>
                <w:sz w:val="22"/>
                <w:szCs w:val="22"/>
              </w:rPr>
              <w:t>1.50</w:t>
            </w:r>
          </w:p>
        </w:tc>
        <w:tc>
          <w:tcPr>
            <w:tcW w:w="0" w:type="auto"/>
            <w:tcBorders>
              <w:top w:val="nil"/>
              <w:left w:val="nil"/>
              <w:bottom w:val="nil"/>
              <w:right w:val="nil"/>
            </w:tcBorders>
            <w:shd w:val="clear" w:color="auto" w:fill="auto"/>
            <w:noWrap/>
            <w:vAlign w:val="center"/>
            <w:hideMark/>
          </w:tcPr>
          <w:p w14:paraId="7F95BEDE" w14:textId="77777777" w:rsidR="007E073D" w:rsidRPr="00271DA5" w:rsidRDefault="007E073D">
            <w:pPr>
              <w:rPr>
                <w:sz w:val="22"/>
                <w:szCs w:val="22"/>
              </w:rPr>
            </w:pPr>
            <w:r w:rsidRPr="00271DA5">
              <w:rPr>
                <w:sz w:val="22"/>
                <w:szCs w:val="22"/>
              </w:rPr>
              <w:t>[1.21,1.84]</w:t>
            </w:r>
          </w:p>
        </w:tc>
        <w:tc>
          <w:tcPr>
            <w:tcW w:w="0" w:type="auto"/>
            <w:tcBorders>
              <w:top w:val="nil"/>
              <w:left w:val="nil"/>
              <w:bottom w:val="nil"/>
              <w:right w:val="nil"/>
            </w:tcBorders>
            <w:shd w:val="clear" w:color="auto" w:fill="auto"/>
            <w:noWrap/>
            <w:vAlign w:val="center"/>
            <w:hideMark/>
          </w:tcPr>
          <w:p w14:paraId="2EC851AC" w14:textId="77777777" w:rsidR="007E073D" w:rsidRPr="00271DA5" w:rsidRDefault="007E073D">
            <w:pPr>
              <w:rPr>
                <w:sz w:val="22"/>
                <w:szCs w:val="22"/>
              </w:rPr>
            </w:pPr>
            <w:r w:rsidRPr="00271DA5">
              <w:rPr>
                <w:sz w:val="22"/>
                <w:szCs w:val="22"/>
              </w:rPr>
              <w:t>&lt;0.001</w:t>
            </w:r>
          </w:p>
        </w:tc>
      </w:tr>
      <w:tr w:rsidR="00271DA5" w:rsidRPr="00271DA5" w14:paraId="7B33A69A" w14:textId="77777777" w:rsidTr="007E073D">
        <w:trPr>
          <w:trHeight w:val="280"/>
        </w:trPr>
        <w:tc>
          <w:tcPr>
            <w:tcW w:w="0" w:type="auto"/>
            <w:tcBorders>
              <w:top w:val="nil"/>
              <w:left w:val="nil"/>
              <w:bottom w:val="nil"/>
              <w:right w:val="nil"/>
            </w:tcBorders>
            <w:shd w:val="clear" w:color="auto" w:fill="auto"/>
            <w:noWrap/>
            <w:vAlign w:val="center"/>
            <w:hideMark/>
          </w:tcPr>
          <w:p w14:paraId="3E0DA7D4" w14:textId="77777777" w:rsidR="007E073D" w:rsidRPr="00271DA5" w:rsidRDefault="007E073D">
            <w:pPr>
              <w:rPr>
                <w:sz w:val="22"/>
                <w:szCs w:val="22"/>
              </w:rPr>
            </w:pPr>
          </w:p>
        </w:tc>
        <w:tc>
          <w:tcPr>
            <w:tcW w:w="0" w:type="auto"/>
            <w:tcBorders>
              <w:top w:val="nil"/>
              <w:left w:val="nil"/>
              <w:bottom w:val="nil"/>
              <w:right w:val="nil"/>
            </w:tcBorders>
            <w:shd w:val="clear" w:color="auto" w:fill="auto"/>
            <w:noWrap/>
            <w:vAlign w:val="center"/>
            <w:hideMark/>
          </w:tcPr>
          <w:p w14:paraId="2CEC5818" w14:textId="77777777" w:rsidR="007E073D" w:rsidRPr="00271DA5" w:rsidRDefault="007E073D">
            <w:pPr>
              <w:rPr>
                <w:sz w:val="22"/>
                <w:szCs w:val="22"/>
              </w:rPr>
            </w:pPr>
            <w:r w:rsidRPr="00271DA5">
              <w:rPr>
                <w:sz w:val="22"/>
                <w:szCs w:val="22"/>
              </w:rPr>
              <w:t>≥65</w:t>
            </w:r>
          </w:p>
        </w:tc>
        <w:tc>
          <w:tcPr>
            <w:tcW w:w="0" w:type="auto"/>
            <w:tcBorders>
              <w:top w:val="nil"/>
              <w:left w:val="nil"/>
              <w:bottom w:val="nil"/>
              <w:right w:val="nil"/>
            </w:tcBorders>
            <w:shd w:val="clear" w:color="auto" w:fill="auto"/>
            <w:noWrap/>
            <w:vAlign w:val="center"/>
            <w:hideMark/>
          </w:tcPr>
          <w:p w14:paraId="01FC4FAA" w14:textId="77777777" w:rsidR="007E073D" w:rsidRPr="00271DA5" w:rsidRDefault="007E073D">
            <w:pPr>
              <w:rPr>
                <w:sz w:val="22"/>
                <w:szCs w:val="22"/>
              </w:rPr>
            </w:pPr>
            <w:r w:rsidRPr="00271DA5">
              <w:rPr>
                <w:sz w:val="22"/>
                <w:szCs w:val="22"/>
              </w:rPr>
              <w:t>1.52</w:t>
            </w:r>
          </w:p>
        </w:tc>
        <w:tc>
          <w:tcPr>
            <w:tcW w:w="0" w:type="auto"/>
            <w:tcBorders>
              <w:top w:val="nil"/>
              <w:left w:val="nil"/>
              <w:bottom w:val="nil"/>
              <w:right w:val="nil"/>
            </w:tcBorders>
            <w:shd w:val="clear" w:color="auto" w:fill="auto"/>
            <w:noWrap/>
            <w:vAlign w:val="center"/>
            <w:hideMark/>
          </w:tcPr>
          <w:p w14:paraId="4788D00D" w14:textId="77777777" w:rsidR="007E073D" w:rsidRPr="00271DA5" w:rsidRDefault="007E073D">
            <w:pPr>
              <w:rPr>
                <w:sz w:val="22"/>
                <w:szCs w:val="22"/>
              </w:rPr>
            </w:pPr>
            <w:r w:rsidRPr="00271DA5">
              <w:rPr>
                <w:sz w:val="22"/>
                <w:szCs w:val="22"/>
              </w:rPr>
              <w:t>[1.23,1.89]</w:t>
            </w:r>
          </w:p>
        </w:tc>
        <w:tc>
          <w:tcPr>
            <w:tcW w:w="0" w:type="auto"/>
            <w:tcBorders>
              <w:top w:val="nil"/>
              <w:left w:val="nil"/>
              <w:bottom w:val="nil"/>
              <w:right w:val="nil"/>
            </w:tcBorders>
            <w:shd w:val="clear" w:color="auto" w:fill="auto"/>
            <w:noWrap/>
            <w:vAlign w:val="center"/>
            <w:hideMark/>
          </w:tcPr>
          <w:p w14:paraId="66A24B67" w14:textId="77777777" w:rsidR="007E073D" w:rsidRPr="00271DA5" w:rsidRDefault="007E073D">
            <w:pPr>
              <w:rPr>
                <w:sz w:val="22"/>
                <w:szCs w:val="22"/>
              </w:rPr>
            </w:pPr>
            <w:r w:rsidRPr="00271DA5">
              <w:rPr>
                <w:sz w:val="22"/>
                <w:szCs w:val="22"/>
              </w:rPr>
              <w:t>&lt;0.001</w:t>
            </w:r>
          </w:p>
        </w:tc>
      </w:tr>
      <w:tr w:rsidR="00271DA5" w:rsidRPr="00271DA5" w14:paraId="334FCC9E" w14:textId="77777777" w:rsidTr="007E073D">
        <w:trPr>
          <w:trHeight w:val="280"/>
        </w:trPr>
        <w:tc>
          <w:tcPr>
            <w:tcW w:w="0" w:type="auto"/>
            <w:tcBorders>
              <w:top w:val="nil"/>
              <w:left w:val="nil"/>
              <w:bottom w:val="nil"/>
              <w:right w:val="nil"/>
            </w:tcBorders>
            <w:shd w:val="clear" w:color="auto" w:fill="auto"/>
            <w:noWrap/>
            <w:vAlign w:val="center"/>
            <w:hideMark/>
          </w:tcPr>
          <w:p w14:paraId="078B4946" w14:textId="77777777" w:rsidR="007E073D" w:rsidRPr="00271DA5" w:rsidRDefault="007E073D">
            <w:pPr>
              <w:rPr>
                <w:sz w:val="22"/>
                <w:szCs w:val="22"/>
              </w:rPr>
            </w:pPr>
            <w:r w:rsidRPr="00271DA5">
              <w:rPr>
                <w:sz w:val="22"/>
                <w:szCs w:val="22"/>
              </w:rPr>
              <w:t>Sex</w:t>
            </w:r>
          </w:p>
        </w:tc>
        <w:tc>
          <w:tcPr>
            <w:tcW w:w="0" w:type="auto"/>
            <w:tcBorders>
              <w:top w:val="nil"/>
              <w:left w:val="nil"/>
              <w:bottom w:val="nil"/>
              <w:right w:val="nil"/>
            </w:tcBorders>
            <w:shd w:val="clear" w:color="auto" w:fill="auto"/>
            <w:noWrap/>
            <w:vAlign w:val="center"/>
            <w:hideMark/>
          </w:tcPr>
          <w:p w14:paraId="0586C87E" w14:textId="77777777" w:rsidR="007E073D" w:rsidRPr="00271DA5" w:rsidRDefault="007E073D">
            <w:pPr>
              <w:rPr>
                <w:sz w:val="22"/>
                <w:szCs w:val="22"/>
              </w:rPr>
            </w:pPr>
            <w:r w:rsidRPr="00271DA5">
              <w:rPr>
                <w:sz w:val="22"/>
                <w:szCs w:val="22"/>
              </w:rPr>
              <w:t>Male</w:t>
            </w:r>
          </w:p>
        </w:tc>
        <w:tc>
          <w:tcPr>
            <w:tcW w:w="0" w:type="auto"/>
            <w:tcBorders>
              <w:top w:val="nil"/>
              <w:left w:val="nil"/>
              <w:bottom w:val="nil"/>
              <w:right w:val="nil"/>
            </w:tcBorders>
            <w:shd w:val="clear" w:color="auto" w:fill="auto"/>
            <w:noWrap/>
            <w:vAlign w:val="center"/>
            <w:hideMark/>
          </w:tcPr>
          <w:p w14:paraId="1EC636E2" w14:textId="77777777" w:rsidR="007E073D" w:rsidRPr="00271DA5" w:rsidRDefault="007E073D">
            <w:pPr>
              <w:rPr>
                <w:sz w:val="22"/>
                <w:szCs w:val="22"/>
              </w:rPr>
            </w:pPr>
            <w:r w:rsidRPr="00271DA5">
              <w:rPr>
                <w:sz w:val="22"/>
                <w:szCs w:val="22"/>
              </w:rPr>
              <w:t>1.49</w:t>
            </w:r>
          </w:p>
        </w:tc>
        <w:tc>
          <w:tcPr>
            <w:tcW w:w="0" w:type="auto"/>
            <w:tcBorders>
              <w:top w:val="nil"/>
              <w:left w:val="nil"/>
              <w:bottom w:val="nil"/>
              <w:right w:val="nil"/>
            </w:tcBorders>
            <w:shd w:val="clear" w:color="auto" w:fill="auto"/>
            <w:noWrap/>
            <w:vAlign w:val="center"/>
            <w:hideMark/>
          </w:tcPr>
          <w:p w14:paraId="35343CEA" w14:textId="77777777" w:rsidR="007E073D" w:rsidRPr="00271DA5" w:rsidRDefault="007E073D">
            <w:pPr>
              <w:rPr>
                <w:sz w:val="22"/>
                <w:szCs w:val="22"/>
              </w:rPr>
            </w:pPr>
            <w:r w:rsidRPr="00271DA5">
              <w:rPr>
                <w:sz w:val="22"/>
                <w:szCs w:val="22"/>
              </w:rPr>
              <w:t>[1.31,1.69]</w:t>
            </w:r>
          </w:p>
        </w:tc>
        <w:tc>
          <w:tcPr>
            <w:tcW w:w="0" w:type="auto"/>
            <w:tcBorders>
              <w:top w:val="nil"/>
              <w:left w:val="nil"/>
              <w:bottom w:val="nil"/>
              <w:right w:val="nil"/>
            </w:tcBorders>
            <w:shd w:val="clear" w:color="auto" w:fill="auto"/>
            <w:noWrap/>
            <w:vAlign w:val="center"/>
            <w:hideMark/>
          </w:tcPr>
          <w:p w14:paraId="3011BB6B" w14:textId="77777777" w:rsidR="007E073D" w:rsidRPr="00271DA5" w:rsidRDefault="007E073D">
            <w:pPr>
              <w:rPr>
                <w:sz w:val="22"/>
                <w:szCs w:val="22"/>
              </w:rPr>
            </w:pPr>
            <w:r w:rsidRPr="00271DA5">
              <w:rPr>
                <w:sz w:val="22"/>
                <w:szCs w:val="22"/>
              </w:rPr>
              <w:t>&lt;0.001</w:t>
            </w:r>
          </w:p>
        </w:tc>
      </w:tr>
      <w:tr w:rsidR="00271DA5" w:rsidRPr="00271DA5" w14:paraId="530D5884" w14:textId="77777777" w:rsidTr="007E073D">
        <w:trPr>
          <w:trHeight w:val="280"/>
        </w:trPr>
        <w:tc>
          <w:tcPr>
            <w:tcW w:w="0" w:type="auto"/>
            <w:tcBorders>
              <w:top w:val="nil"/>
              <w:left w:val="nil"/>
              <w:bottom w:val="nil"/>
              <w:right w:val="nil"/>
            </w:tcBorders>
            <w:shd w:val="clear" w:color="auto" w:fill="auto"/>
            <w:noWrap/>
            <w:vAlign w:val="center"/>
            <w:hideMark/>
          </w:tcPr>
          <w:p w14:paraId="17698D96" w14:textId="77777777" w:rsidR="007E073D" w:rsidRPr="00271DA5" w:rsidRDefault="007E073D">
            <w:pPr>
              <w:rPr>
                <w:sz w:val="22"/>
                <w:szCs w:val="22"/>
              </w:rPr>
            </w:pPr>
          </w:p>
        </w:tc>
        <w:tc>
          <w:tcPr>
            <w:tcW w:w="0" w:type="auto"/>
            <w:tcBorders>
              <w:top w:val="nil"/>
              <w:left w:val="nil"/>
              <w:bottom w:val="nil"/>
              <w:right w:val="nil"/>
            </w:tcBorders>
            <w:shd w:val="clear" w:color="auto" w:fill="auto"/>
            <w:noWrap/>
            <w:vAlign w:val="center"/>
            <w:hideMark/>
          </w:tcPr>
          <w:p w14:paraId="47697235" w14:textId="77777777" w:rsidR="007E073D" w:rsidRPr="00271DA5" w:rsidRDefault="007E073D">
            <w:pPr>
              <w:rPr>
                <w:sz w:val="22"/>
                <w:szCs w:val="22"/>
              </w:rPr>
            </w:pPr>
            <w:r w:rsidRPr="00271DA5">
              <w:rPr>
                <w:sz w:val="22"/>
                <w:szCs w:val="22"/>
              </w:rPr>
              <w:t>Female</w:t>
            </w:r>
          </w:p>
        </w:tc>
        <w:tc>
          <w:tcPr>
            <w:tcW w:w="0" w:type="auto"/>
            <w:tcBorders>
              <w:top w:val="nil"/>
              <w:left w:val="nil"/>
              <w:bottom w:val="nil"/>
              <w:right w:val="nil"/>
            </w:tcBorders>
            <w:shd w:val="clear" w:color="auto" w:fill="auto"/>
            <w:noWrap/>
            <w:vAlign w:val="center"/>
            <w:hideMark/>
          </w:tcPr>
          <w:p w14:paraId="334F365E" w14:textId="77777777" w:rsidR="007E073D" w:rsidRPr="00271DA5" w:rsidRDefault="007E073D">
            <w:pPr>
              <w:rPr>
                <w:sz w:val="22"/>
                <w:szCs w:val="22"/>
              </w:rPr>
            </w:pPr>
            <w:r w:rsidRPr="00271DA5">
              <w:rPr>
                <w:sz w:val="22"/>
                <w:szCs w:val="22"/>
              </w:rPr>
              <w:t>1.52</w:t>
            </w:r>
          </w:p>
        </w:tc>
        <w:tc>
          <w:tcPr>
            <w:tcW w:w="0" w:type="auto"/>
            <w:tcBorders>
              <w:top w:val="nil"/>
              <w:left w:val="nil"/>
              <w:bottom w:val="nil"/>
              <w:right w:val="nil"/>
            </w:tcBorders>
            <w:shd w:val="clear" w:color="auto" w:fill="auto"/>
            <w:noWrap/>
            <w:vAlign w:val="center"/>
            <w:hideMark/>
          </w:tcPr>
          <w:p w14:paraId="00E58932" w14:textId="77777777" w:rsidR="007E073D" w:rsidRPr="00271DA5" w:rsidRDefault="007E073D">
            <w:pPr>
              <w:rPr>
                <w:sz w:val="22"/>
                <w:szCs w:val="22"/>
              </w:rPr>
            </w:pPr>
            <w:r w:rsidRPr="00271DA5">
              <w:rPr>
                <w:sz w:val="22"/>
                <w:szCs w:val="22"/>
              </w:rPr>
              <w:t>[1.38,1.68]</w:t>
            </w:r>
          </w:p>
        </w:tc>
        <w:tc>
          <w:tcPr>
            <w:tcW w:w="0" w:type="auto"/>
            <w:tcBorders>
              <w:top w:val="nil"/>
              <w:left w:val="nil"/>
              <w:bottom w:val="nil"/>
              <w:right w:val="nil"/>
            </w:tcBorders>
            <w:shd w:val="clear" w:color="auto" w:fill="auto"/>
            <w:noWrap/>
            <w:vAlign w:val="center"/>
            <w:hideMark/>
          </w:tcPr>
          <w:p w14:paraId="00CCFCDD" w14:textId="77777777" w:rsidR="007E073D" w:rsidRPr="00271DA5" w:rsidRDefault="007E073D">
            <w:pPr>
              <w:rPr>
                <w:sz w:val="22"/>
                <w:szCs w:val="22"/>
              </w:rPr>
            </w:pPr>
            <w:r w:rsidRPr="00271DA5">
              <w:rPr>
                <w:sz w:val="22"/>
                <w:szCs w:val="22"/>
              </w:rPr>
              <w:t>&lt;0.001</w:t>
            </w:r>
          </w:p>
        </w:tc>
      </w:tr>
      <w:tr w:rsidR="00271DA5" w:rsidRPr="00271DA5" w14:paraId="10B15905" w14:textId="77777777" w:rsidTr="007E073D">
        <w:trPr>
          <w:trHeight w:val="280"/>
        </w:trPr>
        <w:tc>
          <w:tcPr>
            <w:tcW w:w="0" w:type="auto"/>
            <w:tcBorders>
              <w:top w:val="nil"/>
              <w:left w:val="nil"/>
              <w:bottom w:val="nil"/>
              <w:right w:val="nil"/>
            </w:tcBorders>
            <w:shd w:val="clear" w:color="auto" w:fill="auto"/>
            <w:noWrap/>
            <w:vAlign w:val="center"/>
            <w:hideMark/>
          </w:tcPr>
          <w:p w14:paraId="4209A810" w14:textId="77777777" w:rsidR="007E073D" w:rsidRPr="00271DA5" w:rsidRDefault="007E073D">
            <w:pPr>
              <w:rPr>
                <w:sz w:val="22"/>
                <w:szCs w:val="22"/>
              </w:rPr>
            </w:pPr>
            <w:r w:rsidRPr="00271DA5">
              <w:rPr>
                <w:sz w:val="22"/>
                <w:szCs w:val="22"/>
              </w:rPr>
              <w:t>Country income level</w:t>
            </w:r>
          </w:p>
        </w:tc>
        <w:tc>
          <w:tcPr>
            <w:tcW w:w="0" w:type="auto"/>
            <w:tcBorders>
              <w:top w:val="nil"/>
              <w:left w:val="nil"/>
              <w:bottom w:val="nil"/>
              <w:right w:val="nil"/>
            </w:tcBorders>
            <w:shd w:val="clear" w:color="auto" w:fill="auto"/>
            <w:noWrap/>
            <w:vAlign w:val="center"/>
            <w:hideMark/>
          </w:tcPr>
          <w:p w14:paraId="078152D2" w14:textId="77777777" w:rsidR="007E073D" w:rsidRPr="00271DA5" w:rsidRDefault="007E073D">
            <w:pPr>
              <w:rPr>
                <w:sz w:val="22"/>
                <w:szCs w:val="22"/>
              </w:rPr>
            </w:pPr>
            <w:r w:rsidRPr="00271DA5">
              <w:rPr>
                <w:sz w:val="22"/>
                <w:szCs w:val="22"/>
              </w:rPr>
              <w:t>Low-income countries</w:t>
            </w:r>
          </w:p>
        </w:tc>
        <w:tc>
          <w:tcPr>
            <w:tcW w:w="0" w:type="auto"/>
            <w:tcBorders>
              <w:top w:val="nil"/>
              <w:left w:val="nil"/>
              <w:bottom w:val="nil"/>
              <w:right w:val="nil"/>
            </w:tcBorders>
            <w:shd w:val="clear" w:color="auto" w:fill="auto"/>
            <w:noWrap/>
            <w:vAlign w:val="center"/>
            <w:hideMark/>
          </w:tcPr>
          <w:p w14:paraId="0752F013" w14:textId="77777777" w:rsidR="007E073D" w:rsidRPr="00271DA5" w:rsidRDefault="007E073D">
            <w:pPr>
              <w:rPr>
                <w:sz w:val="22"/>
                <w:szCs w:val="22"/>
              </w:rPr>
            </w:pPr>
            <w:r w:rsidRPr="00271DA5">
              <w:rPr>
                <w:sz w:val="22"/>
                <w:szCs w:val="22"/>
              </w:rPr>
              <w:t>1.48</w:t>
            </w:r>
          </w:p>
        </w:tc>
        <w:tc>
          <w:tcPr>
            <w:tcW w:w="0" w:type="auto"/>
            <w:tcBorders>
              <w:top w:val="nil"/>
              <w:left w:val="nil"/>
              <w:bottom w:val="nil"/>
              <w:right w:val="nil"/>
            </w:tcBorders>
            <w:shd w:val="clear" w:color="auto" w:fill="auto"/>
            <w:noWrap/>
            <w:vAlign w:val="center"/>
            <w:hideMark/>
          </w:tcPr>
          <w:p w14:paraId="13D0BBB5" w14:textId="77777777" w:rsidR="007E073D" w:rsidRPr="00271DA5" w:rsidRDefault="007E073D">
            <w:pPr>
              <w:rPr>
                <w:sz w:val="22"/>
                <w:szCs w:val="22"/>
              </w:rPr>
            </w:pPr>
            <w:r w:rsidRPr="00271DA5">
              <w:rPr>
                <w:sz w:val="22"/>
                <w:szCs w:val="22"/>
              </w:rPr>
              <w:t>[1.32,1.66]</w:t>
            </w:r>
          </w:p>
        </w:tc>
        <w:tc>
          <w:tcPr>
            <w:tcW w:w="0" w:type="auto"/>
            <w:tcBorders>
              <w:top w:val="nil"/>
              <w:left w:val="nil"/>
              <w:bottom w:val="nil"/>
              <w:right w:val="nil"/>
            </w:tcBorders>
            <w:shd w:val="clear" w:color="auto" w:fill="auto"/>
            <w:noWrap/>
            <w:vAlign w:val="center"/>
            <w:hideMark/>
          </w:tcPr>
          <w:p w14:paraId="49BDC813" w14:textId="77777777" w:rsidR="007E073D" w:rsidRPr="00271DA5" w:rsidRDefault="007E073D">
            <w:pPr>
              <w:rPr>
                <w:sz w:val="22"/>
                <w:szCs w:val="22"/>
              </w:rPr>
            </w:pPr>
            <w:r w:rsidRPr="00271DA5">
              <w:rPr>
                <w:sz w:val="22"/>
                <w:szCs w:val="22"/>
              </w:rPr>
              <w:t>&lt;0.001</w:t>
            </w:r>
          </w:p>
        </w:tc>
      </w:tr>
      <w:tr w:rsidR="00271DA5" w:rsidRPr="00271DA5" w14:paraId="6B50A1A7" w14:textId="77777777" w:rsidTr="007E073D">
        <w:trPr>
          <w:trHeight w:val="280"/>
        </w:trPr>
        <w:tc>
          <w:tcPr>
            <w:tcW w:w="0" w:type="auto"/>
            <w:tcBorders>
              <w:top w:val="nil"/>
              <w:left w:val="nil"/>
              <w:bottom w:val="nil"/>
              <w:right w:val="nil"/>
            </w:tcBorders>
            <w:shd w:val="clear" w:color="auto" w:fill="auto"/>
            <w:noWrap/>
            <w:vAlign w:val="center"/>
            <w:hideMark/>
          </w:tcPr>
          <w:p w14:paraId="7EB0DFAB" w14:textId="77777777" w:rsidR="007E073D" w:rsidRPr="00271DA5" w:rsidRDefault="007E073D">
            <w:pPr>
              <w:rPr>
                <w:sz w:val="22"/>
                <w:szCs w:val="22"/>
              </w:rPr>
            </w:pPr>
          </w:p>
        </w:tc>
        <w:tc>
          <w:tcPr>
            <w:tcW w:w="0" w:type="auto"/>
            <w:tcBorders>
              <w:top w:val="nil"/>
              <w:left w:val="nil"/>
              <w:bottom w:val="nil"/>
              <w:right w:val="nil"/>
            </w:tcBorders>
            <w:shd w:val="clear" w:color="auto" w:fill="auto"/>
            <w:noWrap/>
            <w:vAlign w:val="center"/>
            <w:hideMark/>
          </w:tcPr>
          <w:p w14:paraId="62818E91" w14:textId="77777777" w:rsidR="007E073D" w:rsidRPr="00271DA5" w:rsidRDefault="007E073D">
            <w:pPr>
              <w:rPr>
                <w:sz w:val="22"/>
                <w:szCs w:val="22"/>
              </w:rPr>
            </w:pPr>
            <w:r w:rsidRPr="00271DA5">
              <w:rPr>
                <w:sz w:val="22"/>
                <w:szCs w:val="22"/>
              </w:rPr>
              <w:t>Lower middle-income countries</w:t>
            </w:r>
          </w:p>
        </w:tc>
        <w:tc>
          <w:tcPr>
            <w:tcW w:w="0" w:type="auto"/>
            <w:tcBorders>
              <w:top w:val="nil"/>
              <w:left w:val="nil"/>
              <w:bottom w:val="nil"/>
              <w:right w:val="nil"/>
            </w:tcBorders>
            <w:shd w:val="clear" w:color="auto" w:fill="auto"/>
            <w:noWrap/>
            <w:vAlign w:val="center"/>
            <w:hideMark/>
          </w:tcPr>
          <w:p w14:paraId="1F473CCD" w14:textId="77777777" w:rsidR="007E073D" w:rsidRPr="00271DA5" w:rsidRDefault="007E073D">
            <w:pPr>
              <w:rPr>
                <w:sz w:val="22"/>
                <w:szCs w:val="22"/>
              </w:rPr>
            </w:pPr>
            <w:r w:rsidRPr="00271DA5">
              <w:rPr>
                <w:sz w:val="22"/>
                <w:szCs w:val="22"/>
              </w:rPr>
              <w:t>1.54</w:t>
            </w:r>
          </w:p>
        </w:tc>
        <w:tc>
          <w:tcPr>
            <w:tcW w:w="0" w:type="auto"/>
            <w:tcBorders>
              <w:top w:val="nil"/>
              <w:left w:val="nil"/>
              <w:bottom w:val="nil"/>
              <w:right w:val="nil"/>
            </w:tcBorders>
            <w:shd w:val="clear" w:color="auto" w:fill="auto"/>
            <w:noWrap/>
            <w:vAlign w:val="center"/>
            <w:hideMark/>
          </w:tcPr>
          <w:p w14:paraId="0AF43C13" w14:textId="77777777" w:rsidR="007E073D" w:rsidRPr="00271DA5" w:rsidRDefault="007E073D">
            <w:pPr>
              <w:rPr>
                <w:sz w:val="22"/>
                <w:szCs w:val="22"/>
              </w:rPr>
            </w:pPr>
            <w:r w:rsidRPr="00271DA5">
              <w:rPr>
                <w:sz w:val="22"/>
                <w:szCs w:val="22"/>
              </w:rPr>
              <w:t>[1.37,1.74]</w:t>
            </w:r>
          </w:p>
        </w:tc>
        <w:tc>
          <w:tcPr>
            <w:tcW w:w="0" w:type="auto"/>
            <w:tcBorders>
              <w:top w:val="nil"/>
              <w:left w:val="nil"/>
              <w:bottom w:val="nil"/>
              <w:right w:val="nil"/>
            </w:tcBorders>
            <w:shd w:val="clear" w:color="auto" w:fill="auto"/>
            <w:noWrap/>
            <w:vAlign w:val="center"/>
            <w:hideMark/>
          </w:tcPr>
          <w:p w14:paraId="56B14FD6" w14:textId="77777777" w:rsidR="007E073D" w:rsidRPr="00271DA5" w:rsidRDefault="007E073D">
            <w:pPr>
              <w:rPr>
                <w:sz w:val="22"/>
                <w:szCs w:val="22"/>
              </w:rPr>
            </w:pPr>
            <w:r w:rsidRPr="00271DA5">
              <w:rPr>
                <w:sz w:val="22"/>
                <w:szCs w:val="22"/>
              </w:rPr>
              <w:t>&lt;0.001</w:t>
            </w:r>
          </w:p>
        </w:tc>
      </w:tr>
      <w:tr w:rsidR="00271DA5" w:rsidRPr="00271DA5" w14:paraId="05A16E9D" w14:textId="77777777" w:rsidTr="007E073D">
        <w:trPr>
          <w:trHeight w:val="280"/>
        </w:trPr>
        <w:tc>
          <w:tcPr>
            <w:tcW w:w="0" w:type="auto"/>
            <w:tcBorders>
              <w:top w:val="nil"/>
              <w:left w:val="nil"/>
              <w:bottom w:val="single" w:sz="4" w:space="0" w:color="auto"/>
              <w:right w:val="nil"/>
            </w:tcBorders>
            <w:shd w:val="clear" w:color="auto" w:fill="auto"/>
            <w:noWrap/>
            <w:vAlign w:val="center"/>
            <w:hideMark/>
          </w:tcPr>
          <w:p w14:paraId="0F566680" w14:textId="77777777" w:rsidR="007E073D" w:rsidRPr="00271DA5" w:rsidRDefault="007E073D">
            <w:pPr>
              <w:rPr>
                <w:sz w:val="22"/>
                <w:szCs w:val="22"/>
              </w:rPr>
            </w:pPr>
            <w:r w:rsidRPr="00271DA5">
              <w:rPr>
                <w:sz w:val="22"/>
                <w:szCs w:val="22"/>
              </w:rPr>
              <w:t> </w:t>
            </w:r>
          </w:p>
        </w:tc>
        <w:tc>
          <w:tcPr>
            <w:tcW w:w="0" w:type="auto"/>
            <w:tcBorders>
              <w:top w:val="nil"/>
              <w:left w:val="nil"/>
              <w:bottom w:val="single" w:sz="4" w:space="0" w:color="auto"/>
              <w:right w:val="nil"/>
            </w:tcBorders>
            <w:shd w:val="clear" w:color="auto" w:fill="auto"/>
            <w:noWrap/>
            <w:vAlign w:val="center"/>
            <w:hideMark/>
          </w:tcPr>
          <w:p w14:paraId="00A70675" w14:textId="77777777" w:rsidR="007E073D" w:rsidRPr="00271DA5" w:rsidRDefault="007E073D">
            <w:pPr>
              <w:rPr>
                <w:sz w:val="22"/>
                <w:szCs w:val="22"/>
              </w:rPr>
            </w:pPr>
            <w:r w:rsidRPr="00271DA5">
              <w:rPr>
                <w:sz w:val="22"/>
                <w:szCs w:val="22"/>
              </w:rPr>
              <w:t>Upper middle-income countries</w:t>
            </w:r>
          </w:p>
        </w:tc>
        <w:tc>
          <w:tcPr>
            <w:tcW w:w="0" w:type="auto"/>
            <w:tcBorders>
              <w:top w:val="nil"/>
              <w:left w:val="nil"/>
              <w:bottom w:val="single" w:sz="4" w:space="0" w:color="auto"/>
              <w:right w:val="nil"/>
            </w:tcBorders>
            <w:shd w:val="clear" w:color="auto" w:fill="auto"/>
            <w:noWrap/>
            <w:vAlign w:val="center"/>
            <w:hideMark/>
          </w:tcPr>
          <w:p w14:paraId="22AF74B2" w14:textId="77777777" w:rsidR="007E073D" w:rsidRPr="00271DA5" w:rsidRDefault="007E073D">
            <w:pPr>
              <w:rPr>
                <w:sz w:val="22"/>
                <w:szCs w:val="22"/>
              </w:rPr>
            </w:pPr>
            <w:r w:rsidRPr="00271DA5">
              <w:rPr>
                <w:sz w:val="22"/>
                <w:szCs w:val="22"/>
              </w:rPr>
              <w:t>1.93</w:t>
            </w:r>
          </w:p>
        </w:tc>
        <w:tc>
          <w:tcPr>
            <w:tcW w:w="0" w:type="auto"/>
            <w:tcBorders>
              <w:top w:val="nil"/>
              <w:left w:val="nil"/>
              <w:bottom w:val="single" w:sz="4" w:space="0" w:color="auto"/>
              <w:right w:val="nil"/>
            </w:tcBorders>
            <w:shd w:val="clear" w:color="auto" w:fill="auto"/>
            <w:noWrap/>
            <w:vAlign w:val="center"/>
            <w:hideMark/>
          </w:tcPr>
          <w:p w14:paraId="401CA15D" w14:textId="77777777" w:rsidR="007E073D" w:rsidRPr="00271DA5" w:rsidRDefault="007E073D">
            <w:pPr>
              <w:rPr>
                <w:sz w:val="22"/>
                <w:szCs w:val="22"/>
              </w:rPr>
            </w:pPr>
            <w:r w:rsidRPr="00271DA5">
              <w:rPr>
                <w:sz w:val="22"/>
                <w:szCs w:val="22"/>
              </w:rPr>
              <w:t>[1.67,2.23]</w:t>
            </w:r>
          </w:p>
        </w:tc>
        <w:tc>
          <w:tcPr>
            <w:tcW w:w="0" w:type="auto"/>
            <w:tcBorders>
              <w:top w:val="nil"/>
              <w:left w:val="nil"/>
              <w:bottom w:val="single" w:sz="4" w:space="0" w:color="auto"/>
              <w:right w:val="nil"/>
            </w:tcBorders>
            <w:shd w:val="clear" w:color="auto" w:fill="auto"/>
            <w:noWrap/>
            <w:vAlign w:val="center"/>
            <w:hideMark/>
          </w:tcPr>
          <w:p w14:paraId="256743D1" w14:textId="77777777" w:rsidR="007E073D" w:rsidRPr="00271DA5" w:rsidRDefault="007E073D">
            <w:pPr>
              <w:rPr>
                <w:sz w:val="22"/>
                <w:szCs w:val="22"/>
              </w:rPr>
            </w:pPr>
            <w:r w:rsidRPr="00271DA5">
              <w:rPr>
                <w:sz w:val="22"/>
                <w:szCs w:val="22"/>
              </w:rPr>
              <w:t>&lt;0.001</w:t>
            </w:r>
          </w:p>
        </w:tc>
      </w:tr>
    </w:tbl>
    <w:p w14:paraId="51911C1C" w14:textId="5B1D4CE9" w:rsidR="007E073D" w:rsidRPr="00271DA5" w:rsidRDefault="007E073D" w:rsidP="00C357E8">
      <w:pPr>
        <w:rPr>
          <w:bCs/>
          <w:sz w:val="20"/>
          <w:szCs w:val="20"/>
        </w:rPr>
      </w:pPr>
      <w:r w:rsidRPr="00271DA5">
        <w:rPr>
          <w:bCs/>
          <w:sz w:val="20"/>
          <w:szCs w:val="20"/>
        </w:rPr>
        <w:t>Abbreviation: OR Odds ratio; CI Confidence interval</w:t>
      </w:r>
    </w:p>
    <w:p w14:paraId="4AE6480F" w14:textId="33050F72" w:rsidR="007B719A" w:rsidRPr="00271DA5" w:rsidRDefault="007B719A" w:rsidP="007B719A">
      <w:pPr>
        <w:rPr>
          <w:sz w:val="20"/>
          <w:szCs w:val="20"/>
        </w:rPr>
      </w:pPr>
      <w:r w:rsidRPr="00271DA5">
        <w:rPr>
          <w:sz w:val="20"/>
          <w:szCs w:val="20"/>
        </w:rPr>
        <w:t>Models are adjusted for age, sex, marital status, education, household size, employment status, disability, and country, with the exception of the sex-stratified analysis which was not adjusted for sex.</w:t>
      </w:r>
    </w:p>
    <w:p w14:paraId="7125C3C7" w14:textId="77777777" w:rsidR="007E073D" w:rsidRPr="00271DA5" w:rsidRDefault="007E073D" w:rsidP="00387261">
      <w:pPr>
        <w:spacing w:line="480" w:lineRule="auto"/>
        <w:rPr>
          <w:b/>
        </w:rPr>
      </w:pPr>
    </w:p>
    <w:p w14:paraId="7947D8BC" w14:textId="198B21F1" w:rsidR="00C357E8" w:rsidRPr="00271DA5" w:rsidRDefault="00C357E8" w:rsidP="00387261">
      <w:pPr>
        <w:spacing w:line="480" w:lineRule="auto"/>
        <w:rPr>
          <w:b/>
        </w:rPr>
        <w:sectPr w:rsidR="00C357E8" w:rsidRPr="00271DA5" w:rsidSect="007E073D">
          <w:pgSz w:w="11900" w:h="16840"/>
          <w:pgMar w:top="720" w:right="1440" w:bottom="720" w:left="1440" w:header="720" w:footer="720" w:gutter="0"/>
          <w:cols w:space="720"/>
          <w:docGrid w:linePitch="360"/>
        </w:sectPr>
      </w:pPr>
    </w:p>
    <w:p w14:paraId="159041B7" w14:textId="02A3E4EB" w:rsidR="00C30F36" w:rsidRPr="00271DA5" w:rsidRDefault="00C30F36" w:rsidP="00697CD5">
      <w:pPr>
        <w:rPr>
          <w:b/>
        </w:rPr>
      </w:pPr>
      <w:r w:rsidRPr="00271DA5">
        <w:rPr>
          <w:noProof/>
          <w:lang w:val="es-ES" w:eastAsia="es-ES"/>
        </w:rPr>
        <w:lastRenderedPageBreak/>
        <w:drawing>
          <wp:inline distT="0" distB="0" distL="0" distR="0" wp14:anchorId="6491BB79" wp14:editId="73FDFACB">
            <wp:extent cx="5302250" cy="5054600"/>
            <wp:effectExtent l="0" t="0" r="6350" b="12700"/>
            <wp:docPr id="3" name="Chart 3" descr="Bar chart">
              <a:extLst xmlns:a="http://schemas.openxmlformats.org/drawingml/2006/main">
                <a:ext uri="{FF2B5EF4-FFF2-40B4-BE49-F238E27FC236}">
                  <a16:creationId xmlns:a16="http://schemas.microsoft.com/office/drawing/2014/main" id="{B3820A59-9B98-364F-A0AB-3BADA776CF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C9940AC" w14:textId="45F4BF11" w:rsidR="00B41E33" w:rsidRPr="00271DA5" w:rsidRDefault="00697CD5" w:rsidP="00697CD5">
      <w:r w:rsidRPr="00271DA5">
        <w:rPr>
          <w:b/>
          <w:bCs/>
        </w:rPr>
        <w:t xml:space="preserve">Figure 1 </w:t>
      </w:r>
      <w:r w:rsidR="00D32BBA" w:rsidRPr="00271DA5">
        <w:t>Prevalence of anxiety symptoms by number of caregiving activities</w:t>
      </w:r>
    </w:p>
    <w:p w14:paraId="5952C125" w14:textId="3D717719" w:rsidR="00D32BBA" w:rsidRPr="00271DA5" w:rsidRDefault="00107CED" w:rsidP="00697CD5">
      <w:pPr>
        <w:rPr>
          <w:sz w:val="20"/>
          <w:szCs w:val="20"/>
        </w:rPr>
      </w:pPr>
      <w:r w:rsidRPr="00271DA5">
        <w:rPr>
          <w:sz w:val="20"/>
          <w:szCs w:val="20"/>
        </w:rPr>
        <w:t>Bars denote 95% confidence interval.</w:t>
      </w:r>
    </w:p>
    <w:p w14:paraId="63C79877" w14:textId="77777777" w:rsidR="009F296B" w:rsidRPr="00271DA5" w:rsidRDefault="009F296B" w:rsidP="00697CD5">
      <w:pPr>
        <w:rPr>
          <w:sz w:val="20"/>
          <w:szCs w:val="20"/>
        </w:rPr>
      </w:pPr>
    </w:p>
    <w:p w14:paraId="2150AA5B" w14:textId="77777777" w:rsidR="00697CD5" w:rsidRPr="00271DA5" w:rsidRDefault="00697CD5" w:rsidP="00697CD5">
      <w:pPr>
        <w:rPr>
          <w:sz w:val="20"/>
          <w:szCs w:val="20"/>
        </w:rPr>
      </w:pPr>
    </w:p>
    <w:p w14:paraId="718EAF3A" w14:textId="7B30FC6C" w:rsidR="00697CD5" w:rsidRPr="00271DA5" w:rsidRDefault="00697CD5" w:rsidP="00B41E33">
      <w:pPr>
        <w:spacing w:line="480" w:lineRule="auto"/>
        <w:sectPr w:rsidR="00697CD5" w:rsidRPr="00271DA5" w:rsidSect="00CB0B05">
          <w:pgSz w:w="11900" w:h="16840"/>
          <w:pgMar w:top="1440" w:right="1440" w:bottom="1440" w:left="1440" w:header="720" w:footer="720" w:gutter="0"/>
          <w:cols w:space="720"/>
          <w:docGrid w:linePitch="360"/>
        </w:sectPr>
      </w:pPr>
    </w:p>
    <w:p w14:paraId="1424F6B7" w14:textId="642E5C68" w:rsidR="009F296B" w:rsidRPr="00271DA5" w:rsidRDefault="000C017C" w:rsidP="009F296B">
      <w:r w:rsidRPr="00271DA5">
        <w:rPr>
          <w:noProof/>
          <w:lang w:val="es-ES" w:eastAsia="es-ES"/>
        </w:rPr>
        <w:lastRenderedPageBreak/>
        <w:drawing>
          <wp:inline distT="0" distB="0" distL="0" distR="0" wp14:anchorId="79176C14" wp14:editId="2249D61A">
            <wp:extent cx="5727700" cy="4275455"/>
            <wp:effectExtent l="0" t="0" r="0" b="4445"/>
            <wp:docPr id="5" name="Picture 5"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pic:cNvPicPr/>
                  </pic:nvPicPr>
                  <pic:blipFill>
                    <a:blip r:embed="rId11"/>
                    <a:stretch>
                      <a:fillRect/>
                    </a:stretch>
                  </pic:blipFill>
                  <pic:spPr>
                    <a:xfrm>
                      <a:off x="0" y="0"/>
                      <a:ext cx="5727700" cy="4275455"/>
                    </a:xfrm>
                    <a:prstGeom prst="rect">
                      <a:avLst/>
                    </a:prstGeom>
                  </pic:spPr>
                </pic:pic>
              </a:graphicData>
            </a:graphic>
          </wp:inline>
        </w:drawing>
      </w:r>
    </w:p>
    <w:p w14:paraId="7C9F3A88" w14:textId="7283D211" w:rsidR="009F296B" w:rsidRPr="00271DA5" w:rsidRDefault="009F296B" w:rsidP="009F296B">
      <w:r w:rsidRPr="00271DA5">
        <w:rPr>
          <w:b/>
          <w:bCs/>
        </w:rPr>
        <w:t xml:space="preserve">Figure 2 </w:t>
      </w:r>
      <w:r w:rsidR="00806F25" w:rsidRPr="00271DA5">
        <w:t xml:space="preserve">Association between number of caregiving activities </w:t>
      </w:r>
      <w:r w:rsidR="00A2702E" w:rsidRPr="00271DA5">
        <w:t xml:space="preserve">(exposure) </w:t>
      </w:r>
      <w:r w:rsidR="00806F25" w:rsidRPr="00271DA5">
        <w:t>and anxiety symptoms (outcome) estimated by multivariable logistic regression</w:t>
      </w:r>
    </w:p>
    <w:p w14:paraId="4A63010C" w14:textId="14C7DE46" w:rsidR="009A1D80" w:rsidRPr="00271DA5" w:rsidRDefault="00EB5588" w:rsidP="009F296B">
      <w:pPr>
        <w:rPr>
          <w:sz w:val="20"/>
          <w:szCs w:val="20"/>
        </w:rPr>
      </w:pPr>
      <w:r w:rsidRPr="00271DA5">
        <w:rPr>
          <w:sz w:val="20"/>
          <w:szCs w:val="20"/>
        </w:rPr>
        <w:t>Abbreviation: OR Odds ratio; CI Confidence interval</w:t>
      </w:r>
    </w:p>
    <w:p w14:paraId="52A6D508" w14:textId="534DB530" w:rsidR="00EB5588" w:rsidRPr="00271DA5" w:rsidRDefault="009F1096" w:rsidP="009F296B">
      <w:pPr>
        <w:rPr>
          <w:sz w:val="20"/>
          <w:szCs w:val="20"/>
        </w:rPr>
      </w:pPr>
      <w:r w:rsidRPr="00271DA5">
        <w:rPr>
          <w:sz w:val="20"/>
          <w:szCs w:val="20"/>
        </w:rPr>
        <w:t>Reference category is no caregiving activities.</w:t>
      </w:r>
    </w:p>
    <w:p w14:paraId="672CC3E2" w14:textId="336CFFCD" w:rsidR="009F1096" w:rsidRPr="00271DA5" w:rsidRDefault="00923BC9" w:rsidP="009F296B">
      <w:pPr>
        <w:rPr>
          <w:sz w:val="20"/>
          <w:szCs w:val="20"/>
        </w:rPr>
      </w:pPr>
      <w:r w:rsidRPr="00271DA5">
        <w:rPr>
          <w:sz w:val="20"/>
          <w:szCs w:val="20"/>
        </w:rPr>
        <w:t>Model is adjusted for age, sex, marital status, education, household size, employment status, disability, and country.</w:t>
      </w:r>
    </w:p>
    <w:p w14:paraId="183E227B" w14:textId="77777777" w:rsidR="00A87ADC" w:rsidRPr="00271DA5" w:rsidRDefault="00A87ADC" w:rsidP="009F296B"/>
    <w:p w14:paraId="5BBB04F7" w14:textId="796AFB78" w:rsidR="00A87ADC" w:rsidRPr="00271DA5" w:rsidRDefault="00A87ADC" w:rsidP="009F296B">
      <w:pPr>
        <w:sectPr w:rsidR="00A87ADC" w:rsidRPr="00271DA5" w:rsidSect="00CB0B05">
          <w:pgSz w:w="11900" w:h="16840"/>
          <w:pgMar w:top="1440" w:right="1440" w:bottom="1440" w:left="1440" w:header="720" w:footer="720" w:gutter="0"/>
          <w:cols w:space="720"/>
          <w:docGrid w:linePitch="360"/>
        </w:sectPr>
      </w:pPr>
    </w:p>
    <w:p w14:paraId="108F225D" w14:textId="0A6CE39E" w:rsidR="009F296B" w:rsidRPr="00271DA5" w:rsidRDefault="001B20BA" w:rsidP="009F296B">
      <w:r>
        <w:rPr>
          <w:noProof/>
          <w:lang w:val="es-ES" w:eastAsia="es-ES"/>
        </w:rPr>
        <w:lastRenderedPageBreak/>
        <w:t>Chart</w:t>
      </w:r>
      <w:r w:rsidR="00A87ADC" w:rsidRPr="00271DA5">
        <w:rPr>
          <w:noProof/>
          <w:lang w:val="es-ES" w:eastAsia="es-ES"/>
        </w:rPr>
        <w:drawing>
          <wp:inline distT="0" distB="0" distL="0" distR="0" wp14:anchorId="62AD94D5" wp14:editId="05699751">
            <wp:extent cx="5727700" cy="7441565"/>
            <wp:effectExtent l="0" t="0" r="0" b="635"/>
            <wp:docPr id="4" name="Picture 4"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pic:cNvPicPr/>
                  </pic:nvPicPr>
                  <pic:blipFill>
                    <a:blip r:embed="rId12"/>
                    <a:stretch>
                      <a:fillRect/>
                    </a:stretch>
                  </pic:blipFill>
                  <pic:spPr>
                    <a:xfrm>
                      <a:off x="0" y="0"/>
                      <a:ext cx="5727700" cy="7441565"/>
                    </a:xfrm>
                    <a:prstGeom prst="rect">
                      <a:avLst/>
                    </a:prstGeom>
                  </pic:spPr>
                </pic:pic>
              </a:graphicData>
            </a:graphic>
          </wp:inline>
        </w:drawing>
      </w:r>
    </w:p>
    <w:p w14:paraId="25357864" w14:textId="5DF37918" w:rsidR="009E7436" w:rsidRPr="00271DA5" w:rsidRDefault="0016511E" w:rsidP="009E7436">
      <w:r w:rsidRPr="00271DA5">
        <w:rPr>
          <w:b/>
          <w:bCs/>
        </w:rPr>
        <w:t xml:space="preserve">Figure 3 </w:t>
      </w:r>
      <w:r w:rsidR="002443FF" w:rsidRPr="00271DA5">
        <w:t xml:space="preserve">Country-wise association between </w:t>
      </w:r>
      <w:r w:rsidR="00D07123" w:rsidRPr="00271DA5">
        <w:t xml:space="preserve">caregiving </w:t>
      </w:r>
      <w:r w:rsidR="00A2702E" w:rsidRPr="00271DA5">
        <w:t xml:space="preserve">(exposure) </w:t>
      </w:r>
      <w:r w:rsidR="00D07123" w:rsidRPr="00271DA5">
        <w:t xml:space="preserve">and anxiety </w:t>
      </w:r>
      <w:r w:rsidR="00806F25" w:rsidRPr="00271DA5">
        <w:t xml:space="preserve">symptoms </w:t>
      </w:r>
      <w:r w:rsidR="00D07123" w:rsidRPr="00271DA5">
        <w:t>(outcome) estimated by multivariable logistic regression adjusted for sex and age</w:t>
      </w:r>
    </w:p>
    <w:p w14:paraId="6765576A" w14:textId="4B2BCD89" w:rsidR="00D07123" w:rsidRPr="00271DA5" w:rsidRDefault="00D07123" w:rsidP="009E7436">
      <w:pPr>
        <w:rPr>
          <w:sz w:val="20"/>
          <w:szCs w:val="20"/>
        </w:rPr>
      </w:pPr>
      <w:r w:rsidRPr="00271DA5">
        <w:rPr>
          <w:sz w:val="20"/>
          <w:szCs w:val="20"/>
        </w:rPr>
        <w:t xml:space="preserve">Abbreviation: </w:t>
      </w:r>
      <w:r w:rsidR="00DD2F53" w:rsidRPr="00271DA5">
        <w:rPr>
          <w:sz w:val="20"/>
          <w:szCs w:val="20"/>
        </w:rPr>
        <w:t>OR Odds ratio; CI Confidence interval</w:t>
      </w:r>
    </w:p>
    <w:p w14:paraId="6A78ECD0" w14:textId="08B6046D" w:rsidR="00DD2F53" w:rsidRPr="00271DA5" w:rsidRDefault="0018276F" w:rsidP="009E7436">
      <w:pPr>
        <w:rPr>
          <w:sz w:val="20"/>
          <w:szCs w:val="20"/>
        </w:rPr>
      </w:pPr>
      <w:r w:rsidRPr="00271DA5">
        <w:rPr>
          <w:sz w:val="20"/>
          <w:szCs w:val="20"/>
        </w:rPr>
        <w:t>Overall estimate was obtained by meta-analysis with random effects.</w:t>
      </w:r>
    </w:p>
    <w:p w14:paraId="3C1E7850" w14:textId="77777777" w:rsidR="00B41E33" w:rsidRPr="00271DA5" w:rsidRDefault="00B41E33" w:rsidP="009E7436">
      <w:pPr>
        <w:rPr>
          <w:b/>
        </w:rPr>
      </w:pPr>
    </w:p>
    <w:p w14:paraId="3BC4F06F" w14:textId="77777777" w:rsidR="007C509C" w:rsidRPr="00271DA5" w:rsidRDefault="007C509C" w:rsidP="009E7436">
      <w:pPr>
        <w:rPr>
          <w:b/>
        </w:rPr>
      </w:pPr>
    </w:p>
    <w:p w14:paraId="0D489DEE" w14:textId="77777777" w:rsidR="007C509C" w:rsidRPr="00271DA5" w:rsidRDefault="007C509C" w:rsidP="00387261">
      <w:pPr>
        <w:spacing w:line="480" w:lineRule="auto"/>
        <w:rPr>
          <w:b/>
        </w:rPr>
        <w:sectPr w:rsidR="007C509C" w:rsidRPr="00271DA5" w:rsidSect="00CB0B05">
          <w:pgSz w:w="11900" w:h="16840"/>
          <w:pgMar w:top="1440" w:right="1440" w:bottom="1440" w:left="1440" w:header="720" w:footer="720" w:gutter="0"/>
          <w:cols w:space="720"/>
          <w:docGrid w:linePitch="360"/>
        </w:sectPr>
      </w:pPr>
    </w:p>
    <w:p w14:paraId="7ED84826" w14:textId="2520E522" w:rsidR="00D86403" w:rsidRPr="00271DA5" w:rsidRDefault="00D86403" w:rsidP="00DB4F08">
      <w:pPr>
        <w:pStyle w:val="Heading1"/>
      </w:pPr>
      <w:r w:rsidRPr="00271DA5">
        <w:lastRenderedPageBreak/>
        <w:t>A</w:t>
      </w:r>
      <w:r w:rsidR="00AC7E9E" w:rsidRPr="00271DA5">
        <w:t>PPENDIX</w:t>
      </w:r>
    </w:p>
    <w:p w14:paraId="7A031F5E" w14:textId="77777777" w:rsidR="00805E33" w:rsidRPr="00271DA5" w:rsidRDefault="00805E33" w:rsidP="00D86403">
      <w:pPr>
        <w:spacing w:before="100" w:after="100"/>
        <w:rPr>
          <w:b/>
        </w:rPr>
      </w:pPr>
    </w:p>
    <w:tbl>
      <w:tblPr>
        <w:tblW w:w="8061" w:type="dxa"/>
        <w:tblInd w:w="108" w:type="dxa"/>
        <w:tblLook w:val="04A0" w:firstRow="1" w:lastRow="0" w:firstColumn="1" w:lastColumn="0" w:noHBand="0" w:noVBand="1"/>
      </w:tblPr>
      <w:tblGrid>
        <w:gridCol w:w="4155"/>
        <w:gridCol w:w="2981"/>
        <w:gridCol w:w="925"/>
      </w:tblGrid>
      <w:tr w:rsidR="00271DA5" w:rsidRPr="00271DA5" w14:paraId="6E62FC1F" w14:textId="77777777" w:rsidTr="00262553">
        <w:trPr>
          <w:trHeight w:val="340"/>
        </w:trPr>
        <w:tc>
          <w:tcPr>
            <w:tcW w:w="8061" w:type="dxa"/>
            <w:gridSpan w:val="3"/>
            <w:tcBorders>
              <w:top w:val="nil"/>
              <w:left w:val="nil"/>
              <w:bottom w:val="single" w:sz="4" w:space="0" w:color="auto"/>
              <w:right w:val="nil"/>
            </w:tcBorders>
            <w:shd w:val="clear" w:color="auto" w:fill="auto"/>
            <w:noWrap/>
            <w:vAlign w:val="center"/>
            <w:hideMark/>
          </w:tcPr>
          <w:p w14:paraId="24230426" w14:textId="3E796B31" w:rsidR="00262553" w:rsidRPr="00271DA5" w:rsidRDefault="00262553">
            <w:r w:rsidRPr="00271DA5">
              <w:rPr>
                <w:b/>
                <w:bCs/>
              </w:rPr>
              <w:t>Table S</w:t>
            </w:r>
            <w:r w:rsidR="00805E33" w:rsidRPr="00271DA5">
              <w:rPr>
                <w:b/>
                <w:bCs/>
              </w:rPr>
              <w:t>1</w:t>
            </w:r>
            <w:r w:rsidRPr="00271DA5">
              <w:t xml:space="preserve"> Countries </w:t>
            </w:r>
            <w:r w:rsidR="00A2702E" w:rsidRPr="00271DA5">
              <w:t>included</w:t>
            </w:r>
            <w:r w:rsidRPr="00271DA5">
              <w:t xml:space="preserve"> in the study and sample size</w:t>
            </w:r>
          </w:p>
        </w:tc>
      </w:tr>
      <w:tr w:rsidR="00271DA5" w:rsidRPr="00271DA5" w14:paraId="09E146F5" w14:textId="77777777" w:rsidTr="000D6EA0">
        <w:trPr>
          <w:trHeight w:val="57"/>
        </w:trPr>
        <w:tc>
          <w:tcPr>
            <w:tcW w:w="4155" w:type="dxa"/>
            <w:tcBorders>
              <w:top w:val="nil"/>
              <w:left w:val="nil"/>
              <w:bottom w:val="double" w:sz="6" w:space="0" w:color="auto"/>
              <w:right w:val="nil"/>
            </w:tcBorders>
            <w:shd w:val="clear" w:color="auto" w:fill="auto"/>
            <w:noWrap/>
            <w:vAlign w:val="center"/>
            <w:hideMark/>
          </w:tcPr>
          <w:p w14:paraId="666F14B1" w14:textId="77777777" w:rsidR="00262553" w:rsidRPr="00271DA5" w:rsidRDefault="00262553">
            <w:pPr>
              <w:rPr>
                <w:sz w:val="22"/>
                <w:szCs w:val="22"/>
              </w:rPr>
            </w:pPr>
            <w:r w:rsidRPr="00271DA5">
              <w:rPr>
                <w:sz w:val="22"/>
                <w:szCs w:val="22"/>
              </w:rPr>
              <w:t>Country-income level</w:t>
            </w:r>
          </w:p>
        </w:tc>
        <w:tc>
          <w:tcPr>
            <w:tcW w:w="2981" w:type="dxa"/>
            <w:tcBorders>
              <w:top w:val="nil"/>
              <w:left w:val="nil"/>
              <w:bottom w:val="double" w:sz="6" w:space="0" w:color="auto"/>
              <w:right w:val="nil"/>
            </w:tcBorders>
            <w:shd w:val="clear" w:color="auto" w:fill="auto"/>
            <w:noWrap/>
            <w:vAlign w:val="center"/>
            <w:hideMark/>
          </w:tcPr>
          <w:p w14:paraId="4E79A5A3" w14:textId="7D3BF449" w:rsidR="00262553" w:rsidRPr="00271DA5" w:rsidRDefault="00937AE8">
            <w:pPr>
              <w:rPr>
                <w:sz w:val="22"/>
                <w:szCs w:val="22"/>
              </w:rPr>
            </w:pPr>
            <w:r w:rsidRPr="00271DA5">
              <w:rPr>
                <w:sz w:val="22"/>
                <w:szCs w:val="22"/>
              </w:rPr>
              <w:t>C</w:t>
            </w:r>
            <w:r w:rsidR="00262553" w:rsidRPr="00271DA5">
              <w:rPr>
                <w:sz w:val="22"/>
                <w:szCs w:val="22"/>
              </w:rPr>
              <w:t>ountry</w:t>
            </w:r>
          </w:p>
        </w:tc>
        <w:tc>
          <w:tcPr>
            <w:tcW w:w="925" w:type="dxa"/>
            <w:tcBorders>
              <w:top w:val="nil"/>
              <w:left w:val="nil"/>
              <w:bottom w:val="double" w:sz="6" w:space="0" w:color="auto"/>
              <w:right w:val="nil"/>
            </w:tcBorders>
            <w:shd w:val="clear" w:color="auto" w:fill="auto"/>
            <w:noWrap/>
            <w:vAlign w:val="center"/>
            <w:hideMark/>
          </w:tcPr>
          <w:p w14:paraId="2BD4482A" w14:textId="77777777" w:rsidR="00262553" w:rsidRPr="00271DA5" w:rsidRDefault="00262553">
            <w:pPr>
              <w:rPr>
                <w:sz w:val="22"/>
                <w:szCs w:val="22"/>
              </w:rPr>
            </w:pPr>
            <w:r w:rsidRPr="00271DA5">
              <w:rPr>
                <w:sz w:val="22"/>
                <w:szCs w:val="22"/>
              </w:rPr>
              <w:t>N</w:t>
            </w:r>
          </w:p>
        </w:tc>
      </w:tr>
      <w:tr w:rsidR="00271DA5" w:rsidRPr="00271DA5" w14:paraId="3F6452DA" w14:textId="77777777" w:rsidTr="000D6EA0">
        <w:trPr>
          <w:trHeight w:val="57"/>
        </w:trPr>
        <w:tc>
          <w:tcPr>
            <w:tcW w:w="4155" w:type="dxa"/>
            <w:tcBorders>
              <w:top w:val="nil"/>
              <w:left w:val="nil"/>
              <w:bottom w:val="nil"/>
              <w:right w:val="nil"/>
            </w:tcBorders>
            <w:shd w:val="clear" w:color="auto" w:fill="auto"/>
            <w:noWrap/>
            <w:vAlign w:val="center"/>
            <w:hideMark/>
          </w:tcPr>
          <w:p w14:paraId="226BD45C" w14:textId="77777777" w:rsidR="00262553" w:rsidRPr="00271DA5" w:rsidRDefault="00262553">
            <w:pPr>
              <w:rPr>
                <w:sz w:val="22"/>
                <w:szCs w:val="22"/>
              </w:rPr>
            </w:pPr>
            <w:r w:rsidRPr="00271DA5">
              <w:rPr>
                <w:sz w:val="22"/>
                <w:szCs w:val="22"/>
              </w:rPr>
              <w:t>Low-income countries</w:t>
            </w:r>
          </w:p>
        </w:tc>
        <w:tc>
          <w:tcPr>
            <w:tcW w:w="2981" w:type="dxa"/>
            <w:tcBorders>
              <w:top w:val="nil"/>
              <w:left w:val="nil"/>
              <w:bottom w:val="nil"/>
              <w:right w:val="nil"/>
            </w:tcBorders>
            <w:shd w:val="clear" w:color="auto" w:fill="auto"/>
            <w:noWrap/>
            <w:vAlign w:val="center"/>
            <w:hideMark/>
          </w:tcPr>
          <w:p w14:paraId="1DBE9F79" w14:textId="77777777" w:rsidR="00262553" w:rsidRPr="00271DA5" w:rsidRDefault="00262553">
            <w:pPr>
              <w:rPr>
                <w:sz w:val="22"/>
                <w:szCs w:val="22"/>
              </w:rPr>
            </w:pPr>
            <w:r w:rsidRPr="00271DA5">
              <w:rPr>
                <w:sz w:val="22"/>
                <w:szCs w:val="22"/>
              </w:rPr>
              <w:t>Bangladesh</w:t>
            </w:r>
          </w:p>
        </w:tc>
        <w:tc>
          <w:tcPr>
            <w:tcW w:w="925" w:type="dxa"/>
            <w:tcBorders>
              <w:top w:val="nil"/>
              <w:left w:val="nil"/>
              <w:bottom w:val="nil"/>
              <w:right w:val="nil"/>
            </w:tcBorders>
            <w:shd w:val="clear" w:color="auto" w:fill="auto"/>
            <w:noWrap/>
            <w:vAlign w:val="center"/>
            <w:hideMark/>
          </w:tcPr>
          <w:p w14:paraId="34F89476" w14:textId="77777777" w:rsidR="00262553" w:rsidRPr="00271DA5" w:rsidRDefault="00262553">
            <w:pPr>
              <w:rPr>
                <w:sz w:val="22"/>
                <w:szCs w:val="22"/>
              </w:rPr>
            </w:pPr>
            <w:r w:rsidRPr="00271DA5">
              <w:rPr>
                <w:sz w:val="22"/>
                <w:szCs w:val="22"/>
              </w:rPr>
              <w:t>5,942</w:t>
            </w:r>
          </w:p>
        </w:tc>
      </w:tr>
      <w:tr w:rsidR="00271DA5" w:rsidRPr="00271DA5" w14:paraId="44B8BDBA" w14:textId="77777777" w:rsidTr="000D6EA0">
        <w:trPr>
          <w:trHeight w:val="57"/>
        </w:trPr>
        <w:tc>
          <w:tcPr>
            <w:tcW w:w="4155" w:type="dxa"/>
            <w:tcBorders>
              <w:top w:val="nil"/>
              <w:left w:val="nil"/>
              <w:bottom w:val="nil"/>
              <w:right w:val="nil"/>
            </w:tcBorders>
            <w:shd w:val="clear" w:color="auto" w:fill="auto"/>
            <w:noWrap/>
            <w:vAlign w:val="center"/>
            <w:hideMark/>
          </w:tcPr>
          <w:p w14:paraId="06CB42D3"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3ECF5306" w14:textId="77777777" w:rsidR="00262553" w:rsidRPr="00271DA5" w:rsidRDefault="00262553">
            <w:pPr>
              <w:rPr>
                <w:sz w:val="22"/>
                <w:szCs w:val="22"/>
              </w:rPr>
            </w:pPr>
            <w:r w:rsidRPr="00271DA5">
              <w:rPr>
                <w:sz w:val="22"/>
                <w:szCs w:val="22"/>
              </w:rPr>
              <w:t>Burkina Faso</w:t>
            </w:r>
          </w:p>
        </w:tc>
        <w:tc>
          <w:tcPr>
            <w:tcW w:w="925" w:type="dxa"/>
            <w:tcBorders>
              <w:top w:val="nil"/>
              <w:left w:val="nil"/>
              <w:bottom w:val="nil"/>
              <w:right w:val="nil"/>
            </w:tcBorders>
            <w:shd w:val="clear" w:color="auto" w:fill="auto"/>
            <w:noWrap/>
            <w:vAlign w:val="center"/>
            <w:hideMark/>
          </w:tcPr>
          <w:p w14:paraId="32B0D3C3" w14:textId="77777777" w:rsidR="00262553" w:rsidRPr="00271DA5" w:rsidRDefault="00262553">
            <w:pPr>
              <w:rPr>
                <w:sz w:val="22"/>
                <w:szCs w:val="22"/>
              </w:rPr>
            </w:pPr>
            <w:r w:rsidRPr="00271DA5">
              <w:rPr>
                <w:sz w:val="22"/>
                <w:szCs w:val="22"/>
              </w:rPr>
              <w:t>4,948</w:t>
            </w:r>
          </w:p>
        </w:tc>
      </w:tr>
      <w:tr w:rsidR="00271DA5" w:rsidRPr="00271DA5" w14:paraId="5089358C" w14:textId="77777777" w:rsidTr="000D6EA0">
        <w:trPr>
          <w:trHeight w:val="57"/>
        </w:trPr>
        <w:tc>
          <w:tcPr>
            <w:tcW w:w="4155" w:type="dxa"/>
            <w:tcBorders>
              <w:top w:val="nil"/>
              <w:left w:val="nil"/>
              <w:bottom w:val="nil"/>
              <w:right w:val="nil"/>
            </w:tcBorders>
            <w:shd w:val="clear" w:color="auto" w:fill="auto"/>
            <w:noWrap/>
            <w:vAlign w:val="center"/>
            <w:hideMark/>
          </w:tcPr>
          <w:p w14:paraId="7E5352E5"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5DA02296" w14:textId="77777777" w:rsidR="00262553" w:rsidRPr="00271DA5" w:rsidRDefault="00262553">
            <w:pPr>
              <w:rPr>
                <w:sz w:val="22"/>
                <w:szCs w:val="22"/>
              </w:rPr>
            </w:pPr>
            <w:r w:rsidRPr="00271DA5">
              <w:rPr>
                <w:sz w:val="22"/>
                <w:szCs w:val="22"/>
              </w:rPr>
              <w:t>Chad</w:t>
            </w:r>
          </w:p>
        </w:tc>
        <w:tc>
          <w:tcPr>
            <w:tcW w:w="925" w:type="dxa"/>
            <w:tcBorders>
              <w:top w:val="nil"/>
              <w:left w:val="nil"/>
              <w:bottom w:val="nil"/>
              <w:right w:val="nil"/>
            </w:tcBorders>
            <w:shd w:val="clear" w:color="auto" w:fill="auto"/>
            <w:noWrap/>
            <w:vAlign w:val="center"/>
            <w:hideMark/>
          </w:tcPr>
          <w:p w14:paraId="635BB705" w14:textId="77777777" w:rsidR="00262553" w:rsidRPr="00271DA5" w:rsidRDefault="00262553">
            <w:pPr>
              <w:rPr>
                <w:sz w:val="22"/>
                <w:szCs w:val="22"/>
              </w:rPr>
            </w:pPr>
            <w:r w:rsidRPr="00271DA5">
              <w:rPr>
                <w:sz w:val="22"/>
                <w:szCs w:val="22"/>
              </w:rPr>
              <w:t>4,870</w:t>
            </w:r>
          </w:p>
        </w:tc>
      </w:tr>
      <w:tr w:rsidR="00271DA5" w:rsidRPr="00271DA5" w14:paraId="0E5F16D9" w14:textId="77777777" w:rsidTr="000D6EA0">
        <w:trPr>
          <w:trHeight w:val="57"/>
        </w:trPr>
        <w:tc>
          <w:tcPr>
            <w:tcW w:w="4155" w:type="dxa"/>
            <w:tcBorders>
              <w:top w:val="nil"/>
              <w:left w:val="nil"/>
              <w:bottom w:val="nil"/>
              <w:right w:val="nil"/>
            </w:tcBorders>
            <w:shd w:val="clear" w:color="auto" w:fill="auto"/>
            <w:noWrap/>
            <w:vAlign w:val="center"/>
            <w:hideMark/>
          </w:tcPr>
          <w:p w14:paraId="3AD829EE"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11CD62C9" w14:textId="77777777" w:rsidR="00262553" w:rsidRPr="00271DA5" w:rsidRDefault="00262553">
            <w:pPr>
              <w:rPr>
                <w:sz w:val="22"/>
                <w:szCs w:val="22"/>
              </w:rPr>
            </w:pPr>
            <w:r w:rsidRPr="00271DA5">
              <w:rPr>
                <w:sz w:val="22"/>
                <w:szCs w:val="22"/>
              </w:rPr>
              <w:t>Comoros</w:t>
            </w:r>
          </w:p>
        </w:tc>
        <w:tc>
          <w:tcPr>
            <w:tcW w:w="925" w:type="dxa"/>
            <w:tcBorders>
              <w:top w:val="nil"/>
              <w:left w:val="nil"/>
              <w:bottom w:val="nil"/>
              <w:right w:val="nil"/>
            </w:tcBorders>
            <w:shd w:val="clear" w:color="auto" w:fill="auto"/>
            <w:noWrap/>
            <w:vAlign w:val="center"/>
            <w:hideMark/>
          </w:tcPr>
          <w:p w14:paraId="0F536BE6" w14:textId="77777777" w:rsidR="00262553" w:rsidRPr="00271DA5" w:rsidRDefault="00262553">
            <w:pPr>
              <w:rPr>
                <w:sz w:val="22"/>
                <w:szCs w:val="22"/>
              </w:rPr>
            </w:pPr>
            <w:r w:rsidRPr="00271DA5">
              <w:rPr>
                <w:sz w:val="22"/>
                <w:szCs w:val="22"/>
              </w:rPr>
              <w:t>1,836</w:t>
            </w:r>
          </w:p>
        </w:tc>
      </w:tr>
      <w:tr w:rsidR="00271DA5" w:rsidRPr="00271DA5" w14:paraId="0B649355" w14:textId="77777777" w:rsidTr="000D6EA0">
        <w:trPr>
          <w:trHeight w:val="57"/>
        </w:trPr>
        <w:tc>
          <w:tcPr>
            <w:tcW w:w="4155" w:type="dxa"/>
            <w:tcBorders>
              <w:top w:val="nil"/>
              <w:left w:val="nil"/>
              <w:bottom w:val="nil"/>
              <w:right w:val="nil"/>
            </w:tcBorders>
            <w:shd w:val="clear" w:color="auto" w:fill="auto"/>
            <w:noWrap/>
            <w:vAlign w:val="center"/>
            <w:hideMark/>
          </w:tcPr>
          <w:p w14:paraId="70FC3076"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15DC1076" w14:textId="77777777" w:rsidR="00262553" w:rsidRPr="00271DA5" w:rsidRDefault="00262553">
            <w:pPr>
              <w:rPr>
                <w:sz w:val="22"/>
                <w:szCs w:val="22"/>
              </w:rPr>
            </w:pPr>
            <w:r w:rsidRPr="00271DA5">
              <w:rPr>
                <w:sz w:val="22"/>
                <w:szCs w:val="22"/>
              </w:rPr>
              <w:t>Ethiopia</w:t>
            </w:r>
          </w:p>
        </w:tc>
        <w:tc>
          <w:tcPr>
            <w:tcW w:w="925" w:type="dxa"/>
            <w:tcBorders>
              <w:top w:val="nil"/>
              <w:left w:val="nil"/>
              <w:bottom w:val="nil"/>
              <w:right w:val="nil"/>
            </w:tcBorders>
            <w:shd w:val="clear" w:color="auto" w:fill="auto"/>
            <w:noWrap/>
            <w:vAlign w:val="center"/>
            <w:hideMark/>
          </w:tcPr>
          <w:p w14:paraId="3670406E" w14:textId="77777777" w:rsidR="00262553" w:rsidRPr="00271DA5" w:rsidRDefault="00262553">
            <w:pPr>
              <w:rPr>
                <w:sz w:val="22"/>
                <w:szCs w:val="22"/>
              </w:rPr>
            </w:pPr>
            <w:r w:rsidRPr="00271DA5">
              <w:rPr>
                <w:sz w:val="22"/>
                <w:szCs w:val="22"/>
              </w:rPr>
              <w:t>5,089</w:t>
            </w:r>
          </w:p>
        </w:tc>
      </w:tr>
      <w:tr w:rsidR="00271DA5" w:rsidRPr="00271DA5" w14:paraId="631C52E2" w14:textId="77777777" w:rsidTr="000D6EA0">
        <w:trPr>
          <w:trHeight w:val="57"/>
        </w:trPr>
        <w:tc>
          <w:tcPr>
            <w:tcW w:w="4155" w:type="dxa"/>
            <w:tcBorders>
              <w:top w:val="nil"/>
              <w:left w:val="nil"/>
              <w:bottom w:val="nil"/>
              <w:right w:val="nil"/>
            </w:tcBorders>
            <w:shd w:val="clear" w:color="auto" w:fill="auto"/>
            <w:noWrap/>
            <w:vAlign w:val="center"/>
            <w:hideMark/>
          </w:tcPr>
          <w:p w14:paraId="2C74CF6A"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1845DD71" w14:textId="77777777" w:rsidR="00262553" w:rsidRPr="00271DA5" w:rsidRDefault="00262553">
            <w:pPr>
              <w:rPr>
                <w:sz w:val="22"/>
                <w:szCs w:val="22"/>
              </w:rPr>
            </w:pPr>
            <w:r w:rsidRPr="00271DA5">
              <w:rPr>
                <w:sz w:val="22"/>
                <w:szCs w:val="22"/>
              </w:rPr>
              <w:t>Ghana</w:t>
            </w:r>
          </w:p>
        </w:tc>
        <w:tc>
          <w:tcPr>
            <w:tcW w:w="925" w:type="dxa"/>
            <w:tcBorders>
              <w:top w:val="nil"/>
              <w:left w:val="nil"/>
              <w:bottom w:val="nil"/>
              <w:right w:val="nil"/>
            </w:tcBorders>
            <w:shd w:val="clear" w:color="auto" w:fill="auto"/>
            <w:noWrap/>
            <w:vAlign w:val="center"/>
            <w:hideMark/>
          </w:tcPr>
          <w:p w14:paraId="4B4CF9EA" w14:textId="77777777" w:rsidR="00262553" w:rsidRPr="00271DA5" w:rsidRDefault="00262553">
            <w:pPr>
              <w:rPr>
                <w:sz w:val="22"/>
                <w:szCs w:val="22"/>
              </w:rPr>
            </w:pPr>
            <w:r w:rsidRPr="00271DA5">
              <w:rPr>
                <w:sz w:val="22"/>
                <w:szCs w:val="22"/>
              </w:rPr>
              <w:t>4,165</w:t>
            </w:r>
          </w:p>
        </w:tc>
      </w:tr>
      <w:tr w:rsidR="00271DA5" w:rsidRPr="00271DA5" w14:paraId="39FD5306" w14:textId="77777777" w:rsidTr="000D6EA0">
        <w:trPr>
          <w:trHeight w:val="57"/>
        </w:trPr>
        <w:tc>
          <w:tcPr>
            <w:tcW w:w="4155" w:type="dxa"/>
            <w:tcBorders>
              <w:top w:val="nil"/>
              <w:left w:val="nil"/>
              <w:bottom w:val="nil"/>
              <w:right w:val="nil"/>
            </w:tcBorders>
            <w:shd w:val="clear" w:color="auto" w:fill="auto"/>
            <w:noWrap/>
            <w:vAlign w:val="center"/>
            <w:hideMark/>
          </w:tcPr>
          <w:p w14:paraId="50A48FE0"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5430742B" w14:textId="77777777" w:rsidR="00262553" w:rsidRPr="00271DA5" w:rsidRDefault="00262553">
            <w:pPr>
              <w:rPr>
                <w:sz w:val="22"/>
                <w:szCs w:val="22"/>
              </w:rPr>
            </w:pPr>
            <w:r w:rsidRPr="00271DA5">
              <w:rPr>
                <w:sz w:val="22"/>
                <w:szCs w:val="22"/>
              </w:rPr>
              <w:t>India</w:t>
            </w:r>
          </w:p>
        </w:tc>
        <w:tc>
          <w:tcPr>
            <w:tcW w:w="925" w:type="dxa"/>
            <w:tcBorders>
              <w:top w:val="nil"/>
              <w:left w:val="nil"/>
              <w:bottom w:val="nil"/>
              <w:right w:val="nil"/>
            </w:tcBorders>
            <w:shd w:val="clear" w:color="auto" w:fill="auto"/>
            <w:noWrap/>
            <w:vAlign w:val="center"/>
            <w:hideMark/>
          </w:tcPr>
          <w:p w14:paraId="61E56FC2" w14:textId="77777777" w:rsidR="00262553" w:rsidRPr="00271DA5" w:rsidRDefault="00262553">
            <w:pPr>
              <w:rPr>
                <w:sz w:val="22"/>
                <w:szCs w:val="22"/>
              </w:rPr>
            </w:pPr>
            <w:r w:rsidRPr="00271DA5">
              <w:rPr>
                <w:sz w:val="22"/>
                <w:szCs w:val="22"/>
              </w:rPr>
              <w:t>10,687</w:t>
            </w:r>
          </w:p>
        </w:tc>
      </w:tr>
      <w:tr w:rsidR="00271DA5" w:rsidRPr="00271DA5" w14:paraId="566BD8F2" w14:textId="77777777" w:rsidTr="000D6EA0">
        <w:trPr>
          <w:trHeight w:val="57"/>
        </w:trPr>
        <w:tc>
          <w:tcPr>
            <w:tcW w:w="4155" w:type="dxa"/>
            <w:tcBorders>
              <w:top w:val="nil"/>
              <w:left w:val="nil"/>
              <w:bottom w:val="nil"/>
              <w:right w:val="nil"/>
            </w:tcBorders>
            <w:shd w:val="clear" w:color="auto" w:fill="auto"/>
            <w:noWrap/>
            <w:vAlign w:val="center"/>
            <w:hideMark/>
          </w:tcPr>
          <w:p w14:paraId="4666D616"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722FD9B7" w14:textId="77777777" w:rsidR="00262553" w:rsidRPr="00271DA5" w:rsidRDefault="00262553">
            <w:pPr>
              <w:rPr>
                <w:sz w:val="22"/>
                <w:szCs w:val="22"/>
              </w:rPr>
            </w:pPr>
            <w:r w:rsidRPr="00271DA5">
              <w:rPr>
                <w:sz w:val="22"/>
                <w:szCs w:val="22"/>
              </w:rPr>
              <w:t>Ivory Coast</w:t>
            </w:r>
          </w:p>
        </w:tc>
        <w:tc>
          <w:tcPr>
            <w:tcW w:w="925" w:type="dxa"/>
            <w:tcBorders>
              <w:top w:val="nil"/>
              <w:left w:val="nil"/>
              <w:bottom w:val="nil"/>
              <w:right w:val="nil"/>
            </w:tcBorders>
            <w:shd w:val="clear" w:color="auto" w:fill="auto"/>
            <w:noWrap/>
            <w:vAlign w:val="center"/>
            <w:hideMark/>
          </w:tcPr>
          <w:p w14:paraId="30C02583" w14:textId="77777777" w:rsidR="00262553" w:rsidRPr="00271DA5" w:rsidRDefault="00262553">
            <w:pPr>
              <w:rPr>
                <w:sz w:val="22"/>
                <w:szCs w:val="22"/>
              </w:rPr>
            </w:pPr>
            <w:r w:rsidRPr="00271DA5">
              <w:rPr>
                <w:sz w:val="22"/>
                <w:szCs w:val="22"/>
              </w:rPr>
              <w:t>3,251</w:t>
            </w:r>
          </w:p>
        </w:tc>
      </w:tr>
      <w:tr w:rsidR="00271DA5" w:rsidRPr="00271DA5" w14:paraId="73F5F190" w14:textId="77777777" w:rsidTr="000D6EA0">
        <w:trPr>
          <w:trHeight w:val="57"/>
        </w:trPr>
        <w:tc>
          <w:tcPr>
            <w:tcW w:w="4155" w:type="dxa"/>
            <w:tcBorders>
              <w:top w:val="nil"/>
              <w:left w:val="nil"/>
              <w:bottom w:val="nil"/>
              <w:right w:val="nil"/>
            </w:tcBorders>
            <w:shd w:val="clear" w:color="auto" w:fill="auto"/>
            <w:noWrap/>
            <w:vAlign w:val="center"/>
            <w:hideMark/>
          </w:tcPr>
          <w:p w14:paraId="026EAB43"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6AACD9AB" w14:textId="77777777" w:rsidR="00262553" w:rsidRPr="00271DA5" w:rsidRDefault="00262553">
            <w:pPr>
              <w:rPr>
                <w:sz w:val="22"/>
                <w:szCs w:val="22"/>
              </w:rPr>
            </w:pPr>
            <w:r w:rsidRPr="00271DA5">
              <w:rPr>
                <w:sz w:val="22"/>
                <w:szCs w:val="22"/>
              </w:rPr>
              <w:t>Kenya</w:t>
            </w:r>
          </w:p>
        </w:tc>
        <w:tc>
          <w:tcPr>
            <w:tcW w:w="925" w:type="dxa"/>
            <w:tcBorders>
              <w:top w:val="nil"/>
              <w:left w:val="nil"/>
              <w:bottom w:val="nil"/>
              <w:right w:val="nil"/>
            </w:tcBorders>
            <w:shd w:val="clear" w:color="auto" w:fill="auto"/>
            <w:noWrap/>
            <w:vAlign w:val="center"/>
            <w:hideMark/>
          </w:tcPr>
          <w:p w14:paraId="04275509" w14:textId="77777777" w:rsidR="00262553" w:rsidRPr="00271DA5" w:rsidRDefault="00262553">
            <w:pPr>
              <w:rPr>
                <w:sz w:val="22"/>
                <w:szCs w:val="22"/>
              </w:rPr>
            </w:pPr>
            <w:r w:rsidRPr="00271DA5">
              <w:rPr>
                <w:sz w:val="22"/>
                <w:szCs w:val="22"/>
              </w:rPr>
              <w:t>4,640</w:t>
            </w:r>
          </w:p>
        </w:tc>
      </w:tr>
      <w:tr w:rsidR="00271DA5" w:rsidRPr="00271DA5" w14:paraId="7E749256" w14:textId="77777777" w:rsidTr="000D6EA0">
        <w:trPr>
          <w:trHeight w:val="57"/>
        </w:trPr>
        <w:tc>
          <w:tcPr>
            <w:tcW w:w="4155" w:type="dxa"/>
            <w:tcBorders>
              <w:top w:val="nil"/>
              <w:left w:val="nil"/>
              <w:bottom w:val="nil"/>
              <w:right w:val="nil"/>
            </w:tcBorders>
            <w:shd w:val="clear" w:color="auto" w:fill="auto"/>
            <w:noWrap/>
            <w:vAlign w:val="center"/>
            <w:hideMark/>
          </w:tcPr>
          <w:p w14:paraId="3D412377"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06FA5357" w14:textId="77777777" w:rsidR="00262553" w:rsidRPr="00271DA5" w:rsidRDefault="00262553">
            <w:pPr>
              <w:rPr>
                <w:sz w:val="22"/>
                <w:szCs w:val="22"/>
              </w:rPr>
            </w:pPr>
            <w:r w:rsidRPr="00271DA5">
              <w:rPr>
                <w:sz w:val="22"/>
                <w:szCs w:val="22"/>
              </w:rPr>
              <w:t>Laos</w:t>
            </w:r>
          </w:p>
        </w:tc>
        <w:tc>
          <w:tcPr>
            <w:tcW w:w="925" w:type="dxa"/>
            <w:tcBorders>
              <w:top w:val="nil"/>
              <w:left w:val="nil"/>
              <w:bottom w:val="nil"/>
              <w:right w:val="nil"/>
            </w:tcBorders>
            <w:shd w:val="clear" w:color="auto" w:fill="auto"/>
            <w:noWrap/>
            <w:vAlign w:val="center"/>
            <w:hideMark/>
          </w:tcPr>
          <w:p w14:paraId="4C5BF28B" w14:textId="77777777" w:rsidR="00262553" w:rsidRPr="00271DA5" w:rsidRDefault="00262553">
            <w:pPr>
              <w:rPr>
                <w:sz w:val="22"/>
                <w:szCs w:val="22"/>
              </w:rPr>
            </w:pPr>
            <w:r w:rsidRPr="00271DA5">
              <w:rPr>
                <w:sz w:val="22"/>
                <w:szCs w:val="22"/>
              </w:rPr>
              <w:t>4,988</w:t>
            </w:r>
          </w:p>
        </w:tc>
      </w:tr>
      <w:tr w:rsidR="00271DA5" w:rsidRPr="00271DA5" w14:paraId="56D8CD2B" w14:textId="77777777" w:rsidTr="000D6EA0">
        <w:trPr>
          <w:trHeight w:val="57"/>
        </w:trPr>
        <w:tc>
          <w:tcPr>
            <w:tcW w:w="4155" w:type="dxa"/>
            <w:tcBorders>
              <w:top w:val="nil"/>
              <w:left w:val="nil"/>
              <w:bottom w:val="nil"/>
              <w:right w:val="nil"/>
            </w:tcBorders>
            <w:shd w:val="clear" w:color="auto" w:fill="auto"/>
            <w:noWrap/>
            <w:vAlign w:val="center"/>
            <w:hideMark/>
          </w:tcPr>
          <w:p w14:paraId="591EF742"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14008F4C" w14:textId="77777777" w:rsidR="00262553" w:rsidRPr="00271DA5" w:rsidRDefault="00262553">
            <w:pPr>
              <w:rPr>
                <w:sz w:val="22"/>
                <w:szCs w:val="22"/>
              </w:rPr>
            </w:pPr>
            <w:r w:rsidRPr="00271DA5">
              <w:rPr>
                <w:sz w:val="22"/>
                <w:szCs w:val="22"/>
              </w:rPr>
              <w:t>Malawi</w:t>
            </w:r>
          </w:p>
        </w:tc>
        <w:tc>
          <w:tcPr>
            <w:tcW w:w="925" w:type="dxa"/>
            <w:tcBorders>
              <w:top w:val="nil"/>
              <w:left w:val="nil"/>
              <w:bottom w:val="nil"/>
              <w:right w:val="nil"/>
            </w:tcBorders>
            <w:shd w:val="clear" w:color="auto" w:fill="auto"/>
            <w:noWrap/>
            <w:vAlign w:val="center"/>
            <w:hideMark/>
          </w:tcPr>
          <w:p w14:paraId="748614CC" w14:textId="77777777" w:rsidR="00262553" w:rsidRPr="00271DA5" w:rsidRDefault="00262553">
            <w:pPr>
              <w:rPr>
                <w:sz w:val="22"/>
                <w:szCs w:val="22"/>
              </w:rPr>
            </w:pPr>
            <w:r w:rsidRPr="00271DA5">
              <w:rPr>
                <w:sz w:val="22"/>
                <w:szCs w:val="22"/>
              </w:rPr>
              <w:t>5,551</w:t>
            </w:r>
          </w:p>
        </w:tc>
      </w:tr>
      <w:tr w:rsidR="00271DA5" w:rsidRPr="00271DA5" w14:paraId="123B2333" w14:textId="77777777" w:rsidTr="000D6EA0">
        <w:trPr>
          <w:trHeight w:val="57"/>
        </w:trPr>
        <w:tc>
          <w:tcPr>
            <w:tcW w:w="4155" w:type="dxa"/>
            <w:tcBorders>
              <w:top w:val="nil"/>
              <w:left w:val="nil"/>
              <w:bottom w:val="nil"/>
              <w:right w:val="nil"/>
            </w:tcBorders>
            <w:shd w:val="clear" w:color="auto" w:fill="auto"/>
            <w:noWrap/>
            <w:vAlign w:val="center"/>
            <w:hideMark/>
          </w:tcPr>
          <w:p w14:paraId="5643DC96"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04724AE6" w14:textId="77777777" w:rsidR="00262553" w:rsidRPr="00271DA5" w:rsidRDefault="00262553">
            <w:pPr>
              <w:rPr>
                <w:sz w:val="22"/>
                <w:szCs w:val="22"/>
              </w:rPr>
            </w:pPr>
            <w:r w:rsidRPr="00271DA5">
              <w:rPr>
                <w:sz w:val="22"/>
                <w:szCs w:val="22"/>
              </w:rPr>
              <w:t>Mali</w:t>
            </w:r>
          </w:p>
        </w:tc>
        <w:tc>
          <w:tcPr>
            <w:tcW w:w="925" w:type="dxa"/>
            <w:tcBorders>
              <w:top w:val="nil"/>
              <w:left w:val="nil"/>
              <w:bottom w:val="nil"/>
              <w:right w:val="nil"/>
            </w:tcBorders>
            <w:shd w:val="clear" w:color="auto" w:fill="auto"/>
            <w:noWrap/>
            <w:vAlign w:val="center"/>
            <w:hideMark/>
          </w:tcPr>
          <w:p w14:paraId="2FB01C51" w14:textId="77777777" w:rsidR="00262553" w:rsidRPr="00271DA5" w:rsidRDefault="00262553">
            <w:pPr>
              <w:rPr>
                <w:sz w:val="22"/>
                <w:szCs w:val="22"/>
              </w:rPr>
            </w:pPr>
            <w:r w:rsidRPr="00271DA5">
              <w:rPr>
                <w:sz w:val="22"/>
                <w:szCs w:val="22"/>
              </w:rPr>
              <w:t>4,886</w:t>
            </w:r>
          </w:p>
        </w:tc>
      </w:tr>
      <w:tr w:rsidR="00271DA5" w:rsidRPr="00271DA5" w14:paraId="61D74D51" w14:textId="77777777" w:rsidTr="000D6EA0">
        <w:trPr>
          <w:trHeight w:val="57"/>
        </w:trPr>
        <w:tc>
          <w:tcPr>
            <w:tcW w:w="4155" w:type="dxa"/>
            <w:tcBorders>
              <w:top w:val="nil"/>
              <w:left w:val="nil"/>
              <w:bottom w:val="nil"/>
              <w:right w:val="nil"/>
            </w:tcBorders>
            <w:shd w:val="clear" w:color="auto" w:fill="auto"/>
            <w:noWrap/>
            <w:vAlign w:val="center"/>
            <w:hideMark/>
          </w:tcPr>
          <w:p w14:paraId="01C211DB"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0D33A620" w14:textId="77777777" w:rsidR="00262553" w:rsidRPr="00271DA5" w:rsidRDefault="00262553">
            <w:pPr>
              <w:rPr>
                <w:sz w:val="22"/>
                <w:szCs w:val="22"/>
              </w:rPr>
            </w:pPr>
            <w:r w:rsidRPr="00271DA5">
              <w:rPr>
                <w:sz w:val="22"/>
                <w:szCs w:val="22"/>
              </w:rPr>
              <w:t>Mauritania</w:t>
            </w:r>
          </w:p>
        </w:tc>
        <w:tc>
          <w:tcPr>
            <w:tcW w:w="925" w:type="dxa"/>
            <w:tcBorders>
              <w:top w:val="nil"/>
              <w:left w:val="nil"/>
              <w:bottom w:val="nil"/>
              <w:right w:val="nil"/>
            </w:tcBorders>
            <w:shd w:val="clear" w:color="auto" w:fill="auto"/>
            <w:noWrap/>
            <w:vAlign w:val="center"/>
            <w:hideMark/>
          </w:tcPr>
          <w:p w14:paraId="1178C982" w14:textId="77777777" w:rsidR="00262553" w:rsidRPr="00271DA5" w:rsidRDefault="00262553">
            <w:pPr>
              <w:rPr>
                <w:sz w:val="22"/>
                <w:szCs w:val="22"/>
              </w:rPr>
            </w:pPr>
            <w:r w:rsidRPr="00271DA5">
              <w:rPr>
                <w:sz w:val="22"/>
                <w:szCs w:val="22"/>
              </w:rPr>
              <w:t>3,902</w:t>
            </w:r>
          </w:p>
        </w:tc>
      </w:tr>
      <w:tr w:rsidR="00271DA5" w:rsidRPr="00271DA5" w14:paraId="48EB4CE6" w14:textId="77777777" w:rsidTr="000D6EA0">
        <w:trPr>
          <w:trHeight w:val="57"/>
        </w:trPr>
        <w:tc>
          <w:tcPr>
            <w:tcW w:w="4155" w:type="dxa"/>
            <w:tcBorders>
              <w:top w:val="nil"/>
              <w:left w:val="nil"/>
              <w:bottom w:val="nil"/>
              <w:right w:val="nil"/>
            </w:tcBorders>
            <w:shd w:val="clear" w:color="auto" w:fill="auto"/>
            <w:noWrap/>
            <w:vAlign w:val="center"/>
            <w:hideMark/>
          </w:tcPr>
          <w:p w14:paraId="1BBE09DC"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648D0E98" w14:textId="77777777" w:rsidR="00262553" w:rsidRPr="00271DA5" w:rsidRDefault="00262553">
            <w:pPr>
              <w:rPr>
                <w:sz w:val="22"/>
                <w:szCs w:val="22"/>
              </w:rPr>
            </w:pPr>
            <w:r w:rsidRPr="00271DA5">
              <w:rPr>
                <w:sz w:val="22"/>
                <w:szCs w:val="22"/>
              </w:rPr>
              <w:t>Myanmar</w:t>
            </w:r>
          </w:p>
        </w:tc>
        <w:tc>
          <w:tcPr>
            <w:tcW w:w="925" w:type="dxa"/>
            <w:tcBorders>
              <w:top w:val="nil"/>
              <w:left w:val="nil"/>
              <w:bottom w:val="nil"/>
              <w:right w:val="nil"/>
            </w:tcBorders>
            <w:shd w:val="clear" w:color="auto" w:fill="auto"/>
            <w:noWrap/>
            <w:vAlign w:val="center"/>
            <w:hideMark/>
          </w:tcPr>
          <w:p w14:paraId="1275B69C" w14:textId="77777777" w:rsidR="00262553" w:rsidRPr="00271DA5" w:rsidRDefault="00262553">
            <w:pPr>
              <w:rPr>
                <w:sz w:val="22"/>
                <w:szCs w:val="22"/>
              </w:rPr>
            </w:pPr>
            <w:r w:rsidRPr="00271DA5">
              <w:rPr>
                <w:sz w:val="22"/>
                <w:szCs w:val="22"/>
              </w:rPr>
              <w:t>6,045</w:t>
            </w:r>
          </w:p>
        </w:tc>
      </w:tr>
      <w:tr w:rsidR="00271DA5" w:rsidRPr="00271DA5" w14:paraId="6F91E073" w14:textId="77777777" w:rsidTr="000D6EA0">
        <w:trPr>
          <w:trHeight w:val="57"/>
        </w:trPr>
        <w:tc>
          <w:tcPr>
            <w:tcW w:w="4155" w:type="dxa"/>
            <w:tcBorders>
              <w:top w:val="nil"/>
              <w:left w:val="nil"/>
              <w:bottom w:val="nil"/>
              <w:right w:val="nil"/>
            </w:tcBorders>
            <w:shd w:val="clear" w:color="auto" w:fill="auto"/>
            <w:noWrap/>
            <w:vAlign w:val="center"/>
            <w:hideMark/>
          </w:tcPr>
          <w:p w14:paraId="05F1DF50"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2B10A5AE" w14:textId="77777777" w:rsidR="00262553" w:rsidRPr="00271DA5" w:rsidRDefault="00262553">
            <w:pPr>
              <w:rPr>
                <w:sz w:val="22"/>
                <w:szCs w:val="22"/>
              </w:rPr>
            </w:pPr>
            <w:r w:rsidRPr="00271DA5">
              <w:rPr>
                <w:sz w:val="22"/>
                <w:szCs w:val="22"/>
              </w:rPr>
              <w:t>Nepal</w:t>
            </w:r>
          </w:p>
        </w:tc>
        <w:tc>
          <w:tcPr>
            <w:tcW w:w="925" w:type="dxa"/>
            <w:tcBorders>
              <w:top w:val="nil"/>
              <w:left w:val="nil"/>
              <w:bottom w:val="nil"/>
              <w:right w:val="nil"/>
            </w:tcBorders>
            <w:shd w:val="clear" w:color="auto" w:fill="auto"/>
            <w:noWrap/>
            <w:vAlign w:val="center"/>
            <w:hideMark/>
          </w:tcPr>
          <w:p w14:paraId="38B0BEBB" w14:textId="77777777" w:rsidR="00262553" w:rsidRPr="00271DA5" w:rsidRDefault="00262553">
            <w:pPr>
              <w:rPr>
                <w:sz w:val="22"/>
                <w:szCs w:val="22"/>
              </w:rPr>
            </w:pPr>
            <w:r w:rsidRPr="00271DA5">
              <w:rPr>
                <w:sz w:val="22"/>
                <w:szCs w:val="22"/>
              </w:rPr>
              <w:t>8,820</w:t>
            </w:r>
          </w:p>
        </w:tc>
      </w:tr>
      <w:tr w:rsidR="00271DA5" w:rsidRPr="00271DA5" w14:paraId="2D4E3E0A" w14:textId="77777777" w:rsidTr="000D6EA0">
        <w:trPr>
          <w:trHeight w:val="57"/>
        </w:trPr>
        <w:tc>
          <w:tcPr>
            <w:tcW w:w="4155" w:type="dxa"/>
            <w:tcBorders>
              <w:top w:val="nil"/>
              <w:left w:val="nil"/>
              <w:bottom w:val="nil"/>
              <w:right w:val="nil"/>
            </w:tcBorders>
            <w:shd w:val="clear" w:color="auto" w:fill="auto"/>
            <w:noWrap/>
            <w:vAlign w:val="center"/>
            <w:hideMark/>
          </w:tcPr>
          <w:p w14:paraId="4A5C97C9"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5D37C52C" w14:textId="77777777" w:rsidR="00262553" w:rsidRPr="00271DA5" w:rsidRDefault="00262553">
            <w:pPr>
              <w:rPr>
                <w:sz w:val="22"/>
                <w:szCs w:val="22"/>
              </w:rPr>
            </w:pPr>
            <w:r w:rsidRPr="00271DA5">
              <w:rPr>
                <w:sz w:val="22"/>
                <w:szCs w:val="22"/>
              </w:rPr>
              <w:t>Pakistan</w:t>
            </w:r>
          </w:p>
        </w:tc>
        <w:tc>
          <w:tcPr>
            <w:tcW w:w="925" w:type="dxa"/>
            <w:tcBorders>
              <w:top w:val="nil"/>
              <w:left w:val="nil"/>
              <w:bottom w:val="nil"/>
              <w:right w:val="nil"/>
            </w:tcBorders>
            <w:shd w:val="clear" w:color="auto" w:fill="auto"/>
            <w:noWrap/>
            <w:vAlign w:val="center"/>
            <w:hideMark/>
          </w:tcPr>
          <w:p w14:paraId="3F9409F1" w14:textId="77777777" w:rsidR="00262553" w:rsidRPr="00271DA5" w:rsidRDefault="00262553">
            <w:pPr>
              <w:rPr>
                <w:sz w:val="22"/>
                <w:szCs w:val="22"/>
              </w:rPr>
            </w:pPr>
            <w:r w:rsidRPr="00271DA5">
              <w:rPr>
                <w:sz w:val="22"/>
                <w:szCs w:val="22"/>
              </w:rPr>
              <w:t>6,501</w:t>
            </w:r>
          </w:p>
        </w:tc>
      </w:tr>
      <w:tr w:rsidR="00271DA5" w:rsidRPr="00271DA5" w14:paraId="47D25A75" w14:textId="77777777" w:rsidTr="000D6EA0">
        <w:trPr>
          <w:trHeight w:val="57"/>
        </w:trPr>
        <w:tc>
          <w:tcPr>
            <w:tcW w:w="4155" w:type="dxa"/>
            <w:tcBorders>
              <w:top w:val="nil"/>
              <w:left w:val="nil"/>
              <w:bottom w:val="nil"/>
              <w:right w:val="nil"/>
            </w:tcBorders>
            <w:shd w:val="clear" w:color="auto" w:fill="auto"/>
            <w:noWrap/>
            <w:vAlign w:val="center"/>
            <w:hideMark/>
          </w:tcPr>
          <w:p w14:paraId="2DAED728"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2780E4FC" w14:textId="77777777" w:rsidR="00262553" w:rsidRPr="00271DA5" w:rsidRDefault="00262553">
            <w:pPr>
              <w:rPr>
                <w:sz w:val="22"/>
                <w:szCs w:val="22"/>
              </w:rPr>
            </w:pPr>
            <w:r w:rsidRPr="00271DA5">
              <w:rPr>
                <w:sz w:val="22"/>
                <w:szCs w:val="22"/>
              </w:rPr>
              <w:t>Republic of Congo</w:t>
            </w:r>
          </w:p>
        </w:tc>
        <w:tc>
          <w:tcPr>
            <w:tcW w:w="925" w:type="dxa"/>
            <w:tcBorders>
              <w:top w:val="nil"/>
              <w:left w:val="nil"/>
              <w:bottom w:val="nil"/>
              <w:right w:val="nil"/>
            </w:tcBorders>
            <w:shd w:val="clear" w:color="auto" w:fill="auto"/>
            <w:noWrap/>
            <w:vAlign w:val="center"/>
            <w:hideMark/>
          </w:tcPr>
          <w:p w14:paraId="16DD6E04" w14:textId="77777777" w:rsidR="00262553" w:rsidRPr="00271DA5" w:rsidRDefault="00262553">
            <w:pPr>
              <w:rPr>
                <w:sz w:val="22"/>
                <w:szCs w:val="22"/>
              </w:rPr>
            </w:pPr>
            <w:r w:rsidRPr="00271DA5">
              <w:rPr>
                <w:sz w:val="22"/>
                <w:szCs w:val="22"/>
              </w:rPr>
              <w:t>3,075</w:t>
            </w:r>
          </w:p>
        </w:tc>
      </w:tr>
      <w:tr w:rsidR="00271DA5" w:rsidRPr="00271DA5" w14:paraId="21F5BEBD" w14:textId="77777777" w:rsidTr="000D6EA0">
        <w:trPr>
          <w:trHeight w:val="57"/>
        </w:trPr>
        <w:tc>
          <w:tcPr>
            <w:tcW w:w="4155" w:type="dxa"/>
            <w:tcBorders>
              <w:top w:val="nil"/>
              <w:left w:val="nil"/>
              <w:bottom w:val="nil"/>
              <w:right w:val="nil"/>
            </w:tcBorders>
            <w:shd w:val="clear" w:color="auto" w:fill="auto"/>
            <w:noWrap/>
            <w:vAlign w:val="center"/>
            <w:hideMark/>
          </w:tcPr>
          <w:p w14:paraId="6BE50D86"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4D44B169" w14:textId="77777777" w:rsidR="00262553" w:rsidRPr="00271DA5" w:rsidRDefault="00262553">
            <w:pPr>
              <w:rPr>
                <w:sz w:val="22"/>
                <w:szCs w:val="22"/>
              </w:rPr>
            </w:pPr>
            <w:r w:rsidRPr="00271DA5">
              <w:rPr>
                <w:sz w:val="22"/>
                <w:szCs w:val="22"/>
              </w:rPr>
              <w:t>Senegal</w:t>
            </w:r>
          </w:p>
        </w:tc>
        <w:tc>
          <w:tcPr>
            <w:tcW w:w="925" w:type="dxa"/>
            <w:tcBorders>
              <w:top w:val="nil"/>
              <w:left w:val="nil"/>
              <w:bottom w:val="nil"/>
              <w:right w:val="nil"/>
            </w:tcBorders>
            <w:shd w:val="clear" w:color="auto" w:fill="auto"/>
            <w:noWrap/>
            <w:vAlign w:val="center"/>
            <w:hideMark/>
          </w:tcPr>
          <w:p w14:paraId="5F56D9FE" w14:textId="77777777" w:rsidR="00262553" w:rsidRPr="00271DA5" w:rsidRDefault="00262553">
            <w:pPr>
              <w:rPr>
                <w:sz w:val="22"/>
                <w:szCs w:val="22"/>
              </w:rPr>
            </w:pPr>
            <w:r w:rsidRPr="00271DA5">
              <w:rPr>
                <w:sz w:val="22"/>
                <w:szCs w:val="22"/>
              </w:rPr>
              <w:t>3,461</w:t>
            </w:r>
          </w:p>
        </w:tc>
      </w:tr>
      <w:tr w:rsidR="00271DA5" w:rsidRPr="00271DA5" w14:paraId="42D5CB9B" w14:textId="77777777" w:rsidTr="000D6EA0">
        <w:trPr>
          <w:trHeight w:val="57"/>
        </w:trPr>
        <w:tc>
          <w:tcPr>
            <w:tcW w:w="4155" w:type="dxa"/>
            <w:tcBorders>
              <w:top w:val="nil"/>
              <w:left w:val="nil"/>
              <w:bottom w:val="nil"/>
              <w:right w:val="nil"/>
            </w:tcBorders>
            <w:shd w:val="clear" w:color="auto" w:fill="auto"/>
            <w:noWrap/>
            <w:vAlign w:val="center"/>
            <w:hideMark/>
          </w:tcPr>
          <w:p w14:paraId="6BA32DDA"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6E22F230" w14:textId="77777777" w:rsidR="00262553" w:rsidRPr="00271DA5" w:rsidRDefault="00262553">
            <w:pPr>
              <w:rPr>
                <w:sz w:val="22"/>
                <w:szCs w:val="22"/>
              </w:rPr>
            </w:pPr>
            <w:r w:rsidRPr="00271DA5">
              <w:rPr>
                <w:sz w:val="22"/>
                <w:szCs w:val="22"/>
              </w:rPr>
              <w:t>Vietnam</w:t>
            </w:r>
          </w:p>
        </w:tc>
        <w:tc>
          <w:tcPr>
            <w:tcW w:w="925" w:type="dxa"/>
            <w:tcBorders>
              <w:top w:val="nil"/>
              <w:left w:val="nil"/>
              <w:bottom w:val="nil"/>
              <w:right w:val="nil"/>
            </w:tcBorders>
            <w:shd w:val="clear" w:color="auto" w:fill="auto"/>
            <w:noWrap/>
            <w:vAlign w:val="center"/>
            <w:hideMark/>
          </w:tcPr>
          <w:p w14:paraId="4DB20E27" w14:textId="77777777" w:rsidR="00262553" w:rsidRPr="00271DA5" w:rsidRDefault="00262553">
            <w:pPr>
              <w:rPr>
                <w:sz w:val="22"/>
                <w:szCs w:val="22"/>
              </w:rPr>
            </w:pPr>
            <w:r w:rsidRPr="00271DA5">
              <w:rPr>
                <w:sz w:val="22"/>
                <w:szCs w:val="22"/>
              </w:rPr>
              <w:t>4,174</w:t>
            </w:r>
          </w:p>
        </w:tc>
      </w:tr>
      <w:tr w:rsidR="00271DA5" w:rsidRPr="00271DA5" w14:paraId="23BDC80B" w14:textId="77777777" w:rsidTr="000D6EA0">
        <w:trPr>
          <w:trHeight w:val="57"/>
        </w:trPr>
        <w:tc>
          <w:tcPr>
            <w:tcW w:w="4155" w:type="dxa"/>
            <w:tcBorders>
              <w:top w:val="nil"/>
              <w:left w:val="nil"/>
              <w:bottom w:val="nil"/>
              <w:right w:val="nil"/>
            </w:tcBorders>
            <w:shd w:val="clear" w:color="auto" w:fill="auto"/>
            <w:noWrap/>
            <w:vAlign w:val="center"/>
            <w:hideMark/>
          </w:tcPr>
          <w:p w14:paraId="1EF0C031"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1509EB33" w14:textId="77777777" w:rsidR="00262553" w:rsidRPr="00271DA5" w:rsidRDefault="00262553">
            <w:pPr>
              <w:rPr>
                <w:sz w:val="22"/>
                <w:szCs w:val="22"/>
              </w:rPr>
            </w:pPr>
            <w:r w:rsidRPr="00271DA5">
              <w:rPr>
                <w:sz w:val="22"/>
                <w:szCs w:val="22"/>
              </w:rPr>
              <w:t>Zambia</w:t>
            </w:r>
          </w:p>
        </w:tc>
        <w:tc>
          <w:tcPr>
            <w:tcW w:w="925" w:type="dxa"/>
            <w:tcBorders>
              <w:top w:val="nil"/>
              <w:left w:val="nil"/>
              <w:bottom w:val="nil"/>
              <w:right w:val="nil"/>
            </w:tcBorders>
            <w:shd w:val="clear" w:color="auto" w:fill="auto"/>
            <w:noWrap/>
            <w:vAlign w:val="center"/>
            <w:hideMark/>
          </w:tcPr>
          <w:p w14:paraId="3890BD5F" w14:textId="77777777" w:rsidR="00262553" w:rsidRPr="00271DA5" w:rsidRDefault="00262553">
            <w:pPr>
              <w:rPr>
                <w:sz w:val="22"/>
                <w:szCs w:val="22"/>
              </w:rPr>
            </w:pPr>
            <w:r w:rsidRPr="00271DA5">
              <w:rPr>
                <w:sz w:val="22"/>
                <w:szCs w:val="22"/>
              </w:rPr>
              <w:t>4,165</w:t>
            </w:r>
          </w:p>
        </w:tc>
      </w:tr>
      <w:tr w:rsidR="00271DA5" w:rsidRPr="00271DA5" w14:paraId="2F5C53FB" w14:textId="77777777" w:rsidTr="000D6EA0">
        <w:trPr>
          <w:trHeight w:val="57"/>
        </w:trPr>
        <w:tc>
          <w:tcPr>
            <w:tcW w:w="4155" w:type="dxa"/>
            <w:tcBorders>
              <w:top w:val="nil"/>
              <w:left w:val="nil"/>
              <w:bottom w:val="nil"/>
              <w:right w:val="nil"/>
            </w:tcBorders>
            <w:shd w:val="clear" w:color="auto" w:fill="auto"/>
            <w:noWrap/>
            <w:vAlign w:val="center"/>
            <w:hideMark/>
          </w:tcPr>
          <w:p w14:paraId="42B0225E"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7A2337DA" w14:textId="77777777" w:rsidR="00262553" w:rsidRPr="00271DA5" w:rsidRDefault="00262553">
            <w:pPr>
              <w:rPr>
                <w:sz w:val="22"/>
                <w:szCs w:val="22"/>
              </w:rPr>
            </w:pPr>
            <w:r w:rsidRPr="00271DA5">
              <w:rPr>
                <w:sz w:val="22"/>
                <w:szCs w:val="22"/>
              </w:rPr>
              <w:t>Zimbabwe</w:t>
            </w:r>
          </w:p>
        </w:tc>
        <w:tc>
          <w:tcPr>
            <w:tcW w:w="925" w:type="dxa"/>
            <w:tcBorders>
              <w:top w:val="nil"/>
              <w:left w:val="nil"/>
              <w:bottom w:val="nil"/>
              <w:right w:val="nil"/>
            </w:tcBorders>
            <w:shd w:val="clear" w:color="auto" w:fill="auto"/>
            <w:noWrap/>
            <w:vAlign w:val="center"/>
            <w:hideMark/>
          </w:tcPr>
          <w:p w14:paraId="34229FE1" w14:textId="77777777" w:rsidR="00262553" w:rsidRPr="00271DA5" w:rsidRDefault="00262553">
            <w:pPr>
              <w:rPr>
                <w:sz w:val="22"/>
                <w:szCs w:val="22"/>
              </w:rPr>
            </w:pPr>
            <w:r w:rsidRPr="00271DA5">
              <w:rPr>
                <w:sz w:val="22"/>
                <w:szCs w:val="22"/>
              </w:rPr>
              <w:t>4,290</w:t>
            </w:r>
          </w:p>
        </w:tc>
      </w:tr>
      <w:tr w:rsidR="00271DA5" w:rsidRPr="00271DA5" w14:paraId="78362C92" w14:textId="77777777" w:rsidTr="000D6EA0">
        <w:trPr>
          <w:trHeight w:val="57"/>
        </w:trPr>
        <w:tc>
          <w:tcPr>
            <w:tcW w:w="4155" w:type="dxa"/>
            <w:tcBorders>
              <w:top w:val="nil"/>
              <w:left w:val="nil"/>
              <w:bottom w:val="nil"/>
              <w:right w:val="nil"/>
            </w:tcBorders>
            <w:shd w:val="clear" w:color="auto" w:fill="auto"/>
            <w:noWrap/>
            <w:vAlign w:val="center"/>
            <w:hideMark/>
          </w:tcPr>
          <w:p w14:paraId="040E847A" w14:textId="77777777" w:rsidR="00262553" w:rsidRPr="00271DA5" w:rsidRDefault="00262553">
            <w:pPr>
              <w:rPr>
                <w:sz w:val="22"/>
                <w:szCs w:val="22"/>
              </w:rPr>
            </w:pPr>
            <w:r w:rsidRPr="00271DA5">
              <w:rPr>
                <w:sz w:val="22"/>
                <w:szCs w:val="22"/>
              </w:rPr>
              <w:t>Lower middle-income countries</w:t>
            </w:r>
          </w:p>
        </w:tc>
        <w:tc>
          <w:tcPr>
            <w:tcW w:w="2981" w:type="dxa"/>
            <w:tcBorders>
              <w:top w:val="nil"/>
              <w:left w:val="nil"/>
              <w:bottom w:val="nil"/>
              <w:right w:val="nil"/>
            </w:tcBorders>
            <w:shd w:val="clear" w:color="auto" w:fill="auto"/>
            <w:noWrap/>
            <w:vAlign w:val="center"/>
            <w:hideMark/>
          </w:tcPr>
          <w:p w14:paraId="3BFCE9F4" w14:textId="77777777" w:rsidR="00262553" w:rsidRPr="00271DA5" w:rsidRDefault="00262553">
            <w:pPr>
              <w:rPr>
                <w:sz w:val="22"/>
                <w:szCs w:val="22"/>
              </w:rPr>
            </w:pPr>
            <w:r w:rsidRPr="00271DA5">
              <w:rPr>
                <w:sz w:val="22"/>
                <w:szCs w:val="22"/>
              </w:rPr>
              <w:t>Bosnia &amp; Herzegovina</w:t>
            </w:r>
          </w:p>
        </w:tc>
        <w:tc>
          <w:tcPr>
            <w:tcW w:w="925" w:type="dxa"/>
            <w:tcBorders>
              <w:top w:val="nil"/>
              <w:left w:val="nil"/>
              <w:bottom w:val="nil"/>
              <w:right w:val="nil"/>
            </w:tcBorders>
            <w:shd w:val="clear" w:color="auto" w:fill="auto"/>
            <w:noWrap/>
            <w:vAlign w:val="center"/>
            <w:hideMark/>
          </w:tcPr>
          <w:p w14:paraId="70A800DE" w14:textId="77777777" w:rsidR="00262553" w:rsidRPr="00271DA5" w:rsidRDefault="00262553">
            <w:pPr>
              <w:rPr>
                <w:sz w:val="22"/>
                <w:szCs w:val="22"/>
              </w:rPr>
            </w:pPr>
            <w:r w:rsidRPr="00271DA5">
              <w:rPr>
                <w:sz w:val="22"/>
                <w:szCs w:val="22"/>
              </w:rPr>
              <w:t>1,031</w:t>
            </w:r>
          </w:p>
        </w:tc>
      </w:tr>
      <w:tr w:rsidR="00271DA5" w:rsidRPr="00271DA5" w14:paraId="20986137" w14:textId="77777777" w:rsidTr="000D6EA0">
        <w:trPr>
          <w:trHeight w:val="57"/>
        </w:trPr>
        <w:tc>
          <w:tcPr>
            <w:tcW w:w="4155" w:type="dxa"/>
            <w:tcBorders>
              <w:top w:val="nil"/>
              <w:left w:val="nil"/>
              <w:bottom w:val="nil"/>
              <w:right w:val="nil"/>
            </w:tcBorders>
            <w:shd w:val="clear" w:color="auto" w:fill="auto"/>
            <w:noWrap/>
            <w:vAlign w:val="center"/>
            <w:hideMark/>
          </w:tcPr>
          <w:p w14:paraId="5158DAD8"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58D06968" w14:textId="77777777" w:rsidR="00262553" w:rsidRPr="00271DA5" w:rsidRDefault="00262553">
            <w:pPr>
              <w:rPr>
                <w:sz w:val="22"/>
                <w:szCs w:val="22"/>
              </w:rPr>
            </w:pPr>
            <w:r w:rsidRPr="00271DA5">
              <w:rPr>
                <w:sz w:val="22"/>
                <w:szCs w:val="22"/>
              </w:rPr>
              <w:t>Brazil</w:t>
            </w:r>
          </w:p>
        </w:tc>
        <w:tc>
          <w:tcPr>
            <w:tcW w:w="925" w:type="dxa"/>
            <w:tcBorders>
              <w:top w:val="nil"/>
              <w:left w:val="nil"/>
              <w:bottom w:val="nil"/>
              <w:right w:val="nil"/>
            </w:tcBorders>
            <w:shd w:val="clear" w:color="auto" w:fill="auto"/>
            <w:noWrap/>
            <w:vAlign w:val="center"/>
            <w:hideMark/>
          </w:tcPr>
          <w:p w14:paraId="4E68ABEC" w14:textId="77777777" w:rsidR="00262553" w:rsidRPr="00271DA5" w:rsidRDefault="00262553">
            <w:pPr>
              <w:rPr>
                <w:sz w:val="22"/>
                <w:szCs w:val="22"/>
              </w:rPr>
            </w:pPr>
            <w:r w:rsidRPr="00271DA5">
              <w:rPr>
                <w:sz w:val="22"/>
                <w:szCs w:val="22"/>
              </w:rPr>
              <w:t>5,000</w:t>
            </w:r>
          </w:p>
        </w:tc>
      </w:tr>
      <w:tr w:rsidR="00271DA5" w:rsidRPr="00271DA5" w14:paraId="189F981C" w14:textId="77777777" w:rsidTr="000D6EA0">
        <w:trPr>
          <w:trHeight w:val="57"/>
        </w:trPr>
        <w:tc>
          <w:tcPr>
            <w:tcW w:w="4155" w:type="dxa"/>
            <w:tcBorders>
              <w:top w:val="nil"/>
              <w:left w:val="nil"/>
              <w:bottom w:val="nil"/>
              <w:right w:val="nil"/>
            </w:tcBorders>
            <w:shd w:val="clear" w:color="auto" w:fill="auto"/>
            <w:noWrap/>
            <w:vAlign w:val="center"/>
            <w:hideMark/>
          </w:tcPr>
          <w:p w14:paraId="10D644B7"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0716C9C5" w14:textId="77777777" w:rsidR="00262553" w:rsidRPr="00271DA5" w:rsidRDefault="00262553">
            <w:pPr>
              <w:rPr>
                <w:sz w:val="22"/>
                <w:szCs w:val="22"/>
              </w:rPr>
            </w:pPr>
            <w:r w:rsidRPr="00271DA5">
              <w:rPr>
                <w:sz w:val="22"/>
                <w:szCs w:val="22"/>
              </w:rPr>
              <w:t>China</w:t>
            </w:r>
          </w:p>
        </w:tc>
        <w:tc>
          <w:tcPr>
            <w:tcW w:w="925" w:type="dxa"/>
            <w:tcBorders>
              <w:top w:val="nil"/>
              <w:left w:val="nil"/>
              <w:bottom w:val="nil"/>
              <w:right w:val="nil"/>
            </w:tcBorders>
            <w:shd w:val="clear" w:color="auto" w:fill="auto"/>
            <w:noWrap/>
            <w:vAlign w:val="center"/>
            <w:hideMark/>
          </w:tcPr>
          <w:p w14:paraId="10474144" w14:textId="77777777" w:rsidR="00262553" w:rsidRPr="00271DA5" w:rsidRDefault="00262553">
            <w:pPr>
              <w:rPr>
                <w:sz w:val="22"/>
                <w:szCs w:val="22"/>
              </w:rPr>
            </w:pPr>
            <w:r w:rsidRPr="00271DA5">
              <w:rPr>
                <w:sz w:val="22"/>
                <w:szCs w:val="22"/>
              </w:rPr>
              <w:t>3,994</w:t>
            </w:r>
          </w:p>
        </w:tc>
      </w:tr>
      <w:tr w:rsidR="00271DA5" w:rsidRPr="00271DA5" w14:paraId="6087B62A" w14:textId="77777777" w:rsidTr="000D6EA0">
        <w:trPr>
          <w:trHeight w:val="57"/>
        </w:trPr>
        <w:tc>
          <w:tcPr>
            <w:tcW w:w="4155" w:type="dxa"/>
            <w:tcBorders>
              <w:top w:val="nil"/>
              <w:left w:val="nil"/>
              <w:bottom w:val="nil"/>
              <w:right w:val="nil"/>
            </w:tcBorders>
            <w:shd w:val="clear" w:color="auto" w:fill="auto"/>
            <w:noWrap/>
            <w:vAlign w:val="center"/>
            <w:hideMark/>
          </w:tcPr>
          <w:p w14:paraId="3D9B2BCF"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04EC828A" w14:textId="77777777" w:rsidR="00262553" w:rsidRPr="00271DA5" w:rsidRDefault="00262553">
            <w:pPr>
              <w:rPr>
                <w:sz w:val="22"/>
                <w:szCs w:val="22"/>
              </w:rPr>
            </w:pPr>
            <w:r w:rsidRPr="00271DA5">
              <w:rPr>
                <w:sz w:val="22"/>
                <w:szCs w:val="22"/>
              </w:rPr>
              <w:t>Dominican Republic</w:t>
            </w:r>
          </w:p>
        </w:tc>
        <w:tc>
          <w:tcPr>
            <w:tcW w:w="925" w:type="dxa"/>
            <w:tcBorders>
              <w:top w:val="nil"/>
              <w:left w:val="nil"/>
              <w:bottom w:val="nil"/>
              <w:right w:val="nil"/>
            </w:tcBorders>
            <w:shd w:val="clear" w:color="auto" w:fill="auto"/>
            <w:noWrap/>
            <w:vAlign w:val="center"/>
            <w:hideMark/>
          </w:tcPr>
          <w:p w14:paraId="00588F8D" w14:textId="77777777" w:rsidR="00262553" w:rsidRPr="00271DA5" w:rsidRDefault="00262553">
            <w:pPr>
              <w:rPr>
                <w:sz w:val="22"/>
                <w:szCs w:val="22"/>
              </w:rPr>
            </w:pPr>
            <w:r w:rsidRPr="00271DA5">
              <w:rPr>
                <w:sz w:val="22"/>
                <w:szCs w:val="22"/>
              </w:rPr>
              <w:t>5,027</w:t>
            </w:r>
          </w:p>
        </w:tc>
      </w:tr>
      <w:tr w:rsidR="00271DA5" w:rsidRPr="00271DA5" w14:paraId="4E31EB7F" w14:textId="77777777" w:rsidTr="000D6EA0">
        <w:trPr>
          <w:trHeight w:val="57"/>
        </w:trPr>
        <w:tc>
          <w:tcPr>
            <w:tcW w:w="4155" w:type="dxa"/>
            <w:tcBorders>
              <w:top w:val="nil"/>
              <w:left w:val="nil"/>
              <w:bottom w:val="nil"/>
              <w:right w:val="nil"/>
            </w:tcBorders>
            <w:shd w:val="clear" w:color="auto" w:fill="auto"/>
            <w:noWrap/>
            <w:vAlign w:val="center"/>
            <w:hideMark/>
          </w:tcPr>
          <w:p w14:paraId="51644DF6"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100FC364" w14:textId="77777777" w:rsidR="00262553" w:rsidRPr="00271DA5" w:rsidRDefault="00262553">
            <w:pPr>
              <w:rPr>
                <w:sz w:val="22"/>
                <w:szCs w:val="22"/>
              </w:rPr>
            </w:pPr>
            <w:r w:rsidRPr="00271DA5">
              <w:rPr>
                <w:sz w:val="22"/>
                <w:szCs w:val="22"/>
              </w:rPr>
              <w:t>Ecuador</w:t>
            </w:r>
          </w:p>
        </w:tc>
        <w:tc>
          <w:tcPr>
            <w:tcW w:w="925" w:type="dxa"/>
            <w:tcBorders>
              <w:top w:val="nil"/>
              <w:left w:val="nil"/>
              <w:bottom w:val="nil"/>
              <w:right w:val="nil"/>
            </w:tcBorders>
            <w:shd w:val="clear" w:color="auto" w:fill="auto"/>
            <w:noWrap/>
            <w:vAlign w:val="center"/>
            <w:hideMark/>
          </w:tcPr>
          <w:p w14:paraId="47C791D1" w14:textId="77777777" w:rsidR="00262553" w:rsidRPr="00271DA5" w:rsidRDefault="00262553">
            <w:pPr>
              <w:rPr>
                <w:sz w:val="22"/>
                <w:szCs w:val="22"/>
              </w:rPr>
            </w:pPr>
            <w:r w:rsidRPr="00271DA5">
              <w:rPr>
                <w:sz w:val="22"/>
                <w:szCs w:val="22"/>
              </w:rPr>
              <w:t>5,675</w:t>
            </w:r>
          </w:p>
        </w:tc>
      </w:tr>
      <w:tr w:rsidR="00271DA5" w:rsidRPr="00271DA5" w14:paraId="58D254D5" w14:textId="77777777" w:rsidTr="000D6EA0">
        <w:trPr>
          <w:trHeight w:val="57"/>
        </w:trPr>
        <w:tc>
          <w:tcPr>
            <w:tcW w:w="4155" w:type="dxa"/>
            <w:tcBorders>
              <w:top w:val="nil"/>
              <w:left w:val="nil"/>
              <w:bottom w:val="nil"/>
              <w:right w:val="nil"/>
            </w:tcBorders>
            <w:shd w:val="clear" w:color="auto" w:fill="auto"/>
            <w:noWrap/>
            <w:vAlign w:val="center"/>
            <w:hideMark/>
          </w:tcPr>
          <w:p w14:paraId="6C24488B"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46FFDB6E" w14:textId="77777777" w:rsidR="00262553" w:rsidRPr="00271DA5" w:rsidRDefault="00262553">
            <w:pPr>
              <w:rPr>
                <w:sz w:val="22"/>
                <w:szCs w:val="22"/>
              </w:rPr>
            </w:pPr>
            <w:r w:rsidRPr="00271DA5">
              <w:rPr>
                <w:sz w:val="22"/>
                <w:szCs w:val="22"/>
              </w:rPr>
              <w:t>Georgia</w:t>
            </w:r>
          </w:p>
        </w:tc>
        <w:tc>
          <w:tcPr>
            <w:tcW w:w="925" w:type="dxa"/>
            <w:tcBorders>
              <w:top w:val="nil"/>
              <w:left w:val="nil"/>
              <w:bottom w:val="nil"/>
              <w:right w:val="nil"/>
            </w:tcBorders>
            <w:shd w:val="clear" w:color="auto" w:fill="auto"/>
            <w:noWrap/>
            <w:vAlign w:val="center"/>
            <w:hideMark/>
          </w:tcPr>
          <w:p w14:paraId="6091EA31" w14:textId="77777777" w:rsidR="00262553" w:rsidRPr="00271DA5" w:rsidRDefault="00262553">
            <w:pPr>
              <w:rPr>
                <w:sz w:val="22"/>
                <w:szCs w:val="22"/>
              </w:rPr>
            </w:pPr>
            <w:r w:rsidRPr="00271DA5">
              <w:rPr>
                <w:sz w:val="22"/>
                <w:szCs w:val="22"/>
              </w:rPr>
              <w:t>2,950</w:t>
            </w:r>
          </w:p>
        </w:tc>
      </w:tr>
      <w:tr w:rsidR="00271DA5" w:rsidRPr="00271DA5" w14:paraId="558C240D" w14:textId="77777777" w:rsidTr="000D6EA0">
        <w:trPr>
          <w:trHeight w:val="57"/>
        </w:trPr>
        <w:tc>
          <w:tcPr>
            <w:tcW w:w="4155" w:type="dxa"/>
            <w:tcBorders>
              <w:top w:val="nil"/>
              <w:left w:val="nil"/>
              <w:bottom w:val="nil"/>
              <w:right w:val="nil"/>
            </w:tcBorders>
            <w:shd w:val="clear" w:color="auto" w:fill="auto"/>
            <w:noWrap/>
            <w:vAlign w:val="center"/>
            <w:hideMark/>
          </w:tcPr>
          <w:p w14:paraId="180D52F6"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52346A34" w14:textId="77777777" w:rsidR="00262553" w:rsidRPr="00271DA5" w:rsidRDefault="00262553">
            <w:pPr>
              <w:rPr>
                <w:sz w:val="22"/>
                <w:szCs w:val="22"/>
              </w:rPr>
            </w:pPr>
            <w:r w:rsidRPr="00271DA5">
              <w:rPr>
                <w:sz w:val="22"/>
                <w:szCs w:val="22"/>
              </w:rPr>
              <w:t>Kazakhstan</w:t>
            </w:r>
          </w:p>
        </w:tc>
        <w:tc>
          <w:tcPr>
            <w:tcW w:w="925" w:type="dxa"/>
            <w:tcBorders>
              <w:top w:val="nil"/>
              <w:left w:val="nil"/>
              <w:bottom w:val="nil"/>
              <w:right w:val="nil"/>
            </w:tcBorders>
            <w:shd w:val="clear" w:color="auto" w:fill="auto"/>
            <w:noWrap/>
            <w:vAlign w:val="center"/>
            <w:hideMark/>
          </w:tcPr>
          <w:p w14:paraId="3FDB27A1" w14:textId="77777777" w:rsidR="00262553" w:rsidRPr="00271DA5" w:rsidRDefault="00262553">
            <w:pPr>
              <w:rPr>
                <w:sz w:val="22"/>
                <w:szCs w:val="22"/>
              </w:rPr>
            </w:pPr>
            <w:r w:rsidRPr="00271DA5">
              <w:rPr>
                <w:sz w:val="22"/>
                <w:szCs w:val="22"/>
              </w:rPr>
              <w:t>4,499</w:t>
            </w:r>
          </w:p>
        </w:tc>
      </w:tr>
      <w:tr w:rsidR="00271DA5" w:rsidRPr="00271DA5" w14:paraId="1E954701" w14:textId="77777777" w:rsidTr="000D6EA0">
        <w:trPr>
          <w:trHeight w:val="57"/>
        </w:trPr>
        <w:tc>
          <w:tcPr>
            <w:tcW w:w="4155" w:type="dxa"/>
            <w:tcBorders>
              <w:top w:val="nil"/>
              <w:left w:val="nil"/>
              <w:bottom w:val="nil"/>
              <w:right w:val="nil"/>
            </w:tcBorders>
            <w:shd w:val="clear" w:color="auto" w:fill="auto"/>
            <w:noWrap/>
            <w:vAlign w:val="center"/>
            <w:hideMark/>
          </w:tcPr>
          <w:p w14:paraId="7C4FFB62"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236BD7B0" w14:textId="77777777" w:rsidR="00262553" w:rsidRPr="00271DA5" w:rsidRDefault="00262553">
            <w:pPr>
              <w:rPr>
                <w:sz w:val="22"/>
                <w:szCs w:val="22"/>
              </w:rPr>
            </w:pPr>
            <w:r w:rsidRPr="00271DA5">
              <w:rPr>
                <w:sz w:val="22"/>
                <w:szCs w:val="22"/>
              </w:rPr>
              <w:t>Namibia</w:t>
            </w:r>
          </w:p>
        </w:tc>
        <w:tc>
          <w:tcPr>
            <w:tcW w:w="925" w:type="dxa"/>
            <w:tcBorders>
              <w:top w:val="nil"/>
              <w:left w:val="nil"/>
              <w:bottom w:val="nil"/>
              <w:right w:val="nil"/>
            </w:tcBorders>
            <w:shd w:val="clear" w:color="auto" w:fill="auto"/>
            <w:noWrap/>
            <w:vAlign w:val="center"/>
            <w:hideMark/>
          </w:tcPr>
          <w:p w14:paraId="7B3E42CA" w14:textId="77777777" w:rsidR="00262553" w:rsidRPr="00271DA5" w:rsidRDefault="00262553">
            <w:pPr>
              <w:rPr>
                <w:sz w:val="22"/>
                <w:szCs w:val="22"/>
              </w:rPr>
            </w:pPr>
            <w:r w:rsidRPr="00271DA5">
              <w:rPr>
                <w:sz w:val="22"/>
                <w:szCs w:val="22"/>
              </w:rPr>
              <w:t>4,379</w:t>
            </w:r>
          </w:p>
        </w:tc>
      </w:tr>
      <w:tr w:rsidR="00271DA5" w:rsidRPr="00271DA5" w14:paraId="094E7C19" w14:textId="77777777" w:rsidTr="000D6EA0">
        <w:trPr>
          <w:trHeight w:val="57"/>
        </w:trPr>
        <w:tc>
          <w:tcPr>
            <w:tcW w:w="4155" w:type="dxa"/>
            <w:tcBorders>
              <w:top w:val="nil"/>
              <w:left w:val="nil"/>
              <w:bottom w:val="nil"/>
              <w:right w:val="nil"/>
            </w:tcBorders>
            <w:shd w:val="clear" w:color="auto" w:fill="auto"/>
            <w:noWrap/>
            <w:vAlign w:val="center"/>
            <w:hideMark/>
          </w:tcPr>
          <w:p w14:paraId="5FD1C282"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0D1FEA91" w14:textId="77777777" w:rsidR="00262553" w:rsidRPr="00271DA5" w:rsidRDefault="00262553">
            <w:pPr>
              <w:rPr>
                <w:sz w:val="22"/>
                <w:szCs w:val="22"/>
              </w:rPr>
            </w:pPr>
            <w:r w:rsidRPr="00271DA5">
              <w:rPr>
                <w:sz w:val="22"/>
                <w:szCs w:val="22"/>
              </w:rPr>
              <w:t>Paraguay</w:t>
            </w:r>
          </w:p>
        </w:tc>
        <w:tc>
          <w:tcPr>
            <w:tcW w:w="925" w:type="dxa"/>
            <w:tcBorders>
              <w:top w:val="nil"/>
              <w:left w:val="nil"/>
              <w:bottom w:val="nil"/>
              <w:right w:val="nil"/>
            </w:tcBorders>
            <w:shd w:val="clear" w:color="auto" w:fill="auto"/>
            <w:noWrap/>
            <w:vAlign w:val="center"/>
            <w:hideMark/>
          </w:tcPr>
          <w:p w14:paraId="1C768163" w14:textId="77777777" w:rsidR="00262553" w:rsidRPr="00271DA5" w:rsidRDefault="00262553">
            <w:pPr>
              <w:rPr>
                <w:sz w:val="22"/>
                <w:szCs w:val="22"/>
              </w:rPr>
            </w:pPr>
            <w:r w:rsidRPr="00271DA5">
              <w:rPr>
                <w:sz w:val="22"/>
                <w:szCs w:val="22"/>
              </w:rPr>
              <w:t>5,288</w:t>
            </w:r>
          </w:p>
        </w:tc>
      </w:tr>
      <w:tr w:rsidR="00271DA5" w:rsidRPr="00271DA5" w14:paraId="5EC08997" w14:textId="77777777" w:rsidTr="000D6EA0">
        <w:trPr>
          <w:trHeight w:val="57"/>
        </w:trPr>
        <w:tc>
          <w:tcPr>
            <w:tcW w:w="4155" w:type="dxa"/>
            <w:tcBorders>
              <w:top w:val="nil"/>
              <w:left w:val="nil"/>
              <w:bottom w:val="nil"/>
              <w:right w:val="nil"/>
            </w:tcBorders>
            <w:shd w:val="clear" w:color="auto" w:fill="auto"/>
            <w:noWrap/>
            <w:vAlign w:val="center"/>
            <w:hideMark/>
          </w:tcPr>
          <w:p w14:paraId="22FB8959"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26D0F300" w14:textId="77777777" w:rsidR="00262553" w:rsidRPr="00271DA5" w:rsidRDefault="00262553">
            <w:pPr>
              <w:rPr>
                <w:sz w:val="22"/>
                <w:szCs w:val="22"/>
              </w:rPr>
            </w:pPr>
            <w:r w:rsidRPr="00271DA5">
              <w:rPr>
                <w:sz w:val="22"/>
                <w:szCs w:val="22"/>
              </w:rPr>
              <w:t>Philippines</w:t>
            </w:r>
          </w:p>
        </w:tc>
        <w:tc>
          <w:tcPr>
            <w:tcW w:w="925" w:type="dxa"/>
            <w:tcBorders>
              <w:top w:val="nil"/>
              <w:left w:val="nil"/>
              <w:bottom w:val="nil"/>
              <w:right w:val="nil"/>
            </w:tcBorders>
            <w:shd w:val="clear" w:color="auto" w:fill="auto"/>
            <w:noWrap/>
            <w:vAlign w:val="center"/>
            <w:hideMark/>
          </w:tcPr>
          <w:p w14:paraId="39070E68" w14:textId="77777777" w:rsidR="00262553" w:rsidRPr="00271DA5" w:rsidRDefault="00262553">
            <w:pPr>
              <w:rPr>
                <w:sz w:val="22"/>
                <w:szCs w:val="22"/>
              </w:rPr>
            </w:pPr>
            <w:r w:rsidRPr="00271DA5">
              <w:rPr>
                <w:sz w:val="22"/>
                <w:szCs w:val="22"/>
              </w:rPr>
              <w:t>10,083</w:t>
            </w:r>
          </w:p>
        </w:tc>
      </w:tr>
      <w:tr w:rsidR="00271DA5" w:rsidRPr="00271DA5" w14:paraId="3BF0F524" w14:textId="77777777" w:rsidTr="000D6EA0">
        <w:trPr>
          <w:trHeight w:val="57"/>
        </w:trPr>
        <w:tc>
          <w:tcPr>
            <w:tcW w:w="4155" w:type="dxa"/>
            <w:tcBorders>
              <w:top w:val="nil"/>
              <w:left w:val="nil"/>
              <w:bottom w:val="nil"/>
              <w:right w:val="nil"/>
            </w:tcBorders>
            <w:shd w:val="clear" w:color="auto" w:fill="auto"/>
            <w:noWrap/>
            <w:vAlign w:val="center"/>
            <w:hideMark/>
          </w:tcPr>
          <w:p w14:paraId="1B6B4F95"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7ED8C5EA" w14:textId="77777777" w:rsidR="00262553" w:rsidRPr="00271DA5" w:rsidRDefault="00262553">
            <w:pPr>
              <w:rPr>
                <w:sz w:val="22"/>
                <w:szCs w:val="22"/>
              </w:rPr>
            </w:pPr>
            <w:r w:rsidRPr="00271DA5">
              <w:rPr>
                <w:sz w:val="22"/>
                <w:szCs w:val="22"/>
              </w:rPr>
              <w:t>Russia</w:t>
            </w:r>
          </w:p>
        </w:tc>
        <w:tc>
          <w:tcPr>
            <w:tcW w:w="925" w:type="dxa"/>
            <w:tcBorders>
              <w:top w:val="nil"/>
              <w:left w:val="nil"/>
              <w:bottom w:val="nil"/>
              <w:right w:val="nil"/>
            </w:tcBorders>
            <w:shd w:val="clear" w:color="auto" w:fill="auto"/>
            <w:noWrap/>
            <w:vAlign w:val="center"/>
            <w:hideMark/>
          </w:tcPr>
          <w:p w14:paraId="5D2DAA73" w14:textId="77777777" w:rsidR="00262553" w:rsidRPr="00271DA5" w:rsidRDefault="00262553">
            <w:pPr>
              <w:rPr>
                <w:sz w:val="22"/>
                <w:szCs w:val="22"/>
              </w:rPr>
            </w:pPr>
            <w:r w:rsidRPr="00271DA5">
              <w:rPr>
                <w:sz w:val="22"/>
                <w:szCs w:val="22"/>
              </w:rPr>
              <w:t>4,427</w:t>
            </w:r>
          </w:p>
        </w:tc>
      </w:tr>
      <w:tr w:rsidR="00271DA5" w:rsidRPr="00271DA5" w14:paraId="3D006013" w14:textId="77777777" w:rsidTr="000D6EA0">
        <w:trPr>
          <w:trHeight w:val="57"/>
        </w:trPr>
        <w:tc>
          <w:tcPr>
            <w:tcW w:w="4155" w:type="dxa"/>
            <w:tcBorders>
              <w:top w:val="nil"/>
              <w:left w:val="nil"/>
              <w:bottom w:val="nil"/>
              <w:right w:val="nil"/>
            </w:tcBorders>
            <w:shd w:val="clear" w:color="auto" w:fill="auto"/>
            <w:noWrap/>
            <w:vAlign w:val="center"/>
            <w:hideMark/>
          </w:tcPr>
          <w:p w14:paraId="25F9271E"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625E76D9" w14:textId="77777777" w:rsidR="00262553" w:rsidRPr="00271DA5" w:rsidRDefault="00262553">
            <w:pPr>
              <w:rPr>
                <w:sz w:val="22"/>
                <w:szCs w:val="22"/>
              </w:rPr>
            </w:pPr>
            <w:r w:rsidRPr="00271DA5">
              <w:rPr>
                <w:sz w:val="22"/>
                <w:szCs w:val="22"/>
              </w:rPr>
              <w:t>South Africa</w:t>
            </w:r>
          </w:p>
        </w:tc>
        <w:tc>
          <w:tcPr>
            <w:tcW w:w="925" w:type="dxa"/>
            <w:tcBorders>
              <w:top w:val="nil"/>
              <w:left w:val="nil"/>
              <w:bottom w:val="nil"/>
              <w:right w:val="nil"/>
            </w:tcBorders>
            <w:shd w:val="clear" w:color="auto" w:fill="auto"/>
            <w:noWrap/>
            <w:vAlign w:val="center"/>
            <w:hideMark/>
          </w:tcPr>
          <w:p w14:paraId="5D025193" w14:textId="77777777" w:rsidR="00262553" w:rsidRPr="00271DA5" w:rsidRDefault="00262553">
            <w:pPr>
              <w:rPr>
                <w:sz w:val="22"/>
                <w:szCs w:val="22"/>
              </w:rPr>
            </w:pPr>
            <w:r w:rsidRPr="00271DA5">
              <w:rPr>
                <w:sz w:val="22"/>
                <w:szCs w:val="22"/>
              </w:rPr>
              <w:t>2,629</w:t>
            </w:r>
          </w:p>
        </w:tc>
      </w:tr>
      <w:tr w:rsidR="00271DA5" w:rsidRPr="00271DA5" w14:paraId="6D575B22" w14:textId="77777777" w:rsidTr="000D6EA0">
        <w:trPr>
          <w:trHeight w:val="57"/>
        </w:trPr>
        <w:tc>
          <w:tcPr>
            <w:tcW w:w="4155" w:type="dxa"/>
            <w:tcBorders>
              <w:top w:val="nil"/>
              <w:left w:val="nil"/>
              <w:bottom w:val="nil"/>
              <w:right w:val="nil"/>
            </w:tcBorders>
            <w:shd w:val="clear" w:color="auto" w:fill="auto"/>
            <w:noWrap/>
            <w:vAlign w:val="center"/>
            <w:hideMark/>
          </w:tcPr>
          <w:p w14:paraId="5272936A"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108E3389" w14:textId="77777777" w:rsidR="00262553" w:rsidRPr="00271DA5" w:rsidRDefault="00262553">
            <w:pPr>
              <w:rPr>
                <w:sz w:val="22"/>
                <w:szCs w:val="22"/>
              </w:rPr>
            </w:pPr>
            <w:r w:rsidRPr="00271DA5">
              <w:rPr>
                <w:sz w:val="22"/>
                <w:szCs w:val="22"/>
              </w:rPr>
              <w:t>Sri Lanka</w:t>
            </w:r>
          </w:p>
        </w:tc>
        <w:tc>
          <w:tcPr>
            <w:tcW w:w="925" w:type="dxa"/>
            <w:tcBorders>
              <w:top w:val="nil"/>
              <w:left w:val="nil"/>
              <w:bottom w:val="nil"/>
              <w:right w:val="nil"/>
            </w:tcBorders>
            <w:shd w:val="clear" w:color="auto" w:fill="auto"/>
            <w:noWrap/>
            <w:vAlign w:val="center"/>
            <w:hideMark/>
          </w:tcPr>
          <w:p w14:paraId="3A5BC312" w14:textId="77777777" w:rsidR="00262553" w:rsidRPr="00271DA5" w:rsidRDefault="00262553">
            <w:pPr>
              <w:rPr>
                <w:sz w:val="22"/>
                <w:szCs w:val="22"/>
              </w:rPr>
            </w:pPr>
            <w:r w:rsidRPr="00271DA5">
              <w:rPr>
                <w:sz w:val="22"/>
                <w:szCs w:val="22"/>
              </w:rPr>
              <w:t>6,805</w:t>
            </w:r>
          </w:p>
        </w:tc>
      </w:tr>
      <w:tr w:rsidR="00271DA5" w:rsidRPr="00271DA5" w14:paraId="692BED4C" w14:textId="77777777" w:rsidTr="000D6EA0">
        <w:trPr>
          <w:trHeight w:val="57"/>
        </w:trPr>
        <w:tc>
          <w:tcPr>
            <w:tcW w:w="4155" w:type="dxa"/>
            <w:tcBorders>
              <w:top w:val="nil"/>
              <w:left w:val="nil"/>
              <w:bottom w:val="nil"/>
              <w:right w:val="nil"/>
            </w:tcBorders>
            <w:shd w:val="clear" w:color="auto" w:fill="auto"/>
            <w:noWrap/>
            <w:vAlign w:val="center"/>
            <w:hideMark/>
          </w:tcPr>
          <w:p w14:paraId="4B502023"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5BEDB10F" w14:textId="77777777" w:rsidR="00262553" w:rsidRPr="00271DA5" w:rsidRDefault="00262553">
            <w:pPr>
              <w:rPr>
                <w:sz w:val="22"/>
                <w:szCs w:val="22"/>
              </w:rPr>
            </w:pPr>
            <w:r w:rsidRPr="00271DA5">
              <w:rPr>
                <w:sz w:val="22"/>
                <w:szCs w:val="22"/>
              </w:rPr>
              <w:t>Swaziland</w:t>
            </w:r>
          </w:p>
        </w:tc>
        <w:tc>
          <w:tcPr>
            <w:tcW w:w="925" w:type="dxa"/>
            <w:tcBorders>
              <w:top w:val="nil"/>
              <w:left w:val="nil"/>
              <w:bottom w:val="nil"/>
              <w:right w:val="nil"/>
            </w:tcBorders>
            <w:shd w:val="clear" w:color="auto" w:fill="auto"/>
            <w:noWrap/>
            <w:vAlign w:val="center"/>
            <w:hideMark/>
          </w:tcPr>
          <w:p w14:paraId="48AE7E31" w14:textId="77777777" w:rsidR="00262553" w:rsidRPr="00271DA5" w:rsidRDefault="00262553">
            <w:pPr>
              <w:rPr>
                <w:sz w:val="22"/>
                <w:szCs w:val="22"/>
              </w:rPr>
            </w:pPr>
            <w:r w:rsidRPr="00271DA5">
              <w:rPr>
                <w:sz w:val="22"/>
                <w:szCs w:val="22"/>
              </w:rPr>
              <w:t>3,117</w:t>
            </w:r>
          </w:p>
        </w:tc>
      </w:tr>
      <w:tr w:rsidR="00271DA5" w:rsidRPr="00271DA5" w14:paraId="41A85EAB" w14:textId="77777777" w:rsidTr="000D6EA0">
        <w:trPr>
          <w:trHeight w:val="57"/>
        </w:trPr>
        <w:tc>
          <w:tcPr>
            <w:tcW w:w="4155" w:type="dxa"/>
            <w:tcBorders>
              <w:top w:val="nil"/>
              <w:left w:val="nil"/>
              <w:bottom w:val="nil"/>
              <w:right w:val="nil"/>
            </w:tcBorders>
            <w:shd w:val="clear" w:color="auto" w:fill="auto"/>
            <w:noWrap/>
            <w:vAlign w:val="center"/>
            <w:hideMark/>
          </w:tcPr>
          <w:p w14:paraId="553B7219"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6494FBBA" w14:textId="77777777" w:rsidR="00262553" w:rsidRPr="00271DA5" w:rsidRDefault="00262553">
            <w:pPr>
              <w:rPr>
                <w:sz w:val="22"/>
                <w:szCs w:val="22"/>
              </w:rPr>
            </w:pPr>
            <w:r w:rsidRPr="00271DA5">
              <w:rPr>
                <w:sz w:val="22"/>
                <w:szCs w:val="22"/>
              </w:rPr>
              <w:t>Tunisia</w:t>
            </w:r>
          </w:p>
        </w:tc>
        <w:tc>
          <w:tcPr>
            <w:tcW w:w="925" w:type="dxa"/>
            <w:tcBorders>
              <w:top w:val="nil"/>
              <w:left w:val="nil"/>
              <w:bottom w:val="nil"/>
              <w:right w:val="nil"/>
            </w:tcBorders>
            <w:shd w:val="clear" w:color="auto" w:fill="auto"/>
            <w:noWrap/>
            <w:vAlign w:val="center"/>
            <w:hideMark/>
          </w:tcPr>
          <w:p w14:paraId="4289F5D2" w14:textId="77777777" w:rsidR="00262553" w:rsidRPr="00271DA5" w:rsidRDefault="00262553">
            <w:pPr>
              <w:rPr>
                <w:sz w:val="22"/>
                <w:szCs w:val="22"/>
              </w:rPr>
            </w:pPr>
            <w:r w:rsidRPr="00271DA5">
              <w:rPr>
                <w:sz w:val="22"/>
                <w:szCs w:val="22"/>
              </w:rPr>
              <w:t>5,202</w:t>
            </w:r>
          </w:p>
        </w:tc>
      </w:tr>
      <w:tr w:rsidR="00271DA5" w:rsidRPr="00271DA5" w14:paraId="7D96E255" w14:textId="77777777" w:rsidTr="000D6EA0">
        <w:trPr>
          <w:trHeight w:val="57"/>
        </w:trPr>
        <w:tc>
          <w:tcPr>
            <w:tcW w:w="4155" w:type="dxa"/>
            <w:tcBorders>
              <w:top w:val="nil"/>
              <w:left w:val="nil"/>
              <w:bottom w:val="nil"/>
              <w:right w:val="nil"/>
            </w:tcBorders>
            <w:shd w:val="clear" w:color="auto" w:fill="auto"/>
            <w:noWrap/>
            <w:vAlign w:val="center"/>
            <w:hideMark/>
          </w:tcPr>
          <w:p w14:paraId="734496BE"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2957E1F3" w14:textId="77777777" w:rsidR="00262553" w:rsidRPr="00271DA5" w:rsidRDefault="00262553">
            <w:pPr>
              <w:rPr>
                <w:sz w:val="22"/>
                <w:szCs w:val="22"/>
              </w:rPr>
            </w:pPr>
            <w:r w:rsidRPr="00271DA5">
              <w:rPr>
                <w:sz w:val="22"/>
                <w:szCs w:val="22"/>
              </w:rPr>
              <w:t>Ukraine</w:t>
            </w:r>
          </w:p>
        </w:tc>
        <w:tc>
          <w:tcPr>
            <w:tcW w:w="925" w:type="dxa"/>
            <w:tcBorders>
              <w:top w:val="nil"/>
              <w:left w:val="nil"/>
              <w:bottom w:val="nil"/>
              <w:right w:val="nil"/>
            </w:tcBorders>
            <w:shd w:val="clear" w:color="auto" w:fill="auto"/>
            <w:noWrap/>
            <w:vAlign w:val="center"/>
            <w:hideMark/>
          </w:tcPr>
          <w:p w14:paraId="2B83E28C" w14:textId="77777777" w:rsidR="00262553" w:rsidRPr="00271DA5" w:rsidRDefault="00262553">
            <w:pPr>
              <w:rPr>
                <w:sz w:val="22"/>
                <w:szCs w:val="22"/>
              </w:rPr>
            </w:pPr>
            <w:r w:rsidRPr="00271DA5">
              <w:rPr>
                <w:sz w:val="22"/>
                <w:szCs w:val="22"/>
              </w:rPr>
              <w:t>2,860</w:t>
            </w:r>
          </w:p>
        </w:tc>
      </w:tr>
      <w:tr w:rsidR="00271DA5" w:rsidRPr="00271DA5" w14:paraId="0312CDD8" w14:textId="77777777" w:rsidTr="000D6EA0">
        <w:trPr>
          <w:trHeight w:val="57"/>
        </w:trPr>
        <w:tc>
          <w:tcPr>
            <w:tcW w:w="4155" w:type="dxa"/>
            <w:tcBorders>
              <w:top w:val="nil"/>
              <w:left w:val="nil"/>
              <w:bottom w:val="nil"/>
              <w:right w:val="nil"/>
            </w:tcBorders>
            <w:shd w:val="clear" w:color="auto" w:fill="auto"/>
            <w:noWrap/>
            <w:vAlign w:val="center"/>
            <w:hideMark/>
          </w:tcPr>
          <w:p w14:paraId="2075D00A" w14:textId="77777777" w:rsidR="00262553" w:rsidRPr="00271DA5" w:rsidRDefault="00262553">
            <w:pPr>
              <w:rPr>
                <w:sz w:val="22"/>
                <w:szCs w:val="22"/>
              </w:rPr>
            </w:pPr>
            <w:r w:rsidRPr="00271DA5">
              <w:rPr>
                <w:sz w:val="22"/>
                <w:szCs w:val="22"/>
              </w:rPr>
              <w:t>Upper middle-income countries</w:t>
            </w:r>
          </w:p>
        </w:tc>
        <w:tc>
          <w:tcPr>
            <w:tcW w:w="2981" w:type="dxa"/>
            <w:tcBorders>
              <w:top w:val="nil"/>
              <w:left w:val="nil"/>
              <w:bottom w:val="nil"/>
              <w:right w:val="nil"/>
            </w:tcBorders>
            <w:shd w:val="clear" w:color="auto" w:fill="auto"/>
            <w:noWrap/>
            <w:vAlign w:val="center"/>
            <w:hideMark/>
          </w:tcPr>
          <w:p w14:paraId="62BADE88" w14:textId="77777777" w:rsidR="00262553" w:rsidRPr="00271DA5" w:rsidRDefault="00262553">
            <w:pPr>
              <w:rPr>
                <w:sz w:val="22"/>
                <w:szCs w:val="22"/>
              </w:rPr>
            </w:pPr>
            <w:r w:rsidRPr="00271DA5">
              <w:rPr>
                <w:sz w:val="22"/>
                <w:szCs w:val="22"/>
              </w:rPr>
              <w:t>Croatia</w:t>
            </w:r>
          </w:p>
        </w:tc>
        <w:tc>
          <w:tcPr>
            <w:tcW w:w="925" w:type="dxa"/>
            <w:tcBorders>
              <w:top w:val="nil"/>
              <w:left w:val="nil"/>
              <w:bottom w:val="nil"/>
              <w:right w:val="nil"/>
            </w:tcBorders>
            <w:shd w:val="clear" w:color="auto" w:fill="auto"/>
            <w:noWrap/>
            <w:vAlign w:val="center"/>
            <w:hideMark/>
          </w:tcPr>
          <w:p w14:paraId="35F7EB83" w14:textId="77777777" w:rsidR="00262553" w:rsidRPr="00271DA5" w:rsidRDefault="00262553">
            <w:pPr>
              <w:rPr>
                <w:sz w:val="22"/>
                <w:szCs w:val="22"/>
              </w:rPr>
            </w:pPr>
            <w:r w:rsidRPr="00271DA5">
              <w:rPr>
                <w:sz w:val="22"/>
                <w:szCs w:val="22"/>
              </w:rPr>
              <w:t>993</w:t>
            </w:r>
          </w:p>
        </w:tc>
      </w:tr>
      <w:tr w:rsidR="00271DA5" w:rsidRPr="00271DA5" w14:paraId="373FAACC" w14:textId="77777777" w:rsidTr="000D6EA0">
        <w:trPr>
          <w:trHeight w:val="57"/>
        </w:trPr>
        <w:tc>
          <w:tcPr>
            <w:tcW w:w="4155" w:type="dxa"/>
            <w:tcBorders>
              <w:top w:val="nil"/>
              <w:left w:val="nil"/>
              <w:bottom w:val="nil"/>
              <w:right w:val="nil"/>
            </w:tcBorders>
            <w:shd w:val="clear" w:color="auto" w:fill="auto"/>
            <w:noWrap/>
            <w:vAlign w:val="center"/>
            <w:hideMark/>
          </w:tcPr>
          <w:p w14:paraId="036F955D"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6AC1C59C" w14:textId="77777777" w:rsidR="00262553" w:rsidRPr="00271DA5" w:rsidRDefault="00262553">
            <w:pPr>
              <w:rPr>
                <w:sz w:val="22"/>
                <w:szCs w:val="22"/>
              </w:rPr>
            </w:pPr>
            <w:r w:rsidRPr="00271DA5">
              <w:rPr>
                <w:sz w:val="22"/>
                <w:szCs w:val="22"/>
              </w:rPr>
              <w:t>Czech Republic</w:t>
            </w:r>
          </w:p>
        </w:tc>
        <w:tc>
          <w:tcPr>
            <w:tcW w:w="925" w:type="dxa"/>
            <w:tcBorders>
              <w:top w:val="nil"/>
              <w:left w:val="nil"/>
              <w:bottom w:val="nil"/>
              <w:right w:val="nil"/>
            </w:tcBorders>
            <w:shd w:val="clear" w:color="auto" w:fill="auto"/>
            <w:noWrap/>
            <w:vAlign w:val="center"/>
            <w:hideMark/>
          </w:tcPr>
          <w:p w14:paraId="26C6E4AE" w14:textId="77777777" w:rsidR="00262553" w:rsidRPr="00271DA5" w:rsidRDefault="00262553">
            <w:pPr>
              <w:rPr>
                <w:sz w:val="22"/>
                <w:szCs w:val="22"/>
              </w:rPr>
            </w:pPr>
            <w:r w:rsidRPr="00271DA5">
              <w:rPr>
                <w:sz w:val="22"/>
                <w:szCs w:val="22"/>
              </w:rPr>
              <w:t>949</w:t>
            </w:r>
          </w:p>
        </w:tc>
      </w:tr>
      <w:tr w:rsidR="00271DA5" w:rsidRPr="00271DA5" w14:paraId="119348B9" w14:textId="77777777" w:rsidTr="000D6EA0">
        <w:trPr>
          <w:trHeight w:val="57"/>
        </w:trPr>
        <w:tc>
          <w:tcPr>
            <w:tcW w:w="4155" w:type="dxa"/>
            <w:tcBorders>
              <w:top w:val="nil"/>
              <w:left w:val="nil"/>
              <w:bottom w:val="nil"/>
              <w:right w:val="nil"/>
            </w:tcBorders>
            <w:shd w:val="clear" w:color="auto" w:fill="auto"/>
            <w:noWrap/>
            <w:vAlign w:val="center"/>
            <w:hideMark/>
          </w:tcPr>
          <w:p w14:paraId="208827CE"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226BDF8E" w14:textId="77777777" w:rsidR="00262553" w:rsidRPr="00271DA5" w:rsidRDefault="00262553">
            <w:pPr>
              <w:rPr>
                <w:sz w:val="22"/>
                <w:szCs w:val="22"/>
              </w:rPr>
            </w:pPr>
            <w:r w:rsidRPr="00271DA5">
              <w:rPr>
                <w:sz w:val="22"/>
                <w:szCs w:val="22"/>
              </w:rPr>
              <w:t>Estonia</w:t>
            </w:r>
          </w:p>
        </w:tc>
        <w:tc>
          <w:tcPr>
            <w:tcW w:w="925" w:type="dxa"/>
            <w:tcBorders>
              <w:top w:val="nil"/>
              <w:left w:val="nil"/>
              <w:bottom w:val="nil"/>
              <w:right w:val="nil"/>
            </w:tcBorders>
            <w:shd w:val="clear" w:color="auto" w:fill="auto"/>
            <w:noWrap/>
            <w:vAlign w:val="center"/>
            <w:hideMark/>
          </w:tcPr>
          <w:p w14:paraId="1F6C1CA2" w14:textId="77777777" w:rsidR="00262553" w:rsidRPr="00271DA5" w:rsidRDefault="00262553">
            <w:pPr>
              <w:rPr>
                <w:sz w:val="22"/>
                <w:szCs w:val="22"/>
              </w:rPr>
            </w:pPr>
            <w:r w:rsidRPr="00271DA5">
              <w:rPr>
                <w:sz w:val="22"/>
                <w:szCs w:val="22"/>
              </w:rPr>
              <w:t>1,020</w:t>
            </w:r>
          </w:p>
        </w:tc>
      </w:tr>
      <w:tr w:rsidR="00271DA5" w:rsidRPr="00271DA5" w14:paraId="64C48BA5" w14:textId="77777777" w:rsidTr="000D6EA0">
        <w:trPr>
          <w:trHeight w:val="57"/>
        </w:trPr>
        <w:tc>
          <w:tcPr>
            <w:tcW w:w="4155" w:type="dxa"/>
            <w:tcBorders>
              <w:top w:val="nil"/>
              <w:left w:val="nil"/>
              <w:bottom w:val="nil"/>
              <w:right w:val="nil"/>
            </w:tcBorders>
            <w:shd w:val="clear" w:color="auto" w:fill="auto"/>
            <w:noWrap/>
            <w:vAlign w:val="center"/>
            <w:hideMark/>
          </w:tcPr>
          <w:p w14:paraId="5A599AD3"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3A9584A4" w14:textId="77777777" w:rsidR="00262553" w:rsidRPr="00271DA5" w:rsidRDefault="00262553">
            <w:pPr>
              <w:rPr>
                <w:sz w:val="22"/>
                <w:szCs w:val="22"/>
              </w:rPr>
            </w:pPr>
            <w:r w:rsidRPr="00271DA5">
              <w:rPr>
                <w:sz w:val="22"/>
                <w:szCs w:val="22"/>
              </w:rPr>
              <w:t>Hungary</w:t>
            </w:r>
          </w:p>
        </w:tc>
        <w:tc>
          <w:tcPr>
            <w:tcW w:w="925" w:type="dxa"/>
            <w:tcBorders>
              <w:top w:val="nil"/>
              <w:left w:val="nil"/>
              <w:bottom w:val="nil"/>
              <w:right w:val="nil"/>
            </w:tcBorders>
            <w:shd w:val="clear" w:color="auto" w:fill="auto"/>
            <w:noWrap/>
            <w:vAlign w:val="center"/>
            <w:hideMark/>
          </w:tcPr>
          <w:p w14:paraId="150E6850" w14:textId="77777777" w:rsidR="00262553" w:rsidRPr="00271DA5" w:rsidRDefault="00262553">
            <w:pPr>
              <w:rPr>
                <w:sz w:val="22"/>
                <w:szCs w:val="22"/>
              </w:rPr>
            </w:pPr>
            <w:r w:rsidRPr="00271DA5">
              <w:rPr>
                <w:sz w:val="22"/>
                <w:szCs w:val="22"/>
              </w:rPr>
              <w:t>1,419</w:t>
            </w:r>
          </w:p>
        </w:tc>
      </w:tr>
      <w:tr w:rsidR="00271DA5" w:rsidRPr="00271DA5" w14:paraId="51B0C488" w14:textId="77777777" w:rsidTr="000D6EA0">
        <w:trPr>
          <w:trHeight w:val="57"/>
        </w:trPr>
        <w:tc>
          <w:tcPr>
            <w:tcW w:w="4155" w:type="dxa"/>
            <w:tcBorders>
              <w:top w:val="nil"/>
              <w:left w:val="nil"/>
              <w:bottom w:val="nil"/>
              <w:right w:val="nil"/>
            </w:tcBorders>
            <w:shd w:val="clear" w:color="auto" w:fill="auto"/>
            <w:noWrap/>
            <w:vAlign w:val="center"/>
            <w:hideMark/>
          </w:tcPr>
          <w:p w14:paraId="632E16D3"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7A2E8D57" w14:textId="77777777" w:rsidR="00262553" w:rsidRPr="00271DA5" w:rsidRDefault="00262553">
            <w:pPr>
              <w:rPr>
                <w:sz w:val="22"/>
                <w:szCs w:val="22"/>
              </w:rPr>
            </w:pPr>
            <w:r w:rsidRPr="00271DA5">
              <w:rPr>
                <w:sz w:val="22"/>
                <w:szCs w:val="22"/>
              </w:rPr>
              <w:t>Latvia</w:t>
            </w:r>
          </w:p>
        </w:tc>
        <w:tc>
          <w:tcPr>
            <w:tcW w:w="925" w:type="dxa"/>
            <w:tcBorders>
              <w:top w:val="nil"/>
              <w:left w:val="nil"/>
              <w:bottom w:val="nil"/>
              <w:right w:val="nil"/>
            </w:tcBorders>
            <w:shd w:val="clear" w:color="auto" w:fill="auto"/>
            <w:noWrap/>
            <w:vAlign w:val="center"/>
            <w:hideMark/>
          </w:tcPr>
          <w:p w14:paraId="66F14A00" w14:textId="77777777" w:rsidR="00262553" w:rsidRPr="00271DA5" w:rsidRDefault="00262553">
            <w:pPr>
              <w:rPr>
                <w:sz w:val="22"/>
                <w:szCs w:val="22"/>
              </w:rPr>
            </w:pPr>
            <w:r w:rsidRPr="00271DA5">
              <w:rPr>
                <w:sz w:val="22"/>
                <w:szCs w:val="22"/>
              </w:rPr>
              <w:t>929</w:t>
            </w:r>
          </w:p>
        </w:tc>
      </w:tr>
      <w:tr w:rsidR="00271DA5" w:rsidRPr="00271DA5" w14:paraId="7C72C106" w14:textId="77777777" w:rsidTr="000D6EA0">
        <w:trPr>
          <w:trHeight w:val="57"/>
        </w:trPr>
        <w:tc>
          <w:tcPr>
            <w:tcW w:w="4155" w:type="dxa"/>
            <w:tcBorders>
              <w:top w:val="nil"/>
              <w:left w:val="nil"/>
              <w:bottom w:val="nil"/>
              <w:right w:val="nil"/>
            </w:tcBorders>
            <w:shd w:val="clear" w:color="auto" w:fill="auto"/>
            <w:noWrap/>
            <w:vAlign w:val="center"/>
            <w:hideMark/>
          </w:tcPr>
          <w:p w14:paraId="057069C8"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4496BF00" w14:textId="77777777" w:rsidR="00262553" w:rsidRPr="00271DA5" w:rsidRDefault="00262553">
            <w:pPr>
              <w:rPr>
                <w:sz w:val="22"/>
                <w:szCs w:val="22"/>
              </w:rPr>
            </w:pPr>
            <w:r w:rsidRPr="00271DA5">
              <w:rPr>
                <w:sz w:val="22"/>
                <w:szCs w:val="22"/>
              </w:rPr>
              <w:t>Malaysia</w:t>
            </w:r>
          </w:p>
        </w:tc>
        <w:tc>
          <w:tcPr>
            <w:tcW w:w="925" w:type="dxa"/>
            <w:tcBorders>
              <w:top w:val="nil"/>
              <w:left w:val="nil"/>
              <w:bottom w:val="nil"/>
              <w:right w:val="nil"/>
            </w:tcBorders>
            <w:shd w:val="clear" w:color="auto" w:fill="auto"/>
            <w:noWrap/>
            <w:vAlign w:val="center"/>
            <w:hideMark/>
          </w:tcPr>
          <w:p w14:paraId="662A3651" w14:textId="77777777" w:rsidR="00262553" w:rsidRPr="00271DA5" w:rsidRDefault="00262553">
            <w:pPr>
              <w:rPr>
                <w:sz w:val="22"/>
                <w:szCs w:val="22"/>
              </w:rPr>
            </w:pPr>
            <w:r w:rsidRPr="00271DA5">
              <w:rPr>
                <w:sz w:val="22"/>
                <w:szCs w:val="22"/>
              </w:rPr>
              <w:t>6,145</w:t>
            </w:r>
          </w:p>
        </w:tc>
      </w:tr>
      <w:tr w:rsidR="00271DA5" w:rsidRPr="00271DA5" w14:paraId="2A12431F" w14:textId="77777777" w:rsidTr="000D6EA0">
        <w:trPr>
          <w:trHeight w:val="57"/>
        </w:trPr>
        <w:tc>
          <w:tcPr>
            <w:tcW w:w="4155" w:type="dxa"/>
            <w:tcBorders>
              <w:top w:val="nil"/>
              <w:left w:val="nil"/>
              <w:bottom w:val="nil"/>
              <w:right w:val="nil"/>
            </w:tcBorders>
            <w:shd w:val="clear" w:color="auto" w:fill="auto"/>
            <w:noWrap/>
            <w:vAlign w:val="center"/>
            <w:hideMark/>
          </w:tcPr>
          <w:p w14:paraId="59641032"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6ECE224E" w14:textId="77777777" w:rsidR="00262553" w:rsidRPr="00271DA5" w:rsidRDefault="00262553">
            <w:pPr>
              <w:rPr>
                <w:sz w:val="22"/>
                <w:szCs w:val="22"/>
              </w:rPr>
            </w:pPr>
            <w:r w:rsidRPr="00271DA5">
              <w:rPr>
                <w:sz w:val="22"/>
                <w:szCs w:val="22"/>
              </w:rPr>
              <w:t>Mauritius</w:t>
            </w:r>
          </w:p>
        </w:tc>
        <w:tc>
          <w:tcPr>
            <w:tcW w:w="925" w:type="dxa"/>
            <w:tcBorders>
              <w:top w:val="nil"/>
              <w:left w:val="nil"/>
              <w:bottom w:val="nil"/>
              <w:right w:val="nil"/>
            </w:tcBorders>
            <w:shd w:val="clear" w:color="auto" w:fill="auto"/>
            <w:noWrap/>
            <w:vAlign w:val="center"/>
            <w:hideMark/>
          </w:tcPr>
          <w:p w14:paraId="750709DC" w14:textId="77777777" w:rsidR="00262553" w:rsidRPr="00271DA5" w:rsidRDefault="00262553">
            <w:pPr>
              <w:rPr>
                <w:sz w:val="22"/>
                <w:szCs w:val="22"/>
              </w:rPr>
            </w:pPr>
            <w:r w:rsidRPr="00271DA5">
              <w:rPr>
                <w:sz w:val="22"/>
                <w:szCs w:val="22"/>
              </w:rPr>
              <w:t>3,968</w:t>
            </w:r>
          </w:p>
        </w:tc>
      </w:tr>
      <w:tr w:rsidR="00271DA5" w:rsidRPr="00271DA5" w14:paraId="195FB38C" w14:textId="77777777" w:rsidTr="000D6EA0">
        <w:trPr>
          <w:trHeight w:val="57"/>
        </w:trPr>
        <w:tc>
          <w:tcPr>
            <w:tcW w:w="4155" w:type="dxa"/>
            <w:tcBorders>
              <w:top w:val="nil"/>
              <w:left w:val="nil"/>
              <w:bottom w:val="nil"/>
              <w:right w:val="nil"/>
            </w:tcBorders>
            <w:shd w:val="clear" w:color="auto" w:fill="auto"/>
            <w:noWrap/>
            <w:vAlign w:val="center"/>
            <w:hideMark/>
          </w:tcPr>
          <w:p w14:paraId="19A5BC07"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062B2220" w14:textId="77777777" w:rsidR="00262553" w:rsidRPr="00271DA5" w:rsidRDefault="00262553">
            <w:pPr>
              <w:rPr>
                <w:sz w:val="22"/>
                <w:szCs w:val="22"/>
              </w:rPr>
            </w:pPr>
            <w:r w:rsidRPr="00271DA5">
              <w:rPr>
                <w:sz w:val="22"/>
                <w:szCs w:val="22"/>
              </w:rPr>
              <w:t>Mexico</w:t>
            </w:r>
          </w:p>
        </w:tc>
        <w:tc>
          <w:tcPr>
            <w:tcW w:w="925" w:type="dxa"/>
            <w:tcBorders>
              <w:top w:val="nil"/>
              <w:left w:val="nil"/>
              <w:bottom w:val="nil"/>
              <w:right w:val="nil"/>
            </w:tcBorders>
            <w:shd w:val="clear" w:color="auto" w:fill="auto"/>
            <w:noWrap/>
            <w:vAlign w:val="center"/>
            <w:hideMark/>
          </w:tcPr>
          <w:p w14:paraId="3FC8E756" w14:textId="77777777" w:rsidR="00262553" w:rsidRPr="00271DA5" w:rsidRDefault="00262553">
            <w:pPr>
              <w:rPr>
                <w:sz w:val="22"/>
                <w:szCs w:val="22"/>
              </w:rPr>
            </w:pPr>
            <w:r w:rsidRPr="00271DA5">
              <w:rPr>
                <w:sz w:val="22"/>
                <w:szCs w:val="22"/>
              </w:rPr>
              <w:t>38,746</w:t>
            </w:r>
          </w:p>
        </w:tc>
      </w:tr>
      <w:tr w:rsidR="00271DA5" w:rsidRPr="00271DA5" w14:paraId="4F4DB24C" w14:textId="77777777" w:rsidTr="000D6EA0">
        <w:trPr>
          <w:trHeight w:val="57"/>
        </w:trPr>
        <w:tc>
          <w:tcPr>
            <w:tcW w:w="4155" w:type="dxa"/>
            <w:tcBorders>
              <w:top w:val="nil"/>
              <w:left w:val="nil"/>
              <w:bottom w:val="nil"/>
              <w:right w:val="nil"/>
            </w:tcBorders>
            <w:shd w:val="clear" w:color="auto" w:fill="auto"/>
            <w:noWrap/>
            <w:vAlign w:val="center"/>
            <w:hideMark/>
          </w:tcPr>
          <w:p w14:paraId="0777CB85" w14:textId="77777777" w:rsidR="00262553" w:rsidRPr="00271DA5" w:rsidRDefault="00262553">
            <w:pPr>
              <w:rPr>
                <w:sz w:val="22"/>
                <w:szCs w:val="22"/>
              </w:rPr>
            </w:pPr>
          </w:p>
        </w:tc>
        <w:tc>
          <w:tcPr>
            <w:tcW w:w="2981" w:type="dxa"/>
            <w:tcBorders>
              <w:top w:val="nil"/>
              <w:left w:val="nil"/>
              <w:bottom w:val="nil"/>
              <w:right w:val="nil"/>
            </w:tcBorders>
            <w:shd w:val="clear" w:color="auto" w:fill="auto"/>
            <w:noWrap/>
            <w:vAlign w:val="center"/>
            <w:hideMark/>
          </w:tcPr>
          <w:p w14:paraId="19C74FA3" w14:textId="77777777" w:rsidR="00262553" w:rsidRPr="00271DA5" w:rsidRDefault="00262553">
            <w:pPr>
              <w:rPr>
                <w:sz w:val="22"/>
                <w:szCs w:val="22"/>
              </w:rPr>
            </w:pPr>
            <w:r w:rsidRPr="00271DA5">
              <w:rPr>
                <w:sz w:val="22"/>
                <w:szCs w:val="22"/>
              </w:rPr>
              <w:t>Slovakia</w:t>
            </w:r>
          </w:p>
        </w:tc>
        <w:tc>
          <w:tcPr>
            <w:tcW w:w="925" w:type="dxa"/>
            <w:tcBorders>
              <w:top w:val="nil"/>
              <w:left w:val="nil"/>
              <w:bottom w:val="nil"/>
              <w:right w:val="nil"/>
            </w:tcBorders>
            <w:shd w:val="clear" w:color="auto" w:fill="auto"/>
            <w:noWrap/>
            <w:vAlign w:val="center"/>
            <w:hideMark/>
          </w:tcPr>
          <w:p w14:paraId="0E46DB09" w14:textId="77777777" w:rsidR="00262553" w:rsidRPr="00271DA5" w:rsidRDefault="00262553">
            <w:pPr>
              <w:rPr>
                <w:sz w:val="22"/>
                <w:szCs w:val="22"/>
              </w:rPr>
            </w:pPr>
            <w:r w:rsidRPr="00271DA5">
              <w:rPr>
                <w:sz w:val="22"/>
                <w:szCs w:val="22"/>
              </w:rPr>
              <w:t>2,535</w:t>
            </w:r>
          </w:p>
        </w:tc>
      </w:tr>
      <w:tr w:rsidR="00262553" w:rsidRPr="00271DA5" w14:paraId="22DD4884" w14:textId="77777777" w:rsidTr="000D6EA0">
        <w:trPr>
          <w:trHeight w:val="57"/>
        </w:trPr>
        <w:tc>
          <w:tcPr>
            <w:tcW w:w="4155" w:type="dxa"/>
            <w:tcBorders>
              <w:top w:val="nil"/>
              <w:left w:val="nil"/>
              <w:bottom w:val="single" w:sz="4" w:space="0" w:color="auto"/>
              <w:right w:val="nil"/>
            </w:tcBorders>
            <w:shd w:val="clear" w:color="auto" w:fill="auto"/>
            <w:noWrap/>
            <w:vAlign w:val="center"/>
            <w:hideMark/>
          </w:tcPr>
          <w:p w14:paraId="72BDF921" w14:textId="77777777" w:rsidR="00262553" w:rsidRPr="00271DA5" w:rsidRDefault="00262553">
            <w:pPr>
              <w:rPr>
                <w:sz w:val="22"/>
                <w:szCs w:val="22"/>
              </w:rPr>
            </w:pPr>
            <w:r w:rsidRPr="00271DA5">
              <w:rPr>
                <w:sz w:val="22"/>
                <w:szCs w:val="22"/>
              </w:rPr>
              <w:t> </w:t>
            </w:r>
          </w:p>
        </w:tc>
        <w:tc>
          <w:tcPr>
            <w:tcW w:w="2981" w:type="dxa"/>
            <w:tcBorders>
              <w:top w:val="nil"/>
              <w:left w:val="nil"/>
              <w:bottom w:val="single" w:sz="4" w:space="0" w:color="auto"/>
              <w:right w:val="nil"/>
            </w:tcBorders>
            <w:shd w:val="clear" w:color="auto" w:fill="auto"/>
            <w:noWrap/>
            <w:vAlign w:val="center"/>
            <w:hideMark/>
          </w:tcPr>
          <w:p w14:paraId="7D0B59ED" w14:textId="77777777" w:rsidR="00262553" w:rsidRPr="00271DA5" w:rsidRDefault="00262553">
            <w:pPr>
              <w:rPr>
                <w:sz w:val="22"/>
                <w:szCs w:val="22"/>
              </w:rPr>
            </w:pPr>
            <w:r w:rsidRPr="00271DA5">
              <w:rPr>
                <w:sz w:val="22"/>
                <w:szCs w:val="22"/>
              </w:rPr>
              <w:t>Uruguay</w:t>
            </w:r>
          </w:p>
        </w:tc>
        <w:tc>
          <w:tcPr>
            <w:tcW w:w="925" w:type="dxa"/>
            <w:tcBorders>
              <w:top w:val="nil"/>
              <w:left w:val="nil"/>
              <w:bottom w:val="single" w:sz="4" w:space="0" w:color="auto"/>
              <w:right w:val="nil"/>
            </w:tcBorders>
            <w:shd w:val="clear" w:color="auto" w:fill="auto"/>
            <w:noWrap/>
            <w:vAlign w:val="center"/>
            <w:hideMark/>
          </w:tcPr>
          <w:p w14:paraId="3785CB84" w14:textId="77777777" w:rsidR="00262553" w:rsidRPr="00271DA5" w:rsidRDefault="00262553">
            <w:pPr>
              <w:rPr>
                <w:sz w:val="22"/>
                <w:szCs w:val="22"/>
              </w:rPr>
            </w:pPr>
            <w:r w:rsidRPr="00271DA5">
              <w:rPr>
                <w:sz w:val="22"/>
                <w:szCs w:val="22"/>
              </w:rPr>
              <w:t>2,996</w:t>
            </w:r>
          </w:p>
        </w:tc>
      </w:tr>
    </w:tbl>
    <w:p w14:paraId="6A932815" w14:textId="6E6829A0" w:rsidR="007B165E" w:rsidRPr="00271DA5" w:rsidRDefault="007B165E" w:rsidP="00C7233F">
      <w:pPr>
        <w:rPr>
          <w:sz w:val="20"/>
          <w:szCs w:val="20"/>
        </w:rPr>
      </w:pPr>
    </w:p>
    <w:p w14:paraId="78ACD785" w14:textId="77777777" w:rsidR="00805E33" w:rsidRPr="00271DA5" w:rsidRDefault="00805E33" w:rsidP="00C7233F">
      <w:pPr>
        <w:rPr>
          <w:sz w:val="20"/>
          <w:szCs w:val="20"/>
          <w:lang w:val="en-GB"/>
        </w:rPr>
        <w:sectPr w:rsidR="00805E33" w:rsidRPr="00271DA5" w:rsidSect="001728CF">
          <w:pgSz w:w="11900" w:h="16840"/>
          <w:pgMar w:top="1440" w:right="1440" w:bottom="1440" w:left="1440" w:header="720" w:footer="720" w:gutter="0"/>
          <w:cols w:space="720"/>
          <w:docGrid w:linePitch="360"/>
        </w:sectPr>
      </w:pPr>
    </w:p>
    <w:tbl>
      <w:tblPr>
        <w:tblW w:w="5000" w:type="pct"/>
        <w:tblLook w:val="04A0" w:firstRow="1" w:lastRow="0" w:firstColumn="1" w:lastColumn="0" w:noHBand="0" w:noVBand="1"/>
      </w:tblPr>
      <w:tblGrid>
        <w:gridCol w:w="9020"/>
      </w:tblGrid>
      <w:tr w:rsidR="00271DA5" w:rsidRPr="00271DA5" w14:paraId="468151B0" w14:textId="77777777" w:rsidTr="009B3D41">
        <w:trPr>
          <w:trHeight w:val="315"/>
        </w:trPr>
        <w:tc>
          <w:tcPr>
            <w:tcW w:w="5000" w:type="pct"/>
            <w:tcBorders>
              <w:top w:val="nil"/>
              <w:left w:val="nil"/>
              <w:bottom w:val="nil"/>
              <w:right w:val="nil"/>
            </w:tcBorders>
            <w:shd w:val="clear" w:color="auto" w:fill="auto"/>
            <w:noWrap/>
            <w:vAlign w:val="center"/>
            <w:hideMark/>
          </w:tcPr>
          <w:p w14:paraId="53BAF622" w14:textId="53121090" w:rsidR="00805E33" w:rsidRPr="00271DA5" w:rsidRDefault="00805E33" w:rsidP="009B3D41">
            <w:pPr>
              <w:spacing w:before="100" w:after="100"/>
              <w:rPr>
                <w:b/>
                <w:bCs/>
              </w:rPr>
            </w:pPr>
            <w:r w:rsidRPr="00271DA5">
              <w:rPr>
                <w:b/>
                <w:bCs/>
              </w:rPr>
              <w:lastRenderedPageBreak/>
              <w:t xml:space="preserve">Table S2 </w:t>
            </w:r>
            <w:r w:rsidRPr="00271DA5">
              <w:t>Questions used to assess type of caregiving</w:t>
            </w:r>
          </w:p>
        </w:tc>
      </w:tr>
      <w:tr w:rsidR="00271DA5" w:rsidRPr="00271DA5" w14:paraId="109FF62A" w14:textId="77777777" w:rsidTr="009B3D41">
        <w:trPr>
          <w:trHeight w:val="315"/>
        </w:trPr>
        <w:tc>
          <w:tcPr>
            <w:tcW w:w="5000" w:type="pct"/>
            <w:tcBorders>
              <w:top w:val="single" w:sz="4" w:space="0" w:color="auto"/>
              <w:left w:val="nil"/>
              <w:bottom w:val="double" w:sz="6" w:space="0" w:color="auto"/>
              <w:right w:val="nil"/>
            </w:tcBorders>
            <w:shd w:val="clear" w:color="auto" w:fill="auto"/>
            <w:noWrap/>
            <w:vAlign w:val="center"/>
            <w:hideMark/>
          </w:tcPr>
          <w:p w14:paraId="6A27B6E2" w14:textId="77777777" w:rsidR="00805E33" w:rsidRPr="00271DA5" w:rsidRDefault="00805E33" w:rsidP="009B3D41">
            <w:pPr>
              <w:spacing w:before="100" w:after="100"/>
              <w:rPr>
                <w:sz w:val="22"/>
                <w:szCs w:val="22"/>
              </w:rPr>
            </w:pPr>
            <w:r w:rsidRPr="00271DA5">
              <w:rPr>
                <w:sz w:val="22"/>
                <w:szCs w:val="22"/>
              </w:rPr>
              <w:t>Please tell me the kind of care you provided (yes/no)</w:t>
            </w:r>
          </w:p>
        </w:tc>
      </w:tr>
      <w:tr w:rsidR="00271DA5" w:rsidRPr="00271DA5" w14:paraId="725B5114" w14:textId="77777777" w:rsidTr="009B3D41">
        <w:trPr>
          <w:trHeight w:val="315"/>
        </w:trPr>
        <w:tc>
          <w:tcPr>
            <w:tcW w:w="5000" w:type="pct"/>
            <w:tcBorders>
              <w:top w:val="nil"/>
              <w:left w:val="nil"/>
              <w:bottom w:val="nil"/>
              <w:right w:val="nil"/>
            </w:tcBorders>
            <w:shd w:val="clear" w:color="auto" w:fill="auto"/>
            <w:noWrap/>
            <w:vAlign w:val="center"/>
            <w:hideMark/>
          </w:tcPr>
          <w:p w14:paraId="63B3589C" w14:textId="77777777" w:rsidR="00805E33" w:rsidRPr="00271DA5" w:rsidRDefault="00805E33" w:rsidP="009B3D41">
            <w:pPr>
              <w:spacing w:before="100" w:after="100"/>
              <w:rPr>
                <w:sz w:val="22"/>
                <w:szCs w:val="22"/>
              </w:rPr>
            </w:pPr>
            <w:r w:rsidRPr="00271DA5">
              <w:rPr>
                <w:sz w:val="22"/>
                <w:szCs w:val="22"/>
              </w:rPr>
              <w:t>(1) You helped with personal care, such as going to the toilet, washing, getting dressed, or eating</w:t>
            </w:r>
          </w:p>
        </w:tc>
      </w:tr>
      <w:tr w:rsidR="00271DA5" w:rsidRPr="00271DA5" w14:paraId="72AFB044" w14:textId="77777777" w:rsidTr="009B3D41">
        <w:trPr>
          <w:trHeight w:val="300"/>
        </w:trPr>
        <w:tc>
          <w:tcPr>
            <w:tcW w:w="5000" w:type="pct"/>
            <w:tcBorders>
              <w:top w:val="nil"/>
              <w:left w:val="nil"/>
              <w:bottom w:val="nil"/>
              <w:right w:val="nil"/>
            </w:tcBorders>
            <w:shd w:val="clear" w:color="auto" w:fill="auto"/>
            <w:noWrap/>
            <w:vAlign w:val="center"/>
            <w:hideMark/>
          </w:tcPr>
          <w:p w14:paraId="3442687F" w14:textId="77777777" w:rsidR="00805E33" w:rsidRPr="00271DA5" w:rsidRDefault="00805E33" w:rsidP="009B3D41">
            <w:pPr>
              <w:spacing w:before="100" w:after="100"/>
              <w:rPr>
                <w:sz w:val="22"/>
                <w:szCs w:val="22"/>
              </w:rPr>
            </w:pPr>
            <w:r w:rsidRPr="00271DA5">
              <w:rPr>
                <w:sz w:val="22"/>
                <w:szCs w:val="22"/>
              </w:rPr>
              <w:t>(2) You helped with medical care, like changing bandages and giving medicines</w:t>
            </w:r>
          </w:p>
        </w:tc>
      </w:tr>
      <w:tr w:rsidR="00271DA5" w:rsidRPr="00271DA5" w14:paraId="74DF5320" w14:textId="77777777" w:rsidTr="009B3D41">
        <w:trPr>
          <w:trHeight w:val="300"/>
        </w:trPr>
        <w:tc>
          <w:tcPr>
            <w:tcW w:w="5000" w:type="pct"/>
            <w:tcBorders>
              <w:top w:val="nil"/>
              <w:left w:val="nil"/>
              <w:bottom w:val="nil"/>
              <w:right w:val="nil"/>
            </w:tcBorders>
            <w:shd w:val="clear" w:color="auto" w:fill="auto"/>
            <w:noWrap/>
            <w:vAlign w:val="center"/>
            <w:hideMark/>
          </w:tcPr>
          <w:p w14:paraId="590A22A1" w14:textId="77777777" w:rsidR="00805E33" w:rsidRPr="00271DA5" w:rsidRDefault="00805E33" w:rsidP="009B3D41">
            <w:pPr>
              <w:spacing w:before="100" w:after="100"/>
              <w:rPr>
                <w:sz w:val="22"/>
                <w:szCs w:val="22"/>
              </w:rPr>
            </w:pPr>
            <w:r w:rsidRPr="00271DA5">
              <w:rPr>
                <w:sz w:val="22"/>
                <w:szCs w:val="22"/>
              </w:rPr>
              <w:t>(3) You helped with household activities, such as meal preparation, shopping, cleaning, laundry</w:t>
            </w:r>
          </w:p>
        </w:tc>
      </w:tr>
      <w:tr w:rsidR="00271DA5" w:rsidRPr="00271DA5" w14:paraId="24B528BA" w14:textId="77777777" w:rsidTr="009B3D41">
        <w:trPr>
          <w:trHeight w:val="300"/>
        </w:trPr>
        <w:tc>
          <w:tcPr>
            <w:tcW w:w="5000" w:type="pct"/>
            <w:tcBorders>
              <w:top w:val="nil"/>
              <w:left w:val="nil"/>
              <w:bottom w:val="nil"/>
              <w:right w:val="nil"/>
            </w:tcBorders>
            <w:shd w:val="clear" w:color="auto" w:fill="auto"/>
            <w:noWrap/>
            <w:vAlign w:val="center"/>
            <w:hideMark/>
          </w:tcPr>
          <w:p w14:paraId="3684EE42" w14:textId="77777777" w:rsidR="00805E33" w:rsidRPr="00271DA5" w:rsidRDefault="00805E33" w:rsidP="009B3D41">
            <w:pPr>
              <w:spacing w:before="100" w:after="100"/>
              <w:rPr>
                <w:sz w:val="22"/>
                <w:szCs w:val="22"/>
              </w:rPr>
            </w:pPr>
            <w:r w:rsidRPr="00271DA5">
              <w:rPr>
                <w:sz w:val="22"/>
                <w:szCs w:val="22"/>
              </w:rPr>
              <w:t>(4) You watched over them since their behavior can be upsetting or dangerous to themselves or others</w:t>
            </w:r>
          </w:p>
        </w:tc>
      </w:tr>
      <w:tr w:rsidR="00805E33" w:rsidRPr="00271DA5" w14:paraId="6C955127" w14:textId="77777777" w:rsidTr="009B3D41">
        <w:trPr>
          <w:trHeight w:val="300"/>
        </w:trPr>
        <w:tc>
          <w:tcPr>
            <w:tcW w:w="5000" w:type="pct"/>
            <w:tcBorders>
              <w:top w:val="nil"/>
              <w:left w:val="nil"/>
              <w:bottom w:val="single" w:sz="4" w:space="0" w:color="auto"/>
              <w:right w:val="nil"/>
            </w:tcBorders>
            <w:shd w:val="clear" w:color="auto" w:fill="auto"/>
            <w:noWrap/>
            <w:vAlign w:val="center"/>
            <w:hideMark/>
          </w:tcPr>
          <w:p w14:paraId="54E83DBD" w14:textId="77777777" w:rsidR="00805E33" w:rsidRPr="00271DA5" w:rsidRDefault="00805E33" w:rsidP="009B3D41">
            <w:pPr>
              <w:spacing w:before="100" w:after="100"/>
              <w:rPr>
                <w:sz w:val="22"/>
                <w:szCs w:val="22"/>
              </w:rPr>
            </w:pPr>
            <w:r w:rsidRPr="00271DA5">
              <w:rPr>
                <w:sz w:val="22"/>
                <w:szCs w:val="22"/>
              </w:rPr>
              <w:t>(5) You helped them to get around outside the home</w:t>
            </w:r>
          </w:p>
        </w:tc>
      </w:tr>
    </w:tbl>
    <w:p w14:paraId="5A404BDB" w14:textId="13568158" w:rsidR="00B87CC5" w:rsidRPr="00271DA5" w:rsidRDefault="00B87CC5" w:rsidP="00C7233F">
      <w:pPr>
        <w:rPr>
          <w:sz w:val="20"/>
          <w:szCs w:val="20"/>
        </w:rPr>
      </w:pPr>
    </w:p>
    <w:sectPr w:rsidR="00B87CC5" w:rsidRPr="00271DA5" w:rsidSect="001728CF">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52DDD" w14:textId="77777777" w:rsidR="00F719A0" w:rsidRDefault="00F719A0" w:rsidP="00A32FCD">
      <w:r>
        <w:separator/>
      </w:r>
    </w:p>
  </w:endnote>
  <w:endnote w:type="continuationSeparator" w:id="0">
    <w:p w14:paraId="3C9EFECE" w14:textId="77777777" w:rsidR="00F719A0" w:rsidRDefault="00F719A0" w:rsidP="00A32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1441356"/>
      <w:docPartObj>
        <w:docPartGallery w:val="Page Numbers (Bottom of Page)"/>
        <w:docPartUnique/>
      </w:docPartObj>
    </w:sdtPr>
    <w:sdtEndPr>
      <w:rPr>
        <w:noProof/>
      </w:rPr>
    </w:sdtEndPr>
    <w:sdtContent>
      <w:p w14:paraId="6C5FF528" w14:textId="24F8B634" w:rsidR="009B3D41" w:rsidRDefault="009B3D41">
        <w:pPr>
          <w:pStyle w:val="Footer"/>
          <w:jc w:val="right"/>
        </w:pPr>
        <w:r>
          <w:fldChar w:fldCharType="begin"/>
        </w:r>
        <w:r>
          <w:instrText xml:space="preserve"> PAGE   \* MERGEFORMAT </w:instrText>
        </w:r>
        <w:r>
          <w:fldChar w:fldCharType="separate"/>
        </w:r>
        <w:r w:rsidR="00271DA5">
          <w:rPr>
            <w:noProof/>
          </w:rPr>
          <w:t>21</w:t>
        </w:r>
        <w:r>
          <w:rPr>
            <w:noProof/>
          </w:rPr>
          <w:fldChar w:fldCharType="end"/>
        </w:r>
      </w:p>
    </w:sdtContent>
  </w:sdt>
  <w:p w14:paraId="5611E15C" w14:textId="77777777" w:rsidR="009B3D41" w:rsidRDefault="009B3D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5127E" w14:textId="77777777" w:rsidR="00F719A0" w:rsidRDefault="00F719A0" w:rsidP="00A32FCD">
      <w:r>
        <w:separator/>
      </w:r>
    </w:p>
  </w:footnote>
  <w:footnote w:type="continuationSeparator" w:id="0">
    <w:p w14:paraId="29CBA0A8" w14:textId="77777777" w:rsidR="00F719A0" w:rsidRDefault="00F719A0" w:rsidP="00A32F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992E4E"/>
    <w:multiLevelType w:val="hybridMultilevel"/>
    <w:tmpl w:val="CD32A504"/>
    <w:lvl w:ilvl="0" w:tplc="2662DB48">
      <w:start w:val="1"/>
      <w:numFmt w:val="decimal"/>
      <w:lvlText w:val="%1."/>
      <w:lvlJc w:val="left"/>
      <w:pPr>
        <w:ind w:left="720" w:hanging="360"/>
      </w:pPr>
      <w:rPr>
        <w:rFonts w:hint="default"/>
        <w:b w:val="0"/>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A3030C"/>
    <w:multiLevelType w:val="hybridMultilevel"/>
    <w:tmpl w:val="3E8C02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5F611B"/>
    <w:multiLevelType w:val="hybridMultilevel"/>
    <w:tmpl w:val="41E4370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51F16B0"/>
    <w:multiLevelType w:val="hybridMultilevel"/>
    <w:tmpl w:val="2F0C2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E206EC"/>
    <w:multiLevelType w:val="hybridMultilevel"/>
    <w:tmpl w:val="6B46B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 Gerontology A&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897&lt;/item&gt;&lt;item&gt;1615&lt;/item&gt;&lt;item&gt;3417&lt;/item&gt;&lt;item&gt;3821&lt;/item&gt;&lt;item&gt;4676&lt;/item&gt;&lt;item&gt;6867&lt;/item&gt;&lt;item&gt;6960&lt;/item&gt;&lt;/record-ids&gt;&lt;/item&gt;&lt;/Libraries&gt;"/>
  </w:docVars>
  <w:rsids>
    <w:rsidRoot w:val="00CB0B05"/>
    <w:rsid w:val="00000475"/>
    <w:rsid w:val="00000542"/>
    <w:rsid w:val="00002C16"/>
    <w:rsid w:val="00002F5A"/>
    <w:rsid w:val="000039F3"/>
    <w:rsid w:val="00003BB8"/>
    <w:rsid w:val="000050EC"/>
    <w:rsid w:val="0000550B"/>
    <w:rsid w:val="00006B93"/>
    <w:rsid w:val="00007E52"/>
    <w:rsid w:val="00007F8C"/>
    <w:rsid w:val="0001026C"/>
    <w:rsid w:val="000106E1"/>
    <w:rsid w:val="00011D93"/>
    <w:rsid w:val="00012996"/>
    <w:rsid w:val="000130C1"/>
    <w:rsid w:val="00013D3C"/>
    <w:rsid w:val="000149F9"/>
    <w:rsid w:val="000156F5"/>
    <w:rsid w:val="00016350"/>
    <w:rsid w:val="0001650B"/>
    <w:rsid w:val="000223B3"/>
    <w:rsid w:val="00022440"/>
    <w:rsid w:val="00023A18"/>
    <w:rsid w:val="0002563C"/>
    <w:rsid w:val="0002592D"/>
    <w:rsid w:val="00025AD5"/>
    <w:rsid w:val="00027F5A"/>
    <w:rsid w:val="00030C1A"/>
    <w:rsid w:val="00030DF0"/>
    <w:rsid w:val="00031007"/>
    <w:rsid w:val="00031294"/>
    <w:rsid w:val="000332D7"/>
    <w:rsid w:val="0003452B"/>
    <w:rsid w:val="000362E2"/>
    <w:rsid w:val="00037D7F"/>
    <w:rsid w:val="00037F9E"/>
    <w:rsid w:val="00040F97"/>
    <w:rsid w:val="00042077"/>
    <w:rsid w:val="000436E6"/>
    <w:rsid w:val="00045E74"/>
    <w:rsid w:val="0005089C"/>
    <w:rsid w:val="00053221"/>
    <w:rsid w:val="00053711"/>
    <w:rsid w:val="00054324"/>
    <w:rsid w:val="00054682"/>
    <w:rsid w:val="00055D75"/>
    <w:rsid w:val="000576F2"/>
    <w:rsid w:val="00057B96"/>
    <w:rsid w:val="00057F64"/>
    <w:rsid w:val="000600EA"/>
    <w:rsid w:val="00062C94"/>
    <w:rsid w:val="00062FEF"/>
    <w:rsid w:val="0006465E"/>
    <w:rsid w:val="00065672"/>
    <w:rsid w:val="0006600D"/>
    <w:rsid w:val="0006602F"/>
    <w:rsid w:val="000674CC"/>
    <w:rsid w:val="00067F61"/>
    <w:rsid w:val="000707AD"/>
    <w:rsid w:val="00070D15"/>
    <w:rsid w:val="00071821"/>
    <w:rsid w:val="00072AFA"/>
    <w:rsid w:val="00072C63"/>
    <w:rsid w:val="00074F01"/>
    <w:rsid w:val="000754F1"/>
    <w:rsid w:val="0007642C"/>
    <w:rsid w:val="000802A2"/>
    <w:rsid w:val="000810E5"/>
    <w:rsid w:val="000822A3"/>
    <w:rsid w:val="00083011"/>
    <w:rsid w:val="00084E07"/>
    <w:rsid w:val="00086F8A"/>
    <w:rsid w:val="000871F0"/>
    <w:rsid w:val="0009008E"/>
    <w:rsid w:val="00090327"/>
    <w:rsid w:val="00091C2C"/>
    <w:rsid w:val="000930CC"/>
    <w:rsid w:val="00093407"/>
    <w:rsid w:val="0009343F"/>
    <w:rsid w:val="000948CB"/>
    <w:rsid w:val="0009571C"/>
    <w:rsid w:val="00095F1F"/>
    <w:rsid w:val="00095F8D"/>
    <w:rsid w:val="00097174"/>
    <w:rsid w:val="00097B65"/>
    <w:rsid w:val="000A32AD"/>
    <w:rsid w:val="000A612E"/>
    <w:rsid w:val="000A7181"/>
    <w:rsid w:val="000B0AA8"/>
    <w:rsid w:val="000B1A06"/>
    <w:rsid w:val="000B224D"/>
    <w:rsid w:val="000B252B"/>
    <w:rsid w:val="000B2925"/>
    <w:rsid w:val="000B341F"/>
    <w:rsid w:val="000B462B"/>
    <w:rsid w:val="000B529E"/>
    <w:rsid w:val="000B6757"/>
    <w:rsid w:val="000B6F71"/>
    <w:rsid w:val="000B7304"/>
    <w:rsid w:val="000C017C"/>
    <w:rsid w:val="000C0BFA"/>
    <w:rsid w:val="000C0FFB"/>
    <w:rsid w:val="000C274C"/>
    <w:rsid w:val="000C31AC"/>
    <w:rsid w:val="000C4467"/>
    <w:rsid w:val="000C455A"/>
    <w:rsid w:val="000C4797"/>
    <w:rsid w:val="000C71A0"/>
    <w:rsid w:val="000C7BF6"/>
    <w:rsid w:val="000D1BB2"/>
    <w:rsid w:val="000D212A"/>
    <w:rsid w:val="000D323E"/>
    <w:rsid w:val="000D3A80"/>
    <w:rsid w:val="000D3F0E"/>
    <w:rsid w:val="000D43F4"/>
    <w:rsid w:val="000D4BE9"/>
    <w:rsid w:val="000D6187"/>
    <w:rsid w:val="000D6AC4"/>
    <w:rsid w:val="000D6EA0"/>
    <w:rsid w:val="000D73F1"/>
    <w:rsid w:val="000D7E8A"/>
    <w:rsid w:val="000D7FD0"/>
    <w:rsid w:val="000E13A2"/>
    <w:rsid w:val="000E1DE1"/>
    <w:rsid w:val="000E2234"/>
    <w:rsid w:val="000E4046"/>
    <w:rsid w:val="000E4844"/>
    <w:rsid w:val="000E4A8F"/>
    <w:rsid w:val="000E5DFD"/>
    <w:rsid w:val="000E62D2"/>
    <w:rsid w:val="000F0E33"/>
    <w:rsid w:val="000F11B1"/>
    <w:rsid w:val="000F3904"/>
    <w:rsid w:val="000F39A3"/>
    <w:rsid w:val="000F3ED2"/>
    <w:rsid w:val="000F565D"/>
    <w:rsid w:val="000F5921"/>
    <w:rsid w:val="000F6B03"/>
    <w:rsid w:val="000F6D5A"/>
    <w:rsid w:val="000F736B"/>
    <w:rsid w:val="001005D4"/>
    <w:rsid w:val="001016C8"/>
    <w:rsid w:val="00101C99"/>
    <w:rsid w:val="00104365"/>
    <w:rsid w:val="00104751"/>
    <w:rsid w:val="001050F9"/>
    <w:rsid w:val="0010587F"/>
    <w:rsid w:val="001067AB"/>
    <w:rsid w:val="00106A90"/>
    <w:rsid w:val="001074E4"/>
    <w:rsid w:val="00107CED"/>
    <w:rsid w:val="001106D1"/>
    <w:rsid w:val="00110714"/>
    <w:rsid w:val="00111064"/>
    <w:rsid w:val="00113ACB"/>
    <w:rsid w:val="00113F66"/>
    <w:rsid w:val="00113FC1"/>
    <w:rsid w:val="00114900"/>
    <w:rsid w:val="001155F8"/>
    <w:rsid w:val="001173C7"/>
    <w:rsid w:val="00121A05"/>
    <w:rsid w:val="00124AF4"/>
    <w:rsid w:val="00124E7F"/>
    <w:rsid w:val="001250A1"/>
    <w:rsid w:val="0012697D"/>
    <w:rsid w:val="00126A0F"/>
    <w:rsid w:val="00127518"/>
    <w:rsid w:val="00130E4B"/>
    <w:rsid w:val="00132587"/>
    <w:rsid w:val="0013573B"/>
    <w:rsid w:val="001358B7"/>
    <w:rsid w:val="0013602B"/>
    <w:rsid w:val="00141693"/>
    <w:rsid w:val="001419D4"/>
    <w:rsid w:val="00142E9F"/>
    <w:rsid w:val="00143178"/>
    <w:rsid w:val="001444A8"/>
    <w:rsid w:val="00145E10"/>
    <w:rsid w:val="00150FF1"/>
    <w:rsid w:val="0015118C"/>
    <w:rsid w:val="001523F9"/>
    <w:rsid w:val="00162899"/>
    <w:rsid w:val="001632C4"/>
    <w:rsid w:val="00163C88"/>
    <w:rsid w:val="001642F1"/>
    <w:rsid w:val="00164C7D"/>
    <w:rsid w:val="0016511E"/>
    <w:rsid w:val="00166227"/>
    <w:rsid w:val="00171272"/>
    <w:rsid w:val="00171A79"/>
    <w:rsid w:val="00171E93"/>
    <w:rsid w:val="00172747"/>
    <w:rsid w:val="001728CF"/>
    <w:rsid w:val="00173506"/>
    <w:rsid w:val="00173CB8"/>
    <w:rsid w:val="00175284"/>
    <w:rsid w:val="00175648"/>
    <w:rsid w:val="001757C5"/>
    <w:rsid w:val="001771FC"/>
    <w:rsid w:val="001772AD"/>
    <w:rsid w:val="001818B5"/>
    <w:rsid w:val="0018264D"/>
    <w:rsid w:val="0018276F"/>
    <w:rsid w:val="001840BC"/>
    <w:rsid w:val="00185145"/>
    <w:rsid w:val="00185EF3"/>
    <w:rsid w:val="0018707D"/>
    <w:rsid w:val="00190385"/>
    <w:rsid w:val="00190495"/>
    <w:rsid w:val="001907E2"/>
    <w:rsid w:val="00193B74"/>
    <w:rsid w:val="0019460D"/>
    <w:rsid w:val="00194F53"/>
    <w:rsid w:val="001963CC"/>
    <w:rsid w:val="001974EA"/>
    <w:rsid w:val="001A05B4"/>
    <w:rsid w:val="001A1616"/>
    <w:rsid w:val="001A3505"/>
    <w:rsid w:val="001A3C78"/>
    <w:rsid w:val="001A3DCC"/>
    <w:rsid w:val="001A47C9"/>
    <w:rsid w:val="001A6A5D"/>
    <w:rsid w:val="001A7D63"/>
    <w:rsid w:val="001B081E"/>
    <w:rsid w:val="001B0DBE"/>
    <w:rsid w:val="001B1214"/>
    <w:rsid w:val="001B1287"/>
    <w:rsid w:val="001B1E2B"/>
    <w:rsid w:val="001B20BA"/>
    <w:rsid w:val="001B2BB5"/>
    <w:rsid w:val="001B4490"/>
    <w:rsid w:val="001B506F"/>
    <w:rsid w:val="001B5698"/>
    <w:rsid w:val="001B603D"/>
    <w:rsid w:val="001B6E90"/>
    <w:rsid w:val="001C54D4"/>
    <w:rsid w:val="001C58E5"/>
    <w:rsid w:val="001C5A3E"/>
    <w:rsid w:val="001C5D61"/>
    <w:rsid w:val="001C600A"/>
    <w:rsid w:val="001D119A"/>
    <w:rsid w:val="001D1A4F"/>
    <w:rsid w:val="001D1C7B"/>
    <w:rsid w:val="001D2CF3"/>
    <w:rsid w:val="001D2F08"/>
    <w:rsid w:val="001D3C5F"/>
    <w:rsid w:val="001D3DD5"/>
    <w:rsid w:val="001D463F"/>
    <w:rsid w:val="001D54B5"/>
    <w:rsid w:val="001D5F4E"/>
    <w:rsid w:val="001D6296"/>
    <w:rsid w:val="001D730D"/>
    <w:rsid w:val="001E0423"/>
    <w:rsid w:val="001E2CDD"/>
    <w:rsid w:val="001E36F8"/>
    <w:rsid w:val="001E46F3"/>
    <w:rsid w:val="001E629F"/>
    <w:rsid w:val="001E6AFE"/>
    <w:rsid w:val="001F0480"/>
    <w:rsid w:val="001F0B8F"/>
    <w:rsid w:val="001F1094"/>
    <w:rsid w:val="001F13D8"/>
    <w:rsid w:val="001F17A3"/>
    <w:rsid w:val="001F1A52"/>
    <w:rsid w:val="001F20B2"/>
    <w:rsid w:val="001F21BD"/>
    <w:rsid w:val="001F23AF"/>
    <w:rsid w:val="001F41BC"/>
    <w:rsid w:val="001F4D4B"/>
    <w:rsid w:val="001F6655"/>
    <w:rsid w:val="001F7EA6"/>
    <w:rsid w:val="00200992"/>
    <w:rsid w:val="00200B67"/>
    <w:rsid w:val="0020120F"/>
    <w:rsid w:val="00202396"/>
    <w:rsid w:val="0020251D"/>
    <w:rsid w:val="00202575"/>
    <w:rsid w:val="00202CF6"/>
    <w:rsid w:val="00203207"/>
    <w:rsid w:val="0020346C"/>
    <w:rsid w:val="0020389E"/>
    <w:rsid w:val="00205519"/>
    <w:rsid w:val="0020590A"/>
    <w:rsid w:val="00206AB5"/>
    <w:rsid w:val="00207332"/>
    <w:rsid w:val="002109D5"/>
    <w:rsid w:val="0021122B"/>
    <w:rsid w:val="00211903"/>
    <w:rsid w:val="00211E0E"/>
    <w:rsid w:val="00211F90"/>
    <w:rsid w:val="002126F1"/>
    <w:rsid w:val="0021460F"/>
    <w:rsid w:val="002154D0"/>
    <w:rsid w:val="002160BF"/>
    <w:rsid w:val="002167C0"/>
    <w:rsid w:val="00216A5C"/>
    <w:rsid w:val="00216E26"/>
    <w:rsid w:val="00217931"/>
    <w:rsid w:val="00220C1A"/>
    <w:rsid w:val="00221A45"/>
    <w:rsid w:val="00222FDF"/>
    <w:rsid w:val="0022319A"/>
    <w:rsid w:val="0022510A"/>
    <w:rsid w:val="00226E4D"/>
    <w:rsid w:val="0023212C"/>
    <w:rsid w:val="002347B3"/>
    <w:rsid w:val="00234B4B"/>
    <w:rsid w:val="00234BB8"/>
    <w:rsid w:val="00234BC3"/>
    <w:rsid w:val="00234ED2"/>
    <w:rsid w:val="00235D80"/>
    <w:rsid w:val="00236649"/>
    <w:rsid w:val="002368E6"/>
    <w:rsid w:val="00237353"/>
    <w:rsid w:val="00237798"/>
    <w:rsid w:val="00237D81"/>
    <w:rsid w:val="00237EDE"/>
    <w:rsid w:val="00240273"/>
    <w:rsid w:val="002406A5"/>
    <w:rsid w:val="002406B5"/>
    <w:rsid w:val="00240764"/>
    <w:rsid w:val="00241BB5"/>
    <w:rsid w:val="00242021"/>
    <w:rsid w:val="00242087"/>
    <w:rsid w:val="002436C2"/>
    <w:rsid w:val="00243DE0"/>
    <w:rsid w:val="0024407F"/>
    <w:rsid w:val="002440AC"/>
    <w:rsid w:val="002443FF"/>
    <w:rsid w:val="00244B8A"/>
    <w:rsid w:val="00244FCA"/>
    <w:rsid w:val="002468CC"/>
    <w:rsid w:val="00247F38"/>
    <w:rsid w:val="00250229"/>
    <w:rsid w:val="002508C5"/>
    <w:rsid w:val="0025123A"/>
    <w:rsid w:val="0025255A"/>
    <w:rsid w:val="00252A2D"/>
    <w:rsid w:val="00254217"/>
    <w:rsid w:val="002551D2"/>
    <w:rsid w:val="0025542F"/>
    <w:rsid w:val="0025614B"/>
    <w:rsid w:val="00256FE3"/>
    <w:rsid w:val="00257DD2"/>
    <w:rsid w:val="00260082"/>
    <w:rsid w:val="00260873"/>
    <w:rsid w:val="00262553"/>
    <w:rsid w:val="00262D3D"/>
    <w:rsid w:val="00262F23"/>
    <w:rsid w:val="0026312F"/>
    <w:rsid w:val="00263724"/>
    <w:rsid w:val="00264433"/>
    <w:rsid w:val="0026510E"/>
    <w:rsid w:val="00265F42"/>
    <w:rsid w:val="0026652C"/>
    <w:rsid w:val="002677DC"/>
    <w:rsid w:val="00267FC6"/>
    <w:rsid w:val="0027063B"/>
    <w:rsid w:val="00270DB4"/>
    <w:rsid w:val="00271DA5"/>
    <w:rsid w:val="00274268"/>
    <w:rsid w:val="00275556"/>
    <w:rsid w:val="00275EF1"/>
    <w:rsid w:val="00275F56"/>
    <w:rsid w:val="00276672"/>
    <w:rsid w:val="0028047F"/>
    <w:rsid w:val="00280557"/>
    <w:rsid w:val="0028105B"/>
    <w:rsid w:val="002827CA"/>
    <w:rsid w:val="00282EEF"/>
    <w:rsid w:val="00283B9E"/>
    <w:rsid w:val="0028446A"/>
    <w:rsid w:val="0028469A"/>
    <w:rsid w:val="0028472C"/>
    <w:rsid w:val="0028585E"/>
    <w:rsid w:val="00285D93"/>
    <w:rsid w:val="00285EF1"/>
    <w:rsid w:val="0028631F"/>
    <w:rsid w:val="0028636C"/>
    <w:rsid w:val="00286535"/>
    <w:rsid w:val="00290F61"/>
    <w:rsid w:val="00291B03"/>
    <w:rsid w:val="00293261"/>
    <w:rsid w:val="00293626"/>
    <w:rsid w:val="002960D7"/>
    <w:rsid w:val="00297B4A"/>
    <w:rsid w:val="00297C9E"/>
    <w:rsid w:val="00297FB3"/>
    <w:rsid w:val="002A17E7"/>
    <w:rsid w:val="002A1A62"/>
    <w:rsid w:val="002A2BB6"/>
    <w:rsid w:val="002A52F2"/>
    <w:rsid w:val="002A53EB"/>
    <w:rsid w:val="002B26E8"/>
    <w:rsid w:val="002B306A"/>
    <w:rsid w:val="002B3122"/>
    <w:rsid w:val="002B35A4"/>
    <w:rsid w:val="002B418E"/>
    <w:rsid w:val="002B523C"/>
    <w:rsid w:val="002B5FE1"/>
    <w:rsid w:val="002B721A"/>
    <w:rsid w:val="002B7941"/>
    <w:rsid w:val="002B7C7E"/>
    <w:rsid w:val="002C0B61"/>
    <w:rsid w:val="002C11AB"/>
    <w:rsid w:val="002C1ABF"/>
    <w:rsid w:val="002C4948"/>
    <w:rsid w:val="002C7538"/>
    <w:rsid w:val="002D1E50"/>
    <w:rsid w:val="002D3DFC"/>
    <w:rsid w:val="002D487D"/>
    <w:rsid w:val="002D49F7"/>
    <w:rsid w:val="002D5C5B"/>
    <w:rsid w:val="002D63A8"/>
    <w:rsid w:val="002D78EA"/>
    <w:rsid w:val="002D7BC6"/>
    <w:rsid w:val="002E0592"/>
    <w:rsid w:val="002E06BE"/>
    <w:rsid w:val="002E0777"/>
    <w:rsid w:val="002E0ACE"/>
    <w:rsid w:val="002E26BC"/>
    <w:rsid w:val="002E550C"/>
    <w:rsid w:val="002E6F96"/>
    <w:rsid w:val="002F1F84"/>
    <w:rsid w:val="002F24F2"/>
    <w:rsid w:val="002F2743"/>
    <w:rsid w:val="002F4F10"/>
    <w:rsid w:val="002F5CA3"/>
    <w:rsid w:val="002F65EB"/>
    <w:rsid w:val="002F77C3"/>
    <w:rsid w:val="00300053"/>
    <w:rsid w:val="003006DA"/>
    <w:rsid w:val="00302C3F"/>
    <w:rsid w:val="00302D03"/>
    <w:rsid w:val="00305C28"/>
    <w:rsid w:val="00307146"/>
    <w:rsid w:val="00307AC6"/>
    <w:rsid w:val="00307E26"/>
    <w:rsid w:val="00310DC5"/>
    <w:rsid w:val="00310E78"/>
    <w:rsid w:val="00311845"/>
    <w:rsid w:val="00311BA3"/>
    <w:rsid w:val="003122F0"/>
    <w:rsid w:val="00315ECE"/>
    <w:rsid w:val="00316295"/>
    <w:rsid w:val="00316DBE"/>
    <w:rsid w:val="00317063"/>
    <w:rsid w:val="00320F90"/>
    <w:rsid w:val="00322BBA"/>
    <w:rsid w:val="00324259"/>
    <w:rsid w:val="00325FB9"/>
    <w:rsid w:val="00326CC3"/>
    <w:rsid w:val="00327F24"/>
    <w:rsid w:val="00330540"/>
    <w:rsid w:val="00331B03"/>
    <w:rsid w:val="003378C4"/>
    <w:rsid w:val="003379D6"/>
    <w:rsid w:val="003402D1"/>
    <w:rsid w:val="00340A8A"/>
    <w:rsid w:val="00343A84"/>
    <w:rsid w:val="003451E3"/>
    <w:rsid w:val="00345626"/>
    <w:rsid w:val="003457D3"/>
    <w:rsid w:val="00345A69"/>
    <w:rsid w:val="00352DAA"/>
    <w:rsid w:val="003536C3"/>
    <w:rsid w:val="003539EA"/>
    <w:rsid w:val="00353ADB"/>
    <w:rsid w:val="00354F6C"/>
    <w:rsid w:val="00360CE3"/>
    <w:rsid w:val="00361DEE"/>
    <w:rsid w:val="003624B9"/>
    <w:rsid w:val="003647BF"/>
    <w:rsid w:val="003665F4"/>
    <w:rsid w:val="00366951"/>
    <w:rsid w:val="00366E81"/>
    <w:rsid w:val="00370290"/>
    <w:rsid w:val="00370F6E"/>
    <w:rsid w:val="0037191F"/>
    <w:rsid w:val="00371F84"/>
    <w:rsid w:val="00372022"/>
    <w:rsid w:val="00373587"/>
    <w:rsid w:val="00373B85"/>
    <w:rsid w:val="003753FD"/>
    <w:rsid w:val="003763C2"/>
    <w:rsid w:val="0037670F"/>
    <w:rsid w:val="003772F4"/>
    <w:rsid w:val="00377B80"/>
    <w:rsid w:val="00377C00"/>
    <w:rsid w:val="003811DA"/>
    <w:rsid w:val="0038293A"/>
    <w:rsid w:val="003832A0"/>
    <w:rsid w:val="0038375D"/>
    <w:rsid w:val="00383EB9"/>
    <w:rsid w:val="0038480F"/>
    <w:rsid w:val="00387261"/>
    <w:rsid w:val="003900C6"/>
    <w:rsid w:val="00390DC2"/>
    <w:rsid w:val="00390EBB"/>
    <w:rsid w:val="0039218F"/>
    <w:rsid w:val="003931C8"/>
    <w:rsid w:val="00395441"/>
    <w:rsid w:val="0039628F"/>
    <w:rsid w:val="003A0032"/>
    <w:rsid w:val="003A149E"/>
    <w:rsid w:val="003A181E"/>
    <w:rsid w:val="003A1BFB"/>
    <w:rsid w:val="003A1C8A"/>
    <w:rsid w:val="003A1CF8"/>
    <w:rsid w:val="003A3E20"/>
    <w:rsid w:val="003A3FF0"/>
    <w:rsid w:val="003A49D6"/>
    <w:rsid w:val="003A5DC9"/>
    <w:rsid w:val="003B1342"/>
    <w:rsid w:val="003B1D87"/>
    <w:rsid w:val="003B2466"/>
    <w:rsid w:val="003B2F9F"/>
    <w:rsid w:val="003B3A7A"/>
    <w:rsid w:val="003B53FE"/>
    <w:rsid w:val="003B730D"/>
    <w:rsid w:val="003B7AB4"/>
    <w:rsid w:val="003C13E4"/>
    <w:rsid w:val="003C43FF"/>
    <w:rsid w:val="003C442D"/>
    <w:rsid w:val="003C54B7"/>
    <w:rsid w:val="003C5770"/>
    <w:rsid w:val="003C5988"/>
    <w:rsid w:val="003C604A"/>
    <w:rsid w:val="003C60C0"/>
    <w:rsid w:val="003C7C5C"/>
    <w:rsid w:val="003D0A11"/>
    <w:rsid w:val="003D18F0"/>
    <w:rsid w:val="003D26F3"/>
    <w:rsid w:val="003D4A44"/>
    <w:rsid w:val="003D4F77"/>
    <w:rsid w:val="003D5023"/>
    <w:rsid w:val="003D65CF"/>
    <w:rsid w:val="003D6CCD"/>
    <w:rsid w:val="003D7108"/>
    <w:rsid w:val="003E071C"/>
    <w:rsid w:val="003E0F3C"/>
    <w:rsid w:val="003E3E28"/>
    <w:rsid w:val="003E420F"/>
    <w:rsid w:val="003E4EC2"/>
    <w:rsid w:val="003E67BD"/>
    <w:rsid w:val="003E724D"/>
    <w:rsid w:val="003E7E21"/>
    <w:rsid w:val="003F0525"/>
    <w:rsid w:val="003F22D4"/>
    <w:rsid w:val="003F2990"/>
    <w:rsid w:val="003F29B9"/>
    <w:rsid w:val="003F4F4E"/>
    <w:rsid w:val="003F5209"/>
    <w:rsid w:val="003F5A02"/>
    <w:rsid w:val="003F657A"/>
    <w:rsid w:val="003F6FAE"/>
    <w:rsid w:val="004008AF"/>
    <w:rsid w:val="00403328"/>
    <w:rsid w:val="0040417D"/>
    <w:rsid w:val="00404279"/>
    <w:rsid w:val="00405F9A"/>
    <w:rsid w:val="00414277"/>
    <w:rsid w:val="004157E6"/>
    <w:rsid w:val="004163B7"/>
    <w:rsid w:val="0041652F"/>
    <w:rsid w:val="00417120"/>
    <w:rsid w:val="00417FF8"/>
    <w:rsid w:val="004206B7"/>
    <w:rsid w:val="00422521"/>
    <w:rsid w:val="0042413A"/>
    <w:rsid w:val="00425D86"/>
    <w:rsid w:val="00426A64"/>
    <w:rsid w:val="00426DC0"/>
    <w:rsid w:val="00427519"/>
    <w:rsid w:val="00427579"/>
    <w:rsid w:val="00432ACA"/>
    <w:rsid w:val="00433470"/>
    <w:rsid w:val="00433483"/>
    <w:rsid w:val="00440475"/>
    <w:rsid w:val="0044172B"/>
    <w:rsid w:val="00442494"/>
    <w:rsid w:val="0044269D"/>
    <w:rsid w:val="00442C4A"/>
    <w:rsid w:val="004438DE"/>
    <w:rsid w:val="00443C57"/>
    <w:rsid w:val="00445F8A"/>
    <w:rsid w:val="0044796F"/>
    <w:rsid w:val="004511C4"/>
    <w:rsid w:val="00451E58"/>
    <w:rsid w:val="00454753"/>
    <w:rsid w:val="00457175"/>
    <w:rsid w:val="00457816"/>
    <w:rsid w:val="0046100C"/>
    <w:rsid w:val="004633D0"/>
    <w:rsid w:val="00463CA2"/>
    <w:rsid w:val="004642E2"/>
    <w:rsid w:val="00464E5C"/>
    <w:rsid w:val="0046528E"/>
    <w:rsid w:val="0046545A"/>
    <w:rsid w:val="00465A0C"/>
    <w:rsid w:val="00465F61"/>
    <w:rsid w:val="00466A63"/>
    <w:rsid w:val="00467506"/>
    <w:rsid w:val="00467696"/>
    <w:rsid w:val="00470601"/>
    <w:rsid w:val="00470776"/>
    <w:rsid w:val="00472201"/>
    <w:rsid w:val="00473E8B"/>
    <w:rsid w:val="00474032"/>
    <w:rsid w:val="00475597"/>
    <w:rsid w:val="004805D3"/>
    <w:rsid w:val="00483378"/>
    <w:rsid w:val="0048419E"/>
    <w:rsid w:val="00484B85"/>
    <w:rsid w:val="00484C77"/>
    <w:rsid w:val="0048592B"/>
    <w:rsid w:val="00487641"/>
    <w:rsid w:val="00487A75"/>
    <w:rsid w:val="00490524"/>
    <w:rsid w:val="00491203"/>
    <w:rsid w:val="00491634"/>
    <w:rsid w:val="00492363"/>
    <w:rsid w:val="004929A1"/>
    <w:rsid w:val="00493D65"/>
    <w:rsid w:val="004955F2"/>
    <w:rsid w:val="00495815"/>
    <w:rsid w:val="00495822"/>
    <w:rsid w:val="00495C4D"/>
    <w:rsid w:val="004965E5"/>
    <w:rsid w:val="00496EFE"/>
    <w:rsid w:val="004A1902"/>
    <w:rsid w:val="004A190B"/>
    <w:rsid w:val="004A22F8"/>
    <w:rsid w:val="004A2CDC"/>
    <w:rsid w:val="004A3406"/>
    <w:rsid w:val="004A4B1E"/>
    <w:rsid w:val="004A523E"/>
    <w:rsid w:val="004A6400"/>
    <w:rsid w:val="004A7185"/>
    <w:rsid w:val="004A7414"/>
    <w:rsid w:val="004A7857"/>
    <w:rsid w:val="004A7F08"/>
    <w:rsid w:val="004B07C5"/>
    <w:rsid w:val="004B0DE5"/>
    <w:rsid w:val="004B1CB7"/>
    <w:rsid w:val="004B2893"/>
    <w:rsid w:val="004B2A84"/>
    <w:rsid w:val="004B2E20"/>
    <w:rsid w:val="004B3319"/>
    <w:rsid w:val="004B4829"/>
    <w:rsid w:val="004B4E06"/>
    <w:rsid w:val="004B5E7C"/>
    <w:rsid w:val="004B65C7"/>
    <w:rsid w:val="004B6FCC"/>
    <w:rsid w:val="004C26FF"/>
    <w:rsid w:val="004C2EC6"/>
    <w:rsid w:val="004C3777"/>
    <w:rsid w:val="004C41E6"/>
    <w:rsid w:val="004C46A1"/>
    <w:rsid w:val="004C5A28"/>
    <w:rsid w:val="004C64E6"/>
    <w:rsid w:val="004C7F13"/>
    <w:rsid w:val="004D0BA4"/>
    <w:rsid w:val="004D1344"/>
    <w:rsid w:val="004D1F93"/>
    <w:rsid w:val="004D4A48"/>
    <w:rsid w:val="004D4A5E"/>
    <w:rsid w:val="004D4AF2"/>
    <w:rsid w:val="004D569A"/>
    <w:rsid w:val="004D5940"/>
    <w:rsid w:val="004D6C0A"/>
    <w:rsid w:val="004E0180"/>
    <w:rsid w:val="004E17E9"/>
    <w:rsid w:val="004E3F07"/>
    <w:rsid w:val="004E4387"/>
    <w:rsid w:val="004E501E"/>
    <w:rsid w:val="004E714E"/>
    <w:rsid w:val="004E7807"/>
    <w:rsid w:val="004F02D6"/>
    <w:rsid w:val="004F0690"/>
    <w:rsid w:val="004F07AE"/>
    <w:rsid w:val="004F2191"/>
    <w:rsid w:val="004F26B0"/>
    <w:rsid w:val="004F4169"/>
    <w:rsid w:val="004F6568"/>
    <w:rsid w:val="004F678E"/>
    <w:rsid w:val="004F6C76"/>
    <w:rsid w:val="004F6D21"/>
    <w:rsid w:val="004F77C1"/>
    <w:rsid w:val="005001D5"/>
    <w:rsid w:val="00501DC7"/>
    <w:rsid w:val="00503347"/>
    <w:rsid w:val="00503CD1"/>
    <w:rsid w:val="00507DB4"/>
    <w:rsid w:val="00511B4E"/>
    <w:rsid w:val="00513305"/>
    <w:rsid w:val="005134F8"/>
    <w:rsid w:val="00513503"/>
    <w:rsid w:val="00513738"/>
    <w:rsid w:val="00513E74"/>
    <w:rsid w:val="0051468A"/>
    <w:rsid w:val="00515F45"/>
    <w:rsid w:val="00517097"/>
    <w:rsid w:val="00517E11"/>
    <w:rsid w:val="00520F96"/>
    <w:rsid w:val="005218FC"/>
    <w:rsid w:val="0052203A"/>
    <w:rsid w:val="005276CD"/>
    <w:rsid w:val="005277F5"/>
    <w:rsid w:val="005329E3"/>
    <w:rsid w:val="0053392A"/>
    <w:rsid w:val="00535B47"/>
    <w:rsid w:val="00536F8E"/>
    <w:rsid w:val="00541AA2"/>
    <w:rsid w:val="00541BA5"/>
    <w:rsid w:val="005427BC"/>
    <w:rsid w:val="00543509"/>
    <w:rsid w:val="00544843"/>
    <w:rsid w:val="00544971"/>
    <w:rsid w:val="005453E3"/>
    <w:rsid w:val="00545F48"/>
    <w:rsid w:val="00546DAC"/>
    <w:rsid w:val="0054748C"/>
    <w:rsid w:val="00547DF4"/>
    <w:rsid w:val="00551538"/>
    <w:rsid w:val="00552E01"/>
    <w:rsid w:val="00553032"/>
    <w:rsid w:val="0055359E"/>
    <w:rsid w:val="005540D9"/>
    <w:rsid w:val="00555E8A"/>
    <w:rsid w:val="00564C1A"/>
    <w:rsid w:val="005707AD"/>
    <w:rsid w:val="005707CA"/>
    <w:rsid w:val="00571598"/>
    <w:rsid w:val="00572705"/>
    <w:rsid w:val="00572F7E"/>
    <w:rsid w:val="005752F5"/>
    <w:rsid w:val="00581167"/>
    <w:rsid w:val="00581BEB"/>
    <w:rsid w:val="0058207D"/>
    <w:rsid w:val="0058296F"/>
    <w:rsid w:val="00583509"/>
    <w:rsid w:val="00583AB5"/>
    <w:rsid w:val="005855F8"/>
    <w:rsid w:val="00587B08"/>
    <w:rsid w:val="00587C16"/>
    <w:rsid w:val="00587E62"/>
    <w:rsid w:val="005901C6"/>
    <w:rsid w:val="00590350"/>
    <w:rsid w:val="00590454"/>
    <w:rsid w:val="00590621"/>
    <w:rsid w:val="005961BC"/>
    <w:rsid w:val="00596890"/>
    <w:rsid w:val="005A0829"/>
    <w:rsid w:val="005A1EDB"/>
    <w:rsid w:val="005A1F15"/>
    <w:rsid w:val="005A2305"/>
    <w:rsid w:val="005A5667"/>
    <w:rsid w:val="005A5BC1"/>
    <w:rsid w:val="005A760B"/>
    <w:rsid w:val="005B021C"/>
    <w:rsid w:val="005B1BC4"/>
    <w:rsid w:val="005B2733"/>
    <w:rsid w:val="005B276C"/>
    <w:rsid w:val="005B3C6D"/>
    <w:rsid w:val="005B68E9"/>
    <w:rsid w:val="005B6BDB"/>
    <w:rsid w:val="005C02E7"/>
    <w:rsid w:val="005C13D6"/>
    <w:rsid w:val="005C363A"/>
    <w:rsid w:val="005C3671"/>
    <w:rsid w:val="005C3F40"/>
    <w:rsid w:val="005C73D3"/>
    <w:rsid w:val="005C748F"/>
    <w:rsid w:val="005D0C85"/>
    <w:rsid w:val="005D1A21"/>
    <w:rsid w:val="005D2335"/>
    <w:rsid w:val="005D3984"/>
    <w:rsid w:val="005D42F4"/>
    <w:rsid w:val="005D4523"/>
    <w:rsid w:val="005D45C4"/>
    <w:rsid w:val="005D4883"/>
    <w:rsid w:val="005D53CF"/>
    <w:rsid w:val="005D6AC1"/>
    <w:rsid w:val="005E0534"/>
    <w:rsid w:val="005E0C59"/>
    <w:rsid w:val="005E0EBF"/>
    <w:rsid w:val="005E25F1"/>
    <w:rsid w:val="005E7881"/>
    <w:rsid w:val="005E798E"/>
    <w:rsid w:val="005F003B"/>
    <w:rsid w:val="005F3D3C"/>
    <w:rsid w:val="005F4097"/>
    <w:rsid w:val="005F5769"/>
    <w:rsid w:val="005F7B9F"/>
    <w:rsid w:val="00601137"/>
    <w:rsid w:val="0060113D"/>
    <w:rsid w:val="00603F8C"/>
    <w:rsid w:val="00605531"/>
    <w:rsid w:val="0060670B"/>
    <w:rsid w:val="0061030B"/>
    <w:rsid w:val="00610785"/>
    <w:rsid w:val="00612786"/>
    <w:rsid w:val="0061294F"/>
    <w:rsid w:val="006138A2"/>
    <w:rsid w:val="00614E20"/>
    <w:rsid w:val="006156D2"/>
    <w:rsid w:val="00616FDB"/>
    <w:rsid w:val="00620578"/>
    <w:rsid w:val="006209A3"/>
    <w:rsid w:val="00620EA8"/>
    <w:rsid w:val="0062202A"/>
    <w:rsid w:val="0062437B"/>
    <w:rsid w:val="00624B34"/>
    <w:rsid w:val="0062623F"/>
    <w:rsid w:val="006265A7"/>
    <w:rsid w:val="00630403"/>
    <w:rsid w:val="006314F6"/>
    <w:rsid w:val="00631594"/>
    <w:rsid w:val="00632550"/>
    <w:rsid w:val="0063258C"/>
    <w:rsid w:val="006339CD"/>
    <w:rsid w:val="00633A48"/>
    <w:rsid w:val="00634523"/>
    <w:rsid w:val="00636BB5"/>
    <w:rsid w:val="00636F01"/>
    <w:rsid w:val="00636FC7"/>
    <w:rsid w:val="00640AFB"/>
    <w:rsid w:val="00640C56"/>
    <w:rsid w:val="00640E87"/>
    <w:rsid w:val="00641D94"/>
    <w:rsid w:val="00643109"/>
    <w:rsid w:val="006440DF"/>
    <w:rsid w:val="00645438"/>
    <w:rsid w:val="0064589F"/>
    <w:rsid w:val="00645A7C"/>
    <w:rsid w:val="006469AC"/>
    <w:rsid w:val="00647784"/>
    <w:rsid w:val="00650371"/>
    <w:rsid w:val="0065238E"/>
    <w:rsid w:val="00652CD3"/>
    <w:rsid w:val="006554CA"/>
    <w:rsid w:val="00655665"/>
    <w:rsid w:val="00655EF6"/>
    <w:rsid w:val="00660314"/>
    <w:rsid w:val="0066116F"/>
    <w:rsid w:val="0066121F"/>
    <w:rsid w:val="006624AD"/>
    <w:rsid w:val="00664C60"/>
    <w:rsid w:val="006651D8"/>
    <w:rsid w:val="006653B2"/>
    <w:rsid w:val="00671727"/>
    <w:rsid w:val="0067182A"/>
    <w:rsid w:val="00671ADC"/>
    <w:rsid w:val="00671C5F"/>
    <w:rsid w:val="00671E73"/>
    <w:rsid w:val="006721BB"/>
    <w:rsid w:val="00673E63"/>
    <w:rsid w:val="00674425"/>
    <w:rsid w:val="006750DF"/>
    <w:rsid w:val="00676F07"/>
    <w:rsid w:val="00677600"/>
    <w:rsid w:val="00677BF6"/>
    <w:rsid w:val="0068083F"/>
    <w:rsid w:val="00680DA9"/>
    <w:rsid w:val="00680DF1"/>
    <w:rsid w:val="00681133"/>
    <w:rsid w:val="00684580"/>
    <w:rsid w:val="00686BF1"/>
    <w:rsid w:val="00690D01"/>
    <w:rsid w:val="00690F96"/>
    <w:rsid w:val="00691BAE"/>
    <w:rsid w:val="00691CB8"/>
    <w:rsid w:val="00692372"/>
    <w:rsid w:val="006950B2"/>
    <w:rsid w:val="006955A3"/>
    <w:rsid w:val="00696375"/>
    <w:rsid w:val="006965B5"/>
    <w:rsid w:val="00696B9B"/>
    <w:rsid w:val="0069789C"/>
    <w:rsid w:val="00697CD5"/>
    <w:rsid w:val="006A0442"/>
    <w:rsid w:val="006A050F"/>
    <w:rsid w:val="006A052C"/>
    <w:rsid w:val="006A0862"/>
    <w:rsid w:val="006A150A"/>
    <w:rsid w:val="006A19BF"/>
    <w:rsid w:val="006A1C95"/>
    <w:rsid w:val="006A2323"/>
    <w:rsid w:val="006A2912"/>
    <w:rsid w:val="006A3B5F"/>
    <w:rsid w:val="006A627B"/>
    <w:rsid w:val="006B0D82"/>
    <w:rsid w:val="006B3257"/>
    <w:rsid w:val="006B3A43"/>
    <w:rsid w:val="006B3D66"/>
    <w:rsid w:val="006B3FD2"/>
    <w:rsid w:val="006B4857"/>
    <w:rsid w:val="006B4E8D"/>
    <w:rsid w:val="006B5643"/>
    <w:rsid w:val="006B5AA8"/>
    <w:rsid w:val="006B6874"/>
    <w:rsid w:val="006B7C76"/>
    <w:rsid w:val="006B7E83"/>
    <w:rsid w:val="006C0631"/>
    <w:rsid w:val="006C1CE5"/>
    <w:rsid w:val="006C1E0E"/>
    <w:rsid w:val="006C2315"/>
    <w:rsid w:val="006C44C5"/>
    <w:rsid w:val="006C53A0"/>
    <w:rsid w:val="006C5EFA"/>
    <w:rsid w:val="006C69A4"/>
    <w:rsid w:val="006C723B"/>
    <w:rsid w:val="006C7286"/>
    <w:rsid w:val="006C7F26"/>
    <w:rsid w:val="006D1320"/>
    <w:rsid w:val="006D14F1"/>
    <w:rsid w:val="006D153D"/>
    <w:rsid w:val="006D30A4"/>
    <w:rsid w:val="006D3AAA"/>
    <w:rsid w:val="006D3BAD"/>
    <w:rsid w:val="006D3F62"/>
    <w:rsid w:val="006D6194"/>
    <w:rsid w:val="006D62E6"/>
    <w:rsid w:val="006D7465"/>
    <w:rsid w:val="006D770F"/>
    <w:rsid w:val="006E3B80"/>
    <w:rsid w:val="006E3CB5"/>
    <w:rsid w:val="006E5A62"/>
    <w:rsid w:val="006E5EC9"/>
    <w:rsid w:val="006E7011"/>
    <w:rsid w:val="006F1199"/>
    <w:rsid w:val="006F1BBD"/>
    <w:rsid w:val="006F2D24"/>
    <w:rsid w:val="006F3430"/>
    <w:rsid w:val="006F4E7F"/>
    <w:rsid w:val="006F5B59"/>
    <w:rsid w:val="006F6503"/>
    <w:rsid w:val="006F6A69"/>
    <w:rsid w:val="006F6AAE"/>
    <w:rsid w:val="006F6FC4"/>
    <w:rsid w:val="006F7BCC"/>
    <w:rsid w:val="007000BE"/>
    <w:rsid w:val="007000FD"/>
    <w:rsid w:val="007005F5"/>
    <w:rsid w:val="00700729"/>
    <w:rsid w:val="007026CF"/>
    <w:rsid w:val="00702F3C"/>
    <w:rsid w:val="007042C3"/>
    <w:rsid w:val="00705547"/>
    <w:rsid w:val="00706901"/>
    <w:rsid w:val="00710310"/>
    <w:rsid w:val="00710B2F"/>
    <w:rsid w:val="00711538"/>
    <w:rsid w:val="007115BE"/>
    <w:rsid w:val="00712123"/>
    <w:rsid w:val="00715B94"/>
    <w:rsid w:val="00715BE6"/>
    <w:rsid w:val="007164DF"/>
    <w:rsid w:val="007169E9"/>
    <w:rsid w:val="00717EC4"/>
    <w:rsid w:val="00721C6F"/>
    <w:rsid w:val="00721EC0"/>
    <w:rsid w:val="00723F60"/>
    <w:rsid w:val="00724C49"/>
    <w:rsid w:val="007251D5"/>
    <w:rsid w:val="0072641A"/>
    <w:rsid w:val="007277AD"/>
    <w:rsid w:val="00730E90"/>
    <w:rsid w:val="00731EED"/>
    <w:rsid w:val="007323BD"/>
    <w:rsid w:val="00733385"/>
    <w:rsid w:val="0073589A"/>
    <w:rsid w:val="00736F8A"/>
    <w:rsid w:val="00737761"/>
    <w:rsid w:val="00737B59"/>
    <w:rsid w:val="0074222A"/>
    <w:rsid w:val="00742565"/>
    <w:rsid w:val="0074483B"/>
    <w:rsid w:val="00744CC3"/>
    <w:rsid w:val="00744D7D"/>
    <w:rsid w:val="00745180"/>
    <w:rsid w:val="00745FFD"/>
    <w:rsid w:val="00746244"/>
    <w:rsid w:val="00746AC0"/>
    <w:rsid w:val="007501AF"/>
    <w:rsid w:val="007504C0"/>
    <w:rsid w:val="00752C5C"/>
    <w:rsid w:val="0075384A"/>
    <w:rsid w:val="00754994"/>
    <w:rsid w:val="007560F3"/>
    <w:rsid w:val="007564A8"/>
    <w:rsid w:val="00756A10"/>
    <w:rsid w:val="00760611"/>
    <w:rsid w:val="00760CF8"/>
    <w:rsid w:val="0076133F"/>
    <w:rsid w:val="00762D2D"/>
    <w:rsid w:val="007634BD"/>
    <w:rsid w:val="007651DD"/>
    <w:rsid w:val="007651E7"/>
    <w:rsid w:val="007659F0"/>
    <w:rsid w:val="00765D65"/>
    <w:rsid w:val="007662A8"/>
    <w:rsid w:val="00766919"/>
    <w:rsid w:val="00767EDD"/>
    <w:rsid w:val="0077197F"/>
    <w:rsid w:val="00771A01"/>
    <w:rsid w:val="00772011"/>
    <w:rsid w:val="00772517"/>
    <w:rsid w:val="0077275F"/>
    <w:rsid w:val="00773221"/>
    <w:rsid w:val="007733EC"/>
    <w:rsid w:val="007733F8"/>
    <w:rsid w:val="00773445"/>
    <w:rsid w:val="0077503F"/>
    <w:rsid w:val="00776CE3"/>
    <w:rsid w:val="00781533"/>
    <w:rsid w:val="00781910"/>
    <w:rsid w:val="00782820"/>
    <w:rsid w:val="007853A1"/>
    <w:rsid w:val="00785A2F"/>
    <w:rsid w:val="0079187B"/>
    <w:rsid w:val="007922C2"/>
    <w:rsid w:val="0079264A"/>
    <w:rsid w:val="00792EE5"/>
    <w:rsid w:val="0079518A"/>
    <w:rsid w:val="007955C6"/>
    <w:rsid w:val="00796AD1"/>
    <w:rsid w:val="007A019A"/>
    <w:rsid w:val="007A1227"/>
    <w:rsid w:val="007A143B"/>
    <w:rsid w:val="007A34B7"/>
    <w:rsid w:val="007A3897"/>
    <w:rsid w:val="007A5C47"/>
    <w:rsid w:val="007A64B0"/>
    <w:rsid w:val="007B0204"/>
    <w:rsid w:val="007B1314"/>
    <w:rsid w:val="007B165E"/>
    <w:rsid w:val="007B179F"/>
    <w:rsid w:val="007B2422"/>
    <w:rsid w:val="007B404E"/>
    <w:rsid w:val="007B56DD"/>
    <w:rsid w:val="007B719A"/>
    <w:rsid w:val="007B7F67"/>
    <w:rsid w:val="007C1856"/>
    <w:rsid w:val="007C4CEF"/>
    <w:rsid w:val="007C509C"/>
    <w:rsid w:val="007C6B7A"/>
    <w:rsid w:val="007C7ACA"/>
    <w:rsid w:val="007D19AB"/>
    <w:rsid w:val="007D22B1"/>
    <w:rsid w:val="007D22DD"/>
    <w:rsid w:val="007D3E08"/>
    <w:rsid w:val="007D638E"/>
    <w:rsid w:val="007E073D"/>
    <w:rsid w:val="007E13AA"/>
    <w:rsid w:val="007E1935"/>
    <w:rsid w:val="007E19A4"/>
    <w:rsid w:val="007E5D8A"/>
    <w:rsid w:val="007E6909"/>
    <w:rsid w:val="007F108A"/>
    <w:rsid w:val="007F1E72"/>
    <w:rsid w:val="007F1F39"/>
    <w:rsid w:val="007F4802"/>
    <w:rsid w:val="007F48AE"/>
    <w:rsid w:val="007F641A"/>
    <w:rsid w:val="00800652"/>
    <w:rsid w:val="008009CA"/>
    <w:rsid w:val="008010B9"/>
    <w:rsid w:val="0080144D"/>
    <w:rsid w:val="008019DE"/>
    <w:rsid w:val="00801BB4"/>
    <w:rsid w:val="008026CD"/>
    <w:rsid w:val="00802EA4"/>
    <w:rsid w:val="00803D8C"/>
    <w:rsid w:val="008045A8"/>
    <w:rsid w:val="00805E33"/>
    <w:rsid w:val="00805F1D"/>
    <w:rsid w:val="00806075"/>
    <w:rsid w:val="00806F25"/>
    <w:rsid w:val="0080756B"/>
    <w:rsid w:val="00810B4A"/>
    <w:rsid w:val="00812F03"/>
    <w:rsid w:val="00813B43"/>
    <w:rsid w:val="008146BB"/>
    <w:rsid w:val="00814D5C"/>
    <w:rsid w:val="00815DA8"/>
    <w:rsid w:val="008203C0"/>
    <w:rsid w:val="00823692"/>
    <w:rsid w:val="008237EF"/>
    <w:rsid w:val="008249E5"/>
    <w:rsid w:val="00824A0D"/>
    <w:rsid w:val="00824D49"/>
    <w:rsid w:val="00825A44"/>
    <w:rsid w:val="00825A5A"/>
    <w:rsid w:val="00826A2E"/>
    <w:rsid w:val="00826DF1"/>
    <w:rsid w:val="00827069"/>
    <w:rsid w:val="008276BE"/>
    <w:rsid w:val="00827707"/>
    <w:rsid w:val="00830338"/>
    <w:rsid w:val="00830E82"/>
    <w:rsid w:val="00830FAD"/>
    <w:rsid w:val="008310C1"/>
    <w:rsid w:val="0083297E"/>
    <w:rsid w:val="00834336"/>
    <w:rsid w:val="008355C9"/>
    <w:rsid w:val="00835873"/>
    <w:rsid w:val="00835AA6"/>
    <w:rsid w:val="00836C15"/>
    <w:rsid w:val="00841AB0"/>
    <w:rsid w:val="00842038"/>
    <w:rsid w:val="00842109"/>
    <w:rsid w:val="00842312"/>
    <w:rsid w:val="008424A1"/>
    <w:rsid w:val="00842DFA"/>
    <w:rsid w:val="008437F8"/>
    <w:rsid w:val="00843E29"/>
    <w:rsid w:val="0084488C"/>
    <w:rsid w:val="008448F6"/>
    <w:rsid w:val="00846EC0"/>
    <w:rsid w:val="00847E88"/>
    <w:rsid w:val="00851BDC"/>
    <w:rsid w:val="00852BAA"/>
    <w:rsid w:val="00852CE7"/>
    <w:rsid w:val="008553A9"/>
    <w:rsid w:val="008557A6"/>
    <w:rsid w:val="00855D89"/>
    <w:rsid w:val="00856A73"/>
    <w:rsid w:val="008601DB"/>
    <w:rsid w:val="00861147"/>
    <w:rsid w:val="00863649"/>
    <w:rsid w:val="0086395A"/>
    <w:rsid w:val="00863BB8"/>
    <w:rsid w:val="00864534"/>
    <w:rsid w:val="00864853"/>
    <w:rsid w:val="008668FA"/>
    <w:rsid w:val="00866CE6"/>
    <w:rsid w:val="008675E7"/>
    <w:rsid w:val="00867B7F"/>
    <w:rsid w:val="00867C16"/>
    <w:rsid w:val="00871BD1"/>
    <w:rsid w:val="0087414B"/>
    <w:rsid w:val="00874529"/>
    <w:rsid w:val="008757C9"/>
    <w:rsid w:val="00877012"/>
    <w:rsid w:val="00880245"/>
    <w:rsid w:val="00880EF6"/>
    <w:rsid w:val="00882CC4"/>
    <w:rsid w:val="00882CD3"/>
    <w:rsid w:val="0088366F"/>
    <w:rsid w:val="00884DFC"/>
    <w:rsid w:val="00885FAE"/>
    <w:rsid w:val="00886F58"/>
    <w:rsid w:val="0089094A"/>
    <w:rsid w:val="00891334"/>
    <w:rsid w:val="00891E07"/>
    <w:rsid w:val="008921C4"/>
    <w:rsid w:val="00892749"/>
    <w:rsid w:val="00894088"/>
    <w:rsid w:val="00894779"/>
    <w:rsid w:val="008947F9"/>
    <w:rsid w:val="0089588F"/>
    <w:rsid w:val="008A0F8F"/>
    <w:rsid w:val="008A1D9C"/>
    <w:rsid w:val="008A387F"/>
    <w:rsid w:val="008A5965"/>
    <w:rsid w:val="008A6DB9"/>
    <w:rsid w:val="008A7577"/>
    <w:rsid w:val="008A7A02"/>
    <w:rsid w:val="008B2318"/>
    <w:rsid w:val="008B2565"/>
    <w:rsid w:val="008B4024"/>
    <w:rsid w:val="008B667F"/>
    <w:rsid w:val="008B7CC5"/>
    <w:rsid w:val="008C15FD"/>
    <w:rsid w:val="008C17C7"/>
    <w:rsid w:val="008C1870"/>
    <w:rsid w:val="008C31A5"/>
    <w:rsid w:val="008C4910"/>
    <w:rsid w:val="008C57D1"/>
    <w:rsid w:val="008C7FC2"/>
    <w:rsid w:val="008D2426"/>
    <w:rsid w:val="008D28A2"/>
    <w:rsid w:val="008D6860"/>
    <w:rsid w:val="008D7737"/>
    <w:rsid w:val="008E0851"/>
    <w:rsid w:val="008E0F8E"/>
    <w:rsid w:val="008E0FC3"/>
    <w:rsid w:val="008E1234"/>
    <w:rsid w:val="008E25A8"/>
    <w:rsid w:val="008E36A3"/>
    <w:rsid w:val="008E43EF"/>
    <w:rsid w:val="008E611D"/>
    <w:rsid w:val="008E68E0"/>
    <w:rsid w:val="008E7A3C"/>
    <w:rsid w:val="008F06B1"/>
    <w:rsid w:val="008F3EC5"/>
    <w:rsid w:val="008F3FC0"/>
    <w:rsid w:val="008F4AEE"/>
    <w:rsid w:val="008F4AF4"/>
    <w:rsid w:val="008F4DFB"/>
    <w:rsid w:val="008F57B9"/>
    <w:rsid w:val="008F7B89"/>
    <w:rsid w:val="009033C4"/>
    <w:rsid w:val="00904BED"/>
    <w:rsid w:val="009052A8"/>
    <w:rsid w:val="00905F55"/>
    <w:rsid w:val="00906B6A"/>
    <w:rsid w:val="009105A9"/>
    <w:rsid w:val="0091071D"/>
    <w:rsid w:val="00910EA7"/>
    <w:rsid w:val="00910FD2"/>
    <w:rsid w:val="0091107E"/>
    <w:rsid w:val="00913269"/>
    <w:rsid w:val="00913884"/>
    <w:rsid w:val="00914485"/>
    <w:rsid w:val="009145B3"/>
    <w:rsid w:val="00915619"/>
    <w:rsid w:val="00916197"/>
    <w:rsid w:val="00921392"/>
    <w:rsid w:val="00922C2D"/>
    <w:rsid w:val="00923BC9"/>
    <w:rsid w:val="00927211"/>
    <w:rsid w:val="00927456"/>
    <w:rsid w:val="00927FB3"/>
    <w:rsid w:val="00930E9D"/>
    <w:rsid w:val="009324C9"/>
    <w:rsid w:val="0093335D"/>
    <w:rsid w:val="00933C24"/>
    <w:rsid w:val="0093579B"/>
    <w:rsid w:val="00935C59"/>
    <w:rsid w:val="0093666E"/>
    <w:rsid w:val="00936968"/>
    <w:rsid w:val="00937715"/>
    <w:rsid w:val="00937AE8"/>
    <w:rsid w:val="00942172"/>
    <w:rsid w:val="0094246C"/>
    <w:rsid w:val="00942D0D"/>
    <w:rsid w:val="00943E50"/>
    <w:rsid w:val="009440F4"/>
    <w:rsid w:val="00945CC0"/>
    <w:rsid w:val="00950119"/>
    <w:rsid w:val="009501A1"/>
    <w:rsid w:val="00951C68"/>
    <w:rsid w:val="00951F88"/>
    <w:rsid w:val="00953513"/>
    <w:rsid w:val="00954A58"/>
    <w:rsid w:val="00955013"/>
    <w:rsid w:val="009550EF"/>
    <w:rsid w:val="0095571C"/>
    <w:rsid w:val="009569DF"/>
    <w:rsid w:val="009569EB"/>
    <w:rsid w:val="00957E3E"/>
    <w:rsid w:val="00962B0A"/>
    <w:rsid w:val="00963F91"/>
    <w:rsid w:val="00966608"/>
    <w:rsid w:val="00966EC4"/>
    <w:rsid w:val="00970EEE"/>
    <w:rsid w:val="00971213"/>
    <w:rsid w:val="00971A56"/>
    <w:rsid w:val="00971E23"/>
    <w:rsid w:val="00976F55"/>
    <w:rsid w:val="009817A8"/>
    <w:rsid w:val="00983C5A"/>
    <w:rsid w:val="00984024"/>
    <w:rsid w:val="0098411B"/>
    <w:rsid w:val="0098477B"/>
    <w:rsid w:val="00984C85"/>
    <w:rsid w:val="00984E86"/>
    <w:rsid w:val="00985515"/>
    <w:rsid w:val="00986818"/>
    <w:rsid w:val="00987EFE"/>
    <w:rsid w:val="00991BA4"/>
    <w:rsid w:val="00991C3C"/>
    <w:rsid w:val="009921C0"/>
    <w:rsid w:val="00994FD8"/>
    <w:rsid w:val="009950C6"/>
    <w:rsid w:val="00995420"/>
    <w:rsid w:val="00995FB4"/>
    <w:rsid w:val="00995FF9"/>
    <w:rsid w:val="009963B1"/>
    <w:rsid w:val="009969CB"/>
    <w:rsid w:val="009A0902"/>
    <w:rsid w:val="009A1403"/>
    <w:rsid w:val="009A1D80"/>
    <w:rsid w:val="009A3E10"/>
    <w:rsid w:val="009A4FD6"/>
    <w:rsid w:val="009A6713"/>
    <w:rsid w:val="009A78C8"/>
    <w:rsid w:val="009A7CFA"/>
    <w:rsid w:val="009B15EF"/>
    <w:rsid w:val="009B1F89"/>
    <w:rsid w:val="009B2924"/>
    <w:rsid w:val="009B32CB"/>
    <w:rsid w:val="009B3D41"/>
    <w:rsid w:val="009B3F03"/>
    <w:rsid w:val="009B575F"/>
    <w:rsid w:val="009B5E67"/>
    <w:rsid w:val="009B6BBD"/>
    <w:rsid w:val="009B6DCF"/>
    <w:rsid w:val="009C201C"/>
    <w:rsid w:val="009C2995"/>
    <w:rsid w:val="009C4090"/>
    <w:rsid w:val="009C5306"/>
    <w:rsid w:val="009C666E"/>
    <w:rsid w:val="009C6AD3"/>
    <w:rsid w:val="009D0014"/>
    <w:rsid w:val="009D1F5F"/>
    <w:rsid w:val="009D202D"/>
    <w:rsid w:val="009D4E63"/>
    <w:rsid w:val="009D501B"/>
    <w:rsid w:val="009D54D8"/>
    <w:rsid w:val="009D67CA"/>
    <w:rsid w:val="009E1029"/>
    <w:rsid w:val="009E14B8"/>
    <w:rsid w:val="009E1C07"/>
    <w:rsid w:val="009E22DD"/>
    <w:rsid w:val="009E5707"/>
    <w:rsid w:val="009E5C0F"/>
    <w:rsid w:val="009E7247"/>
    <w:rsid w:val="009E7436"/>
    <w:rsid w:val="009E7A7E"/>
    <w:rsid w:val="009F0F26"/>
    <w:rsid w:val="009F1096"/>
    <w:rsid w:val="009F136B"/>
    <w:rsid w:val="009F1EE6"/>
    <w:rsid w:val="009F2915"/>
    <w:rsid w:val="009F296B"/>
    <w:rsid w:val="009F33C9"/>
    <w:rsid w:val="009F3882"/>
    <w:rsid w:val="009F4A73"/>
    <w:rsid w:val="009F6225"/>
    <w:rsid w:val="00A015FF"/>
    <w:rsid w:val="00A01C63"/>
    <w:rsid w:val="00A0224F"/>
    <w:rsid w:val="00A02F20"/>
    <w:rsid w:val="00A05109"/>
    <w:rsid w:val="00A065CF"/>
    <w:rsid w:val="00A0749C"/>
    <w:rsid w:val="00A1018B"/>
    <w:rsid w:val="00A1127E"/>
    <w:rsid w:val="00A11D74"/>
    <w:rsid w:val="00A12B48"/>
    <w:rsid w:val="00A13DDA"/>
    <w:rsid w:val="00A13EEA"/>
    <w:rsid w:val="00A14659"/>
    <w:rsid w:val="00A15A6E"/>
    <w:rsid w:val="00A165F8"/>
    <w:rsid w:val="00A16E22"/>
    <w:rsid w:val="00A2174A"/>
    <w:rsid w:val="00A217A5"/>
    <w:rsid w:val="00A234A4"/>
    <w:rsid w:val="00A239E0"/>
    <w:rsid w:val="00A23FD7"/>
    <w:rsid w:val="00A24CCA"/>
    <w:rsid w:val="00A2505E"/>
    <w:rsid w:val="00A259AF"/>
    <w:rsid w:val="00A25C94"/>
    <w:rsid w:val="00A26018"/>
    <w:rsid w:val="00A2632A"/>
    <w:rsid w:val="00A2702E"/>
    <w:rsid w:val="00A270AE"/>
    <w:rsid w:val="00A27A52"/>
    <w:rsid w:val="00A27AEA"/>
    <w:rsid w:val="00A304C8"/>
    <w:rsid w:val="00A30EAF"/>
    <w:rsid w:val="00A32635"/>
    <w:rsid w:val="00A32FCD"/>
    <w:rsid w:val="00A34CC9"/>
    <w:rsid w:val="00A36D89"/>
    <w:rsid w:val="00A408BC"/>
    <w:rsid w:val="00A40ADA"/>
    <w:rsid w:val="00A40BA5"/>
    <w:rsid w:val="00A40C73"/>
    <w:rsid w:val="00A4226F"/>
    <w:rsid w:val="00A44AF4"/>
    <w:rsid w:val="00A4777C"/>
    <w:rsid w:val="00A50A87"/>
    <w:rsid w:val="00A51189"/>
    <w:rsid w:val="00A52D04"/>
    <w:rsid w:val="00A545EA"/>
    <w:rsid w:val="00A546D3"/>
    <w:rsid w:val="00A5497B"/>
    <w:rsid w:val="00A54B3F"/>
    <w:rsid w:val="00A563FD"/>
    <w:rsid w:val="00A56993"/>
    <w:rsid w:val="00A57381"/>
    <w:rsid w:val="00A6020A"/>
    <w:rsid w:val="00A6084A"/>
    <w:rsid w:val="00A61E4C"/>
    <w:rsid w:val="00A632A6"/>
    <w:rsid w:val="00A635B3"/>
    <w:rsid w:val="00A65E2E"/>
    <w:rsid w:val="00A66C81"/>
    <w:rsid w:val="00A671EC"/>
    <w:rsid w:val="00A6740E"/>
    <w:rsid w:val="00A711B9"/>
    <w:rsid w:val="00A757AA"/>
    <w:rsid w:val="00A77CBC"/>
    <w:rsid w:val="00A77E90"/>
    <w:rsid w:val="00A8125A"/>
    <w:rsid w:val="00A81531"/>
    <w:rsid w:val="00A817A5"/>
    <w:rsid w:val="00A83D25"/>
    <w:rsid w:val="00A84B0B"/>
    <w:rsid w:val="00A8524C"/>
    <w:rsid w:val="00A85D68"/>
    <w:rsid w:val="00A867D4"/>
    <w:rsid w:val="00A87ADC"/>
    <w:rsid w:val="00A90D1B"/>
    <w:rsid w:val="00A91F4D"/>
    <w:rsid w:val="00A9352C"/>
    <w:rsid w:val="00A94AFD"/>
    <w:rsid w:val="00A94C09"/>
    <w:rsid w:val="00A979A3"/>
    <w:rsid w:val="00A97B44"/>
    <w:rsid w:val="00AA0236"/>
    <w:rsid w:val="00AA29AF"/>
    <w:rsid w:val="00AA37A3"/>
    <w:rsid w:val="00AA448E"/>
    <w:rsid w:val="00AA45C1"/>
    <w:rsid w:val="00AA49DA"/>
    <w:rsid w:val="00AA59C5"/>
    <w:rsid w:val="00AA72C7"/>
    <w:rsid w:val="00AB050A"/>
    <w:rsid w:val="00AB15E5"/>
    <w:rsid w:val="00AB21BA"/>
    <w:rsid w:val="00AB276F"/>
    <w:rsid w:val="00AB2B5F"/>
    <w:rsid w:val="00AB60F3"/>
    <w:rsid w:val="00AB69BB"/>
    <w:rsid w:val="00AB718D"/>
    <w:rsid w:val="00AB7643"/>
    <w:rsid w:val="00AC01F8"/>
    <w:rsid w:val="00AC0647"/>
    <w:rsid w:val="00AC0700"/>
    <w:rsid w:val="00AC0A07"/>
    <w:rsid w:val="00AC14F8"/>
    <w:rsid w:val="00AC1606"/>
    <w:rsid w:val="00AC2223"/>
    <w:rsid w:val="00AC311A"/>
    <w:rsid w:val="00AC3DBE"/>
    <w:rsid w:val="00AC74F1"/>
    <w:rsid w:val="00AC7C64"/>
    <w:rsid w:val="00AC7E9E"/>
    <w:rsid w:val="00AD046D"/>
    <w:rsid w:val="00AD0E11"/>
    <w:rsid w:val="00AD24BB"/>
    <w:rsid w:val="00AD3A1C"/>
    <w:rsid w:val="00AD4685"/>
    <w:rsid w:val="00AD4725"/>
    <w:rsid w:val="00AD64D7"/>
    <w:rsid w:val="00AD68B7"/>
    <w:rsid w:val="00AD6B9A"/>
    <w:rsid w:val="00AD7B7C"/>
    <w:rsid w:val="00AE0593"/>
    <w:rsid w:val="00AE0CF1"/>
    <w:rsid w:val="00AE13E5"/>
    <w:rsid w:val="00AE1853"/>
    <w:rsid w:val="00AE1D42"/>
    <w:rsid w:val="00AE2011"/>
    <w:rsid w:val="00AE279E"/>
    <w:rsid w:val="00AE4A13"/>
    <w:rsid w:val="00AE6452"/>
    <w:rsid w:val="00AF011C"/>
    <w:rsid w:val="00AF346E"/>
    <w:rsid w:val="00AF3FD2"/>
    <w:rsid w:val="00AF4493"/>
    <w:rsid w:val="00AF5052"/>
    <w:rsid w:val="00AF54FC"/>
    <w:rsid w:val="00AF76D8"/>
    <w:rsid w:val="00B00F80"/>
    <w:rsid w:val="00B0120E"/>
    <w:rsid w:val="00B0145A"/>
    <w:rsid w:val="00B02203"/>
    <w:rsid w:val="00B039A3"/>
    <w:rsid w:val="00B04231"/>
    <w:rsid w:val="00B04FCC"/>
    <w:rsid w:val="00B0532B"/>
    <w:rsid w:val="00B059CA"/>
    <w:rsid w:val="00B063BB"/>
    <w:rsid w:val="00B0778F"/>
    <w:rsid w:val="00B12E83"/>
    <w:rsid w:val="00B13695"/>
    <w:rsid w:val="00B13954"/>
    <w:rsid w:val="00B14FCE"/>
    <w:rsid w:val="00B154B8"/>
    <w:rsid w:val="00B168A0"/>
    <w:rsid w:val="00B1774A"/>
    <w:rsid w:val="00B17DD7"/>
    <w:rsid w:val="00B206A0"/>
    <w:rsid w:val="00B2082A"/>
    <w:rsid w:val="00B20C28"/>
    <w:rsid w:val="00B23D6D"/>
    <w:rsid w:val="00B23F21"/>
    <w:rsid w:val="00B24FB9"/>
    <w:rsid w:val="00B25915"/>
    <w:rsid w:val="00B25C05"/>
    <w:rsid w:val="00B26115"/>
    <w:rsid w:val="00B26BF6"/>
    <w:rsid w:val="00B318FE"/>
    <w:rsid w:val="00B31D06"/>
    <w:rsid w:val="00B322B7"/>
    <w:rsid w:val="00B327B1"/>
    <w:rsid w:val="00B32CFD"/>
    <w:rsid w:val="00B34060"/>
    <w:rsid w:val="00B34973"/>
    <w:rsid w:val="00B36615"/>
    <w:rsid w:val="00B375D1"/>
    <w:rsid w:val="00B37602"/>
    <w:rsid w:val="00B37A99"/>
    <w:rsid w:val="00B37D6B"/>
    <w:rsid w:val="00B4011E"/>
    <w:rsid w:val="00B401EE"/>
    <w:rsid w:val="00B40236"/>
    <w:rsid w:val="00B4055E"/>
    <w:rsid w:val="00B41654"/>
    <w:rsid w:val="00B41E33"/>
    <w:rsid w:val="00B4370E"/>
    <w:rsid w:val="00B44390"/>
    <w:rsid w:val="00B44A11"/>
    <w:rsid w:val="00B455E0"/>
    <w:rsid w:val="00B50E69"/>
    <w:rsid w:val="00B50E95"/>
    <w:rsid w:val="00B52431"/>
    <w:rsid w:val="00B526F4"/>
    <w:rsid w:val="00B5321F"/>
    <w:rsid w:val="00B5346B"/>
    <w:rsid w:val="00B53568"/>
    <w:rsid w:val="00B536E0"/>
    <w:rsid w:val="00B545EB"/>
    <w:rsid w:val="00B6069B"/>
    <w:rsid w:val="00B62411"/>
    <w:rsid w:val="00B63D95"/>
    <w:rsid w:val="00B64408"/>
    <w:rsid w:val="00B7022C"/>
    <w:rsid w:val="00B70474"/>
    <w:rsid w:val="00B7073D"/>
    <w:rsid w:val="00B7075A"/>
    <w:rsid w:val="00B727BA"/>
    <w:rsid w:val="00B74FEB"/>
    <w:rsid w:val="00B75777"/>
    <w:rsid w:val="00B75E05"/>
    <w:rsid w:val="00B765D8"/>
    <w:rsid w:val="00B76CAD"/>
    <w:rsid w:val="00B76D98"/>
    <w:rsid w:val="00B77740"/>
    <w:rsid w:val="00B77C0F"/>
    <w:rsid w:val="00B80275"/>
    <w:rsid w:val="00B8102B"/>
    <w:rsid w:val="00B85E41"/>
    <w:rsid w:val="00B87CC5"/>
    <w:rsid w:val="00B901CB"/>
    <w:rsid w:val="00B909DA"/>
    <w:rsid w:val="00B90A5C"/>
    <w:rsid w:val="00B924BC"/>
    <w:rsid w:val="00B930DA"/>
    <w:rsid w:val="00B94766"/>
    <w:rsid w:val="00B95838"/>
    <w:rsid w:val="00B96B69"/>
    <w:rsid w:val="00B970CB"/>
    <w:rsid w:val="00B977D3"/>
    <w:rsid w:val="00B97DF6"/>
    <w:rsid w:val="00B97EA3"/>
    <w:rsid w:val="00BA0C4A"/>
    <w:rsid w:val="00BA1B5F"/>
    <w:rsid w:val="00BA2196"/>
    <w:rsid w:val="00BA3148"/>
    <w:rsid w:val="00BA45E1"/>
    <w:rsid w:val="00BA7480"/>
    <w:rsid w:val="00BA74B6"/>
    <w:rsid w:val="00BB0BCF"/>
    <w:rsid w:val="00BB1811"/>
    <w:rsid w:val="00BB1FF9"/>
    <w:rsid w:val="00BB47FB"/>
    <w:rsid w:val="00BB5623"/>
    <w:rsid w:val="00BB5903"/>
    <w:rsid w:val="00BB606D"/>
    <w:rsid w:val="00BB60A4"/>
    <w:rsid w:val="00BB682A"/>
    <w:rsid w:val="00BC1BE3"/>
    <w:rsid w:val="00BC269A"/>
    <w:rsid w:val="00BC36D6"/>
    <w:rsid w:val="00BC38CD"/>
    <w:rsid w:val="00BC40A0"/>
    <w:rsid w:val="00BC449E"/>
    <w:rsid w:val="00BC567D"/>
    <w:rsid w:val="00BC7CC4"/>
    <w:rsid w:val="00BD029D"/>
    <w:rsid w:val="00BD0376"/>
    <w:rsid w:val="00BD03E4"/>
    <w:rsid w:val="00BD1EC4"/>
    <w:rsid w:val="00BD2EB1"/>
    <w:rsid w:val="00BD3467"/>
    <w:rsid w:val="00BD3DFD"/>
    <w:rsid w:val="00BD3E95"/>
    <w:rsid w:val="00BD4B94"/>
    <w:rsid w:val="00BD7BE6"/>
    <w:rsid w:val="00BD7CFD"/>
    <w:rsid w:val="00BD7F52"/>
    <w:rsid w:val="00BE0307"/>
    <w:rsid w:val="00BE19A6"/>
    <w:rsid w:val="00BE2642"/>
    <w:rsid w:val="00BE2FEA"/>
    <w:rsid w:val="00BE3390"/>
    <w:rsid w:val="00BE4607"/>
    <w:rsid w:val="00BE506B"/>
    <w:rsid w:val="00BE5A91"/>
    <w:rsid w:val="00BE5CCF"/>
    <w:rsid w:val="00BE6155"/>
    <w:rsid w:val="00BE6EA6"/>
    <w:rsid w:val="00BE70E9"/>
    <w:rsid w:val="00BE735A"/>
    <w:rsid w:val="00BF0583"/>
    <w:rsid w:val="00BF1825"/>
    <w:rsid w:val="00BF18B5"/>
    <w:rsid w:val="00BF1C05"/>
    <w:rsid w:val="00BF29DE"/>
    <w:rsid w:val="00BF3DFC"/>
    <w:rsid w:val="00BF41C9"/>
    <w:rsid w:val="00BF5F89"/>
    <w:rsid w:val="00BF6077"/>
    <w:rsid w:val="00BF6631"/>
    <w:rsid w:val="00BF6F3A"/>
    <w:rsid w:val="00BF70BA"/>
    <w:rsid w:val="00BF72EB"/>
    <w:rsid w:val="00BF7475"/>
    <w:rsid w:val="00C01356"/>
    <w:rsid w:val="00C0226F"/>
    <w:rsid w:val="00C028BF"/>
    <w:rsid w:val="00C02F53"/>
    <w:rsid w:val="00C03040"/>
    <w:rsid w:val="00C030FF"/>
    <w:rsid w:val="00C031A4"/>
    <w:rsid w:val="00C03876"/>
    <w:rsid w:val="00C04712"/>
    <w:rsid w:val="00C048D1"/>
    <w:rsid w:val="00C048EB"/>
    <w:rsid w:val="00C0499E"/>
    <w:rsid w:val="00C04AB0"/>
    <w:rsid w:val="00C0511A"/>
    <w:rsid w:val="00C05204"/>
    <w:rsid w:val="00C052C7"/>
    <w:rsid w:val="00C055EB"/>
    <w:rsid w:val="00C05FE6"/>
    <w:rsid w:val="00C070ED"/>
    <w:rsid w:val="00C10474"/>
    <w:rsid w:val="00C11158"/>
    <w:rsid w:val="00C116CF"/>
    <w:rsid w:val="00C12CAA"/>
    <w:rsid w:val="00C17666"/>
    <w:rsid w:val="00C2128C"/>
    <w:rsid w:val="00C21B6E"/>
    <w:rsid w:val="00C22B3C"/>
    <w:rsid w:val="00C24375"/>
    <w:rsid w:val="00C24F35"/>
    <w:rsid w:val="00C25CDB"/>
    <w:rsid w:val="00C269B4"/>
    <w:rsid w:val="00C305E6"/>
    <w:rsid w:val="00C3076F"/>
    <w:rsid w:val="00C30C40"/>
    <w:rsid w:val="00C30F36"/>
    <w:rsid w:val="00C326A3"/>
    <w:rsid w:val="00C32E0C"/>
    <w:rsid w:val="00C343E6"/>
    <w:rsid w:val="00C357E8"/>
    <w:rsid w:val="00C364C4"/>
    <w:rsid w:val="00C37D30"/>
    <w:rsid w:val="00C4153B"/>
    <w:rsid w:val="00C438AF"/>
    <w:rsid w:val="00C43D62"/>
    <w:rsid w:val="00C44249"/>
    <w:rsid w:val="00C44DCF"/>
    <w:rsid w:val="00C45C03"/>
    <w:rsid w:val="00C467CE"/>
    <w:rsid w:val="00C470E6"/>
    <w:rsid w:val="00C52BF5"/>
    <w:rsid w:val="00C5378A"/>
    <w:rsid w:val="00C546DA"/>
    <w:rsid w:val="00C546DC"/>
    <w:rsid w:val="00C54E66"/>
    <w:rsid w:val="00C55090"/>
    <w:rsid w:val="00C55440"/>
    <w:rsid w:val="00C55B35"/>
    <w:rsid w:val="00C55C01"/>
    <w:rsid w:val="00C56C1C"/>
    <w:rsid w:val="00C60DC7"/>
    <w:rsid w:val="00C6131C"/>
    <w:rsid w:val="00C6219C"/>
    <w:rsid w:val="00C64B1F"/>
    <w:rsid w:val="00C65451"/>
    <w:rsid w:val="00C65C07"/>
    <w:rsid w:val="00C65C31"/>
    <w:rsid w:val="00C67A4A"/>
    <w:rsid w:val="00C7095D"/>
    <w:rsid w:val="00C71B66"/>
    <w:rsid w:val="00C71B84"/>
    <w:rsid w:val="00C7233F"/>
    <w:rsid w:val="00C72344"/>
    <w:rsid w:val="00C74F6F"/>
    <w:rsid w:val="00C75438"/>
    <w:rsid w:val="00C804A4"/>
    <w:rsid w:val="00C81F99"/>
    <w:rsid w:val="00C8321D"/>
    <w:rsid w:val="00C84BD1"/>
    <w:rsid w:val="00C84C7C"/>
    <w:rsid w:val="00C85047"/>
    <w:rsid w:val="00C85484"/>
    <w:rsid w:val="00C859F7"/>
    <w:rsid w:val="00C85BDC"/>
    <w:rsid w:val="00C865B2"/>
    <w:rsid w:val="00C86D81"/>
    <w:rsid w:val="00C86E9B"/>
    <w:rsid w:val="00C87344"/>
    <w:rsid w:val="00C9189F"/>
    <w:rsid w:val="00C9232F"/>
    <w:rsid w:val="00C92EF7"/>
    <w:rsid w:val="00C93F89"/>
    <w:rsid w:val="00C9561E"/>
    <w:rsid w:val="00C9589E"/>
    <w:rsid w:val="00C96954"/>
    <w:rsid w:val="00C97041"/>
    <w:rsid w:val="00C97882"/>
    <w:rsid w:val="00CA060D"/>
    <w:rsid w:val="00CA2790"/>
    <w:rsid w:val="00CA36A1"/>
    <w:rsid w:val="00CA4BEE"/>
    <w:rsid w:val="00CA5B0A"/>
    <w:rsid w:val="00CA5C28"/>
    <w:rsid w:val="00CA5E95"/>
    <w:rsid w:val="00CA6321"/>
    <w:rsid w:val="00CB0B05"/>
    <w:rsid w:val="00CB10E9"/>
    <w:rsid w:val="00CB16BD"/>
    <w:rsid w:val="00CB1F45"/>
    <w:rsid w:val="00CB2CD9"/>
    <w:rsid w:val="00CB3AC4"/>
    <w:rsid w:val="00CB4701"/>
    <w:rsid w:val="00CB6651"/>
    <w:rsid w:val="00CC18B6"/>
    <w:rsid w:val="00CC295F"/>
    <w:rsid w:val="00CC2BC6"/>
    <w:rsid w:val="00CC68F3"/>
    <w:rsid w:val="00CC7374"/>
    <w:rsid w:val="00CC7968"/>
    <w:rsid w:val="00CD0A6C"/>
    <w:rsid w:val="00CD2370"/>
    <w:rsid w:val="00CD23D1"/>
    <w:rsid w:val="00CD3524"/>
    <w:rsid w:val="00CD5463"/>
    <w:rsid w:val="00CD6AC6"/>
    <w:rsid w:val="00CD7A3B"/>
    <w:rsid w:val="00CD7A69"/>
    <w:rsid w:val="00CE094A"/>
    <w:rsid w:val="00CE0993"/>
    <w:rsid w:val="00CE10C9"/>
    <w:rsid w:val="00CE11AD"/>
    <w:rsid w:val="00CE3399"/>
    <w:rsid w:val="00CE51A7"/>
    <w:rsid w:val="00CE5204"/>
    <w:rsid w:val="00CE6B50"/>
    <w:rsid w:val="00CE7D5E"/>
    <w:rsid w:val="00CE7E7E"/>
    <w:rsid w:val="00CF2067"/>
    <w:rsid w:val="00CF2149"/>
    <w:rsid w:val="00CF22C5"/>
    <w:rsid w:val="00CF47A4"/>
    <w:rsid w:val="00CF47BD"/>
    <w:rsid w:val="00CF4B95"/>
    <w:rsid w:val="00CF744B"/>
    <w:rsid w:val="00D008E3"/>
    <w:rsid w:val="00D00DD0"/>
    <w:rsid w:val="00D01F3B"/>
    <w:rsid w:val="00D02153"/>
    <w:rsid w:val="00D02E31"/>
    <w:rsid w:val="00D02E99"/>
    <w:rsid w:val="00D04874"/>
    <w:rsid w:val="00D04C06"/>
    <w:rsid w:val="00D07123"/>
    <w:rsid w:val="00D0764C"/>
    <w:rsid w:val="00D07DFE"/>
    <w:rsid w:val="00D1066F"/>
    <w:rsid w:val="00D10950"/>
    <w:rsid w:val="00D10B2C"/>
    <w:rsid w:val="00D128BD"/>
    <w:rsid w:val="00D14BC2"/>
    <w:rsid w:val="00D14C0C"/>
    <w:rsid w:val="00D16CCB"/>
    <w:rsid w:val="00D174D8"/>
    <w:rsid w:val="00D17DC7"/>
    <w:rsid w:val="00D2146C"/>
    <w:rsid w:val="00D23A53"/>
    <w:rsid w:val="00D24FF6"/>
    <w:rsid w:val="00D27ACF"/>
    <w:rsid w:val="00D27FE8"/>
    <w:rsid w:val="00D3000D"/>
    <w:rsid w:val="00D30275"/>
    <w:rsid w:val="00D32BBA"/>
    <w:rsid w:val="00D3346C"/>
    <w:rsid w:val="00D35090"/>
    <w:rsid w:val="00D35F66"/>
    <w:rsid w:val="00D361E5"/>
    <w:rsid w:val="00D36CF8"/>
    <w:rsid w:val="00D407B9"/>
    <w:rsid w:val="00D41251"/>
    <w:rsid w:val="00D42D78"/>
    <w:rsid w:val="00D42F28"/>
    <w:rsid w:val="00D451B9"/>
    <w:rsid w:val="00D4541F"/>
    <w:rsid w:val="00D47116"/>
    <w:rsid w:val="00D471E6"/>
    <w:rsid w:val="00D47C7A"/>
    <w:rsid w:val="00D500EB"/>
    <w:rsid w:val="00D50CCB"/>
    <w:rsid w:val="00D5104E"/>
    <w:rsid w:val="00D511D1"/>
    <w:rsid w:val="00D52F27"/>
    <w:rsid w:val="00D52FA3"/>
    <w:rsid w:val="00D540F5"/>
    <w:rsid w:val="00D54F0A"/>
    <w:rsid w:val="00D55589"/>
    <w:rsid w:val="00D55712"/>
    <w:rsid w:val="00D557D9"/>
    <w:rsid w:val="00D579AD"/>
    <w:rsid w:val="00D57CEF"/>
    <w:rsid w:val="00D63E44"/>
    <w:rsid w:val="00D6476D"/>
    <w:rsid w:val="00D65918"/>
    <w:rsid w:val="00D65ADF"/>
    <w:rsid w:val="00D65DCE"/>
    <w:rsid w:val="00D67807"/>
    <w:rsid w:val="00D700C4"/>
    <w:rsid w:val="00D7244E"/>
    <w:rsid w:val="00D72972"/>
    <w:rsid w:val="00D7364F"/>
    <w:rsid w:val="00D75C16"/>
    <w:rsid w:val="00D76E58"/>
    <w:rsid w:val="00D7717F"/>
    <w:rsid w:val="00D800F2"/>
    <w:rsid w:val="00D80420"/>
    <w:rsid w:val="00D82FF3"/>
    <w:rsid w:val="00D831B4"/>
    <w:rsid w:val="00D83902"/>
    <w:rsid w:val="00D83D1B"/>
    <w:rsid w:val="00D83F5A"/>
    <w:rsid w:val="00D86189"/>
    <w:rsid w:val="00D86403"/>
    <w:rsid w:val="00D86922"/>
    <w:rsid w:val="00D9008B"/>
    <w:rsid w:val="00D90D9E"/>
    <w:rsid w:val="00D91431"/>
    <w:rsid w:val="00D917BB"/>
    <w:rsid w:val="00D92AE6"/>
    <w:rsid w:val="00D9303B"/>
    <w:rsid w:val="00D9379C"/>
    <w:rsid w:val="00D9481C"/>
    <w:rsid w:val="00D95118"/>
    <w:rsid w:val="00D96706"/>
    <w:rsid w:val="00D96D46"/>
    <w:rsid w:val="00DA06CA"/>
    <w:rsid w:val="00DA5F8C"/>
    <w:rsid w:val="00DA6D44"/>
    <w:rsid w:val="00DA7858"/>
    <w:rsid w:val="00DB016B"/>
    <w:rsid w:val="00DB0793"/>
    <w:rsid w:val="00DB0B30"/>
    <w:rsid w:val="00DB104F"/>
    <w:rsid w:val="00DB4F08"/>
    <w:rsid w:val="00DB5978"/>
    <w:rsid w:val="00DB6249"/>
    <w:rsid w:val="00DC02BE"/>
    <w:rsid w:val="00DC1080"/>
    <w:rsid w:val="00DC2BF6"/>
    <w:rsid w:val="00DC2BF8"/>
    <w:rsid w:val="00DC2C2B"/>
    <w:rsid w:val="00DC36D7"/>
    <w:rsid w:val="00DC3E71"/>
    <w:rsid w:val="00DC629D"/>
    <w:rsid w:val="00DC64AC"/>
    <w:rsid w:val="00DC7C41"/>
    <w:rsid w:val="00DD00D4"/>
    <w:rsid w:val="00DD0488"/>
    <w:rsid w:val="00DD06B1"/>
    <w:rsid w:val="00DD1B77"/>
    <w:rsid w:val="00DD2BE5"/>
    <w:rsid w:val="00DD2F53"/>
    <w:rsid w:val="00DD4EBA"/>
    <w:rsid w:val="00DD5035"/>
    <w:rsid w:val="00DD528D"/>
    <w:rsid w:val="00DD5A3C"/>
    <w:rsid w:val="00DD5DB2"/>
    <w:rsid w:val="00DD6473"/>
    <w:rsid w:val="00DD67EB"/>
    <w:rsid w:val="00DD6B1E"/>
    <w:rsid w:val="00DE017F"/>
    <w:rsid w:val="00DE074E"/>
    <w:rsid w:val="00DE22E6"/>
    <w:rsid w:val="00DE469D"/>
    <w:rsid w:val="00DE6EC2"/>
    <w:rsid w:val="00DE7BA3"/>
    <w:rsid w:val="00DF0C27"/>
    <w:rsid w:val="00DF1E44"/>
    <w:rsid w:val="00DF2368"/>
    <w:rsid w:val="00DF27EE"/>
    <w:rsid w:val="00DF2D02"/>
    <w:rsid w:val="00DF334C"/>
    <w:rsid w:val="00DF36BA"/>
    <w:rsid w:val="00DF3C85"/>
    <w:rsid w:val="00DF4976"/>
    <w:rsid w:val="00DF5451"/>
    <w:rsid w:val="00DF5875"/>
    <w:rsid w:val="00DF5A05"/>
    <w:rsid w:val="00DF5B46"/>
    <w:rsid w:val="00DF62B2"/>
    <w:rsid w:val="00DF73FC"/>
    <w:rsid w:val="00E06038"/>
    <w:rsid w:val="00E074C6"/>
    <w:rsid w:val="00E10470"/>
    <w:rsid w:val="00E11288"/>
    <w:rsid w:val="00E12024"/>
    <w:rsid w:val="00E1280A"/>
    <w:rsid w:val="00E13261"/>
    <w:rsid w:val="00E133FB"/>
    <w:rsid w:val="00E13DA0"/>
    <w:rsid w:val="00E143D4"/>
    <w:rsid w:val="00E1610C"/>
    <w:rsid w:val="00E165CA"/>
    <w:rsid w:val="00E17174"/>
    <w:rsid w:val="00E2166B"/>
    <w:rsid w:val="00E22173"/>
    <w:rsid w:val="00E23E4C"/>
    <w:rsid w:val="00E25BD7"/>
    <w:rsid w:val="00E304EB"/>
    <w:rsid w:val="00E31100"/>
    <w:rsid w:val="00E322F5"/>
    <w:rsid w:val="00E338DE"/>
    <w:rsid w:val="00E33F26"/>
    <w:rsid w:val="00E3477D"/>
    <w:rsid w:val="00E349B1"/>
    <w:rsid w:val="00E407D9"/>
    <w:rsid w:val="00E40C2E"/>
    <w:rsid w:val="00E40E8B"/>
    <w:rsid w:val="00E42FCD"/>
    <w:rsid w:val="00E43D2E"/>
    <w:rsid w:val="00E4533E"/>
    <w:rsid w:val="00E50D0A"/>
    <w:rsid w:val="00E514BD"/>
    <w:rsid w:val="00E524FE"/>
    <w:rsid w:val="00E52A08"/>
    <w:rsid w:val="00E5381B"/>
    <w:rsid w:val="00E5386C"/>
    <w:rsid w:val="00E54CE4"/>
    <w:rsid w:val="00E55780"/>
    <w:rsid w:val="00E55BB8"/>
    <w:rsid w:val="00E55BE9"/>
    <w:rsid w:val="00E573F8"/>
    <w:rsid w:val="00E57902"/>
    <w:rsid w:val="00E600CA"/>
    <w:rsid w:val="00E61042"/>
    <w:rsid w:val="00E6327F"/>
    <w:rsid w:val="00E63323"/>
    <w:rsid w:val="00E63AD1"/>
    <w:rsid w:val="00E63C50"/>
    <w:rsid w:val="00E63DD6"/>
    <w:rsid w:val="00E642FA"/>
    <w:rsid w:val="00E64577"/>
    <w:rsid w:val="00E674BF"/>
    <w:rsid w:val="00E675D7"/>
    <w:rsid w:val="00E67C2D"/>
    <w:rsid w:val="00E67C61"/>
    <w:rsid w:val="00E725D4"/>
    <w:rsid w:val="00E725F9"/>
    <w:rsid w:val="00E7296A"/>
    <w:rsid w:val="00E73E7D"/>
    <w:rsid w:val="00E76DF0"/>
    <w:rsid w:val="00E77662"/>
    <w:rsid w:val="00E77DCB"/>
    <w:rsid w:val="00E82CC3"/>
    <w:rsid w:val="00E832DD"/>
    <w:rsid w:val="00E83362"/>
    <w:rsid w:val="00E836F6"/>
    <w:rsid w:val="00E849AC"/>
    <w:rsid w:val="00E84AD9"/>
    <w:rsid w:val="00E84FFD"/>
    <w:rsid w:val="00E85027"/>
    <w:rsid w:val="00E86343"/>
    <w:rsid w:val="00E92145"/>
    <w:rsid w:val="00E9230E"/>
    <w:rsid w:val="00E939AC"/>
    <w:rsid w:val="00E93AD4"/>
    <w:rsid w:val="00E93EF3"/>
    <w:rsid w:val="00E93FE0"/>
    <w:rsid w:val="00E9563A"/>
    <w:rsid w:val="00E959EC"/>
    <w:rsid w:val="00E95E17"/>
    <w:rsid w:val="00E963DF"/>
    <w:rsid w:val="00E9676F"/>
    <w:rsid w:val="00E96D46"/>
    <w:rsid w:val="00E972E5"/>
    <w:rsid w:val="00EA0DD8"/>
    <w:rsid w:val="00EA41EE"/>
    <w:rsid w:val="00EA44D8"/>
    <w:rsid w:val="00EA5A8B"/>
    <w:rsid w:val="00EA6B7D"/>
    <w:rsid w:val="00EA73E2"/>
    <w:rsid w:val="00EA7B35"/>
    <w:rsid w:val="00EB0131"/>
    <w:rsid w:val="00EB0C57"/>
    <w:rsid w:val="00EB3984"/>
    <w:rsid w:val="00EB4F48"/>
    <w:rsid w:val="00EB5588"/>
    <w:rsid w:val="00EB616C"/>
    <w:rsid w:val="00EB6A3B"/>
    <w:rsid w:val="00EB72B7"/>
    <w:rsid w:val="00EC00D8"/>
    <w:rsid w:val="00EC1C37"/>
    <w:rsid w:val="00EC2CD9"/>
    <w:rsid w:val="00ED3A5A"/>
    <w:rsid w:val="00ED3B3A"/>
    <w:rsid w:val="00ED3C17"/>
    <w:rsid w:val="00ED520A"/>
    <w:rsid w:val="00ED6C5C"/>
    <w:rsid w:val="00ED6CA5"/>
    <w:rsid w:val="00ED6F86"/>
    <w:rsid w:val="00ED7808"/>
    <w:rsid w:val="00EE0421"/>
    <w:rsid w:val="00EE0DFF"/>
    <w:rsid w:val="00EE1ADE"/>
    <w:rsid w:val="00EE375B"/>
    <w:rsid w:val="00EE3C24"/>
    <w:rsid w:val="00EE40C8"/>
    <w:rsid w:val="00EE5D2A"/>
    <w:rsid w:val="00EE776D"/>
    <w:rsid w:val="00EF088C"/>
    <w:rsid w:val="00EF1421"/>
    <w:rsid w:val="00EF1ACE"/>
    <w:rsid w:val="00EF1D93"/>
    <w:rsid w:val="00EF57B3"/>
    <w:rsid w:val="00EF5852"/>
    <w:rsid w:val="00EF5C6A"/>
    <w:rsid w:val="00F00A1F"/>
    <w:rsid w:val="00F00C18"/>
    <w:rsid w:val="00F026A9"/>
    <w:rsid w:val="00F02B06"/>
    <w:rsid w:val="00F03279"/>
    <w:rsid w:val="00F034CC"/>
    <w:rsid w:val="00F052D7"/>
    <w:rsid w:val="00F053B6"/>
    <w:rsid w:val="00F05E91"/>
    <w:rsid w:val="00F07B27"/>
    <w:rsid w:val="00F07F59"/>
    <w:rsid w:val="00F1088C"/>
    <w:rsid w:val="00F108E5"/>
    <w:rsid w:val="00F10D54"/>
    <w:rsid w:val="00F10E8D"/>
    <w:rsid w:val="00F11061"/>
    <w:rsid w:val="00F11AE8"/>
    <w:rsid w:val="00F121E8"/>
    <w:rsid w:val="00F130B4"/>
    <w:rsid w:val="00F13ADD"/>
    <w:rsid w:val="00F14ED3"/>
    <w:rsid w:val="00F15B91"/>
    <w:rsid w:val="00F15BCE"/>
    <w:rsid w:val="00F15DF7"/>
    <w:rsid w:val="00F15EF5"/>
    <w:rsid w:val="00F164A8"/>
    <w:rsid w:val="00F175AE"/>
    <w:rsid w:val="00F20384"/>
    <w:rsid w:val="00F20769"/>
    <w:rsid w:val="00F21725"/>
    <w:rsid w:val="00F21CA7"/>
    <w:rsid w:val="00F21FD4"/>
    <w:rsid w:val="00F22B63"/>
    <w:rsid w:val="00F25244"/>
    <w:rsid w:val="00F276B1"/>
    <w:rsid w:val="00F276DB"/>
    <w:rsid w:val="00F27A2B"/>
    <w:rsid w:val="00F308B0"/>
    <w:rsid w:val="00F32DB3"/>
    <w:rsid w:val="00F33414"/>
    <w:rsid w:val="00F33876"/>
    <w:rsid w:val="00F3480D"/>
    <w:rsid w:val="00F3508D"/>
    <w:rsid w:val="00F36011"/>
    <w:rsid w:val="00F36A27"/>
    <w:rsid w:val="00F40046"/>
    <w:rsid w:val="00F41551"/>
    <w:rsid w:val="00F42600"/>
    <w:rsid w:val="00F4284C"/>
    <w:rsid w:val="00F42DA1"/>
    <w:rsid w:val="00F4421B"/>
    <w:rsid w:val="00F44B21"/>
    <w:rsid w:val="00F45233"/>
    <w:rsid w:val="00F453B4"/>
    <w:rsid w:val="00F462D5"/>
    <w:rsid w:val="00F50157"/>
    <w:rsid w:val="00F50499"/>
    <w:rsid w:val="00F52448"/>
    <w:rsid w:val="00F55999"/>
    <w:rsid w:val="00F569A2"/>
    <w:rsid w:val="00F575F8"/>
    <w:rsid w:val="00F601C7"/>
    <w:rsid w:val="00F60CE5"/>
    <w:rsid w:val="00F61FC0"/>
    <w:rsid w:val="00F62342"/>
    <w:rsid w:val="00F65037"/>
    <w:rsid w:val="00F66E41"/>
    <w:rsid w:val="00F67693"/>
    <w:rsid w:val="00F71389"/>
    <w:rsid w:val="00F715F6"/>
    <w:rsid w:val="00F719A0"/>
    <w:rsid w:val="00F7226D"/>
    <w:rsid w:val="00F73594"/>
    <w:rsid w:val="00F7436E"/>
    <w:rsid w:val="00F749A5"/>
    <w:rsid w:val="00F74E61"/>
    <w:rsid w:val="00F7797A"/>
    <w:rsid w:val="00F81A9D"/>
    <w:rsid w:val="00F81C01"/>
    <w:rsid w:val="00F81C59"/>
    <w:rsid w:val="00F81F8D"/>
    <w:rsid w:val="00F82463"/>
    <w:rsid w:val="00F82E5C"/>
    <w:rsid w:val="00F8367F"/>
    <w:rsid w:val="00F857F2"/>
    <w:rsid w:val="00F85C3B"/>
    <w:rsid w:val="00F870C9"/>
    <w:rsid w:val="00F90380"/>
    <w:rsid w:val="00F9121F"/>
    <w:rsid w:val="00F91E7E"/>
    <w:rsid w:val="00F9206C"/>
    <w:rsid w:val="00F92947"/>
    <w:rsid w:val="00F93555"/>
    <w:rsid w:val="00F9395B"/>
    <w:rsid w:val="00F945CE"/>
    <w:rsid w:val="00F9547F"/>
    <w:rsid w:val="00F955E3"/>
    <w:rsid w:val="00F95F39"/>
    <w:rsid w:val="00F968E4"/>
    <w:rsid w:val="00F97EA9"/>
    <w:rsid w:val="00FA042A"/>
    <w:rsid w:val="00FA0934"/>
    <w:rsid w:val="00FA0B9E"/>
    <w:rsid w:val="00FA1967"/>
    <w:rsid w:val="00FA24F8"/>
    <w:rsid w:val="00FA265D"/>
    <w:rsid w:val="00FA373C"/>
    <w:rsid w:val="00FA411D"/>
    <w:rsid w:val="00FA66E0"/>
    <w:rsid w:val="00FA7D6D"/>
    <w:rsid w:val="00FA7DC7"/>
    <w:rsid w:val="00FB1960"/>
    <w:rsid w:val="00FB1BFE"/>
    <w:rsid w:val="00FB37B0"/>
    <w:rsid w:val="00FB41C0"/>
    <w:rsid w:val="00FB57B0"/>
    <w:rsid w:val="00FC03C6"/>
    <w:rsid w:val="00FC3A7C"/>
    <w:rsid w:val="00FC3E72"/>
    <w:rsid w:val="00FC46F3"/>
    <w:rsid w:val="00FC4D9F"/>
    <w:rsid w:val="00FC58AB"/>
    <w:rsid w:val="00FC60D3"/>
    <w:rsid w:val="00FC7145"/>
    <w:rsid w:val="00FD2B3B"/>
    <w:rsid w:val="00FD5D3C"/>
    <w:rsid w:val="00FD6BA5"/>
    <w:rsid w:val="00FE0710"/>
    <w:rsid w:val="00FE13A7"/>
    <w:rsid w:val="00FE1FAE"/>
    <w:rsid w:val="00FE294E"/>
    <w:rsid w:val="00FE30DD"/>
    <w:rsid w:val="00FE5D27"/>
    <w:rsid w:val="00FE68B2"/>
    <w:rsid w:val="00FE69EA"/>
    <w:rsid w:val="00FF1716"/>
    <w:rsid w:val="00FF25F9"/>
    <w:rsid w:val="00FF27E0"/>
    <w:rsid w:val="00FF6FB1"/>
    <w:rsid w:val="00FF765A"/>
    <w:rsid w:val="00FF7F3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CB27A3"/>
  <w15:docId w15:val="{F6D51EC3-2401-0649-9FB7-2C65FBC0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EF3"/>
    <w:rPr>
      <w:rFonts w:eastAsia="Times New Roman" w:cs="Times New Roman"/>
      <w:lang w:eastAsia="ja-JP"/>
    </w:rPr>
  </w:style>
  <w:style w:type="paragraph" w:styleId="Heading1">
    <w:name w:val="heading 1"/>
    <w:basedOn w:val="Normal"/>
    <w:link w:val="Heading1Char"/>
    <w:uiPriority w:val="9"/>
    <w:qFormat/>
    <w:rsid w:val="001B20BA"/>
    <w:pPr>
      <w:spacing w:line="480" w:lineRule="auto"/>
      <w:outlineLvl w:val="0"/>
    </w:pPr>
    <w:rPr>
      <w:b/>
      <w:bCs/>
    </w:rPr>
  </w:style>
  <w:style w:type="paragraph" w:styleId="Heading2">
    <w:name w:val="heading 2"/>
    <w:basedOn w:val="Normal"/>
    <w:next w:val="Normal"/>
    <w:link w:val="Heading2Char"/>
    <w:uiPriority w:val="9"/>
    <w:unhideWhenUsed/>
    <w:qFormat/>
    <w:rsid w:val="001B20BA"/>
    <w:pPr>
      <w:spacing w:line="480" w:lineRule="auto"/>
      <w:outlineLvl w:val="1"/>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B05"/>
    <w:pPr>
      <w:spacing w:after="200" w:line="276" w:lineRule="auto"/>
      <w:ind w:left="720"/>
      <w:contextualSpacing/>
    </w:pPr>
    <w:rPr>
      <w:rFonts w:asciiTheme="minorHAnsi" w:eastAsiaTheme="minorEastAsia" w:hAnsiTheme="minorHAnsi" w:cstheme="minorBidi"/>
      <w:sz w:val="22"/>
      <w:szCs w:val="22"/>
    </w:rPr>
  </w:style>
  <w:style w:type="paragraph" w:styleId="BalloonText">
    <w:name w:val="Balloon Text"/>
    <w:basedOn w:val="Normal"/>
    <w:link w:val="BalloonTextChar"/>
    <w:uiPriority w:val="99"/>
    <w:semiHidden/>
    <w:unhideWhenUsed/>
    <w:rsid w:val="000822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22A3"/>
    <w:rPr>
      <w:rFonts w:ascii="Lucida Grande" w:hAnsi="Lucida Grande" w:cs="Lucida Grande"/>
      <w:sz w:val="18"/>
      <w:szCs w:val="18"/>
      <w:lang w:val="en-GB"/>
    </w:rPr>
  </w:style>
  <w:style w:type="character" w:styleId="Hyperlink">
    <w:name w:val="Hyperlink"/>
    <w:basedOn w:val="DefaultParagraphFont"/>
    <w:uiPriority w:val="99"/>
    <w:unhideWhenUsed/>
    <w:rsid w:val="00013D3C"/>
    <w:rPr>
      <w:color w:val="0000FF" w:themeColor="hyperlink"/>
      <w:u w:val="single"/>
    </w:rPr>
  </w:style>
  <w:style w:type="character" w:styleId="CommentReference">
    <w:name w:val="annotation reference"/>
    <w:uiPriority w:val="99"/>
    <w:semiHidden/>
    <w:unhideWhenUsed/>
    <w:rsid w:val="0005089C"/>
    <w:rPr>
      <w:sz w:val="16"/>
      <w:szCs w:val="16"/>
    </w:rPr>
  </w:style>
  <w:style w:type="paragraph" w:styleId="CommentText">
    <w:name w:val="annotation text"/>
    <w:basedOn w:val="Normal"/>
    <w:link w:val="CommentTextChar"/>
    <w:uiPriority w:val="99"/>
    <w:unhideWhenUsed/>
    <w:rsid w:val="0005089C"/>
    <w:rPr>
      <w:sz w:val="20"/>
      <w:szCs w:val="20"/>
      <w:lang w:val="x-none" w:eastAsia="x-none"/>
    </w:rPr>
  </w:style>
  <w:style w:type="character" w:customStyle="1" w:styleId="CommentTextChar">
    <w:name w:val="Comment Text Char"/>
    <w:basedOn w:val="DefaultParagraphFont"/>
    <w:link w:val="CommentText"/>
    <w:uiPriority w:val="99"/>
    <w:rsid w:val="0005089C"/>
    <w:rPr>
      <w:rFonts w:eastAsia="Times New Roman" w:cs="Times New Roman"/>
      <w:sz w:val="20"/>
      <w:szCs w:val="20"/>
      <w:lang w:val="x-none" w:eastAsia="x-none"/>
    </w:rPr>
  </w:style>
  <w:style w:type="paragraph" w:customStyle="1" w:styleId="EndNoteBibliography">
    <w:name w:val="EndNote Bibliography"/>
    <w:basedOn w:val="Normal"/>
    <w:link w:val="EndNoteBibliographyCar"/>
    <w:rsid w:val="0005089C"/>
    <w:pPr>
      <w:jc w:val="both"/>
    </w:pPr>
    <w:rPr>
      <w:noProof/>
      <w:lang w:val="el-GR" w:eastAsia="el-GR"/>
    </w:rPr>
  </w:style>
  <w:style w:type="character" w:customStyle="1" w:styleId="EndNoteBibliographyCar">
    <w:name w:val="EndNote Bibliography Car"/>
    <w:link w:val="EndNoteBibliography"/>
    <w:rsid w:val="0005089C"/>
    <w:rPr>
      <w:rFonts w:eastAsia="Times New Roman" w:cs="Times New Roman"/>
      <w:noProof/>
      <w:lang w:val="el-GR" w:eastAsia="el-GR"/>
    </w:rPr>
  </w:style>
  <w:style w:type="paragraph" w:customStyle="1" w:styleId="EndNoteBibliographyTitle">
    <w:name w:val="EndNote Bibliography Title"/>
    <w:basedOn w:val="Normal"/>
    <w:rsid w:val="00D4541F"/>
    <w:pPr>
      <w:jc w:val="center"/>
    </w:pPr>
    <w:rPr>
      <w:rFonts w:eastAsiaTheme="minorEastAsia"/>
      <w:lang w:eastAsia="en-US"/>
    </w:rPr>
  </w:style>
  <w:style w:type="paragraph" w:customStyle="1" w:styleId="Body">
    <w:name w:val="Body"/>
    <w:rsid w:val="00855D89"/>
    <w:pPr>
      <w:pBdr>
        <w:top w:val="nil"/>
        <w:left w:val="nil"/>
        <w:bottom w:val="nil"/>
        <w:right w:val="nil"/>
        <w:between w:val="nil"/>
        <w:bar w:val="nil"/>
      </w:pBdr>
    </w:pPr>
    <w:rPr>
      <w:rFonts w:eastAsia="Arial Unicode MS" w:hAnsi="Arial Unicode MS" w:cs="Arial Unicode MS"/>
      <w:color w:val="000000"/>
      <w:u w:color="000000"/>
      <w:bdr w:val="nil"/>
    </w:rPr>
  </w:style>
  <w:style w:type="paragraph" w:styleId="NormalWeb">
    <w:name w:val="Normal (Web)"/>
    <w:basedOn w:val="Normal"/>
    <w:uiPriority w:val="99"/>
    <w:unhideWhenUsed/>
    <w:rsid w:val="00242087"/>
    <w:pPr>
      <w:spacing w:before="100" w:beforeAutospacing="1" w:after="100" w:afterAutospacing="1"/>
    </w:pPr>
    <w:rPr>
      <w:lang w:val="es-ES" w:eastAsia="es-ES"/>
    </w:rPr>
  </w:style>
  <w:style w:type="paragraph" w:styleId="CommentSubject">
    <w:name w:val="annotation subject"/>
    <w:basedOn w:val="CommentText"/>
    <w:next w:val="CommentText"/>
    <w:link w:val="CommentSubjectChar"/>
    <w:uiPriority w:val="99"/>
    <w:semiHidden/>
    <w:unhideWhenUsed/>
    <w:rsid w:val="00F25244"/>
    <w:rPr>
      <w:rFonts w:eastAsiaTheme="minorEastAsia" w:cstheme="minorBidi"/>
      <w:b/>
      <w:bCs/>
    </w:rPr>
  </w:style>
  <w:style w:type="character" w:customStyle="1" w:styleId="CommentSubjectChar">
    <w:name w:val="Comment Subject Char"/>
    <w:basedOn w:val="CommentTextChar"/>
    <w:link w:val="CommentSubject"/>
    <w:uiPriority w:val="99"/>
    <w:semiHidden/>
    <w:rsid w:val="00F25244"/>
    <w:rPr>
      <w:rFonts w:eastAsia="Times New Roman" w:cs="Times New Roman"/>
      <w:b/>
      <w:bCs/>
      <w:sz w:val="20"/>
      <w:szCs w:val="20"/>
      <w:lang w:val="en-GB" w:eastAsia="x-none"/>
    </w:rPr>
  </w:style>
  <w:style w:type="character" w:styleId="FollowedHyperlink">
    <w:name w:val="FollowedHyperlink"/>
    <w:basedOn w:val="DefaultParagraphFont"/>
    <w:uiPriority w:val="99"/>
    <w:semiHidden/>
    <w:unhideWhenUsed/>
    <w:rsid w:val="00773221"/>
    <w:rPr>
      <w:color w:val="800080"/>
      <w:u w:val="single"/>
    </w:rPr>
  </w:style>
  <w:style w:type="paragraph" w:customStyle="1" w:styleId="font5">
    <w:name w:val="font5"/>
    <w:basedOn w:val="Normal"/>
    <w:rsid w:val="00773221"/>
    <w:pPr>
      <w:spacing w:before="100" w:beforeAutospacing="1" w:after="100" w:afterAutospacing="1"/>
    </w:pPr>
    <w:rPr>
      <w:color w:val="000000"/>
      <w:sz w:val="22"/>
      <w:szCs w:val="22"/>
      <w:lang w:val="es-ES" w:eastAsia="es-ES"/>
    </w:rPr>
  </w:style>
  <w:style w:type="paragraph" w:customStyle="1" w:styleId="font6">
    <w:name w:val="font6"/>
    <w:basedOn w:val="Normal"/>
    <w:rsid w:val="00773221"/>
    <w:pPr>
      <w:spacing w:before="100" w:beforeAutospacing="1" w:after="100" w:afterAutospacing="1"/>
    </w:pPr>
    <w:rPr>
      <w:b/>
      <w:bCs/>
      <w:color w:val="000000"/>
      <w:sz w:val="22"/>
      <w:szCs w:val="22"/>
      <w:lang w:val="es-ES" w:eastAsia="es-ES"/>
    </w:rPr>
  </w:style>
  <w:style w:type="paragraph" w:customStyle="1" w:styleId="xl63">
    <w:name w:val="xl63"/>
    <w:basedOn w:val="Normal"/>
    <w:rsid w:val="00773221"/>
    <w:pPr>
      <w:spacing w:before="100" w:beforeAutospacing="1" w:after="100" w:afterAutospacing="1"/>
      <w:textAlignment w:val="center"/>
    </w:pPr>
    <w:rPr>
      <w:lang w:val="es-ES" w:eastAsia="es-ES"/>
    </w:rPr>
  </w:style>
  <w:style w:type="paragraph" w:customStyle="1" w:styleId="xl64">
    <w:name w:val="xl64"/>
    <w:basedOn w:val="Normal"/>
    <w:rsid w:val="00773221"/>
    <w:pPr>
      <w:spacing w:before="100" w:beforeAutospacing="1" w:after="100" w:afterAutospacing="1"/>
      <w:textAlignment w:val="center"/>
    </w:pPr>
    <w:rPr>
      <w:lang w:val="es-ES" w:eastAsia="es-ES"/>
    </w:rPr>
  </w:style>
  <w:style w:type="paragraph" w:customStyle="1" w:styleId="xl65">
    <w:name w:val="xl65"/>
    <w:basedOn w:val="Normal"/>
    <w:rsid w:val="00773221"/>
    <w:pPr>
      <w:pBdr>
        <w:top w:val="single" w:sz="4" w:space="0" w:color="auto"/>
      </w:pBdr>
      <w:spacing w:before="100" w:beforeAutospacing="1" w:after="100" w:afterAutospacing="1"/>
      <w:textAlignment w:val="center"/>
    </w:pPr>
    <w:rPr>
      <w:lang w:val="es-ES" w:eastAsia="es-ES"/>
    </w:rPr>
  </w:style>
  <w:style w:type="paragraph" w:customStyle="1" w:styleId="xl66">
    <w:name w:val="xl66"/>
    <w:basedOn w:val="Normal"/>
    <w:rsid w:val="00773221"/>
    <w:pPr>
      <w:pBdr>
        <w:bottom w:val="single" w:sz="4" w:space="0" w:color="auto"/>
      </w:pBdr>
      <w:spacing w:before="100" w:beforeAutospacing="1" w:after="100" w:afterAutospacing="1"/>
      <w:textAlignment w:val="center"/>
    </w:pPr>
    <w:rPr>
      <w:lang w:val="es-ES" w:eastAsia="es-ES"/>
    </w:rPr>
  </w:style>
  <w:style w:type="paragraph" w:customStyle="1" w:styleId="xl67">
    <w:name w:val="xl67"/>
    <w:basedOn w:val="Normal"/>
    <w:rsid w:val="00773221"/>
    <w:pPr>
      <w:pBdr>
        <w:bottom w:val="single" w:sz="4" w:space="0" w:color="auto"/>
      </w:pBdr>
      <w:spacing w:before="100" w:beforeAutospacing="1" w:after="100" w:afterAutospacing="1"/>
      <w:textAlignment w:val="center"/>
    </w:pPr>
    <w:rPr>
      <w:lang w:val="es-ES" w:eastAsia="es-ES"/>
    </w:rPr>
  </w:style>
  <w:style w:type="paragraph" w:customStyle="1" w:styleId="xl68">
    <w:name w:val="xl68"/>
    <w:basedOn w:val="Normal"/>
    <w:rsid w:val="00773221"/>
    <w:pPr>
      <w:pBdr>
        <w:bottom w:val="single" w:sz="4" w:space="0" w:color="auto"/>
      </w:pBdr>
      <w:spacing w:before="100" w:beforeAutospacing="1" w:after="100" w:afterAutospacing="1"/>
      <w:textAlignment w:val="center"/>
    </w:pPr>
    <w:rPr>
      <w:lang w:val="es-ES" w:eastAsia="es-ES"/>
    </w:rPr>
  </w:style>
  <w:style w:type="paragraph" w:customStyle="1" w:styleId="xl69">
    <w:name w:val="xl69"/>
    <w:basedOn w:val="Normal"/>
    <w:rsid w:val="00773221"/>
    <w:pPr>
      <w:spacing w:before="100" w:beforeAutospacing="1" w:after="100" w:afterAutospacing="1"/>
      <w:textAlignment w:val="center"/>
    </w:pPr>
    <w:rPr>
      <w:lang w:val="es-ES" w:eastAsia="es-ES"/>
    </w:rPr>
  </w:style>
  <w:style w:type="paragraph" w:customStyle="1" w:styleId="xl70">
    <w:name w:val="xl70"/>
    <w:basedOn w:val="Normal"/>
    <w:rsid w:val="00773221"/>
    <w:pPr>
      <w:pBdr>
        <w:bottom w:val="double" w:sz="6" w:space="0" w:color="auto"/>
      </w:pBdr>
      <w:spacing w:before="100" w:beforeAutospacing="1" w:after="100" w:afterAutospacing="1"/>
      <w:textAlignment w:val="center"/>
    </w:pPr>
    <w:rPr>
      <w:lang w:val="es-ES" w:eastAsia="es-ES"/>
    </w:rPr>
  </w:style>
  <w:style w:type="paragraph" w:customStyle="1" w:styleId="xl71">
    <w:name w:val="xl71"/>
    <w:basedOn w:val="Normal"/>
    <w:rsid w:val="00773221"/>
    <w:pPr>
      <w:pBdr>
        <w:bottom w:val="double" w:sz="6" w:space="0" w:color="auto"/>
      </w:pBdr>
      <w:spacing w:before="100" w:beforeAutospacing="1" w:after="100" w:afterAutospacing="1"/>
      <w:textAlignment w:val="center"/>
    </w:pPr>
    <w:rPr>
      <w:lang w:val="es-ES" w:eastAsia="es-ES"/>
    </w:rPr>
  </w:style>
  <w:style w:type="paragraph" w:customStyle="1" w:styleId="xl72">
    <w:name w:val="xl72"/>
    <w:basedOn w:val="Normal"/>
    <w:rsid w:val="00773221"/>
    <w:pPr>
      <w:spacing w:before="100" w:beforeAutospacing="1" w:after="100" w:afterAutospacing="1"/>
      <w:textAlignment w:val="center"/>
    </w:pPr>
    <w:rPr>
      <w:lang w:val="es-ES" w:eastAsia="es-ES"/>
    </w:rPr>
  </w:style>
  <w:style w:type="paragraph" w:customStyle="1" w:styleId="xl73">
    <w:name w:val="xl73"/>
    <w:basedOn w:val="Normal"/>
    <w:rsid w:val="00773221"/>
    <w:pPr>
      <w:pBdr>
        <w:top w:val="single" w:sz="4" w:space="0" w:color="auto"/>
      </w:pBdr>
      <w:spacing w:before="100" w:beforeAutospacing="1" w:after="100" w:afterAutospacing="1"/>
      <w:textAlignment w:val="center"/>
    </w:pPr>
    <w:rPr>
      <w:lang w:val="es-ES" w:eastAsia="es-ES"/>
    </w:rPr>
  </w:style>
  <w:style w:type="paragraph" w:customStyle="1" w:styleId="xl74">
    <w:name w:val="xl74"/>
    <w:basedOn w:val="Normal"/>
    <w:rsid w:val="00773221"/>
    <w:pPr>
      <w:spacing w:before="100" w:beforeAutospacing="1" w:after="100" w:afterAutospacing="1"/>
      <w:textAlignment w:val="center"/>
    </w:pPr>
    <w:rPr>
      <w:b/>
      <w:bCs/>
      <w:lang w:val="es-ES" w:eastAsia="es-ES"/>
    </w:rPr>
  </w:style>
  <w:style w:type="paragraph" w:customStyle="1" w:styleId="xl75">
    <w:name w:val="xl75"/>
    <w:basedOn w:val="Normal"/>
    <w:rsid w:val="00773221"/>
    <w:pPr>
      <w:spacing w:before="100" w:beforeAutospacing="1" w:after="100" w:afterAutospacing="1"/>
      <w:textAlignment w:val="center"/>
    </w:pPr>
    <w:rPr>
      <w:b/>
      <w:bCs/>
      <w:lang w:val="es-ES" w:eastAsia="es-ES"/>
    </w:rPr>
  </w:style>
  <w:style w:type="paragraph" w:customStyle="1" w:styleId="xl76">
    <w:name w:val="xl76"/>
    <w:basedOn w:val="Normal"/>
    <w:rsid w:val="00773221"/>
    <w:pPr>
      <w:pBdr>
        <w:bottom w:val="single" w:sz="4" w:space="0" w:color="auto"/>
      </w:pBdr>
      <w:spacing w:before="100" w:beforeAutospacing="1" w:after="100" w:afterAutospacing="1"/>
      <w:textAlignment w:val="center"/>
    </w:pPr>
    <w:rPr>
      <w:lang w:val="es-ES" w:eastAsia="es-ES"/>
    </w:rPr>
  </w:style>
  <w:style w:type="paragraph" w:customStyle="1" w:styleId="xl77">
    <w:name w:val="xl77"/>
    <w:basedOn w:val="Normal"/>
    <w:rsid w:val="00773221"/>
    <w:pPr>
      <w:pBdr>
        <w:bottom w:val="single" w:sz="4" w:space="0" w:color="auto"/>
      </w:pBdr>
      <w:spacing w:before="100" w:beforeAutospacing="1" w:after="100" w:afterAutospacing="1"/>
      <w:textAlignment w:val="center"/>
    </w:pPr>
    <w:rPr>
      <w:sz w:val="20"/>
      <w:szCs w:val="20"/>
      <w:lang w:val="es-ES" w:eastAsia="es-ES"/>
    </w:rPr>
  </w:style>
  <w:style w:type="paragraph" w:customStyle="1" w:styleId="xl78">
    <w:name w:val="xl78"/>
    <w:basedOn w:val="Normal"/>
    <w:rsid w:val="00773221"/>
    <w:pPr>
      <w:pBdr>
        <w:bottom w:val="single" w:sz="4" w:space="0" w:color="auto"/>
      </w:pBdr>
      <w:spacing w:before="100" w:beforeAutospacing="1" w:after="100" w:afterAutospacing="1"/>
      <w:textAlignment w:val="center"/>
    </w:pPr>
    <w:rPr>
      <w:sz w:val="20"/>
      <w:szCs w:val="20"/>
      <w:lang w:val="es-ES" w:eastAsia="es-ES"/>
    </w:rPr>
  </w:style>
  <w:style w:type="paragraph" w:customStyle="1" w:styleId="xl79">
    <w:name w:val="xl79"/>
    <w:basedOn w:val="Normal"/>
    <w:rsid w:val="00773221"/>
    <w:pPr>
      <w:pBdr>
        <w:bottom w:val="single" w:sz="4" w:space="0" w:color="auto"/>
      </w:pBdr>
      <w:spacing w:before="100" w:beforeAutospacing="1" w:after="100" w:afterAutospacing="1"/>
      <w:textAlignment w:val="center"/>
    </w:pPr>
    <w:rPr>
      <w:sz w:val="20"/>
      <w:szCs w:val="20"/>
      <w:lang w:val="es-ES" w:eastAsia="es-ES"/>
    </w:rPr>
  </w:style>
  <w:style w:type="paragraph" w:customStyle="1" w:styleId="xl80">
    <w:name w:val="xl80"/>
    <w:basedOn w:val="Normal"/>
    <w:rsid w:val="00773221"/>
    <w:pPr>
      <w:pBdr>
        <w:bottom w:val="single" w:sz="4" w:space="0" w:color="auto"/>
      </w:pBdr>
      <w:spacing w:before="100" w:beforeAutospacing="1" w:after="100" w:afterAutospacing="1"/>
      <w:textAlignment w:val="center"/>
    </w:pPr>
    <w:rPr>
      <w:sz w:val="20"/>
      <w:szCs w:val="20"/>
      <w:lang w:val="es-ES" w:eastAsia="es-ES"/>
    </w:rPr>
  </w:style>
  <w:style w:type="character" w:customStyle="1" w:styleId="Heading1Char">
    <w:name w:val="Heading 1 Char"/>
    <w:basedOn w:val="DefaultParagraphFont"/>
    <w:link w:val="Heading1"/>
    <w:uiPriority w:val="9"/>
    <w:rsid w:val="001B20BA"/>
    <w:rPr>
      <w:rFonts w:eastAsia="Times New Roman" w:cs="Times New Roman"/>
      <w:b/>
      <w:bCs/>
      <w:lang w:eastAsia="ja-JP"/>
    </w:rPr>
  </w:style>
  <w:style w:type="character" w:customStyle="1" w:styleId="highlight">
    <w:name w:val="highlight"/>
    <w:basedOn w:val="DefaultParagraphFont"/>
    <w:rsid w:val="00994FD8"/>
  </w:style>
  <w:style w:type="paragraph" w:customStyle="1" w:styleId="msonormal0">
    <w:name w:val="msonormal"/>
    <w:basedOn w:val="Normal"/>
    <w:rsid w:val="00C10474"/>
    <w:pPr>
      <w:spacing w:before="100" w:beforeAutospacing="1" w:after="100" w:afterAutospacing="1"/>
    </w:pPr>
  </w:style>
  <w:style w:type="paragraph" w:styleId="Header">
    <w:name w:val="header"/>
    <w:basedOn w:val="Normal"/>
    <w:link w:val="HeaderChar"/>
    <w:uiPriority w:val="99"/>
    <w:unhideWhenUsed/>
    <w:rsid w:val="00A32FCD"/>
    <w:pPr>
      <w:tabs>
        <w:tab w:val="center" w:pos="4252"/>
        <w:tab w:val="right" w:pos="8504"/>
      </w:tabs>
    </w:pPr>
    <w:rPr>
      <w:rFonts w:eastAsiaTheme="minorEastAsia" w:cstheme="minorBidi"/>
      <w:lang w:val="en-GB" w:eastAsia="en-US"/>
    </w:rPr>
  </w:style>
  <w:style w:type="character" w:customStyle="1" w:styleId="HeaderChar">
    <w:name w:val="Header Char"/>
    <w:basedOn w:val="DefaultParagraphFont"/>
    <w:link w:val="Header"/>
    <w:uiPriority w:val="99"/>
    <w:rsid w:val="00A32FCD"/>
    <w:rPr>
      <w:lang w:val="en-GB"/>
    </w:rPr>
  </w:style>
  <w:style w:type="paragraph" w:styleId="Footer">
    <w:name w:val="footer"/>
    <w:basedOn w:val="Normal"/>
    <w:link w:val="FooterChar"/>
    <w:uiPriority w:val="99"/>
    <w:unhideWhenUsed/>
    <w:rsid w:val="00A32FCD"/>
    <w:pPr>
      <w:tabs>
        <w:tab w:val="center" w:pos="4252"/>
        <w:tab w:val="right" w:pos="8504"/>
      </w:tabs>
    </w:pPr>
    <w:rPr>
      <w:rFonts w:eastAsiaTheme="minorEastAsia" w:cstheme="minorBidi"/>
      <w:lang w:val="en-GB" w:eastAsia="en-US"/>
    </w:rPr>
  </w:style>
  <w:style w:type="character" w:customStyle="1" w:styleId="FooterChar">
    <w:name w:val="Footer Char"/>
    <w:basedOn w:val="DefaultParagraphFont"/>
    <w:link w:val="Footer"/>
    <w:uiPriority w:val="99"/>
    <w:rsid w:val="00A32FCD"/>
    <w:rPr>
      <w:lang w:val="en-GB"/>
    </w:rPr>
  </w:style>
  <w:style w:type="paragraph" w:customStyle="1" w:styleId="BodyA">
    <w:name w:val="Body A"/>
    <w:rsid w:val="00E143D4"/>
    <w:pPr>
      <w:pBdr>
        <w:top w:val="nil"/>
        <w:left w:val="nil"/>
        <w:bottom w:val="nil"/>
        <w:right w:val="nil"/>
        <w:between w:val="nil"/>
        <w:bar w:val="nil"/>
      </w:pBdr>
    </w:pPr>
    <w:rPr>
      <w:rFonts w:eastAsia="Arial Unicode MS" w:hAnsi="Arial Unicode MS" w:cs="Arial Unicode MS"/>
      <w:color w:val="000000"/>
      <w:u w:color="000000"/>
      <w:bdr w:val="nil"/>
    </w:rPr>
  </w:style>
  <w:style w:type="paragraph" w:styleId="Revision">
    <w:name w:val="Revision"/>
    <w:hidden/>
    <w:uiPriority w:val="99"/>
    <w:semiHidden/>
    <w:rsid w:val="00710310"/>
    <w:rPr>
      <w:lang w:val="en-GB"/>
    </w:rPr>
  </w:style>
  <w:style w:type="character" w:customStyle="1" w:styleId="Mention1">
    <w:name w:val="Mention1"/>
    <w:basedOn w:val="DefaultParagraphFont"/>
    <w:uiPriority w:val="99"/>
    <w:semiHidden/>
    <w:unhideWhenUsed/>
    <w:rsid w:val="00BF6631"/>
    <w:rPr>
      <w:color w:val="2B579A"/>
      <w:shd w:val="clear" w:color="auto" w:fill="E6E6E6"/>
    </w:rPr>
  </w:style>
  <w:style w:type="paragraph" w:customStyle="1" w:styleId="p">
    <w:name w:val="p"/>
    <w:basedOn w:val="Normal"/>
    <w:rsid w:val="000C71A0"/>
    <w:pPr>
      <w:spacing w:before="100" w:beforeAutospacing="1" w:after="100" w:afterAutospacing="1"/>
    </w:pPr>
    <w:rPr>
      <w:rFonts w:ascii="Times" w:eastAsiaTheme="minorEastAsia" w:hAnsi="Times" w:cstheme="minorBidi"/>
      <w:sz w:val="20"/>
      <w:szCs w:val="20"/>
      <w:lang w:eastAsia="en-US"/>
    </w:rPr>
  </w:style>
  <w:style w:type="character" w:customStyle="1" w:styleId="st">
    <w:name w:val="st"/>
    <w:basedOn w:val="DefaultParagraphFont"/>
    <w:rsid w:val="001A3DCC"/>
  </w:style>
  <w:style w:type="character" w:styleId="Emphasis">
    <w:name w:val="Emphasis"/>
    <w:basedOn w:val="DefaultParagraphFont"/>
    <w:uiPriority w:val="20"/>
    <w:qFormat/>
    <w:rsid w:val="001A3DCC"/>
    <w:rPr>
      <w:i/>
      <w:iCs/>
    </w:rPr>
  </w:style>
  <w:style w:type="character" w:customStyle="1" w:styleId="UnresolvedMention1">
    <w:name w:val="Unresolved Mention1"/>
    <w:basedOn w:val="DefaultParagraphFont"/>
    <w:uiPriority w:val="99"/>
    <w:semiHidden/>
    <w:unhideWhenUsed/>
    <w:rsid w:val="00D83F5A"/>
    <w:rPr>
      <w:color w:val="605E5C"/>
      <w:shd w:val="clear" w:color="auto" w:fill="E1DFDD"/>
    </w:rPr>
  </w:style>
  <w:style w:type="character" w:customStyle="1" w:styleId="UnresolvedMention2">
    <w:name w:val="Unresolved Mention2"/>
    <w:basedOn w:val="DefaultParagraphFont"/>
    <w:uiPriority w:val="99"/>
    <w:semiHidden/>
    <w:unhideWhenUsed/>
    <w:rsid w:val="00BD3467"/>
    <w:rPr>
      <w:color w:val="605E5C"/>
      <w:shd w:val="clear" w:color="auto" w:fill="E1DFDD"/>
    </w:rPr>
  </w:style>
  <w:style w:type="character" w:customStyle="1" w:styleId="UnresolvedMention3">
    <w:name w:val="Unresolved Mention3"/>
    <w:basedOn w:val="DefaultParagraphFont"/>
    <w:uiPriority w:val="99"/>
    <w:semiHidden/>
    <w:unhideWhenUsed/>
    <w:rsid w:val="006A1C95"/>
    <w:rPr>
      <w:color w:val="605E5C"/>
      <w:shd w:val="clear" w:color="auto" w:fill="E1DFDD"/>
    </w:rPr>
  </w:style>
  <w:style w:type="character" w:customStyle="1" w:styleId="EndNoteBibliographyChar">
    <w:name w:val="EndNote Bibliography Char"/>
    <w:basedOn w:val="DefaultParagraphFont"/>
    <w:rsid w:val="007C1856"/>
    <w:rPr>
      <w:rFonts w:ascii="Calibri" w:hAnsi="Calibri" w:cs="Calibri"/>
    </w:rPr>
  </w:style>
  <w:style w:type="paragraph" w:styleId="Title">
    <w:name w:val="Title"/>
    <w:basedOn w:val="Normal"/>
    <w:next w:val="Normal"/>
    <w:link w:val="TitleChar"/>
    <w:uiPriority w:val="10"/>
    <w:qFormat/>
    <w:rsid w:val="001B20BA"/>
    <w:pPr>
      <w:spacing w:line="480" w:lineRule="auto"/>
    </w:pPr>
    <w:rPr>
      <w:b/>
    </w:rPr>
  </w:style>
  <w:style w:type="character" w:customStyle="1" w:styleId="TitleChar">
    <w:name w:val="Title Char"/>
    <w:basedOn w:val="DefaultParagraphFont"/>
    <w:link w:val="Title"/>
    <w:uiPriority w:val="10"/>
    <w:rsid w:val="001B20BA"/>
    <w:rPr>
      <w:rFonts w:eastAsia="Times New Roman" w:cs="Times New Roman"/>
      <w:b/>
      <w:lang w:eastAsia="ja-JP"/>
    </w:rPr>
  </w:style>
  <w:style w:type="character" w:customStyle="1" w:styleId="Heading2Char">
    <w:name w:val="Heading 2 Char"/>
    <w:basedOn w:val="DefaultParagraphFont"/>
    <w:link w:val="Heading2"/>
    <w:uiPriority w:val="9"/>
    <w:rsid w:val="001B20BA"/>
    <w:rPr>
      <w:rFonts w:eastAsia="Times New Roman" w:cs="Times New Roman"/>
      <w:b/>
      <w: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3134">
      <w:bodyDiv w:val="1"/>
      <w:marLeft w:val="0"/>
      <w:marRight w:val="0"/>
      <w:marTop w:val="0"/>
      <w:marBottom w:val="0"/>
      <w:divBdr>
        <w:top w:val="none" w:sz="0" w:space="0" w:color="auto"/>
        <w:left w:val="none" w:sz="0" w:space="0" w:color="auto"/>
        <w:bottom w:val="none" w:sz="0" w:space="0" w:color="auto"/>
        <w:right w:val="none" w:sz="0" w:space="0" w:color="auto"/>
      </w:divBdr>
    </w:div>
    <w:div w:id="23100641">
      <w:bodyDiv w:val="1"/>
      <w:marLeft w:val="0"/>
      <w:marRight w:val="0"/>
      <w:marTop w:val="0"/>
      <w:marBottom w:val="0"/>
      <w:divBdr>
        <w:top w:val="none" w:sz="0" w:space="0" w:color="auto"/>
        <w:left w:val="none" w:sz="0" w:space="0" w:color="auto"/>
        <w:bottom w:val="none" w:sz="0" w:space="0" w:color="auto"/>
        <w:right w:val="none" w:sz="0" w:space="0" w:color="auto"/>
      </w:divBdr>
    </w:div>
    <w:div w:id="50856474">
      <w:bodyDiv w:val="1"/>
      <w:marLeft w:val="0"/>
      <w:marRight w:val="0"/>
      <w:marTop w:val="0"/>
      <w:marBottom w:val="0"/>
      <w:divBdr>
        <w:top w:val="none" w:sz="0" w:space="0" w:color="auto"/>
        <w:left w:val="none" w:sz="0" w:space="0" w:color="auto"/>
        <w:bottom w:val="none" w:sz="0" w:space="0" w:color="auto"/>
        <w:right w:val="none" w:sz="0" w:space="0" w:color="auto"/>
      </w:divBdr>
    </w:div>
    <w:div w:id="72093443">
      <w:bodyDiv w:val="1"/>
      <w:marLeft w:val="0"/>
      <w:marRight w:val="0"/>
      <w:marTop w:val="0"/>
      <w:marBottom w:val="0"/>
      <w:divBdr>
        <w:top w:val="none" w:sz="0" w:space="0" w:color="auto"/>
        <w:left w:val="none" w:sz="0" w:space="0" w:color="auto"/>
        <w:bottom w:val="none" w:sz="0" w:space="0" w:color="auto"/>
        <w:right w:val="none" w:sz="0" w:space="0" w:color="auto"/>
      </w:divBdr>
    </w:div>
    <w:div w:id="77101830">
      <w:bodyDiv w:val="1"/>
      <w:marLeft w:val="0"/>
      <w:marRight w:val="0"/>
      <w:marTop w:val="0"/>
      <w:marBottom w:val="0"/>
      <w:divBdr>
        <w:top w:val="none" w:sz="0" w:space="0" w:color="auto"/>
        <w:left w:val="none" w:sz="0" w:space="0" w:color="auto"/>
        <w:bottom w:val="none" w:sz="0" w:space="0" w:color="auto"/>
        <w:right w:val="none" w:sz="0" w:space="0" w:color="auto"/>
      </w:divBdr>
    </w:div>
    <w:div w:id="121651974">
      <w:bodyDiv w:val="1"/>
      <w:marLeft w:val="0"/>
      <w:marRight w:val="0"/>
      <w:marTop w:val="0"/>
      <w:marBottom w:val="0"/>
      <w:divBdr>
        <w:top w:val="none" w:sz="0" w:space="0" w:color="auto"/>
        <w:left w:val="none" w:sz="0" w:space="0" w:color="auto"/>
        <w:bottom w:val="none" w:sz="0" w:space="0" w:color="auto"/>
        <w:right w:val="none" w:sz="0" w:space="0" w:color="auto"/>
      </w:divBdr>
    </w:div>
    <w:div w:id="161704914">
      <w:bodyDiv w:val="1"/>
      <w:marLeft w:val="0"/>
      <w:marRight w:val="0"/>
      <w:marTop w:val="0"/>
      <w:marBottom w:val="0"/>
      <w:divBdr>
        <w:top w:val="none" w:sz="0" w:space="0" w:color="auto"/>
        <w:left w:val="none" w:sz="0" w:space="0" w:color="auto"/>
        <w:bottom w:val="none" w:sz="0" w:space="0" w:color="auto"/>
        <w:right w:val="none" w:sz="0" w:space="0" w:color="auto"/>
      </w:divBdr>
    </w:div>
    <w:div w:id="171142599">
      <w:bodyDiv w:val="1"/>
      <w:marLeft w:val="0"/>
      <w:marRight w:val="0"/>
      <w:marTop w:val="0"/>
      <w:marBottom w:val="0"/>
      <w:divBdr>
        <w:top w:val="none" w:sz="0" w:space="0" w:color="auto"/>
        <w:left w:val="none" w:sz="0" w:space="0" w:color="auto"/>
        <w:bottom w:val="none" w:sz="0" w:space="0" w:color="auto"/>
        <w:right w:val="none" w:sz="0" w:space="0" w:color="auto"/>
      </w:divBdr>
    </w:div>
    <w:div w:id="188296607">
      <w:bodyDiv w:val="1"/>
      <w:marLeft w:val="0"/>
      <w:marRight w:val="0"/>
      <w:marTop w:val="0"/>
      <w:marBottom w:val="0"/>
      <w:divBdr>
        <w:top w:val="none" w:sz="0" w:space="0" w:color="auto"/>
        <w:left w:val="none" w:sz="0" w:space="0" w:color="auto"/>
        <w:bottom w:val="none" w:sz="0" w:space="0" w:color="auto"/>
        <w:right w:val="none" w:sz="0" w:space="0" w:color="auto"/>
      </w:divBdr>
    </w:div>
    <w:div w:id="214660628">
      <w:bodyDiv w:val="1"/>
      <w:marLeft w:val="0"/>
      <w:marRight w:val="0"/>
      <w:marTop w:val="0"/>
      <w:marBottom w:val="0"/>
      <w:divBdr>
        <w:top w:val="none" w:sz="0" w:space="0" w:color="auto"/>
        <w:left w:val="none" w:sz="0" w:space="0" w:color="auto"/>
        <w:bottom w:val="none" w:sz="0" w:space="0" w:color="auto"/>
        <w:right w:val="none" w:sz="0" w:space="0" w:color="auto"/>
      </w:divBdr>
      <w:divsChild>
        <w:div w:id="584925416">
          <w:marLeft w:val="0"/>
          <w:marRight w:val="0"/>
          <w:marTop w:val="0"/>
          <w:marBottom w:val="0"/>
          <w:divBdr>
            <w:top w:val="none" w:sz="0" w:space="0" w:color="auto"/>
            <w:left w:val="none" w:sz="0" w:space="0" w:color="auto"/>
            <w:bottom w:val="none" w:sz="0" w:space="0" w:color="auto"/>
            <w:right w:val="none" w:sz="0" w:space="0" w:color="auto"/>
          </w:divBdr>
        </w:div>
        <w:div w:id="744691158">
          <w:marLeft w:val="0"/>
          <w:marRight w:val="0"/>
          <w:marTop w:val="0"/>
          <w:marBottom w:val="0"/>
          <w:divBdr>
            <w:top w:val="none" w:sz="0" w:space="0" w:color="auto"/>
            <w:left w:val="none" w:sz="0" w:space="0" w:color="auto"/>
            <w:bottom w:val="none" w:sz="0" w:space="0" w:color="auto"/>
            <w:right w:val="none" w:sz="0" w:space="0" w:color="auto"/>
          </w:divBdr>
        </w:div>
        <w:div w:id="1063793865">
          <w:marLeft w:val="0"/>
          <w:marRight w:val="0"/>
          <w:marTop w:val="0"/>
          <w:marBottom w:val="0"/>
          <w:divBdr>
            <w:top w:val="none" w:sz="0" w:space="0" w:color="auto"/>
            <w:left w:val="none" w:sz="0" w:space="0" w:color="auto"/>
            <w:bottom w:val="none" w:sz="0" w:space="0" w:color="auto"/>
            <w:right w:val="none" w:sz="0" w:space="0" w:color="auto"/>
          </w:divBdr>
        </w:div>
        <w:div w:id="405417207">
          <w:marLeft w:val="0"/>
          <w:marRight w:val="0"/>
          <w:marTop w:val="0"/>
          <w:marBottom w:val="0"/>
          <w:divBdr>
            <w:top w:val="none" w:sz="0" w:space="0" w:color="auto"/>
            <w:left w:val="none" w:sz="0" w:space="0" w:color="auto"/>
            <w:bottom w:val="none" w:sz="0" w:space="0" w:color="auto"/>
            <w:right w:val="none" w:sz="0" w:space="0" w:color="auto"/>
          </w:divBdr>
        </w:div>
        <w:div w:id="631640165">
          <w:marLeft w:val="0"/>
          <w:marRight w:val="0"/>
          <w:marTop w:val="0"/>
          <w:marBottom w:val="0"/>
          <w:divBdr>
            <w:top w:val="none" w:sz="0" w:space="0" w:color="auto"/>
            <w:left w:val="none" w:sz="0" w:space="0" w:color="auto"/>
            <w:bottom w:val="none" w:sz="0" w:space="0" w:color="auto"/>
            <w:right w:val="none" w:sz="0" w:space="0" w:color="auto"/>
          </w:divBdr>
        </w:div>
        <w:div w:id="3676622">
          <w:marLeft w:val="0"/>
          <w:marRight w:val="0"/>
          <w:marTop w:val="0"/>
          <w:marBottom w:val="0"/>
          <w:divBdr>
            <w:top w:val="none" w:sz="0" w:space="0" w:color="auto"/>
            <w:left w:val="none" w:sz="0" w:space="0" w:color="auto"/>
            <w:bottom w:val="none" w:sz="0" w:space="0" w:color="auto"/>
            <w:right w:val="none" w:sz="0" w:space="0" w:color="auto"/>
          </w:divBdr>
        </w:div>
      </w:divsChild>
    </w:div>
    <w:div w:id="254293333">
      <w:bodyDiv w:val="1"/>
      <w:marLeft w:val="0"/>
      <w:marRight w:val="0"/>
      <w:marTop w:val="0"/>
      <w:marBottom w:val="0"/>
      <w:divBdr>
        <w:top w:val="none" w:sz="0" w:space="0" w:color="auto"/>
        <w:left w:val="none" w:sz="0" w:space="0" w:color="auto"/>
        <w:bottom w:val="none" w:sz="0" w:space="0" w:color="auto"/>
        <w:right w:val="none" w:sz="0" w:space="0" w:color="auto"/>
      </w:divBdr>
    </w:div>
    <w:div w:id="257298382">
      <w:bodyDiv w:val="1"/>
      <w:marLeft w:val="0"/>
      <w:marRight w:val="0"/>
      <w:marTop w:val="0"/>
      <w:marBottom w:val="0"/>
      <w:divBdr>
        <w:top w:val="none" w:sz="0" w:space="0" w:color="auto"/>
        <w:left w:val="none" w:sz="0" w:space="0" w:color="auto"/>
        <w:bottom w:val="none" w:sz="0" w:space="0" w:color="auto"/>
        <w:right w:val="none" w:sz="0" w:space="0" w:color="auto"/>
      </w:divBdr>
    </w:div>
    <w:div w:id="287901697">
      <w:bodyDiv w:val="1"/>
      <w:marLeft w:val="0"/>
      <w:marRight w:val="0"/>
      <w:marTop w:val="0"/>
      <w:marBottom w:val="0"/>
      <w:divBdr>
        <w:top w:val="none" w:sz="0" w:space="0" w:color="auto"/>
        <w:left w:val="none" w:sz="0" w:space="0" w:color="auto"/>
        <w:bottom w:val="none" w:sz="0" w:space="0" w:color="auto"/>
        <w:right w:val="none" w:sz="0" w:space="0" w:color="auto"/>
      </w:divBdr>
    </w:div>
    <w:div w:id="397825096">
      <w:bodyDiv w:val="1"/>
      <w:marLeft w:val="0"/>
      <w:marRight w:val="0"/>
      <w:marTop w:val="0"/>
      <w:marBottom w:val="0"/>
      <w:divBdr>
        <w:top w:val="none" w:sz="0" w:space="0" w:color="auto"/>
        <w:left w:val="none" w:sz="0" w:space="0" w:color="auto"/>
        <w:bottom w:val="none" w:sz="0" w:space="0" w:color="auto"/>
        <w:right w:val="none" w:sz="0" w:space="0" w:color="auto"/>
      </w:divBdr>
    </w:div>
    <w:div w:id="418673695">
      <w:bodyDiv w:val="1"/>
      <w:marLeft w:val="0"/>
      <w:marRight w:val="0"/>
      <w:marTop w:val="0"/>
      <w:marBottom w:val="0"/>
      <w:divBdr>
        <w:top w:val="none" w:sz="0" w:space="0" w:color="auto"/>
        <w:left w:val="none" w:sz="0" w:space="0" w:color="auto"/>
        <w:bottom w:val="none" w:sz="0" w:space="0" w:color="auto"/>
        <w:right w:val="none" w:sz="0" w:space="0" w:color="auto"/>
      </w:divBdr>
    </w:div>
    <w:div w:id="435445812">
      <w:bodyDiv w:val="1"/>
      <w:marLeft w:val="0"/>
      <w:marRight w:val="0"/>
      <w:marTop w:val="0"/>
      <w:marBottom w:val="0"/>
      <w:divBdr>
        <w:top w:val="none" w:sz="0" w:space="0" w:color="auto"/>
        <w:left w:val="none" w:sz="0" w:space="0" w:color="auto"/>
        <w:bottom w:val="none" w:sz="0" w:space="0" w:color="auto"/>
        <w:right w:val="none" w:sz="0" w:space="0" w:color="auto"/>
      </w:divBdr>
    </w:div>
    <w:div w:id="511141682">
      <w:bodyDiv w:val="1"/>
      <w:marLeft w:val="0"/>
      <w:marRight w:val="0"/>
      <w:marTop w:val="0"/>
      <w:marBottom w:val="0"/>
      <w:divBdr>
        <w:top w:val="none" w:sz="0" w:space="0" w:color="auto"/>
        <w:left w:val="none" w:sz="0" w:space="0" w:color="auto"/>
        <w:bottom w:val="none" w:sz="0" w:space="0" w:color="auto"/>
        <w:right w:val="none" w:sz="0" w:space="0" w:color="auto"/>
      </w:divBdr>
    </w:div>
    <w:div w:id="543639648">
      <w:bodyDiv w:val="1"/>
      <w:marLeft w:val="0"/>
      <w:marRight w:val="0"/>
      <w:marTop w:val="0"/>
      <w:marBottom w:val="0"/>
      <w:divBdr>
        <w:top w:val="none" w:sz="0" w:space="0" w:color="auto"/>
        <w:left w:val="none" w:sz="0" w:space="0" w:color="auto"/>
        <w:bottom w:val="none" w:sz="0" w:space="0" w:color="auto"/>
        <w:right w:val="none" w:sz="0" w:space="0" w:color="auto"/>
      </w:divBdr>
      <w:divsChild>
        <w:div w:id="383256075">
          <w:marLeft w:val="0"/>
          <w:marRight w:val="0"/>
          <w:marTop w:val="0"/>
          <w:marBottom w:val="0"/>
          <w:divBdr>
            <w:top w:val="none" w:sz="0" w:space="0" w:color="auto"/>
            <w:left w:val="none" w:sz="0" w:space="0" w:color="auto"/>
            <w:bottom w:val="none" w:sz="0" w:space="0" w:color="auto"/>
            <w:right w:val="none" w:sz="0" w:space="0" w:color="auto"/>
          </w:divBdr>
        </w:div>
        <w:div w:id="1313215328">
          <w:marLeft w:val="0"/>
          <w:marRight w:val="0"/>
          <w:marTop w:val="0"/>
          <w:marBottom w:val="0"/>
          <w:divBdr>
            <w:top w:val="none" w:sz="0" w:space="0" w:color="auto"/>
            <w:left w:val="none" w:sz="0" w:space="0" w:color="auto"/>
            <w:bottom w:val="none" w:sz="0" w:space="0" w:color="auto"/>
            <w:right w:val="none" w:sz="0" w:space="0" w:color="auto"/>
          </w:divBdr>
        </w:div>
        <w:div w:id="1245140095">
          <w:marLeft w:val="0"/>
          <w:marRight w:val="0"/>
          <w:marTop w:val="0"/>
          <w:marBottom w:val="0"/>
          <w:divBdr>
            <w:top w:val="none" w:sz="0" w:space="0" w:color="auto"/>
            <w:left w:val="none" w:sz="0" w:space="0" w:color="auto"/>
            <w:bottom w:val="none" w:sz="0" w:space="0" w:color="auto"/>
            <w:right w:val="none" w:sz="0" w:space="0" w:color="auto"/>
          </w:divBdr>
        </w:div>
      </w:divsChild>
    </w:div>
    <w:div w:id="554002662">
      <w:bodyDiv w:val="1"/>
      <w:marLeft w:val="0"/>
      <w:marRight w:val="0"/>
      <w:marTop w:val="0"/>
      <w:marBottom w:val="0"/>
      <w:divBdr>
        <w:top w:val="none" w:sz="0" w:space="0" w:color="auto"/>
        <w:left w:val="none" w:sz="0" w:space="0" w:color="auto"/>
        <w:bottom w:val="none" w:sz="0" w:space="0" w:color="auto"/>
        <w:right w:val="none" w:sz="0" w:space="0" w:color="auto"/>
      </w:divBdr>
    </w:div>
    <w:div w:id="665791970">
      <w:bodyDiv w:val="1"/>
      <w:marLeft w:val="0"/>
      <w:marRight w:val="0"/>
      <w:marTop w:val="0"/>
      <w:marBottom w:val="0"/>
      <w:divBdr>
        <w:top w:val="none" w:sz="0" w:space="0" w:color="auto"/>
        <w:left w:val="none" w:sz="0" w:space="0" w:color="auto"/>
        <w:bottom w:val="none" w:sz="0" w:space="0" w:color="auto"/>
        <w:right w:val="none" w:sz="0" w:space="0" w:color="auto"/>
      </w:divBdr>
    </w:div>
    <w:div w:id="674964162">
      <w:bodyDiv w:val="1"/>
      <w:marLeft w:val="0"/>
      <w:marRight w:val="0"/>
      <w:marTop w:val="0"/>
      <w:marBottom w:val="0"/>
      <w:divBdr>
        <w:top w:val="none" w:sz="0" w:space="0" w:color="auto"/>
        <w:left w:val="none" w:sz="0" w:space="0" w:color="auto"/>
        <w:bottom w:val="none" w:sz="0" w:space="0" w:color="auto"/>
        <w:right w:val="none" w:sz="0" w:space="0" w:color="auto"/>
      </w:divBdr>
    </w:div>
    <w:div w:id="680815008">
      <w:bodyDiv w:val="1"/>
      <w:marLeft w:val="0"/>
      <w:marRight w:val="0"/>
      <w:marTop w:val="0"/>
      <w:marBottom w:val="0"/>
      <w:divBdr>
        <w:top w:val="none" w:sz="0" w:space="0" w:color="auto"/>
        <w:left w:val="none" w:sz="0" w:space="0" w:color="auto"/>
        <w:bottom w:val="none" w:sz="0" w:space="0" w:color="auto"/>
        <w:right w:val="none" w:sz="0" w:space="0" w:color="auto"/>
      </w:divBdr>
    </w:div>
    <w:div w:id="686638349">
      <w:bodyDiv w:val="1"/>
      <w:marLeft w:val="0"/>
      <w:marRight w:val="0"/>
      <w:marTop w:val="0"/>
      <w:marBottom w:val="0"/>
      <w:divBdr>
        <w:top w:val="none" w:sz="0" w:space="0" w:color="auto"/>
        <w:left w:val="none" w:sz="0" w:space="0" w:color="auto"/>
        <w:bottom w:val="none" w:sz="0" w:space="0" w:color="auto"/>
        <w:right w:val="none" w:sz="0" w:space="0" w:color="auto"/>
      </w:divBdr>
    </w:div>
    <w:div w:id="718238198">
      <w:bodyDiv w:val="1"/>
      <w:marLeft w:val="0"/>
      <w:marRight w:val="0"/>
      <w:marTop w:val="0"/>
      <w:marBottom w:val="0"/>
      <w:divBdr>
        <w:top w:val="none" w:sz="0" w:space="0" w:color="auto"/>
        <w:left w:val="none" w:sz="0" w:space="0" w:color="auto"/>
        <w:bottom w:val="none" w:sz="0" w:space="0" w:color="auto"/>
        <w:right w:val="none" w:sz="0" w:space="0" w:color="auto"/>
      </w:divBdr>
    </w:div>
    <w:div w:id="750808323">
      <w:bodyDiv w:val="1"/>
      <w:marLeft w:val="0"/>
      <w:marRight w:val="0"/>
      <w:marTop w:val="0"/>
      <w:marBottom w:val="0"/>
      <w:divBdr>
        <w:top w:val="none" w:sz="0" w:space="0" w:color="auto"/>
        <w:left w:val="none" w:sz="0" w:space="0" w:color="auto"/>
        <w:bottom w:val="none" w:sz="0" w:space="0" w:color="auto"/>
        <w:right w:val="none" w:sz="0" w:space="0" w:color="auto"/>
      </w:divBdr>
    </w:div>
    <w:div w:id="783886606">
      <w:bodyDiv w:val="1"/>
      <w:marLeft w:val="0"/>
      <w:marRight w:val="0"/>
      <w:marTop w:val="0"/>
      <w:marBottom w:val="0"/>
      <w:divBdr>
        <w:top w:val="none" w:sz="0" w:space="0" w:color="auto"/>
        <w:left w:val="none" w:sz="0" w:space="0" w:color="auto"/>
        <w:bottom w:val="none" w:sz="0" w:space="0" w:color="auto"/>
        <w:right w:val="none" w:sz="0" w:space="0" w:color="auto"/>
      </w:divBdr>
    </w:div>
    <w:div w:id="826290843">
      <w:bodyDiv w:val="1"/>
      <w:marLeft w:val="0"/>
      <w:marRight w:val="0"/>
      <w:marTop w:val="0"/>
      <w:marBottom w:val="0"/>
      <w:divBdr>
        <w:top w:val="none" w:sz="0" w:space="0" w:color="auto"/>
        <w:left w:val="none" w:sz="0" w:space="0" w:color="auto"/>
        <w:bottom w:val="none" w:sz="0" w:space="0" w:color="auto"/>
        <w:right w:val="none" w:sz="0" w:space="0" w:color="auto"/>
      </w:divBdr>
    </w:div>
    <w:div w:id="840395951">
      <w:bodyDiv w:val="1"/>
      <w:marLeft w:val="0"/>
      <w:marRight w:val="0"/>
      <w:marTop w:val="0"/>
      <w:marBottom w:val="0"/>
      <w:divBdr>
        <w:top w:val="none" w:sz="0" w:space="0" w:color="auto"/>
        <w:left w:val="none" w:sz="0" w:space="0" w:color="auto"/>
        <w:bottom w:val="none" w:sz="0" w:space="0" w:color="auto"/>
        <w:right w:val="none" w:sz="0" w:space="0" w:color="auto"/>
      </w:divBdr>
    </w:div>
    <w:div w:id="841774898">
      <w:bodyDiv w:val="1"/>
      <w:marLeft w:val="0"/>
      <w:marRight w:val="0"/>
      <w:marTop w:val="0"/>
      <w:marBottom w:val="0"/>
      <w:divBdr>
        <w:top w:val="none" w:sz="0" w:space="0" w:color="auto"/>
        <w:left w:val="none" w:sz="0" w:space="0" w:color="auto"/>
        <w:bottom w:val="none" w:sz="0" w:space="0" w:color="auto"/>
        <w:right w:val="none" w:sz="0" w:space="0" w:color="auto"/>
      </w:divBdr>
    </w:div>
    <w:div w:id="863980195">
      <w:bodyDiv w:val="1"/>
      <w:marLeft w:val="0"/>
      <w:marRight w:val="0"/>
      <w:marTop w:val="0"/>
      <w:marBottom w:val="0"/>
      <w:divBdr>
        <w:top w:val="none" w:sz="0" w:space="0" w:color="auto"/>
        <w:left w:val="none" w:sz="0" w:space="0" w:color="auto"/>
        <w:bottom w:val="none" w:sz="0" w:space="0" w:color="auto"/>
        <w:right w:val="none" w:sz="0" w:space="0" w:color="auto"/>
      </w:divBdr>
    </w:div>
    <w:div w:id="879128280">
      <w:bodyDiv w:val="1"/>
      <w:marLeft w:val="0"/>
      <w:marRight w:val="0"/>
      <w:marTop w:val="0"/>
      <w:marBottom w:val="0"/>
      <w:divBdr>
        <w:top w:val="none" w:sz="0" w:space="0" w:color="auto"/>
        <w:left w:val="none" w:sz="0" w:space="0" w:color="auto"/>
        <w:bottom w:val="none" w:sz="0" w:space="0" w:color="auto"/>
        <w:right w:val="none" w:sz="0" w:space="0" w:color="auto"/>
      </w:divBdr>
    </w:div>
    <w:div w:id="884684086">
      <w:bodyDiv w:val="1"/>
      <w:marLeft w:val="0"/>
      <w:marRight w:val="0"/>
      <w:marTop w:val="0"/>
      <w:marBottom w:val="0"/>
      <w:divBdr>
        <w:top w:val="none" w:sz="0" w:space="0" w:color="auto"/>
        <w:left w:val="none" w:sz="0" w:space="0" w:color="auto"/>
        <w:bottom w:val="none" w:sz="0" w:space="0" w:color="auto"/>
        <w:right w:val="none" w:sz="0" w:space="0" w:color="auto"/>
      </w:divBdr>
    </w:div>
    <w:div w:id="939991465">
      <w:bodyDiv w:val="1"/>
      <w:marLeft w:val="0"/>
      <w:marRight w:val="0"/>
      <w:marTop w:val="0"/>
      <w:marBottom w:val="0"/>
      <w:divBdr>
        <w:top w:val="none" w:sz="0" w:space="0" w:color="auto"/>
        <w:left w:val="none" w:sz="0" w:space="0" w:color="auto"/>
        <w:bottom w:val="none" w:sz="0" w:space="0" w:color="auto"/>
        <w:right w:val="none" w:sz="0" w:space="0" w:color="auto"/>
      </w:divBdr>
    </w:div>
    <w:div w:id="971397473">
      <w:bodyDiv w:val="1"/>
      <w:marLeft w:val="0"/>
      <w:marRight w:val="0"/>
      <w:marTop w:val="0"/>
      <w:marBottom w:val="0"/>
      <w:divBdr>
        <w:top w:val="none" w:sz="0" w:space="0" w:color="auto"/>
        <w:left w:val="none" w:sz="0" w:space="0" w:color="auto"/>
        <w:bottom w:val="none" w:sz="0" w:space="0" w:color="auto"/>
        <w:right w:val="none" w:sz="0" w:space="0" w:color="auto"/>
      </w:divBdr>
    </w:div>
    <w:div w:id="972173429">
      <w:bodyDiv w:val="1"/>
      <w:marLeft w:val="0"/>
      <w:marRight w:val="0"/>
      <w:marTop w:val="0"/>
      <w:marBottom w:val="0"/>
      <w:divBdr>
        <w:top w:val="none" w:sz="0" w:space="0" w:color="auto"/>
        <w:left w:val="none" w:sz="0" w:space="0" w:color="auto"/>
        <w:bottom w:val="none" w:sz="0" w:space="0" w:color="auto"/>
        <w:right w:val="none" w:sz="0" w:space="0" w:color="auto"/>
      </w:divBdr>
    </w:div>
    <w:div w:id="985285284">
      <w:bodyDiv w:val="1"/>
      <w:marLeft w:val="0"/>
      <w:marRight w:val="0"/>
      <w:marTop w:val="0"/>
      <w:marBottom w:val="0"/>
      <w:divBdr>
        <w:top w:val="none" w:sz="0" w:space="0" w:color="auto"/>
        <w:left w:val="none" w:sz="0" w:space="0" w:color="auto"/>
        <w:bottom w:val="none" w:sz="0" w:space="0" w:color="auto"/>
        <w:right w:val="none" w:sz="0" w:space="0" w:color="auto"/>
      </w:divBdr>
    </w:div>
    <w:div w:id="1027213731">
      <w:bodyDiv w:val="1"/>
      <w:marLeft w:val="0"/>
      <w:marRight w:val="0"/>
      <w:marTop w:val="0"/>
      <w:marBottom w:val="0"/>
      <w:divBdr>
        <w:top w:val="none" w:sz="0" w:space="0" w:color="auto"/>
        <w:left w:val="none" w:sz="0" w:space="0" w:color="auto"/>
        <w:bottom w:val="none" w:sz="0" w:space="0" w:color="auto"/>
        <w:right w:val="none" w:sz="0" w:space="0" w:color="auto"/>
      </w:divBdr>
    </w:div>
    <w:div w:id="1040007439">
      <w:bodyDiv w:val="1"/>
      <w:marLeft w:val="0"/>
      <w:marRight w:val="0"/>
      <w:marTop w:val="0"/>
      <w:marBottom w:val="0"/>
      <w:divBdr>
        <w:top w:val="none" w:sz="0" w:space="0" w:color="auto"/>
        <w:left w:val="none" w:sz="0" w:space="0" w:color="auto"/>
        <w:bottom w:val="none" w:sz="0" w:space="0" w:color="auto"/>
        <w:right w:val="none" w:sz="0" w:space="0" w:color="auto"/>
      </w:divBdr>
    </w:div>
    <w:div w:id="1055929682">
      <w:bodyDiv w:val="1"/>
      <w:marLeft w:val="0"/>
      <w:marRight w:val="0"/>
      <w:marTop w:val="0"/>
      <w:marBottom w:val="0"/>
      <w:divBdr>
        <w:top w:val="none" w:sz="0" w:space="0" w:color="auto"/>
        <w:left w:val="none" w:sz="0" w:space="0" w:color="auto"/>
        <w:bottom w:val="none" w:sz="0" w:space="0" w:color="auto"/>
        <w:right w:val="none" w:sz="0" w:space="0" w:color="auto"/>
      </w:divBdr>
    </w:div>
    <w:div w:id="1058556132">
      <w:bodyDiv w:val="1"/>
      <w:marLeft w:val="0"/>
      <w:marRight w:val="0"/>
      <w:marTop w:val="0"/>
      <w:marBottom w:val="0"/>
      <w:divBdr>
        <w:top w:val="none" w:sz="0" w:space="0" w:color="auto"/>
        <w:left w:val="none" w:sz="0" w:space="0" w:color="auto"/>
        <w:bottom w:val="none" w:sz="0" w:space="0" w:color="auto"/>
        <w:right w:val="none" w:sz="0" w:space="0" w:color="auto"/>
      </w:divBdr>
    </w:div>
    <w:div w:id="1061096170">
      <w:bodyDiv w:val="1"/>
      <w:marLeft w:val="0"/>
      <w:marRight w:val="0"/>
      <w:marTop w:val="0"/>
      <w:marBottom w:val="0"/>
      <w:divBdr>
        <w:top w:val="none" w:sz="0" w:space="0" w:color="auto"/>
        <w:left w:val="none" w:sz="0" w:space="0" w:color="auto"/>
        <w:bottom w:val="none" w:sz="0" w:space="0" w:color="auto"/>
        <w:right w:val="none" w:sz="0" w:space="0" w:color="auto"/>
      </w:divBdr>
    </w:div>
    <w:div w:id="1074353388">
      <w:bodyDiv w:val="1"/>
      <w:marLeft w:val="0"/>
      <w:marRight w:val="0"/>
      <w:marTop w:val="0"/>
      <w:marBottom w:val="0"/>
      <w:divBdr>
        <w:top w:val="none" w:sz="0" w:space="0" w:color="auto"/>
        <w:left w:val="none" w:sz="0" w:space="0" w:color="auto"/>
        <w:bottom w:val="none" w:sz="0" w:space="0" w:color="auto"/>
        <w:right w:val="none" w:sz="0" w:space="0" w:color="auto"/>
      </w:divBdr>
      <w:divsChild>
        <w:div w:id="260190630">
          <w:marLeft w:val="0"/>
          <w:marRight w:val="0"/>
          <w:marTop w:val="0"/>
          <w:marBottom w:val="0"/>
          <w:divBdr>
            <w:top w:val="none" w:sz="0" w:space="0" w:color="auto"/>
            <w:left w:val="none" w:sz="0" w:space="0" w:color="auto"/>
            <w:bottom w:val="none" w:sz="0" w:space="0" w:color="auto"/>
            <w:right w:val="none" w:sz="0" w:space="0" w:color="auto"/>
          </w:divBdr>
        </w:div>
        <w:div w:id="972754372">
          <w:marLeft w:val="0"/>
          <w:marRight w:val="0"/>
          <w:marTop w:val="0"/>
          <w:marBottom w:val="0"/>
          <w:divBdr>
            <w:top w:val="none" w:sz="0" w:space="0" w:color="auto"/>
            <w:left w:val="none" w:sz="0" w:space="0" w:color="auto"/>
            <w:bottom w:val="none" w:sz="0" w:space="0" w:color="auto"/>
            <w:right w:val="none" w:sz="0" w:space="0" w:color="auto"/>
          </w:divBdr>
        </w:div>
        <w:div w:id="336732663">
          <w:marLeft w:val="0"/>
          <w:marRight w:val="0"/>
          <w:marTop w:val="0"/>
          <w:marBottom w:val="0"/>
          <w:divBdr>
            <w:top w:val="none" w:sz="0" w:space="0" w:color="auto"/>
            <w:left w:val="none" w:sz="0" w:space="0" w:color="auto"/>
            <w:bottom w:val="none" w:sz="0" w:space="0" w:color="auto"/>
            <w:right w:val="none" w:sz="0" w:space="0" w:color="auto"/>
          </w:divBdr>
        </w:div>
        <w:div w:id="222713593">
          <w:marLeft w:val="0"/>
          <w:marRight w:val="0"/>
          <w:marTop w:val="0"/>
          <w:marBottom w:val="0"/>
          <w:divBdr>
            <w:top w:val="none" w:sz="0" w:space="0" w:color="auto"/>
            <w:left w:val="none" w:sz="0" w:space="0" w:color="auto"/>
            <w:bottom w:val="none" w:sz="0" w:space="0" w:color="auto"/>
            <w:right w:val="none" w:sz="0" w:space="0" w:color="auto"/>
          </w:divBdr>
        </w:div>
      </w:divsChild>
    </w:div>
    <w:div w:id="1075974882">
      <w:bodyDiv w:val="1"/>
      <w:marLeft w:val="0"/>
      <w:marRight w:val="0"/>
      <w:marTop w:val="0"/>
      <w:marBottom w:val="0"/>
      <w:divBdr>
        <w:top w:val="none" w:sz="0" w:space="0" w:color="auto"/>
        <w:left w:val="none" w:sz="0" w:space="0" w:color="auto"/>
        <w:bottom w:val="none" w:sz="0" w:space="0" w:color="auto"/>
        <w:right w:val="none" w:sz="0" w:space="0" w:color="auto"/>
      </w:divBdr>
    </w:div>
    <w:div w:id="1082802055">
      <w:bodyDiv w:val="1"/>
      <w:marLeft w:val="0"/>
      <w:marRight w:val="0"/>
      <w:marTop w:val="0"/>
      <w:marBottom w:val="0"/>
      <w:divBdr>
        <w:top w:val="none" w:sz="0" w:space="0" w:color="auto"/>
        <w:left w:val="none" w:sz="0" w:space="0" w:color="auto"/>
        <w:bottom w:val="none" w:sz="0" w:space="0" w:color="auto"/>
        <w:right w:val="none" w:sz="0" w:space="0" w:color="auto"/>
      </w:divBdr>
    </w:div>
    <w:div w:id="1087966722">
      <w:bodyDiv w:val="1"/>
      <w:marLeft w:val="0"/>
      <w:marRight w:val="0"/>
      <w:marTop w:val="0"/>
      <w:marBottom w:val="0"/>
      <w:divBdr>
        <w:top w:val="none" w:sz="0" w:space="0" w:color="auto"/>
        <w:left w:val="none" w:sz="0" w:space="0" w:color="auto"/>
        <w:bottom w:val="none" w:sz="0" w:space="0" w:color="auto"/>
        <w:right w:val="none" w:sz="0" w:space="0" w:color="auto"/>
      </w:divBdr>
    </w:div>
    <w:div w:id="1100757129">
      <w:bodyDiv w:val="1"/>
      <w:marLeft w:val="0"/>
      <w:marRight w:val="0"/>
      <w:marTop w:val="0"/>
      <w:marBottom w:val="0"/>
      <w:divBdr>
        <w:top w:val="none" w:sz="0" w:space="0" w:color="auto"/>
        <w:left w:val="none" w:sz="0" w:space="0" w:color="auto"/>
        <w:bottom w:val="none" w:sz="0" w:space="0" w:color="auto"/>
        <w:right w:val="none" w:sz="0" w:space="0" w:color="auto"/>
      </w:divBdr>
    </w:div>
    <w:div w:id="1113861330">
      <w:bodyDiv w:val="1"/>
      <w:marLeft w:val="0"/>
      <w:marRight w:val="0"/>
      <w:marTop w:val="0"/>
      <w:marBottom w:val="0"/>
      <w:divBdr>
        <w:top w:val="none" w:sz="0" w:space="0" w:color="auto"/>
        <w:left w:val="none" w:sz="0" w:space="0" w:color="auto"/>
        <w:bottom w:val="none" w:sz="0" w:space="0" w:color="auto"/>
        <w:right w:val="none" w:sz="0" w:space="0" w:color="auto"/>
      </w:divBdr>
    </w:div>
    <w:div w:id="1117602523">
      <w:bodyDiv w:val="1"/>
      <w:marLeft w:val="0"/>
      <w:marRight w:val="0"/>
      <w:marTop w:val="0"/>
      <w:marBottom w:val="0"/>
      <w:divBdr>
        <w:top w:val="none" w:sz="0" w:space="0" w:color="auto"/>
        <w:left w:val="none" w:sz="0" w:space="0" w:color="auto"/>
        <w:bottom w:val="none" w:sz="0" w:space="0" w:color="auto"/>
        <w:right w:val="none" w:sz="0" w:space="0" w:color="auto"/>
      </w:divBdr>
    </w:div>
    <w:div w:id="1130172164">
      <w:bodyDiv w:val="1"/>
      <w:marLeft w:val="0"/>
      <w:marRight w:val="0"/>
      <w:marTop w:val="0"/>
      <w:marBottom w:val="0"/>
      <w:divBdr>
        <w:top w:val="none" w:sz="0" w:space="0" w:color="auto"/>
        <w:left w:val="none" w:sz="0" w:space="0" w:color="auto"/>
        <w:bottom w:val="none" w:sz="0" w:space="0" w:color="auto"/>
        <w:right w:val="none" w:sz="0" w:space="0" w:color="auto"/>
      </w:divBdr>
    </w:div>
    <w:div w:id="1187063030">
      <w:bodyDiv w:val="1"/>
      <w:marLeft w:val="0"/>
      <w:marRight w:val="0"/>
      <w:marTop w:val="0"/>
      <w:marBottom w:val="0"/>
      <w:divBdr>
        <w:top w:val="none" w:sz="0" w:space="0" w:color="auto"/>
        <w:left w:val="none" w:sz="0" w:space="0" w:color="auto"/>
        <w:bottom w:val="none" w:sz="0" w:space="0" w:color="auto"/>
        <w:right w:val="none" w:sz="0" w:space="0" w:color="auto"/>
      </w:divBdr>
    </w:div>
    <w:div w:id="1196851104">
      <w:bodyDiv w:val="1"/>
      <w:marLeft w:val="0"/>
      <w:marRight w:val="0"/>
      <w:marTop w:val="0"/>
      <w:marBottom w:val="0"/>
      <w:divBdr>
        <w:top w:val="none" w:sz="0" w:space="0" w:color="auto"/>
        <w:left w:val="none" w:sz="0" w:space="0" w:color="auto"/>
        <w:bottom w:val="none" w:sz="0" w:space="0" w:color="auto"/>
        <w:right w:val="none" w:sz="0" w:space="0" w:color="auto"/>
      </w:divBdr>
    </w:div>
    <w:div w:id="1218321826">
      <w:bodyDiv w:val="1"/>
      <w:marLeft w:val="0"/>
      <w:marRight w:val="0"/>
      <w:marTop w:val="0"/>
      <w:marBottom w:val="0"/>
      <w:divBdr>
        <w:top w:val="none" w:sz="0" w:space="0" w:color="auto"/>
        <w:left w:val="none" w:sz="0" w:space="0" w:color="auto"/>
        <w:bottom w:val="none" w:sz="0" w:space="0" w:color="auto"/>
        <w:right w:val="none" w:sz="0" w:space="0" w:color="auto"/>
      </w:divBdr>
    </w:div>
    <w:div w:id="1227493800">
      <w:bodyDiv w:val="1"/>
      <w:marLeft w:val="0"/>
      <w:marRight w:val="0"/>
      <w:marTop w:val="0"/>
      <w:marBottom w:val="0"/>
      <w:divBdr>
        <w:top w:val="none" w:sz="0" w:space="0" w:color="auto"/>
        <w:left w:val="none" w:sz="0" w:space="0" w:color="auto"/>
        <w:bottom w:val="none" w:sz="0" w:space="0" w:color="auto"/>
        <w:right w:val="none" w:sz="0" w:space="0" w:color="auto"/>
      </w:divBdr>
    </w:div>
    <w:div w:id="1248464100">
      <w:bodyDiv w:val="1"/>
      <w:marLeft w:val="0"/>
      <w:marRight w:val="0"/>
      <w:marTop w:val="0"/>
      <w:marBottom w:val="0"/>
      <w:divBdr>
        <w:top w:val="none" w:sz="0" w:space="0" w:color="auto"/>
        <w:left w:val="none" w:sz="0" w:space="0" w:color="auto"/>
        <w:bottom w:val="none" w:sz="0" w:space="0" w:color="auto"/>
        <w:right w:val="none" w:sz="0" w:space="0" w:color="auto"/>
      </w:divBdr>
    </w:div>
    <w:div w:id="1248534431">
      <w:bodyDiv w:val="1"/>
      <w:marLeft w:val="0"/>
      <w:marRight w:val="0"/>
      <w:marTop w:val="0"/>
      <w:marBottom w:val="0"/>
      <w:divBdr>
        <w:top w:val="none" w:sz="0" w:space="0" w:color="auto"/>
        <w:left w:val="none" w:sz="0" w:space="0" w:color="auto"/>
        <w:bottom w:val="none" w:sz="0" w:space="0" w:color="auto"/>
        <w:right w:val="none" w:sz="0" w:space="0" w:color="auto"/>
      </w:divBdr>
    </w:div>
    <w:div w:id="1262058418">
      <w:bodyDiv w:val="1"/>
      <w:marLeft w:val="0"/>
      <w:marRight w:val="0"/>
      <w:marTop w:val="0"/>
      <w:marBottom w:val="0"/>
      <w:divBdr>
        <w:top w:val="none" w:sz="0" w:space="0" w:color="auto"/>
        <w:left w:val="none" w:sz="0" w:space="0" w:color="auto"/>
        <w:bottom w:val="none" w:sz="0" w:space="0" w:color="auto"/>
        <w:right w:val="none" w:sz="0" w:space="0" w:color="auto"/>
      </w:divBdr>
    </w:div>
    <w:div w:id="1309896276">
      <w:bodyDiv w:val="1"/>
      <w:marLeft w:val="0"/>
      <w:marRight w:val="0"/>
      <w:marTop w:val="0"/>
      <w:marBottom w:val="0"/>
      <w:divBdr>
        <w:top w:val="none" w:sz="0" w:space="0" w:color="auto"/>
        <w:left w:val="none" w:sz="0" w:space="0" w:color="auto"/>
        <w:bottom w:val="none" w:sz="0" w:space="0" w:color="auto"/>
        <w:right w:val="none" w:sz="0" w:space="0" w:color="auto"/>
      </w:divBdr>
    </w:div>
    <w:div w:id="1345329293">
      <w:bodyDiv w:val="1"/>
      <w:marLeft w:val="0"/>
      <w:marRight w:val="0"/>
      <w:marTop w:val="0"/>
      <w:marBottom w:val="0"/>
      <w:divBdr>
        <w:top w:val="none" w:sz="0" w:space="0" w:color="auto"/>
        <w:left w:val="none" w:sz="0" w:space="0" w:color="auto"/>
        <w:bottom w:val="none" w:sz="0" w:space="0" w:color="auto"/>
        <w:right w:val="none" w:sz="0" w:space="0" w:color="auto"/>
      </w:divBdr>
    </w:div>
    <w:div w:id="1346975168">
      <w:bodyDiv w:val="1"/>
      <w:marLeft w:val="0"/>
      <w:marRight w:val="0"/>
      <w:marTop w:val="0"/>
      <w:marBottom w:val="0"/>
      <w:divBdr>
        <w:top w:val="none" w:sz="0" w:space="0" w:color="auto"/>
        <w:left w:val="none" w:sz="0" w:space="0" w:color="auto"/>
        <w:bottom w:val="none" w:sz="0" w:space="0" w:color="auto"/>
        <w:right w:val="none" w:sz="0" w:space="0" w:color="auto"/>
      </w:divBdr>
    </w:div>
    <w:div w:id="1372270246">
      <w:bodyDiv w:val="1"/>
      <w:marLeft w:val="0"/>
      <w:marRight w:val="0"/>
      <w:marTop w:val="0"/>
      <w:marBottom w:val="0"/>
      <w:divBdr>
        <w:top w:val="none" w:sz="0" w:space="0" w:color="auto"/>
        <w:left w:val="none" w:sz="0" w:space="0" w:color="auto"/>
        <w:bottom w:val="none" w:sz="0" w:space="0" w:color="auto"/>
        <w:right w:val="none" w:sz="0" w:space="0" w:color="auto"/>
      </w:divBdr>
    </w:div>
    <w:div w:id="1409765672">
      <w:bodyDiv w:val="1"/>
      <w:marLeft w:val="0"/>
      <w:marRight w:val="0"/>
      <w:marTop w:val="0"/>
      <w:marBottom w:val="0"/>
      <w:divBdr>
        <w:top w:val="none" w:sz="0" w:space="0" w:color="auto"/>
        <w:left w:val="none" w:sz="0" w:space="0" w:color="auto"/>
        <w:bottom w:val="none" w:sz="0" w:space="0" w:color="auto"/>
        <w:right w:val="none" w:sz="0" w:space="0" w:color="auto"/>
      </w:divBdr>
    </w:div>
    <w:div w:id="1411585507">
      <w:bodyDiv w:val="1"/>
      <w:marLeft w:val="0"/>
      <w:marRight w:val="0"/>
      <w:marTop w:val="0"/>
      <w:marBottom w:val="0"/>
      <w:divBdr>
        <w:top w:val="none" w:sz="0" w:space="0" w:color="auto"/>
        <w:left w:val="none" w:sz="0" w:space="0" w:color="auto"/>
        <w:bottom w:val="none" w:sz="0" w:space="0" w:color="auto"/>
        <w:right w:val="none" w:sz="0" w:space="0" w:color="auto"/>
      </w:divBdr>
    </w:div>
    <w:div w:id="1445883347">
      <w:bodyDiv w:val="1"/>
      <w:marLeft w:val="0"/>
      <w:marRight w:val="0"/>
      <w:marTop w:val="0"/>
      <w:marBottom w:val="0"/>
      <w:divBdr>
        <w:top w:val="none" w:sz="0" w:space="0" w:color="auto"/>
        <w:left w:val="none" w:sz="0" w:space="0" w:color="auto"/>
        <w:bottom w:val="none" w:sz="0" w:space="0" w:color="auto"/>
        <w:right w:val="none" w:sz="0" w:space="0" w:color="auto"/>
      </w:divBdr>
    </w:div>
    <w:div w:id="1521972053">
      <w:bodyDiv w:val="1"/>
      <w:marLeft w:val="0"/>
      <w:marRight w:val="0"/>
      <w:marTop w:val="0"/>
      <w:marBottom w:val="0"/>
      <w:divBdr>
        <w:top w:val="none" w:sz="0" w:space="0" w:color="auto"/>
        <w:left w:val="none" w:sz="0" w:space="0" w:color="auto"/>
        <w:bottom w:val="none" w:sz="0" w:space="0" w:color="auto"/>
        <w:right w:val="none" w:sz="0" w:space="0" w:color="auto"/>
      </w:divBdr>
    </w:div>
    <w:div w:id="1531840758">
      <w:bodyDiv w:val="1"/>
      <w:marLeft w:val="0"/>
      <w:marRight w:val="0"/>
      <w:marTop w:val="0"/>
      <w:marBottom w:val="0"/>
      <w:divBdr>
        <w:top w:val="none" w:sz="0" w:space="0" w:color="auto"/>
        <w:left w:val="none" w:sz="0" w:space="0" w:color="auto"/>
        <w:bottom w:val="none" w:sz="0" w:space="0" w:color="auto"/>
        <w:right w:val="none" w:sz="0" w:space="0" w:color="auto"/>
      </w:divBdr>
    </w:div>
    <w:div w:id="1534423245">
      <w:bodyDiv w:val="1"/>
      <w:marLeft w:val="0"/>
      <w:marRight w:val="0"/>
      <w:marTop w:val="0"/>
      <w:marBottom w:val="0"/>
      <w:divBdr>
        <w:top w:val="none" w:sz="0" w:space="0" w:color="auto"/>
        <w:left w:val="none" w:sz="0" w:space="0" w:color="auto"/>
        <w:bottom w:val="none" w:sz="0" w:space="0" w:color="auto"/>
        <w:right w:val="none" w:sz="0" w:space="0" w:color="auto"/>
      </w:divBdr>
      <w:divsChild>
        <w:div w:id="2072650204">
          <w:marLeft w:val="0"/>
          <w:marRight w:val="0"/>
          <w:marTop w:val="0"/>
          <w:marBottom w:val="0"/>
          <w:divBdr>
            <w:top w:val="none" w:sz="0" w:space="0" w:color="auto"/>
            <w:left w:val="none" w:sz="0" w:space="0" w:color="auto"/>
            <w:bottom w:val="none" w:sz="0" w:space="0" w:color="auto"/>
            <w:right w:val="none" w:sz="0" w:space="0" w:color="auto"/>
          </w:divBdr>
        </w:div>
        <w:div w:id="2069065684">
          <w:marLeft w:val="0"/>
          <w:marRight w:val="0"/>
          <w:marTop w:val="0"/>
          <w:marBottom w:val="0"/>
          <w:divBdr>
            <w:top w:val="none" w:sz="0" w:space="0" w:color="auto"/>
            <w:left w:val="none" w:sz="0" w:space="0" w:color="auto"/>
            <w:bottom w:val="none" w:sz="0" w:space="0" w:color="auto"/>
            <w:right w:val="none" w:sz="0" w:space="0" w:color="auto"/>
          </w:divBdr>
        </w:div>
        <w:div w:id="1378896695">
          <w:marLeft w:val="0"/>
          <w:marRight w:val="0"/>
          <w:marTop w:val="0"/>
          <w:marBottom w:val="0"/>
          <w:divBdr>
            <w:top w:val="none" w:sz="0" w:space="0" w:color="auto"/>
            <w:left w:val="none" w:sz="0" w:space="0" w:color="auto"/>
            <w:bottom w:val="none" w:sz="0" w:space="0" w:color="auto"/>
            <w:right w:val="none" w:sz="0" w:space="0" w:color="auto"/>
          </w:divBdr>
        </w:div>
        <w:div w:id="233470830">
          <w:marLeft w:val="0"/>
          <w:marRight w:val="0"/>
          <w:marTop w:val="0"/>
          <w:marBottom w:val="0"/>
          <w:divBdr>
            <w:top w:val="none" w:sz="0" w:space="0" w:color="auto"/>
            <w:left w:val="none" w:sz="0" w:space="0" w:color="auto"/>
            <w:bottom w:val="none" w:sz="0" w:space="0" w:color="auto"/>
            <w:right w:val="none" w:sz="0" w:space="0" w:color="auto"/>
          </w:divBdr>
        </w:div>
      </w:divsChild>
    </w:div>
    <w:div w:id="1548567114">
      <w:bodyDiv w:val="1"/>
      <w:marLeft w:val="0"/>
      <w:marRight w:val="0"/>
      <w:marTop w:val="0"/>
      <w:marBottom w:val="0"/>
      <w:divBdr>
        <w:top w:val="none" w:sz="0" w:space="0" w:color="auto"/>
        <w:left w:val="none" w:sz="0" w:space="0" w:color="auto"/>
        <w:bottom w:val="none" w:sz="0" w:space="0" w:color="auto"/>
        <w:right w:val="none" w:sz="0" w:space="0" w:color="auto"/>
      </w:divBdr>
    </w:div>
    <w:div w:id="1632130409">
      <w:bodyDiv w:val="1"/>
      <w:marLeft w:val="0"/>
      <w:marRight w:val="0"/>
      <w:marTop w:val="0"/>
      <w:marBottom w:val="0"/>
      <w:divBdr>
        <w:top w:val="none" w:sz="0" w:space="0" w:color="auto"/>
        <w:left w:val="none" w:sz="0" w:space="0" w:color="auto"/>
        <w:bottom w:val="none" w:sz="0" w:space="0" w:color="auto"/>
        <w:right w:val="none" w:sz="0" w:space="0" w:color="auto"/>
      </w:divBdr>
    </w:div>
    <w:div w:id="1674844453">
      <w:bodyDiv w:val="1"/>
      <w:marLeft w:val="0"/>
      <w:marRight w:val="0"/>
      <w:marTop w:val="0"/>
      <w:marBottom w:val="0"/>
      <w:divBdr>
        <w:top w:val="none" w:sz="0" w:space="0" w:color="auto"/>
        <w:left w:val="none" w:sz="0" w:space="0" w:color="auto"/>
        <w:bottom w:val="none" w:sz="0" w:space="0" w:color="auto"/>
        <w:right w:val="none" w:sz="0" w:space="0" w:color="auto"/>
      </w:divBdr>
    </w:div>
    <w:div w:id="1771507905">
      <w:bodyDiv w:val="1"/>
      <w:marLeft w:val="0"/>
      <w:marRight w:val="0"/>
      <w:marTop w:val="0"/>
      <w:marBottom w:val="0"/>
      <w:divBdr>
        <w:top w:val="none" w:sz="0" w:space="0" w:color="auto"/>
        <w:left w:val="none" w:sz="0" w:space="0" w:color="auto"/>
        <w:bottom w:val="none" w:sz="0" w:space="0" w:color="auto"/>
        <w:right w:val="none" w:sz="0" w:space="0" w:color="auto"/>
      </w:divBdr>
      <w:divsChild>
        <w:div w:id="509029589">
          <w:marLeft w:val="0"/>
          <w:marRight w:val="0"/>
          <w:marTop w:val="0"/>
          <w:marBottom w:val="0"/>
          <w:divBdr>
            <w:top w:val="none" w:sz="0" w:space="0" w:color="auto"/>
            <w:left w:val="none" w:sz="0" w:space="0" w:color="auto"/>
            <w:bottom w:val="none" w:sz="0" w:space="0" w:color="auto"/>
            <w:right w:val="none" w:sz="0" w:space="0" w:color="auto"/>
          </w:divBdr>
        </w:div>
      </w:divsChild>
    </w:div>
    <w:div w:id="1838418453">
      <w:bodyDiv w:val="1"/>
      <w:marLeft w:val="0"/>
      <w:marRight w:val="0"/>
      <w:marTop w:val="0"/>
      <w:marBottom w:val="0"/>
      <w:divBdr>
        <w:top w:val="none" w:sz="0" w:space="0" w:color="auto"/>
        <w:left w:val="none" w:sz="0" w:space="0" w:color="auto"/>
        <w:bottom w:val="none" w:sz="0" w:space="0" w:color="auto"/>
        <w:right w:val="none" w:sz="0" w:space="0" w:color="auto"/>
      </w:divBdr>
    </w:div>
    <w:div w:id="1842308045">
      <w:bodyDiv w:val="1"/>
      <w:marLeft w:val="0"/>
      <w:marRight w:val="0"/>
      <w:marTop w:val="0"/>
      <w:marBottom w:val="0"/>
      <w:divBdr>
        <w:top w:val="none" w:sz="0" w:space="0" w:color="auto"/>
        <w:left w:val="none" w:sz="0" w:space="0" w:color="auto"/>
        <w:bottom w:val="none" w:sz="0" w:space="0" w:color="auto"/>
        <w:right w:val="none" w:sz="0" w:space="0" w:color="auto"/>
      </w:divBdr>
    </w:div>
    <w:div w:id="1856380554">
      <w:bodyDiv w:val="1"/>
      <w:marLeft w:val="0"/>
      <w:marRight w:val="0"/>
      <w:marTop w:val="0"/>
      <w:marBottom w:val="0"/>
      <w:divBdr>
        <w:top w:val="none" w:sz="0" w:space="0" w:color="auto"/>
        <w:left w:val="none" w:sz="0" w:space="0" w:color="auto"/>
        <w:bottom w:val="none" w:sz="0" w:space="0" w:color="auto"/>
        <w:right w:val="none" w:sz="0" w:space="0" w:color="auto"/>
      </w:divBdr>
    </w:div>
    <w:div w:id="1878661133">
      <w:bodyDiv w:val="1"/>
      <w:marLeft w:val="0"/>
      <w:marRight w:val="0"/>
      <w:marTop w:val="0"/>
      <w:marBottom w:val="0"/>
      <w:divBdr>
        <w:top w:val="none" w:sz="0" w:space="0" w:color="auto"/>
        <w:left w:val="none" w:sz="0" w:space="0" w:color="auto"/>
        <w:bottom w:val="none" w:sz="0" w:space="0" w:color="auto"/>
        <w:right w:val="none" w:sz="0" w:space="0" w:color="auto"/>
      </w:divBdr>
    </w:div>
    <w:div w:id="1887061063">
      <w:bodyDiv w:val="1"/>
      <w:marLeft w:val="0"/>
      <w:marRight w:val="0"/>
      <w:marTop w:val="0"/>
      <w:marBottom w:val="0"/>
      <w:divBdr>
        <w:top w:val="none" w:sz="0" w:space="0" w:color="auto"/>
        <w:left w:val="none" w:sz="0" w:space="0" w:color="auto"/>
        <w:bottom w:val="none" w:sz="0" w:space="0" w:color="auto"/>
        <w:right w:val="none" w:sz="0" w:space="0" w:color="auto"/>
      </w:divBdr>
    </w:div>
    <w:div w:id="1893535650">
      <w:bodyDiv w:val="1"/>
      <w:marLeft w:val="0"/>
      <w:marRight w:val="0"/>
      <w:marTop w:val="0"/>
      <w:marBottom w:val="0"/>
      <w:divBdr>
        <w:top w:val="none" w:sz="0" w:space="0" w:color="auto"/>
        <w:left w:val="none" w:sz="0" w:space="0" w:color="auto"/>
        <w:bottom w:val="none" w:sz="0" w:space="0" w:color="auto"/>
        <w:right w:val="none" w:sz="0" w:space="0" w:color="auto"/>
      </w:divBdr>
    </w:div>
    <w:div w:id="1977837708">
      <w:bodyDiv w:val="1"/>
      <w:marLeft w:val="0"/>
      <w:marRight w:val="0"/>
      <w:marTop w:val="0"/>
      <w:marBottom w:val="0"/>
      <w:divBdr>
        <w:top w:val="none" w:sz="0" w:space="0" w:color="auto"/>
        <w:left w:val="none" w:sz="0" w:space="0" w:color="auto"/>
        <w:bottom w:val="none" w:sz="0" w:space="0" w:color="auto"/>
        <w:right w:val="none" w:sz="0" w:space="0" w:color="auto"/>
      </w:divBdr>
    </w:div>
    <w:div w:id="1999459647">
      <w:bodyDiv w:val="1"/>
      <w:marLeft w:val="0"/>
      <w:marRight w:val="0"/>
      <w:marTop w:val="0"/>
      <w:marBottom w:val="0"/>
      <w:divBdr>
        <w:top w:val="none" w:sz="0" w:space="0" w:color="auto"/>
        <w:left w:val="none" w:sz="0" w:space="0" w:color="auto"/>
        <w:bottom w:val="none" w:sz="0" w:space="0" w:color="auto"/>
        <w:right w:val="none" w:sz="0" w:space="0" w:color="auto"/>
      </w:divBdr>
    </w:div>
    <w:div w:id="2012247222">
      <w:bodyDiv w:val="1"/>
      <w:marLeft w:val="0"/>
      <w:marRight w:val="0"/>
      <w:marTop w:val="0"/>
      <w:marBottom w:val="0"/>
      <w:divBdr>
        <w:top w:val="none" w:sz="0" w:space="0" w:color="auto"/>
        <w:left w:val="none" w:sz="0" w:space="0" w:color="auto"/>
        <w:bottom w:val="none" w:sz="0" w:space="0" w:color="auto"/>
        <w:right w:val="none" w:sz="0" w:space="0" w:color="auto"/>
      </w:divBdr>
    </w:div>
    <w:div w:id="2026712806">
      <w:bodyDiv w:val="1"/>
      <w:marLeft w:val="0"/>
      <w:marRight w:val="0"/>
      <w:marTop w:val="0"/>
      <w:marBottom w:val="0"/>
      <w:divBdr>
        <w:top w:val="none" w:sz="0" w:space="0" w:color="auto"/>
        <w:left w:val="none" w:sz="0" w:space="0" w:color="auto"/>
        <w:bottom w:val="none" w:sz="0" w:space="0" w:color="auto"/>
        <w:right w:val="none" w:sz="0" w:space="0" w:color="auto"/>
      </w:divBdr>
    </w:div>
    <w:div w:id="2039811825">
      <w:bodyDiv w:val="1"/>
      <w:marLeft w:val="0"/>
      <w:marRight w:val="0"/>
      <w:marTop w:val="0"/>
      <w:marBottom w:val="0"/>
      <w:divBdr>
        <w:top w:val="none" w:sz="0" w:space="0" w:color="auto"/>
        <w:left w:val="none" w:sz="0" w:space="0" w:color="auto"/>
        <w:bottom w:val="none" w:sz="0" w:space="0" w:color="auto"/>
        <w:right w:val="none" w:sz="0" w:space="0" w:color="auto"/>
      </w:divBdr>
    </w:div>
    <w:div w:id="2125071655">
      <w:bodyDiv w:val="1"/>
      <w:marLeft w:val="0"/>
      <w:marRight w:val="0"/>
      <w:marTop w:val="0"/>
      <w:marBottom w:val="0"/>
      <w:divBdr>
        <w:top w:val="none" w:sz="0" w:space="0" w:color="auto"/>
        <w:left w:val="none" w:sz="0" w:space="0" w:color="auto"/>
        <w:bottom w:val="none" w:sz="0" w:space="0" w:color="auto"/>
        <w:right w:val="none" w:sz="0" w:space="0" w:color="auto"/>
      </w:divBdr>
    </w:div>
    <w:div w:id="2128307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illermo.lopez-sanchez@aru.ac.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ownloads\EXCEL_anx_caregiving.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spPr>
            <a:solidFill>
              <a:schemeClr val="bg1">
                <a:lumMod val="85000"/>
              </a:schemeClr>
            </a:solidFill>
            <a:ln>
              <a:noFill/>
            </a:ln>
            <a:effectLst/>
          </c:spPr>
          <c:invertIfNegative val="0"/>
          <c:dPt>
            <c:idx val="0"/>
            <c:invertIfNegative val="0"/>
            <c:bubble3D val="0"/>
            <c:spPr>
              <a:solidFill>
                <a:schemeClr val="bg1">
                  <a:lumMod val="85000"/>
                </a:schemeClr>
              </a:solidFill>
              <a:ln>
                <a:solidFill>
                  <a:schemeClr val="tx1"/>
                </a:solidFill>
              </a:ln>
              <a:effectLst/>
            </c:spPr>
            <c:extLst>
              <c:ext xmlns:c16="http://schemas.microsoft.com/office/drawing/2014/chart" uri="{C3380CC4-5D6E-409C-BE32-E72D297353CC}">
                <c16:uniqueId val="{00000001-3283-824E-9926-0CE2E9DF18A4}"/>
              </c:ext>
            </c:extLst>
          </c:dPt>
          <c:dPt>
            <c:idx val="1"/>
            <c:invertIfNegative val="0"/>
            <c:bubble3D val="0"/>
            <c:spPr>
              <a:solidFill>
                <a:schemeClr val="bg1">
                  <a:lumMod val="85000"/>
                </a:schemeClr>
              </a:solidFill>
              <a:ln>
                <a:solidFill>
                  <a:schemeClr val="tx1"/>
                </a:solidFill>
              </a:ln>
              <a:effectLst/>
            </c:spPr>
            <c:extLst>
              <c:ext xmlns:c16="http://schemas.microsoft.com/office/drawing/2014/chart" uri="{C3380CC4-5D6E-409C-BE32-E72D297353CC}">
                <c16:uniqueId val="{00000002-3283-824E-9926-0CE2E9DF18A4}"/>
              </c:ext>
            </c:extLst>
          </c:dPt>
          <c:dPt>
            <c:idx val="2"/>
            <c:invertIfNegative val="0"/>
            <c:bubble3D val="0"/>
            <c:spPr>
              <a:solidFill>
                <a:schemeClr val="bg1">
                  <a:lumMod val="85000"/>
                </a:schemeClr>
              </a:solidFill>
              <a:ln>
                <a:solidFill>
                  <a:schemeClr val="tx1"/>
                </a:solidFill>
              </a:ln>
              <a:effectLst/>
            </c:spPr>
            <c:extLst>
              <c:ext xmlns:c16="http://schemas.microsoft.com/office/drawing/2014/chart" uri="{C3380CC4-5D6E-409C-BE32-E72D297353CC}">
                <c16:uniqueId val="{00000003-3283-824E-9926-0CE2E9DF18A4}"/>
              </c:ext>
            </c:extLst>
          </c:dPt>
          <c:dPt>
            <c:idx val="3"/>
            <c:invertIfNegative val="0"/>
            <c:bubble3D val="0"/>
            <c:spPr>
              <a:solidFill>
                <a:schemeClr val="bg1">
                  <a:lumMod val="85000"/>
                </a:schemeClr>
              </a:solidFill>
              <a:ln>
                <a:solidFill>
                  <a:schemeClr val="tx1"/>
                </a:solidFill>
              </a:ln>
              <a:effectLst/>
            </c:spPr>
            <c:extLst>
              <c:ext xmlns:c16="http://schemas.microsoft.com/office/drawing/2014/chart" uri="{C3380CC4-5D6E-409C-BE32-E72D297353CC}">
                <c16:uniqueId val="{00000004-3283-824E-9926-0CE2E9DF18A4}"/>
              </c:ext>
            </c:extLst>
          </c:dPt>
          <c:dPt>
            <c:idx val="4"/>
            <c:invertIfNegative val="0"/>
            <c:bubble3D val="0"/>
            <c:spPr>
              <a:solidFill>
                <a:schemeClr val="bg1">
                  <a:lumMod val="85000"/>
                </a:schemeClr>
              </a:solidFill>
              <a:ln>
                <a:solidFill>
                  <a:schemeClr val="tx1"/>
                </a:solidFill>
              </a:ln>
              <a:effectLst/>
            </c:spPr>
            <c:extLst>
              <c:ext xmlns:c16="http://schemas.microsoft.com/office/drawing/2014/chart" uri="{C3380CC4-5D6E-409C-BE32-E72D297353CC}">
                <c16:uniqueId val="{00000005-3283-824E-9926-0CE2E9DF18A4}"/>
              </c:ext>
            </c:extLst>
          </c:dPt>
          <c:dPt>
            <c:idx val="5"/>
            <c:invertIfNegative val="0"/>
            <c:bubble3D val="0"/>
            <c:spPr>
              <a:solidFill>
                <a:schemeClr val="bg1">
                  <a:lumMod val="85000"/>
                </a:schemeClr>
              </a:solidFill>
              <a:ln>
                <a:solidFill>
                  <a:schemeClr val="tx1"/>
                </a:solidFill>
              </a:ln>
              <a:effectLst/>
            </c:spPr>
            <c:extLst>
              <c:ext xmlns:c16="http://schemas.microsoft.com/office/drawing/2014/chart" uri="{C3380CC4-5D6E-409C-BE32-E72D297353CC}">
                <c16:uniqueId val="{00000006-3283-824E-9926-0CE2E9DF18A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Sheet3!$E$2:$E$7</c:f>
                <c:numCache>
                  <c:formatCode>General</c:formatCode>
                  <c:ptCount val="6"/>
                  <c:pt idx="0">
                    <c:v>0.40000000000000036</c:v>
                  </c:pt>
                  <c:pt idx="1">
                    <c:v>1.5</c:v>
                  </c:pt>
                  <c:pt idx="2">
                    <c:v>1.8999999999999986</c:v>
                  </c:pt>
                  <c:pt idx="3">
                    <c:v>1.5999999999999996</c:v>
                  </c:pt>
                  <c:pt idx="4">
                    <c:v>2.3000000000000007</c:v>
                  </c:pt>
                  <c:pt idx="5">
                    <c:v>2.6000000000000014</c:v>
                  </c:pt>
                </c:numCache>
              </c:numRef>
            </c:plus>
            <c:minus>
              <c:numRef>
                <c:f>Sheet3!$D$2:$D$7</c:f>
                <c:numCache>
                  <c:formatCode>General</c:formatCode>
                  <c:ptCount val="6"/>
                  <c:pt idx="0">
                    <c:v>0.40000000000000036</c:v>
                  </c:pt>
                  <c:pt idx="1">
                    <c:v>1.4000000000000004</c:v>
                  </c:pt>
                  <c:pt idx="2">
                    <c:v>1.7000000000000011</c:v>
                  </c:pt>
                  <c:pt idx="3">
                    <c:v>1.5</c:v>
                  </c:pt>
                  <c:pt idx="4">
                    <c:v>2.1999999999999993</c:v>
                  </c:pt>
                  <c:pt idx="5">
                    <c:v>2.3999999999999986</c:v>
                  </c:pt>
                </c:numCache>
              </c:numRef>
            </c:minus>
            <c:spPr>
              <a:noFill/>
              <a:ln w="9525" cap="flat" cmpd="sng" algn="ctr">
                <a:solidFill>
                  <a:schemeClr val="tx1">
                    <a:lumMod val="65000"/>
                    <a:lumOff val="35000"/>
                  </a:schemeClr>
                </a:solidFill>
                <a:round/>
              </a:ln>
              <a:effectLst/>
            </c:spPr>
          </c:errBars>
          <c:cat>
            <c:strRef>
              <c:f>Sheet3!$B$2:$B$7</c:f>
              <c:strCache>
                <c:ptCount val="6"/>
                <c:pt idx="0">
                  <c:v>0</c:v>
                </c:pt>
                <c:pt idx="1">
                  <c:v>1</c:v>
                </c:pt>
                <c:pt idx="2">
                  <c:v>2</c:v>
                </c:pt>
                <c:pt idx="3">
                  <c:v>3</c:v>
                </c:pt>
                <c:pt idx="4">
                  <c:v>4</c:v>
                </c:pt>
                <c:pt idx="5">
                  <c:v>5</c:v>
                </c:pt>
              </c:strCache>
            </c:strRef>
          </c:cat>
          <c:val>
            <c:numRef>
              <c:f>Sheet3!$C$2:$C$7</c:f>
              <c:numCache>
                <c:formatCode>General</c:formatCode>
                <c:ptCount val="6"/>
                <c:pt idx="0">
                  <c:v>10.4</c:v>
                </c:pt>
                <c:pt idx="1">
                  <c:v>12.6</c:v>
                </c:pt>
                <c:pt idx="2">
                  <c:v>13.8</c:v>
                </c:pt>
                <c:pt idx="3">
                  <c:v>14.1</c:v>
                </c:pt>
                <c:pt idx="4">
                  <c:v>19.5</c:v>
                </c:pt>
                <c:pt idx="5">
                  <c:v>21.4</c:v>
                </c:pt>
              </c:numCache>
            </c:numRef>
          </c:val>
          <c:extLst>
            <c:ext xmlns:c16="http://schemas.microsoft.com/office/drawing/2014/chart" uri="{C3380CC4-5D6E-409C-BE32-E72D297353CC}">
              <c16:uniqueId val="{00000000-3283-824E-9926-0CE2E9DF18A4}"/>
            </c:ext>
          </c:extLst>
        </c:ser>
        <c:dLbls>
          <c:dLblPos val="inBase"/>
          <c:showLegendKey val="0"/>
          <c:showVal val="1"/>
          <c:showCatName val="0"/>
          <c:showSerName val="0"/>
          <c:showPercent val="0"/>
          <c:showBubbleSize val="0"/>
        </c:dLbls>
        <c:gapWidth val="219"/>
        <c:axId val="497107696"/>
        <c:axId val="497109344"/>
      </c:barChart>
      <c:catAx>
        <c:axId val="49710769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a:t>
                </a:r>
                <a:r>
                  <a:rPr lang="en-US" baseline="0"/>
                  <a:t> of caregiving activities</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7109344"/>
        <c:crosses val="autoZero"/>
        <c:auto val="1"/>
        <c:lblAlgn val="ctr"/>
        <c:lblOffset val="100"/>
        <c:noMultiLvlLbl val="0"/>
      </c:catAx>
      <c:valAx>
        <c:axId val="49710934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Prevalence</a:t>
                </a:r>
                <a:r>
                  <a:rPr lang="en-US" baseline="0"/>
                  <a:t> of anxiety symptoms (%)</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710769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5">
  <a:schemeClr val="accent5"/>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9B110-D74F-4355-BF20-D3C41E4BA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6026</Words>
  <Characters>34353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4</cp:revision>
  <cp:lastPrinted>2021-11-10T08:55:00Z</cp:lastPrinted>
  <dcterms:created xsi:type="dcterms:W3CDTF">2021-11-12T14:26:00Z</dcterms:created>
  <dcterms:modified xsi:type="dcterms:W3CDTF">2021-11-15T11:55:00Z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1553</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Documents///Paper revised (clean)(3)</vt:lpwstr>
  </property>
</Properties>
</file>