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FC513" w14:textId="103FA4E0" w:rsidR="00216A6B" w:rsidRPr="00197E91" w:rsidRDefault="00216A6B" w:rsidP="00197E91">
      <w:pPr>
        <w:rPr>
          <w:b/>
          <w:bCs/>
        </w:rPr>
      </w:pPr>
      <w:r w:rsidRPr="00197E91">
        <w:rPr>
          <w:b/>
          <w:bCs/>
        </w:rPr>
        <w:t>[Tags]</w:t>
      </w:r>
      <w:r w:rsidR="007052B4" w:rsidRPr="00197E91">
        <w:rPr>
          <w:b/>
          <w:bCs/>
        </w:rPr>
        <w:t>Land rights, Legal</w:t>
      </w:r>
    </w:p>
    <w:p w14:paraId="22ADF07E" w14:textId="73BC0B39" w:rsidR="00216A6B" w:rsidRPr="00197E91" w:rsidRDefault="00216A6B" w:rsidP="00197E91">
      <w:pPr>
        <w:rPr>
          <w:b/>
          <w:bCs/>
        </w:rPr>
      </w:pPr>
      <w:r w:rsidRPr="00197E91">
        <w:rPr>
          <w:b/>
          <w:bCs/>
        </w:rPr>
        <w:t>[Specialisms]</w:t>
      </w:r>
      <w:r w:rsidR="00F511C4" w:rsidRPr="00197E91">
        <w:rPr>
          <w:b/>
          <w:bCs/>
        </w:rPr>
        <w:t>Planning &amp; resources</w:t>
      </w:r>
      <w:r w:rsidR="00897A97" w:rsidRPr="00197E91">
        <w:rPr>
          <w:b/>
          <w:bCs/>
        </w:rPr>
        <w:t>, Building Surveying</w:t>
      </w:r>
    </w:p>
    <w:p w14:paraId="06F8BB04" w14:textId="45DC5098" w:rsidR="00216A6B" w:rsidRPr="00197E91" w:rsidRDefault="00216A6B" w:rsidP="00197E91">
      <w:pPr>
        <w:rPr>
          <w:b/>
          <w:bCs/>
        </w:rPr>
      </w:pPr>
      <w:r w:rsidRPr="00197E91">
        <w:rPr>
          <w:b/>
          <w:bCs/>
        </w:rPr>
        <w:t>[</w:t>
      </w:r>
      <w:proofErr w:type="spellStart"/>
      <w:r w:rsidR="003A578B" w:rsidRPr="00197E91">
        <w:rPr>
          <w:b/>
          <w:bCs/>
        </w:rPr>
        <w:t>Seo</w:t>
      </w:r>
      <w:proofErr w:type="spellEnd"/>
      <w:r w:rsidRPr="00197E91">
        <w:rPr>
          <w:b/>
          <w:bCs/>
        </w:rPr>
        <w:t>]</w:t>
      </w:r>
      <w:r w:rsidR="003A578B" w:rsidRPr="00197E91">
        <w:rPr>
          <w:b/>
          <w:bCs/>
        </w:rPr>
        <w:t xml:space="preserve"> neighbours, adjoining land, </w:t>
      </w:r>
      <w:r w:rsidR="00F31379" w:rsidRPr="00197E91">
        <w:rPr>
          <w:b/>
          <w:bCs/>
        </w:rPr>
        <w:t xml:space="preserve">development, litigation, </w:t>
      </w:r>
      <w:r w:rsidR="003A578B" w:rsidRPr="00197E91">
        <w:rPr>
          <w:b/>
          <w:bCs/>
        </w:rPr>
        <w:t>Alexander Devine, Millgate</w:t>
      </w:r>
      <w:r w:rsidR="00C4323B" w:rsidRPr="00197E91">
        <w:rPr>
          <w:b/>
          <w:bCs/>
        </w:rPr>
        <w:t>, risk register</w:t>
      </w:r>
    </w:p>
    <w:p w14:paraId="781B91B5" w14:textId="7EC1DFCD" w:rsidR="00310967" w:rsidRPr="00197E91" w:rsidRDefault="00310967" w:rsidP="00197E91">
      <w:pPr>
        <w:rPr>
          <w:b/>
          <w:bCs/>
        </w:rPr>
      </w:pPr>
      <w:r w:rsidRPr="00197E91">
        <w:rPr>
          <w:b/>
          <w:bCs/>
        </w:rPr>
        <w:t>[headline]</w:t>
      </w:r>
      <w:r w:rsidR="00C13415" w:rsidRPr="00197E91">
        <w:rPr>
          <w:b/>
          <w:bCs/>
        </w:rPr>
        <w:t>Why restrictive covenants are a rising risk</w:t>
      </w:r>
    </w:p>
    <w:p w14:paraId="5FABA130" w14:textId="162A3814" w:rsidR="00D81942" w:rsidRPr="00197E91" w:rsidRDefault="00310967" w:rsidP="00197E91">
      <w:pPr>
        <w:rPr>
          <w:b/>
          <w:bCs/>
        </w:rPr>
      </w:pPr>
      <w:r w:rsidRPr="00197E91">
        <w:rPr>
          <w:b/>
          <w:bCs/>
        </w:rPr>
        <w:t>[standfirst]</w:t>
      </w:r>
      <w:r w:rsidR="00E667EC" w:rsidRPr="00197E91">
        <w:rPr>
          <w:b/>
          <w:bCs/>
        </w:rPr>
        <w:t>The profession is seeing</w:t>
      </w:r>
      <w:r w:rsidR="00D81942" w:rsidRPr="00197E91">
        <w:rPr>
          <w:b/>
          <w:bCs/>
        </w:rPr>
        <w:t xml:space="preserve"> increasing demand for </w:t>
      </w:r>
      <w:r w:rsidR="00216A6B" w:rsidRPr="00197E91">
        <w:rPr>
          <w:b/>
          <w:bCs/>
        </w:rPr>
        <w:t xml:space="preserve">expertise in </w:t>
      </w:r>
      <w:r w:rsidR="00D81942" w:rsidRPr="00197E91">
        <w:rPr>
          <w:b/>
          <w:bCs/>
        </w:rPr>
        <w:t>neighbourly matters</w:t>
      </w:r>
      <w:r w:rsidR="00216A6B" w:rsidRPr="00197E91">
        <w:rPr>
          <w:b/>
          <w:bCs/>
        </w:rPr>
        <w:t xml:space="preserve"> </w:t>
      </w:r>
      <w:r w:rsidR="006D745C" w:rsidRPr="00197E91">
        <w:rPr>
          <w:b/>
          <w:bCs/>
        </w:rPr>
        <w:t xml:space="preserve">– and </w:t>
      </w:r>
      <w:r w:rsidR="000F41D9" w:rsidRPr="00197E91">
        <w:rPr>
          <w:b/>
          <w:bCs/>
        </w:rPr>
        <w:t xml:space="preserve">it’s </w:t>
      </w:r>
      <w:r w:rsidR="006D745C" w:rsidRPr="00197E91">
        <w:rPr>
          <w:b/>
          <w:bCs/>
        </w:rPr>
        <w:t>not because more people are spending time at home</w:t>
      </w:r>
      <w:r w:rsidR="00216A6B" w:rsidRPr="00197E91">
        <w:rPr>
          <w:b/>
          <w:bCs/>
        </w:rPr>
        <w:t xml:space="preserve"> </w:t>
      </w:r>
    </w:p>
    <w:p w14:paraId="586E8D83" w14:textId="3DDFE51E" w:rsidR="00216A6B" w:rsidRDefault="00310967" w:rsidP="00197E91">
      <w:pPr>
        <w:rPr>
          <w:b/>
          <w:bCs/>
        </w:rPr>
      </w:pPr>
      <w:r w:rsidRPr="00197E91">
        <w:rPr>
          <w:b/>
          <w:bCs/>
        </w:rPr>
        <w:t>[words]</w:t>
      </w:r>
      <w:r w:rsidR="00D81942" w:rsidRPr="00197E91">
        <w:rPr>
          <w:b/>
          <w:bCs/>
        </w:rPr>
        <w:t xml:space="preserve">Andrew Thompson </w:t>
      </w:r>
      <w:r w:rsidR="00216A6B" w:rsidRPr="00197E91">
        <w:rPr>
          <w:b/>
          <w:bCs/>
        </w:rPr>
        <w:t>and</w:t>
      </w:r>
      <w:r w:rsidR="00D81942" w:rsidRPr="00197E91">
        <w:rPr>
          <w:b/>
          <w:bCs/>
        </w:rPr>
        <w:t xml:space="preserve"> Michael Cooper</w:t>
      </w:r>
    </w:p>
    <w:p w14:paraId="51657D26" w14:textId="77777777" w:rsidR="00197E91" w:rsidRPr="00197E91" w:rsidRDefault="00197E91" w:rsidP="00197E91">
      <w:pPr>
        <w:rPr>
          <w:b/>
          <w:bCs/>
        </w:rPr>
      </w:pPr>
    </w:p>
    <w:p w14:paraId="601A3C1D" w14:textId="5D814280" w:rsidR="001F7EED" w:rsidRDefault="00216A6B" w:rsidP="00C41699">
      <w:pPr>
        <w:spacing w:line="360" w:lineRule="auto"/>
      </w:pPr>
      <w:r>
        <w:t>The</w:t>
      </w:r>
      <w:r w:rsidR="00D81942">
        <w:t xml:space="preserve"> experience of spending more time at home</w:t>
      </w:r>
      <w:r w:rsidR="00665DD4">
        <w:t xml:space="preserve"> </w:t>
      </w:r>
      <w:r>
        <w:t xml:space="preserve">this year </w:t>
      </w:r>
      <w:r w:rsidR="00665DD4">
        <w:t xml:space="preserve">has </w:t>
      </w:r>
      <w:r w:rsidR="000F41D9">
        <w:t>led to</w:t>
      </w:r>
      <w:r w:rsidR="00665DD4">
        <w:t xml:space="preserve"> a collective reassessment of our priorities.</w:t>
      </w:r>
      <w:r w:rsidR="00310967">
        <w:t xml:space="preserve"> </w:t>
      </w:r>
      <w:r w:rsidR="00665DD4">
        <w:t>As a natio</w:t>
      </w:r>
      <w:r w:rsidR="00D81942">
        <w:t>n</w:t>
      </w:r>
      <w:r w:rsidR="00310967">
        <w:t>,</w:t>
      </w:r>
      <w:r w:rsidR="00665DD4">
        <w:t xml:space="preserve"> the ho</w:t>
      </w:r>
      <w:r w:rsidR="00310967">
        <w:t>me</w:t>
      </w:r>
      <w:r w:rsidR="00665DD4">
        <w:t xml:space="preserve"> has become the centre of everything</w:t>
      </w:r>
      <w:r>
        <w:t>,</w:t>
      </w:r>
      <w:r w:rsidR="00665DD4">
        <w:t xml:space="preserve"> our place of work</w:t>
      </w:r>
      <w:r w:rsidR="00310967">
        <w:t xml:space="preserve"> and</w:t>
      </w:r>
      <w:r w:rsidR="00665DD4">
        <w:t xml:space="preserve"> relaxation.</w:t>
      </w:r>
      <w:r w:rsidR="00310967">
        <w:t xml:space="preserve"> </w:t>
      </w:r>
      <w:r w:rsidR="00665DD4">
        <w:t xml:space="preserve">Housing sales are buoyant </w:t>
      </w:r>
      <w:r>
        <w:t xml:space="preserve">according to RICS market </w:t>
      </w:r>
      <w:proofErr w:type="gramStart"/>
      <w:r>
        <w:t xml:space="preserve">research, </w:t>
      </w:r>
      <w:r w:rsidR="000F41D9">
        <w:t>and</w:t>
      </w:r>
      <w:proofErr w:type="gramEnd"/>
      <w:r w:rsidR="000F41D9">
        <w:t xml:space="preserve"> </w:t>
      </w:r>
      <w:r w:rsidR="00665DD4">
        <w:t xml:space="preserve">finding the right home has </w:t>
      </w:r>
      <w:r w:rsidR="00310967">
        <w:t xml:space="preserve">become </w:t>
      </w:r>
      <w:r w:rsidR="00665DD4">
        <w:t>increas</w:t>
      </w:r>
      <w:r w:rsidR="00310967">
        <w:t>ingly complex</w:t>
      </w:r>
      <w:r w:rsidR="000F41D9">
        <w:t>. N</w:t>
      </w:r>
      <w:r w:rsidR="00665DD4">
        <w:t xml:space="preserve">ew factors such as space for </w:t>
      </w:r>
      <w:r>
        <w:t>an</w:t>
      </w:r>
      <w:r w:rsidR="00665DD4">
        <w:t xml:space="preserve"> office </w:t>
      </w:r>
      <w:r w:rsidR="000F41D9">
        <w:t xml:space="preserve">have </w:t>
      </w:r>
      <w:r w:rsidR="00665DD4">
        <w:t xml:space="preserve">become more important than a short walk to station, </w:t>
      </w:r>
      <w:r w:rsidR="00310967">
        <w:t xml:space="preserve">while an </w:t>
      </w:r>
      <w:r w:rsidR="00665DD4">
        <w:t xml:space="preserve">excellent broadband </w:t>
      </w:r>
      <w:r w:rsidR="00310967">
        <w:t xml:space="preserve">connection </w:t>
      </w:r>
      <w:r w:rsidR="00665DD4">
        <w:t xml:space="preserve">and </w:t>
      </w:r>
      <w:r w:rsidR="00C41699">
        <w:t xml:space="preserve">access to outdoor </w:t>
      </w:r>
      <w:r w:rsidR="00665DD4">
        <w:t>space</w:t>
      </w:r>
      <w:r w:rsidR="00C41699">
        <w:t>s</w:t>
      </w:r>
      <w:r w:rsidR="00665DD4">
        <w:t xml:space="preserve"> </w:t>
      </w:r>
      <w:r w:rsidR="000F41D9">
        <w:t xml:space="preserve">have </w:t>
      </w:r>
      <w:r w:rsidR="001F7EED">
        <w:t xml:space="preserve">also </w:t>
      </w:r>
      <w:r w:rsidR="00665DD4">
        <w:t>rocket</w:t>
      </w:r>
      <w:r w:rsidR="00310967">
        <w:t>ed</w:t>
      </w:r>
      <w:r w:rsidR="00665DD4">
        <w:t xml:space="preserve"> up the priority list.</w:t>
      </w:r>
    </w:p>
    <w:p w14:paraId="4B75CC46" w14:textId="1456E288" w:rsidR="006D745C" w:rsidRDefault="00A97832" w:rsidP="00216A6B">
      <w:pPr>
        <w:spacing w:line="360" w:lineRule="auto"/>
      </w:pPr>
      <w:r>
        <w:t>We have also become increasingly aware of our neighbours</w:t>
      </w:r>
      <w:r w:rsidR="00C1175A">
        <w:t>.</w:t>
      </w:r>
      <w:r>
        <w:t xml:space="preserve"> </w:t>
      </w:r>
      <w:r w:rsidR="00C1175A">
        <w:t>I</w:t>
      </w:r>
      <w:r>
        <w:t xml:space="preserve">s this something professional </w:t>
      </w:r>
      <w:proofErr w:type="spellStart"/>
      <w:r>
        <w:t>devel</w:t>
      </w:r>
      <w:r w:rsidR="00D7717A">
        <w:t>p</w:t>
      </w:r>
      <w:r>
        <w:t>pers</w:t>
      </w:r>
      <w:proofErr w:type="spellEnd"/>
      <w:r>
        <w:t xml:space="preserve"> should </w:t>
      </w:r>
      <w:r w:rsidR="00C1175A">
        <w:t>focus on</w:t>
      </w:r>
      <w:r w:rsidR="00216A6B">
        <w:t>,</w:t>
      </w:r>
      <w:r>
        <w:t xml:space="preserve"> and </w:t>
      </w:r>
      <w:r w:rsidR="00D54B63" w:rsidRPr="00515C38">
        <w:t xml:space="preserve">change </w:t>
      </w:r>
      <w:r w:rsidR="004D70CF" w:rsidRPr="00515C38">
        <w:t>the culture of aggressi</w:t>
      </w:r>
      <w:r w:rsidR="00B35D26" w:rsidRPr="00515C38">
        <w:t>ve bully schemes</w:t>
      </w:r>
      <w:r>
        <w:t>?</w:t>
      </w:r>
    </w:p>
    <w:p w14:paraId="643D3E77" w14:textId="77777777" w:rsidR="00D7717A" w:rsidRDefault="00D7717A" w:rsidP="00216A6B">
      <w:pPr>
        <w:spacing w:line="360" w:lineRule="auto"/>
      </w:pPr>
    </w:p>
    <w:p w14:paraId="53C5F90C" w14:textId="52C163B8" w:rsidR="006D745C" w:rsidRPr="00197E91" w:rsidRDefault="000B1704" w:rsidP="00197E91">
      <w:pPr>
        <w:pStyle w:val="Heading1"/>
      </w:pPr>
      <w:r w:rsidRPr="00197E91">
        <w:t>Emerging risk</w:t>
      </w:r>
    </w:p>
    <w:p w14:paraId="56F8284F" w14:textId="37B18543" w:rsidR="00D81942" w:rsidRPr="00E47D79" w:rsidRDefault="00E47D79" w:rsidP="00C41699">
      <w:pPr>
        <w:spacing w:line="360" w:lineRule="auto"/>
        <w:rPr>
          <w:rFonts w:cstheme="minorHAnsi"/>
        </w:rPr>
      </w:pPr>
      <w:r>
        <w:t>M</w:t>
      </w:r>
      <w:r w:rsidR="001F7EED">
        <w:t xml:space="preserve">ajor cases </w:t>
      </w:r>
      <w:r w:rsidR="00866D0D">
        <w:t>this year</w:t>
      </w:r>
      <w:r w:rsidR="001F7EED">
        <w:t xml:space="preserve"> help illustrate that development is a </w:t>
      </w:r>
      <w:r>
        <w:t>high-risk</w:t>
      </w:r>
      <w:r w:rsidR="001F7EED">
        <w:t xml:space="preserve"> endeavour.</w:t>
      </w:r>
      <w:r w:rsidR="00310967">
        <w:t xml:space="preserve"> </w:t>
      </w:r>
      <w:r>
        <w:t xml:space="preserve">Restrictive </w:t>
      </w:r>
      <w:r w:rsidR="00866D0D">
        <w:t>c</w:t>
      </w:r>
      <w:r>
        <w:t xml:space="preserve">ovenants </w:t>
      </w:r>
      <w:r w:rsidR="00A97832">
        <w:t xml:space="preserve">are </w:t>
      </w:r>
      <w:r w:rsidR="007917BB">
        <w:t>now</w:t>
      </w:r>
      <w:r>
        <w:t xml:space="preserve"> </w:t>
      </w:r>
      <w:proofErr w:type="gramStart"/>
      <w:r w:rsidR="00C41699" w:rsidRPr="0093724D">
        <w:t xml:space="preserve">a </w:t>
      </w:r>
      <w:r w:rsidR="00370625" w:rsidRPr="00515C38">
        <w:t xml:space="preserve"> </w:t>
      </w:r>
      <w:r w:rsidR="00C41699" w:rsidRPr="00515C38">
        <w:t>greatly</w:t>
      </w:r>
      <w:proofErr w:type="gramEnd"/>
      <w:r w:rsidR="00C41699" w:rsidRPr="00515C38">
        <w:t xml:space="preserve"> increased </w:t>
      </w:r>
      <w:r w:rsidR="00370625" w:rsidRPr="00515C38">
        <w:t>risk</w:t>
      </w:r>
      <w:r w:rsidR="00F856B4" w:rsidRPr="0093724D">
        <w:t>,</w:t>
      </w:r>
      <w:r>
        <w:t xml:space="preserve"> and as the full impact of </w:t>
      </w:r>
      <w:r w:rsidR="00F61F99">
        <w:t xml:space="preserve">November’s </w:t>
      </w:r>
      <w:r>
        <w:t xml:space="preserve">Supreme Court decision </w:t>
      </w:r>
      <w:r w:rsidR="00F856B4">
        <w:t xml:space="preserve">in </w:t>
      </w:r>
      <w:r w:rsidRPr="00C41699">
        <w:rPr>
          <w:rStyle w:val="Emphasis"/>
          <w:rFonts w:cstheme="minorHAnsi"/>
          <w:color w:val="333333"/>
          <w:shd w:val="clear" w:color="auto" w:fill="FFFFFF"/>
        </w:rPr>
        <w:t xml:space="preserve">Alexander Devine Children’s Cancer Trust v Housing Solutions Ltd </w:t>
      </w:r>
      <w:r w:rsidR="00F61F99">
        <w:rPr>
          <w:sz w:val="20"/>
          <w:szCs w:val="20"/>
        </w:rPr>
        <w:t>[2020] UKSC 45</w:t>
      </w:r>
      <w:r w:rsidR="00F61F99">
        <w:rPr>
          <w:rStyle w:val="Emphasis"/>
          <w:rFonts w:cstheme="minorHAnsi"/>
          <w:i w:val="0"/>
          <w:iCs w:val="0"/>
          <w:color w:val="333333"/>
          <w:shd w:val="clear" w:color="auto" w:fill="FFFFFF"/>
        </w:rPr>
        <w:t xml:space="preserve"> </w:t>
      </w:r>
      <w:r>
        <w:rPr>
          <w:rStyle w:val="Emphasis"/>
          <w:rFonts w:cstheme="minorHAnsi"/>
          <w:i w:val="0"/>
          <w:iCs w:val="0"/>
          <w:color w:val="333333"/>
          <w:shd w:val="clear" w:color="auto" w:fill="FFFFFF"/>
        </w:rPr>
        <w:t>ripples through the profession</w:t>
      </w:r>
      <w:r w:rsidR="00A97832">
        <w:rPr>
          <w:rStyle w:val="Emphasis"/>
          <w:rFonts w:cstheme="minorHAnsi"/>
          <w:i w:val="0"/>
          <w:iCs w:val="0"/>
          <w:color w:val="333333"/>
          <w:shd w:val="clear" w:color="auto" w:fill="FFFFFF"/>
        </w:rPr>
        <w:t xml:space="preserve">, </w:t>
      </w:r>
      <w:r>
        <w:rPr>
          <w:rStyle w:val="Emphasis"/>
          <w:rFonts w:cstheme="minorHAnsi"/>
          <w:i w:val="0"/>
          <w:iCs w:val="0"/>
          <w:color w:val="333333"/>
          <w:shd w:val="clear" w:color="auto" w:fill="FFFFFF"/>
        </w:rPr>
        <w:t xml:space="preserve">market risk registers </w:t>
      </w:r>
      <w:r w:rsidR="00C425BE">
        <w:rPr>
          <w:rStyle w:val="Emphasis"/>
          <w:rFonts w:cstheme="minorHAnsi"/>
          <w:i w:val="0"/>
          <w:iCs w:val="0"/>
          <w:color w:val="333333"/>
          <w:shd w:val="clear" w:color="auto" w:fill="FFFFFF"/>
        </w:rPr>
        <w:t xml:space="preserve">for </w:t>
      </w:r>
      <w:r>
        <w:rPr>
          <w:rStyle w:val="Emphasis"/>
          <w:rFonts w:cstheme="minorHAnsi"/>
          <w:i w:val="0"/>
          <w:iCs w:val="0"/>
          <w:color w:val="333333"/>
          <w:shd w:val="clear" w:color="auto" w:fill="FFFFFF"/>
        </w:rPr>
        <w:t>2021 will be changing.</w:t>
      </w:r>
    </w:p>
    <w:p w14:paraId="55D6D7CB" w14:textId="10D1E6D1" w:rsidR="00D346D1" w:rsidRPr="00515C38" w:rsidRDefault="00C425BE" w:rsidP="00C41699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 xml:space="preserve">In this case,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Millgate Developments Ltd acquired </w:t>
      </w:r>
      <w:r w:rsidR="009C42AE">
        <w:rPr>
          <w:rFonts w:asciiTheme="minorHAnsi" w:hAnsiTheme="minorHAnsi" w:cstheme="minorHAnsi"/>
          <w:color w:val="333333"/>
          <w:sz w:val="22"/>
          <w:szCs w:val="22"/>
        </w:rPr>
        <w:t xml:space="preserve">a site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and</w:t>
      </w:r>
      <w:r w:rsidR="009C42AE">
        <w:rPr>
          <w:rFonts w:asciiTheme="minorHAnsi" w:hAnsiTheme="minorHAnsi" w:cstheme="minorHAnsi"/>
          <w:color w:val="333333"/>
          <w:sz w:val="22"/>
          <w:szCs w:val="22"/>
        </w:rPr>
        <w:t xml:space="preserve"> then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applied for planning permission to build 23 affordable houses </w:t>
      </w:r>
      <w:r w:rsidR="00B63297">
        <w:rPr>
          <w:rFonts w:asciiTheme="minorHAnsi" w:hAnsiTheme="minorHAnsi" w:cstheme="minorHAnsi"/>
          <w:color w:val="333333"/>
          <w:sz w:val="22"/>
          <w:szCs w:val="22"/>
        </w:rPr>
        <w:t>there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, in line with its planning obligations. </w:t>
      </w:r>
      <w:r w:rsidR="00243D72">
        <w:rPr>
          <w:rFonts w:asciiTheme="minorHAnsi" w:hAnsiTheme="minorHAnsi" w:cstheme="minorHAnsi"/>
          <w:color w:val="333333"/>
          <w:sz w:val="22"/>
          <w:szCs w:val="22"/>
        </w:rPr>
        <w:t>However, a</w:t>
      </w:r>
      <w:r w:rsidR="00F07E4B">
        <w:rPr>
          <w:rFonts w:asciiTheme="minorHAnsi" w:hAnsiTheme="minorHAnsi" w:cstheme="minorHAnsi"/>
          <w:color w:val="333333"/>
          <w:sz w:val="22"/>
          <w:szCs w:val="22"/>
        </w:rPr>
        <w:t xml:space="preserve"> problem</w:t>
      </w:r>
      <w:r w:rsidR="007917BB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243D72">
        <w:rPr>
          <w:rFonts w:asciiTheme="minorHAnsi" w:hAnsiTheme="minorHAnsi" w:cstheme="minorHAnsi"/>
          <w:color w:val="333333"/>
          <w:sz w:val="22"/>
          <w:szCs w:val="22"/>
        </w:rPr>
        <w:t>arose</w:t>
      </w:r>
      <w:r w:rsidR="007917BB">
        <w:rPr>
          <w:rFonts w:asciiTheme="minorHAnsi" w:hAnsiTheme="minorHAnsi" w:cstheme="minorHAnsi"/>
          <w:color w:val="333333"/>
          <w:sz w:val="22"/>
          <w:szCs w:val="22"/>
        </w:rPr>
        <w:t xml:space="preserve"> with the neighbours</w:t>
      </w:r>
      <w:r w:rsidR="00F07E4B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243D72">
        <w:rPr>
          <w:rFonts w:asciiTheme="minorHAnsi" w:hAnsiTheme="minorHAnsi" w:cstheme="minorHAnsi"/>
          <w:color w:val="333333"/>
          <w:sz w:val="22"/>
          <w:szCs w:val="22"/>
        </w:rPr>
        <w:t>because</w:t>
      </w:r>
      <w:r w:rsidR="00F07E4B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13 houses were to be built on land </w:t>
      </w:r>
      <w:r w:rsidR="00200A6B">
        <w:rPr>
          <w:rFonts w:asciiTheme="minorHAnsi" w:hAnsiTheme="minorHAnsi" w:cstheme="minorHAnsi"/>
          <w:color w:val="333333"/>
          <w:sz w:val="22"/>
          <w:szCs w:val="22"/>
        </w:rPr>
        <w:t xml:space="preserve">under </w:t>
      </w:r>
      <w:r w:rsidR="00EB2E83">
        <w:rPr>
          <w:rFonts w:asciiTheme="minorHAnsi" w:hAnsiTheme="minorHAnsi" w:cstheme="minorHAnsi"/>
          <w:color w:val="333333"/>
          <w:sz w:val="22"/>
          <w:szCs w:val="22"/>
        </w:rPr>
        <w:t xml:space="preserve">a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restrictive covenant</w:t>
      </w:r>
      <w:r w:rsidR="00F725B4">
        <w:rPr>
          <w:rFonts w:asciiTheme="minorHAnsi" w:hAnsiTheme="minorHAnsi" w:cstheme="minorHAnsi"/>
          <w:color w:val="333333"/>
          <w:sz w:val="22"/>
          <w:szCs w:val="22"/>
        </w:rPr>
        <w:t>, which said</w:t>
      </w:r>
      <w:r w:rsidR="00D346D1" w:rsidRPr="00515C38">
        <w:rPr>
          <w:rFonts w:cstheme="minorHAnsi"/>
          <w:i/>
          <w:iCs/>
          <w:color w:val="333333"/>
        </w:rPr>
        <w:t>:</w:t>
      </w:r>
      <w:r w:rsidR="00F725B4" w:rsidRPr="00515C38">
        <w:rPr>
          <w:rStyle w:val="Emphasis"/>
          <w:rFonts w:cstheme="minorHAnsi"/>
          <w:color w:val="333333"/>
        </w:rPr>
        <w:t xml:space="preserve"> </w:t>
      </w:r>
      <w:r w:rsidR="00D346D1" w:rsidRPr="00515C38">
        <w:rPr>
          <w:rStyle w:val="Emphasis"/>
          <w:rFonts w:asciiTheme="minorHAnsi" w:hAnsiTheme="minorHAnsi" w:cstheme="minorHAnsi"/>
          <w:color w:val="333333"/>
          <w:sz w:val="22"/>
          <w:szCs w:val="22"/>
        </w:rPr>
        <w:t>“No building structure or other erection of whatsoever nature shall be built or erected or placed on [the land]</w:t>
      </w:r>
      <w:proofErr w:type="gramStart"/>
      <w:r w:rsidR="00D346D1" w:rsidRPr="00515C38">
        <w:rPr>
          <w:rStyle w:val="Emphasis"/>
          <w:rFonts w:asciiTheme="minorHAnsi" w:hAnsiTheme="minorHAnsi" w:cstheme="minorHAnsi"/>
          <w:color w:val="333333"/>
          <w:sz w:val="22"/>
          <w:szCs w:val="22"/>
        </w:rPr>
        <w:t>”;</w:t>
      </w:r>
      <w:r w:rsidR="00D346D1" w:rsidRPr="00515C38">
        <w:rPr>
          <w:rFonts w:cstheme="minorHAnsi"/>
          <w:i/>
          <w:iCs/>
          <w:color w:val="333333"/>
        </w:rPr>
        <w:t>and</w:t>
      </w:r>
      <w:proofErr w:type="gramEnd"/>
      <w:r w:rsidR="00F725B4" w:rsidRPr="00515C38">
        <w:rPr>
          <w:rFonts w:cstheme="minorHAnsi"/>
          <w:i/>
          <w:iCs/>
          <w:color w:val="333333"/>
        </w:rPr>
        <w:t xml:space="preserve"> </w:t>
      </w:r>
      <w:r w:rsidR="00D346D1" w:rsidRPr="00515C38">
        <w:rPr>
          <w:rStyle w:val="Emphasis"/>
          <w:rFonts w:asciiTheme="minorHAnsi" w:hAnsiTheme="minorHAnsi" w:cstheme="minorHAnsi"/>
          <w:color w:val="333333"/>
          <w:sz w:val="22"/>
          <w:szCs w:val="22"/>
        </w:rPr>
        <w:t>“[The land] shall not be used for any other purposes whatsoever other than as an open space for parking of motor vehicles</w:t>
      </w:r>
      <w:r w:rsidR="00D346D1" w:rsidRPr="001778BA">
        <w:rPr>
          <w:rStyle w:val="Emphasis"/>
          <w:rFonts w:asciiTheme="minorHAnsi" w:hAnsiTheme="minorHAnsi" w:cstheme="minorHAnsi"/>
          <w:color w:val="333333"/>
          <w:sz w:val="22"/>
          <w:szCs w:val="22"/>
        </w:rPr>
        <w:t>”.</w:t>
      </w:r>
      <w:r w:rsidR="002F65BE">
        <w:rPr>
          <w:rStyle w:val="Emphasis"/>
          <w:rFonts w:asciiTheme="minorHAnsi" w:hAnsiTheme="minorHAnsi" w:cstheme="minorHAnsi"/>
          <w:color w:val="333333"/>
          <w:sz w:val="22"/>
          <w:szCs w:val="22"/>
        </w:rPr>
        <w:t xml:space="preserve">  </w:t>
      </w:r>
      <w:r w:rsidR="002F65BE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 xml:space="preserve">The original vendor </w:t>
      </w:r>
      <w:r w:rsidR="005F0056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>that created the re</w:t>
      </w:r>
      <w:r w:rsidR="00E43105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 xml:space="preserve">strictive covenant </w:t>
      </w:r>
      <w:r w:rsidR="002F65BE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 xml:space="preserve">in 1972 was a John Smith, a </w:t>
      </w:r>
      <w:r w:rsidR="00DD7F85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 xml:space="preserve">major landowner and farmer in the local area.  </w:t>
      </w:r>
      <w:r w:rsidR="00DD433D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 xml:space="preserve">The </w:t>
      </w:r>
      <w:r w:rsidR="00F253D7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 xml:space="preserve">original </w:t>
      </w:r>
      <w:r w:rsidR="00DD433D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>transaction also included an overage provision however this expired in 1994</w:t>
      </w:r>
      <w:r w:rsidR="00E43105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>.</w:t>
      </w:r>
    </w:p>
    <w:p w14:paraId="26E6B14A" w14:textId="5CB7402D" w:rsidR="005F66AF" w:rsidRDefault="001921FB" w:rsidP="00216A6B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lastRenderedPageBreak/>
        <w:t>It is important to remember that private rights</w:t>
      </w:r>
      <w:r w:rsidR="00A33F4C">
        <w:rPr>
          <w:rFonts w:asciiTheme="minorHAnsi" w:hAnsiTheme="minorHAnsi" w:cstheme="minorHAnsi"/>
          <w:color w:val="333333"/>
          <w:sz w:val="22"/>
          <w:szCs w:val="22"/>
        </w:rPr>
        <w:t>,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F725B4" w:rsidRPr="00515C38">
        <w:rPr>
          <w:rFonts w:asciiTheme="minorHAnsi" w:hAnsiTheme="minorHAnsi" w:cstheme="minorHAnsi"/>
          <w:color w:val="333333"/>
          <w:sz w:val="22"/>
          <w:szCs w:val="22"/>
        </w:rPr>
        <w:t xml:space="preserve">such as </w:t>
      </w:r>
      <w:r w:rsidR="00A33F4C" w:rsidRPr="00515C38">
        <w:rPr>
          <w:rFonts w:asciiTheme="minorHAnsi" w:hAnsiTheme="minorHAnsi" w:cstheme="minorHAnsi"/>
          <w:color w:val="333333"/>
          <w:sz w:val="22"/>
          <w:szCs w:val="22"/>
        </w:rPr>
        <w:t>restrictive</w:t>
      </w:r>
      <w:r w:rsidR="00EA4745" w:rsidRPr="00515C38">
        <w:rPr>
          <w:rFonts w:asciiTheme="minorHAnsi" w:hAnsiTheme="minorHAnsi" w:cstheme="minorHAnsi"/>
          <w:color w:val="333333"/>
          <w:sz w:val="22"/>
          <w:szCs w:val="22"/>
        </w:rPr>
        <w:t xml:space="preserve"> covenants</w:t>
      </w:r>
      <w:r w:rsidR="00A33F4C" w:rsidRPr="00515C38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F725B4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do not prevent the granting of </w:t>
      </w:r>
      <w:r w:rsidR="00156A23">
        <w:rPr>
          <w:rFonts w:asciiTheme="minorHAnsi" w:hAnsiTheme="minorHAnsi" w:cstheme="minorHAnsi"/>
          <w:color w:val="333333"/>
          <w:sz w:val="22"/>
          <w:szCs w:val="22"/>
        </w:rPr>
        <w:t>planning approval.</w:t>
      </w:r>
      <w:r w:rsidR="0031096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Planning permission </w:t>
      </w:r>
      <w:r w:rsidR="002E3601">
        <w:rPr>
          <w:rFonts w:asciiTheme="minorHAnsi" w:hAnsiTheme="minorHAnsi" w:cstheme="minorHAnsi"/>
          <w:color w:val="333333"/>
          <w:sz w:val="22"/>
          <w:szCs w:val="22"/>
        </w:rPr>
        <w:t xml:space="preserve">had been </w:t>
      </w:r>
      <w:r w:rsidR="00EA4745">
        <w:rPr>
          <w:rFonts w:asciiTheme="minorHAnsi" w:hAnsiTheme="minorHAnsi" w:cstheme="minorHAnsi"/>
          <w:color w:val="333333"/>
          <w:sz w:val="22"/>
          <w:szCs w:val="22"/>
        </w:rPr>
        <w:t>given</w:t>
      </w:r>
      <w:r w:rsidR="00EA4745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in March 2014 and Millgate began construction in July </w:t>
      </w:r>
      <w:r w:rsidR="00A97832">
        <w:rPr>
          <w:rFonts w:asciiTheme="minorHAnsi" w:hAnsiTheme="minorHAnsi" w:cstheme="minorHAnsi"/>
          <w:color w:val="333333"/>
          <w:sz w:val="22"/>
          <w:szCs w:val="22"/>
        </w:rPr>
        <w:t>that year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. </w:t>
      </w:r>
      <w:proofErr w:type="gramStart"/>
      <w:r w:rsidR="000E7C71">
        <w:rPr>
          <w:rFonts w:asciiTheme="minorHAnsi" w:hAnsiTheme="minorHAnsi" w:cstheme="minorHAnsi"/>
          <w:color w:val="333333"/>
          <w:sz w:val="22"/>
          <w:szCs w:val="22"/>
        </w:rPr>
        <w:t>Therefore</w:t>
      </w:r>
      <w:proofErr w:type="gramEnd"/>
      <w:r w:rsidR="000E7C71">
        <w:rPr>
          <w:rFonts w:asciiTheme="minorHAnsi" w:hAnsiTheme="minorHAnsi" w:cstheme="minorHAnsi"/>
          <w:color w:val="333333"/>
          <w:sz w:val="22"/>
          <w:szCs w:val="22"/>
        </w:rPr>
        <w:t xml:space="preserve"> the existence of a planning permission should give zero comfort to a </w:t>
      </w:r>
      <w:r w:rsidR="005774D4">
        <w:rPr>
          <w:rFonts w:asciiTheme="minorHAnsi" w:hAnsiTheme="minorHAnsi" w:cstheme="minorHAnsi"/>
          <w:color w:val="333333"/>
          <w:sz w:val="22"/>
          <w:szCs w:val="22"/>
        </w:rPr>
        <w:t xml:space="preserve">Technical Due </w:t>
      </w:r>
      <w:r w:rsidR="0042477E">
        <w:rPr>
          <w:rFonts w:asciiTheme="minorHAnsi" w:hAnsiTheme="minorHAnsi" w:cstheme="minorHAnsi"/>
          <w:color w:val="333333"/>
          <w:sz w:val="22"/>
          <w:szCs w:val="22"/>
        </w:rPr>
        <w:t>Diligence</w:t>
      </w:r>
      <w:r w:rsidR="005774D4">
        <w:rPr>
          <w:rFonts w:asciiTheme="minorHAnsi" w:hAnsiTheme="minorHAnsi" w:cstheme="minorHAnsi"/>
          <w:color w:val="333333"/>
          <w:sz w:val="22"/>
          <w:szCs w:val="22"/>
        </w:rPr>
        <w:t xml:space="preserve"> or Project Monitoring Surveyor, the risk </w:t>
      </w:r>
      <w:r w:rsidR="00836F46">
        <w:rPr>
          <w:rFonts w:asciiTheme="minorHAnsi" w:hAnsiTheme="minorHAnsi" w:cstheme="minorHAnsi"/>
          <w:color w:val="333333"/>
          <w:sz w:val="22"/>
          <w:szCs w:val="22"/>
        </w:rPr>
        <w:t xml:space="preserve">of enforcement from neighbours </w:t>
      </w:r>
      <w:r w:rsidR="005774D4">
        <w:rPr>
          <w:rFonts w:asciiTheme="minorHAnsi" w:hAnsiTheme="minorHAnsi" w:cstheme="minorHAnsi"/>
          <w:color w:val="333333"/>
          <w:sz w:val="22"/>
          <w:szCs w:val="22"/>
        </w:rPr>
        <w:t xml:space="preserve">is still </w:t>
      </w:r>
      <w:r w:rsidR="00836F46">
        <w:rPr>
          <w:rFonts w:asciiTheme="minorHAnsi" w:hAnsiTheme="minorHAnsi" w:cstheme="minorHAnsi"/>
          <w:color w:val="333333"/>
          <w:sz w:val="22"/>
          <w:szCs w:val="22"/>
        </w:rPr>
        <w:t xml:space="preserve">fully </w:t>
      </w:r>
      <w:r w:rsidR="005774D4">
        <w:rPr>
          <w:rFonts w:asciiTheme="minorHAnsi" w:hAnsiTheme="minorHAnsi" w:cstheme="minorHAnsi"/>
          <w:color w:val="333333"/>
          <w:sz w:val="22"/>
          <w:szCs w:val="22"/>
        </w:rPr>
        <w:t>live</w:t>
      </w:r>
      <w:r w:rsidR="0042477E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60455C04" w14:textId="655F1F3A" w:rsidR="00794B34" w:rsidRDefault="00623137" w:rsidP="00216A6B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 xml:space="preserve">The </w:t>
      </w:r>
      <w:r w:rsidR="007D1CE9">
        <w:rPr>
          <w:rFonts w:asciiTheme="minorHAnsi" w:hAnsiTheme="minorHAnsi" w:cstheme="minorHAnsi"/>
          <w:color w:val="333333"/>
          <w:sz w:val="22"/>
          <w:szCs w:val="22"/>
        </w:rPr>
        <w:t xml:space="preserve">neighbour </w:t>
      </w:r>
      <w:r w:rsidR="00552465">
        <w:rPr>
          <w:rFonts w:asciiTheme="minorHAnsi" w:hAnsiTheme="minorHAnsi" w:cstheme="minorHAnsi"/>
          <w:color w:val="333333"/>
          <w:sz w:val="22"/>
          <w:szCs w:val="22"/>
        </w:rPr>
        <w:t xml:space="preserve">and beneficiary of the restrictive covenant </w:t>
      </w:r>
      <w:r w:rsidR="007D1CE9">
        <w:rPr>
          <w:rFonts w:asciiTheme="minorHAnsi" w:hAnsiTheme="minorHAnsi" w:cstheme="minorHAnsi"/>
          <w:color w:val="333333"/>
          <w:sz w:val="22"/>
          <w:szCs w:val="22"/>
        </w:rPr>
        <w:t xml:space="preserve">in this instance was the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owner of the adjacent land</w:t>
      </w:r>
      <w:r w:rsidR="00033CE9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the Alexander Devine Children’s Cancer Trust</w:t>
      </w:r>
      <w:r w:rsidR="008B227E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31096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B73B92">
        <w:rPr>
          <w:rFonts w:asciiTheme="minorHAnsi" w:hAnsiTheme="minorHAnsi" w:cstheme="minorHAnsi"/>
          <w:color w:val="333333"/>
          <w:sz w:val="22"/>
          <w:szCs w:val="22"/>
        </w:rPr>
        <w:t>Neighbour disputes commonly have ci</w:t>
      </w:r>
      <w:r w:rsidR="00F01207">
        <w:rPr>
          <w:rFonts w:asciiTheme="minorHAnsi" w:hAnsiTheme="minorHAnsi" w:cstheme="minorHAnsi"/>
          <w:color w:val="333333"/>
          <w:sz w:val="22"/>
          <w:szCs w:val="22"/>
        </w:rPr>
        <w:t xml:space="preserve">rcle within circle </w:t>
      </w:r>
      <w:proofErr w:type="gramStart"/>
      <w:r w:rsidR="00F01207">
        <w:rPr>
          <w:rFonts w:asciiTheme="minorHAnsi" w:hAnsiTheme="minorHAnsi" w:cstheme="minorHAnsi"/>
          <w:color w:val="333333"/>
          <w:sz w:val="22"/>
          <w:szCs w:val="22"/>
        </w:rPr>
        <w:t>relationships</w:t>
      </w:r>
      <w:proofErr w:type="gramEnd"/>
      <w:r w:rsidR="00F01207">
        <w:rPr>
          <w:rFonts w:asciiTheme="minorHAnsi" w:hAnsiTheme="minorHAnsi" w:cstheme="minorHAnsi"/>
          <w:color w:val="333333"/>
          <w:sz w:val="22"/>
          <w:szCs w:val="22"/>
        </w:rPr>
        <w:t xml:space="preserve"> and this is a classic example of </w:t>
      </w:r>
      <w:r w:rsidR="00B37977">
        <w:rPr>
          <w:rFonts w:asciiTheme="minorHAnsi" w:hAnsiTheme="minorHAnsi" w:cstheme="minorHAnsi"/>
          <w:color w:val="333333"/>
          <w:sz w:val="22"/>
          <w:szCs w:val="22"/>
        </w:rPr>
        <w:t xml:space="preserve">the interlink of relationships over time.  </w:t>
      </w:r>
      <w:r w:rsidR="00633BEB">
        <w:rPr>
          <w:rFonts w:asciiTheme="minorHAnsi" w:hAnsiTheme="minorHAnsi" w:cstheme="minorHAnsi"/>
          <w:color w:val="333333"/>
          <w:sz w:val="22"/>
          <w:szCs w:val="22"/>
        </w:rPr>
        <w:t>At t</w:t>
      </w:r>
      <w:r w:rsidR="00CB3290">
        <w:rPr>
          <w:rFonts w:asciiTheme="minorHAnsi" w:hAnsiTheme="minorHAnsi" w:cstheme="minorHAnsi"/>
          <w:color w:val="333333"/>
          <w:sz w:val="22"/>
          <w:szCs w:val="22"/>
        </w:rPr>
        <w:t xml:space="preserve">he centre of the dispute </w:t>
      </w:r>
      <w:r w:rsidR="00633BEB">
        <w:rPr>
          <w:rFonts w:asciiTheme="minorHAnsi" w:hAnsiTheme="minorHAnsi" w:cstheme="minorHAnsi"/>
          <w:color w:val="333333"/>
          <w:sz w:val="22"/>
          <w:szCs w:val="22"/>
        </w:rPr>
        <w:t>was</w:t>
      </w:r>
      <w:r w:rsidR="00CB3290">
        <w:rPr>
          <w:rFonts w:asciiTheme="minorHAnsi" w:hAnsiTheme="minorHAnsi" w:cstheme="minorHAnsi"/>
          <w:color w:val="333333"/>
          <w:sz w:val="22"/>
          <w:szCs w:val="22"/>
        </w:rPr>
        <w:t xml:space="preserve"> the fact that the land </w:t>
      </w:r>
      <w:r w:rsidR="00633BEB">
        <w:rPr>
          <w:rFonts w:asciiTheme="minorHAnsi" w:hAnsiTheme="minorHAnsi" w:cstheme="minorHAnsi"/>
          <w:color w:val="333333"/>
          <w:sz w:val="22"/>
          <w:szCs w:val="22"/>
        </w:rPr>
        <w:t xml:space="preserve">in question </w:t>
      </w:r>
      <w:r w:rsidR="008B227E" w:rsidRPr="00D346D1">
        <w:rPr>
          <w:rFonts w:asciiTheme="minorHAnsi" w:hAnsiTheme="minorHAnsi" w:cstheme="minorHAnsi"/>
          <w:color w:val="333333"/>
          <w:sz w:val="22"/>
          <w:szCs w:val="22"/>
        </w:rPr>
        <w:t>had</w:t>
      </w:r>
      <w:r w:rsidR="0088566A">
        <w:rPr>
          <w:rFonts w:asciiTheme="minorHAnsi" w:hAnsiTheme="minorHAnsi" w:cstheme="minorHAnsi"/>
          <w:color w:val="333333"/>
          <w:sz w:val="22"/>
          <w:szCs w:val="22"/>
        </w:rPr>
        <w:t xml:space="preserve"> been </w:t>
      </w:r>
      <w:r w:rsidR="008B227E" w:rsidRPr="00D346D1">
        <w:rPr>
          <w:rFonts w:asciiTheme="minorHAnsi" w:hAnsiTheme="minorHAnsi" w:cstheme="minorHAnsi"/>
          <w:color w:val="333333"/>
          <w:sz w:val="22"/>
          <w:szCs w:val="22"/>
        </w:rPr>
        <w:t>gift</w:t>
      </w:r>
      <w:r w:rsidR="00633BEB">
        <w:rPr>
          <w:rFonts w:asciiTheme="minorHAnsi" w:hAnsiTheme="minorHAnsi" w:cstheme="minorHAnsi"/>
          <w:color w:val="333333"/>
          <w:sz w:val="22"/>
          <w:szCs w:val="22"/>
        </w:rPr>
        <w:t xml:space="preserve">ed </w:t>
      </w:r>
      <w:r w:rsidR="00FF2815">
        <w:rPr>
          <w:rFonts w:asciiTheme="minorHAnsi" w:hAnsiTheme="minorHAnsi" w:cstheme="minorHAnsi"/>
          <w:color w:val="333333"/>
          <w:sz w:val="22"/>
          <w:szCs w:val="22"/>
        </w:rPr>
        <w:t xml:space="preserve">by </w:t>
      </w:r>
      <w:proofErr w:type="spellStart"/>
      <w:r w:rsidR="00FF2815">
        <w:rPr>
          <w:rFonts w:asciiTheme="minorHAnsi" w:hAnsiTheme="minorHAnsi" w:cstheme="minorHAnsi"/>
          <w:color w:val="333333"/>
          <w:sz w:val="22"/>
          <w:szCs w:val="22"/>
        </w:rPr>
        <w:t>Barty</w:t>
      </w:r>
      <w:proofErr w:type="spellEnd"/>
      <w:r w:rsidR="00FF2815">
        <w:rPr>
          <w:rFonts w:asciiTheme="minorHAnsi" w:hAnsiTheme="minorHAnsi" w:cstheme="minorHAnsi"/>
          <w:color w:val="333333"/>
          <w:sz w:val="22"/>
          <w:szCs w:val="22"/>
        </w:rPr>
        <w:t xml:space="preserve"> Smith, the son of the original John Smith</w:t>
      </w:r>
      <w:r w:rsidR="000C6A6C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="0024244A">
        <w:rPr>
          <w:rFonts w:asciiTheme="minorHAnsi" w:hAnsiTheme="minorHAnsi" w:cstheme="minorHAnsi"/>
          <w:color w:val="333333"/>
          <w:sz w:val="22"/>
          <w:szCs w:val="22"/>
        </w:rPr>
        <w:t>on 2</w:t>
      </w:r>
      <w:r w:rsidR="0024244A" w:rsidRPr="00515C38">
        <w:rPr>
          <w:rFonts w:asciiTheme="minorHAnsi" w:hAnsiTheme="minorHAnsi" w:cstheme="minorHAnsi"/>
          <w:color w:val="333333"/>
          <w:sz w:val="22"/>
          <w:szCs w:val="22"/>
          <w:vertAlign w:val="superscript"/>
        </w:rPr>
        <w:t>nd</w:t>
      </w:r>
      <w:r w:rsidR="0024244A">
        <w:rPr>
          <w:rFonts w:asciiTheme="minorHAnsi" w:hAnsiTheme="minorHAnsi" w:cstheme="minorHAnsi"/>
          <w:color w:val="333333"/>
          <w:sz w:val="22"/>
          <w:szCs w:val="22"/>
        </w:rPr>
        <w:t xml:space="preserve"> December</w:t>
      </w:r>
      <w:r w:rsidR="00FF2815">
        <w:rPr>
          <w:rFonts w:asciiTheme="minorHAnsi" w:hAnsiTheme="minorHAnsi" w:cstheme="minorHAnsi"/>
          <w:color w:val="333333"/>
          <w:sz w:val="22"/>
          <w:szCs w:val="22"/>
        </w:rPr>
        <w:t xml:space="preserve"> 2011</w:t>
      </w:r>
      <w:r w:rsidR="008B227E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for the construction of a hospice for terminally ill children. </w:t>
      </w:r>
      <w:r w:rsidR="00774CEB">
        <w:rPr>
          <w:rFonts w:asciiTheme="minorHAnsi" w:hAnsiTheme="minorHAnsi" w:cstheme="minorHAnsi"/>
          <w:color w:val="333333"/>
          <w:sz w:val="22"/>
          <w:szCs w:val="22"/>
        </w:rPr>
        <w:t xml:space="preserve">This </w:t>
      </w:r>
      <w:r w:rsidR="00037068">
        <w:rPr>
          <w:rFonts w:asciiTheme="minorHAnsi" w:hAnsiTheme="minorHAnsi" w:cstheme="minorHAnsi"/>
          <w:color w:val="333333"/>
          <w:sz w:val="22"/>
          <w:szCs w:val="22"/>
        </w:rPr>
        <w:t xml:space="preserve">direct relationship in the parties seeking to enforce the restrictive covenant was </w:t>
      </w:r>
      <w:r w:rsidR="00531E88">
        <w:rPr>
          <w:rFonts w:asciiTheme="minorHAnsi" w:hAnsiTheme="minorHAnsi" w:cstheme="minorHAnsi"/>
          <w:color w:val="333333"/>
          <w:sz w:val="22"/>
          <w:szCs w:val="22"/>
        </w:rPr>
        <w:t>commented upon by the Supreme Court.</w:t>
      </w:r>
    </w:p>
    <w:p w14:paraId="4976C093" w14:textId="237A28F7" w:rsidR="00296C9C" w:rsidRDefault="00D346D1" w:rsidP="00216A6B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In September 2014, </w:t>
      </w:r>
      <w:r w:rsidR="001A0612">
        <w:rPr>
          <w:rFonts w:asciiTheme="minorHAnsi" w:hAnsiTheme="minorHAnsi" w:cstheme="minorHAnsi"/>
          <w:color w:val="333333"/>
          <w:sz w:val="22"/>
          <w:szCs w:val="22"/>
        </w:rPr>
        <w:t>in line with known best practice</w:t>
      </w:r>
      <w:r w:rsidR="00426BA7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="00296C9C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the </w:t>
      </w:r>
      <w:r w:rsidR="0076446C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296C9C" w:rsidRPr="00D346D1">
        <w:rPr>
          <w:rFonts w:asciiTheme="minorHAnsi" w:hAnsiTheme="minorHAnsi" w:cstheme="minorHAnsi"/>
          <w:color w:val="333333"/>
          <w:sz w:val="22"/>
          <w:szCs w:val="22"/>
        </w:rPr>
        <w:t>rust</w:t>
      </w:r>
      <w:r w:rsidR="00296C9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wrote to Millgate to object to </w:t>
      </w:r>
      <w:r w:rsidR="00296C9C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2E668F">
        <w:rPr>
          <w:rFonts w:asciiTheme="minorHAnsi" w:hAnsiTheme="minorHAnsi" w:cstheme="minorHAnsi"/>
          <w:color w:val="333333"/>
          <w:sz w:val="22"/>
          <w:szCs w:val="22"/>
        </w:rPr>
        <w:t>h</w:t>
      </w:r>
      <w:r w:rsidR="00296C9C">
        <w:rPr>
          <w:rFonts w:asciiTheme="minorHAnsi" w:hAnsiTheme="minorHAnsi" w:cstheme="minorHAnsi"/>
          <w:color w:val="333333"/>
          <w:sz w:val="22"/>
          <w:szCs w:val="22"/>
        </w:rPr>
        <w:t>e</w:t>
      </w:r>
      <w:r w:rsidR="00296C9C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D346D1">
        <w:rPr>
          <w:rFonts w:asciiTheme="minorHAnsi" w:hAnsiTheme="minorHAnsi" w:cstheme="minorHAnsi"/>
          <w:color w:val="333333"/>
          <w:sz w:val="22"/>
          <w:szCs w:val="22"/>
        </w:rPr>
        <w:t>development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426B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426BA7">
        <w:rPr>
          <w:rFonts w:asciiTheme="minorHAnsi" w:hAnsiTheme="minorHAnsi" w:cstheme="minorHAnsi"/>
          <w:color w:val="333333"/>
          <w:sz w:val="22"/>
          <w:szCs w:val="22"/>
        </w:rPr>
        <w:t>h</w:t>
      </w:r>
      <w:r w:rsidR="002E668F">
        <w:rPr>
          <w:rFonts w:asciiTheme="minorHAnsi" w:hAnsiTheme="minorHAnsi" w:cstheme="minorHAnsi"/>
          <w:color w:val="333333"/>
          <w:sz w:val="22"/>
          <w:szCs w:val="22"/>
        </w:rPr>
        <w:t>is meant that</w:t>
      </w:r>
      <w:r w:rsidR="00426BA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D346D1">
        <w:rPr>
          <w:rFonts w:asciiTheme="minorHAnsi" w:hAnsiTheme="minorHAnsi" w:cstheme="minorHAnsi"/>
          <w:color w:val="333333"/>
          <w:sz w:val="22"/>
          <w:szCs w:val="22"/>
        </w:rPr>
        <w:t>Millgate continued to build</w:t>
      </w:r>
      <w:r w:rsidR="00296C9C">
        <w:rPr>
          <w:rFonts w:asciiTheme="minorHAnsi" w:hAnsiTheme="minorHAnsi" w:cstheme="minorHAnsi"/>
          <w:color w:val="333333"/>
          <w:sz w:val="22"/>
          <w:szCs w:val="22"/>
        </w:rPr>
        <w:t xml:space="preserve"> in full knowledge that it was</w:t>
      </w:r>
      <w:r w:rsidR="00296C9C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breach</w:t>
      </w:r>
      <w:r w:rsidR="00296C9C">
        <w:rPr>
          <w:rFonts w:asciiTheme="minorHAnsi" w:hAnsiTheme="minorHAnsi" w:cstheme="minorHAnsi"/>
          <w:color w:val="333333"/>
          <w:sz w:val="22"/>
          <w:szCs w:val="22"/>
        </w:rPr>
        <w:t>ing</w:t>
      </w:r>
      <w:r w:rsidR="00296C9C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the covenants</w:t>
      </w:r>
      <w:r w:rsidRPr="00D346D1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31096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14:paraId="7E430253" w14:textId="77777777" w:rsidR="008410F9" w:rsidRDefault="008410F9" w:rsidP="008410F9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b/>
          <w:bCs/>
          <w:color w:val="333333"/>
          <w:sz w:val="22"/>
          <w:szCs w:val="22"/>
        </w:rPr>
      </w:pPr>
    </w:p>
    <w:p w14:paraId="2551AC7A" w14:textId="68EE2F18" w:rsidR="008410F9" w:rsidRPr="003B680B" w:rsidRDefault="0050160C" w:rsidP="00197E91">
      <w:pPr>
        <w:pStyle w:val="Heading1"/>
      </w:pPr>
      <w:r>
        <w:t>Aggressive applications</w:t>
      </w:r>
    </w:p>
    <w:p w14:paraId="3BFE6365" w14:textId="33C2FDC7" w:rsidR="00467725" w:rsidRPr="002E668F" w:rsidRDefault="005B2FE1" w:rsidP="00C41699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A</w:t>
      </w:r>
      <w:r w:rsidR="00E67A72">
        <w:rPr>
          <w:rFonts w:asciiTheme="minorHAnsi" w:hAnsiTheme="minorHAnsi" w:cstheme="minorHAnsi"/>
          <w:color w:val="333333"/>
          <w:sz w:val="22"/>
          <w:szCs w:val="22"/>
        </w:rPr>
        <w:t xml:space="preserve">t the core 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of this case is </w:t>
      </w:r>
      <w:r w:rsidR="00E67A72">
        <w:rPr>
          <w:rFonts w:asciiTheme="minorHAnsi" w:hAnsiTheme="minorHAnsi" w:cstheme="minorHAnsi"/>
          <w:color w:val="333333"/>
          <w:sz w:val="22"/>
          <w:szCs w:val="22"/>
        </w:rPr>
        <w:t>the established concept</w:t>
      </w:r>
      <w:r w:rsidR="006E5E2C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E67A72">
        <w:rPr>
          <w:rFonts w:asciiTheme="minorHAnsi" w:hAnsiTheme="minorHAnsi" w:cstheme="minorHAnsi"/>
          <w:color w:val="333333"/>
          <w:sz w:val="22"/>
          <w:szCs w:val="22"/>
        </w:rPr>
        <w:t xml:space="preserve"> now reinforced by the Supreme Court</w:t>
      </w:r>
      <w:r w:rsidR="006E5E2C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E67A72">
        <w:rPr>
          <w:rFonts w:asciiTheme="minorHAnsi" w:hAnsiTheme="minorHAnsi" w:cstheme="minorHAnsi"/>
          <w:color w:val="333333"/>
          <w:sz w:val="22"/>
          <w:szCs w:val="22"/>
        </w:rPr>
        <w:t xml:space="preserve"> that </w:t>
      </w:r>
      <w:r w:rsidR="00467725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developers must avoid committing a cynical breach, </w:t>
      </w:r>
      <w:r w:rsidR="001D394C">
        <w:rPr>
          <w:rFonts w:asciiTheme="minorHAnsi" w:hAnsiTheme="minorHAnsi" w:cstheme="minorHAnsi"/>
          <w:color w:val="333333"/>
          <w:sz w:val="22"/>
          <w:szCs w:val="22"/>
        </w:rPr>
        <w:t xml:space="preserve">which </w:t>
      </w:r>
      <w:r w:rsidR="00EC7FD1">
        <w:rPr>
          <w:rFonts w:asciiTheme="minorHAnsi" w:hAnsiTheme="minorHAnsi" w:cstheme="minorHAnsi"/>
          <w:color w:val="333333"/>
          <w:sz w:val="22"/>
          <w:szCs w:val="22"/>
        </w:rPr>
        <w:t>the court</w:t>
      </w:r>
      <w:r w:rsidR="001D394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467725" w:rsidRPr="00D346D1">
        <w:rPr>
          <w:rFonts w:asciiTheme="minorHAnsi" w:hAnsiTheme="minorHAnsi" w:cstheme="minorHAnsi"/>
          <w:color w:val="333333"/>
          <w:sz w:val="22"/>
          <w:szCs w:val="22"/>
        </w:rPr>
        <w:t>defined as</w:t>
      </w:r>
      <w:r w:rsidR="00A9539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467725" w:rsidRPr="00C41699">
        <w:rPr>
          <w:rStyle w:val="Emphasis"/>
          <w:rFonts w:asciiTheme="minorHAnsi" w:hAnsiTheme="minorHAnsi" w:cstheme="minorHAnsi"/>
          <w:i w:val="0"/>
          <w:iCs w:val="0"/>
          <w:color w:val="333333"/>
          <w:sz w:val="22"/>
          <w:szCs w:val="22"/>
        </w:rPr>
        <w:t xml:space="preserve">the act of </w:t>
      </w:r>
      <w:r w:rsidR="00A9539E" w:rsidRPr="00515C38">
        <w:rPr>
          <w:rStyle w:val="Emphasis"/>
          <w:rFonts w:asciiTheme="minorHAnsi" w:hAnsiTheme="minorHAnsi" w:cstheme="minorHAnsi"/>
          <w:color w:val="333333"/>
          <w:sz w:val="22"/>
          <w:szCs w:val="22"/>
        </w:rPr>
        <w:t>“</w:t>
      </w:r>
      <w:r w:rsidR="00467725" w:rsidRPr="00515C38">
        <w:rPr>
          <w:rStyle w:val="Emphasis"/>
          <w:rFonts w:asciiTheme="minorHAnsi" w:hAnsiTheme="minorHAnsi" w:cstheme="minorHAnsi"/>
          <w:color w:val="333333"/>
          <w:sz w:val="22"/>
          <w:szCs w:val="22"/>
        </w:rPr>
        <w:t xml:space="preserve">deliberately committing a breach of </w:t>
      </w:r>
      <w:r w:rsidR="00573131" w:rsidRPr="00515C38">
        <w:rPr>
          <w:rStyle w:val="Emphasis"/>
          <w:rFonts w:asciiTheme="minorHAnsi" w:hAnsiTheme="minorHAnsi" w:cstheme="minorHAnsi"/>
          <w:color w:val="333333"/>
          <w:sz w:val="22"/>
          <w:szCs w:val="22"/>
        </w:rPr>
        <w:t xml:space="preserve">the </w:t>
      </w:r>
      <w:r w:rsidR="00467725" w:rsidRPr="00515C38">
        <w:rPr>
          <w:rStyle w:val="Emphasis"/>
          <w:rFonts w:asciiTheme="minorHAnsi" w:hAnsiTheme="minorHAnsi" w:cstheme="minorHAnsi"/>
          <w:color w:val="333333"/>
          <w:sz w:val="22"/>
          <w:szCs w:val="22"/>
        </w:rPr>
        <w:t>restrictive covenant with a view to making profit”.</w:t>
      </w:r>
    </w:p>
    <w:p w14:paraId="1ED5A88B" w14:textId="15D3861B" w:rsidR="00D519A5" w:rsidRDefault="00AA0DDC" w:rsidP="00216A6B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Aggressive developers have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>,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 over the </w:t>
      </w:r>
      <w:r w:rsidR="00DE17C1">
        <w:rPr>
          <w:rFonts w:asciiTheme="minorHAnsi" w:hAnsiTheme="minorHAnsi" w:cstheme="minorHAnsi"/>
          <w:color w:val="333333"/>
          <w:sz w:val="22"/>
          <w:szCs w:val="22"/>
        </w:rPr>
        <w:t>p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ast </w:t>
      </w:r>
      <w:r w:rsidR="00C612FA">
        <w:rPr>
          <w:rFonts w:asciiTheme="minorHAnsi" w:hAnsiTheme="minorHAnsi" w:cstheme="minorHAnsi"/>
          <w:color w:val="333333"/>
          <w:sz w:val="22"/>
          <w:szCs w:val="22"/>
        </w:rPr>
        <w:t xml:space="preserve">20 </w:t>
      </w:r>
      <w:r>
        <w:rPr>
          <w:rFonts w:asciiTheme="minorHAnsi" w:hAnsiTheme="minorHAnsi" w:cstheme="minorHAnsi"/>
          <w:color w:val="333333"/>
          <w:sz w:val="22"/>
          <w:szCs w:val="22"/>
        </w:rPr>
        <w:t>years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>,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113A4D">
        <w:rPr>
          <w:rFonts w:asciiTheme="minorHAnsi" w:hAnsiTheme="minorHAnsi" w:cstheme="minorHAnsi"/>
          <w:color w:val="333333"/>
          <w:sz w:val="22"/>
          <w:szCs w:val="22"/>
        </w:rPr>
        <w:t>become embolden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>ed to</w:t>
      </w:r>
      <w:r w:rsidR="00113A4D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6F1E1D">
        <w:rPr>
          <w:rFonts w:asciiTheme="minorHAnsi" w:hAnsiTheme="minorHAnsi" w:cstheme="minorHAnsi"/>
          <w:color w:val="333333"/>
          <w:sz w:val="22"/>
          <w:szCs w:val="22"/>
        </w:rPr>
        <w:t>us</w:t>
      </w:r>
      <w:r w:rsidR="00573131">
        <w:rPr>
          <w:rFonts w:asciiTheme="minorHAnsi" w:hAnsiTheme="minorHAnsi" w:cstheme="minorHAnsi"/>
          <w:color w:val="333333"/>
          <w:sz w:val="22"/>
          <w:szCs w:val="22"/>
        </w:rPr>
        <w:t>e</w:t>
      </w:r>
      <w:r w:rsidR="006F1E1D">
        <w:rPr>
          <w:rFonts w:asciiTheme="minorHAnsi" w:hAnsiTheme="minorHAnsi" w:cstheme="minorHAnsi"/>
          <w:color w:val="333333"/>
          <w:sz w:val="22"/>
          <w:szCs w:val="22"/>
        </w:rPr>
        <w:t xml:space="preserve"> the cost of </w:t>
      </w:r>
      <w:r w:rsidR="00573131">
        <w:rPr>
          <w:rFonts w:asciiTheme="minorHAnsi" w:hAnsiTheme="minorHAnsi" w:cstheme="minorHAnsi"/>
          <w:color w:val="333333"/>
          <w:sz w:val="22"/>
          <w:szCs w:val="22"/>
        </w:rPr>
        <w:t xml:space="preserve">prospective </w:t>
      </w:r>
      <w:r w:rsidR="006F1E1D">
        <w:rPr>
          <w:rFonts w:asciiTheme="minorHAnsi" w:hAnsiTheme="minorHAnsi" w:cstheme="minorHAnsi"/>
          <w:color w:val="333333"/>
          <w:sz w:val="22"/>
          <w:szCs w:val="22"/>
        </w:rPr>
        <w:t xml:space="preserve">litigation and the complexity of this specialist area of law to </w:t>
      </w:r>
      <w:r w:rsidR="00CA60DF">
        <w:rPr>
          <w:rFonts w:asciiTheme="minorHAnsi" w:hAnsiTheme="minorHAnsi" w:cstheme="minorHAnsi"/>
          <w:color w:val="333333"/>
          <w:sz w:val="22"/>
          <w:szCs w:val="22"/>
        </w:rPr>
        <w:t xml:space="preserve">build </w:t>
      </w:r>
      <w:r w:rsidR="007917BB">
        <w:rPr>
          <w:rFonts w:asciiTheme="minorHAnsi" w:hAnsiTheme="minorHAnsi" w:cstheme="minorHAnsi"/>
          <w:color w:val="333333"/>
          <w:sz w:val="22"/>
          <w:szCs w:val="22"/>
        </w:rPr>
        <w:t>regardless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7917BB">
        <w:rPr>
          <w:rFonts w:asciiTheme="minorHAnsi" w:hAnsiTheme="minorHAnsi" w:cstheme="minorHAnsi"/>
          <w:color w:val="333333"/>
          <w:sz w:val="22"/>
          <w:szCs w:val="22"/>
        </w:rPr>
        <w:t xml:space="preserve"> and then </w:t>
      </w:r>
      <w:r w:rsidR="00CA60DF">
        <w:rPr>
          <w:rFonts w:asciiTheme="minorHAnsi" w:hAnsiTheme="minorHAnsi" w:cstheme="minorHAnsi"/>
          <w:color w:val="333333"/>
          <w:sz w:val="22"/>
          <w:szCs w:val="22"/>
        </w:rPr>
        <w:t>seek release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573131">
        <w:rPr>
          <w:rFonts w:asciiTheme="minorHAnsi" w:hAnsiTheme="minorHAnsi" w:cstheme="minorHAnsi"/>
          <w:color w:val="333333"/>
          <w:sz w:val="22"/>
          <w:szCs w:val="22"/>
        </w:rPr>
        <w:t xml:space="preserve">after 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>development</w:t>
      </w:r>
      <w:r w:rsidR="00573131">
        <w:rPr>
          <w:rFonts w:asciiTheme="minorHAnsi" w:hAnsiTheme="minorHAnsi" w:cstheme="minorHAnsi"/>
          <w:color w:val="333333"/>
          <w:sz w:val="22"/>
          <w:szCs w:val="22"/>
        </w:rPr>
        <w:t xml:space="preserve"> has been </w:t>
      </w:r>
      <w:r w:rsidR="00B32D3F">
        <w:rPr>
          <w:rFonts w:asciiTheme="minorHAnsi" w:hAnsiTheme="minorHAnsi" w:cstheme="minorHAnsi"/>
          <w:color w:val="333333"/>
          <w:sz w:val="22"/>
          <w:szCs w:val="22"/>
        </w:rPr>
        <w:t>completed</w:t>
      </w:r>
      <w:r w:rsidR="00CA60DF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31096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B32D3F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CA60DF">
        <w:rPr>
          <w:rFonts w:asciiTheme="minorHAnsi" w:hAnsiTheme="minorHAnsi" w:cstheme="minorHAnsi"/>
          <w:color w:val="333333"/>
          <w:sz w:val="22"/>
          <w:szCs w:val="22"/>
        </w:rPr>
        <w:t xml:space="preserve">his strategy has </w:t>
      </w:r>
      <w:r w:rsidR="00B32D3F">
        <w:rPr>
          <w:rFonts w:asciiTheme="minorHAnsi" w:hAnsiTheme="minorHAnsi" w:cstheme="minorHAnsi"/>
          <w:color w:val="333333"/>
          <w:sz w:val="22"/>
          <w:szCs w:val="22"/>
        </w:rPr>
        <w:t xml:space="preserve">in part </w:t>
      </w:r>
      <w:r w:rsidR="00CA60DF">
        <w:rPr>
          <w:rFonts w:asciiTheme="minorHAnsi" w:hAnsiTheme="minorHAnsi" w:cstheme="minorHAnsi"/>
          <w:color w:val="333333"/>
          <w:sz w:val="22"/>
          <w:szCs w:val="22"/>
        </w:rPr>
        <w:t xml:space="preserve">been </w:t>
      </w:r>
      <w:r w:rsidR="00B32D3F">
        <w:rPr>
          <w:rFonts w:asciiTheme="minorHAnsi" w:hAnsiTheme="minorHAnsi" w:cstheme="minorHAnsi"/>
          <w:color w:val="333333"/>
          <w:sz w:val="22"/>
          <w:szCs w:val="22"/>
        </w:rPr>
        <w:t>enabled by</w:t>
      </w:r>
      <w:r w:rsidR="00CA60DF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7134C4">
        <w:rPr>
          <w:rFonts w:asciiTheme="minorHAnsi" w:hAnsiTheme="minorHAnsi" w:cstheme="minorHAnsi"/>
          <w:color w:val="333333"/>
          <w:sz w:val="22"/>
          <w:szCs w:val="22"/>
        </w:rPr>
        <w:t>poor technical due diligence from funders and those parties unknowin</w:t>
      </w:r>
      <w:r w:rsidR="00F54001">
        <w:rPr>
          <w:rFonts w:asciiTheme="minorHAnsi" w:hAnsiTheme="minorHAnsi" w:cstheme="minorHAnsi"/>
          <w:color w:val="333333"/>
          <w:sz w:val="22"/>
          <w:szCs w:val="22"/>
        </w:rPr>
        <w:t xml:space="preserve">gly holding the risk. </w:t>
      </w:r>
      <w:r w:rsidR="00465169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7917BB">
        <w:rPr>
          <w:rFonts w:asciiTheme="minorHAnsi" w:hAnsiTheme="minorHAnsi" w:cstheme="minorHAnsi"/>
          <w:color w:val="333333"/>
          <w:sz w:val="22"/>
          <w:szCs w:val="22"/>
        </w:rPr>
        <w:t>hat</w:t>
      </w:r>
      <w:r w:rsidR="00F54001">
        <w:rPr>
          <w:rFonts w:asciiTheme="minorHAnsi" w:hAnsiTheme="minorHAnsi" w:cstheme="minorHAnsi"/>
          <w:color w:val="333333"/>
          <w:sz w:val="22"/>
          <w:szCs w:val="22"/>
        </w:rPr>
        <w:t xml:space="preserve"> tactic </w:t>
      </w:r>
      <w:r w:rsidR="00F96C78">
        <w:rPr>
          <w:rFonts w:asciiTheme="minorHAnsi" w:hAnsiTheme="minorHAnsi" w:cstheme="minorHAnsi"/>
          <w:color w:val="333333"/>
          <w:sz w:val="22"/>
          <w:szCs w:val="22"/>
        </w:rPr>
        <w:t xml:space="preserve">was </w:t>
      </w:r>
      <w:r w:rsidR="00465169">
        <w:rPr>
          <w:rFonts w:asciiTheme="minorHAnsi" w:hAnsiTheme="minorHAnsi" w:cstheme="minorHAnsi"/>
          <w:color w:val="333333"/>
          <w:sz w:val="22"/>
          <w:szCs w:val="22"/>
        </w:rPr>
        <w:t xml:space="preserve">used by Millgate </w:t>
      </w:r>
      <w:r w:rsidR="00F96C78">
        <w:rPr>
          <w:rFonts w:asciiTheme="minorHAnsi" w:hAnsiTheme="minorHAnsi" w:cstheme="minorHAnsi"/>
          <w:color w:val="333333"/>
          <w:sz w:val="22"/>
          <w:szCs w:val="22"/>
        </w:rPr>
        <w:t xml:space="preserve">in </w:t>
      </w:r>
      <w:r w:rsidR="00465169" w:rsidRPr="003B680B">
        <w:rPr>
          <w:rStyle w:val="Emphasis"/>
          <w:rFonts w:cstheme="minorHAnsi"/>
          <w:color w:val="333333"/>
          <w:shd w:val="clear" w:color="auto" w:fill="FFFFFF"/>
        </w:rPr>
        <w:t>Alexander Devine</w:t>
      </w:r>
      <w:r w:rsidR="00C4192E">
        <w:rPr>
          <w:rFonts w:asciiTheme="minorHAnsi" w:hAnsiTheme="minorHAnsi" w:cstheme="minorHAnsi"/>
          <w:color w:val="333333"/>
          <w:sz w:val="22"/>
          <w:szCs w:val="22"/>
        </w:rPr>
        <w:t xml:space="preserve"> when,</w:t>
      </w:r>
      <w:r w:rsidR="00CC73A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C4192E">
        <w:rPr>
          <w:rFonts w:asciiTheme="minorHAnsi" w:hAnsiTheme="minorHAnsi" w:cstheme="minorHAnsi"/>
          <w:color w:val="333333"/>
          <w:sz w:val="22"/>
          <w:szCs w:val="22"/>
        </w:rPr>
        <w:t>i</w:t>
      </w:r>
      <w:r w:rsidR="00F96C78">
        <w:rPr>
          <w:rFonts w:asciiTheme="minorHAnsi" w:hAnsiTheme="minorHAnsi" w:cstheme="minorHAnsi"/>
          <w:color w:val="333333"/>
          <w:sz w:val="22"/>
          <w:szCs w:val="22"/>
        </w:rPr>
        <w:t>n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July 2015, </w:t>
      </w:r>
      <w:r w:rsidR="00C4192E">
        <w:rPr>
          <w:rFonts w:asciiTheme="minorHAnsi" w:hAnsiTheme="minorHAnsi" w:cstheme="minorHAnsi"/>
          <w:color w:val="333333"/>
          <w:sz w:val="22"/>
          <w:szCs w:val="22"/>
        </w:rPr>
        <w:t xml:space="preserve">it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applied to the Upper Tribunal seeking modification of the restrictive covenants</w:t>
      </w:r>
      <w:r w:rsidR="00C4192E">
        <w:rPr>
          <w:rFonts w:asciiTheme="minorHAnsi" w:hAnsiTheme="minorHAnsi" w:cstheme="minorHAnsi"/>
          <w:color w:val="333333"/>
          <w:sz w:val="22"/>
          <w:szCs w:val="22"/>
        </w:rPr>
        <w:t xml:space="preserve"> after it had completed the </w:t>
      </w:r>
      <w:r w:rsidR="00C4192E" w:rsidRPr="00D346D1">
        <w:rPr>
          <w:rFonts w:asciiTheme="minorHAnsi" w:hAnsiTheme="minorHAnsi" w:cstheme="minorHAnsi"/>
          <w:color w:val="333333"/>
          <w:sz w:val="22"/>
          <w:szCs w:val="22"/>
        </w:rPr>
        <w:t>development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. </w:t>
      </w:r>
    </w:p>
    <w:p w14:paraId="501BDC54" w14:textId="53CFE6E4" w:rsidR="00D346D1" w:rsidRPr="00D346D1" w:rsidRDefault="00270CEF" w:rsidP="00C41699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In</w:t>
      </w:r>
      <w:r w:rsidR="007917BB">
        <w:rPr>
          <w:rFonts w:asciiTheme="minorHAnsi" w:hAnsiTheme="minorHAnsi" w:cstheme="minorHAnsi"/>
          <w:color w:val="333333"/>
          <w:sz w:val="22"/>
          <w:szCs w:val="22"/>
        </w:rPr>
        <w:t xml:space="preserve"> the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 first instance this aggressive </w:t>
      </w:r>
      <w:r w:rsidR="00AA0EEA">
        <w:rPr>
          <w:rFonts w:asciiTheme="minorHAnsi" w:hAnsiTheme="minorHAnsi" w:cstheme="minorHAnsi"/>
          <w:color w:val="333333"/>
          <w:sz w:val="22"/>
          <w:szCs w:val="22"/>
        </w:rPr>
        <w:t xml:space="preserve">strategy </w:t>
      </w:r>
      <w:r w:rsidR="00917D34">
        <w:rPr>
          <w:rFonts w:asciiTheme="minorHAnsi" w:hAnsiTheme="minorHAnsi" w:cstheme="minorHAnsi"/>
          <w:color w:val="333333"/>
          <w:sz w:val="22"/>
          <w:szCs w:val="22"/>
        </w:rPr>
        <w:t>appeared to have worked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917D34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7917BB">
        <w:rPr>
          <w:rFonts w:asciiTheme="minorHAnsi" w:hAnsiTheme="minorHAnsi" w:cstheme="minorHAnsi"/>
          <w:color w:val="333333"/>
          <w:sz w:val="22"/>
          <w:szCs w:val="22"/>
        </w:rPr>
        <w:t>and</w:t>
      </w:r>
      <w:r w:rsidR="00917D34">
        <w:rPr>
          <w:rFonts w:asciiTheme="minorHAnsi" w:hAnsiTheme="minorHAnsi" w:cstheme="minorHAnsi"/>
          <w:color w:val="333333"/>
          <w:sz w:val="22"/>
          <w:szCs w:val="22"/>
        </w:rPr>
        <w:t xml:space="preserve"> in</w:t>
      </w:r>
      <w:r w:rsidR="007431BB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November 2016 the </w:t>
      </w:r>
      <w:r w:rsidR="00D5713F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ribunal allowed Millgate’s application</w:t>
      </w:r>
      <w:r w:rsidR="00917D34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31096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917D34">
        <w:rPr>
          <w:rFonts w:asciiTheme="minorHAnsi" w:hAnsiTheme="minorHAnsi" w:cstheme="minorHAnsi"/>
          <w:color w:val="333333"/>
          <w:sz w:val="22"/>
          <w:szCs w:val="22"/>
        </w:rPr>
        <w:t>This</w:t>
      </w:r>
      <w:r w:rsidR="007431BB">
        <w:rPr>
          <w:rFonts w:asciiTheme="minorHAnsi" w:hAnsiTheme="minorHAnsi" w:cstheme="minorHAnsi"/>
          <w:color w:val="333333"/>
          <w:sz w:val="22"/>
          <w:szCs w:val="22"/>
        </w:rPr>
        <w:t xml:space="preserve"> decision </w:t>
      </w:r>
      <w:r w:rsidR="004E1A4A">
        <w:rPr>
          <w:rFonts w:asciiTheme="minorHAnsi" w:hAnsiTheme="minorHAnsi" w:cstheme="minorHAnsi"/>
          <w:color w:val="333333"/>
          <w:sz w:val="22"/>
          <w:szCs w:val="22"/>
        </w:rPr>
        <w:t xml:space="preserve">took the view that the injury </w:t>
      </w:r>
      <w:r w:rsidR="00F165FE">
        <w:rPr>
          <w:rFonts w:asciiTheme="minorHAnsi" w:hAnsiTheme="minorHAnsi" w:cstheme="minorHAnsi"/>
          <w:color w:val="333333"/>
          <w:sz w:val="22"/>
          <w:szCs w:val="22"/>
        </w:rPr>
        <w:t>could be</w:t>
      </w:r>
      <w:r w:rsidR="004E1A4A">
        <w:rPr>
          <w:rFonts w:asciiTheme="minorHAnsi" w:hAnsiTheme="minorHAnsi" w:cstheme="minorHAnsi"/>
          <w:color w:val="333333"/>
          <w:sz w:val="22"/>
          <w:szCs w:val="22"/>
        </w:rPr>
        <w:t xml:space="preserve"> resol</w:t>
      </w:r>
      <w:r w:rsidR="00F165FE">
        <w:rPr>
          <w:rFonts w:asciiTheme="minorHAnsi" w:hAnsiTheme="minorHAnsi" w:cstheme="minorHAnsi"/>
          <w:color w:val="333333"/>
          <w:sz w:val="22"/>
          <w:szCs w:val="22"/>
        </w:rPr>
        <w:t>ved</w:t>
      </w:r>
      <w:r w:rsidR="004E1A4A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 xml:space="preserve">by </w:t>
      </w:r>
      <w:r w:rsidR="003A1230">
        <w:rPr>
          <w:rFonts w:asciiTheme="minorHAnsi" w:hAnsiTheme="minorHAnsi" w:cstheme="minorHAnsi"/>
          <w:color w:val="333333"/>
          <w:sz w:val="22"/>
          <w:szCs w:val="22"/>
        </w:rPr>
        <w:t xml:space="preserve">compensation of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£150,000</w:t>
      </w:r>
      <w:r w:rsidR="00887225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to the </w:t>
      </w:r>
      <w:r w:rsidR="001D054F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rust</w:t>
      </w:r>
      <w:r w:rsidR="00D519A5">
        <w:rPr>
          <w:rFonts w:asciiTheme="minorHAnsi" w:hAnsiTheme="minorHAnsi" w:cstheme="minorHAnsi"/>
          <w:color w:val="333333"/>
          <w:sz w:val="22"/>
          <w:szCs w:val="22"/>
        </w:rPr>
        <w:t xml:space="preserve"> –</w:t>
      </w:r>
      <w:r w:rsidR="003A1230">
        <w:rPr>
          <w:rFonts w:asciiTheme="minorHAnsi" w:hAnsiTheme="minorHAnsi" w:cstheme="minorHAnsi"/>
          <w:color w:val="333333"/>
          <w:sz w:val="22"/>
          <w:szCs w:val="22"/>
        </w:rPr>
        <w:t xml:space="preserve"> effectively rewarding Mil</w:t>
      </w:r>
      <w:r w:rsidR="002916DF">
        <w:rPr>
          <w:rFonts w:asciiTheme="minorHAnsi" w:hAnsiTheme="minorHAnsi" w:cstheme="minorHAnsi"/>
          <w:color w:val="333333"/>
          <w:sz w:val="22"/>
          <w:szCs w:val="22"/>
        </w:rPr>
        <w:t xml:space="preserve">lgate for poor conduct </w:t>
      </w:r>
      <w:r w:rsidR="00D519A5">
        <w:rPr>
          <w:rFonts w:asciiTheme="minorHAnsi" w:hAnsiTheme="minorHAnsi" w:cstheme="minorHAnsi"/>
          <w:color w:val="333333"/>
          <w:sz w:val="22"/>
          <w:szCs w:val="22"/>
        </w:rPr>
        <w:t xml:space="preserve">with </w:t>
      </w:r>
      <w:r w:rsidR="002916DF">
        <w:rPr>
          <w:rFonts w:asciiTheme="minorHAnsi" w:hAnsiTheme="minorHAnsi" w:cstheme="minorHAnsi"/>
          <w:color w:val="333333"/>
          <w:sz w:val="22"/>
          <w:szCs w:val="22"/>
        </w:rPr>
        <w:t>super profit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31096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FE612F">
        <w:rPr>
          <w:rFonts w:asciiTheme="minorHAnsi" w:hAnsiTheme="minorHAnsi" w:cstheme="minorHAnsi"/>
          <w:color w:val="333333"/>
          <w:sz w:val="22"/>
          <w:szCs w:val="22"/>
        </w:rPr>
        <w:t xml:space="preserve">The tactic </w:t>
      </w:r>
      <w:r w:rsidR="00F10306">
        <w:rPr>
          <w:rFonts w:asciiTheme="minorHAnsi" w:hAnsiTheme="minorHAnsi" w:cstheme="minorHAnsi"/>
          <w:color w:val="333333"/>
          <w:sz w:val="22"/>
          <w:szCs w:val="22"/>
        </w:rPr>
        <w:t>was cy</w:t>
      </w:r>
      <w:r w:rsidR="00B25228">
        <w:rPr>
          <w:rFonts w:asciiTheme="minorHAnsi" w:hAnsiTheme="minorHAnsi" w:cstheme="minorHAnsi"/>
          <w:color w:val="333333"/>
          <w:sz w:val="22"/>
          <w:szCs w:val="22"/>
        </w:rPr>
        <w:t xml:space="preserve">nically deployed in full knowledge of the </w:t>
      </w:r>
      <w:r w:rsidR="00804003">
        <w:rPr>
          <w:rFonts w:asciiTheme="minorHAnsi" w:hAnsiTheme="minorHAnsi" w:cstheme="minorHAnsi"/>
          <w:color w:val="333333"/>
          <w:sz w:val="22"/>
          <w:szCs w:val="22"/>
        </w:rPr>
        <w:t xml:space="preserve">potential </w:t>
      </w:r>
      <w:r w:rsidR="00B25228">
        <w:rPr>
          <w:rFonts w:asciiTheme="minorHAnsi" w:hAnsiTheme="minorHAnsi" w:cstheme="minorHAnsi"/>
          <w:color w:val="333333"/>
          <w:sz w:val="22"/>
          <w:szCs w:val="22"/>
        </w:rPr>
        <w:t>reward.</w:t>
      </w:r>
    </w:p>
    <w:p w14:paraId="25958A3F" w14:textId="5BD4A391" w:rsidR="007C1F46" w:rsidRDefault="00D346D1" w:rsidP="00C41699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D346D1">
        <w:rPr>
          <w:rFonts w:asciiTheme="minorHAnsi" w:hAnsiTheme="minorHAnsi" w:cstheme="minorHAnsi"/>
          <w:color w:val="333333"/>
          <w:sz w:val="22"/>
          <w:szCs w:val="22"/>
        </w:rPr>
        <w:lastRenderedPageBreak/>
        <w:t xml:space="preserve">The </w:t>
      </w:r>
      <w:r w:rsidR="00B729BC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rust </w:t>
      </w:r>
      <w:r w:rsidR="006870E0">
        <w:rPr>
          <w:rFonts w:asciiTheme="minorHAnsi" w:hAnsiTheme="minorHAnsi" w:cstheme="minorHAnsi"/>
          <w:color w:val="333333"/>
          <w:sz w:val="22"/>
          <w:szCs w:val="22"/>
        </w:rPr>
        <w:t xml:space="preserve">then did something </w:t>
      </w:r>
      <w:r w:rsidR="00713A4E">
        <w:rPr>
          <w:rFonts w:asciiTheme="minorHAnsi" w:hAnsiTheme="minorHAnsi" w:cstheme="minorHAnsi"/>
          <w:color w:val="333333"/>
          <w:sz w:val="22"/>
          <w:szCs w:val="22"/>
        </w:rPr>
        <w:t>amazing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804003">
        <w:rPr>
          <w:rFonts w:asciiTheme="minorHAnsi" w:hAnsiTheme="minorHAnsi" w:cstheme="minorHAnsi"/>
          <w:color w:val="333333"/>
          <w:sz w:val="22"/>
          <w:szCs w:val="22"/>
        </w:rPr>
        <w:t>b</w:t>
      </w:r>
      <w:r w:rsidR="006870E0">
        <w:rPr>
          <w:rFonts w:asciiTheme="minorHAnsi" w:hAnsiTheme="minorHAnsi" w:cstheme="minorHAnsi"/>
          <w:color w:val="333333"/>
          <w:sz w:val="22"/>
          <w:szCs w:val="22"/>
        </w:rPr>
        <w:t xml:space="preserve">y </w:t>
      </w:r>
      <w:r w:rsidRPr="00D346D1">
        <w:rPr>
          <w:rFonts w:asciiTheme="minorHAnsi" w:hAnsiTheme="minorHAnsi" w:cstheme="minorHAnsi"/>
          <w:color w:val="333333"/>
          <w:sz w:val="22"/>
          <w:szCs w:val="22"/>
        </w:rPr>
        <w:t>appeal</w:t>
      </w:r>
      <w:r w:rsidR="00804003">
        <w:rPr>
          <w:rFonts w:asciiTheme="minorHAnsi" w:hAnsiTheme="minorHAnsi" w:cstheme="minorHAnsi"/>
          <w:color w:val="333333"/>
          <w:sz w:val="22"/>
          <w:szCs w:val="22"/>
        </w:rPr>
        <w:t>ing</w:t>
      </w:r>
      <w:r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the decision</w:t>
      </w:r>
      <w:r w:rsidR="00251C6E">
        <w:rPr>
          <w:rFonts w:asciiTheme="minorHAnsi" w:hAnsiTheme="minorHAnsi" w:cstheme="minorHAnsi"/>
          <w:color w:val="333333"/>
          <w:sz w:val="22"/>
          <w:szCs w:val="22"/>
        </w:rPr>
        <w:t xml:space="preserve">. </w:t>
      </w:r>
      <w:r w:rsidR="006870E0">
        <w:rPr>
          <w:rFonts w:asciiTheme="minorHAnsi" w:hAnsiTheme="minorHAnsi" w:cstheme="minorHAnsi"/>
          <w:color w:val="333333"/>
          <w:sz w:val="22"/>
          <w:szCs w:val="22"/>
        </w:rPr>
        <w:t xml:space="preserve">This was a </w:t>
      </w:r>
      <w:r w:rsidR="002E442A">
        <w:rPr>
          <w:rFonts w:asciiTheme="minorHAnsi" w:hAnsiTheme="minorHAnsi" w:cstheme="minorHAnsi"/>
          <w:color w:val="333333"/>
          <w:sz w:val="22"/>
          <w:szCs w:val="22"/>
        </w:rPr>
        <w:t xml:space="preserve">courageous decision </w:t>
      </w:r>
      <w:r w:rsidR="00346220">
        <w:rPr>
          <w:rFonts w:asciiTheme="minorHAnsi" w:hAnsiTheme="minorHAnsi" w:cstheme="minorHAnsi"/>
          <w:color w:val="333333"/>
          <w:sz w:val="22"/>
          <w:szCs w:val="22"/>
        </w:rPr>
        <w:t xml:space="preserve">for </w:t>
      </w:r>
      <w:r w:rsidR="00346220" w:rsidRPr="009724F5">
        <w:rPr>
          <w:rFonts w:asciiTheme="minorHAnsi" w:hAnsiTheme="minorHAnsi" w:cstheme="minorHAnsi"/>
          <w:color w:val="333333"/>
          <w:sz w:val="22"/>
          <w:szCs w:val="22"/>
        </w:rPr>
        <w:t>a</w:t>
      </w:r>
      <w:r w:rsidR="00AA41F0" w:rsidRPr="009724F5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251C6E" w:rsidRPr="00515C38">
        <w:rPr>
          <w:rFonts w:asciiTheme="minorHAnsi" w:hAnsiTheme="minorHAnsi" w:cstheme="minorHAnsi"/>
          <w:color w:val="333333"/>
          <w:sz w:val="22"/>
          <w:szCs w:val="22"/>
        </w:rPr>
        <w:t>charity</w:t>
      </w:r>
      <w:r w:rsidR="00E83711" w:rsidRPr="009724F5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811670">
        <w:rPr>
          <w:rFonts w:asciiTheme="minorHAnsi" w:hAnsiTheme="minorHAnsi" w:cstheme="minorHAnsi"/>
          <w:color w:val="333333"/>
          <w:sz w:val="22"/>
          <w:szCs w:val="22"/>
        </w:rPr>
        <w:t xml:space="preserve"> and </w:t>
      </w:r>
      <w:r w:rsidR="00251C6E">
        <w:rPr>
          <w:rFonts w:asciiTheme="minorHAnsi" w:hAnsiTheme="minorHAnsi" w:cstheme="minorHAnsi"/>
          <w:color w:val="333333"/>
          <w:sz w:val="22"/>
          <w:szCs w:val="22"/>
        </w:rPr>
        <w:t xml:space="preserve">it </w:t>
      </w:r>
      <w:r w:rsidR="00811670">
        <w:rPr>
          <w:rFonts w:asciiTheme="minorHAnsi" w:hAnsiTheme="minorHAnsi" w:cstheme="minorHAnsi"/>
          <w:color w:val="333333"/>
          <w:sz w:val="22"/>
          <w:szCs w:val="22"/>
        </w:rPr>
        <w:t>w</w:t>
      </w:r>
      <w:r w:rsidR="00251C6E">
        <w:rPr>
          <w:rFonts w:asciiTheme="minorHAnsi" w:hAnsiTheme="minorHAnsi" w:cstheme="minorHAnsi"/>
          <w:color w:val="333333"/>
          <w:sz w:val="22"/>
          <w:szCs w:val="22"/>
        </w:rPr>
        <w:t>as</w:t>
      </w:r>
      <w:r w:rsidR="00811670">
        <w:rPr>
          <w:rFonts w:asciiTheme="minorHAnsi" w:hAnsiTheme="minorHAnsi" w:cstheme="minorHAnsi"/>
          <w:color w:val="333333"/>
          <w:sz w:val="22"/>
          <w:szCs w:val="22"/>
        </w:rPr>
        <w:t xml:space="preserve"> rewarded with a favourable </w:t>
      </w:r>
      <w:r w:rsidR="00466B1C">
        <w:rPr>
          <w:rFonts w:asciiTheme="minorHAnsi" w:hAnsiTheme="minorHAnsi" w:cstheme="minorHAnsi"/>
          <w:color w:val="333333"/>
          <w:sz w:val="22"/>
          <w:szCs w:val="22"/>
        </w:rPr>
        <w:t xml:space="preserve">reversal of the </w:t>
      </w:r>
      <w:r w:rsidR="00251C6E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466B1C">
        <w:rPr>
          <w:rFonts w:asciiTheme="minorHAnsi" w:hAnsiTheme="minorHAnsi" w:cstheme="minorHAnsi"/>
          <w:color w:val="333333"/>
          <w:sz w:val="22"/>
          <w:szCs w:val="22"/>
        </w:rPr>
        <w:t>ribunal decision</w:t>
      </w:r>
      <w:r w:rsidR="009204A5">
        <w:rPr>
          <w:rFonts w:asciiTheme="minorHAnsi" w:hAnsiTheme="minorHAnsi" w:cstheme="minorHAnsi"/>
          <w:color w:val="333333"/>
          <w:sz w:val="22"/>
          <w:szCs w:val="22"/>
        </w:rPr>
        <w:t xml:space="preserve"> in the Court of Appeal</w:t>
      </w:r>
      <w:r w:rsidR="00FB6527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31096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14:paraId="685B8396" w14:textId="3AEE8BA4" w:rsidR="00D346D1" w:rsidRDefault="00422BE8" w:rsidP="00216A6B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FB6527">
        <w:rPr>
          <w:rFonts w:asciiTheme="minorHAnsi" w:hAnsiTheme="minorHAnsi" w:cstheme="minorHAnsi"/>
          <w:color w:val="333333"/>
          <w:sz w:val="22"/>
          <w:szCs w:val="22"/>
        </w:rPr>
        <w:t>ypically</w:t>
      </w:r>
      <w:r>
        <w:rPr>
          <w:rFonts w:asciiTheme="minorHAnsi" w:hAnsiTheme="minorHAnsi" w:cstheme="minorHAnsi"/>
          <w:color w:val="333333"/>
          <w:sz w:val="22"/>
          <w:szCs w:val="22"/>
        </w:rPr>
        <w:t>, it is at</w:t>
      </w:r>
      <w:r w:rsidR="00FB6527">
        <w:rPr>
          <w:rFonts w:asciiTheme="minorHAnsi" w:hAnsiTheme="minorHAnsi" w:cstheme="minorHAnsi"/>
          <w:color w:val="333333"/>
          <w:sz w:val="22"/>
          <w:szCs w:val="22"/>
        </w:rPr>
        <w:t xml:space="preserve"> this 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stage that </w:t>
      </w:r>
      <w:r w:rsidR="00FB6527">
        <w:rPr>
          <w:rFonts w:asciiTheme="minorHAnsi" w:hAnsiTheme="minorHAnsi" w:cstheme="minorHAnsi"/>
          <w:color w:val="333333"/>
          <w:sz w:val="22"/>
          <w:szCs w:val="22"/>
        </w:rPr>
        <w:t>restrictive covenant</w:t>
      </w:r>
      <w:r w:rsidR="009C6C5F">
        <w:rPr>
          <w:rFonts w:asciiTheme="minorHAnsi" w:hAnsiTheme="minorHAnsi" w:cstheme="minorHAnsi"/>
          <w:color w:val="333333"/>
          <w:sz w:val="22"/>
          <w:szCs w:val="22"/>
        </w:rPr>
        <w:t xml:space="preserve"> litigation </w:t>
      </w:r>
      <w:r w:rsidR="00887225">
        <w:rPr>
          <w:rFonts w:asciiTheme="minorHAnsi" w:hAnsiTheme="minorHAnsi" w:cstheme="minorHAnsi"/>
          <w:color w:val="333333"/>
          <w:sz w:val="22"/>
          <w:szCs w:val="22"/>
        </w:rPr>
        <w:t xml:space="preserve">would </w:t>
      </w:r>
      <w:r w:rsidR="009204A5">
        <w:rPr>
          <w:rFonts w:asciiTheme="minorHAnsi" w:hAnsiTheme="minorHAnsi" w:cstheme="minorHAnsi"/>
          <w:color w:val="333333"/>
          <w:sz w:val="22"/>
          <w:szCs w:val="22"/>
        </w:rPr>
        <w:t>have</w:t>
      </w:r>
      <w:r w:rsidR="00887225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3677D7">
        <w:rPr>
          <w:rFonts w:asciiTheme="minorHAnsi" w:hAnsiTheme="minorHAnsi" w:cstheme="minorHAnsi"/>
          <w:color w:val="333333"/>
          <w:sz w:val="22"/>
          <w:szCs w:val="22"/>
        </w:rPr>
        <w:t>ceased</w:t>
      </w:r>
      <w:r w:rsidR="007C2132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– almost by </w:t>
      </w:r>
      <w:proofErr w:type="gramStart"/>
      <w:r>
        <w:rPr>
          <w:rFonts w:asciiTheme="minorHAnsi" w:hAnsiTheme="minorHAnsi" w:cstheme="minorHAnsi"/>
          <w:color w:val="333333"/>
          <w:sz w:val="22"/>
          <w:szCs w:val="22"/>
        </w:rPr>
        <w:t>tradition, bec</w:t>
      </w:r>
      <w:r w:rsidR="007C2132">
        <w:rPr>
          <w:rFonts w:asciiTheme="minorHAnsi" w:hAnsiTheme="minorHAnsi" w:cstheme="minorHAnsi"/>
          <w:color w:val="333333"/>
          <w:sz w:val="22"/>
          <w:szCs w:val="22"/>
        </w:rPr>
        <w:t>a</w:t>
      </w:r>
      <w:r>
        <w:rPr>
          <w:rFonts w:asciiTheme="minorHAnsi" w:hAnsiTheme="minorHAnsi" w:cstheme="minorHAnsi"/>
          <w:color w:val="333333"/>
          <w:sz w:val="22"/>
          <w:szCs w:val="22"/>
        </w:rPr>
        <w:t>u</w:t>
      </w:r>
      <w:r w:rsidR="007C2132">
        <w:rPr>
          <w:rFonts w:asciiTheme="minorHAnsi" w:hAnsiTheme="minorHAnsi" w:cstheme="minorHAnsi"/>
          <w:color w:val="333333"/>
          <w:sz w:val="22"/>
          <w:szCs w:val="22"/>
        </w:rPr>
        <w:t>s</w:t>
      </w:r>
      <w:r>
        <w:rPr>
          <w:rFonts w:asciiTheme="minorHAnsi" w:hAnsiTheme="minorHAnsi" w:cstheme="minorHAnsi"/>
          <w:color w:val="333333"/>
          <w:sz w:val="22"/>
          <w:szCs w:val="22"/>
        </w:rPr>
        <w:t>e</w:t>
      </w:r>
      <w:proofErr w:type="gramEnd"/>
      <w:r w:rsidR="007C2132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5F7EF8">
        <w:rPr>
          <w:rFonts w:asciiTheme="minorHAnsi" w:hAnsiTheme="minorHAnsi" w:cstheme="minorHAnsi"/>
          <w:color w:val="333333"/>
          <w:sz w:val="22"/>
          <w:szCs w:val="22"/>
        </w:rPr>
        <w:t xml:space="preserve">no case under the Law of Property Act 1925 </w:t>
      </w:r>
      <w:r w:rsidR="00275507">
        <w:rPr>
          <w:rFonts w:asciiTheme="minorHAnsi" w:hAnsiTheme="minorHAnsi" w:cstheme="minorHAnsi"/>
          <w:color w:val="333333"/>
          <w:sz w:val="22"/>
          <w:szCs w:val="22"/>
        </w:rPr>
        <w:t>involving the modification of a covenant had ever escalated to either the House of Lords or Supreme Court</w:t>
      </w:r>
      <w:r w:rsidR="00465499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CE6351">
        <w:rPr>
          <w:rFonts w:asciiTheme="minorHAnsi" w:hAnsiTheme="minorHAnsi" w:cstheme="minorHAnsi"/>
          <w:color w:val="333333"/>
          <w:sz w:val="22"/>
          <w:szCs w:val="22"/>
        </w:rPr>
        <w:t>Nevertheless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31096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Millgate</w:t>
      </w:r>
      <w:r w:rsidR="00404A46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appealed to the Supreme Court. On 6</w:t>
      </w:r>
      <w:r w:rsidR="00024FB8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November</w:t>
      </w:r>
      <w:r w:rsidR="002A0869">
        <w:rPr>
          <w:rFonts w:asciiTheme="minorHAnsi" w:hAnsiTheme="minorHAnsi" w:cstheme="minorHAnsi"/>
          <w:color w:val="333333"/>
          <w:sz w:val="22"/>
          <w:szCs w:val="22"/>
        </w:rPr>
        <w:t>2020</w:t>
      </w:r>
      <w:r w:rsidR="00CE6351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CE6351">
        <w:rPr>
          <w:rFonts w:asciiTheme="minorHAnsi" w:hAnsiTheme="minorHAnsi" w:cstheme="minorHAnsi"/>
          <w:color w:val="333333"/>
          <w:sz w:val="22"/>
          <w:szCs w:val="22"/>
        </w:rPr>
        <w:t>i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t refused </w:t>
      </w:r>
      <w:r w:rsidR="000F6532">
        <w:rPr>
          <w:rFonts w:asciiTheme="minorHAnsi" w:hAnsiTheme="minorHAnsi" w:cstheme="minorHAnsi"/>
          <w:color w:val="333333"/>
          <w:sz w:val="22"/>
          <w:szCs w:val="22"/>
        </w:rPr>
        <w:t xml:space="preserve">the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application to modify the restrictive covenant</w:t>
      </w:r>
      <w:r w:rsidR="00440366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887225">
        <w:rPr>
          <w:rFonts w:asciiTheme="minorHAnsi" w:hAnsiTheme="minorHAnsi" w:cstheme="minorHAnsi"/>
          <w:color w:val="333333"/>
          <w:sz w:val="22"/>
          <w:szCs w:val="22"/>
        </w:rPr>
        <w:t xml:space="preserve"> and this </w:t>
      </w:r>
      <w:r w:rsidR="00EC1DE0">
        <w:rPr>
          <w:rFonts w:asciiTheme="minorHAnsi" w:hAnsiTheme="minorHAnsi" w:cstheme="minorHAnsi"/>
          <w:color w:val="333333"/>
          <w:sz w:val="22"/>
          <w:szCs w:val="22"/>
        </w:rPr>
        <w:t>now</w:t>
      </w:r>
      <w:r w:rsidR="000A7A71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430C44">
        <w:rPr>
          <w:rFonts w:asciiTheme="minorHAnsi" w:hAnsiTheme="minorHAnsi" w:cstheme="minorHAnsi"/>
          <w:color w:val="333333"/>
          <w:sz w:val="22"/>
          <w:szCs w:val="22"/>
        </w:rPr>
        <w:t>means</w:t>
      </w:r>
      <w:r w:rsidR="00887225">
        <w:rPr>
          <w:rFonts w:asciiTheme="minorHAnsi" w:hAnsiTheme="minorHAnsi" w:cstheme="minorHAnsi"/>
          <w:color w:val="333333"/>
          <w:sz w:val="22"/>
          <w:szCs w:val="22"/>
        </w:rPr>
        <w:t xml:space="preserve"> the </w:t>
      </w:r>
      <w:r w:rsidR="0080313D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rust</w:t>
      </w:r>
      <w:r w:rsidR="00887225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8B2F00">
        <w:rPr>
          <w:rFonts w:asciiTheme="minorHAnsi" w:hAnsiTheme="minorHAnsi" w:cstheme="minorHAnsi"/>
          <w:color w:val="333333"/>
          <w:sz w:val="22"/>
          <w:szCs w:val="22"/>
        </w:rPr>
        <w:t xml:space="preserve">could seek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a</w:t>
      </w:r>
      <w:r w:rsidR="00E3560F">
        <w:rPr>
          <w:rFonts w:asciiTheme="minorHAnsi" w:hAnsiTheme="minorHAnsi" w:cstheme="minorHAnsi"/>
          <w:color w:val="333333"/>
          <w:sz w:val="22"/>
          <w:szCs w:val="22"/>
        </w:rPr>
        <w:t xml:space="preserve">n 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 xml:space="preserve">injunction to enforce </w:t>
      </w:r>
      <w:r w:rsidR="00440366">
        <w:rPr>
          <w:rFonts w:asciiTheme="minorHAnsi" w:hAnsiTheme="minorHAnsi" w:cstheme="minorHAnsi"/>
          <w:color w:val="333333"/>
          <w:sz w:val="22"/>
          <w:szCs w:val="22"/>
        </w:rPr>
        <w:t>i</w:t>
      </w:r>
      <w:r w:rsidR="00D346D1" w:rsidRPr="00D346D1">
        <w:rPr>
          <w:rFonts w:asciiTheme="minorHAnsi" w:hAnsiTheme="minorHAnsi" w:cstheme="minorHAnsi"/>
          <w:color w:val="333333"/>
          <w:sz w:val="22"/>
          <w:szCs w:val="22"/>
        </w:rPr>
        <w:t>t</w:t>
      </w:r>
      <w:r w:rsidR="00E7275B">
        <w:rPr>
          <w:rFonts w:asciiTheme="minorHAnsi" w:hAnsiTheme="minorHAnsi" w:cstheme="minorHAnsi"/>
          <w:color w:val="333333"/>
          <w:sz w:val="22"/>
          <w:szCs w:val="22"/>
        </w:rPr>
        <w:t xml:space="preserve"> requiring the demolition of the now built housing units</w:t>
      </w:r>
      <w:r w:rsidR="00E3560F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31096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14:paraId="1430D583" w14:textId="307BAF2C" w:rsidR="00CC73AE" w:rsidRDefault="00CC73AE" w:rsidP="00216A6B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color w:val="333333"/>
          <w:sz w:val="22"/>
          <w:szCs w:val="22"/>
        </w:rPr>
      </w:pPr>
    </w:p>
    <w:p w14:paraId="46C1FF48" w14:textId="0E408E37" w:rsidR="00CC73AE" w:rsidRPr="003B680B" w:rsidRDefault="008F204F" w:rsidP="00197E91">
      <w:pPr>
        <w:pStyle w:val="Heading1"/>
      </w:pPr>
      <w:r w:rsidRPr="00644772">
        <w:t>Powerful precedent</w:t>
      </w:r>
    </w:p>
    <w:p w14:paraId="4A571946" w14:textId="253074E0" w:rsidR="00D05A68" w:rsidRDefault="00440366" w:rsidP="00C41699">
      <w:pPr>
        <w:spacing w:line="360" w:lineRule="auto"/>
      </w:pPr>
      <w:r>
        <w:t>L</w:t>
      </w:r>
      <w:r w:rsidR="000F4F7B">
        <w:t>et the enormity of this decision sink in</w:t>
      </w:r>
      <w:r w:rsidR="005B0922">
        <w:t>.</w:t>
      </w:r>
      <w:r w:rsidR="00000167">
        <w:t xml:space="preserve"> </w:t>
      </w:r>
      <w:r w:rsidR="005B0922">
        <w:t xml:space="preserve">All </w:t>
      </w:r>
      <w:r w:rsidR="00000167">
        <w:t>those aggressive developers</w:t>
      </w:r>
      <w:r w:rsidR="00F063F2">
        <w:t xml:space="preserve"> – </w:t>
      </w:r>
      <w:r w:rsidR="00AD1509">
        <w:t xml:space="preserve">and some who might think of themselves </w:t>
      </w:r>
      <w:r w:rsidR="006F2CA0">
        <w:t xml:space="preserve">as simply </w:t>
      </w:r>
      <w:r w:rsidR="00F063F2">
        <w:t xml:space="preserve">being </w:t>
      </w:r>
      <w:r w:rsidR="006F2CA0">
        <w:t xml:space="preserve">commercial in the strategies they deploy </w:t>
      </w:r>
      <w:r w:rsidR="00F063F2">
        <w:t xml:space="preserve">– </w:t>
      </w:r>
      <w:r w:rsidR="006F2CA0">
        <w:t>are now at risk</w:t>
      </w:r>
      <w:r w:rsidR="00F063F2">
        <w:t>,</w:t>
      </w:r>
      <w:r w:rsidR="00310967">
        <w:t xml:space="preserve"> </w:t>
      </w:r>
      <w:r w:rsidR="0002551A">
        <w:t>t</w:t>
      </w:r>
      <w:r w:rsidR="00DD77A3">
        <w:t xml:space="preserve">he pendulum in the negotiation having swung firmly and decisively towards the </w:t>
      </w:r>
      <w:r w:rsidR="0002551A">
        <w:t xml:space="preserve">holder of the </w:t>
      </w:r>
      <w:r w:rsidR="003036A6">
        <w:t>adjacent land.</w:t>
      </w:r>
      <w:r w:rsidR="00310967">
        <w:t xml:space="preserve"> </w:t>
      </w:r>
    </w:p>
    <w:p w14:paraId="5C4A069C" w14:textId="458DA763" w:rsidR="0032763A" w:rsidRDefault="003036A6" w:rsidP="00216A6B">
      <w:pPr>
        <w:spacing w:line="360" w:lineRule="auto"/>
        <w:rPr>
          <w:i/>
          <w:shd w:val="clear" w:color="auto" w:fill="FFFFFF"/>
        </w:rPr>
      </w:pPr>
      <w:r w:rsidRPr="00DA4B63">
        <w:t xml:space="preserve">This is not just a </w:t>
      </w:r>
      <w:r w:rsidR="0002551A" w:rsidRPr="00DA4B63">
        <w:t xml:space="preserve">trend </w:t>
      </w:r>
      <w:r w:rsidR="00D74EC3">
        <w:t xml:space="preserve">in </w:t>
      </w:r>
      <w:r w:rsidR="007A36E1" w:rsidRPr="00DA4B63">
        <w:t>restrictive covenant</w:t>
      </w:r>
      <w:r w:rsidR="00B410C2">
        <w:t>s</w:t>
      </w:r>
      <w:r w:rsidR="00404A46">
        <w:t>.</w:t>
      </w:r>
      <w:r w:rsidR="00887225">
        <w:t xml:space="preserve"> </w:t>
      </w:r>
      <w:r w:rsidR="00404A46">
        <w:t>F</w:t>
      </w:r>
      <w:r w:rsidR="00887225">
        <w:t>or instance</w:t>
      </w:r>
      <w:r w:rsidR="00404A46">
        <w:t>,</w:t>
      </w:r>
      <w:r w:rsidR="00310967">
        <w:t xml:space="preserve"> </w:t>
      </w:r>
      <w:r w:rsidR="007A36E1" w:rsidRPr="00DA4B63">
        <w:t xml:space="preserve">on </w:t>
      </w:r>
      <w:r w:rsidR="00010190" w:rsidRPr="00DA4B63">
        <w:t>13</w:t>
      </w:r>
      <w:r w:rsidR="00A23336">
        <w:t>th</w:t>
      </w:r>
      <w:r w:rsidR="00010190" w:rsidRPr="00DA4B63">
        <w:t xml:space="preserve"> March</w:t>
      </w:r>
      <w:r w:rsidR="00A23336">
        <w:t xml:space="preserve"> 2020</w:t>
      </w:r>
      <w:r w:rsidR="00010190" w:rsidRPr="00DA4B63">
        <w:t xml:space="preserve"> </w:t>
      </w:r>
      <w:r w:rsidR="00FD3F9F" w:rsidRPr="00DA4B63">
        <w:rPr>
          <w:shd w:val="clear" w:color="auto" w:fill="FFFFFF"/>
        </w:rPr>
        <w:t>the High Court handed down</w:t>
      </w:r>
      <w:r w:rsidR="00D74EC3">
        <w:rPr>
          <w:shd w:val="clear" w:color="auto" w:fill="FFFFFF"/>
        </w:rPr>
        <w:t xml:space="preserve"> its</w:t>
      </w:r>
      <w:r w:rsidR="00FD3F9F" w:rsidRPr="00DA4B63">
        <w:rPr>
          <w:shd w:val="clear" w:color="auto" w:fill="FFFFFF"/>
        </w:rPr>
        <w:t xml:space="preserve"> </w:t>
      </w:r>
      <w:r w:rsidR="0062154F">
        <w:rPr>
          <w:shd w:val="clear" w:color="auto" w:fill="FFFFFF"/>
        </w:rPr>
        <w:t xml:space="preserve">second </w:t>
      </w:r>
      <w:r w:rsidR="00FD3F9F" w:rsidRPr="00DA4B63">
        <w:rPr>
          <w:shd w:val="clear" w:color="auto" w:fill="FFFFFF"/>
        </w:rPr>
        <w:t>judgment in</w:t>
      </w:r>
      <w:r w:rsidR="00735E5F">
        <w:rPr>
          <w:shd w:val="clear" w:color="auto" w:fill="FFFFFF"/>
        </w:rPr>
        <w:t xml:space="preserve"> a complex and lengthy City of London</w:t>
      </w:r>
      <w:r w:rsidR="00C947E8">
        <w:rPr>
          <w:shd w:val="clear" w:color="auto" w:fill="FFFFFF"/>
        </w:rPr>
        <w:t xml:space="preserve"> rights of light</w:t>
      </w:r>
      <w:r w:rsidR="00735E5F">
        <w:rPr>
          <w:shd w:val="clear" w:color="auto" w:fill="FFFFFF"/>
        </w:rPr>
        <w:t xml:space="preserve"> dispute</w:t>
      </w:r>
      <w:r w:rsidR="00C947E8">
        <w:rPr>
          <w:shd w:val="clear" w:color="auto" w:fill="FFFFFF"/>
        </w:rPr>
        <w:t xml:space="preserve">.  Readers wishing to following the </w:t>
      </w:r>
      <w:r w:rsidR="003F5AF9">
        <w:rPr>
          <w:shd w:val="clear" w:color="auto" w:fill="FFFFFF"/>
        </w:rPr>
        <w:t>case should start at the first decision,</w:t>
      </w:r>
      <w:r w:rsidR="00735E5F">
        <w:rPr>
          <w:shd w:val="clear" w:color="auto" w:fill="FFFFFF"/>
        </w:rPr>
        <w:t xml:space="preserve"> </w:t>
      </w:r>
      <w:r w:rsidR="00B410C2">
        <w:rPr>
          <w:shd w:val="clear" w:color="auto" w:fill="FFFFFF"/>
        </w:rPr>
        <w:t xml:space="preserve"> </w:t>
      </w:r>
      <w:r w:rsidR="00FD3F9F" w:rsidRPr="006B1693">
        <w:rPr>
          <w:rStyle w:val="Emphasis"/>
          <w:rFonts w:cstheme="minorHAnsi"/>
          <w:color w:val="000000"/>
          <w:shd w:val="clear" w:color="auto" w:fill="FFFFFF"/>
        </w:rPr>
        <w:t>Beaumont Business Centres L</w:t>
      </w:r>
      <w:r w:rsidR="00404A46" w:rsidRPr="006B1693">
        <w:rPr>
          <w:rStyle w:val="Emphasis"/>
          <w:rFonts w:cstheme="minorHAnsi"/>
          <w:color w:val="000000"/>
          <w:shd w:val="clear" w:color="auto" w:fill="FFFFFF"/>
        </w:rPr>
        <w:t>t</w:t>
      </w:r>
      <w:r w:rsidR="00FD3F9F" w:rsidRPr="006B1693">
        <w:rPr>
          <w:rStyle w:val="Emphasis"/>
          <w:rFonts w:cstheme="minorHAnsi"/>
          <w:color w:val="000000"/>
          <w:shd w:val="clear" w:color="auto" w:fill="FFFFFF"/>
        </w:rPr>
        <w:t>d v Florala Properties L</w:t>
      </w:r>
      <w:r w:rsidR="00404A46" w:rsidRPr="006B1693">
        <w:rPr>
          <w:rStyle w:val="Emphasis"/>
          <w:rFonts w:cstheme="minorHAnsi"/>
          <w:color w:val="000000"/>
          <w:shd w:val="clear" w:color="auto" w:fill="FFFFFF"/>
        </w:rPr>
        <w:t>t</w:t>
      </w:r>
      <w:r w:rsidR="00FD3F9F" w:rsidRPr="006B1693">
        <w:rPr>
          <w:rStyle w:val="Emphasis"/>
          <w:rFonts w:cstheme="minorHAnsi"/>
          <w:color w:val="000000"/>
          <w:shd w:val="clear" w:color="auto" w:fill="FFFFFF"/>
        </w:rPr>
        <w:t>d</w:t>
      </w:r>
      <w:r w:rsidR="00AD03E2" w:rsidRPr="006B1693">
        <w:rPr>
          <w:rStyle w:val="Emphasis"/>
          <w:rFonts w:cstheme="minorHAnsi"/>
          <w:color w:val="000000"/>
          <w:shd w:val="clear" w:color="auto" w:fill="FFFFFF"/>
        </w:rPr>
        <w:t xml:space="preserve"> </w:t>
      </w:r>
      <w:r w:rsidR="00AD03E2" w:rsidRPr="00515C38">
        <w:t>[2018] EWHC 2112 (Ch)</w:t>
      </w:r>
      <w:r w:rsidR="00172D71" w:rsidRPr="00515C38">
        <w:t>,</w:t>
      </w:r>
      <w:r w:rsidR="003F5AF9" w:rsidRPr="00515C38">
        <w:t xml:space="preserve"> and then move </w:t>
      </w:r>
      <w:r w:rsidR="00C03DC1" w:rsidRPr="00515C38">
        <w:t xml:space="preserve">to </w:t>
      </w:r>
      <w:hyperlink r:id="rId9" w:history="1">
        <w:r w:rsidR="007A53F9" w:rsidRPr="00515C38">
          <w:rPr>
            <w:rStyle w:val="Hyperlink"/>
          </w:rPr>
          <w:t>Beaumont Business Centres ltd v Floral</w:t>
        </w:r>
        <w:r w:rsidR="007C22AF" w:rsidRPr="00515C38">
          <w:rPr>
            <w:rStyle w:val="Hyperlink"/>
          </w:rPr>
          <w:t>a Properties Ltd [2020] EWH</w:t>
        </w:r>
        <w:r w:rsidR="0004429D" w:rsidRPr="00515C38">
          <w:rPr>
            <w:rStyle w:val="Hyperlink"/>
          </w:rPr>
          <w:t>C 550 (</w:t>
        </w:r>
        <w:proofErr w:type="spellStart"/>
        <w:r w:rsidR="0004429D" w:rsidRPr="00515C38">
          <w:rPr>
            <w:rStyle w:val="Hyperlink"/>
          </w:rPr>
          <w:t>ch</w:t>
        </w:r>
        <w:proofErr w:type="spellEnd"/>
        <w:r w:rsidR="0004429D" w:rsidRPr="00515C38">
          <w:rPr>
            <w:rStyle w:val="Hyperlink"/>
          </w:rPr>
          <w:t>).</w:t>
        </w:r>
      </w:hyperlink>
      <w:r w:rsidR="0004429D">
        <w:t xml:space="preserve"> </w:t>
      </w:r>
      <w:r w:rsidR="0032763A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Here, the court</w:t>
      </w:r>
      <w:r w:rsidR="00310276" w:rsidRPr="00E83711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granted </w:t>
      </w:r>
      <w:r w:rsidR="00D44AB0" w:rsidRPr="00E83711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a</w:t>
      </w:r>
      <w:r w:rsidR="001C4AB5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</w:t>
      </w:r>
      <w:r w:rsidR="00D44AB0" w:rsidRPr="00515C38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n</w:t>
      </w:r>
      <w:r w:rsidR="00653B07" w:rsidRPr="00515C38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eighbour’s</w:t>
      </w:r>
      <w:r w:rsidR="00D44AB0" w:rsidRPr="00E83711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injunction to cut back a building </w:t>
      </w:r>
      <w:r w:rsidR="00884296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in this case the </w:t>
      </w:r>
      <w:r w:rsidR="00592675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property was not only built but</w:t>
      </w:r>
      <w:r w:rsidR="00D44AB0" w:rsidRPr="00E83711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had already been </w:t>
      </w:r>
      <w:r w:rsidR="00DA4B63" w:rsidRPr="00E83711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tenanted</w:t>
      </w:r>
      <w:r w:rsidR="00FD3F9F" w:rsidRPr="00E83711">
        <w:rPr>
          <w:i/>
          <w:shd w:val="clear" w:color="auto" w:fill="FFFFFF"/>
        </w:rPr>
        <w:t>.</w:t>
      </w:r>
      <w:r w:rsidR="00EF1D8F">
        <w:rPr>
          <w:i/>
          <w:shd w:val="clear" w:color="auto" w:fill="FFFFFF"/>
        </w:rPr>
        <w:t xml:space="preserve"> </w:t>
      </w:r>
    </w:p>
    <w:p w14:paraId="765ED7DC" w14:textId="533BCF80" w:rsidR="00D81942" w:rsidRDefault="00653B07" w:rsidP="00C41699">
      <w:pPr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T</w:t>
      </w:r>
      <w:r w:rsidR="000F40A9">
        <w:rPr>
          <w:shd w:val="clear" w:color="auto" w:fill="FFFFFF"/>
        </w:rPr>
        <w:t xml:space="preserve">his case can also </w:t>
      </w:r>
      <w:r w:rsidR="000427FC">
        <w:rPr>
          <w:shd w:val="clear" w:color="auto" w:fill="FFFFFF"/>
        </w:rPr>
        <w:t xml:space="preserve">be </w:t>
      </w:r>
      <w:r w:rsidR="000F40A9">
        <w:rPr>
          <w:shd w:val="clear" w:color="auto" w:fill="FFFFFF"/>
        </w:rPr>
        <w:t>trace</w:t>
      </w:r>
      <w:r w:rsidR="000427FC">
        <w:rPr>
          <w:shd w:val="clear" w:color="auto" w:fill="FFFFFF"/>
        </w:rPr>
        <w:t>d</w:t>
      </w:r>
      <w:r w:rsidR="000F40A9">
        <w:rPr>
          <w:shd w:val="clear" w:color="auto" w:fill="FFFFFF"/>
        </w:rPr>
        <w:t xml:space="preserve"> back to </w:t>
      </w:r>
      <w:r w:rsidR="007F28D1">
        <w:rPr>
          <w:shd w:val="clear" w:color="auto" w:fill="FFFFFF"/>
        </w:rPr>
        <w:t xml:space="preserve">decisions made </w:t>
      </w:r>
      <w:r w:rsidR="007F28D1" w:rsidRPr="004C7484">
        <w:rPr>
          <w:shd w:val="clear" w:color="auto" w:fill="FFFFFF"/>
        </w:rPr>
        <w:t xml:space="preserve">by </w:t>
      </w:r>
      <w:r w:rsidR="007F28D1" w:rsidRPr="00515C38">
        <w:rPr>
          <w:shd w:val="clear" w:color="auto" w:fill="FFFFFF"/>
        </w:rPr>
        <w:t xml:space="preserve">the </w:t>
      </w:r>
      <w:r w:rsidR="000427FC" w:rsidRPr="00515C38">
        <w:rPr>
          <w:shd w:val="clear" w:color="auto" w:fill="FFFFFF"/>
        </w:rPr>
        <w:t>developers</w:t>
      </w:r>
      <w:r w:rsidR="000427FC" w:rsidRPr="004C7484">
        <w:rPr>
          <w:shd w:val="clear" w:color="auto" w:fill="FFFFFF"/>
        </w:rPr>
        <w:t xml:space="preserve"> </w:t>
      </w:r>
      <w:r w:rsidR="007F28D1" w:rsidRPr="004C7484">
        <w:rPr>
          <w:shd w:val="clear" w:color="auto" w:fill="FFFFFF"/>
        </w:rPr>
        <w:t>to</w:t>
      </w:r>
      <w:r w:rsidR="007F28D1">
        <w:rPr>
          <w:shd w:val="clear" w:color="auto" w:fill="FFFFFF"/>
        </w:rPr>
        <w:t xml:space="preserve"> adopt highly aggressive </w:t>
      </w:r>
      <w:r w:rsidR="008A7142">
        <w:rPr>
          <w:shd w:val="clear" w:color="auto" w:fill="FFFFFF"/>
        </w:rPr>
        <w:t>strategies</w:t>
      </w:r>
      <w:r w:rsidR="00D00732">
        <w:rPr>
          <w:shd w:val="clear" w:color="auto" w:fill="FFFFFF"/>
        </w:rPr>
        <w:t>,</w:t>
      </w:r>
      <w:r w:rsidR="007F28D1">
        <w:rPr>
          <w:shd w:val="clear" w:color="auto" w:fill="FFFFFF"/>
        </w:rPr>
        <w:t xml:space="preserve"> </w:t>
      </w:r>
      <w:r w:rsidR="008A7142">
        <w:rPr>
          <w:shd w:val="clear" w:color="auto" w:fill="FFFFFF"/>
        </w:rPr>
        <w:t xml:space="preserve">seeking to impose schemes on neighbouring </w:t>
      </w:r>
      <w:r w:rsidR="007B2299">
        <w:rPr>
          <w:shd w:val="clear" w:color="auto" w:fill="FFFFFF"/>
        </w:rPr>
        <w:t>landowners</w:t>
      </w:r>
      <w:r w:rsidR="00887225">
        <w:rPr>
          <w:shd w:val="clear" w:color="auto" w:fill="FFFFFF"/>
        </w:rPr>
        <w:t xml:space="preserve"> only to realise that the courts are no</w:t>
      </w:r>
      <w:r w:rsidR="00AE615C">
        <w:rPr>
          <w:shd w:val="clear" w:color="auto" w:fill="FFFFFF"/>
        </w:rPr>
        <w:t xml:space="preserve"> longer</w:t>
      </w:r>
      <w:r w:rsidR="00887225">
        <w:rPr>
          <w:shd w:val="clear" w:color="auto" w:fill="FFFFFF"/>
        </w:rPr>
        <w:t xml:space="preserve"> supporting this stance</w:t>
      </w:r>
      <w:r w:rsidR="008A7142">
        <w:rPr>
          <w:shd w:val="clear" w:color="auto" w:fill="FFFFFF"/>
        </w:rPr>
        <w:t>.</w:t>
      </w:r>
      <w:r w:rsidR="00310967">
        <w:rPr>
          <w:shd w:val="clear" w:color="auto" w:fill="FFFFFF"/>
        </w:rPr>
        <w:t xml:space="preserve"> </w:t>
      </w:r>
      <w:r w:rsidR="001C7037">
        <w:rPr>
          <w:shd w:val="clear" w:color="auto" w:fill="FFFFFF"/>
        </w:rPr>
        <w:t xml:space="preserve">What may shock </w:t>
      </w:r>
      <w:r w:rsidR="00E64C75">
        <w:rPr>
          <w:shd w:val="clear" w:color="auto" w:fill="FFFFFF"/>
        </w:rPr>
        <w:t>r</w:t>
      </w:r>
      <w:r w:rsidR="001C7037">
        <w:rPr>
          <w:shd w:val="clear" w:color="auto" w:fill="FFFFFF"/>
        </w:rPr>
        <w:t>eaders is that a deal had been negotiated</w:t>
      </w:r>
      <w:r w:rsidR="00E64C75">
        <w:rPr>
          <w:shd w:val="clear" w:color="auto" w:fill="FFFFFF"/>
        </w:rPr>
        <w:t xml:space="preserve"> which the developer walked away from in the false belief that it could </w:t>
      </w:r>
      <w:r w:rsidR="006577BF">
        <w:rPr>
          <w:shd w:val="clear" w:color="auto" w:fill="FFFFFF"/>
        </w:rPr>
        <w:t>impose the scheme on the neighbour.</w:t>
      </w:r>
    </w:p>
    <w:p w14:paraId="3DB28C27" w14:textId="301C861E" w:rsidR="00432CE1" w:rsidRDefault="00F35231" w:rsidP="00216A6B">
      <w:pPr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T</w:t>
      </w:r>
      <w:r w:rsidR="00572035">
        <w:rPr>
          <w:shd w:val="clear" w:color="auto" w:fill="FFFFFF"/>
        </w:rPr>
        <w:t xml:space="preserve">he </w:t>
      </w:r>
      <w:r w:rsidR="00432CE1">
        <w:rPr>
          <w:shd w:val="clear" w:color="auto" w:fill="FFFFFF"/>
        </w:rPr>
        <w:t>c</w:t>
      </w:r>
      <w:r w:rsidR="00572035">
        <w:rPr>
          <w:shd w:val="clear" w:color="auto" w:fill="FFFFFF"/>
        </w:rPr>
        <w:t xml:space="preserve">ourts are </w:t>
      </w:r>
      <w:r w:rsidR="00432CE1">
        <w:rPr>
          <w:shd w:val="clear" w:color="auto" w:fill="FFFFFF"/>
        </w:rPr>
        <w:t xml:space="preserve">therefore </w:t>
      </w:r>
      <w:r w:rsidR="00A17BD5">
        <w:rPr>
          <w:shd w:val="clear" w:color="auto" w:fill="FFFFFF"/>
        </w:rPr>
        <w:t xml:space="preserve">clearly </w:t>
      </w:r>
      <w:r w:rsidR="00572035">
        <w:rPr>
          <w:shd w:val="clear" w:color="auto" w:fill="FFFFFF"/>
        </w:rPr>
        <w:t>signal</w:t>
      </w:r>
      <w:r w:rsidR="00432CE1">
        <w:rPr>
          <w:shd w:val="clear" w:color="auto" w:fill="FFFFFF"/>
        </w:rPr>
        <w:t>ling</w:t>
      </w:r>
      <w:r w:rsidR="00572035">
        <w:rPr>
          <w:shd w:val="clear" w:color="auto" w:fill="FFFFFF"/>
        </w:rPr>
        <w:t xml:space="preserve"> to the market that </w:t>
      </w:r>
      <w:r w:rsidR="00432CE1">
        <w:rPr>
          <w:shd w:val="clear" w:color="auto" w:fill="FFFFFF"/>
        </w:rPr>
        <w:t xml:space="preserve">such </w:t>
      </w:r>
      <w:r w:rsidR="003A0A10">
        <w:rPr>
          <w:shd w:val="clear" w:color="auto" w:fill="FFFFFF"/>
        </w:rPr>
        <w:t xml:space="preserve">aggressive </w:t>
      </w:r>
      <w:r w:rsidR="00D00732">
        <w:rPr>
          <w:shd w:val="clear" w:color="auto" w:fill="FFFFFF"/>
        </w:rPr>
        <w:t>tactics</w:t>
      </w:r>
      <w:r w:rsidR="004D458B">
        <w:rPr>
          <w:shd w:val="clear" w:color="auto" w:fill="FFFFFF"/>
        </w:rPr>
        <w:t xml:space="preserve"> </w:t>
      </w:r>
      <w:r w:rsidR="00572035">
        <w:rPr>
          <w:shd w:val="clear" w:color="auto" w:fill="FFFFFF"/>
        </w:rPr>
        <w:t>will no</w:t>
      </w:r>
      <w:r w:rsidR="00432CE1">
        <w:rPr>
          <w:shd w:val="clear" w:color="auto" w:fill="FFFFFF"/>
        </w:rPr>
        <w:t>t</w:t>
      </w:r>
      <w:r w:rsidR="00D00732">
        <w:rPr>
          <w:shd w:val="clear" w:color="auto" w:fill="FFFFFF"/>
        </w:rPr>
        <w:t xml:space="preserve"> </w:t>
      </w:r>
      <w:r w:rsidR="00432CE1">
        <w:rPr>
          <w:shd w:val="clear" w:color="auto" w:fill="FFFFFF"/>
        </w:rPr>
        <w:t xml:space="preserve">now </w:t>
      </w:r>
      <w:r w:rsidR="00572035">
        <w:rPr>
          <w:shd w:val="clear" w:color="auto" w:fill="FFFFFF"/>
        </w:rPr>
        <w:t>be rewarded</w:t>
      </w:r>
      <w:r w:rsidR="00887225">
        <w:rPr>
          <w:shd w:val="clear" w:color="auto" w:fill="FFFFFF"/>
        </w:rPr>
        <w:t>. S</w:t>
      </w:r>
      <w:r w:rsidR="003F5B76">
        <w:rPr>
          <w:shd w:val="clear" w:color="auto" w:fill="FFFFFF"/>
        </w:rPr>
        <w:t>o how is this going to a</w:t>
      </w:r>
      <w:r w:rsidR="00432CE1">
        <w:rPr>
          <w:shd w:val="clear" w:color="auto" w:fill="FFFFFF"/>
        </w:rPr>
        <w:t>ffe</w:t>
      </w:r>
      <w:r w:rsidR="003F5B76">
        <w:rPr>
          <w:shd w:val="clear" w:color="auto" w:fill="FFFFFF"/>
        </w:rPr>
        <w:t>ct professional practice in 2021</w:t>
      </w:r>
      <w:r w:rsidR="00314253">
        <w:rPr>
          <w:shd w:val="clear" w:color="auto" w:fill="FFFFFF"/>
        </w:rPr>
        <w:t>?</w:t>
      </w:r>
      <w:r w:rsidR="00310967">
        <w:rPr>
          <w:shd w:val="clear" w:color="auto" w:fill="FFFFFF"/>
        </w:rPr>
        <w:t xml:space="preserve"> </w:t>
      </w:r>
    </w:p>
    <w:p w14:paraId="371DA835" w14:textId="0677E906" w:rsidR="00843B62" w:rsidRPr="00C41699" w:rsidRDefault="00F8428B" w:rsidP="00407225">
      <w:pPr>
        <w:spacing w:line="360" w:lineRule="auto"/>
        <w:rPr>
          <w:rFonts w:ascii="Arial" w:hAnsi="Arial" w:cs="Arial"/>
          <w:b/>
          <w:bCs/>
          <w:i/>
          <w:iCs/>
          <w:strike/>
          <w:color w:val="333333"/>
        </w:rPr>
      </w:pPr>
      <w:r>
        <w:rPr>
          <w:shd w:val="clear" w:color="auto" w:fill="FFFFFF"/>
        </w:rPr>
        <w:t xml:space="preserve">Early signs of the mood change can be seen in the </w:t>
      </w:r>
      <w:hyperlink r:id="rId10" w:anchor="contribution-101A6B83-3876-4481-BF84-F47C3B410995" w:history="1">
        <w:r w:rsidR="00BA71CA" w:rsidRPr="00407225">
          <w:rPr>
            <w:rStyle w:val="Hyperlink"/>
            <w:shd w:val="clear" w:color="auto" w:fill="FFFFFF"/>
          </w:rPr>
          <w:t>debate</w:t>
        </w:r>
      </w:hyperlink>
      <w:r w:rsidR="003230CE">
        <w:rPr>
          <w:shd w:val="clear" w:color="auto" w:fill="FFFFFF"/>
        </w:rPr>
        <w:t xml:space="preserve"> on </w:t>
      </w:r>
      <w:r w:rsidR="00432CE1">
        <w:rPr>
          <w:shd w:val="clear" w:color="auto" w:fill="FFFFFF"/>
        </w:rPr>
        <w:t>S</w:t>
      </w:r>
      <w:r w:rsidR="003230CE">
        <w:rPr>
          <w:shd w:val="clear" w:color="auto" w:fill="FFFFFF"/>
        </w:rPr>
        <w:t xml:space="preserve">chedule 23 of the </w:t>
      </w:r>
      <w:r w:rsidR="00344365">
        <w:rPr>
          <w:shd w:val="clear" w:color="auto" w:fill="FFFFFF"/>
        </w:rPr>
        <w:t>High-Speed</w:t>
      </w:r>
      <w:r w:rsidR="003230CE">
        <w:rPr>
          <w:shd w:val="clear" w:color="auto" w:fill="FFFFFF"/>
        </w:rPr>
        <w:t xml:space="preserve"> </w:t>
      </w:r>
      <w:r w:rsidR="00C54CC6">
        <w:rPr>
          <w:shd w:val="clear" w:color="auto" w:fill="FFFFFF"/>
        </w:rPr>
        <w:t xml:space="preserve">Rail (West Midlands to Crewe) </w:t>
      </w:r>
      <w:r w:rsidR="00A616B7">
        <w:rPr>
          <w:shd w:val="clear" w:color="auto" w:fill="FFFFFF"/>
        </w:rPr>
        <w:t xml:space="preserve">Bill 2020 </w:t>
      </w:r>
      <w:r w:rsidR="00BA71CA">
        <w:rPr>
          <w:shd w:val="clear" w:color="auto" w:fill="FFFFFF"/>
        </w:rPr>
        <w:t>in Parliament on 12 November</w:t>
      </w:r>
      <w:r w:rsidR="00B316F4">
        <w:rPr>
          <w:shd w:val="clear" w:color="auto" w:fill="FFFFFF"/>
        </w:rPr>
        <w:t xml:space="preserve"> 2020</w:t>
      </w:r>
    </w:p>
    <w:p w14:paraId="49667D40" w14:textId="0825FA00" w:rsidR="007A5904" w:rsidRDefault="004B2270" w:rsidP="00216A6B">
      <w:pPr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lastRenderedPageBreak/>
        <w:t>The</w:t>
      </w:r>
      <w:r w:rsidR="00B10A5A">
        <w:rPr>
          <w:shd w:val="clear" w:color="auto" w:fill="FFFFFF"/>
        </w:rPr>
        <w:t>re was</w:t>
      </w:r>
      <w:r w:rsidR="007E4C0E">
        <w:rPr>
          <w:shd w:val="clear" w:color="auto" w:fill="FFFFFF"/>
        </w:rPr>
        <w:t xml:space="preserve"> little </w:t>
      </w:r>
      <w:r w:rsidR="002434E3">
        <w:rPr>
          <w:shd w:val="clear" w:color="auto" w:fill="FFFFFF"/>
        </w:rPr>
        <w:t>support for</w:t>
      </w:r>
      <w:r>
        <w:rPr>
          <w:shd w:val="clear" w:color="auto" w:fill="FFFFFF"/>
        </w:rPr>
        <w:t xml:space="preserve"> the </w:t>
      </w:r>
      <w:r w:rsidR="006F517D">
        <w:rPr>
          <w:shd w:val="clear" w:color="auto" w:fill="FFFFFF"/>
        </w:rPr>
        <w:t xml:space="preserve">idea </w:t>
      </w:r>
      <w:r>
        <w:rPr>
          <w:shd w:val="clear" w:color="auto" w:fill="FFFFFF"/>
        </w:rPr>
        <w:t xml:space="preserve">of </w:t>
      </w:r>
      <w:r w:rsidR="00C70DB7">
        <w:rPr>
          <w:shd w:val="clear" w:color="auto" w:fill="FFFFFF"/>
        </w:rPr>
        <w:t xml:space="preserve">a public </w:t>
      </w:r>
      <w:r w:rsidR="008F4808">
        <w:rPr>
          <w:shd w:val="clear" w:color="auto" w:fill="FFFFFF"/>
        </w:rPr>
        <w:t>infrastructure</w:t>
      </w:r>
      <w:r w:rsidR="00C70DB7">
        <w:rPr>
          <w:shd w:val="clear" w:color="auto" w:fill="FFFFFF"/>
        </w:rPr>
        <w:t xml:space="preserve"> body</w:t>
      </w:r>
      <w:r w:rsidR="00F8164C" w:rsidRPr="00F8164C">
        <w:rPr>
          <w:shd w:val="clear" w:color="auto" w:fill="FFFFFF"/>
        </w:rPr>
        <w:t xml:space="preserve">, </w:t>
      </w:r>
      <w:r w:rsidR="006F517D" w:rsidRPr="00515C38">
        <w:rPr>
          <w:shd w:val="clear" w:color="auto" w:fill="FFFFFF"/>
        </w:rPr>
        <w:t>such as HS2</w:t>
      </w:r>
      <w:r w:rsidR="00F8164C" w:rsidRPr="00515C38">
        <w:rPr>
          <w:shd w:val="clear" w:color="auto" w:fill="FFFFFF"/>
        </w:rPr>
        <w:t>,</w:t>
      </w:r>
      <w:r w:rsidR="006F517D">
        <w:rPr>
          <w:shd w:val="clear" w:color="auto" w:fill="FFFFFF"/>
        </w:rPr>
        <w:t xml:space="preserve"> </w:t>
      </w:r>
      <w:r w:rsidR="00C70DB7">
        <w:rPr>
          <w:shd w:val="clear" w:color="auto" w:fill="FFFFFF"/>
        </w:rPr>
        <w:t>appearing to act in a high</w:t>
      </w:r>
      <w:r w:rsidR="006F517D">
        <w:rPr>
          <w:shd w:val="clear" w:color="auto" w:fill="FFFFFF"/>
        </w:rPr>
        <w:t>-</w:t>
      </w:r>
      <w:r w:rsidR="00C70DB7">
        <w:rPr>
          <w:shd w:val="clear" w:color="auto" w:fill="FFFFFF"/>
        </w:rPr>
        <w:t>handed or aggressive manner against the private rights of adjacent landowners.</w:t>
      </w:r>
      <w:r w:rsidR="00310967">
        <w:rPr>
          <w:shd w:val="clear" w:color="auto" w:fill="FFFFFF"/>
        </w:rPr>
        <w:t xml:space="preserve"> </w:t>
      </w:r>
      <w:r w:rsidR="00C70DB7">
        <w:rPr>
          <w:shd w:val="clear" w:color="auto" w:fill="FFFFFF"/>
        </w:rPr>
        <w:t>As this article is being drafted</w:t>
      </w:r>
      <w:r w:rsidR="00D00732">
        <w:rPr>
          <w:shd w:val="clear" w:color="auto" w:fill="FFFFFF"/>
        </w:rPr>
        <w:t>,</w:t>
      </w:r>
      <w:r w:rsidR="00C70DB7">
        <w:rPr>
          <w:shd w:val="clear" w:color="auto" w:fill="FFFFFF"/>
        </w:rPr>
        <w:t xml:space="preserve"> further </w:t>
      </w:r>
      <w:r w:rsidR="00D00732">
        <w:rPr>
          <w:shd w:val="clear" w:color="auto" w:fill="FFFFFF"/>
        </w:rPr>
        <w:t>m</w:t>
      </w:r>
      <w:r w:rsidR="008F4808">
        <w:rPr>
          <w:shd w:val="clear" w:color="auto" w:fill="FFFFFF"/>
        </w:rPr>
        <w:t>inisterial</w:t>
      </w:r>
      <w:r w:rsidR="00C70DB7">
        <w:rPr>
          <w:shd w:val="clear" w:color="auto" w:fill="FFFFFF"/>
        </w:rPr>
        <w:t xml:space="preserve"> meetings are being held to seek to achieve a more balanced</w:t>
      </w:r>
      <w:r w:rsidR="008F4808">
        <w:rPr>
          <w:shd w:val="clear" w:color="auto" w:fill="FFFFFF"/>
        </w:rPr>
        <w:t xml:space="preserve"> solution</w:t>
      </w:r>
      <w:r w:rsidR="00A2157D">
        <w:rPr>
          <w:shd w:val="clear" w:color="auto" w:fill="FFFFFF"/>
        </w:rPr>
        <w:t xml:space="preserve"> that</w:t>
      </w:r>
      <w:r w:rsidR="008F4808">
        <w:rPr>
          <w:shd w:val="clear" w:color="auto" w:fill="FFFFFF"/>
        </w:rPr>
        <w:t xml:space="preserve"> </w:t>
      </w:r>
      <w:r w:rsidR="00A2157D">
        <w:rPr>
          <w:shd w:val="clear" w:color="auto" w:fill="FFFFFF"/>
        </w:rPr>
        <w:t xml:space="preserve">protects </w:t>
      </w:r>
      <w:r w:rsidR="00DA58A5">
        <w:rPr>
          <w:shd w:val="clear" w:color="auto" w:fill="FFFFFF"/>
        </w:rPr>
        <w:t xml:space="preserve">landowners’ </w:t>
      </w:r>
      <w:r w:rsidR="008F4808">
        <w:rPr>
          <w:shd w:val="clear" w:color="auto" w:fill="FFFFFF"/>
        </w:rPr>
        <w:t>rights</w:t>
      </w:r>
      <w:r w:rsidR="00D00732">
        <w:rPr>
          <w:shd w:val="clear" w:color="auto" w:fill="FFFFFF"/>
        </w:rPr>
        <w:t>.</w:t>
      </w:r>
      <w:r w:rsidR="008F4808">
        <w:rPr>
          <w:shd w:val="clear" w:color="auto" w:fill="FFFFFF"/>
        </w:rPr>
        <w:t xml:space="preserve"> </w:t>
      </w:r>
      <w:r w:rsidR="00EF09FD">
        <w:rPr>
          <w:shd w:val="clear" w:color="auto" w:fill="FFFFFF"/>
        </w:rPr>
        <w:t xml:space="preserve">RICS has been formally requested to form an industry expert </w:t>
      </w:r>
      <w:r w:rsidR="009463BA">
        <w:rPr>
          <w:shd w:val="clear" w:color="auto" w:fill="FFFFFF"/>
        </w:rPr>
        <w:t xml:space="preserve">working group to prepare </w:t>
      </w:r>
      <w:r w:rsidR="001D30D6">
        <w:rPr>
          <w:shd w:val="clear" w:color="auto" w:fill="FFFFFF"/>
        </w:rPr>
        <w:t xml:space="preserve">practitioner guidance on the operation of the </w:t>
      </w:r>
      <w:r w:rsidR="00D20CD5">
        <w:rPr>
          <w:shd w:val="clear" w:color="auto" w:fill="FFFFFF"/>
        </w:rPr>
        <w:t>legislation</w:t>
      </w:r>
      <w:r w:rsidR="00331D7A">
        <w:rPr>
          <w:shd w:val="clear" w:color="auto" w:fill="FFFFFF"/>
        </w:rPr>
        <w:t>.</w:t>
      </w:r>
      <w:r w:rsidR="00887D8E">
        <w:rPr>
          <w:shd w:val="clear" w:color="auto" w:fill="FFFFFF"/>
        </w:rPr>
        <w:t xml:space="preserve">  This grouping has representation from the Institution of Civil Engineers (ICE) and </w:t>
      </w:r>
      <w:r w:rsidR="006B3C56">
        <w:rPr>
          <w:shd w:val="clear" w:color="auto" w:fill="FFFFFF"/>
        </w:rPr>
        <w:t xml:space="preserve">senior </w:t>
      </w:r>
      <w:r w:rsidR="00887D8E">
        <w:rPr>
          <w:shd w:val="clear" w:color="auto" w:fill="FFFFFF"/>
        </w:rPr>
        <w:t>legal practitioners</w:t>
      </w:r>
      <w:r w:rsidR="006B3C56">
        <w:rPr>
          <w:shd w:val="clear" w:color="auto" w:fill="FFFFFF"/>
        </w:rPr>
        <w:t>.</w:t>
      </w:r>
      <w:r w:rsidR="00331D7A">
        <w:rPr>
          <w:shd w:val="clear" w:color="auto" w:fill="FFFFFF"/>
        </w:rPr>
        <w:t xml:space="preserve">  This grouping is now me</w:t>
      </w:r>
      <w:r w:rsidR="006B3C56">
        <w:rPr>
          <w:shd w:val="clear" w:color="auto" w:fill="FFFFFF"/>
        </w:rPr>
        <w:t>e</w:t>
      </w:r>
      <w:r w:rsidR="00331D7A">
        <w:rPr>
          <w:shd w:val="clear" w:color="auto" w:fill="FFFFFF"/>
        </w:rPr>
        <w:t xml:space="preserve">ting online in compliance with lockdown </w:t>
      </w:r>
      <w:proofErr w:type="gramStart"/>
      <w:r w:rsidR="00331D7A">
        <w:rPr>
          <w:shd w:val="clear" w:color="auto" w:fill="FFFFFF"/>
        </w:rPr>
        <w:t>conditions</w:t>
      </w:r>
      <w:proofErr w:type="gramEnd"/>
      <w:r w:rsidR="00D20CD5">
        <w:rPr>
          <w:shd w:val="clear" w:color="auto" w:fill="FFFFFF"/>
        </w:rPr>
        <w:t xml:space="preserve"> and this should be</w:t>
      </w:r>
      <w:r w:rsidR="00490F00">
        <w:rPr>
          <w:shd w:val="clear" w:color="auto" w:fill="FFFFFF"/>
        </w:rPr>
        <w:t xml:space="preserve"> in a position to</w:t>
      </w:r>
      <w:r w:rsidR="00D20CD5">
        <w:rPr>
          <w:shd w:val="clear" w:color="auto" w:fill="FFFFFF"/>
        </w:rPr>
        <w:t xml:space="preserve"> published</w:t>
      </w:r>
      <w:r w:rsidR="00490F00">
        <w:rPr>
          <w:shd w:val="clear" w:color="auto" w:fill="FFFFFF"/>
        </w:rPr>
        <w:t xml:space="preserve"> draft guidance</w:t>
      </w:r>
      <w:r w:rsidR="00D20CD5">
        <w:rPr>
          <w:shd w:val="clear" w:color="auto" w:fill="FFFFFF"/>
        </w:rPr>
        <w:t xml:space="preserve"> in early 2021.</w:t>
      </w:r>
    </w:p>
    <w:p w14:paraId="440F309E" w14:textId="15C8E3FC" w:rsidR="00CC73AE" w:rsidRDefault="00CC73AE" w:rsidP="00216A6B">
      <w:pPr>
        <w:spacing w:line="360" w:lineRule="auto"/>
        <w:rPr>
          <w:shd w:val="clear" w:color="auto" w:fill="FFFFFF"/>
        </w:rPr>
      </w:pPr>
    </w:p>
    <w:p w14:paraId="7C6763A0" w14:textId="5A806E59" w:rsidR="00CC73AE" w:rsidRPr="003B680B" w:rsidRDefault="00617FBF" w:rsidP="00197E91">
      <w:pPr>
        <w:pStyle w:val="Heading1"/>
      </w:pPr>
      <w:r w:rsidRPr="00617FBF">
        <w:t>Revising the register</w:t>
      </w:r>
    </w:p>
    <w:p w14:paraId="24F9CE67" w14:textId="3D500741" w:rsidR="00887225" w:rsidRDefault="00887225" w:rsidP="00C41699">
      <w:pPr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 xml:space="preserve">Experts in </w:t>
      </w:r>
      <w:r w:rsidR="001C1089">
        <w:rPr>
          <w:shd w:val="clear" w:color="auto" w:fill="FFFFFF"/>
        </w:rPr>
        <w:t>n</w:t>
      </w:r>
      <w:r w:rsidR="001A17EB">
        <w:rPr>
          <w:shd w:val="clear" w:color="auto" w:fill="FFFFFF"/>
        </w:rPr>
        <w:t>eighbourly</w:t>
      </w:r>
      <w:r w:rsidR="004E477B">
        <w:rPr>
          <w:shd w:val="clear" w:color="auto" w:fill="FFFFFF"/>
        </w:rPr>
        <w:t xml:space="preserve"> </w:t>
      </w:r>
      <w:r w:rsidR="001C1089">
        <w:rPr>
          <w:shd w:val="clear" w:color="auto" w:fill="FFFFFF"/>
        </w:rPr>
        <w:t>m</w:t>
      </w:r>
      <w:r w:rsidR="004E477B">
        <w:rPr>
          <w:shd w:val="clear" w:color="auto" w:fill="FFFFFF"/>
        </w:rPr>
        <w:t xml:space="preserve">atters </w:t>
      </w:r>
      <w:r>
        <w:rPr>
          <w:shd w:val="clear" w:color="auto" w:fill="FFFFFF"/>
        </w:rPr>
        <w:t>will tell you that</w:t>
      </w:r>
      <w:r w:rsidR="001C1089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="004E477B">
        <w:rPr>
          <w:shd w:val="clear" w:color="auto" w:fill="FFFFFF"/>
        </w:rPr>
        <w:t>as a professional discipline</w:t>
      </w:r>
      <w:r w:rsidR="001C1089">
        <w:rPr>
          <w:shd w:val="clear" w:color="auto" w:fill="FFFFFF"/>
        </w:rPr>
        <w:t>,</w:t>
      </w:r>
      <w:r>
        <w:rPr>
          <w:shd w:val="clear" w:color="auto" w:fill="FFFFFF"/>
        </w:rPr>
        <w:t xml:space="preserve"> it is</w:t>
      </w:r>
      <w:r w:rsidR="004E477B">
        <w:rPr>
          <w:shd w:val="clear" w:color="auto" w:fill="FFFFFF"/>
        </w:rPr>
        <w:t xml:space="preserve"> booming</w:t>
      </w:r>
      <w:r w:rsidR="00DC3B68">
        <w:rPr>
          <w:shd w:val="clear" w:color="auto" w:fill="FFFFFF"/>
        </w:rPr>
        <w:t>.</w:t>
      </w:r>
      <w:r w:rsidR="001A17EB">
        <w:rPr>
          <w:shd w:val="clear" w:color="auto" w:fill="FFFFFF"/>
        </w:rPr>
        <w:t xml:space="preserve"> </w:t>
      </w:r>
      <w:r w:rsidR="00C06774" w:rsidRPr="00515C38">
        <w:rPr>
          <w:shd w:val="clear" w:color="auto" w:fill="FFFFFF"/>
        </w:rPr>
        <w:t xml:space="preserve">Developers are </w:t>
      </w:r>
      <w:r w:rsidR="001A17EB" w:rsidRPr="00515C38">
        <w:rPr>
          <w:shd w:val="clear" w:color="auto" w:fill="FFFFFF"/>
        </w:rPr>
        <w:t>realisin</w:t>
      </w:r>
      <w:r w:rsidR="00C06774" w:rsidRPr="00515C38">
        <w:rPr>
          <w:shd w:val="clear" w:color="auto" w:fill="FFFFFF"/>
        </w:rPr>
        <w:t>g that</w:t>
      </w:r>
      <w:r w:rsidR="00E23CC7" w:rsidRPr="00515C38">
        <w:rPr>
          <w:shd w:val="clear" w:color="auto" w:fill="FFFFFF"/>
        </w:rPr>
        <w:t xml:space="preserve"> the</w:t>
      </w:r>
      <w:r w:rsidR="001A17EB" w:rsidRPr="00515C38">
        <w:rPr>
          <w:shd w:val="clear" w:color="auto" w:fill="FFFFFF"/>
        </w:rPr>
        <w:t xml:space="preserve"> risk </w:t>
      </w:r>
      <w:r w:rsidR="00A33385" w:rsidRPr="00515C38">
        <w:rPr>
          <w:shd w:val="clear" w:color="auto" w:fill="FFFFFF"/>
        </w:rPr>
        <w:t>requir</w:t>
      </w:r>
      <w:r w:rsidR="00DC3B68" w:rsidRPr="00515C38">
        <w:rPr>
          <w:shd w:val="clear" w:color="auto" w:fill="FFFFFF"/>
        </w:rPr>
        <w:t>es</w:t>
      </w:r>
      <w:r w:rsidR="00A33385" w:rsidRPr="00515C38">
        <w:rPr>
          <w:shd w:val="clear" w:color="auto" w:fill="FFFFFF"/>
        </w:rPr>
        <w:t xml:space="preserve"> management</w:t>
      </w:r>
      <w:r w:rsidR="00D00732" w:rsidRPr="00515C38">
        <w:rPr>
          <w:shd w:val="clear" w:color="auto" w:fill="FFFFFF"/>
        </w:rPr>
        <w:t xml:space="preserve">, </w:t>
      </w:r>
      <w:r w:rsidR="00C06774" w:rsidRPr="00515C38">
        <w:rPr>
          <w:shd w:val="clear" w:color="auto" w:fill="FFFFFF"/>
        </w:rPr>
        <w:t xml:space="preserve">meaning </w:t>
      </w:r>
      <w:r w:rsidR="00EF5548" w:rsidRPr="00515C38">
        <w:rPr>
          <w:shd w:val="clear" w:color="auto" w:fill="FFFFFF"/>
        </w:rPr>
        <w:t>that professionals are</w:t>
      </w:r>
      <w:r w:rsidR="00A33385" w:rsidRPr="00515C38">
        <w:rPr>
          <w:shd w:val="clear" w:color="auto" w:fill="FFFFFF"/>
        </w:rPr>
        <w:t xml:space="preserve"> rediscover</w:t>
      </w:r>
      <w:r w:rsidR="00EF5548" w:rsidRPr="00515C38">
        <w:rPr>
          <w:shd w:val="clear" w:color="auto" w:fill="FFFFFF"/>
        </w:rPr>
        <w:t>ing</w:t>
      </w:r>
      <w:r w:rsidR="00A33385" w:rsidRPr="00515C38">
        <w:rPr>
          <w:shd w:val="clear" w:color="auto" w:fill="FFFFFF"/>
        </w:rPr>
        <w:t xml:space="preserve"> soft skills</w:t>
      </w:r>
      <w:r w:rsidR="00EF5548" w:rsidRPr="00515C38">
        <w:rPr>
          <w:shd w:val="clear" w:color="auto" w:fill="FFFFFF"/>
        </w:rPr>
        <w:t xml:space="preserve"> such as negotiatio</w:t>
      </w:r>
      <w:r w:rsidR="006347C2" w:rsidRPr="00515C38">
        <w:rPr>
          <w:shd w:val="clear" w:color="auto" w:fill="FFFFFF"/>
        </w:rPr>
        <w:t>n</w:t>
      </w:r>
      <w:r w:rsidR="00820B8B" w:rsidRPr="00515C38">
        <w:rPr>
          <w:shd w:val="clear" w:color="auto" w:fill="FFFFFF"/>
        </w:rPr>
        <w:t xml:space="preserve">.  </w:t>
      </w:r>
      <w:r w:rsidR="006347C2">
        <w:rPr>
          <w:shd w:val="clear" w:color="auto" w:fill="FFFFFF"/>
        </w:rPr>
        <w:t>D</w:t>
      </w:r>
      <w:r w:rsidR="001104C8">
        <w:rPr>
          <w:shd w:val="clear" w:color="auto" w:fill="FFFFFF"/>
        </w:rPr>
        <w:t>evelopment land</w:t>
      </w:r>
      <w:r w:rsidR="006347C2">
        <w:rPr>
          <w:shd w:val="clear" w:color="auto" w:fill="FFFFFF"/>
        </w:rPr>
        <w:t xml:space="preserve"> is also being given </w:t>
      </w:r>
      <w:r w:rsidR="00A52135">
        <w:rPr>
          <w:shd w:val="clear" w:color="auto" w:fill="FFFFFF"/>
        </w:rPr>
        <w:t xml:space="preserve">more detailed investigation </w:t>
      </w:r>
      <w:r w:rsidR="00A52135" w:rsidRPr="00515C38">
        <w:rPr>
          <w:shd w:val="clear" w:color="auto" w:fill="FFFFFF"/>
        </w:rPr>
        <w:t xml:space="preserve">by </w:t>
      </w:r>
      <w:r w:rsidR="00F95060" w:rsidRPr="00515C38">
        <w:rPr>
          <w:shd w:val="clear" w:color="auto" w:fill="FFFFFF"/>
        </w:rPr>
        <w:t>developers and surveyors</w:t>
      </w:r>
      <w:r w:rsidR="00EA555E" w:rsidRPr="00515C38">
        <w:rPr>
          <w:shd w:val="clear" w:color="auto" w:fill="FFFFFF"/>
        </w:rPr>
        <w:t xml:space="preserve"> with the topic becoming high on TDD and project monitoring </w:t>
      </w:r>
      <w:r w:rsidR="00521F88" w:rsidRPr="00515C38">
        <w:rPr>
          <w:shd w:val="clear" w:color="auto" w:fill="FFFFFF"/>
        </w:rPr>
        <w:t>registers</w:t>
      </w:r>
      <w:r w:rsidR="00D00732" w:rsidRPr="00521F88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="00521F88">
        <w:rPr>
          <w:shd w:val="clear" w:color="auto" w:fill="FFFFFF"/>
        </w:rPr>
        <w:t xml:space="preserve">this is </w:t>
      </w:r>
      <w:r>
        <w:rPr>
          <w:shd w:val="clear" w:color="auto" w:fill="FFFFFF"/>
        </w:rPr>
        <w:t>to ensure</w:t>
      </w:r>
      <w:r w:rsidR="00521F88">
        <w:rPr>
          <w:shd w:val="clear" w:color="auto" w:fill="FFFFFF"/>
        </w:rPr>
        <w:t xml:space="preserve"> the site</w:t>
      </w:r>
      <w:r>
        <w:rPr>
          <w:shd w:val="clear" w:color="auto" w:fill="FFFFFF"/>
        </w:rPr>
        <w:t xml:space="preserve"> it</w:t>
      </w:r>
      <w:r w:rsidR="00D00732">
        <w:rPr>
          <w:shd w:val="clear" w:color="auto" w:fill="FFFFFF"/>
        </w:rPr>
        <w:t xml:space="preserve"> i</w:t>
      </w:r>
      <w:r>
        <w:rPr>
          <w:shd w:val="clear" w:color="auto" w:fill="FFFFFF"/>
        </w:rPr>
        <w:t>s</w:t>
      </w:r>
      <w:r w:rsidR="001104C8">
        <w:rPr>
          <w:shd w:val="clear" w:color="auto" w:fill="FFFFFF"/>
        </w:rPr>
        <w:t xml:space="preserve"> free </w:t>
      </w:r>
      <w:r w:rsidR="00F95060">
        <w:rPr>
          <w:shd w:val="clear" w:color="auto" w:fill="FFFFFF"/>
        </w:rPr>
        <w:t xml:space="preserve">from </w:t>
      </w:r>
      <w:r w:rsidR="00A52135">
        <w:rPr>
          <w:shd w:val="clear" w:color="auto" w:fill="FFFFFF"/>
        </w:rPr>
        <w:t xml:space="preserve">the risk of </w:t>
      </w:r>
      <w:r w:rsidR="001104C8">
        <w:rPr>
          <w:shd w:val="clear" w:color="auto" w:fill="FFFFFF"/>
        </w:rPr>
        <w:t>neighbour injunction</w:t>
      </w:r>
      <w:r w:rsidR="004A72BA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</w:p>
    <w:p w14:paraId="0201DC35" w14:textId="0D4AC661" w:rsidR="00283766" w:rsidRDefault="00FC346B" w:rsidP="00C41699">
      <w:pPr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 xml:space="preserve">With any </w:t>
      </w:r>
      <w:r w:rsidR="00C15F14">
        <w:rPr>
          <w:shd w:val="clear" w:color="auto" w:fill="FFFFFF"/>
        </w:rPr>
        <w:t xml:space="preserve">emerging </w:t>
      </w:r>
      <w:r>
        <w:rPr>
          <w:shd w:val="clear" w:color="auto" w:fill="FFFFFF"/>
        </w:rPr>
        <w:t>trend</w:t>
      </w:r>
      <w:r w:rsidR="00C15F14">
        <w:rPr>
          <w:shd w:val="clear" w:color="auto" w:fill="FFFFFF"/>
        </w:rPr>
        <w:t>,</w:t>
      </w:r>
      <w:r>
        <w:rPr>
          <w:shd w:val="clear" w:color="auto" w:fill="FFFFFF"/>
        </w:rPr>
        <w:t xml:space="preserve"> there is</w:t>
      </w:r>
      <w:r w:rsidR="00D00732">
        <w:rPr>
          <w:shd w:val="clear" w:color="auto" w:fill="FFFFFF"/>
        </w:rPr>
        <w:t xml:space="preserve"> an</w:t>
      </w:r>
      <w:r>
        <w:rPr>
          <w:shd w:val="clear" w:color="auto" w:fill="FFFFFF"/>
        </w:rPr>
        <w:t xml:space="preserve"> </w:t>
      </w:r>
      <w:r w:rsidR="00887225">
        <w:rPr>
          <w:shd w:val="clear" w:color="auto" w:fill="FFFFFF"/>
        </w:rPr>
        <w:t xml:space="preserve">increasing </w:t>
      </w:r>
      <w:r>
        <w:rPr>
          <w:shd w:val="clear" w:color="auto" w:fill="FFFFFF"/>
        </w:rPr>
        <w:t xml:space="preserve">risk of </w:t>
      </w:r>
      <w:r w:rsidR="00887225">
        <w:rPr>
          <w:shd w:val="clear" w:color="auto" w:fill="FFFFFF"/>
        </w:rPr>
        <w:t>non</w:t>
      </w:r>
      <w:r>
        <w:rPr>
          <w:shd w:val="clear" w:color="auto" w:fill="FFFFFF"/>
        </w:rPr>
        <w:t>-</w:t>
      </w:r>
      <w:r w:rsidR="00887225">
        <w:rPr>
          <w:shd w:val="clear" w:color="auto" w:fill="FFFFFF"/>
        </w:rPr>
        <w:t>qualified persons</w:t>
      </w:r>
      <w:r>
        <w:rPr>
          <w:shd w:val="clear" w:color="auto" w:fill="FFFFFF"/>
        </w:rPr>
        <w:t xml:space="preserve"> </w:t>
      </w:r>
      <w:r w:rsidR="00887225">
        <w:rPr>
          <w:shd w:val="clear" w:color="auto" w:fill="FFFFFF"/>
        </w:rPr>
        <w:t>p</w:t>
      </w:r>
      <w:r>
        <w:rPr>
          <w:shd w:val="clear" w:color="auto" w:fill="FFFFFF"/>
        </w:rPr>
        <w:t>urport</w:t>
      </w:r>
      <w:r w:rsidR="00C15F14">
        <w:rPr>
          <w:shd w:val="clear" w:color="auto" w:fill="FFFFFF"/>
        </w:rPr>
        <w:t>ing</w:t>
      </w:r>
      <w:r>
        <w:rPr>
          <w:shd w:val="clear" w:color="auto" w:fill="FFFFFF"/>
        </w:rPr>
        <w:t xml:space="preserve"> to be expert</w:t>
      </w:r>
      <w:r w:rsidR="007879E8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="007879E8">
        <w:rPr>
          <w:shd w:val="clear" w:color="auto" w:fill="FFFFFF"/>
        </w:rPr>
        <w:t>W</w:t>
      </w:r>
      <w:r>
        <w:rPr>
          <w:shd w:val="clear" w:color="auto" w:fill="FFFFFF"/>
        </w:rPr>
        <w:t xml:space="preserve">e suggest that the term </w:t>
      </w:r>
      <w:r w:rsidR="001A3562">
        <w:rPr>
          <w:shd w:val="clear" w:color="auto" w:fill="FFFFFF"/>
        </w:rPr>
        <w:t>should apply</w:t>
      </w:r>
      <w:r>
        <w:rPr>
          <w:shd w:val="clear" w:color="auto" w:fill="FFFFFF"/>
        </w:rPr>
        <w:t xml:space="preserve"> only </w:t>
      </w:r>
      <w:r w:rsidR="001A3562">
        <w:rPr>
          <w:shd w:val="clear" w:color="auto" w:fill="FFFFFF"/>
        </w:rPr>
        <w:t xml:space="preserve">to </w:t>
      </w:r>
      <w:r>
        <w:rPr>
          <w:shd w:val="clear" w:color="auto" w:fill="FFFFFF"/>
        </w:rPr>
        <w:t>those with</w:t>
      </w:r>
      <w:r w:rsidR="00887225">
        <w:rPr>
          <w:shd w:val="clear" w:color="auto" w:fill="FFFFFF"/>
        </w:rPr>
        <w:t xml:space="preserve"> professional qualifications</w:t>
      </w:r>
      <w:r>
        <w:rPr>
          <w:shd w:val="clear" w:color="auto" w:fill="FFFFFF"/>
        </w:rPr>
        <w:t>, established</w:t>
      </w:r>
      <w:r w:rsidR="00887225">
        <w:rPr>
          <w:shd w:val="clear" w:color="auto" w:fill="FFFFFF"/>
        </w:rPr>
        <w:t xml:space="preserve"> expertise, </w:t>
      </w:r>
      <w:r>
        <w:rPr>
          <w:shd w:val="clear" w:color="auto" w:fill="FFFFFF"/>
        </w:rPr>
        <w:t xml:space="preserve">proper </w:t>
      </w:r>
      <w:r w:rsidR="00887225">
        <w:rPr>
          <w:shd w:val="clear" w:color="auto" w:fill="FFFFFF"/>
        </w:rPr>
        <w:t>training</w:t>
      </w:r>
      <w:r>
        <w:rPr>
          <w:shd w:val="clear" w:color="auto" w:fill="FFFFFF"/>
        </w:rPr>
        <w:t>, CPD</w:t>
      </w:r>
      <w:r w:rsidR="001A3562">
        <w:rPr>
          <w:shd w:val="clear" w:color="auto" w:fill="FFFFFF"/>
        </w:rPr>
        <w:t>,</w:t>
      </w:r>
      <w:r w:rsidR="00887225">
        <w:rPr>
          <w:shd w:val="clear" w:color="auto" w:fill="FFFFFF"/>
        </w:rPr>
        <w:t xml:space="preserve"> and professional indemnity insurance</w:t>
      </w:r>
      <w:r>
        <w:rPr>
          <w:shd w:val="clear" w:color="auto" w:fill="FFFFFF"/>
        </w:rPr>
        <w:t>.</w:t>
      </w:r>
      <w:r w:rsidR="0025110C">
        <w:rPr>
          <w:shd w:val="clear" w:color="auto" w:fill="FFFFFF"/>
        </w:rPr>
        <w:t xml:space="preserve">  RICS publishes professional guidance </w:t>
      </w:r>
      <w:r w:rsidR="00F318B3">
        <w:rPr>
          <w:shd w:val="clear" w:color="auto" w:fill="FFFFFF"/>
        </w:rPr>
        <w:t xml:space="preserve">notes on </w:t>
      </w:r>
      <w:r w:rsidR="001E1403">
        <w:rPr>
          <w:shd w:val="clear" w:color="auto" w:fill="FFFFFF"/>
        </w:rPr>
        <w:t xml:space="preserve">technical due diligence, project monitoring, </w:t>
      </w:r>
      <w:r w:rsidR="00F318B3">
        <w:rPr>
          <w:shd w:val="clear" w:color="auto" w:fill="FFFFFF"/>
        </w:rPr>
        <w:t xml:space="preserve">rights of light and party wall practice </w:t>
      </w:r>
      <w:r w:rsidR="001E1403">
        <w:rPr>
          <w:shd w:val="clear" w:color="auto" w:fill="FFFFFF"/>
        </w:rPr>
        <w:t xml:space="preserve">such that </w:t>
      </w:r>
      <w:r w:rsidR="00BA1E27">
        <w:rPr>
          <w:shd w:val="clear" w:color="auto" w:fill="FFFFFF"/>
        </w:rPr>
        <w:t xml:space="preserve">Chartered Building Surveyors are well placed to support clients seeking </w:t>
      </w:r>
      <w:r w:rsidR="00DA43D0">
        <w:rPr>
          <w:shd w:val="clear" w:color="auto" w:fill="FFFFFF"/>
        </w:rPr>
        <w:t>advice on this complex area of practice.</w:t>
      </w:r>
    </w:p>
    <w:p w14:paraId="07E4739F" w14:textId="0246E032" w:rsidR="00D7717A" w:rsidRDefault="008D0BEC" w:rsidP="00C41699">
      <w:pPr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D</w:t>
      </w:r>
      <w:r w:rsidR="004A72BA">
        <w:rPr>
          <w:shd w:val="clear" w:color="auto" w:fill="FFFFFF"/>
        </w:rPr>
        <w:t>eveloper</w:t>
      </w:r>
      <w:r w:rsidR="001A3562">
        <w:rPr>
          <w:shd w:val="clear" w:color="auto" w:fill="FFFFFF"/>
        </w:rPr>
        <w:t>s’</w:t>
      </w:r>
      <w:r w:rsidR="004A72BA">
        <w:rPr>
          <w:shd w:val="clear" w:color="auto" w:fill="FFFFFF"/>
        </w:rPr>
        <w:t xml:space="preserve"> risk register</w:t>
      </w:r>
      <w:r w:rsidR="001A3562">
        <w:rPr>
          <w:shd w:val="clear" w:color="auto" w:fill="FFFFFF"/>
        </w:rPr>
        <w:t>s</w:t>
      </w:r>
      <w:r w:rsidR="004A72BA">
        <w:rPr>
          <w:shd w:val="clear" w:color="auto" w:fill="FFFFFF"/>
        </w:rPr>
        <w:t xml:space="preserve"> </w:t>
      </w:r>
      <w:r w:rsidR="001A3562">
        <w:rPr>
          <w:shd w:val="clear" w:color="auto" w:fill="FFFFFF"/>
        </w:rPr>
        <w:t>are</w:t>
      </w:r>
      <w:r w:rsidR="004A72BA">
        <w:rPr>
          <w:shd w:val="clear" w:color="auto" w:fill="FFFFFF"/>
        </w:rPr>
        <w:t xml:space="preserve"> likely to be </w:t>
      </w:r>
      <w:r w:rsidR="005E6FAB">
        <w:rPr>
          <w:shd w:val="clear" w:color="auto" w:fill="FFFFFF"/>
        </w:rPr>
        <w:t xml:space="preserve">adjusted </w:t>
      </w:r>
      <w:r w:rsidR="001A3562">
        <w:rPr>
          <w:shd w:val="clear" w:color="auto" w:fill="FFFFFF"/>
        </w:rPr>
        <w:t xml:space="preserve">to </w:t>
      </w:r>
      <w:r w:rsidR="00324DBE">
        <w:rPr>
          <w:shd w:val="clear" w:color="auto" w:fill="FFFFFF"/>
        </w:rPr>
        <w:t>focus on negotiation and settlement</w:t>
      </w:r>
      <w:r w:rsidR="00FC346B">
        <w:rPr>
          <w:shd w:val="clear" w:color="auto" w:fill="FFFFFF"/>
        </w:rPr>
        <w:t xml:space="preserve"> and early</w:t>
      </w:r>
      <w:r w:rsidR="005645B4">
        <w:rPr>
          <w:shd w:val="clear" w:color="auto" w:fill="FFFFFF"/>
        </w:rPr>
        <w:t xml:space="preserve"> </w:t>
      </w:r>
      <w:r w:rsidR="00324DBE">
        <w:rPr>
          <w:shd w:val="clear" w:color="auto" w:fill="FFFFFF"/>
        </w:rPr>
        <w:t>release</w:t>
      </w:r>
      <w:r w:rsidR="00FC346B">
        <w:rPr>
          <w:shd w:val="clear" w:color="auto" w:fill="FFFFFF"/>
        </w:rPr>
        <w:t xml:space="preserve"> from issues</w:t>
      </w:r>
      <w:r w:rsidR="00E150CA">
        <w:rPr>
          <w:shd w:val="clear" w:color="auto" w:fill="FFFFFF"/>
        </w:rPr>
        <w:t xml:space="preserve">. Table </w:t>
      </w:r>
      <w:r w:rsidR="00E150CA" w:rsidRPr="0079668D">
        <w:rPr>
          <w:shd w:val="clear" w:color="auto" w:fill="FFFFFF"/>
        </w:rPr>
        <w:t>1</w:t>
      </w:r>
      <w:r w:rsidR="00FC346B" w:rsidRPr="0079668D">
        <w:rPr>
          <w:shd w:val="clear" w:color="auto" w:fill="FFFFFF"/>
        </w:rPr>
        <w:t xml:space="preserve"> </w:t>
      </w:r>
      <w:r w:rsidR="00FC346B" w:rsidRPr="00515C38">
        <w:rPr>
          <w:shd w:val="clear" w:color="auto" w:fill="FFFFFF"/>
        </w:rPr>
        <w:t>suggest</w:t>
      </w:r>
      <w:r w:rsidR="00E150CA" w:rsidRPr="00515C38">
        <w:rPr>
          <w:shd w:val="clear" w:color="auto" w:fill="FFFFFF"/>
        </w:rPr>
        <w:t>s how a</w:t>
      </w:r>
      <w:r w:rsidR="00FC346B" w:rsidRPr="00515C38">
        <w:rPr>
          <w:shd w:val="clear" w:color="auto" w:fill="FFFFFF"/>
        </w:rPr>
        <w:t xml:space="preserve"> </w:t>
      </w:r>
      <w:r w:rsidR="00902780" w:rsidRPr="00515C38">
        <w:rPr>
          <w:shd w:val="clear" w:color="auto" w:fill="FFFFFF"/>
        </w:rPr>
        <w:t>n</w:t>
      </w:r>
      <w:r w:rsidR="006B6268" w:rsidRPr="00515C38">
        <w:rPr>
          <w:shd w:val="clear" w:color="auto" w:fill="FFFFFF"/>
        </w:rPr>
        <w:t xml:space="preserve">eighbourly </w:t>
      </w:r>
      <w:r w:rsidR="00902780" w:rsidRPr="00515C38">
        <w:rPr>
          <w:shd w:val="clear" w:color="auto" w:fill="FFFFFF"/>
        </w:rPr>
        <w:t>m</w:t>
      </w:r>
      <w:r w:rsidR="00B84165" w:rsidRPr="00515C38">
        <w:rPr>
          <w:shd w:val="clear" w:color="auto" w:fill="FFFFFF"/>
        </w:rPr>
        <w:t xml:space="preserve">atters section </w:t>
      </w:r>
      <w:r w:rsidR="00902780" w:rsidRPr="00515C38">
        <w:rPr>
          <w:shd w:val="clear" w:color="auto" w:fill="FFFFFF"/>
        </w:rPr>
        <w:t xml:space="preserve">of </w:t>
      </w:r>
      <w:r w:rsidR="00B84165" w:rsidRPr="00515C38">
        <w:rPr>
          <w:shd w:val="clear" w:color="auto" w:fill="FFFFFF"/>
        </w:rPr>
        <w:t xml:space="preserve">the </w:t>
      </w:r>
      <w:proofErr w:type="gramStart"/>
      <w:r w:rsidR="00D86EA8" w:rsidRPr="00515C38">
        <w:rPr>
          <w:shd w:val="clear" w:color="auto" w:fill="FFFFFF"/>
        </w:rPr>
        <w:t>red–amber</w:t>
      </w:r>
      <w:proofErr w:type="gramEnd"/>
      <w:r w:rsidR="00D86EA8" w:rsidRPr="00515C38">
        <w:rPr>
          <w:shd w:val="clear" w:color="auto" w:fill="FFFFFF"/>
        </w:rPr>
        <w:t>–green (</w:t>
      </w:r>
      <w:r w:rsidR="00FC346B" w:rsidRPr="00515C38">
        <w:rPr>
          <w:shd w:val="clear" w:color="auto" w:fill="FFFFFF"/>
        </w:rPr>
        <w:t>RAG</w:t>
      </w:r>
      <w:r w:rsidR="00D86EA8" w:rsidRPr="00515C38">
        <w:rPr>
          <w:shd w:val="clear" w:color="auto" w:fill="FFFFFF"/>
        </w:rPr>
        <w:t>)</w:t>
      </w:r>
      <w:r w:rsidR="00FC346B" w:rsidRPr="00515C38">
        <w:rPr>
          <w:shd w:val="clear" w:color="auto" w:fill="FFFFFF"/>
        </w:rPr>
        <w:t xml:space="preserve"> </w:t>
      </w:r>
      <w:r w:rsidR="00132B90" w:rsidRPr="00515C38">
        <w:rPr>
          <w:shd w:val="clear" w:color="auto" w:fill="FFFFFF"/>
        </w:rPr>
        <w:t xml:space="preserve">risk register </w:t>
      </w:r>
      <w:r w:rsidR="00FC346B" w:rsidRPr="00515C38">
        <w:rPr>
          <w:shd w:val="clear" w:color="auto" w:fill="FFFFFF"/>
        </w:rPr>
        <w:t>structure</w:t>
      </w:r>
      <w:r w:rsidR="00902780" w:rsidRPr="00515C38">
        <w:rPr>
          <w:shd w:val="clear" w:color="auto" w:fill="FFFFFF"/>
        </w:rPr>
        <w:t xml:space="preserve"> might look</w:t>
      </w:r>
      <w:r w:rsidR="0023472A" w:rsidRPr="0079668D">
        <w:rPr>
          <w:shd w:val="clear" w:color="auto" w:fill="FFFFFF"/>
        </w:rPr>
        <w:t>.</w:t>
      </w:r>
      <w:r w:rsidR="00310967">
        <w:rPr>
          <w:shd w:val="clear" w:color="auto" w:fill="FFFFFF"/>
        </w:rPr>
        <w:t xml:space="preserve"> </w:t>
      </w:r>
    </w:p>
    <w:p w14:paraId="54BA463B" w14:textId="0D710A5E" w:rsidR="005E6FAB" w:rsidRDefault="00D7717A" w:rsidP="00D7717A">
      <w:pPr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395"/>
      </w:tblGrid>
      <w:tr w:rsidR="0050291A" w14:paraId="285A963B" w14:textId="77777777" w:rsidTr="00C41699">
        <w:tc>
          <w:tcPr>
            <w:tcW w:w="4531" w:type="dxa"/>
            <w:shd w:val="clear" w:color="auto" w:fill="D9D9D9" w:themeFill="background1" w:themeFillShade="D9"/>
          </w:tcPr>
          <w:p w14:paraId="4D7FC3E5" w14:textId="1CE7B62A" w:rsidR="0050291A" w:rsidRPr="0023472A" w:rsidRDefault="0050291A" w:rsidP="00D7717A">
            <w:pPr>
              <w:spacing w:line="276" w:lineRule="auto"/>
              <w:rPr>
                <w:b/>
                <w:bCs/>
              </w:rPr>
            </w:pPr>
            <w:r w:rsidRPr="0023472A">
              <w:rPr>
                <w:b/>
                <w:bCs/>
              </w:rPr>
              <w:lastRenderedPageBreak/>
              <w:t>Risk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398B1969" w14:textId="5011A40B" w:rsidR="0050291A" w:rsidRPr="0023472A" w:rsidRDefault="0050291A" w:rsidP="00D7717A">
            <w:pPr>
              <w:spacing w:line="276" w:lineRule="auto"/>
              <w:rPr>
                <w:b/>
                <w:bCs/>
              </w:rPr>
            </w:pPr>
            <w:r w:rsidRPr="0023472A">
              <w:rPr>
                <w:b/>
                <w:bCs/>
              </w:rPr>
              <w:t>Action</w:t>
            </w:r>
          </w:p>
        </w:tc>
      </w:tr>
      <w:tr w:rsidR="0050291A" w14:paraId="5E9C4138" w14:textId="77777777" w:rsidTr="00C41699">
        <w:tc>
          <w:tcPr>
            <w:tcW w:w="4531" w:type="dxa"/>
          </w:tcPr>
          <w:p w14:paraId="7BE00438" w14:textId="551115BB" w:rsidR="0050291A" w:rsidRDefault="0050291A" w:rsidP="00D7717A">
            <w:pPr>
              <w:spacing w:line="276" w:lineRule="auto"/>
            </w:pPr>
            <w:r>
              <w:t xml:space="preserve">Is the project open to threat </w:t>
            </w:r>
            <w:r w:rsidR="00C90D75">
              <w:t xml:space="preserve">of </w:t>
            </w:r>
            <w:r>
              <w:t xml:space="preserve">injunction from third parties or adjacent landowners </w:t>
            </w:r>
            <w:r w:rsidR="007A3773">
              <w:t xml:space="preserve">over </w:t>
            </w:r>
            <w:r>
              <w:t>rights of light or restrictive covenant</w:t>
            </w:r>
            <w:r w:rsidR="007A3773">
              <w:t>s</w:t>
            </w:r>
            <w:r>
              <w:t>?</w:t>
            </w:r>
          </w:p>
          <w:p w14:paraId="40EF60AC" w14:textId="77777777" w:rsidR="0050291A" w:rsidRDefault="0050291A" w:rsidP="00D7717A">
            <w:pPr>
              <w:spacing w:line="276" w:lineRule="auto"/>
            </w:pPr>
          </w:p>
          <w:p w14:paraId="7C50A0A7" w14:textId="0740C894" w:rsidR="0050291A" w:rsidRDefault="0050291A" w:rsidP="00D7717A">
            <w:pPr>
              <w:spacing w:line="276" w:lineRule="auto"/>
            </w:pPr>
            <w:r>
              <w:t xml:space="preserve">Does the project need access </w:t>
            </w:r>
            <w:r w:rsidR="000B3E12">
              <w:t xml:space="preserve">to </w:t>
            </w:r>
            <w:r>
              <w:t>or over neighbouring land</w:t>
            </w:r>
            <w:r w:rsidR="00E521C4">
              <w:t>? L</w:t>
            </w:r>
            <w:r>
              <w:t>ook for tower crane, scaffolding and buildability issues</w:t>
            </w:r>
          </w:p>
          <w:p w14:paraId="1E728935" w14:textId="77777777" w:rsidR="0050291A" w:rsidRDefault="0050291A" w:rsidP="00D7717A">
            <w:pPr>
              <w:spacing w:line="276" w:lineRule="auto"/>
            </w:pPr>
          </w:p>
          <w:p w14:paraId="1AB677A6" w14:textId="77777777" w:rsidR="00CC73AE" w:rsidRDefault="00CC73AE" w:rsidP="00D7717A">
            <w:pPr>
              <w:spacing w:line="276" w:lineRule="auto"/>
            </w:pPr>
          </w:p>
          <w:p w14:paraId="6091482A" w14:textId="6042B17D" w:rsidR="0050291A" w:rsidRDefault="0050291A" w:rsidP="00D7717A">
            <w:pPr>
              <w:spacing w:line="276" w:lineRule="auto"/>
            </w:pPr>
            <w:r>
              <w:t xml:space="preserve">Does the development site have clear, </w:t>
            </w:r>
            <w:proofErr w:type="gramStart"/>
            <w:r>
              <w:t>well</w:t>
            </w:r>
            <w:r w:rsidR="00E521C4">
              <w:t>-</w:t>
            </w:r>
            <w:r>
              <w:t>defined</w:t>
            </w:r>
            <w:proofErr w:type="gramEnd"/>
            <w:r>
              <w:t xml:space="preserve"> and understood boundary features?</w:t>
            </w:r>
          </w:p>
          <w:p w14:paraId="16043B03" w14:textId="77777777" w:rsidR="0050291A" w:rsidRDefault="0050291A" w:rsidP="00D7717A">
            <w:pPr>
              <w:spacing w:line="276" w:lineRule="auto"/>
            </w:pPr>
          </w:p>
          <w:p w14:paraId="037CA370" w14:textId="77777777" w:rsidR="00CC73AE" w:rsidRDefault="00CC73AE" w:rsidP="00D7717A">
            <w:pPr>
              <w:spacing w:line="276" w:lineRule="auto"/>
            </w:pPr>
          </w:p>
          <w:p w14:paraId="4A2F969A" w14:textId="6518CCFB" w:rsidR="0050291A" w:rsidRDefault="0050291A" w:rsidP="00D7717A">
            <w:pPr>
              <w:spacing w:line="276" w:lineRule="auto"/>
            </w:pPr>
            <w:r>
              <w:t>Does the proposed scheme of development trigger the need for notice under the Party Wall etc. Act 1996?</w:t>
            </w:r>
          </w:p>
          <w:p w14:paraId="16C3183B" w14:textId="77777777" w:rsidR="0050291A" w:rsidRDefault="0050291A" w:rsidP="00D7717A">
            <w:pPr>
              <w:spacing w:line="276" w:lineRule="auto"/>
            </w:pPr>
          </w:p>
          <w:p w14:paraId="3E849123" w14:textId="77777777" w:rsidR="00E521C4" w:rsidRDefault="00E521C4" w:rsidP="00D7717A">
            <w:pPr>
              <w:spacing w:line="276" w:lineRule="auto"/>
            </w:pPr>
          </w:p>
          <w:p w14:paraId="462DD5D3" w14:textId="77777777" w:rsidR="00E521C4" w:rsidRDefault="00E521C4" w:rsidP="00D7717A">
            <w:pPr>
              <w:spacing w:line="276" w:lineRule="auto"/>
            </w:pPr>
          </w:p>
          <w:p w14:paraId="633C7805" w14:textId="08B9E044" w:rsidR="0050291A" w:rsidRDefault="0050291A" w:rsidP="00D7717A">
            <w:pPr>
              <w:spacing w:line="276" w:lineRule="auto"/>
            </w:pPr>
            <w:r>
              <w:t xml:space="preserve">Will the construction phase trigger noise, dust, </w:t>
            </w:r>
            <w:proofErr w:type="gramStart"/>
            <w:r>
              <w:t>vibration</w:t>
            </w:r>
            <w:proofErr w:type="gramEnd"/>
            <w:r>
              <w:t xml:space="preserve"> or structural damage risk</w:t>
            </w:r>
            <w:r w:rsidR="00E521C4">
              <w:t>s</w:t>
            </w:r>
            <w:r>
              <w:t xml:space="preserve"> that </w:t>
            </w:r>
            <w:r w:rsidR="00224792">
              <w:t xml:space="preserve">prompt </w:t>
            </w:r>
            <w:r>
              <w:t xml:space="preserve">action under either </w:t>
            </w:r>
            <w:r w:rsidR="006A19B8">
              <w:t xml:space="preserve">the </w:t>
            </w:r>
            <w:r>
              <w:t>Control of Pollution Act 1974 or Environmental Protection Act 1990?</w:t>
            </w:r>
          </w:p>
          <w:p w14:paraId="0E0F26FA" w14:textId="77777777" w:rsidR="0050291A" w:rsidRDefault="0050291A" w:rsidP="00D7717A">
            <w:pPr>
              <w:spacing w:line="276" w:lineRule="auto"/>
            </w:pPr>
          </w:p>
          <w:p w14:paraId="35B1288C" w14:textId="39AE1596" w:rsidR="0050291A" w:rsidRDefault="0050291A" w:rsidP="00D7717A">
            <w:pPr>
              <w:spacing w:line="276" w:lineRule="auto"/>
            </w:pPr>
            <w:r>
              <w:t xml:space="preserve">Does the proposed design have a planning </w:t>
            </w:r>
            <w:r w:rsidR="00224792">
              <w:t xml:space="preserve">impact on </w:t>
            </w:r>
            <w:r>
              <w:t>daylight/sunlight?</w:t>
            </w:r>
          </w:p>
          <w:p w14:paraId="45C0D9C1" w14:textId="7A272B97" w:rsidR="0050291A" w:rsidRDefault="0050291A" w:rsidP="00D7717A">
            <w:pPr>
              <w:spacing w:line="276" w:lineRule="auto"/>
            </w:pPr>
          </w:p>
          <w:p w14:paraId="4BC03E2F" w14:textId="77777777" w:rsidR="009B3427" w:rsidRDefault="009B3427" w:rsidP="00D7717A">
            <w:pPr>
              <w:spacing w:line="276" w:lineRule="auto"/>
            </w:pPr>
          </w:p>
          <w:p w14:paraId="2F50BCA9" w14:textId="77777777" w:rsidR="00CC73AE" w:rsidRDefault="00CC73AE" w:rsidP="00D7717A">
            <w:pPr>
              <w:spacing w:line="276" w:lineRule="auto"/>
            </w:pPr>
          </w:p>
          <w:p w14:paraId="21144506" w14:textId="487F372F" w:rsidR="0050291A" w:rsidRDefault="0050291A" w:rsidP="00D7717A">
            <w:pPr>
              <w:spacing w:line="276" w:lineRule="auto"/>
            </w:pPr>
            <w:r>
              <w:t>Does the project have a clear lead consultant responsibl</w:t>
            </w:r>
            <w:r w:rsidR="009B3427">
              <w:t>e</w:t>
            </w:r>
            <w:r>
              <w:t xml:space="preserve"> for all neighbourly matters reporting</w:t>
            </w:r>
            <w:r w:rsidR="009B3427">
              <w:t>,</w:t>
            </w:r>
            <w:r>
              <w:t xml:space="preserve"> or is risk fragmented with unclear </w:t>
            </w:r>
            <w:r w:rsidR="00943CD5">
              <w:t xml:space="preserve">lines of </w:t>
            </w:r>
            <w:r>
              <w:t xml:space="preserve">responsibility? </w:t>
            </w:r>
          </w:p>
        </w:tc>
        <w:tc>
          <w:tcPr>
            <w:tcW w:w="4395" w:type="dxa"/>
          </w:tcPr>
          <w:p w14:paraId="20C75A8A" w14:textId="5374D054" w:rsidR="0050291A" w:rsidRDefault="0050291A" w:rsidP="00D7717A">
            <w:pPr>
              <w:spacing w:line="276" w:lineRule="auto"/>
            </w:pPr>
            <w:r>
              <w:t>Has a</w:t>
            </w:r>
            <w:r w:rsidR="007A3773">
              <w:t>n</w:t>
            </w:r>
            <w:r>
              <w:t xml:space="preserve"> RICS </w:t>
            </w:r>
            <w:r w:rsidR="007A3773">
              <w:t>m</w:t>
            </w:r>
            <w:r>
              <w:t>ember been appointed to resolve all neighbourly matters disputes?</w:t>
            </w:r>
          </w:p>
          <w:p w14:paraId="7DBB75A5" w14:textId="77777777" w:rsidR="0050291A" w:rsidRDefault="0050291A" w:rsidP="00D7717A">
            <w:pPr>
              <w:spacing w:line="276" w:lineRule="auto"/>
            </w:pPr>
          </w:p>
          <w:p w14:paraId="4928F69E" w14:textId="77777777" w:rsidR="00CC73AE" w:rsidRDefault="00CC73AE" w:rsidP="00D7717A">
            <w:pPr>
              <w:spacing w:line="276" w:lineRule="auto"/>
            </w:pPr>
          </w:p>
          <w:p w14:paraId="6CEEC125" w14:textId="3CF4BC19" w:rsidR="0050291A" w:rsidRDefault="0050291A" w:rsidP="00D7717A">
            <w:pPr>
              <w:spacing w:line="276" w:lineRule="auto"/>
            </w:pPr>
            <w:r>
              <w:t xml:space="preserve">Has the RICS </w:t>
            </w:r>
            <w:r w:rsidR="00E521C4">
              <w:t>m</w:t>
            </w:r>
            <w:r>
              <w:t>ember advised on potential negotiation positions and the possibility of insurance cover</w:t>
            </w:r>
            <w:r w:rsidR="00E521C4">
              <w:t>?</w:t>
            </w:r>
            <w:r>
              <w:t xml:space="preserve"> Has an </w:t>
            </w:r>
            <w:r w:rsidR="00E521C4">
              <w:t>i</w:t>
            </w:r>
            <w:r>
              <w:t xml:space="preserve">nsurance </w:t>
            </w:r>
            <w:r w:rsidR="00E521C4">
              <w:t>b</w:t>
            </w:r>
            <w:r>
              <w:t>roker been appointed to deal with this risk?</w:t>
            </w:r>
          </w:p>
          <w:p w14:paraId="79E45160" w14:textId="77777777" w:rsidR="0050291A" w:rsidRDefault="0050291A" w:rsidP="00D7717A">
            <w:pPr>
              <w:spacing w:line="276" w:lineRule="auto"/>
            </w:pPr>
          </w:p>
          <w:p w14:paraId="05CBD336" w14:textId="6A5850A3" w:rsidR="0050291A" w:rsidRDefault="0050291A" w:rsidP="00D7717A">
            <w:pPr>
              <w:spacing w:line="276" w:lineRule="auto"/>
            </w:pPr>
            <w:r>
              <w:t xml:space="preserve">Does the project have a </w:t>
            </w:r>
            <w:r w:rsidR="00E521C4">
              <w:t>t</w:t>
            </w:r>
            <w:r>
              <w:t xml:space="preserve">echnical </w:t>
            </w:r>
            <w:r w:rsidR="00E521C4">
              <w:t>d</w:t>
            </w:r>
            <w:r>
              <w:t xml:space="preserve">ue </w:t>
            </w:r>
            <w:r w:rsidR="00E521C4">
              <w:t>d</w:t>
            </w:r>
            <w:r>
              <w:t>iligence (TDD) report that expressly addresses restrictive covenant risk?</w:t>
            </w:r>
          </w:p>
          <w:p w14:paraId="77726D98" w14:textId="77777777" w:rsidR="0050291A" w:rsidRDefault="0050291A" w:rsidP="00D7717A">
            <w:pPr>
              <w:spacing w:line="276" w:lineRule="auto"/>
            </w:pPr>
          </w:p>
          <w:p w14:paraId="787729B7" w14:textId="3EE33DB0" w:rsidR="0050291A" w:rsidRDefault="0050291A" w:rsidP="00D7717A">
            <w:pPr>
              <w:spacing w:line="276" w:lineRule="auto"/>
            </w:pPr>
            <w:r>
              <w:t xml:space="preserve">Does the project have a right </w:t>
            </w:r>
            <w:r w:rsidR="00E521C4">
              <w:t xml:space="preserve">to </w:t>
            </w:r>
            <w:r>
              <w:t>light report supported by 3D laser land survey and model assessment of the 360</w:t>
            </w:r>
            <w:r w:rsidR="00E521C4">
              <w:t>-</w:t>
            </w:r>
            <w:r>
              <w:t>degree risk profile for the height</w:t>
            </w:r>
            <w:r w:rsidR="00E521C4">
              <w:t xml:space="preserve"> or </w:t>
            </w:r>
            <w:r>
              <w:t>distance coverage recommended in BRE BR</w:t>
            </w:r>
            <w:r w:rsidR="00FF3D35">
              <w:t xml:space="preserve"> </w:t>
            </w:r>
            <w:r>
              <w:t>209</w:t>
            </w:r>
            <w:r w:rsidR="00E521C4">
              <w:t>?</w:t>
            </w:r>
          </w:p>
          <w:p w14:paraId="11C8FC21" w14:textId="667D37E8" w:rsidR="0050291A" w:rsidRDefault="0050291A" w:rsidP="00D7717A">
            <w:pPr>
              <w:spacing w:line="276" w:lineRule="auto"/>
            </w:pPr>
          </w:p>
          <w:p w14:paraId="6CD6A8C7" w14:textId="33E8450D" w:rsidR="0050291A" w:rsidRDefault="0050291A" w:rsidP="00D7717A">
            <w:pPr>
              <w:spacing w:line="276" w:lineRule="auto"/>
            </w:pPr>
            <w:r>
              <w:t>Does the project have a report from a</w:t>
            </w:r>
            <w:r w:rsidR="00224792">
              <w:t>n</w:t>
            </w:r>
            <w:r>
              <w:t xml:space="preserve"> RICS </w:t>
            </w:r>
            <w:r w:rsidR="00224792">
              <w:t>m</w:t>
            </w:r>
            <w:r>
              <w:t xml:space="preserve">ember dealing with </w:t>
            </w:r>
            <w:r w:rsidR="00224792">
              <w:t>t</w:t>
            </w:r>
            <w:r>
              <w:t xml:space="preserve">ower </w:t>
            </w:r>
            <w:r w:rsidR="00224792">
              <w:t>c</w:t>
            </w:r>
            <w:r>
              <w:t xml:space="preserve">rane, </w:t>
            </w:r>
            <w:r w:rsidR="00224792">
              <w:t>s</w:t>
            </w:r>
            <w:r>
              <w:t xml:space="preserve">caffolding and </w:t>
            </w:r>
            <w:r w:rsidR="00224792">
              <w:t>d</w:t>
            </w:r>
            <w:r>
              <w:t xml:space="preserve">evelopment </w:t>
            </w:r>
            <w:r w:rsidR="00224792">
              <w:t>a</w:t>
            </w:r>
            <w:r>
              <w:t xml:space="preserve">ccess </w:t>
            </w:r>
            <w:r w:rsidR="00224792">
              <w:t>r</w:t>
            </w:r>
            <w:r>
              <w:t>ights?</w:t>
            </w:r>
          </w:p>
          <w:p w14:paraId="75D3648F" w14:textId="49C5B676" w:rsidR="0050291A" w:rsidRDefault="0050291A" w:rsidP="00D7717A">
            <w:pPr>
              <w:spacing w:line="276" w:lineRule="auto"/>
            </w:pPr>
          </w:p>
          <w:p w14:paraId="30E600A4" w14:textId="77777777" w:rsidR="00CC73AE" w:rsidRDefault="00CC73AE" w:rsidP="00D7717A">
            <w:pPr>
              <w:spacing w:line="276" w:lineRule="auto"/>
            </w:pPr>
          </w:p>
          <w:p w14:paraId="3787FE68" w14:textId="77777777" w:rsidR="00CC73AE" w:rsidRDefault="00CC73AE" w:rsidP="00D7717A">
            <w:pPr>
              <w:spacing w:line="276" w:lineRule="auto"/>
            </w:pPr>
          </w:p>
          <w:p w14:paraId="40F5B817" w14:textId="70ADDA90" w:rsidR="0050291A" w:rsidRDefault="0050291A" w:rsidP="00D7717A">
            <w:pPr>
              <w:spacing w:line="276" w:lineRule="auto"/>
            </w:pPr>
            <w:r>
              <w:t>Does the project site have a site survey from a</w:t>
            </w:r>
            <w:r w:rsidR="00224792">
              <w:t>n</w:t>
            </w:r>
            <w:r>
              <w:t xml:space="preserve"> RICS</w:t>
            </w:r>
            <w:r w:rsidR="00224792">
              <w:t xml:space="preserve"> m</w:t>
            </w:r>
            <w:r>
              <w:t>ember identifying all boundary features and confirming the reasonable interpretation of ownership?</w:t>
            </w:r>
          </w:p>
          <w:p w14:paraId="3FF466E5" w14:textId="1E1C3549" w:rsidR="0050291A" w:rsidRDefault="0050291A" w:rsidP="00D7717A">
            <w:pPr>
              <w:spacing w:line="276" w:lineRule="auto"/>
            </w:pPr>
          </w:p>
          <w:p w14:paraId="21A8AA5C" w14:textId="6DEC4B1B" w:rsidR="0050291A" w:rsidRDefault="0050291A" w:rsidP="00D7717A">
            <w:pPr>
              <w:spacing w:line="276" w:lineRule="auto"/>
            </w:pPr>
            <w:r>
              <w:t xml:space="preserve">Does the scheme need to appoint a </w:t>
            </w:r>
            <w:r w:rsidR="009B3427">
              <w:t>c</w:t>
            </w:r>
            <w:r>
              <w:t xml:space="preserve">hartered </w:t>
            </w:r>
            <w:r w:rsidR="009B3427">
              <w:t>b</w:t>
            </w:r>
            <w:r>
              <w:t xml:space="preserve">uilding </w:t>
            </w:r>
            <w:r w:rsidR="009B3427">
              <w:t>s</w:t>
            </w:r>
            <w:r>
              <w:t xml:space="preserve">urveyor to perform the duties </w:t>
            </w:r>
            <w:r w:rsidR="006A6491">
              <w:t xml:space="preserve">of </w:t>
            </w:r>
            <w:r>
              <w:t>named surveyor under the Party Wall etc. Act 1996?</w:t>
            </w:r>
          </w:p>
        </w:tc>
      </w:tr>
    </w:tbl>
    <w:p w14:paraId="6DDFFED0" w14:textId="65EAAFB2" w:rsidR="00F55D91" w:rsidRDefault="00A74377" w:rsidP="00D7717A">
      <w:pPr>
        <w:spacing w:line="276" w:lineRule="auto"/>
        <w:rPr>
          <w:b/>
          <w:bCs/>
        </w:rPr>
      </w:pPr>
      <w:r>
        <w:rPr>
          <w:b/>
          <w:bCs/>
        </w:rPr>
        <w:t>Table 1</w:t>
      </w:r>
      <w:r w:rsidR="00224792">
        <w:rPr>
          <w:b/>
          <w:bCs/>
        </w:rPr>
        <w:t>.</w:t>
      </w:r>
      <w:r>
        <w:rPr>
          <w:b/>
          <w:bCs/>
        </w:rPr>
        <w:t xml:space="preserve"> </w:t>
      </w:r>
      <w:r w:rsidR="00224792">
        <w:rPr>
          <w:b/>
          <w:bCs/>
        </w:rPr>
        <w:t>Sample n</w:t>
      </w:r>
      <w:r>
        <w:rPr>
          <w:b/>
          <w:bCs/>
        </w:rPr>
        <w:t xml:space="preserve">eighbourly </w:t>
      </w:r>
      <w:r w:rsidR="00224792">
        <w:rPr>
          <w:b/>
          <w:bCs/>
        </w:rPr>
        <w:t>m</w:t>
      </w:r>
      <w:r>
        <w:rPr>
          <w:b/>
          <w:bCs/>
        </w:rPr>
        <w:t xml:space="preserve">atters section </w:t>
      </w:r>
      <w:r w:rsidR="00224792">
        <w:rPr>
          <w:b/>
          <w:bCs/>
        </w:rPr>
        <w:t xml:space="preserve">for </w:t>
      </w:r>
      <w:r>
        <w:rPr>
          <w:b/>
          <w:bCs/>
        </w:rPr>
        <w:t xml:space="preserve">a project RAG </w:t>
      </w:r>
      <w:r w:rsidR="00224792">
        <w:rPr>
          <w:b/>
          <w:bCs/>
        </w:rPr>
        <w:t>r</w:t>
      </w:r>
      <w:r w:rsidR="00344365">
        <w:rPr>
          <w:b/>
          <w:bCs/>
        </w:rPr>
        <w:t>egister</w:t>
      </w:r>
    </w:p>
    <w:p w14:paraId="615898FA" w14:textId="1EF19314" w:rsidR="00C21F89" w:rsidRDefault="00C21F89" w:rsidP="00D7717A">
      <w:pPr>
        <w:spacing w:line="276" w:lineRule="auto"/>
        <w:rPr>
          <w:b/>
          <w:bCs/>
        </w:rPr>
      </w:pPr>
    </w:p>
    <w:p w14:paraId="368BD354" w14:textId="77777777" w:rsidR="00E47D79" w:rsidRPr="00D81942" w:rsidRDefault="00E47D79" w:rsidP="00C41699">
      <w:pPr>
        <w:spacing w:line="360" w:lineRule="auto"/>
      </w:pPr>
    </w:p>
    <w:sectPr w:rsidR="00E47D79" w:rsidRPr="00D81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A43B8" w14:textId="77777777" w:rsidR="002E4A8E" w:rsidRDefault="002E4A8E" w:rsidP="00D81942">
      <w:pPr>
        <w:spacing w:after="0" w:line="240" w:lineRule="auto"/>
      </w:pPr>
      <w:r>
        <w:separator/>
      </w:r>
    </w:p>
  </w:endnote>
  <w:endnote w:type="continuationSeparator" w:id="0">
    <w:p w14:paraId="318D2FE6" w14:textId="77777777" w:rsidR="002E4A8E" w:rsidRDefault="002E4A8E" w:rsidP="00D8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6436E" w14:textId="77777777" w:rsidR="002E4A8E" w:rsidRDefault="002E4A8E" w:rsidP="00D81942">
      <w:pPr>
        <w:spacing w:after="0" w:line="240" w:lineRule="auto"/>
      </w:pPr>
      <w:r>
        <w:separator/>
      </w:r>
    </w:p>
  </w:footnote>
  <w:footnote w:type="continuationSeparator" w:id="0">
    <w:p w14:paraId="7BD931B5" w14:textId="77777777" w:rsidR="002E4A8E" w:rsidRDefault="002E4A8E" w:rsidP="00D81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42"/>
    <w:rsid w:val="00000167"/>
    <w:rsid w:val="000078AC"/>
    <w:rsid w:val="00010190"/>
    <w:rsid w:val="00014213"/>
    <w:rsid w:val="00024FB8"/>
    <w:rsid w:val="0002551A"/>
    <w:rsid w:val="00033CE9"/>
    <w:rsid w:val="00037068"/>
    <w:rsid w:val="000427FC"/>
    <w:rsid w:val="0004429D"/>
    <w:rsid w:val="000700E7"/>
    <w:rsid w:val="00070DE6"/>
    <w:rsid w:val="000735FF"/>
    <w:rsid w:val="000A7A71"/>
    <w:rsid w:val="000B1704"/>
    <w:rsid w:val="000B3E12"/>
    <w:rsid w:val="000C3536"/>
    <w:rsid w:val="000C6A6C"/>
    <w:rsid w:val="000D50A0"/>
    <w:rsid w:val="000E7C71"/>
    <w:rsid w:val="000F0C73"/>
    <w:rsid w:val="000F40A9"/>
    <w:rsid w:val="000F41D9"/>
    <w:rsid w:val="000F4F7B"/>
    <w:rsid w:val="000F6532"/>
    <w:rsid w:val="00102783"/>
    <w:rsid w:val="001104C8"/>
    <w:rsid w:val="00113A4D"/>
    <w:rsid w:val="00130439"/>
    <w:rsid w:val="00132908"/>
    <w:rsid w:val="00132B90"/>
    <w:rsid w:val="00156A23"/>
    <w:rsid w:val="00156E0F"/>
    <w:rsid w:val="00166B36"/>
    <w:rsid w:val="00172D71"/>
    <w:rsid w:val="001778BA"/>
    <w:rsid w:val="00185A5D"/>
    <w:rsid w:val="001921FB"/>
    <w:rsid w:val="00192768"/>
    <w:rsid w:val="00195289"/>
    <w:rsid w:val="00197E91"/>
    <w:rsid w:val="001A0612"/>
    <w:rsid w:val="001A17EB"/>
    <w:rsid w:val="001A3562"/>
    <w:rsid w:val="001B2816"/>
    <w:rsid w:val="001C1089"/>
    <w:rsid w:val="001C4AB5"/>
    <w:rsid w:val="001C7037"/>
    <w:rsid w:val="001D054F"/>
    <w:rsid w:val="001D30D6"/>
    <w:rsid w:val="001D394C"/>
    <w:rsid w:val="001E1403"/>
    <w:rsid w:val="001E45D0"/>
    <w:rsid w:val="001F7EED"/>
    <w:rsid w:val="00200A6B"/>
    <w:rsid w:val="002110F4"/>
    <w:rsid w:val="00216A6B"/>
    <w:rsid w:val="00224792"/>
    <w:rsid w:val="0023472A"/>
    <w:rsid w:val="0024244A"/>
    <w:rsid w:val="002434E3"/>
    <w:rsid w:val="00243D72"/>
    <w:rsid w:val="0025110C"/>
    <w:rsid w:val="00251BD6"/>
    <w:rsid w:val="00251C6E"/>
    <w:rsid w:val="00270CEF"/>
    <w:rsid w:val="00275507"/>
    <w:rsid w:val="00283766"/>
    <w:rsid w:val="00287E29"/>
    <w:rsid w:val="002916DF"/>
    <w:rsid w:val="00296C9C"/>
    <w:rsid w:val="002A0869"/>
    <w:rsid w:val="002C5682"/>
    <w:rsid w:val="002D75E7"/>
    <w:rsid w:val="002E3601"/>
    <w:rsid w:val="002E442A"/>
    <w:rsid w:val="002E4A8E"/>
    <w:rsid w:val="002E668F"/>
    <w:rsid w:val="002F65BE"/>
    <w:rsid w:val="003033E5"/>
    <w:rsid w:val="003036A6"/>
    <w:rsid w:val="00310276"/>
    <w:rsid w:val="00310967"/>
    <w:rsid w:val="00314253"/>
    <w:rsid w:val="003230CE"/>
    <w:rsid w:val="00324DBE"/>
    <w:rsid w:val="00325DB7"/>
    <w:rsid w:val="0032763A"/>
    <w:rsid w:val="00331D7A"/>
    <w:rsid w:val="0033324F"/>
    <w:rsid w:val="00344365"/>
    <w:rsid w:val="003451D3"/>
    <w:rsid w:val="00346220"/>
    <w:rsid w:val="003677D7"/>
    <w:rsid w:val="00370625"/>
    <w:rsid w:val="00377253"/>
    <w:rsid w:val="0039007C"/>
    <w:rsid w:val="00391B36"/>
    <w:rsid w:val="003A0A10"/>
    <w:rsid w:val="003A1230"/>
    <w:rsid w:val="003A578B"/>
    <w:rsid w:val="003B3C73"/>
    <w:rsid w:val="003B480A"/>
    <w:rsid w:val="003D137F"/>
    <w:rsid w:val="003F0F41"/>
    <w:rsid w:val="003F5AF9"/>
    <w:rsid w:val="003F5B76"/>
    <w:rsid w:val="00401D3B"/>
    <w:rsid w:val="00404A46"/>
    <w:rsid w:val="00407225"/>
    <w:rsid w:val="00407C00"/>
    <w:rsid w:val="00422BE8"/>
    <w:rsid w:val="0042477E"/>
    <w:rsid w:val="00426BA7"/>
    <w:rsid w:val="00430C44"/>
    <w:rsid w:val="00432CE1"/>
    <w:rsid w:val="00440366"/>
    <w:rsid w:val="00465169"/>
    <w:rsid w:val="00465499"/>
    <w:rsid w:val="00466B1C"/>
    <w:rsid w:val="00467725"/>
    <w:rsid w:val="00474CE3"/>
    <w:rsid w:val="00490F00"/>
    <w:rsid w:val="004A72BA"/>
    <w:rsid w:val="004B2270"/>
    <w:rsid w:val="004C7484"/>
    <w:rsid w:val="004D458B"/>
    <w:rsid w:val="004D70CF"/>
    <w:rsid w:val="004D7392"/>
    <w:rsid w:val="004E1A4A"/>
    <w:rsid w:val="004E477B"/>
    <w:rsid w:val="0050160C"/>
    <w:rsid w:val="0050291A"/>
    <w:rsid w:val="005111E9"/>
    <w:rsid w:val="00515C38"/>
    <w:rsid w:val="00521F88"/>
    <w:rsid w:val="00531E88"/>
    <w:rsid w:val="005454F3"/>
    <w:rsid w:val="00552465"/>
    <w:rsid w:val="005645B4"/>
    <w:rsid w:val="00572035"/>
    <w:rsid w:val="00573131"/>
    <w:rsid w:val="00574E08"/>
    <w:rsid w:val="0057726A"/>
    <w:rsid w:val="005774D4"/>
    <w:rsid w:val="00577945"/>
    <w:rsid w:val="00592675"/>
    <w:rsid w:val="005934BB"/>
    <w:rsid w:val="005A68BF"/>
    <w:rsid w:val="005B0922"/>
    <w:rsid w:val="005B2FE1"/>
    <w:rsid w:val="005D3C82"/>
    <w:rsid w:val="005D6D30"/>
    <w:rsid w:val="005E28AD"/>
    <w:rsid w:val="005E406B"/>
    <w:rsid w:val="005E6FAB"/>
    <w:rsid w:val="005F0056"/>
    <w:rsid w:val="005F23CA"/>
    <w:rsid w:val="005F66AF"/>
    <w:rsid w:val="005F7EF8"/>
    <w:rsid w:val="00602ED1"/>
    <w:rsid w:val="006105FA"/>
    <w:rsid w:val="00617FBF"/>
    <w:rsid w:val="0062154F"/>
    <w:rsid w:val="006229A2"/>
    <w:rsid w:val="00623137"/>
    <w:rsid w:val="006311CC"/>
    <w:rsid w:val="00633BEB"/>
    <w:rsid w:val="006347C2"/>
    <w:rsid w:val="00644772"/>
    <w:rsid w:val="00653648"/>
    <w:rsid w:val="00653B07"/>
    <w:rsid w:val="006577BF"/>
    <w:rsid w:val="00665DD4"/>
    <w:rsid w:val="00671DF6"/>
    <w:rsid w:val="006870E0"/>
    <w:rsid w:val="006A19B8"/>
    <w:rsid w:val="006A6491"/>
    <w:rsid w:val="006B1693"/>
    <w:rsid w:val="006B3C56"/>
    <w:rsid w:val="006B6268"/>
    <w:rsid w:val="006C249E"/>
    <w:rsid w:val="006C489D"/>
    <w:rsid w:val="006D3A5B"/>
    <w:rsid w:val="006D745C"/>
    <w:rsid w:val="006E5E2C"/>
    <w:rsid w:val="006F1E1D"/>
    <w:rsid w:val="006F2CA0"/>
    <w:rsid w:val="006F517D"/>
    <w:rsid w:val="007052B4"/>
    <w:rsid w:val="007130C5"/>
    <w:rsid w:val="007134C4"/>
    <w:rsid w:val="00713A4E"/>
    <w:rsid w:val="00722506"/>
    <w:rsid w:val="00723CA8"/>
    <w:rsid w:val="00735E5F"/>
    <w:rsid w:val="00736B36"/>
    <w:rsid w:val="007431BB"/>
    <w:rsid w:val="0074543C"/>
    <w:rsid w:val="00755738"/>
    <w:rsid w:val="0076446C"/>
    <w:rsid w:val="007673A9"/>
    <w:rsid w:val="00774CEB"/>
    <w:rsid w:val="007879E8"/>
    <w:rsid w:val="007917BB"/>
    <w:rsid w:val="00794B34"/>
    <w:rsid w:val="00795E9C"/>
    <w:rsid w:val="0079668D"/>
    <w:rsid w:val="007A23CB"/>
    <w:rsid w:val="007A36E1"/>
    <w:rsid w:val="007A3773"/>
    <w:rsid w:val="007A53F9"/>
    <w:rsid w:val="007A5904"/>
    <w:rsid w:val="007B2299"/>
    <w:rsid w:val="007C1F46"/>
    <w:rsid w:val="007C2132"/>
    <w:rsid w:val="007C22AF"/>
    <w:rsid w:val="007D1CE9"/>
    <w:rsid w:val="007E4C0E"/>
    <w:rsid w:val="007F28D1"/>
    <w:rsid w:val="0080313D"/>
    <w:rsid w:val="00804003"/>
    <w:rsid w:val="00811670"/>
    <w:rsid w:val="00820795"/>
    <w:rsid w:val="00820B8B"/>
    <w:rsid w:val="00826201"/>
    <w:rsid w:val="00836F46"/>
    <w:rsid w:val="008410F9"/>
    <w:rsid w:val="00843B62"/>
    <w:rsid w:val="008448D8"/>
    <w:rsid w:val="00847A0B"/>
    <w:rsid w:val="0085410F"/>
    <w:rsid w:val="00866D0D"/>
    <w:rsid w:val="00884296"/>
    <w:rsid w:val="0088566A"/>
    <w:rsid w:val="00887225"/>
    <w:rsid w:val="00887D8E"/>
    <w:rsid w:val="00897A97"/>
    <w:rsid w:val="008A7142"/>
    <w:rsid w:val="008B064C"/>
    <w:rsid w:val="008B227E"/>
    <w:rsid w:val="008B2F00"/>
    <w:rsid w:val="008D0BEC"/>
    <w:rsid w:val="008D69D0"/>
    <w:rsid w:val="008F204F"/>
    <w:rsid w:val="008F4808"/>
    <w:rsid w:val="00902780"/>
    <w:rsid w:val="00917D34"/>
    <w:rsid w:val="009204A5"/>
    <w:rsid w:val="0093724D"/>
    <w:rsid w:val="00943CD5"/>
    <w:rsid w:val="009463BA"/>
    <w:rsid w:val="00963FDD"/>
    <w:rsid w:val="009724F5"/>
    <w:rsid w:val="009822FF"/>
    <w:rsid w:val="0098439C"/>
    <w:rsid w:val="00993CC8"/>
    <w:rsid w:val="009B3427"/>
    <w:rsid w:val="009B3CB6"/>
    <w:rsid w:val="009B5E6D"/>
    <w:rsid w:val="009C42AE"/>
    <w:rsid w:val="009C6C5F"/>
    <w:rsid w:val="00A01B10"/>
    <w:rsid w:val="00A06D96"/>
    <w:rsid w:val="00A17BD5"/>
    <w:rsid w:val="00A2157D"/>
    <w:rsid w:val="00A23336"/>
    <w:rsid w:val="00A27332"/>
    <w:rsid w:val="00A33385"/>
    <w:rsid w:val="00A33F4C"/>
    <w:rsid w:val="00A52135"/>
    <w:rsid w:val="00A53200"/>
    <w:rsid w:val="00A616B7"/>
    <w:rsid w:val="00A74377"/>
    <w:rsid w:val="00A74E59"/>
    <w:rsid w:val="00A84ABB"/>
    <w:rsid w:val="00A85626"/>
    <w:rsid w:val="00A9539E"/>
    <w:rsid w:val="00A97832"/>
    <w:rsid w:val="00AA0DDC"/>
    <w:rsid w:val="00AA0EEA"/>
    <w:rsid w:val="00AA41F0"/>
    <w:rsid w:val="00AC1A5D"/>
    <w:rsid w:val="00AD03E2"/>
    <w:rsid w:val="00AD1509"/>
    <w:rsid w:val="00AE615C"/>
    <w:rsid w:val="00B03943"/>
    <w:rsid w:val="00B079B4"/>
    <w:rsid w:val="00B10A5A"/>
    <w:rsid w:val="00B25228"/>
    <w:rsid w:val="00B316F4"/>
    <w:rsid w:val="00B32D3F"/>
    <w:rsid w:val="00B34D73"/>
    <w:rsid w:val="00B35D26"/>
    <w:rsid w:val="00B37977"/>
    <w:rsid w:val="00B410C2"/>
    <w:rsid w:val="00B51C2D"/>
    <w:rsid w:val="00B63297"/>
    <w:rsid w:val="00B729BC"/>
    <w:rsid w:val="00B73B92"/>
    <w:rsid w:val="00B84165"/>
    <w:rsid w:val="00B955B7"/>
    <w:rsid w:val="00BA1E27"/>
    <w:rsid w:val="00BA2978"/>
    <w:rsid w:val="00BA71CA"/>
    <w:rsid w:val="00BC50D3"/>
    <w:rsid w:val="00BF03A4"/>
    <w:rsid w:val="00C02CC2"/>
    <w:rsid w:val="00C03DC1"/>
    <w:rsid w:val="00C05110"/>
    <w:rsid w:val="00C0533F"/>
    <w:rsid w:val="00C06774"/>
    <w:rsid w:val="00C07C3D"/>
    <w:rsid w:val="00C1175A"/>
    <w:rsid w:val="00C13415"/>
    <w:rsid w:val="00C15F14"/>
    <w:rsid w:val="00C21F89"/>
    <w:rsid w:val="00C41699"/>
    <w:rsid w:val="00C4192E"/>
    <w:rsid w:val="00C425BE"/>
    <w:rsid w:val="00C4323B"/>
    <w:rsid w:val="00C54CC6"/>
    <w:rsid w:val="00C54D96"/>
    <w:rsid w:val="00C612FA"/>
    <w:rsid w:val="00C70DB7"/>
    <w:rsid w:val="00C73E74"/>
    <w:rsid w:val="00C90D75"/>
    <w:rsid w:val="00C947E8"/>
    <w:rsid w:val="00CA60DF"/>
    <w:rsid w:val="00CB0C90"/>
    <w:rsid w:val="00CB3290"/>
    <w:rsid w:val="00CB7C7B"/>
    <w:rsid w:val="00CC6BC9"/>
    <w:rsid w:val="00CC73AE"/>
    <w:rsid w:val="00CE6351"/>
    <w:rsid w:val="00D00732"/>
    <w:rsid w:val="00D05A68"/>
    <w:rsid w:val="00D20CD5"/>
    <w:rsid w:val="00D20CE9"/>
    <w:rsid w:val="00D2218B"/>
    <w:rsid w:val="00D346D1"/>
    <w:rsid w:val="00D35ADB"/>
    <w:rsid w:val="00D44AB0"/>
    <w:rsid w:val="00D519A5"/>
    <w:rsid w:val="00D54B63"/>
    <w:rsid w:val="00D5713F"/>
    <w:rsid w:val="00D6201E"/>
    <w:rsid w:val="00D62FB7"/>
    <w:rsid w:val="00D74EC3"/>
    <w:rsid w:val="00D7633B"/>
    <w:rsid w:val="00D7717A"/>
    <w:rsid w:val="00D81942"/>
    <w:rsid w:val="00D84B1B"/>
    <w:rsid w:val="00D86EA8"/>
    <w:rsid w:val="00DA43D0"/>
    <w:rsid w:val="00DA4B63"/>
    <w:rsid w:val="00DA58A5"/>
    <w:rsid w:val="00DC3B68"/>
    <w:rsid w:val="00DC4AD5"/>
    <w:rsid w:val="00DD16A8"/>
    <w:rsid w:val="00DD433D"/>
    <w:rsid w:val="00DD5F67"/>
    <w:rsid w:val="00DD6960"/>
    <w:rsid w:val="00DD77A3"/>
    <w:rsid w:val="00DD7F85"/>
    <w:rsid w:val="00DE17C1"/>
    <w:rsid w:val="00E00385"/>
    <w:rsid w:val="00E13F8F"/>
    <w:rsid w:val="00E150CA"/>
    <w:rsid w:val="00E22876"/>
    <w:rsid w:val="00E23CC7"/>
    <w:rsid w:val="00E245FD"/>
    <w:rsid w:val="00E3560F"/>
    <w:rsid w:val="00E43105"/>
    <w:rsid w:val="00E4535F"/>
    <w:rsid w:val="00E47D79"/>
    <w:rsid w:val="00E521C4"/>
    <w:rsid w:val="00E64C75"/>
    <w:rsid w:val="00E65565"/>
    <w:rsid w:val="00E667EC"/>
    <w:rsid w:val="00E67A72"/>
    <w:rsid w:val="00E7275B"/>
    <w:rsid w:val="00E83711"/>
    <w:rsid w:val="00E87491"/>
    <w:rsid w:val="00E929FC"/>
    <w:rsid w:val="00E9718D"/>
    <w:rsid w:val="00EA4745"/>
    <w:rsid w:val="00EA555E"/>
    <w:rsid w:val="00EB1D74"/>
    <w:rsid w:val="00EB2E83"/>
    <w:rsid w:val="00EC1DE0"/>
    <w:rsid w:val="00EC7FD1"/>
    <w:rsid w:val="00EF09FD"/>
    <w:rsid w:val="00EF1D8F"/>
    <w:rsid w:val="00EF5548"/>
    <w:rsid w:val="00EF74D3"/>
    <w:rsid w:val="00EF7F13"/>
    <w:rsid w:val="00F01207"/>
    <w:rsid w:val="00F063F2"/>
    <w:rsid w:val="00F07E4B"/>
    <w:rsid w:val="00F10306"/>
    <w:rsid w:val="00F165FE"/>
    <w:rsid w:val="00F23F6E"/>
    <w:rsid w:val="00F253D7"/>
    <w:rsid w:val="00F31379"/>
    <w:rsid w:val="00F318B3"/>
    <w:rsid w:val="00F35231"/>
    <w:rsid w:val="00F511C4"/>
    <w:rsid w:val="00F5301F"/>
    <w:rsid w:val="00F54001"/>
    <w:rsid w:val="00F55D91"/>
    <w:rsid w:val="00F61A9F"/>
    <w:rsid w:val="00F61F99"/>
    <w:rsid w:val="00F725B4"/>
    <w:rsid w:val="00F8164C"/>
    <w:rsid w:val="00F8428B"/>
    <w:rsid w:val="00F856B4"/>
    <w:rsid w:val="00F95060"/>
    <w:rsid w:val="00F96C78"/>
    <w:rsid w:val="00F97C48"/>
    <w:rsid w:val="00FB5F0C"/>
    <w:rsid w:val="00FB6527"/>
    <w:rsid w:val="00FC346B"/>
    <w:rsid w:val="00FD3F9F"/>
    <w:rsid w:val="00FD59A0"/>
    <w:rsid w:val="00FE612F"/>
    <w:rsid w:val="00FF2815"/>
    <w:rsid w:val="00FF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4A50E"/>
  <w15:chartTrackingRefBased/>
  <w15:docId w15:val="{18973719-EC20-4D7C-824C-1088953F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7E91"/>
    <w:pPr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19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3C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E9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D819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81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942"/>
  </w:style>
  <w:style w:type="paragraph" w:styleId="Footer">
    <w:name w:val="footer"/>
    <w:basedOn w:val="Normal"/>
    <w:link w:val="FooterChar"/>
    <w:uiPriority w:val="99"/>
    <w:unhideWhenUsed/>
    <w:rsid w:val="00D81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942"/>
  </w:style>
  <w:style w:type="character" w:styleId="Hyperlink">
    <w:name w:val="Hyperlink"/>
    <w:basedOn w:val="DefaultParagraphFont"/>
    <w:uiPriority w:val="99"/>
    <w:unhideWhenUsed/>
    <w:rsid w:val="00D819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1942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47D79"/>
    <w:rPr>
      <w:i/>
      <w:iCs/>
    </w:rPr>
  </w:style>
  <w:style w:type="paragraph" w:styleId="NormalWeb">
    <w:name w:val="Normal (Web)"/>
    <w:basedOn w:val="Normal"/>
    <w:uiPriority w:val="99"/>
    <w:unhideWhenUsed/>
    <w:rsid w:val="00D34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346D1"/>
    <w:rPr>
      <w:b/>
      <w:bCs/>
    </w:rPr>
  </w:style>
  <w:style w:type="character" w:customStyle="1" w:styleId="hvr">
    <w:name w:val="hvr"/>
    <w:basedOn w:val="DefaultParagraphFont"/>
    <w:rsid w:val="00407C00"/>
  </w:style>
  <w:style w:type="character" w:customStyle="1" w:styleId="Heading4Char">
    <w:name w:val="Heading 4 Char"/>
    <w:basedOn w:val="DefaultParagraphFont"/>
    <w:link w:val="Heading4"/>
    <w:uiPriority w:val="9"/>
    <w:semiHidden/>
    <w:rsid w:val="009B3CB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5D6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7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2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C3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34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34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3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34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hansard.parliament.uk/lords/2020-11-12/debates/AD3246A9-44BD-48B8-A80D-BB5B0F16CFBA/HighSpeedRail(WestMidlands-Crewe)Bil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lcon-chambers.com/images/uploads/news/2598_0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83ED9E0391BF4C9477E6018ED06390" ma:contentTypeVersion="13" ma:contentTypeDescription="Create a new document." ma:contentTypeScope="" ma:versionID="60eb41e006dd8488d35b5349e98591f7">
  <xsd:schema xmlns:xsd="http://www.w3.org/2001/XMLSchema" xmlns:xs="http://www.w3.org/2001/XMLSchema" xmlns:p="http://schemas.microsoft.com/office/2006/metadata/properties" xmlns:ns3="c6a8cb38-18e5-4713-933c-a72c321d75e4" xmlns:ns4="ae3df0f7-c11f-4ff0-902a-a4cb4e218a14" targetNamespace="http://schemas.microsoft.com/office/2006/metadata/properties" ma:root="true" ma:fieldsID="09b5213c0872570e92469d38c581b064" ns3:_="" ns4:_="">
    <xsd:import namespace="c6a8cb38-18e5-4713-933c-a72c321d75e4"/>
    <xsd:import namespace="ae3df0f7-c11f-4ff0-902a-a4cb4e218a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8cb38-18e5-4713-933c-a72c321d7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3df0f7-c11f-4ff0-902a-a4cb4e218a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1E14B0-4767-47F3-AD4B-5232FB3F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a8cb38-18e5-4713-933c-a72c321d75e4"/>
    <ds:schemaRef ds:uri="ae3df0f7-c11f-4ff0-902a-a4cb4e218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DEA331-8DE4-4EDD-8E24-AEBD0BEFD9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1390-8009-475F-8732-D732392605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Thompson, Andrew</dc:creator>
  <cp:keywords/>
  <dc:description/>
  <cp:lastModifiedBy>Blanshard, Lisa</cp:lastModifiedBy>
  <cp:revision>5</cp:revision>
  <dcterms:created xsi:type="dcterms:W3CDTF">2021-11-11T15:01:00Z</dcterms:created>
  <dcterms:modified xsi:type="dcterms:W3CDTF">2021-11-11T15:13:00Z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0x010100CC83ED9E0391BF4C9477E6018ED06390</vt:lpwstr>
  </property>
</Properties>
</file>