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6A4BEE" w14:textId="5BF96CC8" w:rsidR="00E3052E" w:rsidRPr="005E0BD5" w:rsidRDefault="00E3052E" w:rsidP="005E0BD5">
      <w:pPr>
        <w:pStyle w:val="Title"/>
      </w:pPr>
      <w:r w:rsidRPr="005E0BD5">
        <w:t xml:space="preserve">Chapter </w:t>
      </w:r>
      <w:r w:rsidR="007F2E60" w:rsidRPr="005E0BD5">
        <w:t>3</w:t>
      </w:r>
    </w:p>
    <w:p w14:paraId="48EFCB04" w14:textId="77777777" w:rsidR="00E3052E" w:rsidRPr="006A40F1" w:rsidRDefault="00E3052E" w:rsidP="00EE68B8">
      <w:pPr>
        <w:spacing w:line="480" w:lineRule="auto"/>
        <w:jc w:val="center"/>
        <w:rPr>
          <w:b/>
          <w:lang w:val="en-GB"/>
        </w:rPr>
      </w:pPr>
    </w:p>
    <w:p w14:paraId="6E7B5CB6" w14:textId="77777777" w:rsidR="00F34E44" w:rsidRPr="006A40F1" w:rsidRDefault="00F34E44" w:rsidP="00E3052E">
      <w:pPr>
        <w:spacing w:line="240" w:lineRule="atLeast"/>
        <w:rPr>
          <w:b/>
          <w:lang w:val="en-GB"/>
        </w:rPr>
      </w:pPr>
      <w:r w:rsidRPr="006A40F1">
        <w:rPr>
          <w:b/>
          <w:lang w:val="en-GB"/>
        </w:rPr>
        <w:t xml:space="preserve">Thinking in Systems: </w:t>
      </w:r>
    </w:p>
    <w:p w14:paraId="324C4553" w14:textId="6210EC81" w:rsidR="00805E10" w:rsidRPr="006A40F1" w:rsidRDefault="00F34E44" w:rsidP="00E3052E">
      <w:pPr>
        <w:spacing w:line="240" w:lineRule="atLeast"/>
        <w:rPr>
          <w:b/>
          <w:lang w:val="en-GB"/>
        </w:rPr>
      </w:pPr>
      <w:r w:rsidRPr="006A40F1">
        <w:rPr>
          <w:b/>
          <w:lang w:val="en-GB"/>
        </w:rPr>
        <w:t xml:space="preserve">The </w:t>
      </w:r>
      <w:r w:rsidR="001C4544" w:rsidRPr="006A40F1">
        <w:rPr>
          <w:b/>
          <w:lang w:val="en-GB"/>
        </w:rPr>
        <w:t>long-term</w:t>
      </w:r>
      <w:r w:rsidRPr="006A40F1">
        <w:rPr>
          <w:b/>
          <w:lang w:val="en-GB"/>
        </w:rPr>
        <w:t xml:space="preserve"> impacts of </w:t>
      </w:r>
      <w:r w:rsidR="00587C6E" w:rsidRPr="006A40F1">
        <w:rPr>
          <w:b/>
          <w:lang w:val="en-GB"/>
        </w:rPr>
        <w:t>short-term</w:t>
      </w:r>
      <w:r w:rsidRPr="006A40F1">
        <w:rPr>
          <w:b/>
          <w:lang w:val="en-GB"/>
        </w:rPr>
        <w:t xml:space="preserve"> business growth</w:t>
      </w:r>
    </w:p>
    <w:p w14:paraId="330C5812" w14:textId="77777777" w:rsidR="00805E10" w:rsidRPr="006A40F1" w:rsidRDefault="00805E10" w:rsidP="00EE68B8">
      <w:pPr>
        <w:spacing w:line="480" w:lineRule="auto"/>
        <w:jc w:val="center"/>
        <w:rPr>
          <w:b/>
          <w:lang w:val="en-GB"/>
        </w:rPr>
      </w:pPr>
    </w:p>
    <w:p w14:paraId="7B9B78FC" w14:textId="2E7743E3" w:rsidR="00245916" w:rsidRPr="006A40F1" w:rsidRDefault="00F34E44" w:rsidP="009B4864">
      <w:pPr>
        <w:spacing w:line="480" w:lineRule="auto"/>
        <w:ind w:firstLine="270"/>
        <w:rPr>
          <w:sz w:val="20"/>
          <w:szCs w:val="20"/>
          <w:lang w:val="en-GB"/>
        </w:rPr>
      </w:pPr>
      <w:r w:rsidRPr="006A40F1">
        <w:rPr>
          <w:sz w:val="20"/>
          <w:szCs w:val="20"/>
          <w:lang w:val="en-GB"/>
        </w:rPr>
        <w:t>Roberto Pasqualino</w:t>
      </w:r>
      <w:r w:rsidR="00805E10" w:rsidRPr="006A40F1">
        <w:rPr>
          <w:rStyle w:val="FootnoteReference"/>
          <w:sz w:val="20"/>
          <w:szCs w:val="20"/>
          <w:lang w:val="en-GB"/>
        </w:rPr>
        <w:footnoteReference w:id="1"/>
      </w:r>
    </w:p>
    <w:p w14:paraId="167D6292" w14:textId="77777777" w:rsidR="009B4864" w:rsidRPr="006A40F1" w:rsidRDefault="009B4864" w:rsidP="009B4864">
      <w:pPr>
        <w:spacing w:line="480" w:lineRule="auto"/>
        <w:ind w:firstLine="270"/>
        <w:rPr>
          <w:sz w:val="20"/>
          <w:szCs w:val="20"/>
          <w:lang w:val="en-GB"/>
        </w:rPr>
      </w:pPr>
    </w:p>
    <w:p w14:paraId="633B3ACD" w14:textId="77777777" w:rsidR="0072496D" w:rsidRPr="005E0BD5" w:rsidRDefault="00E3052E" w:rsidP="005E0BD5">
      <w:pPr>
        <w:pStyle w:val="Heading1"/>
      </w:pPr>
      <w:r w:rsidRPr="005E0BD5">
        <w:t>ABSTRACT</w:t>
      </w:r>
    </w:p>
    <w:p w14:paraId="0DF1BDD3" w14:textId="0A21868B" w:rsidR="0057180E" w:rsidRPr="006A40F1" w:rsidRDefault="00F34E44" w:rsidP="00554ED6">
      <w:pPr>
        <w:spacing w:line="240" w:lineRule="atLeast"/>
        <w:jc w:val="both"/>
        <w:rPr>
          <w:sz w:val="20"/>
          <w:szCs w:val="20"/>
          <w:lang w:val="en-GB"/>
        </w:rPr>
      </w:pPr>
      <w:r w:rsidRPr="006A40F1">
        <w:rPr>
          <w:sz w:val="20"/>
          <w:szCs w:val="20"/>
          <w:lang w:val="en-GB"/>
        </w:rPr>
        <w:t>Short</w:t>
      </w:r>
      <w:r w:rsidR="00E9178C" w:rsidRPr="006A40F1">
        <w:rPr>
          <w:sz w:val="20"/>
          <w:szCs w:val="20"/>
          <w:lang w:val="en-GB"/>
        </w:rPr>
        <w:t>-</w:t>
      </w:r>
      <w:r w:rsidRPr="006A40F1">
        <w:rPr>
          <w:sz w:val="20"/>
          <w:szCs w:val="20"/>
          <w:lang w:val="en-GB"/>
        </w:rPr>
        <w:t xml:space="preserve">term business growth is the main paradigm governing business activities </w:t>
      </w:r>
      <w:r w:rsidR="0057180E" w:rsidRPr="006A40F1">
        <w:rPr>
          <w:sz w:val="20"/>
          <w:szCs w:val="20"/>
          <w:lang w:val="en-GB"/>
        </w:rPr>
        <w:t>today</w:t>
      </w:r>
      <w:r w:rsidRPr="006A40F1">
        <w:rPr>
          <w:sz w:val="20"/>
          <w:szCs w:val="20"/>
          <w:lang w:val="en-GB"/>
        </w:rPr>
        <w:t xml:space="preserve">. This is important for employing </w:t>
      </w:r>
      <w:r w:rsidR="0057180E" w:rsidRPr="006A40F1">
        <w:rPr>
          <w:sz w:val="20"/>
          <w:szCs w:val="20"/>
          <w:lang w:val="en-GB"/>
        </w:rPr>
        <w:t>workers</w:t>
      </w:r>
      <w:r w:rsidRPr="006A40F1">
        <w:rPr>
          <w:sz w:val="20"/>
          <w:szCs w:val="20"/>
          <w:lang w:val="en-GB"/>
        </w:rPr>
        <w:t xml:space="preserve">, </w:t>
      </w:r>
      <w:r w:rsidR="0057180E" w:rsidRPr="006A40F1">
        <w:rPr>
          <w:sz w:val="20"/>
          <w:szCs w:val="20"/>
          <w:lang w:val="en-GB"/>
        </w:rPr>
        <w:t>servicing</w:t>
      </w:r>
      <w:r w:rsidRPr="006A40F1">
        <w:rPr>
          <w:sz w:val="20"/>
          <w:szCs w:val="20"/>
          <w:lang w:val="en-GB"/>
        </w:rPr>
        <w:t xml:space="preserve"> debt, </w:t>
      </w:r>
      <w:r w:rsidR="00E9178C" w:rsidRPr="006A40F1">
        <w:rPr>
          <w:sz w:val="20"/>
          <w:szCs w:val="20"/>
          <w:lang w:val="en-GB"/>
        </w:rPr>
        <w:t>and</w:t>
      </w:r>
      <w:r w:rsidRPr="006A40F1">
        <w:rPr>
          <w:sz w:val="20"/>
          <w:szCs w:val="20"/>
          <w:lang w:val="en-GB"/>
        </w:rPr>
        <w:t xml:space="preserve"> being competitive in a complex world among others. In 1972, the Limits to Growth </w:t>
      </w:r>
      <w:r w:rsidR="00E9178C" w:rsidRPr="006A40F1">
        <w:rPr>
          <w:sz w:val="20"/>
          <w:szCs w:val="20"/>
          <w:lang w:val="en-GB"/>
        </w:rPr>
        <w:t xml:space="preserve">(LtG) </w:t>
      </w:r>
      <w:r w:rsidRPr="006A40F1">
        <w:rPr>
          <w:sz w:val="20"/>
          <w:szCs w:val="20"/>
          <w:lang w:val="en-GB"/>
        </w:rPr>
        <w:t>demonstrat</w:t>
      </w:r>
      <w:r w:rsidR="0057180E" w:rsidRPr="006A40F1">
        <w:rPr>
          <w:sz w:val="20"/>
          <w:szCs w:val="20"/>
          <w:lang w:val="en-GB"/>
        </w:rPr>
        <w:t>ed</w:t>
      </w:r>
      <w:r w:rsidRPr="006A40F1">
        <w:rPr>
          <w:sz w:val="20"/>
          <w:szCs w:val="20"/>
          <w:lang w:val="en-GB"/>
        </w:rPr>
        <w:t xml:space="preserve"> how short-term business as usual </w:t>
      </w:r>
      <w:r w:rsidR="00493B09" w:rsidRPr="006A40F1">
        <w:rPr>
          <w:sz w:val="20"/>
          <w:szCs w:val="20"/>
          <w:lang w:val="en-GB"/>
        </w:rPr>
        <w:t>behavior</w:t>
      </w:r>
      <w:r w:rsidRPr="006A40F1">
        <w:rPr>
          <w:sz w:val="20"/>
          <w:szCs w:val="20"/>
          <w:lang w:val="en-GB"/>
        </w:rPr>
        <w:t xml:space="preserve"> could </w:t>
      </w:r>
      <w:r w:rsidR="00493B09" w:rsidRPr="006A40F1">
        <w:rPr>
          <w:sz w:val="20"/>
          <w:szCs w:val="20"/>
          <w:lang w:val="en-GB"/>
        </w:rPr>
        <w:t>cause</w:t>
      </w:r>
      <w:r w:rsidRPr="006A40F1">
        <w:rPr>
          <w:sz w:val="20"/>
          <w:szCs w:val="20"/>
          <w:lang w:val="en-GB"/>
        </w:rPr>
        <w:t xml:space="preserve"> long term </w:t>
      </w:r>
      <w:r w:rsidR="00493B09" w:rsidRPr="006A40F1">
        <w:rPr>
          <w:sz w:val="20"/>
          <w:szCs w:val="20"/>
          <w:lang w:val="en-GB"/>
        </w:rPr>
        <w:t xml:space="preserve">global </w:t>
      </w:r>
      <w:r w:rsidRPr="006A40F1">
        <w:rPr>
          <w:sz w:val="20"/>
          <w:szCs w:val="20"/>
          <w:lang w:val="en-GB"/>
        </w:rPr>
        <w:t xml:space="preserve">risks, including the possibility of overshoot of the global economy to environmental limits and economic collapse within </w:t>
      </w:r>
      <w:r w:rsidR="00E9178C" w:rsidRPr="006A40F1">
        <w:rPr>
          <w:sz w:val="20"/>
          <w:szCs w:val="20"/>
          <w:lang w:val="en-GB"/>
        </w:rPr>
        <w:t>the</w:t>
      </w:r>
      <w:r w:rsidRPr="006A40F1">
        <w:rPr>
          <w:sz w:val="20"/>
          <w:szCs w:val="20"/>
          <w:lang w:val="en-GB"/>
        </w:rPr>
        <w:t xml:space="preserve"> 21st century. </w:t>
      </w:r>
      <w:r w:rsidR="00493B09" w:rsidRPr="006A40F1">
        <w:rPr>
          <w:sz w:val="20"/>
          <w:szCs w:val="20"/>
          <w:lang w:val="en-GB"/>
        </w:rPr>
        <w:t>T</w:t>
      </w:r>
      <w:r w:rsidRPr="006A40F1">
        <w:rPr>
          <w:sz w:val="20"/>
          <w:szCs w:val="20"/>
          <w:lang w:val="en-GB"/>
        </w:rPr>
        <w:t xml:space="preserve">his chapter </w:t>
      </w:r>
      <w:r w:rsidR="00493B09" w:rsidRPr="006A40F1">
        <w:rPr>
          <w:sz w:val="20"/>
          <w:szCs w:val="20"/>
          <w:lang w:val="en-GB"/>
        </w:rPr>
        <w:t xml:space="preserve">first </w:t>
      </w:r>
      <w:r w:rsidRPr="006A40F1">
        <w:rPr>
          <w:sz w:val="20"/>
          <w:szCs w:val="20"/>
          <w:lang w:val="en-GB"/>
        </w:rPr>
        <w:t>give</w:t>
      </w:r>
      <w:r w:rsidR="00493B09" w:rsidRPr="006A40F1">
        <w:rPr>
          <w:sz w:val="20"/>
          <w:szCs w:val="20"/>
          <w:lang w:val="en-GB"/>
        </w:rPr>
        <w:t>s</w:t>
      </w:r>
      <w:r w:rsidRPr="006A40F1">
        <w:rPr>
          <w:sz w:val="20"/>
          <w:szCs w:val="20"/>
          <w:lang w:val="en-GB"/>
        </w:rPr>
        <w:t xml:space="preserve"> a definition of complex system</w:t>
      </w:r>
      <w:r w:rsidR="00E9178C" w:rsidRPr="006A40F1">
        <w:rPr>
          <w:sz w:val="20"/>
          <w:szCs w:val="20"/>
          <w:lang w:val="en-GB"/>
        </w:rPr>
        <w:t>s, system thinking</w:t>
      </w:r>
      <w:r w:rsidRPr="006A40F1">
        <w:rPr>
          <w:sz w:val="20"/>
          <w:szCs w:val="20"/>
          <w:lang w:val="en-GB"/>
        </w:rPr>
        <w:t xml:space="preserve"> and sustainability</w:t>
      </w:r>
      <w:r w:rsidR="00E9178C" w:rsidRPr="006A40F1">
        <w:rPr>
          <w:sz w:val="20"/>
          <w:szCs w:val="20"/>
          <w:lang w:val="en-GB"/>
        </w:rPr>
        <w:t>. Then it</w:t>
      </w:r>
      <w:r w:rsidRPr="006A40F1">
        <w:rPr>
          <w:sz w:val="20"/>
          <w:szCs w:val="20"/>
          <w:lang w:val="en-GB"/>
        </w:rPr>
        <w:t xml:space="preserve"> </w:t>
      </w:r>
      <w:r w:rsidR="00493B09" w:rsidRPr="006A40F1">
        <w:rPr>
          <w:sz w:val="20"/>
          <w:szCs w:val="20"/>
          <w:lang w:val="en-GB"/>
        </w:rPr>
        <w:t xml:space="preserve">explains the nature of </w:t>
      </w:r>
      <w:r w:rsidR="0057180E" w:rsidRPr="006A40F1">
        <w:rPr>
          <w:sz w:val="20"/>
          <w:szCs w:val="20"/>
          <w:lang w:val="en-GB"/>
        </w:rPr>
        <w:t xml:space="preserve">financial </w:t>
      </w:r>
      <w:r w:rsidR="00493B09" w:rsidRPr="006A40F1">
        <w:rPr>
          <w:sz w:val="20"/>
          <w:szCs w:val="20"/>
          <w:lang w:val="en-GB"/>
        </w:rPr>
        <w:t xml:space="preserve">risk </w:t>
      </w:r>
      <w:r w:rsidR="0057180E" w:rsidRPr="006A40F1">
        <w:rPr>
          <w:sz w:val="20"/>
          <w:szCs w:val="20"/>
          <w:lang w:val="en-GB"/>
        </w:rPr>
        <w:t>assessment</w:t>
      </w:r>
      <w:r w:rsidR="00493B09" w:rsidRPr="006A40F1">
        <w:rPr>
          <w:sz w:val="20"/>
          <w:szCs w:val="20"/>
          <w:lang w:val="en-GB"/>
        </w:rPr>
        <w:t xml:space="preserve"> practices and exponential growth.</w:t>
      </w:r>
      <w:r w:rsidRPr="006A40F1">
        <w:rPr>
          <w:sz w:val="20"/>
          <w:szCs w:val="20"/>
          <w:lang w:val="en-GB"/>
        </w:rPr>
        <w:t xml:space="preserve"> </w:t>
      </w:r>
      <w:r w:rsidR="00A024A9" w:rsidRPr="006A40F1">
        <w:rPr>
          <w:sz w:val="20"/>
          <w:szCs w:val="20"/>
          <w:lang w:val="en-GB"/>
        </w:rPr>
        <w:t>Thus,</w:t>
      </w:r>
      <w:r w:rsidRPr="006A40F1">
        <w:rPr>
          <w:sz w:val="20"/>
          <w:szCs w:val="20"/>
          <w:lang w:val="en-GB"/>
        </w:rPr>
        <w:t xml:space="preserve"> </w:t>
      </w:r>
      <w:r w:rsidR="00493B09" w:rsidRPr="006A40F1">
        <w:rPr>
          <w:sz w:val="20"/>
          <w:szCs w:val="20"/>
          <w:lang w:val="en-GB"/>
        </w:rPr>
        <w:t>it</w:t>
      </w:r>
      <w:r w:rsidRPr="006A40F1">
        <w:rPr>
          <w:sz w:val="20"/>
          <w:szCs w:val="20"/>
          <w:lang w:val="en-GB"/>
        </w:rPr>
        <w:t xml:space="preserve"> review</w:t>
      </w:r>
      <w:r w:rsidR="00493B09" w:rsidRPr="006A40F1">
        <w:rPr>
          <w:sz w:val="20"/>
          <w:szCs w:val="20"/>
          <w:lang w:val="en-GB"/>
        </w:rPr>
        <w:t>s</w:t>
      </w:r>
      <w:r w:rsidRPr="006A40F1">
        <w:rPr>
          <w:sz w:val="20"/>
          <w:szCs w:val="20"/>
          <w:lang w:val="en-GB"/>
        </w:rPr>
        <w:t xml:space="preserve"> the </w:t>
      </w:r>
      <w:r w:rsidR="00E9178C" w:rsidRPr="006A40F1">
        <w:rPr>
          <w:sz w:val="20"/>
          <w:szCs w:val="20"/>
          <w:lang w:val="en-GB"/>
        </w:rPr>
        <w:t>LtG</w:t>
      </w:r>
      <w:r w:rsidRPr="006A40F1">
        <w:rPr>
          <w:sz w:val="20"/>
          <w:szCs w:val="20"/>
          <w:lang w:val="en-GB"/>
        </w:rPr>
        <w:t xml:space="preserve"> model</w:t>
      </w:r>
      <w:r w:rsidR="0057180E" w:rsidRPr="006A40F1">
        <w:rPr>
          <w:sz w:val="20"/>
          <w:szCs w:val="20"/>
          <w:lang w:val="en-GB"/>
        </w:rPr>
        <w:t xml:space="preserve"> and </w:t>
      </w:r>
      <w:r w:rsidR="00493B09" w:rsidRPr="006A40F1">
        <w:rPr>
          <w:sz w:val="20"/>
          <w:szCs w:val="20"/>
          <w:lang w:val="en-GB"/>
        </w:rPr>
        <w:t xml:space="preserve">compares </w:t>
      </w:r>
      <w:r w:rsidR="0057180E" w:rsidRPr="006A40F1">
        <w:rPr>
          <w:sz w:val="20"/>
          <w:szCs w:val="20"/>
          <w:lang w:val="en-GB"/>
        </w:rPr>
        <w:t xml:space="preserve">it </w:t>
      </w:r>
      <w:r w:rsidR="00493B09" w:rsidRPr="006A40F1">
        <w:rPr>
          <w:sz w:val="20"/>
          <w:szCs w:val="20"/>
          <w:lang w:val="en-GB"/>
        </w:rPr>
        <w:t>to historical data</w:t>
      </w:r>
      <w:r w:rsidR="0057180E" w:rsidRPr="006A40F1">
        <w:rPr>
          <w:sz w:val="20"/>
          <w:szCs w:val="20"/>
          <w:lang w:val="en-GB"/>
        </w:rPr>
        <w:t>.</w:t>
      </w:r>
      <w:r w:rsidR="00493B09" w:rsidRPr="006A40F1">
        <w:rPr>
          <w:sz w:val="20"/>
          <w:szCs w:val="20"/>
          <w:lang w:val="en-GB"/>
        </w:rPr>
        <w:t xml:space="preserve"> </w:t>
      </w:r>
      <w:r w:rsidR="0057180E" w:rsidRPr="006A40F1">
        <w:rPr>
          <w:sz w:val="20"/>
          <w:szCs w:val="20"/>
          <w:lang w:val="en-GB"/>
        </w:rPr>
        <w:t>T</w:t>
      </w:r>
      <w:r w:rsidRPr="006A40F1">
        <w:rPr>
          <w:sz w:val="20"/>
          <w:szCs w:val="20"/>
          <w:lang w:val="en-GB"/>
        </w:rPr>
        <w:t xml:space="preserve">he major drivers for growth, </w:t>
      </w:r>
      <w:r w:rsidR="0057180E" w:rsidRPr="006A40F1">
        <w:rPr>
          <w:sz w:val="20"/>
          <w:szCs w:val="20"/>
          <w:lang w:val="en-GB"/>
        </w:rPr>
        <w:t>and the state of planetary boundaries</w:t>
      </w:r>
      <w:r w:rsidRPr="006A40F1">
        <w:rPr>
          <w:sz w:val="20"/>
          <w:szCs w:val="20"/>
          <w:lang w:val="en-GB"/>
        </w:rPr>
        <w:t xml:space="preserve"> are then assessed </w:t>
      </w:r>
      <w:r w:rsidR="0057180E" w:rsidRPr="006A40F1">
        <w:rPr>
          <w:sz w:val="20"/>
          <w:szCs w:val="20"/>
          <w:lang w:val="en-GB"/>
        </w:rPr>
        <w:t>showing the relationships between risk, economic growth and environmental pressures</w:t>
      </w:r>
      <w:r w:rsidRPr="006A40F1">
        <w:rPr>
          <w:sz w:val="20"/>
          <w:szCs w:val="20"/>
          <w:lang w:val="en-GB"/>
        </w:rPr>
        <w:t xml:space="preserve">. </w:t>
      </w:r>
      <w:r w:rsidR="0057180E" w:rsidRPr="006A40F1">
        <w:rPr>
          <w:sz w:val="20"/>
          <w:szCs w:val="20"/>
          <w:lang w:val="en-GB"/>
        </w:rPr>
        <w:t xml:space="preserve">Potential leverage solutions to reduce long term risks, and </w:t>
      </w:r>
      <w:r w:rsidRPr="006A40F1">
        <w:rPr>
          <w:sz w:val="20"/>
          <w:szCs w:val="20"/>
          <w:lang w:val="en-GB"/>
        </w:rPr>
        <w:t xml:space="preserve">directions for businesses to </w:t>
      </w:r>
      <w:r w:rsidR="0057180E" w:rsidRPr="006A40F1">
        <w:rPr>
          <w:sz w:val="20"/>
          <w:szCs w:val="20"/>
          <w:lang w:val="en-GB"/>
        </w:rPr>
        <w:t>support a sustainability transition are highlighted.</w:t>
      </w:r>
    </w:p>
    <w:p w14:paraId="17890721" w14:textId="77777777" w:rsidR="00E9178C" w:rsidRPr="006A40F1" w:rsidRDefault="00E9178C" w:rsidP="00E3052E">
      <w:pPr>
        <w:spacing w:line="240" w:lineRule="atLeast"/>
        <w:rPr>
          <w:sz w:val="20"/>
          <w:szCs w:val="20"/>
          <w:lang w:val="en-GB"/>
        </w:rPr>
      </w:pPr>
    </w:p>
    <w:p w14:paraId="39725C3A" w14:textId="77777777" w:rsidR="002252AE" w:rsidRPr="006A40F1" w:rsidRDefault="00245916" w:rsidP="009B4864">
      <w:pPr>
        <w:spacing w:line="240" w:lineRule="atLeast"/>
        <w:ind w:firstLine="270"/>
        <w:rPr>
          <w:sz w:val="20"/>
          <w:szCs w:val="20"/>
          <w:lang w:val="en-GB"/>
        </w:rPr>
      </w:pPr>
      <w:r w:rsidRPr="006A40F1">
        <w:rPr>
          <w:b/>
          <w:sz w:val="20"/>
          <w:szCs w:val="20"/>
          <w:lang w:val="en-GB"/>
        </w:rPr>
        <w:t xml:space="preserve">Keywords: </w:t>
      </w:r>
      <w:r w:rsidR="00C75F00" w:rsidRPr="006A40F1">
        <w:rPr>
          <w:sz w:val="20"/>
          <w:szCs w:val="20"/>
          <w:lang w:val="en-GB"/>
        </w:rPr>
        <w:t xml:space="preserve">sustainability, </w:t>
      </w:r>
      <w:r w:rsidR="00C00BD1" w:rsidRPr="006A40F1">
        <w:rPr>
          <w:sz w:val="20"/>
          <w:szCs w:val="20"/>
          <w:lang w:val="en-GB"/>
        </w:rPr>
        <w:t>Limits to Growth</w:t>
      </w:r>
      <w:r w:rsidR="00C75F00" w:rsidRPr="006A40F1">
        <w:rPr>
          <w:sz w:val="20"/>
          <w:szCs w:val="20"/>
          <w:lang w:val="en-GB"/>
        </w:rPr>
        <w:t xml:space="preserve">, </w:t>
      </w:r>
      <w:r w:rsidR="002252AE" w:rsidRPr="006A40F1">
        <w:rPr>
          <w:sz w:val="20"/>
          <w:szCs w:val="20"/>
          <w:lang w:val="en-GB"/>
        </w:rPr>
        <w:t>planetary boundaries</w:t>
      </w:r>
      <w:r w:rsidR="00C75F00" w:rsidRPr="006A40F1">
        <w:rPr>
          <w:sz w:val="20"/>
          <w:szCs w:val="20"/>
          <w:lang w:val="en-GB"/>
        </w:rPr>
        <w:t xml:space="preserve">, </w:t>
      </w:r>
      <w:r w:rsidR="002252AE" w:rsidRPr="006A40F1">
        <w:rPr>
          <w:sz w:val="20"/>
          <w:szCs w:val="20"/>
          <w:lang w:val="en-GB"/>
        </w:rPr>
        <w:t>financial risk</w:t>
      </w:r>
      <w:r w:rsidR="00C75F00" w:rsidRPr="006A40F1">
        <w:rPr>
          <w:sz w:val="20"/>
          <w:szCs w:val="20"/>
          <w:lang w:val="en-GB"/>
        </w:rPr>
        <w:t xml:space="preserve">, </w:t>
      </w:r>
      <w:r w:rsidR="002252AE" w:rsidRPr="006A40F1">
        <w:rPr>
          <w:sz w:val="20"/>
          <w:szCs w:val="20"/>
          <w:lang w:val="en-GB"/>
        </w:rPr>
        <w:t>energy transition</w:t>
      </w:r>
      <w:r w:rsidR="00964DB2" w:rsidRPr="006A40F1">
        <w:rPr>
          <w:sz w:val="20"/>
          <w:szCs w:val="20"/>
          <w:lang w:val="en-GB"/>
        </w:rPr>
        <w:t xml:space="preserve">, </w:t>
      </w:r>
      <w:r w:rsidR="002252AE" w:rsidRPr="006A40F1">
        <w:rPr>
          <w:sz w:val="20"/>
          <w:szCs w:val="20"/>
          <w:lang w:val="en-GB"/>
        </w:rPr>
        <w:t>Climate change, Sustainable Development Goals</w:t>
      </w:r>
    </w:p>
    <w:p w14:paraId="265BA582" w14:textId="5C6F6B40" w:rsidR="00245916" w:rsidRPr="006A40F1" w:rsidRDefault="00C75F00" w:rsidP="009B4864">
      <w:pPr>
        <w:spacing w:line="240" w:lineRule="atLeast"/>
        <w:ind w:firstLine="270"/>
        <w:rPr>
          <w:b/>
          <w:sz w:val="20"/>
          <w:szCs w:val="20"/>
          <w:lang w:val="en-GB"/>
        </w:rPr>
      </w:pPr>
      <w:r w:rsidRPr="006A40F1">
        <w:rPr>
          <w:b/>
          <w:sz w:val="20"/>
          <w:szCs w:val="20"/>
          <w:lang w:val="en-GB"/>
        </w:rPr>
        <w:t xml:space="preserve"> </w:t>
      </w:r>
    </w:p>
    <w:p w14:paraId="29913CAC" w14:textId="77777777" w:rsidR="00EE68B8" w:rsidRPr="006A40F1" w:rsidRDefault="00245916" w:rsidP="005E0BD5">
      <w:pPr>
        <w:pStyle w:val="Heading1"/>
      </w:pPr>
      <w:r w:rsidRPr="006A40F1">
        <w:lastRenderedPageBreak/>
        <w:t>Introduction</w:t>
      </w:r>
    </w:p>
    <w:p w14:paraId="43D158FE" w14:textId="77777777" w:rsidR="009B4864" w:rsidRPr="006A40F1" w:rsidRDefault="009B4864" w:rsidP="009B4864">
      <w:pPr>
        <w:spacing w:line="240" w:lineRule="atLeast"/>
        <w:ind w:firstLine="270"/>
        <w:rPr>
          <w:b/>
          <w:sz w:val="20"/>
          <w:szCs w:val="20"/>
          <w:lang w:val="en-GB"/>
        </w:rPr>
      </w:pPr>
    </w:p>
    <w:p w14:paraId="67932A36" w14:textId="59693391" w:rsidR="002D1F55" w:rsidRPr="006A40F1" w:rsidRDefault="002D1F55" w:rsidP="00554ED6">
      <w:pPr>
        <w:spacing w:line="240" w:lineRule="atLeast"/>
        <w:ind w:firstLine="270"/>
        <w:jc w:val="both"/>
        <w:rPr>
          <w:sz w:val="20"/>
          <w:szCs w:val="20"/>
          <w:lang w:val="en-GB"/>
        </w:rPr>
      </w:pPr>
      <w:r w:rsidRPr="006A40F1">
        <w:rPr>
          <w:sz w:val="20"/>
          <w:szCs w:val="20"/>
          <w:lang w:val="en-GB"/>
        </w:rPr>
        <w:t>Short</w:t>
      </w:r>
      <w:r w:rsidR="00E9178C" w:rsidRPr="006A40F1">
        <w:rPr>
          <w:sz w:val="20"/>
          <w:szCs w:val="20"/>
          <w:lang w:val="en-GB"/>
        </w:rPr>
        <w:t>-</w:t>
      </w:r>
      <w:r w:rsidRPr="006A40F1">
        <w:rPr>
          <w:sz w:val="20"/>
          <w:szCs w:val="20"/>
          <w:lang w:val="en-GB"/>
        </w:rPr>
        <w:t>term business growth is the main paradigm governing business activities in the indefinite long term. This is important for paying salaries, employing new entrants in the job market, paying debt, coping with inflation, as well as being competitive in a complex world among others. In 1972, the Limits to Growth explored scenarios of long term business growth in a finite planet, demonstrating how short-term business as usual growth, could generate long term risks, including the possibility of overshoot of the global economy to global limits and possibility for economic collapse within the first half of the 21st century (Meadows et al 1972, Meadows et al 2003). These trends are partially confirmed today in the Intergovernmental Panel of Climate Change, exploring how climate change effects are creating difficulties and chaos all over the world (IPCC 2014).</w:t>
      </w:r>
    </w:p>
    <w:p w14:paraId="13C74EE2" w14:textId="77777777" w:rsidR="002D1F55" w:rsidRPr="006A40F1" w:rsidRDefault="002D1F55" w:rsidP="00554ED6">
      <w:pPr>
        <w:spacing w:line="240" w:lineRule="atLeast"/>
        <w:ind w:firstLine="270"/>
        <w:jc w:val="both"/>
        <w:rPr>
          <w:sz w:val="20"/>
          <w:szCs w:val="20"/>
          <w:lang w:val="en-GB"/>
        </w:rPr>
      </w:pPr>
    </w:p>
    <w:p w14:paraId="6029F1D7" w14:textId="433337FF" w:rsidR="002D1F55" w:rsidRPr="006A40F1" w:rsidRDefault="002D1F55" w:rsidP="00554ED6">
      <w:pPr>
        <w:spacing w:line="240" w:lineRule="atLeast"/>
        <w:ind w:firstLine="270"/>
        <w:jc w:val="both"/>
        <w:rPr>
          <w:sz w:val="20"/>
          <w:szCs w:val="20"/>
          <w:lang w:val="en-GB"/>
        </w:rPr>
      </w:pPr>
      <w:r w:rsidRPr="006A40F1">
        <w:rPr>
          <w:sz w:val="20"/>
          <w:szCs w:val="20"/>
          <w:lang w:val="en-GB"/>
        </w:rPr>
        <w:t>Growth is generally planned within businesses as a goal towards the future, often adopting forecasting technology and risk assessment as a mean</w:t>
      </w:r>
      <w:r w:rsidR="001868C3" w:rsidRPr="006A40F1">
        <w:rPr>
          <w:sz w:val="20"/>
          <w:szCs w:val="20"/>
          <w:lang w:val="en-GB"/>
        </w:rPr>
        <w:t>s</w:t>
      </w:r>
      <w:r w:rsidRPr="006A40F1">
        <w:rPr>
          <w:sz w:val="20"/>
          <w:szCs w:val="20"/>
          <w:lang w:val="en-GB"/>
        </w:rPr>
        <w:t xml:space="preserve"> to explore future possibilities. For </w:t>
      </w:r>
      <w:r w:rsidR="00A024A9" w:rsidRPr="006A40F1">
        <w:rPr>
          <w:sz w:val="20"/>
          <w:szCs w:val="20"/>
          <w:lang w:val="en-GB"/>
        </w:rPr>
        <w:t>example,</w:t>
      </w:r>
      <w:r w:rsidRPr="006A40F1">
        <w:rPr>
          <w:sz w:val="20"/>
          <w:szCs w:val="20"/>
          <w:lang w:val="en-GB"/>
        </w:rPr>
        <w:t xml:space="preserve"> a company might project sales towards the next quarter, and assess possibilities to meet projections. First</w:t>
      </w:r>
      <w:r w:rsidR="00A024A9" w:rsidRPr="006A40F1">
        <w:rPr>
          <w:sz w:val="20"/>
          <w:szCs w:val="20"/>
          <w:lang w:val="en-GB"/>
        </w:rPr>
        <w:t>,</w:t>
      </w:r>
      <w:r w:rsidRPr="006A40F1">
        <w:rPr>
          <w:sz w:val="20"/>
          <w:szCs w:val="20"/>
          <w:lang w:val="en-GB"/>
        </w:rPr>
        <w:t xml:space="preserve"> they would build expectations for the future (average sales), assess a possible variability from ideal expectations (variance), and consider those factors that have the potential to bring their plans away from expectations (risks). As a result, growth implies risk assessment and management as part of planning for the future.  </w:t>
      </w:r>
    </w:p>
    <w:p w14:paraId="442FB8B8" w14:textId="77777777" w:rsidR="002D1F55" w:rsidRPr="006A40F1" w:rsidRDefault="002D1F55" w:rsidP="00554ED6">
      <w:pPr>
        <w:spacing w:line="240" w:lineRule="atLeast"/>
        <w:ind w:firstLine="270"/>
        <w:jc w:val="both"/>
        <w:rPr>
          <w:sz w:val="20"/>
          <w:szCs w:val="20"/>
          <w:lang w:val="en-GB"/>
        </w:rPr>
      </w:pPr>
    </w:p>
    <w:p w14:paraId="75CE4F18" w14:textId="354F676A" w:rsidR="002D1F55" w:rsidRPr="006A40F1" w:rsidRDefault="002D1F55" w:rsidP="00554ED6">
      <w:pPr>
        <w:spacing w:line="240" w:lineRule="atLeast"/>
        <w:ind w:firstLine="270"/>
        <w:jc w:val="both"/>
        <w:rPr>
          <w:sz w:val="20"/>
          <w:szCs w:val="20"/>
          <w:lang w:val="en-GB"/>
        </w:rPr>
      </w:pPr>
      <w:r w:rsidRPr="006A40F1">
        <w:rPr>
          <w:sz w:val="20"/>
          <w:szCs w:val="20"/>
          <w:lang w:val="en-GB"/>
        </w:rPr>
        <w:t xml:space="preserve">Risk assessment is the core of the business model of financial institutions such as banking and insurance industries. For example, banks’ lending activities </w:t>
      </w:r>
      <w:r w:rsidR="002C3B31" w:rsidRPr="006A40F1">
        <w:rPr>
          <w:sz w:val="20"/>
          <w:szCs w:val="20"/>
          <w:lang w:val="en-GB"/>
        </w:rPr>
        <w:t>need</w:t>
      </w:r>
      <w:r w:rsidR="00F03B73" w:rsidRPr="006A40F1">
        <w:rPr>
          <w:sz w:val="20"/>
          <w:szCs w:val="20"/>
          <w:lang w:val="en-GB"/>
        </w:rPr>
        <w:t xml:space="preserve"> </w:t>
      </w:r>
      <w:r w:rsidRPr="006A40F1">
        <w:rPr>
          <w:sz w:val="20"/>
          <w:szCs w:val="20"/>
          <w:lang w:val="en-GB"/>
        </w:rPr>
        <w:t>to assess the risk of creditors to repay their debt back over a certain time. The basic metric that summarizes the risk of a debtor is the interest premium calculated as</w:t>
      </w:r>
      <w:r w:rsidR="00767FA2" w:rsidRPr="006A40F1">
        <w:rPr>
          <w:sz w:val="20"/>
          <w:szCs w:val="20"/>
          <w:lang w:val="en-GB"/>
        </w:rPr>
        <w:t xml:space="preserve"> a</w:t>
      </w:r>
      <w:r w:rsidR="00D71458" w:rsidRPr="006A40F1">
        <w:rPr>
          <w:sz w:val="20"/>
          <w:szCs w:val="20"/>
          <w:lang w:val="en-GB"/>
        </w:rPr>
        <w:t xml:space="preserve"> </w:t>
      </w:r>
      <w:r w:rsidRPr="006A40F1">
        <w:rPr>
          <w:sz w:val="20"/>
          <w:szCs w:val="20"/>
          <w:lang w:val="en-GB"/>
        </w:rPr>
        <w:t>fraction o</w:t>
      </w:r>
      <w:r w:rsidR="00E9178C" w:rsidRPr="006A40F1">
        <w:rPr>
          <w:sz w:val="20"/>
          <w:szCs w:val="20"/>
          <w:lang w:val="en-GB"/>
        </w:rPr>
        <w:t>f</w:t>
      </w:r>
      <w:r w:rsidRPr="006A40F1">
        <w:rPr>
          <w:sz w:val="20"/>
          <w:szCs w:val="20"/>
          <w:lang w:val="en-GB"/>
        </w:rPr>
        <w:t xml:space="preserve"> the debt </w:t>
      </w:r>
      <w:r w:rsidR="00E9178C" w:rsidRPr="006A40F1">
        <w:rPr>
          <w:sz w:val="20"/>
          <w:szCs w:val="20"/>
          <w:lang w:val="en-GB"/>
        </w:rPr>
        <w:t xml:space="preserve">that is </w:t>
      </w:r>
      <w:r w:rsidRPr="006A40F1">
        <w:rPr>
          <w:sz w:val="20"/>
          <w:szCs w:val="20"/>
          <w:lang w:val="en-GB"/>
        </w:rPr>
        <w:t xml:space="preserve">necessary to service the cost of loans based on the likelihood capabilities to return </w:t>
      </w:r>
      <w:r w:rsidR="00E9178C" w:rsidRPr="006A40F1">
        <w:rPr>
          <w:sz w:val="20"/>
          <w:szCs w:val="20"/>
          <w:lang w:val="en-GB"/>
        </w:rPr>
        <w:t>it</w:t>
      </w:r>
      <w:r w:rsidRPr="006A40F1">
        <w:rPr>
          <w:sz w:val="20"/>
          <w:szCs w:val="20"/>
          <w:lang w:val="en-GB"/>
        </w:rPr>
        <w:t>. The lower the likelihood to return the debt, the higher the risk, thus the interest rate and the cost of debt. At the same time, the higher the risk the lower the propensity of the bank to provide loans. In so doing, wealthy individuals would be in</w:t>
      </w:r>
      <w:r w:rsidR="00F137E0" w:rsidRPr="006A40F1">
        <w:rPr>
          <w:sz w:val="20"/>
          <w:szCs w:val="20"/>
          <w:lang w:val="en-GB"/>
        </w:rPr>
        <w:t xml:space="preserve"> a</w:t>
      </w:r>
      <w:r w:rsidRPr="006A40F1">
        <w:rPr>
          <w:sz w:val="20"/>
          <w:szCs w:val="20"/>
          <w:lang w:val="en-GB"/>
        </w:rPr>
        <w:t xml:space="preserve"> better position for receiving liquidity, and will be granted cash for cheaper cost</w:t>
      </w:r>
      <w:r w:rsidR="004B54FB" w:rsidRPr="006A40F1">
        <w:rPr>
          <w:sz w:val="20"/>
          <w:szCs w:val="20"/>
          <w:lang w:val="en-GB"/>
        </w:rPr>
        <w:t>s</w:t>
      </w:r>
      <w:r w:rsidRPr="006A40F1">
        <w:rPr>
          <w:sz w:val="20"/>
          <w:szCs w:val="20"/>
          <w:lang w:val="en-GB"/>
        </w:rPr>
        <w:t xml:space="preserve">, thus supporting them to grow even further. This implies important dynamics of inequality between those who own capital and those who do not. In </w:t>
      </w:r>
      <w:r w:rsidR="00D71458" w:rsidRPr="006A40F1">
        <w:rPr>
          <w:sz w:val="20"/>
          <w:szCs w:val="20"/>
          <w:lang w:val="en-GB"/>
        </w:rPr>
        <w:t>addition,</w:t>
      </w:r>
      <w:r w:rsidRPr="006A40F1">
        <w:rPr>
          <w:sz w:val="20"/>
          <w:szCs w:val="20"/>
          <w:lang w:val="en-GB"/>
        </w:rPr>
        <w:t xml:space="preserve"> the higher the risk, the higher the expected growth of a company to be able to make enough money to pay for their debt, thus creating pressures to boost growth even further. </w:t>
      </w:r>
    </w:p>
    <w:p w14:paraId="06BD4D46" w14:textId="77777777" w:rsidR="002D1F55" w:rsidRPr="006A40F1" w:rsidRDefault="002D1F55" w:rsidP="00554ED6">
      <w:pPr>
        <w:spacing w:line="240" w:lineRule="atLeast"/>
        <w:ind w:firstLine="270"/>
        <w:jc w:val="both"/>
        <w:rPr>
          <w:sz w:val="20"/>
          <w:szCs w:val="20"/>
          <w:lang w:val="en-GB"/>
        </w:rPr>
      </w:pPr>
    </w:p>
    <w:p w14:paraId="55A74BAB" w14:textId="359D8534" w:rsidR="00EE68B8" w:rsidRPr="006A40F1" w:rsidRDefault="002D1F55" w:rsidP="00554ED6">
      <w:pPr>
        <w:spacing w:line="240" w:lineRule="atLeast"/>
        <w:ind w:firstLine="270"/>
        <w:jc w:val="both"/>
        <w:rPr>
          <w:sz w:val="20"/>
          <w:szCs w:val="20"/>
          <w:lang w:val="en-GB"/>
        </w:rPr>
      </w:pPr>
      <w:r w:rsidRPr="006A40F1">
        <w:rPr>
          <w:sz w:val="20"/>
          <w:szCs w:val="20"/>
          <w:lang w:val="en-GB"/>
        </w:rPr>
        <w:t xml:space="preserve">But what </w:t>
      </w:r>
      <w:r w:rsidR="00A96296" w:rsidRPr="006A40F1">
        <w:rPr>
          <w:sz w:val="20"/>
          <w:szCs w:val="20"/>
          <w:lang w:val="en-GB"/>
        </w:rPr>
        <w:t>are</w:t>
      </w:r>
      <w:r w:rsidRPr="006A40F1">
        <w:rPr>
          <w:sz w:val="20"/>
          <w:szCs w:val="20"/>
          <w:lang w:val="en-GB"/>
        </w:rPr>
        <w:t xml:space="preserve"> the </w:t>
      </w:r>
      <w:r w:rsidR="007A3ABF" w:rsidRPr="006A40F1">
        <w:rPr>
          <w:sz w:val="20"/>
          <w:szCs w:val="20"/>
          <w:lang w:val="en-GB"/>
        </w:rPr>
        <w:t>long-term</w:t>
      </w:r>
      <w:r w:rsidRPr="006A40F1">
        <w:rPr>
          <w:sz w:val="20"/>
          <w:szCs w:val="20"/>
          <w:lang w:val="en-GB"/>
        </w:rPr>
        <w:t xml:space="preserve"> dynamics of the </w:t>
      </w:r>
      <w:r w:rsidR="00A71263" w:rsidRPr="006A40F1">
        <w:rPr>
          <w:sz w:val="20"/>
          <w:szCs w:val="20"/>
          <w:lang w:val="en-GB"/>
        </w:rPr>
        <w:t>short-term</w:t>
      </w:r>
      <w:r w:rsidRPr="006A40F1">
        <w:rPr>
          <w:sz w:val="20"/>
          <w:szCs w:val="20"/>
          <w:lang w:val="en-GB"/>
        </w:rPr>
        <w:t xml:space="preserve"> goals of business leaders and managers? And most important, what if growth is the inherent cause of systemic risk </w:t>
      </w:r>
      <w:r w:rsidRPr="006A40F1">
        <w:rPr>
          <w:sz w:val="20"/>
          <w:szCs w:val="20"/>
          <w:lang w:val="en-GB"/>
        </w:rPr>
        <w:lastRenderedPageBreak/>
        <w:t>increase over time? Is the forecast provided in the Limits to Growth consistent with reality today? These questions are complex and must be addressed using system thinking. In this chapter, we first give a definition of complex system</w:t>
      </w:r>
      <w:r w:rsidR="00E9178C" w:rsidRPr="006A40F1">
        <w:rPr>
          <w:sz w:val="20"/>
          <w:szCs w:val="20"/>
          <w:lang w:val="en-GB"/>
        </w:rPr>
        <w:t>s, system thinking</w:t>
      </w:r>
      <w:r w:rsidRPr="006A40F1">
        <w:rPr>
          <w:sz w:val="20"/>
          <w:szCs w:val="20"/>
          <w:lang w:val="en-GB"/>
        </w:rPr>
        <w:t xml:space="preserve"> and sustainability, and we demonstrate the most basic business methods employed today to manage future risk</w:t>
      </w:r>
      <w:r w:rsidR="00E9178C" w:rsidRPr="006A40F1">
        <w:rPr>
          <w:sz w:val="20"/>
          <w:szCs w:val="20"/>
          <w:lang w:val="en-GB"/>
        </w:rPr>
        <w:t>s</w:t>
      </w:r>
      <w:r w:rsidRPr="006A40F1">
        <w:rPr>
          <w:sz w:val="20"/>
          <w:szCs w:val="20"/>
          <w:lang w:val="en-GB"/>
        </w:rPr>
        <w:t xml:space="preserve">, providing a practical example of the dynamic of </w:t>
      </w:r>
      <w:r w:rsidR="009C6219" w:rsidRPr="006A40F1">
        <w:rPr>
          <w:sz w:val="20"/>
          <w:szCs w:val="20"/>
          <w:lang w:val="en-GB"/>
        </w:rPr>
        <w:t>long-term</w:t>
      </w:r>
      <w:r w:rsidRPr="006A40F1">
        <w:rPr>
          <w:sz w:val="20"/>
          <w:szCs w:val="20"/>
          <w:lang w:val="en-GB"/>
        </w:rPr>
        <w:t xml:space="preserve"> exponential growth at the level of aggregated global economy. </w:t>
      </w:r>
      <w:r w:rsidR="009C6219" w:rsidRPr="006A40F1">
        <w:rPr>
          <w:sz w:val="20"/>
          <w:szCs w:val="20"/>
          <w:lang w:val="en-GB"/>
        </w:rPr>
        <w:t>Thus,</w:t>
      </w:r>
      <w:r w:rsidRPr="006A40F1">
        <w:rPr>
          <w:sz w:val="20"/>
          <w:szCs w:val="20"/>
          <w:lang w:val="en-GB"/>
        </w:rPr>
        <w:t xml:space="preserve"> we briefly review the Limits to Growth model, and recent literature that compared such a forecast to today’s data. This is followed by the descriptions of the major drivers for growth, including constraints and opportunities for growth. Ecological limits are then assessed demonstrating how growth can generate risks including resources depletion, pressures on the agricultural system, climate change and planetary boundaries framework. As a basic leverage point for the transition towards sustainability we show the state of the energy transition towards clean tech. </w:t>
      </w:r>
      <w:r w:rsidR="009C6219" w:rsidRPr="006A40F1">
        <w:rPr>
          <w:sz w:val="20"/>
          <w:szCs w:val="20"/>
          <w:lang w:val="en-GB"/>
        </w:rPr>
        <w:t>Thus,</w:t>
      </w:r>
      <w:r w:rsidRPr="006A40F1">
        <w:rPr>
          <w:sz w:val="20"/>
          <w:szCs w:val="20"/>
          <w:lang w:val="en-GB"/>
        </w:rPr>
        <w:t xml:space="preserve"> the Sustainable Development Goals and the correct use of those is introduced, concluding with directions for businesses to engage in decision making towards a sustainable world.</w:t>
      </w:r>
    </w:p>
    <w:p w14:paraId="0E0ED211" w14:textId="77777777" w:rsidR="009B4864" w:rsidRPr="006A40F1" w:rsidRDefault="009B4864" w:rsidP="00554ED6">
      <w:pPr>
        <w:spacing w:line="240" w:lineRule="atLeast"/>
        <w:jc w:val="both"/>
        <w:rPr>
          <w:sz w:val="20"/>
          <w:szCs w:val="20"/>
          <w:lang w:val="en-GB"/>
        </w:rPr>
      </w:pPr>
    </w:p>
    <w:p w14:paraId="699D7BB6" w14:textId="77777777" w:rsidR="009B4864" w:rsidRPr="006A40F1" w:rsidRDefault="009B4864" w:rsidP="009B4864">
      <w:pPr>
        <w:spacing w:line="240" w:lineRule="atLeast"/>
        <w:rPr>
          <w:b/>
          <w:sz w:val="20"/>
          <w:szCs w:val="20"/>
          <w:lang w:val="en-GB"/>
        </w:rPr>
      </w:pPr>
    </w:p>
    <w:p w14:paraId="599FF565" w14:textId="00F7A17B" w:rsidR="00EE68B8" w:rsidRPr="005E0BD5" w:rsidRDefault="00EE68B8" w:rsidP="005E0BD5">
      <w:pPr>
        <w:pStyle w:val="Heading1"/>
        <w:rPr>
          <w:rStyle w:val="Strong"/>
          <w:b/>
          <w:bCs/>
        </w:rPr>
      </w:pPr>
      <w:r w:rsidRPr="005E0BD5">
        <w:rPr>
          <w:rStyle w:val="Strong"/>
          <w:b/>
          <w:bCs/>
        </w:rPr>
        <w:t xml:space="preserve">1. </w:t>
      </w:r>
      <w:r w:rsidR="002D1F55" w:rsidRPr="005E0BD5">
        <w:rPr>
          <w:rStyle w:val="Strong"/>
          <w:b/>
          <w:bCs/>
        </w:rPr>
        <w:t>System thinking and complexity</w:t>
      </w:r>
    </w:p>
    <w:p w14:paraId="6895FC54" w14:textId="77777777" w:rsidR="009B4864" w:rsidRPr="006A40F1" w:rsidRDefault="009B4864" w:rsidP="00E3052E">
      <w:pPr>
        <w:spacing w:line="240" w:lineRule="atLeast"/>
        <w:ind w:firstLine="720"/>
        <w:rPr>
          <w:sz w:val="20"/>
          <w:szCs w:val="20"/>
          <w:lang w:val="en-GB"/>
        </w:rPr>
      </w:pPr>
    </w:p>
    <w:p w14:paraId="1C92AFA5" w14:textId="77777777" w:rsidR="002D1F55" w:rsidRPr="006A40F1" w:rsidRDefault="002D1F55" w:rsidP="00554ED6">
      <w:pPr>
        <w:spacing w:line="240" w:lineRule="atLeast"/>
        <w:jc w:val="both"/>
        <w:rPr>
          <w:sz w:val="20"/>
          <w:szCs w:val="20"/>
          <w:lang w:val="en-GB"/>
        </w:rPr>
      </w:pPr>
      <w:r w:rsidRPr="006A40F1">
        <w:rPr>
          <w:sz w:val="20"/>
          <w:szCs w:val="20"/>
          <w:lang w:val="en-GB"/>
        </w:rPr>
        <w:t xml:space="preserve">A complex system can be defined as a ‘set of mutually dependent elements which interact one to another towards a purpose’. ‘System thinking’ is the approach required to understand and analyse complex systems. Whereas mechanistic, reductionist or atomistic views give emphasis to the elements that compose systems, system thinking (or organic, or holistic) gives emphasis to the whole. When systems are complex, their essential properties emerge from the interaction and relationships between parts, that cannot be isolated. In the words of Capra and Luisi (2016) “the nature of the whole is always different from the mere sum of its parts”. </w:t>
      </w:r>
    </w:p>
    <w:p w14:paraId="42690D28" w14:textId="77777777" w:rsidR="002D1F55" w:rsidRPr="006A40F1" w:rsidRDefault="002D1F55" w:rsidP="00554ED6">
      <w:pPr>
        <w:spacing w:line="240" w:lineRule="atLeast"/>
        <w:jc w:val="both"/>
        <w:rPr>
          <w:sz w:val="20"/>
          <w:szCs w:val="20"/>
          <w:lang w:val="en-GB"/>
        </w:rPr>
      </w:pPr>
    </w:p>
    <w:p w14:paraId="1BD76668" w14:textId="0C6192E9" w:rsidR="009B4864" w:rsidRPr="006A40F1" w:rsidRDefault="002D1F55" w:rsidP="00554ED6">
      <w:pPr>
        <w:spacing w:line="240" w:lineRule="atLeast"/>
        <w:jc w:val="both"/>
        <w:rPr>
          <w:sz w:val="20"/>
          <w:szCs w:val="20"/>
          <w:lang w:val="en-GB"/>
        </w:rPr>
      </w:pPr>
      <w:r w:rsidRPr="006A40F1">
        <w:rPr>
          <w:sz w:val="20"/>
          <w:szCs w:val="20"/>
          <w:lang w:val="en-GB"/>
        </w:rPr>
        <w:t>We recognize complex system</w:t>
      </w:r>
      <w:r w:rsidR="006A7A35" w:rsidRPr="006A40F1">
        <w:rPr>
          <w:sz w:val="20"/>
          <w:szCs w:val="20"/>
          <w:lang w:val="en-GB"/>
        </w:rPr>
        <w:t>s</w:t>
      </w:r>
      <w:r w:rsidRPr="006A40F1">
        <w:rPr>
          <w:sz w:val="20"/>
          <w:szCs w:val="20"/>
          <w:lang w:val="en-GB"/>
        </w:rPr>
        <w:t xml:space="preserve"> when we can describe them with the following terms:</w:t>
      </w:r>
    </w:p>
    <w:p w14:paraId="383D2039" w14:textId="650C6157" w:rsidR="002D1F55" w:rsidRPr="006A40F1" w:rsidRDefault="002D1F55" w:rsidP="00554ED6">
      <w:pPr>
        <w:pStyle w:val="ListParagraph"/>
        <w:numPr>
          <w:ilvl w:val="0"/>
          <w:numId w:val="17"/>
        </w:numPr>
        <w:spacing w:line="240" w:lineRule="atLeast"/>
        <w:jc w:val="both"/>
        <w:rPr>
          <w:i/>
          <w:sz w:val="20"/>
          <w:szCs w:val="20"/>
          <w:lang w:val="en-GB"/>
        </w:rPr>
      </w:pPr>
      <w:r w:rsidRPr="006A40F1">
        <w:rPr>
          <w:i/>
          <w:sz w:val="20"/>
          <w:szCs w:val="20"/>
          <w:lang w:val="en-GB"/>
        </w:rPr>
        <w:t>Feedback loop – a closed path relationship between an element and itself through the other elements of the system</w:t>
      </w:r>
    </w:p>
    <w:p w14:paraId="1C09EFA5" w14:textId="6B436338" w:rsidR="002D1F55" w:rsidRPr="006A40F1" w:rsidRDefault="002D1F55" w:rsidP="00554ED6">
      <w:pPr>
        <w:pStyle w:val="ListParagraph"/>
        <w:numPr>
          <w:ilvl w:val="0"/>
          <w:numId w:val="17"/>
        </w:numPr>
        <w:spacing w:line="240" w:lineRule="atLeast"/>
        <w:jc w:val="both"/>
        <w:rPr>
          <w:i/>
          <w:sz w:val="20"/>
          <w:szCs w:val="20"/>
          <w:lang w:val="en-GB"/>
        </w:rPr>
      </w:pPr>
      <w:r w:rsidRPr="006A40F1">
        <w:rPr>
          <w:i/>
          <w:sz w:val="20"/>
          <w:szCs w:val="20"/>
          <w:lang w:val="en-GB"/>
        </w:rPr>
        <w:t xml:space="preserve">Non-linearity – the typical </w:t>
      </w:r>
      <w:r w:rsidR="00587C6E" w:rsidRPr="006A40F1">
        <w:rPr>
          <w:i/>
          <w:sz w:val="20"/>
          <w:szCs w:val="20"/>
          <w:lang w:val="en-GB"/>
        </w:rPr>
        <w:t>behaviour</w:t>
      </w:r>
      <w:r w:rsidRPr="006A40F1">
        <w:rPr>
          <w:i/>
          <w:sz w:val="20"/>
          <w:szCs w:val="20"/>
          <w:lang w:val="en-GB"/>
        </w:rPr>
        <w:t xml:space="preserve"> of changing response to a perturbation that was recorded in the past, but with unprecedented final outcome </w:t>
      </w:r>
    </w:p>
    <w:p w14:paraId="443B449D" w14:textId="36444283" w:rsidR="002D1F55" w:rsidRPr="006A40F1" w:rsidRDefault="002D1F55" w:rsidP="00554ED6">
      <w:pPr>
        <w:pStyle w:val="ListParagraph"/>
        <w:numPr>
          <w:ilvl w:val="0"/>
          <w:numId w:val="17"/>
        </w:numPr>
        <w:spacing w:line="240" w:lineRule="atLeast"/>
        <w:jc w:val="both"/>
        <w:rPr>
          <w:i/>
          <w:sz w:val="20"/>
          <w:szCs w:val="20"/>
          <w:lang w:val="en-GB"/>
        </w:rPr>
      </w:pPr>
      <w:r w:rsidRPr="006A40F1">
        <w:rPr>
          <w:i/>
          <w:sz w:val="20"/>
          <w:szCs w:val="20"/>
          <w:lang w:val="en-GB"/>
        </w:rPr>
        <w:t>Path dependency – the tendency to lock in systems into paths that are dependent on the initial conditions, presenting difficulty to invert the path once taken</w:t>
      </w:r>
    </w:p>
    <w:p w14:paraId="30C4134D" w14:textId="4161FB17" w:rsidR="002D1F55" w:rsidRPr="006A40F1" w:rsidRDefault="002D1F55" w:rsidP="00554ED6">
      <w:pPr>
        <w:pStyle w:val="ListParagraph"/>
        <w:numPr>
          <w:ilvl w:val="0"/>
          <w:numId w:val="17"/>
        </w:numPr>
        <w:spacing w:line="240" w:lineRule="atLeast"/>
        <w:jc w:val="both"/>
        <w:rPr>
          <w:i/>
          <w:sz w:val="20"/>
          <w:szCs w:val="20"/>
          <w:lang w:val="en-GB"/>
        </w:rPr>
      </w:pPr>
      <w:r w:rsidRPr="006A40F1">
        <w:rPr>
          <w:i/>
          <w:sz w:val="20"/>
          <w:szCs w:val="20"/>
          <w:lang w:val="en-GB"/>
        </w:rPr>
        <w:t xml:space="preserve">Emergency – The formation of aggregate system dynamics dependent on the interaction between components and often not intuitive a priori </w:t>
      </w:r>
    </w:p>
    <w:p w14:paraId="6D2549C3" w14:textId="566D22B1" w:rsidR="002D1F55" w:rsidRPr="006A40F1" w:rsidRDefault="002D1F55" w:rsidP="00554ED6">
      <w:pPr>
        <w:pStyle w:val="ListParagraph"/>
        <w:numPr>
          <w:ilvl w:val="0"/>
          <w:numId w:val="17"/>
        </w:numPr>
        <w:spacing w:line="240" w:lineRule="atLeast"/>
        <w:jc w:val="both"/>
        <w:rPr>
          <w:i/>
          <w:sz w:val="20"/>
          <w:szCs w:val="20"/>
          <w:lang w:val="en-GB"/>
        </w:rPr>
      </w:pPr>
      <w:r w:rsidRPr="006A40F1">
        <w:rPr>
          <w:i/>
          <w:sz w:val="20"/>
          <w:szCs w:val="20"/>
          <w:lang w:val="en-GB"/>
        </w:rPr>
        <w:lastRenderedPageBreak/>
        <w:t>Self-organization – the potential change in system connections dependent on their evolution over time</w:t>
      </w:r>
    </w:p>
    <w:p w14:paraId="71D27B1E" w14:textId="229E3D35" w:rsidR="002D1F55" w:rsidRPr="006A40F1" w:rsidRDefault="002D1F55" w:rsidP="00554ED6">
      <w:pPr>
        <w:pStyle w:val="ListParagraph"/>
        <w:numPr>
          <w:ilvl w:val="0"/>
          <w:numId w:val="17"/>
        </w:numPr>
        <w:spacing w:line="240" w:lineRule="atLeast"/>
        <w:jc w:val="both"/>
        <w:rPr>
          <w:i/>
          <w:sz w:val="20"/>
          <w:szCs w:val="20"/>
          <w:lang w:val="en-GB"/>
        </w:rPr>
      </w:pPr>
      <w:r w:rsidRPr="006A40F1">
        <w:rPr>
          <w:i/>
          <w:sz w:val="20"/>
          <w:szCs w:val="20"/>
          <w:lang w:val="en-GB"/>
        </w:rPr>
        <w:t>Hierarchy – the tendency to structure systems with particular elements to</w:t>
      </w:r>
      <w:r w:rsidR="003D5F74" w:rsidRPr="006A40F1">
        <w:rPr>
          <w:i/>
          <w:sz w:val="20"/>
          <w:szCs w:val="20"/>
          <w:lang w:val="en-GB"/>
        </w:rPr>
        <w:t>*</w:t>
      </w:r>
      <w:r w:rsidRPr="006A40F1">
        <w:rPr>
          <w:i/>
          <w:sz w:val="20"/>
          <w:szCs w:val="20"/>
          <w:lang w:val="en-GB"/>
        </w:rPr>
        <w:t xml:space="preserve"> have more importance than others, and generating a dynamic of cascading effects of some elements to the others</w:t>
      </w:r>
    </w:p>
    <w:p w14:paraId="65BAFAD4" w14:textId="1A1C237E" w:rsidR="002D1F55" w:rsidRPr="006A40F1" w:rsidRDefault="002D1F55" w:rsidP="00554ED6">
      <w:pPr>
        <w:spacing w:line="240" w:lineRule="atLeast"/>
        <w:jc w:val="both"/>
        <w:rPr>
          <w:i/>
          <w:sz w:val="20"/>
          <w:szCs w:val="20"/>
          <w:lang w:val="en-GB"/>
        </w:rPr>
      </w:pPr>
    </w:p>
    <w:p w14:paraId="0F9A4831" w14:textId="2101570E" w:rsidR="002D1F55" w:rsidRPr="006A40F1" w:rsidRDefault="002D1F55" w:rsidP="00554ED6">
      <w:pPr>
        <w:spacing w:line="240" w:lineRule="atLeast"/>
        <w:ind w:firstLine="270"/>
        <w:jc w:val="both"/>
        <w:rPr>
          <w:sz w:val="20"/>
          <w:szCs w:val="20"/>
          <w:lang w:val="en-GB"/>
        </w:rPr>
      </w:pPr>
      <w:r w:rsidRPr="006A40F1">
        <w:rPr>
          <w:sz w:val="20"/>
          <w:szCs w:val="20"/>
          <w:lang w:val="en-GB"/>
        </w:rPr>
        <w:t xml:space="preserve">In such a context, the sustainability challenge requires a mutual synergy between markets and governments to lead the world </w:t>
      </w:r>
      <w:r w:rsidR="007823BC" w:rsidRPr="006A40F1">
        <w:rPr>
          <w:sz w:val="20"/>
          <w:szCs w:val="20"/>
          <w:lang w:val="en-GB"/>
        </w:rPr>
        <w:t xml:space="preserve">towards </w:t>
      </w:r>
      <w:r w:rsidRPr="006A40F1">
        <w:rPr>
          <w:sz w:val="20"/>
          <w:szCs w:val="20"/>
          <w:lang w:val="en-GB"/>
        </w:rPr>
        <w:t>long term prosperity. In order to approach sustainability with a chance of success, it must be seen as</w:t>
      </w:r>
      <w:r w:rsidR="003C3376" w:rsidRPr="006A40F1">
        <w:rPr>
          <w:sz w:val="20"/>
          <w:szCs w:val="20"/>
          <w:lang w:val="en-GB"/>
        </w:rPr>
        <w:t xml:space="preserve"> a</w:t>
      </w:r>
      <w:r w:rsidRPr="006A40F1">
        <w:rPr>
          <w:sz w:val="20"/>
          <w:szCs w:val="20"/>
          <w:lang w:val="en-GB"/>
        </w:rPr>
        <w:t xml:space="preserve"> multidisciplinary challenge involving different systems interconnected through mutual feedbacks. One of the earlier definitions of sustainable development was provided by the Bruntland report in 1987 as: “development that meets the needs of the present without compromising the ability of future generations to meet their own needs”. Such a definition remains hard to interpret by policy makers and businesses when they make decisions, and unfortunately, the long term in the year 1987 has become the short</w:t>
      </w:r>
      <w:r w:rsidR="00574DE0" w:rsidRPr="006A40F1">
        <w:rPr>
          <w:sz w:val="20"/>
          <w:szCs w:val="20"/>
          <w:lang w:val="en-GB"/>
        </w:rPr>
        <w:t>-</w:t>
      </w:r>
      <w:r w:rsidRPr="006A40F1">
        <w:rPr>
          <w:sz w:val="20"/>
          <w:szCs w:val="20"/>
          <w:lang w:val="en-GB"/>
        </w:rPr>
        <w:t>term in the year 2020. Governments and managers who are interested in creating long</w:t>
      </w:r>
      <w:r w:rsidR="00574DE0" w:rsidRPr="006A40F1">
        <w:rPr>
          <w:sz w:val="20"/>
          <w:szCs w:val="20"/>
          <w:lang w:val="en-GB"/>
        </w:rPr>
        <w:t>-</w:t>
      </w:r>
      <w:r w:rsidRPr="006A40F1">
        <w:rPr>
          <w:sz w:val="20"/>
          <w:szCs w:val="20"/>
          <w:lang w:val="en-GB"/>
        </w:rPr>
        <w:t>term sustainable economic systems must act now with a long</w:t>
      </w:r>
      <w:r w:rsidR="00574DE0" w:rsidRPr="006A40F1">
        <w:rPr>
          <w:sz w:val="20"/>
          <w:szCs w:val="20"/>
          <w:lang w:val="en-GB"/>
        </w:rPr>
        <w:t>-</w:t>
      </w:r>
      <w:r w:rsidRPr="006A40F1">
        <w:rPr>
          <w:sz w:val="20"/>
          <w:szCs w:val="20"/>
          <w:lang w:val="en-GB"/>
        </w:rPr>
        <w:t>term perspective while gaining short</w:t>
      </w:r>
      <w:r w:rsidR="00574DE0" w:rsidRPr="006A40F1">
        <w:rPr>
          <w:sz w:val="20"/>
          <w:szCs w:val="20"/>
          <w:lang w:val="en-GB"/>
        </w:rPr>
        <w:t>-</w:t>
      </w:r>
      <w:r w:rsidRPr="006A40F1">
        <w:rPr>
          <w:sz w:val="20"/>
          <w:szCs w:val="20"/>
          <w:lang w:val="en-GB"/>
        </w:rPr>
        <w:t>term benefits along the way.</w:t>
      </w:r>
    </w:p>
    <w:p w14:paraId="448A4CEC" w14:textId="08B5E3C3" w:rsidR="002D1F55" w:rsidRPr="006A40F1" w:rsidRDefault="002D1F55" w:rsidP="00554ED6">
      <w:pPr>
        <w:spacing w:line="240" w:lineRule="atLeast"/>
        <w:jc w:val="both"/>
        <w:rPr>
          <w:i/>
          <w:sz w:val="20"/>
          <w:szCs w:val="20"/>
          <w:lang w:val="en-GB"/>
        </w:rPr>
      </w:pPr>
    </w:p>
    <w:p w14:paraId="44EF6424" w14:textId="77777777" w:rsidR="002D1F55" w:rsidRPr="006A40F1" w:rsidRDefault="002D1F55" w:rsidP="00554ED6">
      <w:pPr>
        <w:spacing w:line="240" w:lineRule="atLeast"/>
        <w:jc w:val="both"/>
        <w:rPr>
          <w:i/>
          <w:sz w:val="20"/>
          <w:szCs w:val="20"/>
          <w:lang w:val="en-GB"/>
        </w:rPr>
      </w:pPr>
    </w:p>
    <w:p w14:paraId="31806C03" w14:textId="635BA99F" w:rsidR="00EE68B8" w:rsidRPr="005E0BD5" w:rsidRDefault="005E0BD5" w:rsidP="005E0BD5">
      <w:pPr>
        <w:pStyle w:val="Heading1"/>
        <w:rPr>
          <w:rStyle w:val="Strong"/>
          <w:b/>
          <w:bCs/>
        </w:rPr>
      </w:pPr>
      <w:r w:rsidRPr="005E0BD5">
        <w:rPr>
          <w:rStyle w:val="Strong"/>
          <w:b/>
          <w:bCs/>
        </w:rPr>
        <w:t xml:space="preserve">2. </w:t>
      </w:r>
      <w:r w:rsidR="002D1F55" w:rsidRPr="005E0BD5">
        <w:rPr>
          <w:rStyle w:val="Strong"/>
          <w:b/>
          <w:bCs/>
        </w:rPr>
        <w:t xml:space="preserve">Short-termism and the </w:t>
      </w:r>
      <w:r w:rsidR="000E6C24" w:rsidRPr="005E0BD5">
        <w:rPr>
          <w:rStyle w:val="Strong"/>
          <w:b/>
          <w:bCs/>
        </w:rPr>
        <w:t>long-term</w:t>
      </w:r>
      <w:r w:rsidR="002D1F55" w:rsidRPr="005E0BD5">
        <w:rPr>
          <w:rStyle w:val="Strong"/>
          <w:b/>
          <w:bCs/>
        </w:rPr>
        <w:t xml:space="preserve"> exponential dynamics of growth</w:t>
      </w:r>
    </w:p>
    <w:p w14:paraId="26BC8CD4" w14:textId="77777777" w:rsidR="009B4864" w:rsidRPr="006A40F1" w:rsidRDefault="009B4864" w:rsidP="00554ED6">
      <w:pPr>
        <w:spacing w:line="240" w:lineRule="atLeast"/>
        <w:jc w:val="both"/>
        <w:rPr>
          <w:sz w:val="20"/>
          <w:szCs w:val="20"/>
          <w:lang w:val="en-GB"/>
        </w:rPr>
      </w:pPr>
    </w:p>
    <w:p w14:paraId="6F65D134" w14:textId="7FCFC77E" w:rsidR="002D1F55" w:rsidRPr="006A40F1" w:rsidRDefault="002D1F55" w:rsidP="00554ED6">
      <w:pPr>
        <w:spacing w:line="240" w:lineRule="atLeast"/>
        <w:ind w:firstLine="270"/>
        <w:jc w:val="both"/>
        <w:rPr>
          <w:sz w:val="20"/>
          <w:szCs w:val="20"/>
          <w:lang w:val="en-GB"/>
        </w:rPr>
      </w:pPr>
      <w:r w:rsidRPr="006A40F1">
        <w:rPr>
          <w:sz w:val="20"/>
          <w:szCs w:val="20"/>
          <w:lang w:val="en-GB"/>
        </w:rPr>
        <w:t xml:space="preserve">When we seek information about the state of a national economy, it is hard to come across the absolute values of </w:t>
      </w:r>
      <w:r w:rsidR="00574DE0" w:rsidRPr="006A40F1">
        <w:rPr>
          <w:sz w:val="20"/>
          <w:szCs w:val="20"/>
          <w:lang w:val="en-GB"/>
        </w:rPr>
        <w:t>metrics that can assess its performance. These include</w:t>
      </w:r>
      <w:r w:rsidRPr="006A40F1">
        <w:rPr>
          <w:sz w:val="20"/>
          <w:szCs w:val="20"/>
          <w:lang w:val="en-GB"/>
        </w:rPr>
        <w:t xml:space="preserve"> the Gross Domestic Product (GDP) (i.e. total output), the total employed, or total assets within an economy. Most often, we find relative measures </w:t>
      </w:r>
      <w:r w:rsidR="00550134">
        <w:rPr>
          <w:sz w:val="20"/>
          <w:szCs w:val="20"/>
          <w:lang w:val="en-GB"/>
        </w:rPr>
        <w:t xml:space="preserve">of these absolute values, </w:t>
      </w:r>
      <w:r w:rsidRPr="006A40F1">
        <w:rPr>
          <w:sz w:val="20"/>
          <w:szCs w:val="20"/>
          <w:lang w:val="en-GB"/>
        </w:rPr>
        <w:t>such as GDP growth in the past period</w:t>
      </w:r>
      <w:r w:rsidR="00550134">
        <w:rPr>
          <w:sz w:val="20"/>
          <w:szCs w:val="20"/>
          <w:lang w:val="en-GB"/>
        </w:rPr>
        <w:t xml:space="preserve"> (i.e. the relative increase in GDP in a certain period)</w:t>
      </w:r>
      <w:r w:rsidRPr="006A40F1">
        <w:rPr>
          <w:sz w:val="20"/>
          <w:szCs w:val="20"/>
          <w:lang w:val="en-GB"/>
        </w:rPr>
        <w:t>, the yearly increase in sales</w:t>
      </w:r>
      <w:r w:rsidR="00550134">
        <w:rPr>
          <w:sz w:val="20"/>
          <w:szCs w:val="20"/>
          <w:lang w:val="en-GB"/>
        </w:rPr>
        <w:t xml:space="preserve"> (i.e. fractional increase in sales in the year)</w:t>
      </w:r>
      <w:r w:rsidR="00574DE0" w:rsidRPr="006A40F1">
        <w:rPr>
          <w:sz w:val="20"/>
          <w:szCs w:val="20"/>
          <w:lang w:val="en-GB"/>
        </w:rPr>
        <w:t>,</w:t>
      </w:r>
      <w:r w:rsidRPr="006A40F1">
        <w:rPr>
          <w:sz w:val="20"/>
          <w:szCs w:val="20"/>
          <w:lang w:val="en-GB"/>
        </w:rPr>
        <w:t xml:space="preserve"> or </w:t>
      </w:r>
      <w:r w:rsidR="00574DE0" w:rsidRPr="006A40F1">
        <w:rPr>
          <w:sz w:val="20"/>
          <w:szCs w:val="20"/>
          <w:lang w:val="en-GB"/>
        </w:rPr>
        <w:t xml:space="preserve">the </w:t>
      </w:r>
      <w:r w:rsidRPr="006A40F1">
        <w:rPr>
          <w:sz w:val="20"/>
          <w:szCs w:val="20"/>
          <w:lang w:val="en-GB"/>
        </w:rPr>
        <w:t>value share of a company</w:t>
      </w:r>
      <w:r w:rsidR="00550134">
        <w:rPr>
          <w:sz w:val="20"/>
          <w:szCs w:val="20"/>
          <w:lang w:val="en-GB"/>
        </w:rPr>
        <w:t xml:space="preserve"> (i.e. the prices of shares a company)</w:t>
      </w:r>
      <w:r w:rsidRPr="006A40F1">
        <w:rPr>
          <w:sz w:val="20"/>
          <w:szCs w:val="20"/>
          <w:lang w:val="en-GB"/>
        </w:rPr>
        <w:t xml:space="preserve">. In fact, when the GDP grows it shows that an economy is capable of producing more in comparison to </w:t>
      </w:r>
      <w:r w:rsidR="00C529DA" w:rsidRPr="006A40F1">
        <w:rPr>
          <w:sz w:val="20"/>
          <w:szCs w:val="20"/>
          <w:lang w:val="en-GB"/>
        </w:rPr>
        <w:t>that</w:t>
      </w:r>
      <w:r w:rsidRPr="006A40F1">
        <w:rPr>
          <w:sz w:val="20"/>
          <w:szCs w:val="20"/>
          <w:lang w:val="en-GB"/>
        </w:rPr>
        <w:t xml:space="preserve"> measured </w:t>
      </w:r>
      <w:r w:rsidR="00574DE0" w:rsidRPr="006A40F1">
        <w:rPr>
          <w:sz w:val="20"/>
          <w:szCs w:val="20"/>
          <w:lang w:val="en-GB"/>
        </w:rPr>
        <w:t>by past</w:t>
      </w:r>
      <w:r w:rsidRPr="006A40F1">
        <w:rPr>
          <w:sz w:val="20"/>
          <w:szCs w:val="20"/>
          <w:lang w:val="en-GB"/>
        </w:rPr>
        <w:t xml:space="preserve"> data. This has benefits such as increased potential for employment, value increase and wealth creation. In fact, if we assume no change in the state of technology, population size, or variation in the pensionable age, the rationale can be made simple. For example, if we assume stagnation (growth equal zero) we could imagine that the retirement of those in old age, will leave space for new entrants in the job market after completing their studies and degrees, whereas negative growth would make us expect that less people than those who retire could find jobs in the economy, generating unemployment. On the other hand, with growth, it could be easier to create new jobs and employ those new graduates to the economy.</w:t>
      </w:r>
    </w:p>
    <w:p w14:paraId="3017AB35" w14:textId="77777777" w:rsidR="002D1F55" w:rsidRPr="006A40F1" w:rsidRDefault="002D1F55" w:rsidP="00554ED6">
      <w:pPr>
        <w:spacing w:line="240" w:lineRule="atLeast"/>
        <w:ind w:firstLine="270"/>
        <w:jc w:val="both"/>
        <w:rPr>
          <w:sz w:val="20"/>
          <w:szCs w:val="20"/>
          <w:lang w:val="en-GB"/>
        </w:rPr>
      </w:pPr>
    </w:p>
    <w:p w14:paraId="170FD8B6" w14:textId="19DD4C1C" w:rsidR="002D1F55" w:rsidRPr="006A40F1" w:rsidRDefault="002D1F55" w:rsidP="00554ED6">
      <w:pPr>
        <w:spacing w:line="240" w:lineRule="atLeast"/>
        <w:ind w:firstLine="270"/>
        <w:jc w:val="both"/>
        <w:rPr>
          <w:sz w:val="20"/>
          <w:szCs w:val="20"/>
          <w:lang w:val="en-GB"/>
        </w:rPr>
      </w:pPr>
      <w:r w:rsidRPr="006A40F1">
        <w:rPr>
          <w:sz w:val="20"/>
          <w:szCs w:val="20"/>
          <w:lang w:val="en-GB"/>
        </w:rPr>
        <w:t xml:space="preserve">Increasing the complexity, it is possible to assume that while population grows, the only way to generate employment for those people is to create more economic growth than the growth rate in population. The more health services improve and life expectancy increases, the more workers must accumulate their pensions to pay for their entire lifetime at the end of their employment. As a result, those who are already part of the job market will tend to remain employed for longer creating additional friction to those new </w:t>
      </w:r>
      <w:r w:rsidR="002F187A" w:rsidRPr="006A40F1">
        <w:rPr>
          <w:sz w:val="20"/>
          <w:szCs w:val="20"/>
          <w:lang w:val="en-GB"/>
        </w:rPr>
        <w:t>e</w:t>
      </w:r>
      <w:r w:rsidR="00DC1DB0" w:rsidRPr="006A40F1">
        <w:rPr>
          <w:sz w:val="20"/>
          <w:szCs w:val="20"/>
          <w:lang w:val="en-GB"/>
        </w:rPr>
        <w:t>nt</w:t>
      </w:r>
      <w:r w:rsidR="00DF46C4" w:rsidRPr="006A40F1">
        <w:rPr>
          <w:sz w:val="20"/>
          <w:szCs w:val="20"/>
          <w:lang w:val="en-GB"/>
        </w:rPr>
        <w:t>rants</w:t>
      </w:r>
      <w:r w:rsidR="00576496" w:rsidRPr="006A40F1">
        <w:rPr>
          <w:sz w:val="20"/>
          <w:szCs w:val="20"/>
          <w:lang w:val="en-GB"/>
        </w:rPr>
        <w:t xml:space="preserve"> </w:t>
      </w:r>
      <w:r w:rsidRPr="006A40F1">
        <w:rPr>
          <w:sz w:val="20"/>
          <w:szCs w:val="20"/>
          <w:lang w:val="en-GB"/>
        </w:rPr>
        <w:t>to the job market. Seen in these terms it appears that persistent, short-term business growth is the answer to all economic problems we will face in the indefinite long term.</w:t>
      </w:r>
    </w:p>
    <w:p w14:paraId="55F98A65" w14:textId="77777777" w:rsidR="002D1F55" w:rsidRPr="006A40F1" w:rsidRDefault="002D1F55" w:rsidP="00554ED6">
      <w:pPr>
        <w:spacing w:line="240" w:lineRule="atLeast"/>
        <w:ind w:firstLine="270"/>
        <w:jc w:val="both"/>
        <w:rPr>
          <w:sz w:val="20"/>
          <w:szCs w:val="20"/>
          <w:lang w:val="en-GB"/>
        </w:rPr>
      </w:pPr>
    </w:p>
    <w:p w14:paraId="09D7FAEF" w14:textId="260AA895" w:rsidR="007B5514" w:rsidRPr="006A40F1" w:rsidRDefault="002D1F55" w:rsidP="00554ED6">
      <w:pPr>
        <w:spacing w:line="240" w:lineRule="atLeast"/>
        <w:ind w:firstLine="270"/>
        <w:jc w:val="both"/>
        <w:rPr>
          <w:sz w:val="20"/>
          <w:szCs w:val="20"/>
          <w:lang w:val="en-GB"/>
        </w:rPr>
      </w:pPr>
      <w:r w:rsidRPr="006A40F1">
        <w:rPr>
          <w:sz w:val="20"/>
          <w:szCs w:val="20"/>
          <w:lang w:val="en-GB"/>
        </w:rPr>
        <w:t xml:space="preserve">But what </w:t>
      </w:r>
      <w:r w:rsidR="004345FA" w:rsidRPr="006A40F1">
        <w:rPr>
          <w:sz w:val="20"/>
          <w:szCs w:val="20"/>
          <w:lang w:val="en-GB"/>
        </w:rPr>
        <w:t>are</w:t>
      </w:r>
      <w:r w:rsidRPr="006A40F1">
        <w:rPr>
          <w:sz w:val="20"/>
          <w:szCs w:val="20"/>
          <w:lang w:val="en-GB"/>
        </w:rPr>
        <w:t xml:space="preserve"> the </w:t>
      </w:r>
      <w:r w:rsidR="00F46855" w:rsidRPr="006A40F1">
        <w:rPr>
          <w:sz w:val="20"/>
          <w:szCs w:val="20"/>
          <w:lang w:val="en-GB"/>
        </w:rPr>
        <w:t>long-term</w:t>
      </w:r>
      <w:r w:rsidRPr="006A40F1">
        <w:rPr>
          <w:sz w:val="20"/>
          <w:szCs w:val="20"/>
          <w:lang w:val="en-GB"/>
        </w:rPr>
        <w:t xml:space="preserve"> dynamics of </w:t>
      </w:r>
      <w:r w:rsidR="00F46855" w:rsidRPr="006A40F1">
        <w:rPr>
          <w:sz w:val="20"/>
          <w:szCs w:val="20"/>
          <w:lang w:val="en-GB"/>
        </w:rPr>
        <w:t>short-term</w:t>
      </w:r>
      <w:r w:rsidRPr="006A40F1">
        <w:rPr>
          <w:sz w:val="20"/>
          <w:szCs w:val="20"/>
          <w:lang w:val="en-GB"/>
        </w:rPr>
        <w:t xml:space="preserve"> growth? The observation that made Limits to Growth (Meadows et al 2003) such an influential piece of work is that, when projected </w:t>
      </w:r>
      <w:r w:rsidR="00574DE0" w:rsidRPr="006A40F1">
        <w:rPr>
          <w:sz w:val="20"/>
          <w:szCs w:val="20"/>
          <w:lang w:val="en-GB"/>
        </w:rPr>
        <w:t>towards</w:t>
      </w:r>
      <w:r w:rsidRPr="006A40F1">
        <w:rPr>
          <w:sz w:val="20"/>
          <w:szCs w:val="20"/>
          <w:lang w:val="en-GB"/>
        </w:rPr>
        <w:t xml:space="preserve"> the longer term, short</w:t>
      </w:r>
      <w:r w:rsidR="00574DE0" w:rsidRPr="006A40F1">
        <w:rPr>
          <w:sz w:val="20"/>
          <w:szCs w:val="20"/>
          <w:lang w:val="en-GB"/>
        </w:rPr>
        <w:t>-</w:t>
      </w:r>
      <w:r w:rsidRPr="006A40F1">
        <w:rPr>
          <w:sz w:val="20"/>
          <w:szCs w:val="20"/>
          <w:lang w:val="en-GB"/>
        </w:rPr>
        <w:t xml:space="preserve">term growth will have a dynamic of exponential growth. If business and population growth are coupled with the non-sustainable exploitation of ecosystems services, exponential growth can </w:t>
      </w:r>
      <w:r w:rsidR="00F46855" w:rsidRPr="006A40F1">
        <w:rPr>
          <w:sz w:val="20"/>
          <w:szCs w:val="20"/>
          <w:lang w:val="en-GB"/>
        </w:rPr>
        <w:t>represent</w:t>
      </w:r>
      <w:r w:rsidRPr="006A40F1">
        <w:rPr>
          <w:sz w:val="20"/>
          <w:szCs w:val="20"/>
          <w:lang w:val="en-GB"/>
        </w:rPr>
        <w:t xml:space="preserve"> a dangerous threat to humanity. The best way to feel the power of exponential growth is to do the calculation. For example, assuming economic growth maintains a constant real growth rate at 3.6% per annum (this is the case of the average growth rate of the global economy from the 1960</w:t>
      </w:r>
      <w:r w:rsidR="00B748CF" w:rsidRPr="006A40F1">
        <w:rPr>
          <w:sz w:val="20"/>
          <w:szCs w:val="20"/>
          <w:lang w:val="en-GB"/>
        </w:rPr>
        <w:t>s</w:t>
      </w:r>
      <w:r w:rsidRPr="006A40F1">
        <w:rPr>
          <w:sz w:val="20"/>
          <w:szCs w:val="20"/>
          <w:lang w:val="en-GB"/>
        </w:rPr>
        <w:t>), it takes about 20 years to double the size of the economy, as shown in Table 1.</w:t>
      </w:r>
    </w:p>
    <w:p w14:paraId="164D2514" w14:textId="2894205F" w:rsidR="002D1F55" w:rsidRPr="006A40F1" w:rsidRDefault="002D1F55" w:rsidP="00554ED6">
      <w:pPr>
        <w:spacing w:line="240" w:lineRule="atLeast"/>
        <w:ind w:firstLine="270"/>
        <w:jc w:val="both"/>
        <w:rPr>
          <w:sz w:val="20"/>
          <w:szCs w:val="20"/>
          <w:lang w:val="en-GB"/>
        </w:rPr>
      </w:pPr>
    </w:p>
    <w:p w14:paraId="0EE945FA" w14:textId="77777777" w:rsidR="002D1F55" w:rsidRPr="006A40F1" w:rsidRDefault="002D1F55" w:rsidP="00554ED6">
      <w:pPr>
        <w:spacing w:line="240" w:lineRule="atLeast"/>
        <w:ind w:firstLine="270"/>
        <w:jc w:val="both"/>
        <w:rPr>
          <w:sz w:val="20"/>
          <w:szCs w:val="20"/>
          <w:lang w:val="en-GB"/>
        </w:rPr>
      </w:pPr>
      <w:r w:rsidRPr="006A40F1">
        <w:rPr>
          <w:sz w:val="20"/>
          <w:szCs w:val="20"/>
          <w:lang w:val="en-GB"/>
        </w:rPr>
        <w:t>Table 1 – Exponential growth at 3.6% per year over 20 years. The calculation is 1.036</w:t>
      </w:r>
      <w:r w:rsidRPr="006A40F1">
        <w:rPr>
          <w:sz w:val="20"/>
          <w:szCs w:val="20"/>
          <w:vertAlign w:val="superscript"/>
          <w:lang w:val="en-GB"/>
        </w:rPr>
        <w:t>Years</w:t>
      </w:r>
      <w:r w:rsidRPr="006A40F1">
        <w:rPr>
          <w:sz w:val="20"/>
          <w:szCs w:val="20"/>
          <w:lang w:val="en-GB"/>
        </w:rPr>
        <w:t>.</w:t>
      </w:r>
    </w:p>
    <w:p w14:paraId="262E4530" w14:textId="77777777" w:rsidR="002D1F55" w:rsidRPr="006A40F1" w:rsidRDefault="002D1F55" w:rsidP="00554ED6">
      <w:pPr>
        <w:spacing w:line="240" w:lineRule="atLeast"/>
        <w:ind w:firstLine="270"/>
        <w:jc w:val="both"/>
        <w:rPr>
          <w:sz w:val="20"/>
          <w:szCs w:val="20"/>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7"/>
        <w:gridCol w:w="852"/>
        <w:gridCol w:w="573"/>
        <w:gridCol w:w="573"/>
        <w:gridCol w:w="573"/>
        <w:gridCol w:w="376"/>
        <w:gridCol w:w="573"/>
        <w:gridCol w:w="574"/>
        <w:gridCol w:w="574"/>
        <w:gridCol w:w="1023"/>
        <w:gridCol w:w="572"/>
      </w:tblGrid>
      <w:tr w:rsidR="002D1F55" w:rsidRPr="006A40F1" w14:paraId="6A7DE25F" w14:textId="77777777" w:rsidTr="00574DE0">
        <w:trPr>
          <w:trHeight w:val="315"/>
        </w:trPr>
        <w:tc>
          <w:tcPr>
            <w:tcW w:w="503" w:type="pct"/>
            <w:shd w:val="clear" w:color="auto" w:fill="D9D9D9" w:themeFill="background1" w:themeFillShade="D9"/>
            <w:noWrap/>
            <w:hideMark/>
          </w:tcPr>
          <w:p w14:paraId="58211336" w14:textId="77777777" w:rsidR="002D1F55" w:rsidRPr="006A40F1" w:rsidRDefault="002D1F55" w:rsidP="00554ED6">
            <w:pPr>
              <w:spacing w:line="240" w:lineRule="atLeast"/>
              <w:jc w:val="both"/>
              <w:rPr>
                <w:b/>
                <w:bCs/>
                <w:sz w:val="16"/>
                <w:szCs w:val="16"/>
                <w:lang w:val="en-GB"/>
              </w:rPr>
            </w:pPr>
            <w:r w:rsidRPr="006A40F1">
              <w:rPr>
                <w:b/>
                <w:bCs/>
                <w:sz w:val="16"/>
                <w:szCs w:val="16"/>
                <w:lang w:val="en-GB"/>
              </w:rPr>
              <w:t>Year</w:t>
            </w:r>
          </w:p>
        </w:tc>
        <w:tc>
          <w:tcPr>
            <w:tcW w:w="614" w:type="pct"/>
            <w:shd w:val="clear" w:color="auto" w:fill="auto"/>
            <w:noWrap/>
            <w:hideMark/>
          </w:tcPr>
          <w:p w14:paraId="07EAD11E" w14:textId="62FB8401" w:rsidR="002D1F55" w:rsidRPr="006A40F1" w:rsidRDefault="00574DE0" w:rsidP="00554ED6">
            <w:pPr>
              <w:spacing w:line="240" w:lineRule="atLeast"/>
              <w:jc w:val="both"/>
              <w:rPr>
                <w:sz w:val="16"/>
                <w:szCs w:val="16"/>
                <w:lang w:val="en-GB"/>
              </w:rPr>
            </w:pPr>
            <w:r w:rsidRPr="006A40F1">
              <w:rPr>
                <w:sz w:val="16"/>
                <w:szCs w:val="16"/>
                <w:lang w:val="en-GB"/>
              </w:rPr>
              <w:t>0</w:t>
            </w:r>
          </w:p>
        </w:tc>
        <w:tc>
          <w:tcPr>
            <w:tcW w:w="414" w:type="pct"/>
            <w:shd w:val="clear" w:color="auto" w:fill="auto"/>
            <w:noWrap/>
            <w:hideMark/>
          </w:tcPr>
          <w:p w14:paraId="56651ED9" w14:textId="77777777" w:rsidR="002D1F55" w:rsidRPr="006A40F1" w:rsidRDefault="002D1F55" w:rsidP="00554ED6">
            <w:pPr>
              <w:spacing w:line="240" w:lineRule="atLeast"/>
              <w:jc w:val="both"/>
              <w:rPr>
                <w:sz w:val="16"/>
                <w:szCs w:val="16"/>
                <w:lang w:val="en-GB"/>
              </w:rPr>
            </w:pPr>
            <w:r w:rsidRPr="006A40F1">
              <w:rPr>
                <w:sz w:val="16"/>
                <w:szCs w:val="16"/>
                <w:lang w:val="en-GB"/>
              </w:rPr>
              <w:t>1</w:t>
            </w:r>
          </w:p>
        </w:tc>
        <w:tc>
          <w:tcPr>
            <w:tcW w:w="414" w:type="pct"/>
            <w:shd w:val="clear" w:color="auto" w:fill="auto"/>
            <w:noWrap/>
            <w:hideMark/>
          </w:tcPr>
          <w:p w14:paraId="005D5875" w14:textId="77777777" w:rsidR="002D1F55" w:rsidRPr="006A40F1" w:rsidRDefault="002D1F55" w:rsidP="00554ED6">
            <w:pPr>
              <w:spacing w:line="240" w:lineRule="atLeast"/>
              <w:jc w:val="both"/>
              <w:rPr>
                <w:sz w:val="16"/>
                <w:szCs w:val="16"/>
                <w:lang w:val="en-GB"/>
              </w:rPr>
            </w:pPr>
            <w:r w:rsidRPr="006A40F1">
              <w:rPr>
                <w:sz w:val="16"/>
                <w:szCs w:val="16"/>
                <w:lang w:val="en-GB"/>
              </w:rPr>
              <w:t>2</w:t>
            </w:r>
          </w:p>
        </w:tc>
        <w:tc>
          <w:tcPr>
            <w:tcW w:w="414" w:type="pct"/>
            <w:shd w:val="clear" w:color="auto" w:fill="auto"/>
            <w:noWrap/>
            <w:hideMark/>
          </w:tcPr>
          <w:p w14:paraId="18172A04" w14:textId="77777777" w:rsidR="002D1F55" w:rsidRPr="006A40F1" w:rsidRDefault="002D1F55" w:rsidP="00554ED6">
            <w:pPr>
              <w:spacing w:line="240" w:lineRule="atLeast"/>
              <w:jc w:val="both"/>
              <w:rPr>
                <w:sz w:val="16"/>
                <w:szCs w:val="16"/>
                <w:lang w:val="en-GB"/>
              </w:rPr>
            </w:pPr>
            <w:r w:rsidRPr="006A40F1">
              <w:rPr>
                <w:sz w:val="16"/>
                <w:szCs w:val="16"/>
                <w:lang w:val="en-GB"/>
              </w:rPr>
              <w:t>3</w:t>
            </w:r>
          </w:p>
        </w:tc>
        <w:tc>
          <w:tcPr>
            <w:tcW w:w="251" w:type="pct"/>
            <w:shd w:val="clear" w:color="auto" w:fill="auto"/>
            <w:noWrap/>
            <w:hideMark/>
          </w:tcPr>
          <w:p w14:paraId="4BB3A70F" w14:textId="77777777" w:rsidR="002D1F55" w:rsidRPr="006A40F1" w:rsidRDefault="002D1F55" w:rsidP="00554ED6">
            <w:pPr>
              <w:spacing w:line="240" w:lineRule="atLeast"/>
              <w:jc w:val="both"/>
              <w:rPr>
                <w:sz w:val="16"/>
                <w:szCs w:val="16"/>
                <w:lang w:val="en-GB"/>
              </w:rPr>
            </w:pPr>
            <w:r w:rsidRPr="006A40F1">
              <w:rPr>
                <w:sz w:val="16"/>
                <w:szCs w:val="16"/>
                <w:lang w:val="en-GB"/>
              </w:rPr>
              <w:t>…</w:t>
            </w:r>
          </w:p>
        </w:tc>
        <w:tc>
          <w:tcPr>
            <w:tcW w:w="414" w:type="pct"/>
            <w:shd w:val="clear" w:color="auto" w:fill="auto"/>
            <w:noWrap/>
            <w:hideMark/>
          </w:tcPr>
          <w:p w14:paraId="461CB6DB" w14:textId="77777777" w:rsidR="002D1F55" w:rsidRPr="006A40F1" w:rsidRDefault="002D1F55" w:rsidP="00554ED6">
            <w:pPr>
              <w:spacing w:line="240" w:lineRule="atLeast"/>
              <w:jc w:val="both"/>
              <w:rPr>
                <w:sz w:val="16"/>
                <w:szCs w:val="16"/>
                <w:lang w:val="en-GB"/>
              </w:rPr>
            </w:pPr>
            <w:r w:rsidRPr="006A40F1">
              <w:rPr>
                <w:sz w:val="16"/>
                <w:szCs w:val="16"/>
                <w:lang w:val="en-GB"/>
              </w:rPr>
              <w:t>16</w:t>
            </w:r>
          </w:p>
        </w:tc>
        <w:tc>
          <w:tcPr>
            <w:tcW w:w="414" w:type="pct"/>
            <w:shd w:val="clear" w:color="auto" w:fill="auto"/>
            <w:noWrap/>
            <w:hideMark/>
          </w:tcPr>
          <w:p w14:paraId="569FDBC1" w14:textId="77777777" w:rsidR="002D1F55" w:rsidRPr="006A40F1" w:rsidRDefault="002D1F55" w:rsidP="00554ED6">
            <w:pPr>
              <w:spacing w:line="240" w:lineRule="atLeast"/>
              <w:jc w:val="both"/>
              <w:rPr>
                <w:sz w:val="16"/>
                <w:szCs w:val="16"/>
                <w:lang w:val="en-GB"/>
              </w:rPr>
            </w:pPr>
            <w:r w:rsidRPr="006A40F1">
              <w:rPr>
                <w:sz w:val="16"/>
                <w:szCs w:val="16"/>
                <w:lang w:val="en-GB"/>
              </w:rPr>
              <w:t>17</w:t>
            </w:r>
          </w:p>
        </w:tc>
        <w:tc>
          <w:tcPr>
            <w:tcW w:w="414" w:type="pct"/>
            <w:shd w:val="clear" w:color="auto" w:fill="auto"/>
            <w:noWrap/>
            <w:hideMark/>
          </w:tcPr>
          <w:p w14:paraId="4DBE600B" w14:textId="77777777" w:rsidR="002D1F55" w:rsidRPr="006A40F1" w:rsidRDefault="002D1F55" w:rsidP="00554ED6">
            <w:pPr>
              <w:spacing w:line="240" w:lineRule="atLeast"/>
              <w:jc w:val="both"/>
              <w:rPr>
                <w:sz w:val="16"/>
                <w:szCs w:val="16"/>
                <w:lang w:val="en-GB"/>
              </w:rPr>
            </w:pPr>
            <w:r w:rsidRPr="006A40F1">
              <w:rPr>
                <w:sz w:val="16"/>
                <w:szCs w:val="16"/>
                <w:lang w:val="en-GB"/>
              </w:rPr>
              <w:t>18</w:t>
            </w:r>
          </w:p>
        </w:tc>
        <w:tc>
          <w:tcPr>
            <w:tcW w:w="736" w:type="pct"/>
            <w:shd w:val="clear" w:color="auto" w:fill="auto"/>
            <w:noWrap/>
            <w:hideMark/>
          </w:tcPr>
          <w:p w14:paraId="1B77532D" w14:textId="77777777" w:rsidR="002D1F55" w:rsidRPr="006A40F1" w:rsidRDefault="002D1F55" w:rsidP="00554ED6">
            <w:pPr>
              <w:spacing w:line="240" w:lineRule="atLeast"/>
              <w:jc w:val="both"/>
              <w:rPr>
                <w:sz w:val="16"/>
                <w:szCs w:val="16"/>
                <w:lang w:val="en-GB"/>
              </w:rPr>
            </w:pPr>
            <w:r w:rsidRPr="006A40F1">
              <w:rPr>
                <w:sz w:val="16"/>
                <w:szCs w:val="16"/>
                <w:lang w:val="en-GB"/>
              </w:rPr>
              <w:t>19</w:t>
            </w:r>
          </w:p>
        </w:tc>
        <w:tc>
          <w:tcPr>
            <w:tcW w:w="414" w:type="pct"/>
            <w:shd w:val="clear" w:color="auto" w:fill="auto"/>
            <w:noWrap/>
            <w:hideMark/>
          </w:tcPr>
          <w:p w14:paraId="4BBE9C45" w14:textId="77777777" w:rsidR="002D1F55" w:rsidRPr="006A40F1" w:rsidRDefault="002D1F55" w:rsidP="00554ED6">
            <w:pPr>
              <w:spacing w:line="240" w:lineRule="atLeast"/>
              <w:jc w:val="both"/>
              <w:rPr>
                <w:sz w:val="16"/>
                <w:szCs w:val="16"/>
                <w:lang w:val="en-GB"/>
              </w:rPr>
            </w:pPr>
            <w:r w:rsidRPr="006A40F1">
              <w:rPr>
                <w:sz w:val="16"/>
                <w:szCs w:val="16"/>
                <w:lang w:val="en-GB"/>
              </w:rPr>
              <w:t>20</w:t>
            </w:r>
          </w:p>
        </w:tc>
      </w:tr>
      <w:tr w:rsidR="002D1F55" w:rsidRPr="006A40F1" w14:paraId="10C405DC" w14:textId="77777777" w:rsidTr="00574DE0">
        <w:trPr>
          <w:trHeight w:val="315"/>
        </w:trPr>
        <w:tc>
          <w:tcPr>
            <w:tcW w:w="503" w:type="pct"/>
            <w:shd w:val="clear" w:color="auto" w:fill="D9D9D9" w:themeFill="background1" w:themeFillShade="D9"/>
            <w:noWrap/>
            <w:hideMark/>
          </w:tcPr>
          <w:p w14:paraId="7A625882" w14:textId="77777777" w:rsidR="002D1F55" w:rsidRPr="006A40F1" w:rsidRDefault="002D1F55" w:rsidP="00554ED6">
            <w:pPr>
              <w:spacing w:line="240" w:lineRule="atLeast"/>
              <w:jc w:val="both"/>
              <w:rPr>
                <w:b/>
                <w:bCs/>
                <w:sz w:val="16"/>
                <w:szCs w:val="16"/>
                <w:lang w:val="en-GB"/>
              </w:rPr>
            </w:pPr>
            <w:r w:rsidRPr="006A40F1">
              <w:rPr>
                <w:b/>
                <w:bCs/>
                <w:sz w:val="16"/>
                <w:szCs w:val="16"/>
                <w:lang w:val="en-GB"/>
              </w:rPr>
              <w:t>Value</w:t>
            </w:r>
          </w:p>
        </w:tc>
        <w:tc>
          <w:tcPr>
            <w:tcW w:w="614" w:type="pct"/>
            <w:shd w:val="clear" w:color="auto" w:fill="auto"/>
            <w:noWrap/>
            <w:hideMark/>
          </w:tcPr>
          <w:p w14:paraId="29EA790D" w14:textId="77777777" w:rsidR="002D1F55" w:rsidRPr="006A40F1" w:rsidRDefault="002D1F55" w:rsidP="00554ED6">
            <w:pPr>
              <w:spacing w:line="240" w:lineRule="atLeast"/>
              <w:jc w:val="both"/>
              <w:rPr>
                <w:sz w:val="16"/>
                <w:szCs w:val="16"/>
                <w:lang w:val="en-GB"/>
              </w:rPr>
            </w:pPr>
            <w:r w:rsidRPr="006A40F1">
              <w:rPr>
                <w:sz w:val="16"/>
                <w:szCs w:val="16"/>
                <w:lang w:val="en-GB"/>
              </w:rPr>
              <w:t>1</w:t>
            </w:r>
          </w:p>
        </w:tc>
        <w:tc>
          <w:tcPr>
            <w:tcW w:w="414" w:type="pct"/>
            <w:shd w:val="clear" w:color="auto" w:fill="auto"/>
            <w:noWrap/>
            <w:hideMark/>
          </w:tcPr>
          <w:p w14:paraId="2332AB16" w14:textId="77777777" w:rsidR="002D1F55" w:rsidRPr="006A40F1" w:rsidRDefault="002D1F55" w:rsidP="00554ED6">
            <w:pPr>
              <w:spacing w:line="240" w:lineRule="atLeast"/>
              <w:jc w:val="both"/>
              <w:rPr>
                <w:sz w:val="16"/>
                <w:szCs w:val="16"/>
                <w:lang w:val="en-GB"/>
              </w:rPr>
            </w:pPr>
            <w:r w:rsidRPr="006A40F1">
              <w:rPr>
                <w:sz w:val="16"/>
                <w:szCs w:val="16"/>
                <w:lang w:val="en-GB"/>
              </w:rPr>
              <w:t>1.04</w:t>
            </w:r>
          </w:p>
        </w:tc>
        <w:tc>
          <w:tcPr>
            <w:tcW w:w="414" w:type="pct"/>
            <w:shd w:val="clear" w:color="auto" w:fill="auto"/>
            <w:noWrap/>
            <w:hideMark/>
          </w:tcPr>
          <w:p w14:paraId="69DA29C8" w14:textId="77777777" w:rsidR="002D1F55" w:rsidRPr="006A40F1" w:rsidRDefault="002D1F55" w:rsidP="00554ED6">
            <w:pPr>
              <w:spacing w:line="240" w:lineRule="atLeast"/>
              <w:jc w:val="both"/>
              <w:rPr>
                <w:sz w:val="16"/>
                <w:szCs w:val="16"/>
                <w:lang w:val="en-GB"/>
              </w:rPr>
            </w:pPr>
            <w:r w:rsidRPr="006A40F1">
              <w:rPr>
                <w:sz w:val="16"/>
                <w:szCs w:val="16"/>
                <w:lang w:val="en-GB"/>
              </w:rPr>
              <w:t>1.07</w:t>
            </w:r>
          </w:p>
        </w:tc>
        <w:tc>
          <w:tcPr>
            <w:tcW w:w="414" w:type="pct"/>
            <w:shd w:val="clear" w:color="auto" w:fill="auto"/>
            <w:noWrap/>
            <w:hideMark/>
          </w:tcPr>
          <w:p w14:paraId="7181BFBC" w14:textId="77777777" w:rsidR="002D1F55" w:rsidRPr="006A40F1" w:rsidRDefault="002D1F55" w:rsidP="00554ED6">
            <w:pPr>
              <w:spacing w:line="240" w:lineRule="atLeast"/>
              <w:jc w:val="both"/>
              <w:rPr>
                <w:sz w:val="16"/>
                <w:szCs w:val="16"/>
                <w:lang w:val="en-GB"/>
              </w:rPr>
            </w:pPr>
            <w:r w:rsidRPr="006A40F1">
              <w:rPr>
                <w:sz w:val="16"/>
                <w:szCs w:val="16"/>
                <w:lang w:val="en-GB"/>
              </w:rPr>
              <w:t>1.11</w:t>
            </w:r>
          </w:p>
        </w:tc>
        <w:tc>
          <w:tcPr>
            <w:tcW w:w="251" w:type="pct"/>
            <w:shd w:val="clear" w:color="auto" w:fill="auto"/>
            <w:noWrap/>
            <w:hideMark/>
          </w:tcPr>
          <w:p w14:paraId="19A58696" w14:textId="77777777" w:rsidR="002D1F55" w:rsidRPr="006A40F1" w:rsidRDefault="002D1F55" w:rsidP="00554ED6">
            <w:pPr>
              <w:spacing w:line="240" w:lineRule="atLeast"/>
              <w:jc w:val="both"/>
              <w:rPr>
                <w:sz w:val="16"/>
                <w:szCs w:val="16"/>
                <w:lang w:val="en-GB"/>
              </w:rPr>
            </w:pPr>
            <w:r w:rsidRPr="006A40F1">
              <w:rPr>
                <w:sz w:val="16"/>
                <w:szCs w:val="16"/>
                <w:lang w:val="en-GB"/>
              </w:rPr>
              <w:t>…</w:t>
            </w:r>
          </w:p>
        </w:tc>
        <w:tc>
          <w:tcPr>
            <w:tcW w:w="414" w:type="pct"/>
            <w:shd w:val="clear" w:color="auto" w:fill="auto"/>
            <w:noWrap/>
            <w:hideMark/>
          </w:tcPr>
          <w:p w14:paraId="7E28E28F" w14:textId="77777777" w:rsidR="002D1F55" w:rsidRPr="006A40F1" w:rsidRDefault="002D1F55" w:rsidP="00554ED6">
            <w:pPr>
              <w:spacing w:line="240" w:lineRule="atLeast"/>
              <w:jc w:val="both"/>
              <w:rPr>
                <w:sz w:val="16"/>
                <w:szCs w:val="16"/>
                <w:lang w:val="en-GB"/>
              </w:rPr>
            </w:pPr>
            <w:r w:rsidRPr="006A40F1">
              <w:rPr>
                <w:sz w:val="16"/>
                <w:szCs w:val="16"/>
                <w:lang w:val="en-GB"/>
              </w:rPr>
              <w:t>1.76</w:t>
            </w:r>
          </w:p>
        </w:tc>
        <w:tc>
          <w:tcPr>
            <w:tcW w:w="414" w:type="pct"/>
            <w:shd w:val="clear" w:color="auto" w:fill="auto"/>
            <w:noWrap/>
            <w:hideMark/>
          </w:tcPr>
          <w:p w14:paraId="01887F64" w14:textId="77777777" w:rsidR="002D1F55" w:rsidRPr="006A40F1" w:rsidRDefault="002D1F55" w:rsidP="00554ED6">
            <w:pPr>
              <w:spacing w:line="240" w:lineRule="atLeast"/>
              <w:jc w:val="both"/>
              <w:rPr>
                <w:sz w:val="16"/>
                <w:szCs w:val="16"/>
                <w:lang w:val="en-GB"/>
              </w:rPr>
            </w:pPr>
            <w:r w:rsidRPr="006A40F1">
              <w:rPr>
                <w:sz w:val="16"/>
                <w:szCs w:val="16"/>
                <w:lang w:val="en-GB"/>
              </w:rPr>
              <w:t>1.82</w:t>
            </w:r>
          </w:p>
        </w:tc>
        <w:tc>
          <w:tcPr>
            <w:tcW w:w="414" w:type="pct"/>
            <w:shd w:val="clear" w:color="auto" w:fill="auto"/>
            <w:noWrap/>
            <w:hideMark/>
          </w:tcPr>
          <w:p w14:paraId="6C8BC11E" w14:textId="77777777" w:rsidR="002D1F55" w:rsidRPr="006A40F1" w:rsidRDefault="002D1F55" w:rsidP="00554ED6">
            <w:pPr>
              <w:spacing w:line="240" w:lineRule="atLeast"/>
              <w:jc w:val="both"/>
              <w:rPr>
                <w:sz w:val="16"/>
                <w:szCs w:val="16"/>
                <w:lang w:val="en-GB"/>
              </w:rPr>
            </w:pPr>
            <w:r w:rsidRPr="006A40F1">
              <w:rPr>
                <w:sz w:val="16"/>
                <w:szCs w:val="16"/>
                <w:lang w:val="en-GB"/>
              </w:rPr>
              <w:t>1.89</w:t>
            </w:r>
          </w:p>
        </w:tc>
        <w:tc>
          <w:tcPr>
            <w:tcW w:w="736" w:type="pct"/>
            <w:shd w:val="clear" w:color="auto" w:fill="auto"/>
            <w:noWrap/>
            <w:hideMark/>
          </w:tcPr>
          <w:p w14:paraId="487C9908" w14:textId="77777777" w:rsidR="002D1F55" w:rsidRPr="006A40F1" w:rsidRDefault="002D1F55" w:rsidP="00554ED6">
            <w:pPr>
              <w:spacing w:line="240" w:lineRule="atLeast"/>
              <w:jc w:val="both"/>
              <w:rPr>
                <w:sz w:val="16"/>
                <w:szCs w:val="16"/>
                <w:lang w:val="en-GB"/>
              </w:rPr>
            </w:pPr>
            <w:r w:rsidRPr="006A40F1">
              <w:rPr>
                <w:sz w:val="16"/>
                <w:szCs w:val="16"/>
                <w:lang w:val="en-GB"/>
              </w:rPr>
              <w:t>1.96</w:t>
            </w:r>
          </w:p>
        </w:tc>
        <w:tc>
          <w:tcPr>
            <w:tcW w:w="414" w:type="pct"/>
            <w:shd w:val="clear" w:color="auto" w:fill="auto"/>
            <w:noWrap/>
            <w:hideMark/>
          </w:tcPr>
          <w:p w14:paraId="6F0793F5" w14:textId="77777777" w:rsidR="002D1F55" w:rsidRPr="006A40F1" w:rsidRDefault="002D1F55" w:rsidP="00554ED6">
            <w:pPr>
              <w:spacing w:line="240" w:lineRule="atLeast"/>
              <w:jc w:val="both"/>
              <w:rPr>
                <w:sz w:val="16"/>
                <w:szCs w:val="16"/>
                <w:lang w:val="en-GB"/>
              </w:rPr>
            </w:pPr>
            <w:r w:rsidRPr="006A40F1">
              <w:rPr>
                <w:sz w:val="16"/>
                <w:szCs w:val="16"/>
                <w:lang w:val="en-GB"/>
              </w:rPr>
              <w:t>2.03</w:t>
            </w:r>
          </w:p>
        </w:tc>
      </w:tr>
    </w:tbl>
    <w:p w14:paraId="5D49B6C3" w14:textId="3E9D9CF7" w:rsidR="002D1F55" w:rsidRPr="006A40F1" w:rsidRDefault="002D1F55" w:rsidP="005E0BD5">
      <w:pPr>
        <w:spacing w:line="240" w:lineRule="atLeast"/>
        <w:ind w:firstLine="270"/>
        <w:jc w:val="both"/>
        <w:rPr>
          <w:sz w:val="20"/>
          <w:szCs w:val="20"/>
          <w:lang w:val="en-GB"/>
        </w:rPr>
      </w:pPr>
      <w:r w:rsidRPr="006A40F1">
        <w:rPr>
          <w:sz w:val="20"/>
          <w:szCs w:val="20"/>
          <w:lang w:val="en-GB"/>
        </w:rPr>
        <w:t xml:space="preserve"> </w:t>
      </w:r>
    </w:p>
    <w:p w14:paraId="6FF53C84" w14:textId="0BAE500A" w:rsidR="002D1F55" w:rsidRPr="006A40F1" w:rsidRDefault="002D1F55" w:rsidP="00554ED6">
      <w:pPr>
        <w:spacing w:line="240" w:lineRule="atLeast"/>
        <w:ind w:firstLine="270"/>
        <w:jc w:val="both"/>
        <w:rPr>
          <w:sz w:val="20"/>
          <w:szCs w:val="20"/>
          <w:lang w:val="en-GB"/>
        </w:rPr>
      </w:pPr>
      <w:r w:rsidRPr="006A40F1">
        <w:rPr>
          <w:sz w:val="20"/>
          <w:szCs w:val="20"/>
          <w:lang w:val="en-GB"/>
        </w:rPr>
        <w:t>In turn, a continuous doubling up of the size of the economy every twenty years for two centuries would correspond to an economy that is 1024 times bigger than its initial value as shown in Table 2. Another example</w:t>
      </w:r>
      <w:r w:rsidR="00B748CF" w:rsidRPr="006A40F1">
        <w:rPr>
          <w:sz w:val="20"/>
          <w:szCs w:val="20"/>
          <w:lang w:val="en-GB"/>
        </w:rPr>
        <w:t>,</w:t>
      </w:r>
      <w:r w:rsidRPr="006A40F1">
        <w:rPr>
          <w:sz w:val="20"/>
          <w:szCs w:val="20"/>
          <w:lang w:val="en-GB"/>
        </w:rPr>
        <w:t xml:space="preserve"> to appreciate the power of exponential growth</w:t>
      </w:r>
      <w:r w:rsidR="00B748CF" w:rsidRPr="006A40F1">
        <w:rPr>
          <w:sz w:val="20"/>
          <w:szCs w:val="20"/>
          <w:lang w:val="en-GB"/>
        </w:rPr>
        <w:t>,</w:t>
      </w:r>
      <w:r w:rsidRPr="006A40F1">
        <w:rPr>
          <w:sz w:val="20"/>
          <w:szCs w:val="20"/>
          <w:lang w:val="en-GB"/>
        </w:rPr>
        <w:t xml:space="preserve"> can be found in </w:t>
      </w:r>
      <w:r w:rsidRPr="006A40F1">
        <w:rPr>
          <w:sz w:val="20"/>
          <w:szCs w:val="20"/>
          <w:lang w:val="en-GB"/>
        </w:rPr>
        <w:fldChar w:fldCharType="begin"/>
      </w:r>
      <w:r w:rsidRPr="006A40F1">
        <w:rPr>
          <w:sz w:val="20"/>
          <w:szCs w:val="20"/>
          <w:lang w:val="en-GB"/>
        </w:rPr>
        <w:instrText xml:space="preserve"> REF _Ref30602011 \h  \* MERGEFORMAT </w:instrText>
      </w:r>
      <w:r w:rsidRPr="006A40F1">
        <w:rPr>
          <w:sz w:val="20"/>
          <w:szCs w:val="20"/>
          <w:lang w:val="en-GB"/>
        </w:rPr>
      </w:r>
      <w:r w:rsidRPr="006A40F1">
        <w:rPr>
          <w:sz w:val="20"/>
          <w:szCs w:val="20"/>
          <w:lang w:val="en-GB"/>
        </w:rPr>
        <w:fldChar w:fldCharType="separate"/>
      </w:r>
      <w:r w:rsidRPr="006A40F1">
        <w:rPr>
          <w:sz w:val="20"/>
          <w:szCs w:val="20"/>
          <w:lang w:val="en-GB"/>
        </w:rPr>
        <w:t>Box 1</w:t>
      </w:r>
      <w:r w:rsidRPr="006A40F1">
        <w:rPr>
          <w:sz w:val="20"/>
          <w:szCs w:val="20"/>
          <w:lang w:val="en-GB"/>
        </w:rPr>
        <w:fldChar w:fldCharType="end"/>
      </w:r>
      <w:r w:rsidRPr="006A40F1">
        <w:rPr>
          <w:sz w:val="20"/>
          <w:szCs w:val="20"/>
          <w:lang w:val="en-GB"/>
        </w:rPr>
        <w:t>.</w:t>
      </w:r>
    </w:p>
    <w:p w14:paraId="2E1F8073" w14:textId="77777777" w:rsidR="002D1F55" w:rsidRPr="006A40F1" w:rsidRDefault="002D1F55" w:rsidP="00554ED6">
      <w:pPr>
        <w:spacing w:line="240" w:lineRule="atLeast"/>
        <w:ind w:firstLine="270"/>
        <w:jc w:val="both"/>
        <w:rPr>
          <w:sz w:val="20"/>
          <w:szCs w:val="20"/>
          <w:lang w:val="en-GB"/>
        </w:rPr>
      </w:pPr>
    </w:p>
    <w:p w14:paraId="098F9638" w14:textId="77777777" w:rsidR="002D1F55" w:rsidRPr="006A40F1" w:rsidRDefault="002D1F55" w:rsidP="00554ED6">
      <w:pPr>
        <w:spacing w:line="240" w:lineRule="atLeast"/>
        <w:ind w:firstLine="270"/>
        <w:jc w:val="both"/>
        <w:rPr>
          <w:sz w:val="20"/>
          <w:szCs w:val="20"/>
          <w:lang w:val="en-GB"/>
        </w:rPr>
      </w:pPr>
      <w:bookmarkStart w:id="0" w:name="_Ref17203211"/>
      <w:bookmarkStart w:id="1" w:name="_Toc26704911"/>
      <w:r w:rsidRPr="006A40F1">
        <w:rPr>
          <w:sz w:val="20"/>
          <w:szCs w:val="20"/>
          <w:lang w:val="en-GB"/>
        </w:rPr>
        <w:t xml:space="preserve">Table </w:t>
      </w:r>
      <w:bookmarkEnd w:id="0"/>
      <w:r w:rsidRPr="006A40F1">
        <w:rPr>
          <w:sz w:val="20"/>
          <w:szCs w:val="20"/>
          <w:lang w:val="en-GB"/>
        </w:rPr>
        <w:t>2 – Exponential growth of a doubling economy every 20 years becomes 1024 bigger in two centuries. The calculation is 2</w:t>
      </w:r>
      <w:r w:rsidRPr="006A40F1">
        <w:rPr>
          <w:sz w:val="20"/>
          <w:szCs w:val="20"/>
          <w:vertAlign w:val="superscript"/>
          <w:lang w:val="en-GB"/>
        </w:rPr>
        <w:t>Year/20</w:t>
      </w:r>
      <w:r w:rsidRPr="006A40F1">
        <w:rPr>
          <w:sz w:val="20"/>
          <w:szCs w:val="20"/>
          <w:lang w:val="en-GB"/>
        </w:rPr>
        <w:t>.</w:t>
      </w:r>
      <w:bookmarkEnd w:id="1"/>
    </w:p>
    <w:p w14:paraId="64829F09" w14:textId="77777777" w:rsidR="002D1F55" w:rsidRPr="006A40F1" w:rsidRDefault="002D1F55" w:rsidP="00554ED6">
      <w:pPr>
        <w:spacing w:line="240" w:lineRule="atLeast"/>
        <w:ind w:firstLine="270"/>
        <w:jc w:val="both"/>
        <w:rPr>
          <w:sz w:val="20"/>
          <w:szCs w:val="20"/>
          <w:lang w:val="en-GB"/>
        </w:rPr>
      </w:pPr>
    </w:p>
    <w:tbl>
      <w:tblPr>
        <w:tblW w:w="5000" w:type="pct"/>
        <w:tblLook w:val="04A0" w:firstRow="1" w:lastRow="0" w:firstColumn="1" w:lastColumn="0" w:noHBand="0" w:noVBand="1"/>
      </w:tblPr>
      <w:tblGrid>
        <w:gridCol w:w="616"/>
        <w:gridCol w:w="576"/>
        <w:gridCol w:w="576"/>
        <w:gridCol w:w="576"/>
        <w:gridCol w:w="576"/>
        <w:gridCol w:w="576"/>
        <w:gridCol w:w="576"/>
        <w:gridCol w:w="576"/>
        <w:gridCol w:w="577"/>
        <w:gridCol w:w="577"/>
        <w:gridCol w:w="577"/>
        <w:gridCol w:w="571"/>
      </w:tblGrid>
      <w:tr w:rsidR="002D1F55" w:rsidRPr="006A40F1" w14:paraId="5786F7B4" w14:textId="77777777" w:rsidTr="005779A5">
        <w:trPr>
          <w:trHeight w:val="315"/>
        </w:trPr>
        <w:tc>
          <w:tcPr>
            <w:tcW w:w="417" w:type="pct"/>
            <w:tcBorders>
              <w:top w:val="single" w:sz="8" w:space="0" w:color="auto"/>
              <w:left w:val="single" w:sz="8" w:space="0" w:color="auto"/>
              <w:bottom w:val="single" w:sz="8" w:space="0" w:color="auto"/>
              <w:right w:val="single" w:sz="8" w:space="0" w:color="auto"/>
            </w:tcBorders>
            <w:shd w:val="clear" w:color="auto" w:fill="D9D9D9" w:themeFill="background1" w:themeFillShade="D9"/>
            <w:noWrap/>
            <w:vAlign w:val="center"/>
            <w:hideMark/>
          </w:tcPr>
          <w:p w14:paraId="021BFB0F" w14:textId="77777777" w:rsidR="002D1F55" w:rsidRPr="006A40F1" w:rsidRDefault="002D1F55" w:rsidP="00554ED6">
            <w:pPr>
              <w:spacing w:line="240" w:lineRule="atLeast"/>
              <w:jc w:val="both"/>
              <w:rPr>
                <w:b/>
                <w:bCs/>
                <w:sz w:val="16"/>
                <w:szCs w:val="16"/>
                <w:lang w:val="en-GB"/>
              </w:rPr>
            </w:pPr>
            <w:r w:rsidRPr="006A40F1">
              <w:rPr>
                <w:b/>
                <w:bCs/>
                <w:sz w:val="16"/>
                <w:szCs w:val="16"/>
                <w:lang w:val="en-GB"/>
              </w:rPr>
              <w:t>Year</w:t>
            </w:r>
          </w:p>
        </w:tc>
        <w:tc>
          <w:tcPr>
            <w:tcW w:w="417" w:type="pct"/>
            <w:tcBorders>
              <w:top w:val="single" w:sz="8" w:space="0" w:color="auto"/>
              <w:left w:val="nil"/>
              <w:bottom w:val="single" w:sz="8" w:space="0" w:color="auto"/>
              <w:right w:val="single" w:sz="8" w:space="0" w:color="auto"/>
            </w:tcBorders>
            <w:shd w:val="clear" w:color="auto" w:fill="auto"/>
            <w:noWrap/>
            <w:vAlign w:val="center"/>
            <w:hideMark/>
          </w:tcPr>
          <w:p w14:paraId="067B1950" w14:textId="490F1527" w:rsidR="002D1F55" w:rsidRPr="006A40F1" w:rsidRDefault="005779A5" w:rsidP="00554ED6">
            <w:pPr>
              <w:spacing w:line="240" w:lineRule="atLeast"/>
              <w:jc w:val="both"/>
              <w:rPr>
                <w:sz w:val="16"/>
                <w:szCs w:val="16"/>
                <w:lang w:val="en-GB"/>
              </w:rPr>
            </w:pPr>
            <w:r w:rsidRPr="006A40F1">
              <w:rPr>
                <w:sz w:val="16"/>
                <w:szCs w:val="16"/>
                <w:lang w:val="en-GB"/>
              </w:rPr>
              <w:t>0</w:t>
            </w:r>
          </w:p>
        </w:tc>
        <w:tc>
          <w:tcPr>
            <w:tcW w:w="417" w:type="pct"/>
            <w:tcBorders>
              <w:top w:val="single" w:sz="8" w:space="0" w:color="auto"/>
              <w:left w:val="nil"/>
              <w:bottom w:val="single" w:sz="8" w:space="0" w:color="auto"/>
              <w:right w:val="single" w:sz="8" w:space="0" w:color="auto"/>
            </w:tcBorders>
            <w:shd w:val="clear" w:color="auto" w:fill="auto"/>
            <w:noWrap/>
            <w:vAlign w:val="center"/>
            <w:hideMark/>
          </w:tcPr>
          <w:p w14:paraId="3B86C1A5" w14:textId="77777777" w:rsidR="002D1F55" w:rsidRPr="006A40F1" w:rsidRDefault="002D1F55" w:rsidP="00554ED6">
            <w:pPr>
              <w:spacing w:line="240" w:lineRule="atLeast"/>
              <w:jc w:val="both"/>
              <w:rPr>
                <w:sz w:val="16"/>
                <w:szCs w:val="16"/>
                <w:lang w:val="en-GB"/>
              </w:rPr>
            </w:pPr>
            <w:r w:rsidRPr="006A40F1">
              <w:rPr>
                <w:sz w:val="16"/>
                <w:szCs w:val="16"/>
                <w:lang w:val="en-GB"/>
              </w:rPr>
              <w:t>20</w:t>
            </w:r>
          </w:p>
        </w:tc>
        <w:tc>
          <w:tcPr>
            <w:tcW w:w="417" w:type="pct"/>
            <w:tcBorders>
              <w:top w:val="single" w:sz="8" w:space="0" w:color="auto"/>
              <w:left w:val="nil"/>
              <w:bottom w:val="single" w:sz="8" w:space="0" w:color="auto"/>
              <w:right w:val="single" w:sz="8" w:space="0" w:color="auto"/>
            </w:tcBorders>
            <w:shd w:val="clear" w:color="auto" w:fill="auto"/>
            <w:noWrap/>
            <w:vAlign w:val="center"/>
            <w:hideMark/>
          </w:tcPr>
          <w:p w14:paraId="3BBFAE86" w14:textId="77777777" w:rsidR="002D1F55" w:rsidRPr="006A40F1" w:rsidRDefault="002D1F55" w:rsidP="00554ED6">
            <w:pPr>
              <w:spacing w:line="240" w:lineRule="atLeast"/>
              <w:jc w:val="both"/>
              <w:rPr>
                <w:sz w:val="16"/>
                <w:szCs w:val="16"/>
                <w:lang w:val="en-GB"/>
              </w:rPr>
            </w:pPr>
            <w:r w:rsidRPr="006A40F1">
              <w:rPr>
                <w:sz w:val="16"/>
                <w:szCs w:val="16"/>
                <w:lang w:val="en-GB"/>
              </w:rPr>
              <w:t>40</w:t>
            </w:r>
          </w:p>
        </w:tc>
        <w:tc>
          <w:tcPr>
            <w:tcW w:w="417" w:type="pct"/>
            <w:tcBorders>
              <w:top w:val="single" w:sz="8" w:space="0" w:color="auto"/>
              <w:left w:val="nil"/>
              <w:bottom w:val="single" w:sz="8" w:space="0" w:color="auto"/>
              <w:right w:val="single" w:sz="8" w:space="0" w:color="auto"/>
            </w:tcBorders>
            <w:shd w:val="clear" w:color="auto" w:fill="auto"/>
            <w:noWrap/>
            <w:vAlign w:val="center"/>
            <w:hideMark/>
          </w:tcPr>
          <w:p w14:paraId="43972232" w14:textId="77777777" w:rsidR="002D1F55" w:rsidRPr="006A40F1" w:rsidRDefault="002D1F55" w:rsidP="00554ED6">
            <w:pPr>
              <w:spacing w:line="240" w:lineRule="atLeast"/>
              <w:jc w:val="both"/>
              <w:rPr>
                <w:sz w:val="16"/>
                <w:szCs w:val="16"/>
                <w:lang w:val="en-GB"/>
              </w:rPr>
            </w:pPr>
            <w:r w:rsidRPr="006A40F1">
              <w:rPr>
                <w:sz w:val="16"/>
                <w:szCs w:val="16"/>
                <w:lang w:val="en-GB"/>
              </w:rPr>
              <w:t>60</w:t>
            </w:r>
          </w:p>
        </w:tc>
        <w:tc>
          <w:tcPr>
            <w:tcW w:w="417" w:type="pct"/>
            <w:tcBorders>
              <w:top w:val="single" w:sz="8" w:space="0" w:color="auto"/>
              <w:left w:val="nil"/>
              <w:bottom w:val="single" w:sz="8" w:space="0" w:color="auto"/>
              <w:right w:val="single" w:sz="8" w:space="0" w:color="auto"/>
            </w:tcBorders>
            <w:shd w:val="clear" w:color="auto" w:fill="auto"/>
            <w:noWrap/>
            <w:vAlign w:val="center"/>
            <w:hideMark/>
          </w:tcPr>
          <w:p w14:paraId="1807B800" w14:textId="77777777" w:rsidR="002D1F55" w:rsidRPr="006A40F1" w:rsidRDefault="002D1F55" w:rsidP="00554ED6">
            <w:pPr>
              <w:spacing w:line="240" w:lineRule="atLeast"/>
              <w:jc w:val="both"/>
              <w:rPr>
                <w:sz w:val="16"/>
                <w:szCs w:val="16"/>
                <w:lang w:val="en-GB"/>
              </w:rPr>
            </w:pPr>
            <w:r w:rsidRPr="006A40F1">
              <w:rPr>
                <w:sz w:val="16"/>
                <w:szCs w:val="16"/>
                <w:lang w:val="en-GB"/>
              </w:rPr>
              <w:t>80</w:t>
            </w:r>
          </w:p>
        </w:tc>
        <w:tc>
          <w:tcPr>
            <w:tcW w:w="417" w:type="pct"/>
            <w:tcBorders>
              <w:top w:val="single" w:sz="8" w:space="0" w:color="auto"/>
              <w:left w:val="nil"/>
              <w:bottom w:val="single" w:sz="8" w:space="0" w:color="auto"/>
              <w:right w:val="single" w:sz="8" w:space="0" w:color="auto"/>
            </w:tcBorders>
            <w:shd w:val="clear" w:color="auto" w:fill="auto"/>
            <w:noWrap/>
            <w:vAlign w:val="center"/>
            <w:hideMark/>
          </w:tcPr>
          <w:p w14:paraId="7B2A97B0" w14:textId="77777777" w:rsidR="002D1F55" w:rsidRPr="006A40F1" w:rsidRDefault="002D1F55" w:rsidP="00554ED6">
            <w:pPr>
              <w:spacing w:line="240" w:lineRule="atLeast"/>
              <w:jc w:val="both"/>
              <w:rPr>
                <w:sz w:val="16"/>
                <w:szCs w:val="16"/>
                <w:lang w:val="en-GB"/>
              </w:rPr>
            </w:pPr>
            <w:r w:rsidRPr="006A40F1">
              <w:rPr>
                <w:sz w:val="16"/>
                <w:szCs w:val="16"/>
                <w:lang w:val="en-GB"/>
              </w:rPr>
              <w:t>100</w:t>
            </w:r>
          </w:p>
        </w:tc>
        <w:tc>
          <w:tcPr>
            <w:tcW w:w="417" w:type="pct"/>
            <w:tcBorders>
              <w:top w:val="single" w:sz="8" w:space="0" w:color="auto"/>
              <w:left w:val="nil"/>
              <w:bottom w:val="single" w:sz="8" w:space="0" w:color="auto"/>
              <w:right w:val="single" w:sz="8" w:space="0" w:color="auto"/>
            </w:tcBorders>
            <w:shd w:val="clear" w:color="auto" w:fill="auto"/>
            <w:noWrap/>
            <w:vAlign w:val="center"/>
            <w:hideMark/>
          </w:tcPr>
          <w:p w14:paraId="2C0A23EA" w14:textId="77777777" w:rsidR="002D1F55" w:rsidRPr="006A40F1" w:rsidRDefault="002D1F55" w:rsidP="00554ED6">
            <w:pPr>
              <w:spacing w:line="240" w:lineRule="atLeast"/>
              <w:jc w:val="both"/>
              <w:rPr>
                <w:sz w:val="16"/>
                <w:szCs w:val="16"/>
                <w:lang w:val="en-GB"/>
              </w:rPr>
            </w:pPr>
            <w:r w:rsidRPr="006A40F1">
              <w:rPr>
                <w:sz w:val="16"/>
                <w:szCs w:val="16"/>
                <w:lang w:val="en-GB"/>
              </w:rPr>
              <w:t>120</w:t>
            </w:r>
          </w:p>
        </w:tc>
        <w:tc>
          <w:tcPr>
            <w:tcW w:w="417" w:type="pct"/>
            <w:tcBorders>
              <w:top w:val="single" w:sz="8" w:space="0" w:color="auto"/>
              <w:left w:val="nil"/>
              <w:bottom w:val="single" w:sz="8" w:space="0" w:color="auto"/>
              <w:right w:val="single" w:sz="8" w:space="0" w:color="auto"/>
            </w:tcBorders>
            <w:shd w:val="clear" w:color="auto" w:fill="auto"/>
            <w:noWrap/>
            <w:vAlign w:val="center"/>
            <w:hideMark/>
          </w:tcPr>
          <w:p w14:paraId="1C108DEB" w14:textId="77777777" w:rsidR="002D1F55" w:rsidRPr="006A40F1" w:rsidRDefault="002D1F55" w:rsidP="00554ED6">
            <w:pPr>
              <w:spacing w:line="240" w:lineRule="atLeast"/>
              <w:jc w:val="both"/>
              <w:rPr>
                <w:sz w:val="16"/>
                <w:szCs w:val="16"/>
                <w:lang w:val="en-GB"/>
              </w:rPr>
            </w:pPr>
            <w:r w:rsidRPr="006A40F1">
              <w:rPr>
                <w:sz w:val="16"/>
                <w:szCs w:val="16"/>
                <w:lang w:val="en-GB"/>
              </w:rPr>
              <w:t>140</w:t>
            </w:r>
          </w:p>
        </w:tc>
        <w:tc>
          <w:tcPr>
            <w:tcW w:w="417" w:type="pct"/>
            <w:tcBorders>
              <w:top w:val="single" w:sz="8" w:space="0" w:color="auto"/>
              <w:left w:val="nil"/>
              <w:bottom w:val="single" w:sz="8" w:space="0" w:color="auto"/>
              <w:right w:val="single" w:sz="8" w:space="0" w:color="auto"/>
            </w:tcBorders>
            <w:shd w:val="clear" w:color="auto" w:fill="auto"/>
            <w:noWrap/>
            <w:vAlign w:val="center"/>
            <w:hideMark/>
          </w:tcPr>
          <w:p w14:paraId="422135E8" w14:textId="77777777" w:rsidR="002D1F55" w:rsidRPr="006A40F1" w:rsidRDefault="002D1F55" w:rsidP="00554ED6">
            <w:pPr>
              <w:spacing w:line="240" w:lineRule="atLeast"/>
              <w:jc w:val="both"/>
              <w:rPr>
                <w:sz w:val="16"/>
                <w:szCs w:val="16"/>
                <w:lang w:val="en-GB"/>
              </w:rPr>
            </w:pPr>
            <w:r w:rsidRPr="006A40F1">
              <w:rPr>
                <w:sz w:val="16"/>
                <w:szCs w:val="16"/>
                <w:lang w:val="en-GB"/>
              </w:rPr>
              <w:t>160</w:t>
            </w:r>
          </w:p>
        </w:tc>
        <w:tc>
          <w:tcPr>
            <w:tcW w:w="417" w:type="pct"/>
            <w:tcBorders>
              <w:top w:val="single" w:sz="8" w:space="0" w:color="auto"/>
              <w:left w:val="nil"/>
              <w:bottom w:val="single" w:sz="8" w:space="0" w:color="auto"/>
              <w:right w:val="single" w:sz="8" w:space="0" w:color="auto"/>
            </w:tcBorders>
            <w:shd w:val="clear" w:color="auto" w:fill="auto"/>
            <w:noWrap/>
            <w:vAlign w:val="center"/>
            <w:hideMark/>
          </w:tcPr>
          <w:p w14:paraId="0F1DCE57" w14:textId="77777777" w:rsidR="002D1F55" w:rsidRPr="006A40F1" w:rsidRDefault="002D1F55" w:rsidP="00554ED6">
            <w:pPr>
              <w:spacing w:line="240" w:lineRule="atLeast"/>
              <w:jc w:val="both"/>
              <w:rPr>
                <w:sz w:val="16"/>
                <w:szCs w:val="16"/>
                <w:lang w:val="en-GB"/>
              </w:rPr>
            </w:pPr>
            <w:r w:rsidRPr="006A40F1">
              <w:rPr>
                <w:sz w:val="16"/>
                <w:szCs w:val="16"/>
                <w:lang w:val="en-GB"/>
              </w:rPr>
              <w:t>180</w:t>
            </w:r>
          </w:p>
        </w:tc>
        <w:tc>
          <w:tcPr>
            <w:tcW w:w="417" w:type="pct"/>
            <w:tcBorders>
              <w:top w:val="single" w:sz="8" w:space="0" w:color="auto"/>
              <w:left w:val="nil"/>
              <w:bottom w:val="single" w:sz="8" w:space="0" w:color="auto"/>
              <w:right w:val="single" w:sz="8" w:space="0" w:color="auto"/>
            </w:tcBorders>
            <w:shd w:val="clear" w:color="auto" w:fill="auto"/>
            <w:noWrap/>
            <w:vAlign w:val="center"/>
            <w:hideMark/>
          </w:tcPr>
          <w:p w14:paraId="058196E8" w14:textId="77777777" w:rsidR="002D1F55" w:rsidRPr="006A40F1" w:rsidRDefault="002D1F55" w:rsidP="00554ED6">
            <w:pPr>
              <w:spacing w:line="240" w:lineRule="atLeast"/>
              <w:jc w:val="both"/>
              <w:rPr>
                <w:sz w:val="16"/>
                <w:szCs w:val="16"/>
                <w:lang w:val="en-GB"/>
              </w:rPr>
            </w:pPr>
            <w:r w:rsidRPr="006A40F1">
              <w:rPr>
                <w:sz w:val="16"/>
                <w:szCs w:val="16"/>
                <w:lang w:val="en-GB"/>
              </w:rPr>
              <w:t>200</w:t>
            </w:r>
          </w:p>
        </w:tc>
      </w:tr>
      <w:tr w:rsidR="002D1F55" w:rsidRPr="006A40F1" w14:paraId="35FF587A" w14:textId="77777777" w:rsidTr="005779A5">
        <w:trPr>
          <w:trHeight w:val="315"/>
        </w:trPr>
        <w:tc>
          <w:tcPr>
            <w:tcW w:w="417" w:type="pct"/>
            <w:tcBorders>
              <w:top w:val="nil"/>
              <w:left w:val="single" w:sz="8" w:space="0" w:color="auto"/>
              <w:bottom w:val="single" w:sz="8" w:space="0" w:color="auto"/>
              <w:right w:val="single" w:sz="8" w:space="0" w:color="auto"/>
            </w:tcBorders>
            <w:shd w:val="clear" w:color="auto" w:fill="D9D9D9" w:themeFill="background1" w:themeFillShade="D9"/>
            <w:noWrap/>
            <w:vAlign w:val="center"/>
            <w:hideMark/>
          </w:tcPr>
          <w:p w14:paraId="6FD9A1C9" w14:textId="77777777" w:rsidR="002D1F55" w:rsidRPr="006A40F1" w:rsidRDefault="002D1F55" w:rsidP="00554ED6">
            <w:pPr>
              <w:spacing w:line="240" w:lineRule="atLeast"/>
              <w:jc w:val="both"/>
              <w:rPr>
                <w:b/>
                <w:bCs/>
                <w:sz w:val="16"/>
                <w:szCs w:val="16"/>
                <w:lang w:val="en-GB"/>
              </w:rPr>
            </w:pPr>
            <w:r w:rsidRPr="006A40F1">
              <w:rPr>
                <w:b/>
                <w:bCs/>
                <w:sz w:val="16"/>
                <w:szCs w:val="16"/>
                <w:lang w:val="en-GB"/>
              </w:rPr>
              <w:t>Value</w:t>
            </w:r>
          </w:p>
        </w:tc>
        <w:tc>
          <w:tcPr>
            <w:tcW w:w="417" w:type="pct"/>
            <w:tcBorders>
              <w:top w:val="nil"/>
              <w:left w:val="nil"/>
              <w:bottom w:val="single" w:sz="8" w:space="0" w:color="auto"/>
              <w:right w:val="single" w:sz="8" w:space="0" w:color="auto"/>
            </w:tcBorders>
            <w:shd w:val="clear" w:color="auto" w:fill="auto"/>
            <w:noWrap/>
            <w:vAlign w:val="center"/>
            <w:hideMark/>
          </w:tcPr>
          <w:p w14:paraId="0B207D5B" w14:textId="77777777" w:rsidR="002D1F55" w:rsidRPr="006A40F1" w:rsidRDefault="002D1F55" w:rsidP="00554ED6">
            <w:pPr>
              <w:spacing w:line="240" w:lineRule="atLeast"/>
              <w:jc w:val="both"/>
              <w:rPr>
                <w:sz w:val="16"/>
                <w:szCs w:val="16"/>
                <w:lang w:val="en-GB"/>
              </w:rPr>
            </w:pPr>
            <w:r w:rsidRPr="006A40F1">
              <w:rPr>
                <w:sz w:val="16"/>
                <w:szCs w:val="16"/>
                <w:lang w:val="en-GB"/>
              </w:rPr>
              <w:t>1</w:t>
            </w:r>
          </w:p>
        </w:tc>
        <w:tc>
          <w:tcPr>
            <w:tcW w:w="417" w:type="pct"/>
            <w:tcBorders>
              <w:top w:val="nil"/>
              <w:left w:val="nil"/>
              <w:bottom w:val="single" w:sz="8" w:space="0" w:color="auto"/>
              <w:right w:val="single" w:sz="8" w:space="0" w:color="auto"/>
            </w:tcBorders>
            <w:shd w:val="clear" w:color="auto" w:fill="auto"/>
            <w:noWrap/>
            <w:vAlign w:val="center"/>
            <w:hideMark/>
          </w:tcPr>
          <w:p w14:paraId="7875BDBC" w14:textId="77777777" w:rsidR="002D1F55" w:rsidRPr="006A40F1" w:rsidRDefault="002D1F55" w:rsidP="00554ED6">
            <w:pPr>
              <w:spacing w:line="240" w:lineRule="atLeast"/>
              <w:jc w:val="both"/>
              <w:rPr>
                <w:sz w:val="16"/>
                <w:szCs w:val="16"/>
                <w:lang w:val="en-GB"/>
              </w:rPr>
            </w:pPr>
            <w:r w:rsidRPr="006A40F1">
              <w:rPr>
                <w:sz w:val="16"/>
                <w:szCs w:val="16"/>
                <w:lang w:val="en-GB"/>
              </w:rPr>
              <w:t>2</w:t>
            </w:r>
          </w:p>
        </w:tc>
        <w:tc>
          <w:tcPr>
            <w:tcW w:w="417" w:type="pct"/>
            <w:tcBorders>
              <w:top w:val="nil"/>
              <w:left w:val="nil"/>
              <w:bottom w:val="single" w:sz="8" w:space="0" w:color="auto"/>
              <w:right w:val="single" w:sz="8" w:space="0" w:color="auto"/>
            </w:tcBorders>
            <w:shd w:val="clear" w:color="auto" w:fill="auto"/>
            <w:noWrap/>
            <w:vAlign w:val="center"/>
            <w:hideMark/>
          </w:tcPr>
          <w:p w14:paraId="57FCBF8B" w14:textId="77777777" w:rsidR="002D1F55" w:rsidRPr="006A40F1" w:rsidRDefault="002D1F55" w:rsidP="00554ED6">
            <w:pPr>
              <w:spacing w:line="240" w:lineRule="atLeast"/>
              <w:jc w:val="both"/>
              <w:rPr>
                <w:sz w:val="16"/>
                <w:szCs w:val="16"/>
                <w:lang w:val="en-GB"/>
              </w:rPr>
            </w:pPr>
            <w:r w:rsidRPr="006A40F1">
              <w:rPr>
                <w:sz w:val="16"/>
                <w:szCs w:val="16"/>
                <w:lang w:val="en-GB"/>
              </w:rPr>
              <w:t>4</w:t>
            </w:r>
          </w:p>
        </w:tc>
        <w:tc>
          <w:tcPr>
            <w:tcW w:w="417" w:type="pct"/>
            <w:tcBorders>
              <w:top w:val="nil"/>
              <w:left w:val="nil"/>
              <w:bottom w:val="single" w:sz="8" w:space="0" w:color="auto"/>
              <w:right w:val="single" w:sz="8" w:space="0" w:color="auto"/>
            </w:tcBorders>
            <w:shd w:val="clear" w:color="auto" w:fill="auto"/>
            <w:noWrap/>
            <w:vAlign w:val="center"/>
            <w:hideMark/>
          </w:tcPr>
          <w:p w14:paraId="164D2738" w14:textId="77777777" w:rsidR="002D1F55" w:rsidRPr="006A40F1" w:rsidRDefault="002D1F55" w:rsidP="00554ED6">
            <w:pPr>
              <w:spacing w:line="240" w:lineRule="atLeast"/>
              <w:jc w:val="both"/>
              <w:rPr>
                <w:sz w:val="16"/>
                <w:szCs w:val="16"/>
                <w:lang w:val="en-GB"/>
              </w:rPr>
            </w:pPr>
            <w:r w:rsidRPr="006A40F1">
              <w:rPr>
                <w:sz w:val="16"/>
                <w:szCs w:val="16"/>
                <w:lang w:val="en-GB"/>
              </w:rPr>
              <w:t>8</w:t>
            </w:r>
          </w:p>
        </w:tc>
        <w:tc>
          <w:tcPr>
            <w:tcW w:w="417" w:type="pct"/>
            <w:tcBorders>
              <w:top w:val="nil"/>
              <w:left w:val="nil"/>
              <w:bottom w:val="single" w:sz="8" w:space="0" w:color="auto"/>
              <w:right w:val="single" w:sz="8" w:space="0" w:color="auto"/>
            </w:tcBorders>
            <w:shd w:val="clear" w:color="auto" w:fill="auto"/>
            <w:noWrap/>
            <w:vAlign w:val="center"/>
            <w:hideMark/>
          </w:tcPr>
          <w:p w14:paraId="28E63C27" w14:textId="77777777" w:rsidR="002D1F55" w:rsidRPr="006A40F1" w:rsidRDefault="002D1F55" w:rsidP="00554ED6">
            <w:pPr>
              <w:spacing w:line="240" w:lineRule="atLeast"/>
              <w:jc w:val="both"/>
              <w:rPr>
                <w:sz w:val="16"/>
                <w:szCs w:val="16"/>
                <w:lang w:val="en-GB"/>
              </w:rPr>
            </w:pPr>
            <w:r w:rsidRPr="006A40F1">
              <w:rPr>
                <w:sz w:val="16"/>
                <w:szCs w:val="16"/>
                <w:lang w:val="en-GB"/>
              </w:rPr>
              <w:t>16</w:t>
            </w:r>
          </w:p>
        </w:tc>
        <w:tc>
          <w:tcPr>
            <w:tcW w:w="417" w:type="pct"/>
            <w:tcBorders>
              <w:top w:val="nil"/>
              <w:left w:val="nil"/>
              <w:bottom w:val="single" w:sz="8" w:space="0" w:color="auto"/>
              <w:right w:val="single" w:sz="8" w:space="0" w:color="auto"/>
            </w:tcBorders>
            <w:shd w:val="clear" w:color="auto" w:fill="auto"/>
            <w:noWrap/>
            <w:vAlign w:val="center"/>
            <w:hideMark/>
          </w:tcPr>
          <w:p w14:paraId="239E6F79" w14:textId="77777777" w:rsidR="002D1F55" w:rsidRPr="006A40F1" w:rsidRDefault="002D1F55" w:rsidP="00554ED6">
            <w:pPr>
              <w:spacing w:line="240" w:lineRule="atLeast"/>
              <w:jc w:val="both"/>
              <w:rPr>
                <w:sz w:val="16"/>
                <w:szCs w:val="16"/>
                <w:lang w:val="en-GB"/>
              </w:rPr>
            </w:pPr>
            <w:r w:rsidRPr="006A40F1">
              <w:rPr>
                <w:sz w:val="16"/>
                <w:szCs w:val="16"/>
                <w:lang w:val="en-GB"/>
              </w:rPr>
              <w:t>32</w:t>
            </w:r>
          </w:p>
        </w:tc>
        <w:tc>
          <w:tcPr>
            <w:tcW w:w="417" w:type="pct"/>
            <w:tcBorders>
              <w:top w:val="nil"/>
              <w:left w:val="nil"/>
              <w:bottom w:val="single" w:sz="8" w:space="0" w:color="auto"/>
              <w:right w:val="single" w:sz="8" w:space="0" w:color="auto"/>
            </w:tcBorders>
            <w:shd w:val="clear" w:color="auto" w:fill="auto"/>
            <w:noWrap/>
            <w:vAlign w:val="center"/>
            <w:hideMark/>
          </w:tcPr>
          <w:p w14:paraId="10273D7E" w14:textId="77777777" w:rsidR="002D1F55" w:rsidRPr="006A40F1" w:rsidRDefault="002D1F55" w:rsidP="00554ED6">
            <w:pPr>
              <w:spacing w:line="240" w:lineRule="atLeast"/>
              <w:jc w:val="both"/>
              <w:rPr>
                <w:sz w:val="16"/>
                <w:szCs w:val="16"/>
                <w:lang w:val="en-GB"/>
              </w:rPr>
            </w:pPr>
            <w:r w:rsidRPr="006A40F1">
              <w:rPr>
                <w:sz w:val="16"/>
                <w:szCs w:val="16"/>
                <w:lang w:val="en-GB"/>
              </w:rPr>
              <w:t>64</w:t>
            </w:r>
          </w:p>
        </w:tc>
        <w:tc>
          <w:tcPr>
            <w:tcW w:w="417" w:type="pct"/>
            <w:tcBorders>
              <w:top w:val="nil"/>
              <w:left w:val="nil"/>
              <w:bottom w:val="single" w:sz="8" w:space="0" w:color="auto"/>
              <w:right w:val="single" w:sz="8" w:space="0" w:color="auto"/>
            </w:tcBorders>
            <w:shd w:val="clear" w:color="auto" w:fill="auto"/>
            <w:noWrap/>
            <w:vAlign w:val="center"/>
            <w:hideMark/>
          </w:tcPr>
          <w:p w14:paraId="4C6EB7A8" w14:textId="77777777" w:rsidR="002D1F55" w:rsidRPr="006A40F1" w:rsidRDefault="002D1F55" w:rsidP="00554ED6">
            <w:pPr>
              <w:spacing w:line="240" w:lineRule="atLeast"/>
              <w:jc w:val="both"/>
              <w:rPr>
                <w:sz w:val="16"/>
                <w:szCs w:val="16"/>
                <w:lang w:val="en-GB"/>
              </w:rPr>
            </w:pPr>
            <w:r w:rsidRPr="006A40F1">
              <w:rPr>
                <w:sz w:val="16"/>
                <w:szCs w:val="16"/>
                <w:lang w:val="en-GB"/>
              </w:rPr>
              <w:t>128</w:t>
            </w:r>
          </w:p>
        </w:tc>
        <w:tc>
          <w:tcPr>
            <w:tcW w:w="417" w:type="pct"/>
            <w:tcBorders>
              <w:top w:val="nil"/>
              <w:left w:val="nil"/>
              <w:bottom w:val="single" w:sz="8" w:space="0" w:color="auto"/>
              <w:right w:val="single" w:sz="8" w:space="0" w:color="auto"/>
            </w:tcBorders>
            <w:shd w:val="clear" w:color="auto" w:fill="auto"/>
            <w:noWrap/>
            <w:vAlign w:val="center"/>
            <w:hideMark/>
          </w:tcPr>
          <w:p w14:paraId="4E887A4D" w14:textId="77777777" w:rsidR="002D1F55" w:rsidRPr="006A40F1" w:rsidRDefault="002D1F55" w:rsidP="00554ED6">
            <w:pPr>
              <w:spacing w:line="240" w:lineRule="atLeast"/>
              <w:jc w:val="both"/>
              <w:rPr>
                <w:sz w:val="16"/>
                <w:szCs w:val="16"/>
                <w:lang w:val="en-GB"/>
              </w:rPr>
            </w:pPr>
            <w:r w:rsidRPr="006A40F1">
              <w:rPr>
                <w:sz w:val="16"/>
                <w:szCs w:val="16"/>
                <w:lang w:val="en-GB"/>
              </w:rPr>
              <w:t>256</w:t>
            </w:r>
          </w:p>
        </w:tc>
        <w:tc>
          <w:tcPr>
            <w:tcW w:w="417" w:type="pct"/>
            <w:tcBorders>
              <w:top w:val="nil"/>
              <w:left w:val="nil"/>
              <w:bottom w:val="single" w:sz="8" w:space="0" w:color="auto"/>
              <w:right w:val="single" w:sz="8" w:space="0" w:color="auto"/>
            </w:tcBorders>
            <w:shd w:val="clear" w:color="auto" w:fill="auto"/>
            <w:noWrap/>
            <w:vAlign w:val="center"/>
            <w:hideMark/>
          </w:tcPr>
          <w:p w14:paraId="64C8C6BE" w14:textId="77777777" w:rsidR="002D1F55" w:rsidRPr="006A40F1" w:rsidRDefault="002D1F55" w:rsidP="00554ED6">
            <w:pPr>
              <w:spacing w:line="240" w:lineRule="atLeast"/>
              <w:jc w:val="both"/>
              <w:rPr>
                <w:sz w:val="16"/>
                <w:szCs w:val="16"/>
                <w:lang w:val="en-GB"/>
              </w:rPr>
            </w:pPr>
            <w:r w:rsidRPr="006A40F1">
              <w:rPr>
                <w:sz w:val="16"/>
                <w:szCs w:val="16"/>
                <w:lang w:val="en-GB"/>
              </w:rPr>
              <w:t>512</w:t>
            </w:r>
          </w:p>
        </w:tc>
        <w:tc>
          <w:tcPr>
            <w:tcW w:w="417" w:type="pct"/>
            <w:tcBorders>
              <w:top w:val="nil"/>
              <w:left w:val="nil"/>
              <w:bottom w:val="single" w:sz="8" w:space="0" w:color="auto"/>
              <w:right w:val="single" w:sz="8" w:space="0" w:color="auto"/>
            </w:tcBorders>
            <w:shd w:val="clear" w:color="auto" w:fill="auto"/>
            <w:noWrap/>
            <w:vAlign w:val="center"/>
            <w:hideMark/>
          </w:tcPr>
          <w:p w14:paraId="057D6103" w14:textId="77777777" w:rsidR="002D1F55" w:rsidRPr="006A40F1" w:rsidRDefault="002D1F55" w:rsidP="00554ED6">
            <w:pPr>
              <w:spacing w:line="240" w:lineRule="atLeast"/>
              <w:jc w:val="both"/>
              <w:rPr>
                <w:sz w:val="16"/>
                <w:szCs w:val="16"/>
                <w:lang w:val="en-GB"/>
              </w:rPr>
            </w:pPr>
            <w:r w:rsidRPr="006A40F1">
              <w:rPr>
                <w:sz w:val="16"/>
                <w:szCs w:val="16"/>
                <w:lang w:val="en-GB"/>
              </w:rPr>
              <w:t>1024</w:t>
            </w:r>
          </w:p>
        </w:tc>
      </w:tr>
    </w:tbl>
    <w:p w14:paraId="25558EE8" w14:textId="77777777" w:rsidR="002D1F55" w:rsidRPr="006A40F1" w:rsidRDefault="002D1F55" w:rsidP="005E0BD5">
      <w:pPr>
        <w:spacing w:line="240" w:lineRule="atLeast"/>
        <w:jc w:val="both"/>
        <w:rPr>
          <w:sz w:val="20"/>
          <w:szCs w:val="20"/>
          <w:lang w:val="en-GB"/>
        </w:rPr>
      </w:pPr>
    </w:p>
    <w:p w14:paraId="78032F48" w14:textId="7A9BDBC9" w:rsidR="002D1F55" w:rsidRDefault="002D1F55" w:rsidP="00554ED6">
      <w:pPr>
        <w:spacing w:line="240" w:lineRule="atLeast"/>
        <w:ind w:firstLine="270"/>
        <w:jc w:val="both"/>
        <w:rPr>
          <w:sz w:val="20"/>
          <w:szCs w:val="20"/>
          <w:lang w:val="en-GB"/>
        </w:rPr>
      </w:pPr>
      <w:r w:rsidRPr="006A40F1">
        <w:rPr>
          <w:sz w:val="20"/>
          <w:szCs w:val="20"/>
          <w:lang w:val="en-GB"/>
        </w:rPr>
        <w:t xml:space="preserve">While population and the economy become bigger, the rate of resource depletion and emissions would rise proportionally. Even relatively small initial values of an economy and population living non-sustainably </w:t>
      </w:r>
      <w:r w:rsidR="005779A5" w:rsidRPr="006A40F1">
        <w:rPr>
          <w:sz w:val="20"/>
          <w:szCs w:val="20"/>
          <w:lang w:val="en-GB"/>
        </w:rPr>
        <w:t xml:space="preserve">in the finite planet </w:t>
      </w:r>
      <w:r w:rsidRPr="006A40F1">
        <w:rPr>
          <w:sz w:val="20"/>
          <w:szCs w:val="20"/>
          <w:lang w:val="en-GB"/>
        </w:rPr>
        <w:t>would become impossible to contain without a fast transition towards a non-material extractive and non-polluting economy. Considering that the global economy has already passed the point of no-return</w:t>
      </w:r>
      <w:r w:rsidR="00E306E8" w:rsidRPr="006A40F1">
        <w:rPr>
          <w:sz w:val="20"/>
          <w:szCs w:val="20"/>
          <w:lang w:val="en-GB"/>
        </w:rPr>
        <w:t>,</w:t>
      </w:r>
      <w:r w:rsidRPr="006A40F1">
        <w:rPr>
          <w:sz w:val="20"/>
          <w:szCs w:val="20"/>
          <w:lang w:val="en-GB"/>
        </w:rPr>
        <w:t xml:space="preserve"> it appears how thinking about a double in economic size from today’s state in the next two decades</w:t>
      </w:r>
      <w:r w:rsidR="00661F53" w:rsidRPr="006A40F1">
        <w:rPr>
          <w:sz w:val="20"/>
          <w:szCs w:val="20"/>
          <w:lang w:val="en-GB"/>
        </w:rPr>
        <w:t>,</w:t>
      </w:r>
      <w:r w:rsidRPr="006A40F1">
        <w:rPr>
          <w:sz w:val="20"/>
          <w:szCs w:val="20"/>
          <w:lang w:val="en-GB"/>
        </w:rPr>
        <w:t xml:space="preserve"> is no more than an aberration in the name of the environmental limits. In the following section a comparison between  the Limits to Growth and today’s reality is shown, followed by a description of the major elements in our economic and financial system that constrain the system</w:t>
      </w:r>
      <w:r w:rsidR="00B92622" w:rsidRPr="006A40F1">
        <w:rPr>
          <w:sz w:val="20"/>
          <w:szCs w:val="20"/>
          <w:lang w:val="en-GB"/>
        </w:rPr>
        <w:t>’s</w:t>
      </w:r>
      <w:r w:rsidR="003405F7" w:rsidRPr="006A40F1">
        <w:rPr>
          <w:sz w:val="20"/>
          <w:szCs w:val="20"/>
          <w:lang w:val="en-GB"/>
        </w:rPr>
        <w:t xml:space="preserve"> growth </w:t>
      </w:r>
      <w:r w:rsidRPr="006A40F1">
        <w:rPr>
          <w:sz w:val="20"/>
          <w:szCs w:val="20"/>
          <w:lang w:val="en-GB"/>
        </w:rPr>
        <w:t>, a review of the state of environmental resources and global limits, and provide</w:t>
      </w:r>
      <w:r w:rsidR="00595125" w:rsidRPr="006A40F1">
        <w:rPr>
          <w:sz w:val="20"/>
          <w:szCs w:val="20"/>
          <w:lang w:val="en-GB"/>
        </w:rPr>
        <w:t>s</w:t>
      </w:r>
      <w:r w:rsidRPr="006A40F1">
        <w:rPr>
          <w:sz w:val="20"/>
          <w:szCs w:val="20"/>
          <w:lang w:val="en-GB"/>
        </w:rPr>
        <w:t xml:space="preserve"> an indication on how business development could evolve to avoid the scenarios of Limits to Growth  </w:t>
      </w:r>
      <w:r w:rsidR="00815B97" w:rsidRPr="006A40F1">
        <w:rPr>
          <w:sz w:val="20"/>
          <w:szCs w:val="20"/>
          <w:lang w:val="en-GB"/>
        </w:rPr>
        <w:t xml:space="preserve">becoming </w:t>
      </w:r>
      <w:r w:rsidRPr="006A40F1">
        <w:rPr>
          <w:sz w:val="20"/>
          <w:szCs w:val="20"/>
          <w:lang w:val="en-GB"/>
        </w:rPr>
        <w:t xml:space="preserve"> reality.</w:t>
      </w:r>
    </w:p>
    <w:p w14:paraId="484B9F29" w14:textId="77777777" w:rsidR="005E0BD5" w:rsidRPr="006A40F1" w:rsidRDefault="005E0BD5" w:rsidP="00554ED6">
      <w:pPr>
        <w:spacing w:line="240" w:lineRule="atLeast"/>
        <w:ind w:firstLine="270"/>
        <w:jc w:val="both"/>
        <w:rPr>
          <w:sz w:val="20"/>
          <w:szCs w:val="20"/>
          <w:lang w:val="en-GB"/>
        </w:rPr>
      </w:pPr>
    </w:p>
    <w:p w14:paraId="527C0157" w14:textId="1F460E4A" w:rsidR="005779A5" w:rsidRDefault="002D1F55" w:rsidP="00554ED6">
      <w:pPr>
        <w:spacing w:line="240" w:lineRule="atLeast"/>
        <w:ind w:firstLine="270"/>
        <w:jc w:val="both"/>
        <w:rPr>
          <w:sz w:val="20"/>
          <w:szCs w:val="20"/>
          <w:lang w:val="en-GB"/>
        </w:rPr>
      </w:pPr>
      <w:bookmarkStart w:id="2" w:name="_Ref30602011"/>
      <w:r w:rsidRPr="006A40F1">
        <w:rPr>
          <w:i/>
          <w:iCs/>
          <w:noProof/>
          <w:sz w:val="22"/>
          <w:szCs w:val="22"/>
          <w:lang w:val="en-GB"/>
        </w:rPr>
        <mc:AlternateContent>
          <mc:Choice Requires="wps">
            <w:drawing>
              <wp:anchor distT="0" distB="0" distL="114300" distR="114300" simplePos="0" relativeHeight="251662336" behindDoc="0" locked="0" layoutInCell="1" allowOverlap="1" wp14:anchorId="2D39D98A" wp14:editId="1B25571A">
                <wp:simplePos x="0" y="0"/>
                <wp:positionH relativeFrom="column">
                  <wp:posOffset>-54610</wp:posOffset>
                </wp:positionH>
                <wp:positionV relativeFrom="paragraph">
                  <wp:posOffset>243840</wp:posOffset>
                </wp:positionV>
                <wp:extent cx="4549140" cy="1927860"/>
                <wp:effectExtent l="12700" t="12700" r="10160" b="15240"/>
                <wp:wrapTopAndBottom/>
                <wp:docPr id="1" name="Rectangle 1"/>
                <wp:cNvGraphicFramePr/>
                <a:graphic xmlns:a="http://schemas.openxmlformats.org/drawingml/2006/main">
                  <a:graphicData uri="http://schemas.microsoft.com/office/word/2010/wordprocessingShape">
                    <wps:wsp>
                      <wps:cNvSpPr/>
                      <wps:spPr>
                        <a:xfrm>
                          <a:off x="0" y="0"/>
                          <a:ext cx="4549140" cy="1927860"/>
                        </a:xfrm>
                        <a:prstGeom prst="rect">
                          <a:avLst/>
                        </a:prstGeom>
                        <a:solidFill>
                          <a:schemeClr val="bg1">
                            <a:lumMod val="95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0EC4B84C" w14:textId="38A0F642" w:rsidR="002D1F55" w:rsidRPr="002D1F55" w:rsidRDefault="002D1F55" w:rsidP="002D1F55">
                            <w:pPr>
                              <w:jc w:val="both"/>
                              <w:rPr>
                                <w:color w:val="0D0D0D" w:themeColor="text1" w:themeTint="F2"/>
                                <w:sz w:val="20"/>
                                <w:szCs w:val="20"/>
                              </w:rPr>
                            </w:pPr>
                            <w:r w:rsidRPr="002D1F55">
                              <w:rPr>
                                <w:color w:val="0D0D0D" w:themeColor="text1" w:themeTint="F2"/>
                                <w:sz w:val="20"/>
                                <w:szCs w:val="20"/>
                              </w:rPr>
                              <w:t xml:space="preserve">A typical example </w:t>
                            </w:r>
                            <w:r w:rsidR="005779A5">
                              <w:rPr>
                                <w:color w:val="0D0D0D" w:themeColor="text1" w:themeTint="F2"/>
                                <w:sz w:val="20"/>
                                <w:szCs w:val="20"/>
                              </w:rPr>
                              <w:t xml:space="preserve">that is </w:t>
                            </w:r>
                            <w:r w:rsidRPr="002D1F55">
                              <w:rPr>
                                <w:color w:val="0D0D0D" w:themeColor="text1" w:themeTint="F2"/>
                                <w:sz w:val="20"/>
                                <w:szCs w:val="20"/>
                              </w:rPr>
                              <w:t xml:space="preserve">helpful to appreciate the power of exponential growth is to ask the learner to estimate how thick they think an ordinary sheet of paper can be. It is easy to realize it can be about 0.1 mm thick. As a </w:t>
                            </w:r>
                            <w:r w:rsidR="00F46855" w:rsidRPr="002D1F55">
                              <w:rPr>
                                <w:color w:val="0D0D0D" w:themeColor="text1" w:themeTint="F2"/>
                                <w:sz w:val="20"/>
                                <w:szCs w:val="20"/>
                              </w:rPr>
                              <w:t>second step</w:t>
                            </w:r>
                            <w:r w:rsidRPr="002D1F55">
                              <w:rPr>
                                <w:color w:val="0D0D0D" w:themeColor="text1" w:themeTint="F2"/>
                                <w:sz w:val="20"/>
                                <w:szCs w:val="20"/>
                              </w:rPr>
                              <w:t xml:space="preserve"> </w:t>
                            </w:r>
                            <w:r w:rsidR="000719CE">
                              <w:rPr>
                                <w:color w:val="0D0D0D" w:themeColor="text1" w:themeTint="F2"/>
                                <w:sz w:val="20"/>
                                <w:szCs w:val="20"/>
                              </w:rPr>
                              <w:t>they</w:t>
                            </w:r>
                            <w:r w:rsidR="00031E92">
                              <w:rPr>
                                <w:color w:val="0D0D0D" w:themeColor="text1" w:themeTint="F2"/>
                                <w:sz w:val="20"/>
                                <w:szCs w:val="20"/>
                              </w:rPr>
                              <w:t xml:space="preserve"> are</w:t>
                            </w:r>
                            <w:r w:rsidRPr="002D1F55">
                              <w:rPr>
                                <w:color w:val="0D0D0D" w:themeColor="text1" w:themeTint="F2"/>
                                <w:sz w:val="20"/>
                                <w:szCs w:val="20"/>
                              </w:rPr>
                              <w:t xml:space="preserve">  asked to fold it on itself twice and </w:t>
                            </w:r>
                            <w:r w:rsidR="00071014">
                              <w:rPr>
                                <w:color w:val="0D0D0D" w:themeColor="text1" w:themeTint="F2"/>
                                <w:sz w:val="20"/>
                                <w:szCs w:val="20"/>
                              </w:rPr>
                              <w:t xml:space="preserve">estimate </w:t>
                            </w:r>
                            <w:r w:rsidRPr="002D1F55">
                              <w:rPr>
                                <w:color w:val="0D0D0D" w:themeColor="text1" w:themeTint="F2"/>
                                <w:sz w:val="20"/>
                                <w:szCs w:val="20"/>
                              </w:rPr>
                              <w:t xml:space="preserve">the thickness again. Of course, the result is 0.4 mm. The third and final step is to provide an intuitive answer when asked to fold the piece of paper for another 40 times (42 times in total). No use </w:t>
                            </w:r>
                            <w:r w:rsidR="00F46855">
                              <w:rPr>
                                <w:color w:val="0D0D0D" w:themeColor="text1" w:themeTint="F2"/>
                                <w:sz w:val="20"/>
                                <w:szCs w:val="20"/>
                              </w:rPr>
                              <w:t xml:space="preserve">of </w:t>
                            </w:r>
                            <w:r w:rsidRPr="002D1F55">
                              <w:rPr>
                                <w:color w:val="0D0D0D" w:themeColor="text1" w:themeTint="F2"/>
                                <w:sz w:val="20"/>
                                <w:szCs w:val="20"/>
                              </w:rPr>
                              <w:t>calculators is allowed in this exercise.</w:t>
                            </w:r>
                          </w:p>
                          <w:p w14:paraId="2BDF07AA" w14:textId="77777777" w:rsidR="002D1F55" w:rsidRPr="002D1F55" w:rsidRDefault="002D1F55" w:rsidP="002D1F55">
                            <w:pPr>
                              <w:jc w:val="both"/>
                              <w:rPr>
                                <w:color w:val="0D0D0D" w:themeColor="text1" w:themeTint="F2"/>
                                <w:sz w:val="20"/>
                                <w:szCs w:val="20"/>
                              </w:rPr>
                            </w:pPr>
                          </w:p>
                          <w:p w14:paraId="2635C63F" w14:textId="77777777" w:rsidR="002D1F55" w:rsidRPr="002D1F55" w:rsidRDefault="002D1F55" w:rsidP="002D1F55">
                            <w:pPr>
                              <w:jc w:val="both"/>
                              <w:rPr>
                                <w:color w:val="0D0D0D" w:themeColor="text1" w:themeTint="F2"/>
                                <w:sz w:val="20"/>
                                <w:szCs w:val="20"/>
                              </w:rPr>
                            </w:pPr>
                            <w:r w:rsidRPr="002D1F55">
                              <w:rPr>
                                <w:color w:val="0D0D0D" w:themeColor="text1" w:themeTint="F2"/>
                                <w:sz w:val="20"/>
                                <w:szCs w:val="20"/>
                              </w:rPr>
                              <w:t>When you feel confident with your answer you might want to check the correct response at the end of this chapter.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D39D98A" id="Rectangle 1" o:spid="_x0000_s1026" style="position:absolute;left:0;text-align:left;margin-left:-4.3pt;margin-top:19.2pt;width:358.2pt;height:151.8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" fillcolor="#f2f2f2 [3052]" strokecolor="#243f60 [1604]" strokeweight="2pt">
                <v:textbox>
                  <w:txbxContent>
                    <w:p w14:paraId="0EC4B84C" w14:textId="38A0F642" w:rsidR="002D1F55" w:rsidRPr="002D1F55" w:rsidRDefault="002D1F55" w:rsidP="002D1F55">
                      <w:pPr>
                        <w:jc w:val="both"/>
                        <w:rPr>
                          <w:color w:val="0D0D0D" w:themeColor="text1" w:themeTint="F2"/>
                          <w:sz w:val="20"/>
                          <w:szCs w:val="20"/>
                        </w:rPr>
                      </w:pPr>
                      <w:r w:rsidRPr="002D1F55">
                        <w:rPr>
                          <w:color w:val="0D0D0D" w:themeColor="text1" w:themeTint="F2"/>
                          <w:sz w:val="20"/>
                          <w:szCs w:val="20"/>
                        </w:rPr>
                        <w:t xml:space="preserve">A typical example </w:t>
                      </w:r>
                      <w:r w:rsidR="005779A5">
                        <w:rPr>
                          <w:color w:val="0D0D0D" w:themeColor="text1" w:themeTint="F2"/>
                          <w:sz w:val="20"/>
                          <w:szCs w:val="20"/>
                        </w:rPr>
                        <w:t xml:space="preserve">that is </w:t>
                      </w:r>
                      <w:r w:rsidRPr="002D1F55">
                        <w:rPr>
                          <w:color w:val="0D0D0D" w:themeColor="text1" w:themeTint="F2"/>
                          <w:sz w:val="20"/>
                          <w:szCs w:val="20"/>
                        </w:rPr>
                        <w:t xml:space="preserve">helpful to appreciate the power of exponential growth is to ask the learner to estimate how thick they think an ordinary sheet of paper can be. It is easy to realize it can be about 0.1 mm thick. As a </w:t>
                      </w:r>
                      <w:r w:rsidR="00F46855" w:rsidRPr="002D1F55">
                        <w:rPr>
                          <w:color w:val="0D0D0D" w:themeColor="text1" w:themeTint="F2"/>
                          <w:sz w:val="20"/>
                          <w:szCs w:val="20"/>
                        </w:rPr>
                        <w:t>second step</w:t>
                      </w:r>
                      <w:r w:rsidRPr="002D1F55">
                        <w:rPr>
                          <w:color w:val="0D0D0D" w:themeColor="text1" w:themeTint="F2"/>
                          <w:sz w:val="20"/>
                          <w:szCs w:val="20"/>
                        </w:rPr>
                        <w:t xml:space="preserve"> </w:t>
                      </w:r>
                      <w:r w:rsidR="000719CE">
                        <w:rPr>
                          <w:color w:val="0D0D0D" w:themeColor="text1" w:themeTint="F2"/>
                          <w:sz w:val="20"/>
                          <w:szCs w:val="20"/>
                        </w:rPr>
                        <w:t>they</w:t>
                      </w:r>
                      <w:r w:rsidR="00031E92">
                        <w:rPr>
                          <w:color w:val="0D0D0D" w:themeColor="text1" w:themeTint="F2"/>
                          <w:sz w:val="20"/>
                          <w:szCs w:val="20"/>
                        </w:rPr>
                        <w:t xml:space="preserve"> are</w:t>
                      </w:r>
                      <w:r w:rsidRPr="002D1F55">
                        <w:rPr>
                          <w:color w:val="0D0D0D" w:themeColor="text1" w:themeTint="F2"/>
                          <w:sz w:val="20"/>
                          <w:szCs w:val="20"/>
                        </w:rPr>
                        <w:t xml:space="preserve">  asked to fold it on itself twice and </w:t>
                      </w:r>
                      <w:r w:rsidR="00071014">
                        <w:rPr>
                          <w:color w:val="0D0D0D" w:themeColor="text1" w:themeTint="F2"/>
                          <w:sz w:val="20"/>
                          <w:szCs w:val="20"/>
                        </w:rPr>
                        <w:t xml:space="preserve">estimate </w:t>
                      </w:r>
                      <w:r w:rsidRPr="002D1F55">
                        <w:rPr>
                          <w:color w:val="0D0D0D" w:themeColor="text1" w:themeTint="F2"/>
                          <w:sz w:val="20"/>
                          <w:szCs w:val="20"/>
                        </w:rPr>
                        <w:t xml:space="preserve">the thickness again. Of course, the result is 0.4 mm. The third and final step is to provide an intuitive answer when asked to fold the piece of paper for another 40 times (42 times in total). No use </w:t>
                      </w:r>
                      <w:r w:rsidR="00F46855">
                        <w:rPr>
                          <w:color w:val="0D0D0D" w:themeColor="text1" w:themeTint="F2"/>
                          <w:sz w:val="20"/>
                          <w:szCs w:val="20"/>
                        </w:rPr>
                        <w:t xml:space="preserve">of </w:t>
                      </w:r>
                      <w:r w:rsidRPr="002D1F55">
                        <w:rPr>
                          <w:color w:val="0D0D0D" w:themeColor="text1" w:themeTint="F2"/>
                          <w:sz w:val="20"/>
                          <w:szCs w:val="20"/>
                        </w:rPr>
                        <w:t>calculators is allowed in this exercise.</w:t>
                      </w:r>
                    </w:p>
                    <w:p w14:paraId="2BDF07AA" w14:textId="77777777" w:rsidR="002D1F55" w:rsidRPr="002D1F55" w:rsidRDefault="002D1F55" w:rsidP="002D1F55">
                      <w:pPr>
                        <w:jc w:val="both"/>
                        <w:rPr>
                          <w:color w:val="0D0D0D" w:themeColor="text1" w:themeTint="F2"/>
                          <w:sz w:val="20"/>
                          <w:szCs w:val="20"/>
                        </w:rPr>
                      </w:pPr>
                    </w:p>
                    <w:p w14:paraId="2635C63F" w14:textId="77777777" w:rsidR="002D1F55" w:rsidRPr="002D1F55" w:rsidRDefault="002D1F55" w:rsidP="002D1F55">
                      <w:pPr>
                        <w:jc w:val="both"/>
                        <w:rPr>
                          <w:color w:val="0D0D0D" w:themeColor="text1" w:themeTint="F2"/>
                          <w:sz w:val="20"/>
                          <w:szCs w:val="20"/>
                        </w:rPr>
                      </w:pPr>
                      <w:r w:rsidRPr="002D1F55">
                        <w:rPr>
                          <w:color w:val="0D0D0D" w:themeColor="text1" w:themeTint="F2"/>
                          <w:sz w:val="20"/>
                          <w:szCs w:val="20"/>
                        </w:rPr>
                        <w:t>When you feel confident with your answer you might want to check the correct response at the end of this chapter.</w:t>
                      </w:r>
                    </w:p>
                  </w:txbxContent>
                </v:textbox>
                <w10:wrap type="topAndBottom"/>
              </v:rect>
            </w:pict>
          </mc:Fallback>
        </mc:AlternateContent>
      </w:r>
      <w:bookmarkEnd w:id="2"/>
      <w:r w:rsidRPr="006A40F1">
        <w:rPr>
          <w:sz w:val="20"/>
          <w:szCs w:val="20"/>
          <w:lang w:val="en-GB"/>
        </w:rPr>
        <w:t>Box 1 – Fold a sheet of paper</w:t>
      </w:r>
    </w:p>
    <w:p w14:paraId="5D9EFB08" w14:textId="77777777" w:rsidR="00DE2F81" w:rsidRPr="006A40F1" w:rsidRDefault="00DE2F81" w:rsidP="00554ED6">
      <w:pPr>
        <w:spacing w:line="240" w:lineRule="atLeast"/>
        <w:ind w:firstLine="270"/>
        <w:jc w:val="both"/>
        <w:rPr>
          <w:sz w:val="20"/>
          <w:szCs w:val="20"/>
          <w:lang w:val="en-GB"/>
        </w:rPr>
      </w:pPr>
    </w:p>
    <w:p w14:paraId="12213511" w14:textId="77777777" w:rsidR="005779A5" w:rsidRPr="006A40F1" w:rsidRDefault="005779A5" w:rsidP="00554ED6">
      <w:pPr>
        <w:spacing w:line="240" w:lineRule="atLeast"/>
        <w:ind w:firstLine="270"/>
        <w:jc w:val="both"/>
        <w:rPr>
          <w:rStyle w:val="Strong"/>
          <w:b w:val="0"/>
          <w:lang w:val="en-GB"/>
        </w:rPr>
      </w:pPr>
    </w:p>
    <w:p w14:paraId="0BBD5708" w14:textId="5C887E48" w:rsidR="002D1F55" w:rsidRPr="00DE2F81" w:rsidRDefault="00D53820" w:rsidP="00D53820">
      <w:pPr>
        <w:pStyle w:val="Heading1"/>
        <w:rPr>
          <w:rStyle w:val="Strong"/>
          <w:b/>
          <w:bCs/>
        </w:rPr>
      </w:pPr>
      <w:r w:rsidRPr="00DE2F81">
        <w:rPr>
          <w:rStyle w:val="Strong"/>
          <w:b/>
          <w:bCs/>
        </w:rPr>
        <w:t xml:space="preserve">3. </w:t>
      </w:r>
      <w:r w:rsidR="002D1F55" w:rsidRPr="00DE2F81">
        <w:rPr>
          <w:rStyle w:val="Strong"/>
          <w:b/>
          <w:bCs/>
        </w:rPr>
        <w:t>The exponential dynamics of material growth is no</w:t>
      </w:r>
      <w:r w:rsidR="00550134" w:rsidRPr="00DE2F81">
        <w:rPr>
          <w:rStyle w:val="Strong"/>
          <w:b/>
          <w:bCs/>
        </w:rPr>
        <w:t>n-</w:t>
      </w:r>
      <w:r w:rsidR="002D1F55" w:rsidRPr="00DE2F81">
        <w:rPr>
          <w:rStyle w:val="Strong"/>
          <w:b/>
          <w:bCs/>
        </w:rPr>
        <w:t>sustainable in a finite world</w:t>
      </w:r>
    </w:p>
    <w:p w14:paraId="1BAF72C7" w14:textId="1C4B6B8D" w:rsidR="009B4864" w:rsidRPr="006A40F1" w:rsidRDefault="009B4864" w:rsidP="00554ED6">
      <w:pPr>
        <w:spacing w:line="240" w:lineRule="atLeast"/>
        <w:jc w:val="both"/>
        <w:rPr>
          <w:sz w:val="20"/>
          <w:szCs w:val="20"/>
          <w:lang w:val="en-GB"/>
        </w:rPr>
      </w:pPr>
    </w:p>
    <w:p w14:paraId="6A9045C0" w14:textId="2F4FB0AA" w:rsidR="002D1F55" w:rsidRPr="006A40F1" w:rsidRDefault="002D1F55" w:rsidP="00554ED6">
      <w:pPr>
        <w:spacing w:line="240" w:lineRule="atLeast"/>
        <w:ind w:firstLine="270"/>
        <w:jc w:val="both"/>
        <w:rPr>
          <w:sz w:val="20"/>
          <w:szCs w:val="20"/>
          <w:lang w:val="en-GB"/>
        </w:rPr>
      </w:pPr>
      <w:r w:rsidRPr="006A40F1">
        <w:rPr>
          <w:sz w:val="20"/>
          <w:szCs w:val="20"/>
          <w:lang w:val="en-GB"/>
        </w:rPr>
        <w:t>The Limits to Growth</w:t>
      </w:r>
      <w:r w:rsidR="005779A5" w:rsidRPr="006A40F1">
        <w:rPr>
          <w:sz w:val="20"/>
          <w:szCs w:val="20"/>
          <w:lang w:val="en-GB"/>
        </w:rPr>
        <w:t>’s</w:t>
      </w:r>
      <w:r w:rsidRPr="006A40F1">
        <w:rPr>
          <w:sz w:val="20"/>
          <w:szCs w:val="20"/>
          <w:lang w:val="en-GB"/>
        </w:rPr>
        <w:t xml:space="preserve"> thesis was proposed as </w:t>
      </w:r>
      <w:r w:rsidR="00FA4098" w:rsidRPr="006A40F1">
        <w:rPr>
          <w:sz w:val="20"/>
          <w:szCs w:val="20"/>
          <w:lang w:val="en-GB"/>
        </w:rPr>
        <w:t xml:space="preserve">a </w:t>
      </w:r>
      <w:r w:rsidRPr="006A40F1">
        <w:rPr>
          <w:sz w:val="20"/>
          <w:szCs w:val="20"/>
          <w:lang w:val="en-GB"/>
        </w:rPr>
        <w:t xml:space="preserve">scenario analysis using the ad-hoc developed World3 System Dynamics model. The main message of the Limits to Growth is that indefinite exponential growth of the global economy is not possible in a finite planet. If we employ technology and innovation as tools for </w:t>
      </w:r>
      <w:r w:rsidR="005779A5" w:rsidRPr="006A40F1">
        <w:rPr>
          <w:sz w:val="20"/>
          <w:szCs w:val="20"/>
          <w:lang w:val="en-GB"/>
        </w:rPr>
        <w:t>reducing the</w:t>
      </w:r>
      <w:r w:rsidRPr="006A40F1">
        <w:rPr>
          <w:sz w:val="20"/>
          <w:szCs w:val="20"/>
          <w:lang w:val="en-GB"/>
        </w:rPr>
        <w:t xml:space="preserve"> impact of growth on ecosystems</w:t>
      </w:r>
      <w:r w:rsidR="005779A5" w:rsidRPr="006A40F1">
        <w:rPr>
          <w:sz w:val="20"/>
          <w:szCs w:val="20"/>
          <w:lang w:val="en-GB"/>
        </w:rPr>
        <w:t>’ depletion</w:t>
      </w:r>
      <w:r w:rsidRPr="006A40F1">
        <w:rPr>
          <w:sz w:val="20"/>
          <w:szCs w:val="20"/>
          <w:lang w:val="en-GB"/>
        </w:rPr>
        <w:t xml:space="preserve">, </w:t>
      </w:r>
      <w:r w:rsidR="005779A5" w:rsidRPr="006A40F1">
        <w:rPr>
          <w:sz w:val="20"/>
          <w:szCs w:val="20"/>
          <w:lang w:val="en-GB"/>
        </w:rPr>
        <w:t xml:space="preserve">then </w:t>
      </w:r>
      <w:r w:rsidRPr="006A40F1">
        <w:rPr>
          <w:sz w:val="20"/>
          <w:szCs w:val="20"/>
          <w:lang w:val="en-GB"/>
        </w:rPr>
        <w:t xml:space="preserve">the major outcome will be to post-pone (not </w:t>
      </w:r>
      <w:r w:rsidRPr="006A40F1">
        <w:rPr>
          <w:sz w:val="20"/>
          <w:szCs w:val="20"/>
          <w:lang w:val="en-GB"/>
        </w:rPr>
        <w:lastRenderedPageBreak/>
        <w:t>remove) the time of overshoot to global limits, and the thesis of economic downturn (with potential collapse of global society) will persist in a world governed by the growth paradigm. Most important, since it take</w:t>
      </w:r>
      <w:r w:rsidR="005779A5" w:rsidRPr="006A40F1">
        <w:rPr>
          <w:sz w:val="20"/>
          <w:szCs w:val="20"/>
          <w:lang w:val="en-GB"/>
        </w:rPr>
        <w:t>s</w:t>
      </w:r>
      <w:r w:rsidRPr="006A40F1">
        <w:rPr>
          <w:sz w:val="20"/>
          <w:szCs w:val="20"/>
          <w:lang w:val="en-GB"/>
        </w:rPr>
        <w:t xml:space="preserve"> decades from the time problems are perceived to actual implementation of policies and technologies that can potentially solve the problem, we, as human society, will always lag behind the risks caused by growth, demanding a system change at the level of social policy to assure the economy can operate in a safe space in the indefinite long term. While monitoring the state of global systems over the past fifty years, the team re-proposed the same thesis in the years 1991 (Meadows et al 1992) and 2003 (Meadows et al 2003), performing small adjustments on the World3 model parameters to calibrate correctly with the historical data from 1970s onwards.</w:t>
      </w:r>
    </w:p>
    <w:p w14:paraId="3BD0BD54" w14:textId="77777777" w:rsidR="002D1F55" w:rsidRPr="006A40F1" w:rsidRDefault="002D1F55" w:rsidP="00554ED6">
      <w:pPr>
        <w:spacing w:line="240" w:lineRule="atLeast"/>
        <w:ind w:firstLine="270"/>
        <w:jc w:val="both"/>
        <w:rPr>
          <w:sz w:val="20"/>
          <w:szCs w:val="20"/>
          <w:lang w:val="en-GB"/>
        </w:rPr>
      </w:pPr>
    </w:p>
    <w:p w14:paraId="51FC0C8B" w14:textId="1082BDCF" w:rsidR="002D1F55" w:rsidRPr="006A40F1" w:rsidRDefault="002D1F55" w:rsidP="00554ED6">
      <w:pPr>
        <w:spacing w:line="240" w:lineRule="atLeast"/>
        <w:ind w:firstLine="270"/>
        <w:jc w:val="both"/>
        <w:rPr>
          <w:sz w:val="20"/>
          <w:szCs w:val="20"/>
          <w:lang w:val="en-GB"/>
        </w:rPr>
      </w:pPr>
      <w:r w:rsidRPr="006A40F1">
        <w:rPr>
          <w:sz w:val="20"/>
          <w:szCs w:val="20"/>
          <w:lang w:val="en-GB"/>
        </w:rPr>
        <w:t xml:space="preserve">Concerned with the evidence of the Limits to Growth, Pasqualino et al (2015) implemented a calibration analysis of the World3 using the historical data from 1995 to 2012. The study both confirmed some aspects of truth in the Limits to Growth as well as </w:t>
      </w:r>
      <w:r w:rsidR="00CD3F9E" w:rsidRPr="006A40F1">
        <w:rPr>
          <w:sz w:val="20"/>
          <w:szCs w:val="20"/>
          <w:lang w:val="en-GB"/>
        </w:rPr>
        <w:t>revealing some</w:t>
      </w:r>
      <w:r w:rsidRPr="006A40F1">
        <w:rPr>
          <w:sz w:val="20"/>
          <w:szCs w:val="20"/>
          <w:lang w:val="en-GB"/>
        </w:rPr>
        <w:t xml:space="preserve"> elements of today’s economic system that could not </w:t>
      </w:r>
      <w:r w:rsidR="001A3C3E" w:rsidRPr="006A40F1">
        <w:rPr>
          <w:sz w:val="20"/>
          <w:szCs w:val="20"/>
          <w:lang w:val="en-GB"/>
        </w:rPr>
        <w:t xml:space="preserve">have been </w:t>
      </w:r>
      <w:r w:rsidRPr="006A40F1">
        <w:rPr>
          <w:sz w:val="20"/>
          <w:szCs w:val="20"/>
          <w:lang w:val="en-GB"/>
        </w:rPr>
        <w:t>predicted in 1972. These include:</w:t>
      </w:r>
    </w:p>
    <w:p w14:paraId="4D79FFD8" w14:textId="77777777" w:rsidR="002D1F55" w:rsidRPr="006A40F1" w:rsidRDefault="002D1F55" w:rsidP="00554ED6">
      <w:pPr>
        <w:spacing w:line="240" w:lineRule="atLeast"/>
        <w:ind w:firstLine="270"/>
        <w:jc w:val="both"/>
        <w:rPr>
          <w:sz w:val="20"/>
          <w:szCs w:val="20"/>
          <w:lang w:val="en-GB"/>
        </w:rPr>
      </w:pPr>
    </w:p>
    <w:p w14:paraId="5C58E905" w14:textId="0C3DBB47" w:rsidR="002D1F55" w:rsidRPr="00AC448F" w:rsidRDefault="002D1F55" w:rsidP="00554ED6">
      <w:pPr>
        <w:pStyle w:val="ListParagraph"/>
        <w:numPr>
          <w:ilvl w:val="0"/>
          <w:numId w:val="21"/>
        </w:numPr>
        <w:spacing w:line="240" w:lineRule="atLeast"/>
        <w:jc w:val="both"/>
        <w:rPr>
          <w:sz w:val="20"/>
          <w:szCs w:val="20"/>
          <w:lang w:val="en-GB"/>
        </w:rPr>
      </w:pPr>
      <w:r w:rsidRPr="00AC448F">
        <w:rPr>
          <w:sz w:val="20"/>
          <w:szCs w:val="20"/>
          <w:lang w:val="en-GB"/>
        </w:rPr>
        <w:t>Our world population and economy are growing in a finite planet, and the World3 model can be used to assess such a dynamic of growth;</w:t>
      </w:r>
    </w:p>
    <w:p w14:paraId="59F03FB4" w14:textId="7EA70C61" w:rsidR="002D1F55" w:rsidRPr="00AC448F" w:rsidRDefault="002D1F55" w:rsidP="00554ED6">
      <w:pPr>
        <w:pStyle w:val="ListParagraph"/>
        <w:numPr>
          <w:ilvl w:val="0"/>
          <w:numId w:val="21"/>
        </w:numPr>
        <w:spacing w:line="240" w:lineRule="atLeast"/>
        <w:jc w:val="both"/>
        <w:rPr>
          <w:sz w:val="20"/>
          <w:szCs w:val="20"/>
          <w:lang w:val="en-GB"/>
        </w:rPr>
      </w:pPr>
      <w:r w:rsidRPr="00AC448F">
        <w:rPr>
          <w:sz w:val="20"/>
          <w:szCs w:val="20"/>
          <w:lang w:val="en-GB"/>
        </w:rPr>
        <w:t xml:space="preserve">The pattern </w:t>
      </w:r>
      <w:r w:rsidR="00550134" w:rsidRPr="00AC448F">
        <w:rPr>
          <w:sz w:val="20"/>
          <w:szCs w:val="20"/>
          <w:lang w:val="en-GB"/>
        </w:rPr>
        <w:t>for economic growth has</w:t>
      </w:r>
      <w:r w:rsidRPr="00AC448F">
        <w:rPr>
          <w:sz w:val="20"/>
          <w:szCs w:val="20"/>
          <w:lang w:val="en-GB"/>
        </w:rPr>
        <w:t xml:space="preserve"> shift</w:t>
      </w:r>
      <w:r w:rsidR="00550134" w:rsidRPr="00AC448F">
        <w:rPr>
          <w:sz w:val="20"/>
          <w:szCs w:val="20"/>
          <w:lang w:val="en-GB"/>
        </w:rPr>
        <w:t>ed</w:t>
      </w:r>
      <w:r w:rsidRPr="00AC448F">
        <w:rPr>
          <w:sz w:val="20"/>
          <w:szCs w:val="20"/>
          <w:lang w:val="en-GB"/>
        </w:rPr>
        <w:t xml:space="preserve"> to </w:t>
      </w:r>
      <w:r w:rsidR="00AF1614" w:rsidRPr="00AC448F">
        <w:rPr>
          <w:sz w:val="20"/>
          <w:szCs w:val="20"/>
          <w:lang w:val="en-GB"/>
        </w:rPr>
        <w:t>a</w:t>
      </w:r>
      <w:r w:rsidRPr="00AC448F">
        <w:rPr>
          <w:sz w:val="20"/>
          <w:szCs w:val="20"/>
          <w:lang w:val="en-GB"/>
        </w:rPr>
        <w:t xml:space="preserve"> services </w:t>
      </w:r>
      <w:r w:rsidR="00550134" w:rsidRPr="00AC448F">
        <w:rPr>
          <w:sz w:val="20"/>
          <w:szCs w:val="20"/>
          <w:lang w:val="en-GB"/>
        </w:rPr>
        <w:t>driven economy</w:t>
      </w:r>
      <w:r w:rsidRPr="00AC448F">
        <w:rPr>
          <w:sz w:val="20"/>
          <w:szCs w:val="20"/>
          <w:lang w:val="en-GB"/>
        </w:rPr>
        <w:t xml:space="preserve"> rather th</w:t>
      </w:r>
      <w:r w:rsidR="007F2E60" w:rsidRPr="00AC448F">
        <w:rPr>
          <w:sz w:val="20"/>
          <w:szCs w:val="20"/>
          <w:lang w:val="en-GB"/>
        </w:rPr>
        <w:t>an</w:t>
      </w:r>
      <w:r w:rsidRPr="00AC448F">
        <w:rPr>
          <w:sz w:val="20"/>
          <w:szCs w:val="20"/>
          <w:lang w:val="en-GB"/>
        </w:rPr>
        <w:t xml:space="preserve"> </w:t>
      </w:r>
      <w:r w:rsidR="00550134" w:rsidRPr="00AC448F">
        <w:rPr>
          <w:sz w:val="20"/>
          <w:szCs w:val="20"/>
          <w:lang w:val="en-GB"/>
        </w:rPr>
        <w:t>mere industrial growth. This compares favourabl</w:t>
      </w:r>
      <w:r w:rsidR="007F2E60" w:rsidRPr="00AC448F">
        <w:rPr>
          <w:sz w:val="20"/>
          <w:szCs w:val="20"/>
          <w:lang w:val="en-GB"/>
        </w:rPr>
        <w:t>y</w:t>
      </w:r>
      <w:r w:rsidR="00550134" w:rsidRPr="00AC448F">
        <w:rPr>
          <w:sz w:val="20"/>
          <w:szCs w:val="20"/>
          <w:lang w:val="en-GB"/>
        </w:rPr>
        <w:t xml:space="preserve"> to what </w:t>
      </w:r>
      <w:r w:rsidR="007F2E60" w:rsidRPr="00AC448F">
        <w:rPr>
          <w:sz w:val="20"/>
          <w:szCs w:val="20"/>
          <w:lang w:val="en-GB"/>
        </w:rPr>
        <w:t xml:space="preserve">was </w:t>
      </w:r>
      <w:r w:rsidR="00550134" w:rsidRPr="00AC448F">
        <w:rPr>
          <w:sz w:val="20"/>
          <w:szCs w:val="20"/>
          <w:lang w:val="en-GB"/>
        </w:rPr>
        <w:t xml:space="preserve">expected by the Limits to Growth indicating </w:t>
      </w:r>
      <w:r w:rsidR="00AF1614" w:rsidRPr="00AC448F">
        <w:rPr>
          <w:sz w:val="20"/>
          <w:szCs w:val="20"/>
          <w:lang w:val="en-GB"/>
        </w:rPr>
        <w:t>lower pollution emissions and less harm to people and the environment</w:t>
      </w:r>
      <w:r w:rsidRPr="00AC448F">
        <w:rPr>
          <w:sz w:val="20"/>
          <w:szCs w:val="20"/>
          <w:lang w:val="en-GB"/>
        </w:rPr>
        <w:t>;</w:t>
      </w:r>
    </w:p>
    <w:p w14:paraId="70C8C2E4" w14:textId="2A35A23A" w:rsidR="002D1F55" w:rsidRPr="006A40F1" w:rsidRDefault="002D1F55" w:rsidP="00554ED6">
      <w:pPr>
        <w:pStyle w:val="ListParagraph"/>
        <w:numPr>
          <w:ilvl w:val="0"/>
          <w:numId w:val="21"/>
        </w:numPr>
        <w:spacing w:line="240" w:lineRule="atLeast"/>
        <w:jc w:val="both"/>
        <w:rPr>
          <w:sz w:val="20"/>
          <w:szCs w:val="20"/>
          <w:lang w:val="en-GB"/>
        </w:rPr>
      </w:pPr>
      <w:r w:rsidRPr="00AC448F">
        <w:rPr>
          <w:sz w:val="20"/>
          <w:szCs w:val="20"/>
          <w:lang w:val="en-GB"/>
        </w:rPr>
        <w:t xml:space="preserve"> </w:t>
      </w:r>
      <w:r w:rsidR="00934173" w:rsidRPr="00AC448F">
        <w:rPr>
          <w:sz w:val="20"/>
          <w:szCs w:val="20"/>
          <w:lang w:val="en-GB"/>
        </w:rPr>
        <w:t xml:space="preserve">Growth still </w:t>
      </w:r>
      <w:r w:rsidRPr="00AC448F">
        <w:rPr>
          <w:sz w:val="20"/>
          <w:szCs w:val="20"/>
          <w:lang w:val="en-GB"/>
        </w:rPr>
        <w:t>remains the main paradigm</w:t>
      </w:r>
      <w:r w:rsidRPr="006A40F1">
        <w:rPr>
          <w:sz w:val="20"/>
          <w:szCs w:val="20"/>
          <w:lang w:val="en-GB"/>
        </w:rPr>
        <w:t xml:space="preserve"> the world society relies on, and such a growth remains based on the finite available resources of the planet. Resource scarcity as well as negative effects of the system, such as pollution, cannot be excluded in shaping the future possibilities of our world.</w:t>
      </w:r>
    </w:p>
    <w:p w14:paraId="60E9913F" w14:textId="17D2E53B" w:rsidR="002D1F55" w:rsidRPr="006A40F1" w:rsidRDefault="002D1F55" w:rsidP="00554ED6">
      <w:pPr>
        <w:pStyle w:val="ListParagraph"/>
        <w:numPr>
          <w:ilvl w:val="0"/>
          <w:numId w:val="21"/>
        </w:numPr>
        <w:spacing w:line="240" w:lineRule="atLeast"/>
        <w:jc w:val="both"/>
        <w:rPr>
          <w:sz w:val="20"/>
          <w:szCs w:val="20"/>
          <w:lang w:val="en-GB"/>
        </w:rPr>
      </w:pPr>
      <w:r w:rsidRPr="006A40F1">
        <w:rPr>
          <w:sz w:val="20"/>
          <w:szCs w:val="20"/>
          <w:lang w:val="en-GB"/>
        </w:rPr>
        <w:t>Additional elements that characterize today’s world were not included in the World3, such as possibilities for energy transitions, and climate change. These would need to be addressed separately.</w:t>
      </w:r>
    </w:p>
    <w:p w14:paraId="7B7617CB" w14:textId="77777777" w:rsidR="002D1F55" w:rsidRPr="006A40F1" w:rsidRDefault="002D1F55" w:rsidP="00554ED6">
      <w:pPr>
        <w:spacing w:line="240" w:lineRule="atLeast"/>
        <w:ind w:firstLine="270"/>
        <w:jc w:val="both"/>
        <w:rPr>
          <w:sz w:val="20"/>
          <w:szCs w:val="20"/>
          <w:lang w:val="en-GB"/>
        </w:rPr>
      </w:pPr>
    </w:p>
    <w:p w14:paraId="52EE38D5" w14:textId="1825CC87" w:rsidR="002D1F55" w:rsidRDefault="002D1F55" w:rsidP="00554ED6">
      <w:pPr>
        <w:spacing w:line="240" w:lineRule="atLeast"/>
        <w:ind w:firstLine="270"/>
        <w:jc w:val="both"/>
        <w:rPr>
          <w:sz w:val="20"/>
          <w:szCs w:val="20"/>
          <w:lang w:val="en-GB"/>
        </w:rPr>
      </w:pPr>
      <w:r w:rsidRPr="006A40F1">
        <w:rPr>
          <w:sz w:val="20"/>
          <w:szCs w:val="20"/>
          <w:lang w:val="en-GB"/>
        </w:rPr>
        <w:t>As a result, the thesis of the Limits to Growth could not be rejected, despite  the positive differences between today’s world and what was expected by the team of scientists in the 1970s. The next section provides insights on the structure of the economic system, and a review of today’s world limits and impacts. Additional details on the Limits to Growth study can be found in Pasqualino and Jones (2020).</w:t>
      </w:r>
    </w:p>
    <w:p w14:paraId="7D240858" w14:textId="7816222F" w:rsidR="005E0BD5" w:rsidRDefault="005E0BD5" w:rsidP="00554ED6">
      <w:pPr>
        <w:spacing w:line="240" w:lineRule="atLeast"/>
        <w:ind w:firstLine="270"/>
        <w:jc w:val="both"/>
        <w:rPr>
          <w:sz w:val="20"/>
          <w:szCs w:val="20"/>
          <w:lang w:val="en-GB"/>
        </w:rPr>
      </w:pPr>
    </w:p>
    <w:p w14:paraId="65C1CA73" w14:textId="316159B2" w:rsidR="002D1F55" w:rsidRPr="006A40F1" w:rsidRDefault="002D1F55" w:rsidP="00DE2F81">
      <w:pPr>
        <w:spacing w:line="240" w:lineRule="atLeast"/>
        <w:jc w:val="both"/>
        <w:rPr>
          <w:sz w:val="20"/>
          <w:szCs w:val="20"/>
          <w:lang w:val="en-GB"/>
        </w:rPr>
      </w:pPr>
    </w:p>
    <w:p w14:paraId="5FAA846E" w14:textId="3E78C096" w:rsidR="00F822D8" w:rsidRPr="00DE2F81" w:rsidRDefault="00DE2F81" w:rsidP="00DE2F81">
      <w:pPr>
        <w:pStyle w:val="Heading1"/>
        <w:rPr>
          <w:rStyle w:val="Strong"/>
          <w:b/>
          <w:bCs/>
        </w:rPr>
      </w:pPr>
      <w:r w:rsidRPr="00DE2F81">
        <w:rPr>
          <w:rStyle w:val="Strong"/>
          <w:b/>
          <w:bCs/>
        </w:rPr>
        <w:lastRenderedPageBreak/>
        <w:t xml:space="preserve">4. </w:t>
      </w:r>
      <w:r w:rsidR="00F822D8" w:rsidRPr="00DE2F81">
        <w:rPr>
          <w:rStyle w:val="Strong"/>
          <w:b/>
          <w:bCs/>
        </w:rPr>
        <w:t>The drivers of economic growth and constraints to a non-growing economy</w:t>
      </w:r>
    </w:p>
    <w:p w14:paraId="117F8343" w14:textId="77777777" w:rsidR="00F822D8" w:rsidRPr="006A40F1" w:rsidRDefault="00F822D8" w:rsidP="00554ED6">
      <w:pPr>
        <w:pStyle w:val="ListParagraph"/>
        <w:spacing w:line="240" w:lineRule="atLeast"/>
        <w:ind w:left="630"/>
        <w:jc w:val="both"/>
        <w:rPr>
          <w:rStyle w:val="Strong"/>
          <w:lang w:val="en-GB"/>
        </w:rPr>
      </w:pPr>
    </w:p>
    <w:p w14:paraId="5ED851C7" w14:textId="7BE025D2" w:rsidR="007B5514" w:rsidRPr="00DE2F81" w:rsidRDefault="00F822D8" w:rsidP="00DE2F81">
      <w:pPr>
        <w:pStyle w:val="Heading2"/>
      </w:pPr>
      <w:r w:rsidRPr="00DE2F81">
        <w:t>4</w:t>
      </w:r>
      <w:r w:rsidR="007B5514" w:rsidRPr="00DE2F81">
        <w:t>.</w:t>
      </w:r>
      <w:r w:rsidRPr="00DE2F81">
        <w:t>1</w:t>
      </w:r>
      <w:r w:rsidR="007B5514" w:rsidRPr="00DE2F81">
        <w:t xml:space="preserve">. </w:t>
      </w:r>
      <w:r w:rsidRPr="00DE2F81">
        <w:t>Debt money system</w:t>
      </w:r>
    </w:p>
    <w:p w14:paraId="2BC63B3A" w14:textId="77777777" w:rsidR="00301E7E" w:rsidRPr="006A40F1" w:rsidRDefault="00301E7E" w:rsidP="00554ED6">
      <w:pPr>
        <w:spacing w:line="240" w:lineRule="atLeast"/>
        <w:ind w:firstLine="720"/>
        <w:jc w:val="both"/>
        <w:rPr>
          <w:sz w:val="20"/>
          <w:szCs w:val="20"/>
          <w:lang w:val="en-GB"/>
        </w:rPr>
      </w:pPr>
    </w:p>
    <w:p w14:paraId="2EB5F2E5" w14:textId="2BCE2316" w:rsidR="00F822D8" w:rsidRPr="006A40F1" w:rsidRDefault="00F822D8" w:rsidP="00554ED6">
      <w:pPr>
        <w:spacing w:line="240" w:lineRule="atLeast"/>
        <w:ind w:firstLine="270"/>
        <w:jc w:val="both"/>
        <w:rPr>
          <w:sz w:val="20"/>
          <w:szCs w:val="20"/>
          <w:lang w:val="en-GB"/>
        </w:rPr>
      </w:pPr>
      <w:r w:rsidRPr="006A40F1">
        <w:rPr>
          <w:sz w:val="20"/>
          <w:szCs w:val="20"/>
          <w:lang w:val="en-GB"/>
        </w:rPr>
        <w:t xml:space="preserve">One of the engines </w:t>
      </w:r>
      <w:r w:rsidR="008776A8" w:rsidRPr="006A40F1">
        <w:rPr>
          <w:sz w:val="20"/>
          <w:szCs w:val="20"/>
          <w:lang w:val="en-GB"/>
        </w:rPr>
        <w:t>growth</w:t>
      </w:r>
      <w:r w:rsidRPr="006A40F1">
        <w:rPr>
          <w:sz w:val="20"/>
          <w:szCs w:val="20"/>
          <w:lang w:val="en-GB"/>
        </w:rPr>
        <w:t xml:space="preserve"> relies on is the </w:t>
      </w:r>
      <w:r w:rsidR="007A47B8" w:rsidRPr="006A40F1">
        <w:rPr>
          <w:sz w:val="20"/>
          <w:szCs w:val="20"/>
          <w:lang w:val="en-GB"/>
        </w:rPr>
        <w:t>so-called</w:t>
      </w:r>
      <w:r w:rsidRPr="006A40F1">
        <w:rPr>
          <w:sz w:val="20"/>
          <w:szCs w:val="20"/>
          <w:lang w:val="en-GB"/>
        </w:rPr>
        <w:t xml:space="preserve"> Debt Money system, that governs the dynamics of money creation and lending in a capitalistic economy. Lending activity comes into play when a business (or whatever economic entity) needs to raise their cash to allow for purchase of assets while de-risking uncertain investments. The process consists of a lender who own</w:t>
      </w:r>
      <w:r w:rsidR="00501C7F" w:rsidRPr="006A40F1">
        <w:rPr>
          <w:sz w:val="20"/>
          <w:szCs w:val="20"/>
          <w:lang w:val="en-GB"/>
        </w:rPr>
        <w:t>s</w:t>
      </w:r>
      <w:r w:rsidRPr="006A40F1">
        <w:rPr>
          <w:sz w:val="20"/>
          <w:szCs w:val="20"/>
          <w:lang w:val="en-GB"/>
        </w:rPr>
        <w:t xml:space="preserve"> liquidity and provide</w:t>
      </w:r>
      <w:r w:rsidR="004F7CE5" w:rsidRPr="006A40F1">
        <w:rPr>
          <w:sz w:val="20"/>
          <w:szCs w:val="20"/>
          <w:lang w:val="en-GB"/>
        </w:rPr>
        <w:t>s</w:t>
      </w:r>
      <w:r w:rsidRPr="006A40F1">
        <w:rPr>
          <w:sz w:val="20"/>
          <w:szCs w:val="20"/>
          <w:lang w:val="en-GB"/>
        </w:rPr>
        <w:t xml:space="preserve"> finance to borrowers in the form of a loan at a certain fractional cost (i.e. interest rate) normally calculated at a monthly or annual rate. The resulting contract obliges the borrower to pay back the debt on a periodic fractional basis, while being charged with the interest premium for the service received. The interest rate </w:t>
      </w:r>
      <w:r w:rsidR="007A47B8" w:rsidRPr="006A40F1">
        <w:rPr>
          <w:sz w:val="20"/>
          <w:szCs w:val="20"/>
          <w:lang w:val="en-GB"/>
        </w:rPr>
        <w:t>represents</w:t>
      </w:r>
      <w:r w:rsidRPr="006A40F1">
        <w:rPr>
          <w:sz w:val="20"/>
          <w:szCs w:val="20"/>
          <w:lang w:val="en-GB"/>
        </w:rPr>
        <w:t xml:space="preserve"> a measure of the risk of the borrower to return their debt and must account for the uncertainty inherent in the market as well </w:t>
      </w:r>
      <w:r w:rsidR="00FA4098" w:rsidRPr="006A40F1">
        <w:rPr>
          <w:sz w:val="20"/>
          <w:szCs w:val="20"/>
          <w:lang w:val="en-GB"/>
        </w:rPr>
        <w:t xml:space="preserve">as </w:t>
      </w:r>
      <w:r w:rsidRPr="006A40F1">
        <w:rPr>
          <w:sz w:val="20"/>
          <w:szCs w:val="20"/>
          <w:lang w:val="en-GB"/>
        </w:rPr>
        <w:t>the historical capabilities of the debtors to redeem their liabilities. The higher the probability of failing to repay the debt, the higher is the interest rate, the cost of financing and the pressure for growth to pay the loan back.</w:t>
      </w:r>
    </w:p>
    <w:p w14:paraId="15340B25" w14:textId="77777777" w:rsidR="00F822D8" w:rsidRPr="006A40F1" w:rsidRDefault="00F822D8" w:rsidP="00554ED6">
      <w:pPr>
        <w:spacing w:line="240" w:lineRule="atLeast"/>
        <w:ind w:firstLine="720"/>
        <w:jc w:val="both"/>
        <w:rPr>
          <w:sz w:val="20"/>
          <w:szCs w:val="20"/>
          <w:lang w:val="en-GB"/>
        </w:rPr>
      </w:pPr>
    </w:p>
    <w:p w14:paraId="089C36A7" w14:textId="06FC4BC5" w:rsidR="00F822D8" w:rsidRPr="006A40F1" w:rsidRDefault="00F822D8" w:rsidP="00554ED6">
      <w:pPr>
        <w:spacing w:line="240" w:lineRule="atLeast"/>
        <w:ind w:firstLine="270"/>
        <w:jc w:val="both"/>
        <w:rPr>
          <w:sz w:val="20"/>
          <w:szCs w:val="20"/>
          <w:lang w:val="en-GB"/>
        </w:rPr>
      </w:pPr>
      <w:r w:rsidRPr="006A40F1">
        <w:rPr>
          <w:sz w:val="20"/>
          <w:szCs w:val="20"/>
          <w:lang w:val="en-GB"/>
        </w:rPr>
        <w:t xml:space="preserve">In general, a business uses loans as a financial leverage to invest in expansion of productive assets that are expected to generate revenue over time. In so doing, a loan increases the resiliency of a firm mitigating their risk of failure in the markets they operate in, and has become normal management practice to keep a fraction of financial assets via borrowing to approach new markets without risking the default of their entire business. From the perspective </w:t>
      </w:r>
      <w:r w:rsidR="00DE24D4" w:rsidRPr="006A40F1">
        <w:rPr>
          <w:sz w:val="20"/>
          <w:szCs w:val="20"/>
          <w:lang w:val="en-GB"/>
        </w:rPr>
        <w:t>of</w:t>
      </w:r>
      <w:r w:rsidR="008B5AC9" w:rsidRPr="006A40F1">
        <w:rPr>
          <w:sz w:val="20"/>
          <w:szCs w:val="20"/>
          <w:lang w:val="en-GB"/>
        </w:rPr>
        <w:t xml:space="preserve"> a</w:t>
      </w:r>
      <w:r w:rsidRPr="006A40F1">
        <w:rPr>
          <w:sz w:val="20"/>
          <w:szCs w:val="20"/>
          <w:lang w:val="en-GB"/>
        </w:rPr>
        <w:t xml:space="preserve"> lender, the risk of default of the borrower has to be assessed a priori to reduce losses. The default of some producers can increase the interest rate for all participants in the same sector, thus increasing the barrier for new entrants. Larger firms, that have access to financial resources tend to record lower default rates, supporting the dynamic reduction of interest rates over time. This is an important balancing feedback loop used by banks to stabilize the economic system today.</w:t>
      </w:r>
    </w:p>
    <w:p w14:paraId="6BE95E96" w14:textId="77777777" w:rsidR="00F822D8" w:rsidRPr="006A40F1" w:rsidRDefault="00F822D8" w:rsidP="00554ED6">
      <w:pPr>
        <w:spacing w:line="240" w:lineRule="atLeast"/>
        <w:ind w:firstLine="720"/>
        <w:jc w:val="both"/>
        <w:rPr>
          <w:sz w:val="20"/>
          <w:szCs w:val="20"/>
          <w:lang w:val="en-GB"/>
        </w:rPr>
      </w:pPr>
    </w:p>
    <w:p w14:paraId="4F22A2D8" w14:textId="560E141D" w:rsidR="009D15AF" w:rsidRPr="006A40F1" w:rsidRDefault="00F822D8" w:rsidP="00554ED6">
      <w:pPr>
        <w:spacing w:line="240" w:lineRule="atLeast"/>
        <w:ind w:firstLine="270"/>
        <w:jc w:val="both"/>
        <w:rPr>
          <w:sz w:val="20"/>
          <w:szCs w:val="20"/>
          <w:lang w:val="en-GB"/>
        </w:rPr>
      </w:pPr>
      <w:r w:rsidRPr="006A40F1">
        <w:rPr>
          <w:sz w:val="20"/>
          <w:szCs w:val="20"/>
          <w:lang w:val="en-GB"/>
        </w:rPr>
        <w:t>Since all business require</w:t>
      </w:r>
      <w:r w:rsidR="00CE461E" w:rsidRPr="006A40F1">
        <w:rPr>
          <w:sz w:val="20"/>
          <w:szCs w:val="20"/>
          <w:lang w:val="en-GB"/>
        </w:rPr>
        <w:t>s</w:t>
      </w:r>
      <w:r w:rsidRPr="006A40F1">
        <w:rPr>
          <w:sz w:val="20"/>
          <w:szCs w:val="20"/>
          <w:lang w:val="en-GB"/>
        </w:rPr>
        <w:t xml:space="preserve"> debt to operate, then the </w:t>
      </w:r>
      <w:r w:rsidR="006E4676" w:rsidRPr="006A40F1">
        <w:rPr>
          <w:sz w:val="20"/>
          <w:szCs w:val="20"/>
          <w:lang w:val="en-GB"/>
        </w:rPr>
        <w:t>long-term</w:t>
      </w:r>
      <w:r w:rsidRPr="006A40F1">
        <w:rPr>
          <w:sz w:val="20"/>
          <w:szCs w:val="20"/>
          <w:lang w:val="en-GB"/>
        </w:rPr>
        <w:t xml:space="preserve"> dynamic at the aggregated system level is the one of exponential growth, where the interest rate imposed to each loan corresponds to the minimum exponential growth rate of the economy. This is the fundamental requirement for the stability of an economy today. When businesses fail in attaining exponential growth rates sufficiently to repay their debt, creditors can renegotiate their contracts for debt return, or apply compound on the financial assets of the borrower. While losses increase interest rates, the job of </w:t>
      </w:r>
      <w:r w:rsidR="003C066D" w:rsidRPr="006A40F1">
        <w:rPr>
          <w:sz w:val="20"/>
          <w:szCs w:val="20"/>
          <w:lang w:val="en-GB"/>
        </w:rPr>
        <w:t xml:space="preserve">the </w:t>
      </w:r>
      <w:r w:rsidRPr="006A40F1">
        <w:rPr>
          <w:sz w:val="20"/>
          <w:szCs w:val="20"/>
          <w:lang w:val="en-GB"/>
        </w:rPr>
        <w:t>financial sector is to avoid such a situation by mean</w:t>
      </w:r>
      <w:r w:rsidR="00B62E98" w:rsidRPr="006A40F1">
        <w:rPr>
          <w:sz w:val="20"/>
          <w:szCs w:val="20"/>
          <w:lang w:val="en-GB"/>
        </w:rPr>
        <w:t>s</w:t>
      </w:r>
      <w:r w:rsidRPr="006A40F1">
        <w:rPr>
          <w:sz w:val="20"/>
          <w:szCs w:val="20"/>
          <w:lang w:val="en-GB"/>
        </w:rPr>
        <w:t xml:space="preserve"> of a careful interpretation of </w:t>
      </w:r>
      <w:r w:rsidR="00F10AF1" w:rsidRPr="006A40F1">
        <w:rPr>
          <w:sz w:val="20"/>
          <w:szCs w:val="20"/>
          <w:lang w:val="en-GB"/>
        </w:rPr>
        <w:t>risks and</w:t>
      </w:r>
      <w:r w:rsidRPr="006A40F1">
        <w:rPr>
          <w:sz w:val="20"/>
          <w:szCs w:val="20"/>
          <w:lang w:val="en-GB"/>
        </w:rPr>
        <w:t xml:space="preserve"> supporting exponential growth in financial terms and value created.</w:t>
      </w:r>
    </w:p>
    <w:p w14:paraId="6FA8945A" w14:textId="315033DC" w:rsidR="00F822D8" w:rsidRPr="006A40F1" w:rsidRDefault="00F822D8" w:rsidP="00554ED6">
      <w:pPr>
        <w:spacing w:line="240" w:lineRule="atLeast"/>
        <w:ind w:firstLine="270"/>
        <w:jc w:val="both"/>
        <w:rPr>
          <w:sz w:val="20"/>
          <w:szCs w:val="20"/>
          <w:lang w:val="en-GB"/>
        </w:rPr>
      </w:pPr>
    </w:p>
    <w:p w14:paraId="6CE25FCD" w14:textId="6AD6C154" w:rsidR="00F822D8" w:rsidRPr="006A40F1" w:rsidRDefault="00F822D8" w:rsidP="00DE2F81">
      <w:pPr>
        <w:pStyle w:val="Heading2"/>
      </w:pPr>
      <w:r w:rsidRPr="006A40F1">
        <w:t>4.2</w:t>
      </w:r>
      <w:r w:rsidR="00DE2F81">
        <w:t>.</w:t>
      </w:r>
      <w:r w:rsidRPr="006A40F1">
        <w:t xml:space="preserve"> Financial markets and pension funds require growth</w:t>
      </w:r>
    </w:p>
    <w:p w14:paraId="686336BD" w14:textId="77777777" w:rsidR="00301E7E" w:rsidRPr="006A40F1" w:rsidRDefault="00301E7E" w:rsidP="00554ED6">
      <w:pPr>
        <w:spacing w:line="240" w:lineRule="atLeast"/>
        <w:ind w:firstLine="720"/>
        <w:jc w:val="both"/>
        <w:rPr>
          <w:b/>
          <w:i/>
          <w:sz w:val="20"/>
          <w:szCs w:val="20"/>
          <w:lang w:val="en-GB"/>
        </w:rPr>
      </w:pPr>
    </w:p>
    <w:p w14:paraId="391A5593" w14:textId="7EC862D7" w:rsidR="00F822D8" w:rsidRPr="006A40F1" w:rsidRDefault="00F822D8" w:rsidP="00554ED6">
      <w:pPr>
        <w:spacing w:line="240" w:lineRule="atLeast"/>
        <w:ind w:firstLine="270"/>
        <w:jc w:val="both"/>
        <w:rPr>
          <w:sz w:val="20"/>
          <w:szCs w:val="20"/>
          <w:lang w:val="en-GB"/>
        </w:rPr>
      </w:pPr>
      <w:r w:rsidRPr="006A40F1">
        <w:rPr>
          <w:sz w:val="20"/>
          <w:szCs w:val="20"/>
          <w:lang w:val="en-GB"/>
        </w:rPr>
        <w:t>If debt can be considered as an unbalancing force towards growth, financial markets can be seen as the attraction point of such a disequilibrium to sustain growth even further. Financial markets rely on a reinforcing feedback loop which lies at the foundation of most of the economic activities today. In fact, more money provide</w:t>
      </w:r>
      <w:r w:rsidR="004C1078" w:rsidRPr="006A40F1">
        <w:rPr>
          <w:sz w:val="20"/>
          <w:szCs w:val="20"/>
          <w:lang w:val="en-GB"/>
        </w:rPr>
        <w:t>s</w:t>
      </w:r>
      <w:r w:rsidRPr="006A40F1">
        <w:rPr>
          <w:sz w:val="20"/>
          <w:szCs w:val="20"/>
          <w:lang w:val="en-GB"/>
        </w:rPr>
        <w:t xml:space="preserve"> the liquidity for more investments, which in turn lead to more profit, supporting the accumulation of more money and so on. Their role is to distribute funding from the investor to corporations and to the public sector, which must grow to honour their investments. Financial markets operate based on different products, including the trading of government and household debt (bond or credit market), corporate equity (stock market), primary commodities such as coffee, wheat or oil (commodity market), and, since the abandonment of gold standard in 1970s, currency (foreign exchange market). The use of information technology to operate financial transactions supported its detachment from the real economy, operating at a much higher speed without the inertia of real systems. In so doing, speculative behaviour in trading platforms and short-termism to gain high return as fast as possible took dominance in the system, often with no concern about the possible effects on the real economy (Capra and Luisi, 2016). </w:t>
      </w:r>
    </w:p>
    <w:p w14:paraId="4251B521" w14:textId="77777777" w:rsidR="00F822D8" w:rsidRPr="006A40F1" w:rsidRDefault="00F822D8" w:rsidP="00554ED6">
      <w:pPr>
        <w:spacing w:line="240" w:lineRule="atLeast"/>
        <w:ind w:firstLine="270"/>
        <w:jc w:val="both"/>
        <w:rPr>
          <w:sz w:val="20"/>
          <w:szCs w:val="20"/>
          <w:lang w:val="en-GB"/>
        </w:rPr>
      </w:pPr>
    </w:p>
    <w:p w14:paraId="1565F668" w14:textId="4853145C" w:rsidR="007B5514" w:rsidRPr="006A40F1" w:rsidRDefault="00F822D8" w:rsidP="00554ED6">
      <w:pPr>
        <w:spacing w:line="240" w:lineRule="atLeast"/>
        <w:ind w:firstLine="270"/>
        <w:jc w:val="both"/>
        <w:rPr>
          <w:b/>
          <w:i/>
          <w:sz w:val="20"/>
          <w:szCs w:val="20"/>
          <w:lang w:val="en-GB"/>
        </w:rPr>
      </w:pPr>
      <w:r w:rsidRPr="006A40F1">
        <w:rPr>
          <w:sz w:val="20"/>
          <w:szCs w:val="20"/>
          <w:lang w:val="en-GB"/>
        </w:rPr>
        <w:t>An interesting case for use of financial instruments for long term sustainable transitions is represented by the pension funds (or household long term savings) managed within risk assessment firms. A pension fund represent</w:t>
      </w:r>
      <w:r w:rsidR="0097115B" w:rsidRPr="006A40F1">
        <w:rPr>
          <w:sz w:val="20"/>
          <w:szCs w:val="20"/>
          <w:lang w:val="en-GB"/>
        </w:rPr>
        <w:t>s</w:t>
      </w:r>
      <w:r w:rsidRPr="006A40F1">
        <w:rPr>
          <w:sz w:val="20"/>
          <w:szCs w:val="20"/>
          <w:lang w:val="en-GB"/>
        </w:rPr>
        <w:t xml:space="preserve"> the withdrawal of a small portion of a household’s income to be returned to their owners after they retire. As a result, a pension fund represents the perfect pot of money that can be invested in the time frame of a sustainable transition due to the </w:t>
      </w:r>
      <w:r w:rsidR="006E4676" w:rsidRPr="006A40F1">
        <w:rPr>
          <w:sz w:val="20"/>
          <w:szCs w:val="20"/>
          <w:lang w:val="en-GB"/>
        </w:rPr>
        <w:t>long-term</w:t>
      </w:r>
      <w:r w:rsidRPr="006A40F1">
        <w:rPr>
          <w:sz w:val="20"/>
          <w:szCs w:val="20"/>
          <w:lang w:val="en-GB"/>
        </w:rPr>
        <w:t xml:space="preserve"> investment return. As explained in Silver (2017)</w:t>
      </w:r>
      <w:r w:rsidR="00DA3620" w:rsidRPr="006A40F1">
        <w:rPr>
          <w:sz w:val="20"/>
          <w:szCs w:val="20"/>
          <w:lang w:val="en-GB"/>
        </w:rPr>
        <w:t>,</w:t>
      </w:r>
      <w:r w:rsidRPr="006A40F1">
        <w:rPr>
          <w:sz w:val="20"/>
          <w:szCs w:val="20"/>
          <w:lang w:val="en-GB"/>
        </w:rPr>
        <w:t xml:space="preserve"> pension fund</w:t>
      </w:r>
      <w:r w:rsidR="00A724E8" w:rsidRPr="006A40F1">
        <w:rPr>
          <w:sz w:val="20"/>
          <w:szCs w:val="20"/>
          <w:lang w:val="en-GB"/>
        </w:rPr>
        <w:t>s</w:t>
      </w:r>
      <w:r w:rsidRPr="006A40F1">
        <w:rPr>
          <w:sz w:val="20"/>
          <w:szCs w:val="20"/>
          <w:lang w:val="en-GB"/>
        </w:rPr>
        <w:t xml:space="preserve"> tend to be invested in low risk stable growth opportunities, often represented by large private firms and government bonds. Interestingly, the main principle that underpins a successful pension fund is also the ability to grow exponentially. An economy with zero growth would be able to return to workers as much money </w:t>
      </w:r>
      <w:r w:rsidR="00F56837" w:rsidRPr="006A40F1">
        <w:rPr>
          <w:sz w:val="20"/>
          <w:szCs w:val="20"/>
          <w:lang w:val="en-GB"/>
        </w:rPr>
        <w:t>as that</w:t>
      </w:r>
      <w:r w:rsidR="0077642D" w:rsidRPr="006A40F1">
        <w:rPr>
          <w:sz w:val="20"/>
          <w:szCs w:val="20"/>
          <w:lang w:val="en-GB"/>
        </w:rPr>
        <w:t xml:space="preserve"> which was </w:t>
      </w:r>
      <w:r w:rsidRPr="006A40F1">
        <w:rPr>
          <w:sz w:val="20"/>
          <w:szCs w:val="20"/>
          <w:lang w:val="en-GB"/>
        </w:rPr>
        <w:t xml:space="preserve">withdrawn, and most likely be </w:t>
      </w:r>
      <w:r w:rsidR="002A1113" w:rsidRPr="006A40F1">
        <w:rPr>
          <w:sz w:val="20"/>
          <w:szCs w:val="20"/>
          <w:lang w:val="en-GB"/>
        </w:rPr>
        <w:t>in</w:t>
      </w:r>
      <w:r w:rsidRPr="006A40F1">
        <w:rPr>
          <w:sz w:val="20"/>
          <w:szCs w:val="20"/>
          <w:lang w:val="en-GB"/>
        </w:rPr>
        <w:t xml:space="preserve">sufficient to provide </w:t>
      </w:r>
      <w:r w:rsidR="009D0F2B" w:rsidRPr="006A40F1">
        <w:rPr>
          <w:sz w:val="20"/>
          <w:szCs w:val="20"/>
          <w:lang w:val="en-GB"/>
        </w:rPr>
        <w:t>subsistence</w:t>
      </w:r>
      <w:r w:rsidRPr="006A40F1">
        <w:rPr>
          <w:sz w:val="20"/>
          <w:szCs w:val="20"/>
          <w:lang w:val="en-GB"/>
        </w:rPr>
        <w:t xml:space="preserve"> spending capabilities as enjoyed during working life. Thus, slow growth would imply lower returns to pension funds. In </w:t>
      </w:r>
      <w:r w:rsidR="006E4676" w:rsidRPr="006A40F1">
        <w:rPr>
          <w:sz w:val="20"/>
          <w:szCs w:val="20"/>
          <w:lang w:val="en-GB"/>
        </w:rPr>
        <w:t>fact,</w:t>
      </w:r>
      <w:r w:rsidRPr="006A40F1">
        <w:rPr>
          <w:sz w:val="20"/>
          <w:szCs w:val="20"/>
          <w:lang w:val="en-GB"/>
        </w:rPr>
        <w:t xml:space="preserve"> a major concern for the sustainability transition is in relation to what are called stranded assets, that is valuable assets that might not be usable due to the sustainable transition. In the past forty years, a vast majority of pension funds were invested in large energy companies, based on coal, oil and gas, which could promise sustainable growth. As explained in the following section, a transition away from fossil fuels is a necessary requirement for a sustainable world, implying disinvesting from those resources, and risking a low return of pension funds for the future generations.</w:t>
      </w:r>
      <w:r w:rsidR="007B5514" w:rsidRPr="006A40F1">
        <w:rPr>
          <w:sz w:val="20"/>
          <w:szCs w:val="20"/>
          <w:lang w:val="en-GB"/>
        </w:rPr>
        <w:t xml:space="preserve"> </w:t>
      </w:r>
    </w:p>
    <w:p w14:paraId="03AAAF6E" w14:textId="77777777" w:rsidR="00301E7E" w:rsidRPr="006A40F1" w:rsidRDefault="00301E7E" w:rsidP="00554ED6">
      <w:pPr>
        <w:spacing w:line="240" w:lineRule="atLeast"/>
        <w:ind w:firstLine="720"/>
        <w:jc w:val="both"/>
        <w:rPr>
          <w:i/>
          <w:sz w:val="20"/>
          <w:szCs w:val="20"/>
          <w:lang w:val="en-GB"/>
        </w:rPr>
      </w:pPr>
    </w:p>
    <w:p w14:paraId="4618B28D" w14:textId="580F2F44" w:rsidR="007B5514" w:rsidRPr="006A40F1" w:rsidRDefault="00F822D8" w:rsidP="00DE2F81">
      <w:pPr>
        <w:pStyle w:val="Heading2"/>
      </w:pPr>
      <w:r w:rsidRPr="006A40F1">
        <w:t>4</w:t>
      </w:r>
      <w:r w:rsidR="007B5514" w:rsidRPr="006A40F1">
        <w:t>.</w:t>
      </w:r>
      <w:r w:rsidRPr="006A40F1">
        <w:t>3</w:t>
      </w:r>
      <w:r w:rsidR="007B5514" w:rsidRPr="006A40F1">
        <w:t xml:space="preserve">. </w:t>
      </w:r>
      <w:r w:rsidRPr="006A40F1">
        <w:t>Productivity and technology growth</w:t>
      </w:r>
    </w:p>
    <w:p w14:paraId="3C86AFC7" w14:textId="77777777" w:rsidR="00301E7E" w:rsidRPr="006A40F1" w:rsidRDefault="00301E7E" w:rsidP="00554ED6">
      <w:pPr>
        <w:spacing w:line="240" w:lineRule="atLeast"/>
        <w:ind w:firstLine="720"/>
        <w:jc w:val="both"/>
        <w:rPr>
          <w:sz w:val="20"/>
          <w:szCs w:val="20"/>
          <w:lang w:val="en-GB"/>
        </w:rPr>
      </w:pPr>
    </w:p>
    <w:p w14:paraId="087BED29" w14:textId="2371DE47" w:rsidR="00F822D8" w:rsidRPr="006A40F1" w:rsidRDefault="00F822D8" w:rsidP="00554ED6">
      <w:pPr>
        <w:spacing w:line="240" w:lineRule="atLeast"/>
        <w:ind w:firstLine="270"/>
        <w:jc w:val="both"/>
        <w:rPr>
          <w:sz w:val="20"/>
          <w:szCs w:val="20"/>
          <w:lang w:val="en-GB"/>
        </w:rPr>
      </w:pPr>
      <w:r w:rsidRPr="006A40F1">
        <w:rPr>
          <w:sz w:val="20"/>
          <w:szCs w:val="20"/>
          <w:lang w:val="en-GB"/>
        </w:rPr>
        <w:t xml:space="preserve">One of the main arguments against the thesis of the Limits to Growth was in the underestimation of the potential of technology and productivity growth when assessing the power of growth in the global economy (Nordhaus 1973). Economists long established the importance of productivity growth as the most important determinant of </w:t>
      </w:r>
      <w:r w:rsidR="00F6108B" w:rsidRPr="006A40F1">
        <w:rPr>
          <w:sz w:val="20"/>
          <w:szCs w:val="20"/>
          <w:lang w:val="en-GB"/>
        </w:rPr>
        <w:t>long-term</w:t>
      </w:r>
      <w:r w:rsidRPr="006A40F1">
        <w:rPr>
          <w:sz w:val="20"/>
          <w:szCs w:val="20"/>
          <w:lang w:val="en-GB"/>
        </w:rPr>
        <w:t xml:space="preserve"> economic growth and rising living standards for all (Schwab 2017, Maxton and Randers 2016, Jackson 2016). Productivity growth can be defined as incremental changes in the ability of one person to produce a certain unit of economic output over time. The relation between productivity growth and economic growth was first proposed by Adam Smith in the Wealth of Nations (1776). Smith observed that international trade could support the specialization of firms and cost reduction of output, with the potential to make goods and services affordable for the vast majority of people. At that time, widespread poverty could be found in every corner of the world, mainly because it was not possible to produce enough output for all. Such a thinking could take off thanks to the invention of the steam engine by James Watt in 1</w:t>
      </w:r>
      <w:r w:rsidR="001605A3" w:rsidRPr="006A40F1">
        <w:rPr>
          <w:sz w:val="20"/>
          <w:szCs w:val="20"/>
          <w:lang w:val="en-GB"/>
        </w:rPr>
        <w:t>781</w:t>
      </w:r>
      <w:r w:rsidRPr="006A40F1">
        <w:rPr>
          <w:sz w:val="20"/>
          <w:szCs w:val="20"/>
          <w:lang w:val="en-GB"/>
        </w:rPr>
        <w:t xml:space="preserve">. Its main benefit gradually allowed </w:t>
      </w:r>
      <w:r w:rsidR="009C253D" w:rsidRPr="006A40F1">
        <w:rPr>
          <w:sz w:val="20"/>
          <w:szCs w:val="20"/>
          <w:lang w:val="en-GB"/>
        </w:rPr>
        <w:t>the</w:t>
      </w:r>
      <w:r w:rsidRPr="006A40F1">
        <w:rPr>
          <w:sz w:val="20"/>
          <w:szCs w:val="20"/>
          <w:lang w:val="en-GB"/>
        </w:rPr>
        <w:t xml:space="preserve"> substitut</w:t>
      </w:r>
      <w:r w:rsidR="009C253D" w:rsidRPr="006A40F1">
        <w:rPr>
          <w:sz w:val="20"/>
          <w:szCs w:val="20"/>
          <w:lang w:val="en-GB"/>
        </w:rPr>
        <w:t>ion of</w:t>
      </w:r>
      <w:r w:rsidRPr="006A40F1">
        <w:rPr>
          <w:sz w:val="20"/>
          <w:szCs w:val="20"/>
          <w:lang w:val="en-GB"/>
        </w:rPr>
        <w:t xml:space="preserve"> human and animal muscles with machine system</w:t>
      </w:r>
      <w:r w:rsidR="00906680" w:rsidRPr="006A40F1">
        <w:rPr>
          <w:sz w:val="20"/>
          <w:szCs w:val="20"/>
          <w:lang w:val="en-GB"/>
        </w:rPr>
        <w:t>s</w:t>
      </w:r>
      <w:r w:rsidRPr="006A40F1">
        <w:rPr>
          <w:sz w:val="20"/>
          <w:szCs w:val="20"/>
          <w:lang w:val="en-GB"/>
        </w:rPr>
        <w:t xml:space="preserve"> powered </w:t>
      </w:r>
      <w:r w:rsidR="00D161C9" w:rsidRPr="006A40F1">
        <w:rPr>
          <w:sz w:val="20"/>
          <w:szCs w:val="20"/>
          <w:lang w:val="en-GB"/>
        </w:rPr>
        <w:t>by</w:t>
      </w:r>
      <w:r w:rsidRPr="006A40F1">
        <w:rPr>
          <w:sz w:val="20"/>
          <w:szCs w:val="20"/>
          <w:lang w:val="en-GB"/>
        </w:rPr>
        <w:t xml:space="preserve"> coal, increasing productivity of workers over time, and giving birth to </w:t>
      </w:r>
      <w:r w:rsidR="00414E9F" w:rsidRPr="006A40F1">
        <w:rPr>
          <w:sz w:val="20"/>
          <w:szCs w:val="20"/>
          <w:lang w:val="en-GB"/>
        </w:rPr>
        <w:t xml:space="preserve">today’s </w:t>
      </w:r>
      <w:r w:rsidRPr="006A40F1">
        <w:rPr>
          <w:sz w:val="20"/>
          <w:szCs w:val="20"/>
          <w:lang w:val="en-GB"/>
        </w:rPr>
        <w:t>capitalistic economy led by growth (Pasqualino and Jones 2020).</w:t>
      </w:r>
    </w:p>
    <w:p w14:paraId="1545E370" w14:textId="77777777" w:rsidR="00F822D8" w:rsidRPr="006A40F1" w:rsidRDefault="00F822D8" w:rsidP="00554ED6">
      <w:pPr>
        <w:spacing w:line="240" w:lineRule="atLeast"/>
        <w:ind w:firstLine="270"/>
        <w:jc w:val="both"/>
        <w:rPr>
          <w:sz w:val="20"/>
          <w:szCs w:val="20"/>
          <w:lang w:val="en-GB"/>
        </w:rPr>
      </w:pPr>
    </w:p>
    <w:p w14:paraId="3532F33D" w14:textId="62690DE7" w:rsidR="00F822D8" w:rsidRPr="006A40F1" w:rsidRDefault="00F822D8" w:rsidP="00554ED6">
      <w:pPr>
        <w:spacing w:line="240" w:lineRule="atLeast"/>
        <w:ind w:firstLine="270"/>
        <w:jc w:val="both"/>
        <w:rPr>
          <w:sz w:val="20"/>
          <w:szCs w:val="20"/>
          <w:lang w:val="en-GB"/>
        </w:rPr>
      </w:pPr>
      <w:r w:rsidRPr="006A40F1">
        <w:rPr>
          <w:sz w:val="20"/>
          <w:szCs w:val="20"/>
          <w:lang w:val="en-GB"/>
        </w:rPr>
        <w:t xml:space="preserve">The first and second industrial revolution are characterized with widespread diffusion of technologies in every field, including metallurgy, mechanics, and cement. The second industrial revolution was heavily impacted by the discovery of crude oil in 1859, which found applicability due to its cheap price and </w:t>
      </w:r>
      <w:r w:rsidR="00DF7DC6" w:rsidRPr="006A40F1">
        <w:rPr>
          <w:sz w:val="20"/>
          <w:szCs w:val="20"/>
          <w:lang w:val="en-GB"/>
        </w:rPr>
        <w:t xml:space="preserve">versatility </w:t>
      </w:r>
      <w:r w:rsidRPr="006A40F1">
        <w:rPr>
          <w:sz w:val="20"/>
          <w:szCs w:val="20"/>
          <w:lang w:val="en-GB"/>
        </w:rPr>
        <w:t>in comparison to coal. The discovery of crude oil is probably the most important factor explaining the wellbeing and wealth generated in ou</w:t>
      </w:r>
      <w:r w:rsidR="00894C26" w:rsidRPr="006A40F1">
        <w:rPr>
          <w:sz w:val="20"/>
          <w:szCs w:val="20"/>
          <w:lang w:val="en-GB"/>
        </w:rPr>
        <w:t>r</w:t>
      </w:r>
      <w:r w:rsidRPr="006A40F1">
        <w:rPr>
          <w:sz w:val="20"/>
          <w:szCs w:val="20"/>
          <w:lang w:val="en-GB"/>
        </w:rPr>
        <w:t xml:space="preserve"> global economy to date. This was followed by the electrification of machines and the development of telecommunication technologies, with expansion of transportation systems including train, airplanes and the automobile. An important innovation in agriculture is represented by the Haber-Bosch process in</w:t>
      </w:r>
      <w:r w:rsidR="008C2502" w:rsidRPr="006A40F1">
        <w:rPr>
          <w:sz w:val="20"/>
          <w:szCs w:val="20"/>
          <w:lang w:val="en-GB"/>
        </w:rPr>
        <w:t xml:space="preserve"> the</w:t>
      </w:r>
      <w:r w:rsidRPr="006A40F1">
        <w:rPr>
          <w:sz w:val="20"/>
          <w:szCs w:val="20"/>
          <w:lang w:val="en-GB"/>
        </w:rPr>
        <w:t xml:space="preserve"> early 1900s that allows fertilizers</w:t>
      </w:r>
      <w:r w:rsidR="00D82110" w:rsidRPr="006A40F1">
        <w:rPr>
          <w:sz w:val="20"/>
          <w:szCs w:val="20"/>
          <w:lang w:val="en-GB"/>
        </w:rPr>
        <w:t xml:space="preserve"> to be </w:t>
      </w:r>
      <w:r w:rsidR="00894C26" w:rsidRPr="006A40F1">
        <w:rPr>
          <w:sz w:val="20"/>
          <w:szCs w:val="20"/>
          <w:lang w:val="en-GB"/>
        </w:rPr>
        <w:t>obtained with</w:t>
      </w:r>
      <w:r w:rsidRPr="006A40F1">
        <w:rPr>
          <w:sz w:val="20"/>
          <w:szCs w:val="20"/>
          <w:lang w:val="en-GB"/>
        </w:rPr>
        <w:t xml:space="preserve"> the use of natural gas, supporting land productivity growth.</w:t>
      </w:r>
    </w:p>
    <w:p w14:paraId="7EAA43CC" w14:textId="77777777" w:rsidR="00F822D8" w:rsidRPr="006A40F1" w:rsidRDefault="00F822D8" w:rsidP="00554ED6">
      <w:pPr>
        <w:spacing w:line="240" w:lineRule="atLeast"/>
        <w:ind w:firstLine="270"/>
        <w:jc w:val="both"/>
        <w:rPr>
          <w:sz w:val="20"/>
          <w:szCs w:val="20"/>
          <w:lang w:val="en-GB"/>
        </w:rPr>
      </w:pPr>
    </w:p>
    <w:p w14:paraId="64F7E4BD" w14:textId="73473506" w:rsidR="00F822D8" w:rsidRPr="006A40F1" w:rsidRDefault="00F822D8" w:rsidP="00554ED6">
      <w:pPr>
        <w:spacing w:line="240" w:lineRule="atLeast"/>
        <w:ind w:firstLine="270"/>
        <w:jc w:val="both"/>
        <w:rPr>
          <w:sz w:val="20"/>
          <w:szCs w:val="20"/>
          <w:lang w:val="en-GB"/>
        </w:rPr>
      </w:pPr>
      <w:r w:rsidRPr="006A40F1">
        <w:rPr>
          <w:sz w:val="20"/>
          <w:szCs w:val="20"/>
          <w:lang w:val="en-GB"/>
        </w:rPr>
        <w:t>Starting</w:t>
      </w:r>
      <w:r w:rsidR="00A32E66" w:rsidRPr="006A40F1">
        <w:rPr>
          <w:sz w:val="20"/>
          <w:szCs w:val="20"/>
          <w:lang w:val="en-GB"/>
        </w:rPr>
        <w:t xml:space="preserve"> in</w:t>
      </w:r>
      <w:r w:rsidRPr="006A40F1">
        <w:rPr>
          <w:sz w:val="20"/>
          <w:szCs w:val="20"/>
          <w:lang w:val="en-GB"/>
        </w:rPr>
        <w:t xml:space="preserve"> the 1950s, the advent of internet, transistors and computers allowed for the gradual digitalization of human society leading to the cusp of the fourth industrial revolution which is characterized by the use of disruptive technologies</w:t>
      </w:r>
      <w:r w:rsidR="009D0F2B" w:rsidRPr="006A40F1">
        <w:rPr>
          <w:sz w:val="20"/>
          <w:szCs w:val="20"/>
          <w:lang w:val="en-GB"/>
        </w:rPr>
        <w:t>. These include</w:t>
      </w:r>
      <w:r w:rsidRPr="006A40F1">
        <w:rPr>
          <w:sz w:val="20"/>
          <w:szCs w:val="20"/>
          <w:lang w:val="en-GB"/>
        </w:rPr>
        <w:t xml:space="preserve"> artificial intelligence, robotics, 3</w:t>
      </w:r>
      <w:r w:rsidR="0098194A" w:rsidRPr="006A40F1">
        <w:rPr>
          <w:sz w:val="20"/>
          <w:szCs w:val="20"/>
          <w:lang w:val="en-GB"/>
        </w:rPr>
        <w:t>D</w:t>
      </w:r>
      <w:r w:rsidRPr="006A40F1">
        <w:rPr>
          <w:sz w:val="20"/>
          <w:szCs w:val="20"/>
          <w:lang w:val="en-GB"/>
        </w:rPr>
        <w:t xml:space="preserve"> printing, cloud services, internet of things and many more. These allowed an industrial era</w:t>
      </w:r>
      <w:r w:rsidR="00AA713A" w:rsidRPr="006A40F1">
        <w:rPr>
          <w:sz w:val="20"/>
          <w:szCs w:val="20"/>
          <w:lang w:val="en-GB"/>
        </w:rPr>
        <w:t xml:space="preserve"> to move</w:t>
      </w:r>
      <w:r w:rsidRPr="006A40F1">
        <w:rPr>
          <w:sz w:val="20"/>
          <w:szCs w:val="20"/>
          <w:lang w:val="en-GB"/>
        </w:rPr>
        <w:t xml:space="preserve"> into a services era, transforming both human lives as well as the financial sector. The overall effect of these innovations was a general reduction in cost of production while employing the same amount of people, </w:t>
      </w:r>
      <w:r w:rsidRPr="006A40F1">
        <w:rPr>
          <w:sz w:val="20"/>
          <w:szCs w:val="20"/>
          <w:lang w:val="en-GB"/>
        </w:rPr>
        <w:lastRenderedPageBreak/>
        <w:t>or, in other words, the ability of producing more output employing the same people. For example, the resources extraction industry has seen a gradual cost reduction in extraction of resources despite depleting in the past fifty years. As we will see in the following section, this trend might not last forever.</w:t>
      </w:r>
    </w:p>
    <w:p w14:paraId="150F1BC7" w14:textId="77777777" w:rsidR="00F822D8" w:rsidRPr="006A40F1" w:rsidRDefault="00F822D8" w:rsidP="00554ED6">
      <w:pPr>
        <w:spacing w:line="240" w:lineRule="atLeast"/>
        <w:ind w:firstLine="270"/>
        <w:jc w:val="both"/>
        <w:rPr>
          <w:sz w:val="20"/>
          <w:szCs w:val="20"/>
          <w:lang w:val="en-GB"/>
        </w:rPr>
      </w:pPr>
    </w:p>
    <w:p w14:paraId="7939E46F" w14:textId="1B830596" w:rsidR="007B5514" w:rsidRDefault="00F822D8" w:rsidP="00554ED6">
      <w:pPr>
        <w:spacing w:line="240" w:lineRule="atLeast"/>
        <w:ind w:firstLine="270"/>
        <w:jc w:val="both"/>
        <w:rPr>
          <w:sz w:val="20"/>
          <w:szCs w:val="20"/>
          <w:lang w:val="en-GB"/>
        </w:rPr>
      </w:pPr>
      <w:r w:rsidRPr="006A40F1">
        <w:rPr>
          <w:sz w:val="20"/>
          <w:szCs w:val="20"/>
          <w:lang w:val="en-GB"/>
        </w:rPr>
        <w:t>Alongside productivity growth, innovation has always brought concerns in relation to the transformation of labour, systemic inequality and the possibility of reducing employment in the long term. In fact, a capitalistic economic system must rely on consumption to support growth. But without the assurance of high employment demand may fall, generating a downturn on the global supply side (Jackson 2016). According to Capra and Luisi (2016), financial networks conserve the power on the real economy today, with unskilled labour remaining locally constrained. On the other hand, in an economy that is driven by information processing, knowledge creation and innovation, the skilled personnel is often involved in share option schemes as an incentive to retain their loyalty and assure that their tacit knowledge is passed along the organization. Despite the innovation of the last 70 years, historical data show</w:t>
      </w:r>
      <w:r w:rsidR="00B54DAD" w:rsidRPr="006A40F1">
        <w:rPr>
          <w:sz w:val="20"/>
          <w:szCs w:val="20"/>
          <w:lang w:val="en-GB"/>
        </w:rPr>
        <w:t>s</w:t>
      </w:r>
      <w:r w:rsidRPr="006A40F1">
        <w:rPr>
          <w:sz w:val="20"/>
          <w:szCs w:val="20"/>
          <w:lang w:val="en-GB"/>
        </w:rPr>
        <w:t xml:space="preserve"> that labour productivity growth has been falling globally (Jackson, 2016). The term secular stagnation emerged again requiring to</w:t>
      </w:r>
      <w:r w:rsidR="00D27DAC">
        <w:rPr>
          <w:sz w:val="20"/>
          <w:szCs w:val="20"/>
          <w:lang w:val="en-GB"/>
        </w:rPr>
        <w:t xml:space="preserve"> </w:t>
      </w:r>
      <w:r w:rsidRPr="006A40F1">
        <w:rPr>
          <w:sz w:val="20"/>
          <w:szCs w:val="20"/>
          <w:lang w:val="en-GB"/>
        </w:rPr>
        <w:t>deal with slow economic growth towards the future.</w:t>
      </w:r>
    </w:p>
    <w:p w14:paraId="0C79FD2C" w14:textId="77777777" w:rsidR="00DE2F81" w:rsidRPr="006A40F1" w:rsidRDefault="00DE2F81" w:rsidP="00554ED6">
      <w:pPr>
        <w:spacing w:line="240" w:lineRule="atLeast"/>
        <w:ind w:firstLine="270"/>
        <w:jc w:val="both"/>
        <w:rPr>
          <w:sz w:val="20"/>
          <w:szCs w:val="20"/>
          <w:lang w:val="en-GB"/>
        </w:rPr>
      </w:pPr>
    </w:p>
    <w:p w14:paraId="3CFD7CE5" w14:textId="77777777" w:rsidR="00301E7E" w:rsidRPr="006A40F1" w:rsidRDefault="00301E7E" w:rsidP="00554ED6">
      <w:pPr>
        <w:spacing w:line="240" w:lineRule="atLeast"/>
        <w:jc w:val="both"/>
        <w:rPr>
          <w:i/>
          <w:sz w:val="20"/>
          <w:szCs w:val="20"/>
          <w:lang w:val="en-GB"/>
        </w:rPr>
      </w:pPr>
    </w:p>
    <w:p w14:paraId="63AD3FB8" w14:textId="6FE5165B" w:rsidR="007B5514" w:rsidRPr="006A40F1" w:rsidRDefault="00F822D8" w:rsidP="00DE2F81">
      <w:pPr>
        <w:pStyle w:val="Heading2"/>
      </w:pPr>
      <w:r w:rsidRPr="006A40F1">
        <w:t>4</w:t>
      </w:r>
      <w:r w:rsidR="007B5514" w:rsidRPr="006A40F1">
        <w:t>.</w:t>
      </w:r>
      <w:r w:rsidRPr="006A40F1">
        <w:t>4</w:t>
      </w:r>
      <w:r w:rsidR="007B5514" w:rsidRPr="006A40F1">
        <w:t xml:space="preserve">. </w:t>
      </w:r>
      <w:r w:rsidRPr="006A40F1">
        <w:t>Projections for population growth by region</w:t>
      </w:r>
    </w:p>
    <w:p w14:paraId="08727094" w14:textId="77777777" w:rsidR="00301E7E" w:rsidRPr="006A40F1" w:rsidRDefault="00301E7E" w:rsidP="00554ED6">
      <w:pPr>
        <w:spacing w:line="240" w:lineRule="atLeast"/>
        <w:jc w:val="both"/>
        <w:rPr>
          <w:sz w:val="20"/>
          <w:szCs w:val="20"/>
          <w:lang w:val="en-GB"/>
        </w:rPr>
      </w:pPr>
    </w:p>
    <w:p w14:paraId="04AFF4E5" w14:textId="32A17120" w:rsidR="00F822D8" w:rsidRPr="006A40F1" w:rsidRDefault="00F822D8" w:rsidP="00554ED6">
      <w:pPr>
        <w:spacing w:line="240" w:lineRule="atLeast"/>
        <w:ind w:firstLine="720"/>
        <w:jc w:val="both"/>
        <w:rPr>
          <w:sz w:val="20"/>
          <w:szCs w:val="20"/>
          <w:lang w:val="en-GB"/>
        </w:rPr>
      </w:pPr>
      <w:r w:rsidRPr="006A40F1">
        <w:rPr>
          <w:sz w:val="20"/>
          <w:szCs w:val="20"/>
          <w:lang w:val="en-GB"/>
        </w:rPr>
        <w:t xml:space="preserve">Figure 1 shows the historical data and projections of global population from 1950 to 2100 divided in six world macro regions (Asia, Africa, Europe, North America, Latin America and the Caribbean, Oceania).  Today’s global population is approximately 7.7 billion people, expected to reach between 9.4 and 10.3 billion people by 2050 and between 9.6 and 13.2 billion by 2100 (UN, 2018). Approximately 800 million people are undernourished mostly concentrating in Sub-Saharan Africa and Southern and Eastern Asia (FAO, 2015). Population growth increases global demand for food and commodities, even though the distribution of growth and income is uneven between world regions. In fact, approximately 1.8 billion people live in the most developed regions where population is expected to remain stable or decrease. This is due to the expectations that highly educated women, involved in professional careers and living in urban areas would find it more difficult to have large families. </w:t>
      </w:r>
    </w:p>
    <w:p w14:paraId="6D52A0B9" w14:textId="77777777" w:rsidR="00F822D8" w:rsidRPr="006A40F1" w:rsidRDefault="00F822D8" w:rsidP="00554ED6">
      <w:pPr>
        <w:spacing w:line="240" w:lineRule="atLeast"/>
        <w:ind w:firstLine="720"/>
        <w:jc w:val="both"/>
        <w:rPr>
          <w:sz w:val="20"/>
          <w:szCs w:val="20"/>
          <w:lang w:val="en-GB"/>
        </w:rPr>
      </w:pPr>
    </w:p>
    <w:p w14:paraId="4A3B8424" w14:textId="179F885F" w:rsidR="00301E7E" w:rsidRPr="006A40F1" w:rsidRDefault="0093387E" w:rsidP="00554ED6">
      <w:pPr>
        <w:spacing w:line="240" w:lineRule="atLeast"/>
        <w:ind w:firstLine="720"/>
        <w:jc w:val="both"/>
        <w:rPr>
          <w:sz w:val="20"/>
          <w:szCs w:val="20"/>
          <w:lang w:val="en-GB"/>
        </w:rPr>
      </w:pPr>
      <w:r w:rsidRPr="006A40F1">
        <w:rPr>
          <w:sz w:val="20"/>
          <w:szCs w:val="20"/>
          <w:lang w:val="en-GB"/>
        </w:rPr>
        <w:t xml:space="preserve">A </w:t>
      </w:r>
      <w:r w:rsidR="00F57B68" w:rsidRPr="006A40F1">
        <w:rPr>
          <w:sz w:val="20"/>
          <w:szCs w:val="20"/>
          <w:lang w:val="en-GB"/>
        </w:rPr>
        <w:t>large</w:t>
      </w:r>
      <w:r w:rsidR="00F822D8" w:rsidRPr="006A40F1">
        <w:rPr>
          <w:sz w:val="20"/>
          <w:szCs w:val="20"/>
          <w:lang w:val="en-GB"/>
        </w:rPr>
        <w:t xml:space="preserve"> portion of population growth is expected to be recorded in Asia, that today accounts for approximately 4.5 billion people. It is expected that </w:t>
      </w:r>
      <w:r w:rsidR="00FF6DCC" w:rsidRPr="006A40F1">
        <w:rPr>
          <w:sz w:val="20"/>
          <w:szCs w:val="20"/>
          <w:lang w:val="en-GB"/>
        </w:rPr>
        <w:t xml:space="preserve">the </w:t>
      </w:r>
      <w:r w:rsidR="00F822D8" w:rsidRPr="006A40F1">
        <w:rPr>
          <w:sz w:val="20"/>
          <w:szCs w:val="20"/>
          <w:lang w:val="en-GB"/>
        </w:rPr>
        <w:t xml:space="preserve">Asian population will surpass 5.2 billion people by 2050, and then slowly decrease until 2100. The most populous countries in Asia are China and India at approximately 1.4 and 1.3 billion people respectively today. While China per capita consumption is way lower </w:t>
      </w:r>
      <w:r w:rsidR="00F822D8" w:rsidRPr="006A40F1">
        <w:rPr>
          <w:sz w:val="20"/>
          <w:szCs w:val="20"/>
          <w:lang w:val="en-GB"/>
        </w:rPr>
        <w:lastRenderedPageBreak/>
        <w:t>than most developed economies it is expected it will find benefit from the economic transition, economic growth and wealth creation, bringing approximately 300 million people to the threshold of high income experienced in the most developed part</w:t>
      </w:r>
      <w:r w:rsidR="0037125E" w:rsidRPr="006A40F1">
        <w:rPr>
          <w:sz w:val="20"/>
          <w:szCs w:val="20"/>
          <w:lang w:val="en-GB"/>
        </w:rPr>
        <w:t>s</w:t>
      </w:r>
      <w:r w:rsidR="00F822D8" w:rsidRPr="006A40F1">
        <w:rPr>
          <w:sz w:val="20"/>
          <w:szCs w:val="20"/>
          <w:lang w:val="en-GB"/>
        </w:rPr>
        <w:t xml:space="preserve"> of the world. This will most likely generate pressures to demand growth (for example via the substitution of rice consumption with meat) and determine a slow</w:t>
      </w:r>
      <w:r w:rsidR="00947A50" w:rsidRPr="006A40F1">
        <w:rPr>
          <w:sz w:val="20"/>
          <w:szCs w:val="20"/>
          <w:lang w:val="en-GB"/>
        </w:rPr>
        <w:t>-</w:t>
      </w:r>
      <w:r w:rsidR="00F822D8" w:rsidRPr="006A40F1">
        <w:rPr>
          <w:sz w:val="20"/>
          <w:szCs w:val="20"/>
          <w:lang w:val="en-GB"/>
        </w:rPr>
        <w:t xml:space="preserve">down in population growth leading to a similar dynamic experienced in the western world (IIASTD 2009). On the other hand, India, </w:t>
      </w:r>
      <w:r w:rsidR="00854BA9" w:rsidRPr="006A40F1">
        <w:rPr>
          <w:sz w:val="20"/>
          <w:szCs w:val="20"/>
          <w:lang w:val="en-GB"/>
        </w:rPr>
        <w:t>that will</w:t>
      </w:r>
      <w:r w:rsidR="00F822D8" w:rsidRPr="006A40F1">
        <w:rPr>
          <w:sz w:val="20"/>
          <w:szCs w:val="20"/>
          <w:lang w:val="en-GB"/>
        </w:rPr>
        <w:t xml:space="preserve"> not benefit </w:t>
      </w:r>
      <w:r w:rsidR="00D97C0B" w:rsidRPr="006A40F1">
        <w:rPr>
          <w:sz w:val="20"/>
          <w:szCs w:val="20"/>
          <w:lang w:val="en-GB"/>
        </w:rPr>
        <w:t>from</w:t>
      </w:r>
      <w:r w:rsidR="00F822D8" w:rsidRPr="006A40F1">
        <w:rPr>
          <w:sz w:val="20"/>
          <w:szCs w:val="20"/>
          <w:lang w:val="en-GB"/>
        </w:rPr>
        <w:t xml:space="preserve"> the same positive trend </w:t>
      </w:r>
      <w:r w:rsidR="00610E13" w:rsidRPr="006A40F1">
        <w:rPr>
          <w:sz w:val="20"/>
          <w:szCs w:val="20"/>
          <w:lang w:val="en-GB"/>
        </w:rPr>
        <w:t>as</w:t>
      </w:r>
      <w:r w:rsidR="00F822D8" w:rsidRPr="006A40F1">
        <w:rPr>
          <w:sz w:val="20"/>
          <w:szCs w:val="20"/>
          <w:lang w:val="en-GB"/>
        </w:rPr>
        <w:t xml:space="preserve"> China</w:t>
      </w:r>
      <w:r w:rsidR="00D97C0B" w:rsidRPr="006A40F1">
        <w:rPr>
          <w:sz w:val="20"/>
          <w:szCs w:val="20"/>
          <w:lang w:val="en-GB"/>
        </w:rPr>
        <w:t>,</w:t>
      </w:r>
      <w:r w:rsidR="00F822D8" w:rsidRPr="006A40F1">
        <w:rPr>
          <w:sz w:val="20"/>
          <w:szCs w:val="20"/>
          <w:lang w:val="en-GB"/>
        </w:rPr>
        <w:t xml:space="preserve"> is expected to remain mostly poor with continuous expansion in population growth, becoming the most populous country in the world with about 1.6 billion people by 2050. African countries will register the large</w:t>
      </w:r>
      <w:r w:rsidR="001B0836" w:rsidRPr="006A40F1">
        <w:rPr>
          <w:sz w:val="20"/>
          <w:szCs w:val="20"/>
          <w:lang w:val="en-GB"/>
        </w:rPr>
        <w:t>st</w:t>
      </w:r>
      <w:r w:rsidR="00F822D8" w:rsidRPr="006A40F1">
        <w:rPr>
          <w:sz w:val="20"/>
          <w:szCs w:val="20"/>
          <w:lang w:val="en-GB"/>
        </w:rPr>
        <w:t xml:space="preserve"> increase in human population, moving from today’s 1.2 billion people to 2.8 billion in 2050 and above 4 billion by the end of the century. Among those, Nigeria is expected to record exponential growth over several decades, becoming the third most populous country with above 400 million people by 2050.</w:t>
      </w:r>
    </w:p>
    <w:p w14:paraId="5BA1FB3B" w14:textId="2F52F98C" w:rsidR="00F822D8" w:rsidRPr="006A40F1" w:rsidRDefault="00F822D8" w:rsidP="00554ED6">
      <w:pPr>
        <w:spacing w:line="240" w:lineRule="atLeast"/>
        <w:ind w:firstLine="720"/>
        <w:jc w:val="both"/>
        <w:rPr>
          <w:sz w:val="20"/>
          <w:szCs w:val="20"/>
          <w:lang w:val="en-GB"/>
        </w:rPr>
      </w:pPr>
    </w:p>
    <w:p w14:paraId="582BA2AC" w14:textId="77777777" w:rsidR="00F822D8" w:rsidRPr="006A40F1" w:rsidRDefault="00F822D8" w:rsidP="00554ED6">
      <w:pPr>
        <w:jc w:val="both"/>
        <w:rPr>
          <w:lang w:val="en-GB"/>
        </w:rPr>
      </w:pPr>
    </w:p>
    <w:p w14:paraId="1D0C92D4" w14:textId="65D3C043" w:rsidR="00F822D8" w:rsidRDefault="00F822D8" w:rsidP="00554ED6">
      <w:pPr>
        <w:jc w:val="both"/>
        <w:rPr>
          <w:lang w:val="en-GB"/>
        </w:rPr>
      </w:pPr>
      <w:r w:rsidRPr="006A40F1">
        <w:rPr>
          <w:noProof/>
          <w:lang w:val="en-GB"/>
        </w:rPr>
        <w:drawing>
          <wp:inline distT="0" distB="0" distL="0" distR="0" wp14:anchorId="0669898A" wp14:editId="4BEA59AF">
            <wp:extent cx="5266267" cy="3153833"/>
            <wp:effectExtent l="0" t="0" r="10795" b="8890"/>
            <wp:docPr id="2" name="Chart 2">
              <a:extLst xmlns:a="http://schemas.openxmlformats.org/drawingml/2006/main">
                <a:ext uri="{FF2B5EF4-FFF2-40B4-BE49-F238E27FC236}">
                  <a16:creationId xmlns:a16="http://schemas.microsoft.com/office/drawing/2014/main" id="{94E9C204-31B0-43AD-BE1B-29193D16E0EE}"/>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63746565" w14:textId="77777777" w:rsidR="0090038B" w:rsidRPr="006A40F1" w:rsidRDefault="0090038B" w:rsidP="0090038B">
      <w:pPr>
        <w:jc w:val="both"/>
        <w:rPr>
          <w:sz w:val="20"/>
          <w:szCs w:val="20"/>
          <w:lang w:val="en-GB"/>
        </w:rPr>
      </w:pPr>
      <w:bookmarkStart w:id="3" w:name="_Ref17205388"/>
      <w:bookmarkStart w:id="4" w:name="_Toc26704860"/>
      <w:r w:rsidRPr="006A40F1">
        <w:rPr>
          <w:sz w:val="20"/>
          <w:szCs w:val="20"/>
          <w:lang w:val="en-GB"/>
        </w:rPr>
        <w:t xml:space="preserve">Figure </w:t>
      </w:r>
      <w:r w:rsidRPr="006A40F1">
        <w:rPr>
          <w:sz w:val="20"/>
          <w:szCs w:val="20"/>
          <w:lang w:val="en-GB"/>
        </w:rPr>
        <w:fldChar w:fldCharType="begin"/>
      </w:r>
      <w:r w:rsidRPr="006A40F1">
        <w:rPr>
          <w:sz w:val="20"/>
          <w:szCs w:val="20"/>
          <w:lang w:val="en-GB"/>
        </w:rPr>
        <w:instrText xml:space="preserve"> SEQ Figure \* ARABIC </w:instrText>
      </w:r>
      <w:r w:rsidRPr="006A40F1">
        <w:rPr>
          <w:sz w:val="20"/>
          <w:szCs w:val="20"/>
          <w:lang w:val="en-GB"/>
        </w:rPr>
        <w:fldChar w:fldCharType="separate"/>
      </w:r>
      <w:r w:rsidRPr="006A40F1">
        <w:rPr>
          <w:noProof/>
          <w:sz w:val="20"/>
          <w:szCs w:val="20"/>
          <w:lang w:val="en-GB"/>
        </w:rPr>
        <w:t>1</w:t>
      </w:r>
      <w:r w:rsidRPr="006A40F1">
        <w:rPr>
          <w:sz w:val="20"/>
          <w:szCs w:val="20"/>
          <w:lang w:val="en-GB"/>
        </w:rPr>
        <w:fldChar w:fldCharType="end"/>
      </w:r>
      <w:bookmarkEnd w:id="3"/>
      <w:r w:rsidRPr="006A40F1">
        <w:rPr>
          <w:sz w:val="20"/>
          <w:szCs w:val="20"/>
          <w:lang w:val="en-GB"/>
        </w:rPr>
        <w:t xml:space="preserve"> – Population projections by region over time</w:t>
      </w:r>
      <w:bookmarkEnd w:id="4"/>
      <w:r w:rsidRPr="006A40F1">
        <w:rPr>
          <w:sz w:val="20"/>
          <w:szCs w:val="20"/>
          <w:lang w:val="en-GB"/>
        </w:rPr>
        <w:t xml:space="preserve"> (source: United Nations Population Division, 2018)</w:t>
      </w:r>
    </w:p>
    <w:p w14:paraId="2E6E13BC" w14:textId="77777777" w:rsidR="00F822D8" w:rsidRPr="006A40F1" w:rsidRDefault="00F822D8" w:rsidP="00554ED6">
      <w:pPr>
        <w:spacing w:line="240" w:lineRule="atLeast"/>
        <w:ind w:firstLine="720"/>
        <w:jc w:val="both"/>
        <w:rPr>
          <w:i/>
          <w:sz w:val="20"/>
          <w:szCs w:val="20"/>
          <w:lang w:val="en-GB"/>
        </w:rPr>
      </w:pPr>
    </w:p>
    <w:p w14:paraId="690A029F" w14:textId="331BC757" w:rsidR="00F822D8" w:rsidRPr="00DE2F81" w:rsidRDefault="00DE2F81" w:rsidP="00DE2F81">
      <w:pPr>
        <w:pStyle w:val="Heading1"/>
        <w:rPr>
          <w:rStyle w:val="Strong"/>
          <w:b/>
          <w:bCs/>
        </w:rPr>
      </w:pPr>
      <w:r w:rsidRPr="00DE2F81">
        <w:rPr>
          <w:rStyle w:val="Strong"/>
          <w:b/>
          <w:bCs/>
        </w:rPr>
        <w:lastRenderedPageBreak/>
        <w:t xml:space="preserve">5. </w:t>
      </w:r>
      <w:r w:rsidR="00F822D8" w:rsidRPr="00DE2F81">
        <w:rPr>
          <w:rStyle w:val="Strong"/>
          <w:b/>
          <w:bCs/>
        </w:rPr>
        <w:t>Ecosystem negative feedback on economic growth</w:t>
      </w:r>
    </w:p>
    <w:p w14:paraId="0B2FB375" w14:textId="77777777" w:rsidR="00F822D8" w:rsidRPr="006A40F1" w:rsidRDefault="00F822D8" w:rsidP="00554ED6">
      <w:pPr>
        <w:spacing w:line="240" w:lineRule="atLeast"/>
        <w:jc w:val="both"/>
        <w:rPr>
          <w:i/>
          <w:sz w:val="20"/>
          <w:szCs w:val="20"/>
          <w:lang w:val="en-GB"/>
        </w:rPr>
      </w:pPr>
    </w:p>
    <w:p w14:paraId="463BCD60" w14:textId="5B017193" w:rsidR="00F822D8" w:rsidRDefault="00F822D8" w:rsidP="00DE2F81">
      <w:pPr>
        <w:pStyle w:val="Heading2"/>
      </w:pPr>
      <w:r w:rsidRPr="006A40F1">
        <w:t>5.1</w:t>
      </w:r>
      <w:r w:rsidR="00DE2F81">
        <w:t>.</w:t>
      </w:r>
      <w:r w:rsidRPr="006A40F1">
        <w:t xml:space="preserve"> Energy</w:t>
      </w:r>
    </w:p>
    <w:p w14:paraId="5D4F9ABA" w14:textId="77777777" w:rsidR="00301E7E" w:rsidRPr="006A40F1" w:rsidRDefault="00301E7E" w:rsidP="00554ED6">
      <w:pPr>
        <w:spacing w:line="240" w:lineRule="atLeast"/>
        <w:jc w:val="both"/>
        <w:rPr>
          <w:sz w:val="20"/>
          <w:szCs w:val="20"/>
          <w:lang w:val="en-GB"/>
        </w:rPr>
      </w:pPr>
    </w:p>
    <w:p w14:paraId="2DB834A7" w14:textId="7EBFF84F" w:rsidR="00F822D8" w:rsidRPr="006A40F1" w:rsidRDefault="00F822D8" w:rsidP="00554ED6">
      <w:pPr>
        <w:spacing w:line="240" w:lineRule="atLeast"/>
        <w:ind w:firstLine="720"/>
        <w:jc w:val="both"/>
        <w:rPr>
          <w:sz w:val="20"/>
          <w:szCs w:val="20"/>
          <w:lang w:val="en-GB"/>
        </w:rPr>
      </w:pPr>
      <w:r w:rsidRPr="006A40F1">
        <w:rPr>
          <w:sz w:val="20"/>
          <w:szCs w:val="20"/>
          <w:lang w:val="en-GB"/>
        </w:rPr>
        <w:t xml:space="preserve">While the economy grows, energy and food systems will face additional pressures to supply enough output to feed people and the economy. The energy system is today dominated by the fossil fuels, represented by coal, oil and gas. IEA (2017) shows that total primary energy supply increased </w:t>
      </w:r>
      <w:r w:rsidR="006E4676" w:rsidRPr="006A40F1">
        <w:rPr>
          <w:sz w:val="20"/>
          <w:szCs w:val="20"/>
          <w:lang w:val="en-GB"/>
        </w:rPr>
        <w:t>two-fold</w:t>
      </w:r>
      <w:r w:rsidRPr="006A40F1">
        <w:rPr>
          <w:sz w:val="20"/>
          <w:szCs w:val="20"/>
          <w:lang w:val="en-GB"/>
        </w:rPr>
        <w:t xml:space="preserve"> between </w:t>
      </w:r>
      <w:r w:rsidR="00807915" w:rsidRPr="006A40F1">
        <w:rPr>
          <w:sz w:val="20"/>
          <w:szCs w:val="20"/>
          <w:lang w:val="en-GB"/>
        </w:rPr>
        <w:t xml:space="preserve">the </w:t>
      </w:r>
      <w:r w:rsidRPr="006A40F1">
        <w:rPr>
          <w:sz w:val="20"/>
          <w:szCs w:val="20"/>
          <w:lang w:val="en-GB"/>
        </w:rPr>
        <w:t>1970s and 2015, whereas the dependency on fossil fuels</w:t>
      </w:r>
      <w:r w:rsidR="00B54DAD" w:rsidRPr="006A40F1">
        <w:rPr>
          <w:sz w:val="20"/>
          <w:szCs w:val="20"/>
          <w:lang w:val="en-GB"/>
        </w:rPr>
        <w:t xml:space="preserve"> just</w:t>
      </w:r>
      <w:r w:rsidRPr="006A40F1">
        <w:rPr>
          <w:sz w:val="20"/>
          <w:szCs w:val="20"/>
          <w:lang w:val="en-GB"/>
        </w:rPr>
        <w:t xml:space="preserve"> changed from 86% to 82%. </w:t>
      </w:r>
    </w:p>
    <w:p w14:paraId="0EC8B7B3" w14:textId="77777777" w:rsidR="00F822D8" w:rsidRPr="006A40F1" w:rsidRDefault="00F822D8" w:rsidP="00554ED6">
      <w:pPr>
        <w:spacing w:line="240" w:lineRule="atLeast"/>
        <w:ind w:firstLine="720"/>
        <w:jc w:val="both"/>
        <w:rPr>
          <w:sz w:val="20"/>
          <w:szCs w:val="20"/>
          <w:lang w:val="en-GB"/>
        </w:rPr>
      </w:pPr>
    </w:p>
    <w:p w14:paraId="453BF703" w14:textId="7ADA45D6" w:rsidR="00F822D8" w:rsidRPr="006A40F1" w:rsidRDefault="006E4676" w:rsidP="00554ED6">
      <w:pPr>
        <w:spacing w:line="240" w:lineRule="atLeast"/>
        <w:ind w:firstLine="720"/>
        <w:jc w:val="both"/>
        <w:rPr>
          <w:sz w:val="20"/>
          <w:szCs w:val="20"/>
          <w:lang w:val="en-GB"/>
        </w:rPr>
      </w:pPr>
      <w:r w:rsidRPr="006A40F1">
        <w:rPr>
          <w:sz w:val="20"/>
          <w:szCs w:val="20"/>
          <w:lang w:val="en-GB"/>
        </w:rPr>
        <w:t>A peculiarity of the fossil fuel industry</w:t>
      </w:r>
      <w:r w:rsidR="00F822D8" w:rsidRPr="006A40F1">
        <w:rPr>
          <w:sz w:val="20"/>
          <w:szCs w:val="20"/>
          <w:lang w:val="en-GB"/>
        </w:rPr>
        <w:t xml:space="preserve"> is that resources that can be extracted more cheaply have priority o</w:t>
      </w:r>
      <w:r w:rsidR="00953C0C" w:rsidRPr="006A40F1">
        <w:rPr>
          <w:sz w:val="20"/>
          <w:szCs w:val="20"/>
          <w:lang w:val="en-GB"/>
        </w:rPr>
        <w:t>ver</w:t>
      </w:r>
      <w:r w:rsidR="00F822D8" w:rsidRPr="006A40F1">
        <w:rPr>
          <w:sz w:val="20"/>
          <w:szCs w:val="20"/>
          <w:lang w:val="en-GB"/>
        </w:rPr>
        <w:t xml:space="preserve"> those that </w:t>
      </w:r>
      <w:r w:rsidR="00953C0C" w:rsidRPr="006A40F1">
        <w:rPr>
          <w:sz w:val="20"/>
          <w:szCs w:val="20"/>
          <w:lang w:val="en-GB"/>
        </w:rPr>
        <w:t xml:space="preserve">are </w:t>
      </w:r>
      <w:r w:rsidR="00F822D8" w:rsidRPr="006A40F1">
        <w:rPr>
          <w:sz w:val="20"/>
          <w:szCs w:val="20"/>
          <w:lang w:val="en-GB"/>
        </w:rPr>
        <w:t xml:space="preserve">harder to extract. When the </w:t>
      </w:r>
      <w:r w:rsidR="00F61CBC" w:rsidRPr="006A40F1">
        <w:rPr>
          <w:sz w:val="20"/>
          <w:szCs w:val="20"/>
          <w:lang w:val="en-GB"/>
        </w:rPr>
        <w:t>cheaper option</w:t>
      </w:r>
      <w:r w:rsidR="00EC2452" w:rsidRPr="006A40F1">
        <w:rPr>
          <w:sz w:val="20"/>
          <w:szCs w:val="20"/>
          <w:lang w:val="en-GB"/>
        </w:rPr>
        <w:t>s</w:t>
      </w:r>
      <w:r w:rsidR="00F822D8" w:rsidRPr="006A40F1">
        <w:rPr>
          <w:sz w:val="20"/>
          <w:szCs w:val="20"/>
          <w:lang w:val="en-GB"/>
        </w:rPr>
        <w:t xml:space="preserve"> get depleted, prices will start</w:t>
      </w:r>
      <w:r w:rsidR="00F15121" w:rsidRPr="006A40F1">
        <w:rPr>
          <w:sz w:val="20"/>
          <w:szCs w:val="20"/>
          <w:lang w:val="en-GB"/>
        </w:rPr>
        <w:t xml:space="preserve"> to</w:t>
      </w:r>
      <w:r w:rsidR="00F822D8" w:rsidRPr="006A40F1">
        <w:rPr>
          <w:sz w:val="20"/>
          <w:szCs w:val="20"/>
          <w:lang w:val="en-GB"/>
        </w:rPr>
        <w:t xml:space="preserve"> increase, justifying investments to develop the technology necessary to extract the more expensive ones. The era of cheap oil and coal have found great benefit from these dynamics over history. While a</w:t>
      </w:r>
      <w:r w:rsidR="00EC0D6D" w:rsidRPr="006A40F1">
        <w:rPr>
          <w:sz w:val="20"/>
          <w:szCs w:val="20"/>
          <w:lang w:val="en-GB"/>
        </w:rPr>
        <w:t>n</w:t>
      </w:r>
      <w:r w:rsidR="00F822D8" w:rsidRPr="006A40F1">
        <w:rPr>
          <w:sz w:val="20"/>
          <w:szCs w:val="20"/>
          <w:lang w:val="en-GB"/>
        </w:rPr>
        <w:t xml:space="preserve"> oil well could shoot out from the ground in the 1860s, these reserves are long depleted. A major technology in use today for oil extraction is fracking. It consists </w:t>
      </w:r>
      <w:r w:rsidR="00F002F2" w:rsidRPr="006A40F1">
        <w:rPr>
          <w:sz w:val="20"/>
          <w:szCs w:val="20"/>
          <w:lang w:val="en-GB"/>
        </w:rPr>
        <w:t>of</w:t>
      </w:r>
      <w:r w:rsidR="00EC0D6D" w:rsidRPr="006A40F1">
        <w:rPr>
          <w:sz w:val="20"/>
          <w:szCs w:val="20"/>
          <w:lang w:val="en-GB"/>
        </w:rPr>
        <w:t xml:space="preserve"> </w:t>
      </w:r>
      <w:r w:rsidR="0014316B" w:rsidRPr="006A40F1">
        <w:rPr>
          <w:sz w:val="20"/>
          <w:szCs w:val="20"/>
          <w:lang w:val="en-GB"/>
        </w:rPr>
        <w:t>injecting liquid into subterranean rocks</w:t>
      </w:r>
      <w:r w:rsidR="00EC0D6D" w:rsidRPr="006A40F1">
        <w:rPr>
          <w:sz w:val="20"/>
          <w:szCs w:val="20"/>
          <w:lang w:val="en-GB"/>
        </w:rPr>
        <w:t xml:space="preserve"> </w:t>
      </w:r>
      <w:r w:rsidR="00F822D8" w:rsidRPr="006A40F1">
        <w:rPr>
          <w:sz w:val="20"/>
          <w:szCs w:val="20"/>
          <w:lang w:val="en-GB"/>
        </w:rPr>
        <w:t>and extract</w:t>
      </w:r>
      <w:r w:rsidR="00925507" w:rsidRPr="006A40F1">
        <w:rPr>
          <w:sz w:val="20"/>
          <w:szCs w:val="20"/>
          <w:lang w:val="en-GB"/>
        </w:rPr>
        <w:t>ing</w:t>
      </w:r>
      <w:r w:rsidR="00F822D8" w:rsidRPr="006A40F1">
        <w:rPr>
          <w:sz w:val="20"/>
          <w:szCs w:val="20"/>
          <w:lang w:val="en-GB"/>
        </w:rPr>
        <w:t xml:space="preserve"> oil with the help of a long pipeline and systems of pressures. Of course, the capital intensity of the second method is more expensive t</w:t>
      </w:r>
      <w:r w:rsidR="004E347F" w:rsidRPr="006A40F1">
        <w:rPr>
          <w:sz w:val="20"/>
          <w:szCs w:val="20"/>
          <w:lang w:val="en-GB"/>
        </w:rPr>
        <w:t>o</w:t>
      </w:r>
      <w:r w:rsidR="008611BE" w:rsidRPr="006A40F1">
        <w:rPr>
          <w:sz w:val="20"/>
          <w:szCs w:val="20"/>
          <w:lang w:val="en-GB"/>
        </w:rPr>
        <w:t xml:space="preserve"> that that</w:t>
      </w:r>
      <w:r w:rsidR="00F822D8" w:rsidRPr="006A40F1">
        <w:rPr>
          <w:sz w:val="20"/>
          <w:szCs w:val="20"/>
          <w:lang w:val="en-GB"/>
        </w:rPr>
        <w:t xml:space="preserve"> </w:t>
      </w:r>
      <w:r w:rsidR="00B54055" w:rsidRPr="006A40F1">
        <w:rPr>
          <w:sz w:val="20"/>
          <w:szCs w:val="20"/>
          <w:lang w:val="en-GB"/>
        </w:rPr>
        <w:t>people enjoyed</w:t>
      </w:r>
      <w:r w:rsidR="00F822D8" w:rsidRPr="006A40F1">
        <w:rPr>
          <w:sz w:val="20"/>
          <w:szCs w:val="20"/>
          <w:lang w:val="en-GB"/>
        </w:rPr>
        <w:t xml:space="preserve"> a century ago. Today, geologist</w:t>
      </w:r>
      <w:r w:rsidR="001D2398" w:rsidRPr="006A40F1">
        <w:rPr>
          <w:sz w:val="20"/>
          <w:szCs w:val="20"/>
          <w:lang w:val="en-GB"/>
        </w:rPr>
        <w:t>s</w:t>
      </w:r>
      <w:r w:rsidR="00F822D8" w:rsidRPr="006A40F1">
        <w:rPr>
          <w:sz w:val="20"/>
          <w:szCs w:val="20"/>
          <w:lang w:val="en-GB"/>
        </w:rPr>
        <w:t xml:space="preserve"> have </w:t>
      </w:r>
      <w:r w:rsidR="00B54055" w:rsidRPr="006A40F1">
        <w:rPr>
          <w:sz w:val="20"/>
          <w:szCs w:val="20"/>
          <w:lang w:val="en-GB"/>
        </w:rPr>
        <w:t>found most</w:t>
      </w:r>
      <w:r w:rsidR="00F822D8" w:rsidRPr="006A40F1">
        <w:rPr>
          <w:sz w:val="20"/>
          <w:szCs w:val="20"/>
          <w:lang w:val="en-GB"/>
        </w:rPr>
        <w:t xml:space="preserve"> of </w:t>
      </w:r>
      <w:r w:rsidR="00990220" w:rsidRPr="006A40F1">
        <w:rPr>
          <w:sz w:val="20"/>
          <w:szCs w:val="20"/>
          <w:lang w:val="en-GB"/>
        </w:rPr>
        <w:t xml:space="preserve">the </w:t>
      </w:r>
      <w:r w:rsidR="00F822D8" w:rsidRPr="006A40F1">
        <w:rPr>
          <w:sz w:val="20"/>
          <w:szCs w:val="20"/>
          <w:lang w:val="en-GB"/>
        </w:rPr>
        <w:t xml:space="preserve">reserves, and no major oil wells </w:t>
      </w:r>
      <w:r w:rsidR="00990220" w:rsidRPr="006A40F1">
        <w:rPr>
          <w:sz w:val="20"/>
          <w:szCs w:val="20"/>
          <w:lang w:val="en-GB"/>
        </w:rPr>
        <w:t>have been</w:t>
      </w:r>
      <w:r w:rsidR="00F822D8" w:rsidRPr="006A40F1">
        <w:rPr>
          <w:sz w:val="20"/>
          <w:szCs w:val="20"/>
          <w:lang w:val="en-GB"/>
        </w:rPr>
        <w:t xml:space="preserve"> found since the 1970s (Wijkman and Rockstrom 2013), thus assuming that the only dynamic going forward will be the one of resource depletion and increasing cost of energy.</w:t>
      </w:r>
    </w:p>
    <w:p w14:paraId="288015A4" w14:textId="77777777" w:rsidR="00F822D8" w:rsidRPr="006A40F1" w:rsidRDefault="00F822D8" w:rsidP="00554ED6">
      <w:pPr>
        <w:spacing w:line="240" w:lineRule="atLeast"/>
        <w:ind w:firstLine="720"/>
        <w:jc w:val="both"/>
        <w:rPr>
          <w:sz w:val="20"/>
          <w:szCs w:val="20"/>
          <w:lang w:val="en-GB"/>
        </w:rPr>
      </w:pPr>
    </w:p>
    <w:p w14:paraId="45888E74" w14:textId="697CAC0D" w:rsidR="00301E7E" w:rsidRPr="006A40F1" w:rsidRDefault="00F822D8" w:rsidP="00554ED6">
      <w:pPr>
        <w:spacing w:line="240" w:lineRule="atLeast"/>
        <w:ind w:firstLine="720"/>
        <w:jc w:val="both"/>
        <w:rPr>
          <w:sz w:val="20"/>
          <w:szCs w:val="20"/>
          <w:lang w:val="en-GB"/>
        </w:rPr>
      </w:pPr>
      <w:r w:rsidRPr="006A40F1">
        <w:rPr>
          <w:sz w:val="20"/>
          <w:szCs w:val="20"/>
          <w:lang w:val="en-GB"/>
        </w:rPr>
        <w:t>Two common indicators used to measure the availability of resources in the ground are the RP ratio (resources to production ratio) and the EROEI (energy return on energy invested). The RP ratio is well established but not very good when interested in the dynamics of depletion. I</w:t>
      </w:r>
      <w:r w:rsidR="009D0F2B" w:rsidRPr="006A40F1">
        <w:rPr>
          <w:sz w:val="20"/>
          <w:szCs w:val="20"/>
          <w:lang w:val="en-GB"/>
        </w:rPr>
        <w:t>t</w:t>
      </w:r>
      <w:r w:rsidRPr="006A40F1">
        <w:rPr>
          <w:sz w:val="20"/>
          <w:szCs w:val="20"/>
          <w:lang w:val="en-GB"/>
        </w:rPr>
        <w:t xml:space="preserve"> consists of calculating the ratio between total economic known reserves in the ground and present yearly production. The ratio is an intuitive measure that expresses the number of years that it is possible to assume we would not run out of a resource while keeping the same extraction rate. Figure 2 shows the actual historical data of </w:t>
      </w:r>
      <w:r w:rsidR="009915DE" w:rsidRPr="006A40F1">
        <w:rPr>
          <w:sz w:val="20"/>
          <w:szCs w:val="20"/>
          <w:lang w:val="en-GB"/>
        </w:rPr>
        <w:t xml:space="preserve">coal </w:t>
      </w:r>
      <w:r w:rsidRPr="006A40F1">
        <w:rPr>
          <w:sz w:val="20"/>
          <w:szCs w:val="20"/>
          <w:lang w:val="en-GB"/>
        </w:rPr>
        <w:t xml:space="preserve">production in the UK between 1880 and 2000, and aligns it with the relative RP ratio </w:t>
      </w:r>
      <w:r w:rsidR="009915DE" w:rsidRPr="006A40F1">
        <w:rPr>
          <w:sz w:val="20"/>
          <w:szCs w:val="20"/>
          <w:lang w:val="en-GB"/>
        </w:rPr>
        <w:t>calculated at each year by the author. For simplicity in the calculation, it is a</w:t>
      </w:r>
      <w:r w:rsidRPr="006A40F1">
        <w:rPr>
          <w:sz w:val="20"/>
          <w:szCs w:val="20"/>
          <w:lang w:val="en-GB"/>
        </w:rPr>
        <w:t>ssum</w:t>
      </w:r>
      <w:r w:rsidR="009915DE" w:rsidRPr="006A40F1">
        <w:rPr>
          <w:sz w:val="20"/>
          <w:szCs w:val="20"/>
          <w:lang w:val="en-GB"/>
        </w:rPr>
        <w:t>ed</w:t>
      </w:r>
      <w:r w:rsidRPr="006A40F1">
        <w:rPr>
          <w:sz w:val="20"/>
          <w:szCs w:val="20"/>
          <w:lang w:val="en-GB"/>
        </w:rPr>
        <w:t xml:space="preserve"> </w:t>
      </w:r>
      <w:r w:rsidR="009915DE" w:rsidRPr="006A40F1">
        <w:rPr>
          <w:sz w:val="20"/>
          <w:szCs w:val="20"/>
          <w:lang w:val="en-GB"/>
        </w:rPr>
        <w:t xml:space="preserve">that geologists would have known the total </w:t>
      </w:r>
      <w:r w:rsidRPr="006A40F1">
        <w:rPr>
          <w:sz w:val="20"/>
          <w:szCs w:val="20"/>
          <w:lang w:val="en-GB"/>
        </w:rPr>
        <w:t>amount of reserves since the 1880. As figure</w:t>
      </w:r>
      <w:r w:rsidR="00C44F00" w:rsidRPr="006A40F1">
        <w:rPr>
          <w:sz w:val="20"/>
          <w:szCs w:val="20"/>
          <w:lang w:val="en-GB"/>
        </w:rPr>
        <w:t xml:space="preserve"> 2</w:t>
      </w:r>
      <w:r w:rsidRPr="006A40F1">
        <w:rPr>
          <w:sz w:val="20"/>
          <w:szCs w:val="20"/>
          <w:lang w:val="en-GB"/>
        </w:rPr>
        <w:t xml:space="preserve"> shows, the shape of coal production followed a bell shape curve, growing during the nineteenth century, slowing growth and peaking around the 1930s, and then declining reaching </w:t>
      </w:r>
      <w:r w:rsidR="009915DE" w:rsidRPr="006A40F1">
        <w:rPr>
          <w:sz w:val="20"/>
          <w:szCs w:val="20"/>
          <w:lang w:val="en-GB"/>
        </w:rPr>
        <w:t>all the way towards</w:t>
      </w:r>
      <w:r w:rsidRPr="006A40F1">
        <w:rPr>
          <w:sz w:val="20"/>
          <w:szCs w:val="20"/>
          <w:lang w:val="en-GB"/>
        </w:rPr>
        <w:t xml:space="preserve"> the end of the twentieth century. The reserves to production ratio indicate</w:t>
      </w:r>
      <w:r w:rsidR="009915DE" w:rsidRPr="006A40F1">
        <w:rPr>
          <w:sz w:val="20"/>
          <w:szCs w:val="20"/>
          <w:lang w:val="en-GB"/>
        </w:rPr>
        <w:t>d</w:t>
      </w:r>
      <w:r w:rsidRPr="006A40F1">
        <w:rPr>
          <w:sz w:val="20"/>
          <w:szCs w:val="20"/>
          <w:lang w:val="en-GB"/>
        </w:rPr>
        <w:t xml:space="preserve"> 160 years of available reserves in the </w:t>
      </w:r>
      <w:r w:rsidR="009915DE" w:rsidRPr="006A40F1">
        <w:rPr>
          <w:sz w:val="20"/>
          <w:szCs w:val="20"/>
          <w:lang w:val="en-GB"/>
        </w:rPr>
        <w:t xml:space="preserve">year </w:t>
      </w:r>
      <w:r w:rsidRPr="006A40F1">
        <w:rPr>
          <w:sz w:val="20"/>
          <w:szCs w:val="20"/>
          <w:lang w:val="en-GB"/>
        </w:rPr>
        <w:t xml:space="preserve">1880. </w:t>
      </w:r>
      <w:r w:rsidR="00412942" w:rsidRPr="006A40F1">
        <w:rPr>
          <w:sz w:val="20"/>
          <w:szCs w:val="20"/>
          <w:lang w:val="en-GB"/>
        </w:rPr>
        <w:t>However,</w:t>
      </w:r>
      <w:r w:rsidRPr="006A40F1">
        <w:rPr>
          <w:sz w:val="20"/>
          <w:szCs w:val="20"/>
          <w:lang w:val="en-GB"/>
        </w:rPr>
        <w:t xml:space="preserve"> while production grows, and reserves deplete, the RP ratio decreased </w:t>
      </w:r>
      <w:r w:rsidRPr="006A40F1">
        <w:rPr>
          <w:sz w:val="20"/>
          <w:szCs w:val="20"/>
          <w:lang w:val="en-GB"/>
        </w:rPr>
        <w:lastRenderedPageBreak/>
        <w:t>to about 40 years worth of production left</w:t>
      </w:r>
      <w:r w:rsidR="009915DE" w:rsidRPr="006A40F1">
        <w:rPr>
          <w:sz w:val="20"/>
          <w:szCs w:val="20"/>
          <w:lang w:val="en-GB"/>
        </w:rPr>
        <w:t xml:space="preserve"> by 1930 (50 years later)</w:t>
      </w:r>
      <w:r w:rsidRPr="006A40F1">
        <w:rPr>
          <w:sz w:val="20"/>
          <w:szCs w:val="20"/>
          <w:lang w:val="en-GB"/>
        </w:rPr>
        <w:t xml:space="preserve">. On the other hand, after peak is reached, the production declines because cheaper ores are </w:t>
      </w:r>
      <w:r w:rsidR="00B54055" w:rsidRPr="006A40F1">
        <w:rPr>
          <w:sz w:val="20"/>
          <w:szCs w:val="20"/>
          <w:lang w:val="en-GB"/>
        </w:rPr>
        <w:t>depleted,</w:t>
      </w:r>
      <w:r w:rsidRPr="006A40F1">
        <w:rPr>
          <w:sz w:val="20"/>
          <w:szCs w:val="20"/>
          <w:lang w:val="en-GB"/>
        </w:rPr>
        <w:t xml:space="preserve"> and it requires more effort and cost to dig in the ground to extract other coal. As a </w:t>
      </w:r>
      <w:r w:rsidR="00412942" w:rsidRPr="006A40F1">
        <w:rPr>
          <w:sz w:val="20"/>
          <w:szCs w:val="20"/>
          <w:lang w:val="en-GB"/>
        </w:rPr>
        <w:t>result,</w:t>
      </w:r>
      <w:r w:rsidRPr="006A40F1">
        <w:rPr>
          <w:sz w:val="20"/>
          <w:szCs w:val="20"/>
          <w:lang w:val="en-GB"/>
        </w:rPr>
        <w:t xml:space="preserve"> the RP ratio would provide a distorted metric to assess the time an industry can keep operating both during growth and during decline of the industry.</w:t>
      </w:r>
    </w:p>
    <w:p w14:paraId="781D90B0" w14:textId="2144B589" w:rsidR="00F822D8" w:rsidRPr="006A40F1" w:rsidRDefault="00F822D8" w:rsidP="00554ED6">
      <w:pPr>
        <w:spacing w:line="240" w:lineRule="atLeast"/>
        <w:ind w:firstLine="720"/>
        <w:jc w:val="both"/>
        <w:rPr>
          <w:sz w:val="20"/>
          <w:szCs w:val="20"/>
          <w:lang w:val="en-GB"/>
        </w:rPr>
      </w:pPr>
    </w:p>
    <w:p w14:paraId="5F89C4CB" w14:textId="77777777" w:rsidR="00F822D8" w:rsidRPr="006A40F1" w:rsidRDefault="00F822D8" w:rsidP="00554ED6">
      <w:pPr>
        <w:jc w:val="both"/>
        <w:rPr>
          <w:lang w:val="en-GB"/>
        </w:rPr>
      </w:pPr>
    </w:p>
    <w:p w14:paraId="434F7ADC" w14:textId="304BE3EF" w:rsidR="00F822D8" w:rsidRDefault="00F822D8" w:rsidP="00554ED6">
      <w:pPr>
        <w:jc w:val="both"/>
        <w:rPr>
          <w:lang w:val="en-GB"/>
        </w:rPr>
      </w:pPr>
      <w:r w:rsidRPr="006A40F1">
        <w:rPr>
          <w:noProof/>
          <w:lang w:val="en-GB"/>
        </w:rPr>
        <w:drawing>
          <wp:inline distT="0" distB="0" distL="0" distR="0" wp14:anchorId="5B291EF7" wp14:editId="77AA67F9">
            <wp:extent cx="4570095" cy="2743200"/>
            <wp:effectExtent l="0" t="0" r="1905" b="0"/>
            <wp:docPr id="8" name="Chart 8">
              <a:extLst xmlns:a="http://schemas.openxmlformats.org/drawingml/2006/main">
                <a:ext uri="{FF2B5EF4-FFF2-40B4-BE49-F238E27FC236}">
                  <a16:creationId xmlns:a16="http://schemas.microsoft.com/office/drawing/2014/main" id="{58B0A2E9-D600-45A5-81D6-AD8308DA927A}"/>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7F8D9E5B" w14:textId="77777777" w:rsidR="00FE514C" w:rsidRPr="006A40F1" w:rsidRDefault="00FE514C" w:rsidP="00FE514C">
      <w:pPr>
        <w:jc w:val="both"/>
        <w:rPr>
          <w:sz w:val="20"/>
          <w:szCs w:val="20"/>
          <w:lang w:val="en-GB"/>
        </w:rPr>
      </w:pPr>
      <w:r w:rsidRPr="006A40F1">
        <w:rPr>
          <w:sz w:val="20"/>
          <w:szCs w:val="20"/>
          <w:lang w:val="en-GB"/>
        </w:rPr>
        <w:t>Figure 2 – RP ratio and Coal Production in the UK (adapted from: UK Government Department of Business, Energy and Industrial Strategy, 2018)</w:t>
      </w:r>
    </w:p>
    <w:p w14:paraId="6A74026A" w14:textId="77777777" w:rsidR="00FE514C" w:rsidRPr="006A40F1" w:rsidRDefault="00FE514C" w:rsidP="00554ED6">
      <w:pPr>
        <w:jc w:val="both"/>
        <w:rPr>
          <w:lang w:val="en-GB"/>
        </w:rPr>
      </w:pPr>
    </w:p>
    <w:p w14:paraId="5DDEE1B1" w14:textId="77777777" w:rsidR="00F822D8" w:rsidRPr="006A40F1" w:rsidRDefault="00F822D8" w:rsidP="00554ED6">
      <w:pPr>
        <w:spacing w:line="240" w:lineRule="atLeast"/>
        <w:ind w:firstLine="270"/>
        <w:jc w:val="both"/>
        <w:rPr>
          <w:sz w:val="20"/>
          <w:szCs w:val="20"/>
          <w:lang w:val="en-GB"/>
        </w:rPr>
      </w:pPr>
    </w:p>
    <w:p w14:paraId="63F51D83" w14:textId="5FB68AAA" w:rsidR="00F822D8" w:rsidRPr="006A40F1" w:rsidRDefault="00F822D8" w:rsidP="00554ED6">
      <w:pPr>
        <w:spacing w:line="240" w:lineRule="atLeast"/>
        <w:ind w:firstLine="270"/>
        <w:jc w:val="both"/>
        <w:rPr>
          <w:sz w:val="20"/>
          <w:szCs w:val="20"/>
          <w:lang w:val="en-GB"/>
        </w:rPr>
      </w:pPr>
      <w:r w:rsidRPr="006A40F1">
        <w:rPr>
          <w:sz w:val="20"/>
          <w:szCs w:val="20"/>
          <w:lang w:val="en-GB"/>
        </w:rPr>
        <w:t xml:space="preserve">A better indicator than the RP is the EROEI, which allows to assess how many units of energy can be obtained by employing every single one of them. Following the same perspective of depleting resources, higher EROEI sources would be extracted before the low EROEI resources. In general, a source is considered to be economical for production as </w:t>
      </w:r>
      <w:r w:rsidR="008C3065" w:rsidRPr="006A40F1">
        <w:rPr>
          <w:sz w:val="20"/>
          <w:szCs w:val="20"/>
          <w:lang w:val="en-GB"/>
        </w:rPr>
        <w:t>long</w:t>
      </w:r>
      <w:r w:rsidRPr="006A40F1">
        <w:rPr>
          <w:sz w:val="20"/>
          <w:szCs w:val="20"/>
          <w:lang w:val="en-GB"/>
        </w:rPr>
        <w:t xml:space="preserve"> as EROEI is higher than 5, while preferring the sources at higher EROEI. When EROE</w:t>
      </w:r>
      <w:r w:rsidR="009915DE" w:rsidRPr="006A40F1">
        <w:rPr>
          <w:sz w:val="20"/>
          <w:szCs w:val="20"/>
          <w:lang w:val="en-GB"/>
        </w:rPr>
        <w:t>I</w:t>
      </w:r>
      <w:r w:rsidRPr="006A40F1">
        <w:rPr>
          <w:sz w:val="20"/>
          <w:szCs w:val="20"/>
          <w:lang w:val="en-GB"/>
        </w:rPr>
        <w:t xml:space="preserve"> is between 5 and 1, sources are considered to be marginally economic, and below 1 not economic</w:t>
      </w:r>
      <w:r w:rsidR="009915DE" w:rsidRPr="006A40F1">
        <w:rPr>
          <w:sz w:val="20"/>
          <w:szCs w:val="20"/>
          <w:lang w:val="en-GB"/>
        </w:rPr>
        <w:t>. In this latter case,</w:t>
      </w:r>
      <w:r w:rsidRPr="006A40F1">
        <w:rPr>
          <w:sz w:val="20"/>
          <w:szCs w:val="20"/>
          <w:lang w:val="en-GB"/>
        </w:rPr>
        <w:t xml:space="preserve"> resources should never be spen</w:t>
      </w:r>
      <w:r w:rsidR="009915DE" w:rsidRPr="006A40F1">
        <w:rPr>
          <w:sz w:val="20"/>
          <w:szCs w:val="20"/>
          <w:lang w:val="en-GB"/>
        </w:rPr>
        <w:t>t</w:t>
      </w:r>
      <w:r w:rsidRPr="006A40F1">
        <w:rPr>
          <w:sz w:val="20"/>
          <w:szCs w:val="20"/>
          <w:lang w:val="en-GB"/>
        </w:rPr>
        <w:t xml:space="preserve"> </w:t>
      </w:r>
      <w:r w:rsidR="009915DE" w:rsidRPr="006A40F1">
        <w:rPr>
          <w:sz w:val="20"/>
          <w:szCs w:val="20"/>
          <w:lang w:val="en-GB"/>
        </w:rPr>
        <w:t xml:space="preserve">for extraction </w:t>
      </w:r>
      <w:r w:rsidRPr="006A40F1">
        <w:rPr>
          <w:sz w:val="20"/>
          <w:szCs w:val="20"/>
          <w:lang w:val="en-GB"/>
        </w:rPr>
        <w:t xml:space="preserve">since it is more energy intensive to extract than the </w:t>
      </w:r>
      <w:r w:rsidR="0071594F" w:rsidRPr="006A40F1">
        <w:rPr>
          <w:sz w:val="20"/>
          <w:szCs w:val="20"/>
          <w:lang w:val="en-GB"/>
        </w:rPr>
        <w:t>energy obtained</w:t>
      </w:r>
      <w:r w:rsidRPr="006A40F1">
        <w:rPr>
          <w:sz w:val="20"/>
          <w:szCs w:val="20"/>
          <w:lang w:val="en-GB"/>
        </w:rPr>
        <w:t>. For example, in the case of crude oil, EROEI had been between 50 and 100 for the most of twentieth century, decreasing to 15 to 20 during the last decades (Bardi 2014, Wijkman and Rockstrom 2013).</w:t>
      </w:r>
    </w:p>
    <w:p w14:paraId="7493E837" w14:textId="77777777" w:rsidR="00F822D8" w:rsidRPr="006A40F1" w:rsidRDefault="00F822D8" w:rsidP="00554ED6">
      <w:pPr>
        <w:spacing w:line="240" w:lineRule="atLeast"/>
        <w:ind w:firstLine="720"/>
        <w:jc w:val="both"/>
        <w:rPr>
          <w:i/>
          <w:sz w:val="20"/>
          <w:szCs w:val="20"/>
          <w:lang w:val="en-GB"/>
        </w:rPr>
      </w:pPr>
    </w:p>
    <w:p w14:paraId="22CDCA1D" w14:textId="2C0FE9D7" w:rsidR="007B5514" w:rsidRPr="006A40F1" w:rsidRDefault="00F822D8" w:rsidP="00DE2F81">
      <w:pPr>
        <w:pStyle w:val="Heading2"/>
      </w:pPr>
      <w:r w:rsidRPr="006A40F1">
        <w:t>5</w:t>
      </w:r>
      <w:r w:rsidR="007B5514" w:rsidRPr="006A40F1">
        <w:t>.</w:t>
      </w:r>
      <w:r w:rsidRPr="006A40F1">
        <w:t>2</w:t>
      </w:r>
      <w:r w:rsidR="007B5514" w:rsidRPr="006A40F1">
        <w:t xml:space="preserve">. </w:t>
      </w:r>
      <w:r w:rsidRPr="006A40F1">
        <w:t>Agriculture</w:t>
      </w:r>
    </w:p>
    <w:p w14:paraId="4BCF896F" w14:textId="77777777" w:rsidR="00301E7E" w:rsidRPr="006A40F1" w:rsidRDefault="00301E7E" w:rsidP="00554ED6">
      <w:pPr>
        <w:spacing w:line="240" w:lineRule="atLeast"/>
        <w:ind w:firstLine="720"/>
        <w:jc w:val="both"/>
        <w:rPr>
          <w:sz w:val="20"/>
          <w:szCs w:val="20"/>
          <w:lang w:val="en-GB"/>
        </w:rPr>
      </w:pPr>
    </w:p>
    <w:p w14:paraId="6DBA07A7" w14:textId="3F64D10C" w:rsidR="00F822D8" w:rsidRPr="006A40F1" w:rsidRDefault="00412942" w:rsidP="00554ED6">
      <w:pPr>
        <w:spacing w:line="240" w:lineRule="atLeast"/>
        <w:ind w:firstLine="270"/>
        <w:jc w:val="both"/>
        <w:rPr>
          <w:sz w:val="20"/>
          <w:szCs w:val="20"/>
          <w:lang w:val="en-GB"/>
        </w:rPr>
      </w:pPr>
      <w:r w:rsidRPr="006A40F1">
        <w:rPr>
          <w:sz w:val="20"/>
          <w:szCs w:val="20"/>
          <w:lang w:val="en-GB"/>
        </w:rPr>
        <w:t>Similarly,</w:t>
      </w:r>
      <w:r w:rsidR="00F822D8" w:rsidRPr="006A40F1">
        <w:rPr>
          <w:sz w:val="20"/>
          <w:szCs w:val="20"/>
          <w:lang w:val="en-GB"/>
        </w:rPr>
        <w:t xml:space="preserve"> to fossil fuels, population and economic growth require more food to be produced. Most importantly, the relationships between fossil fuels and food output describe a physical dependency mostly due to the technology adopted today to increase land productivity while injecting fertilizers in land.  In fact, it is estimated that 30% of the cost of production of crops is linked to oil and gas, which are fundamental </w:t>
      </w:r>
      <w:r w:rsidR="00D53C87" w:rsidRPr="006A40F1">
        <w:rPr>
          <w:sz w:val="20"/>
          <w:szCs w:val="20"/>
          <w:lang w:val="en-GB"/>
        </w:rPr>
        <w:t>to</w:t>
      </w:r>
      <w:r w:rsidR="00F822D8" w:rsidRPr="006A40F1">
        <w:rPr>
          <w:sz w:val="20"/>
          <w:szCs w:val="20"/>
          <w:lang w:val="en-GB"/>
        </w:rPr>
        <w:t xml:space="preserve"> extract nitrogen from ammonia and subsequently produce fertilizers (IIASD 2009). In other words, it is possible to say that every calorie of energy contained in our daily food requires seven to eight calories of energy from fossil fuels to be produced (Wijkman and Rockstrom 2013). As a result of all the above, a decrease in EROEI of  oil will increase the cost of energy extraction, and this will impact the price of food directly.</w:t>
      </w:r>
    </w:p>
    <w:p w14:paraId="14C47DF1" w14:textId="77777777" w:rsidR="00F822D8" w:rsidRPr="006A40F1" w:rsidRDefault="00F822D8" w:rsidP="00554ED6">
      <w:pPr>
        <w:spacing w:line="240" w:lineRule="atLeast"/>
        <w:ind w:firstLine="270"/>
        <w:jc w:val="both"/>
        <w:rPr>
          <w:sz w:val="20"/>
          <w:szCs w:val="20"/>
          <w:lang w:val="en-GB"/>
        </w:rPr>
      </w:pPr>
    </w:p>
    <w:p w14:paraId="66C063F2" w14:textId="3A05B430" w:rsidR="007B5514" w:rsidRPr="006A40F1" w:rsidRDefault="00F822D8" w:rsidP="00554ED6">
      <w:pPr>
        <w:spacing w:line="240" w:lineRule="atLeast"/>
        <w:ind w:firstLine="270"/>
        <w:jc w:val="both"/>
        <w:rPr>
          <w:sz w:val="20"/>
          <w:szCs w:val="20"/>
          <w:lang w:val="en-GB"/>
        </w:rPr>
      </w:pPr>
      <w:r w:rsidRPr="006A40F1">
        <w:rPr>
          <w:sz w:val="20"/>
          <w:szCs w:val="20"/>
          <w:lang w:val="en-GB"/>
        </w:rPr>
        <w:t xml:space="preserve">Agriculture consumes </w:t>
      </w:r>
      <w:r w:rsidR="00B46AF3" w:rsidRPr="006A40F1">
        <w:rPr>
          <w:sz w:val="20"/>
          <w:szCs w:val="20"/>
          <w:lang w:val="en-GB"/>
        </w:rPr>
        <w:t>approximately 70</w:t>
      </w:r>
      <w:r w:rsidRPr="006A40F1">
        <w:rPr>
          <w:sz w:val="20"/>
          <w:szCs w:val="20"/>
          <w:lang w:val="en-GB"/>
        </w:rPr>
        <w:t xml:space="preserve">% of all fresh water we use for food production as well. When analysed </w:t>
      </w:r>
      <w:r w:rsidR="00B46AF3" w:rsidRPr="006A40F1">
        <w:rPr>
          <w:sz w:val="20"/>
          <w:szCs w:val="20"/>
          <w:lang w:val="en-GB"/>
        </w:rPr>
        <w:t>from the</w:t>
      </w:r>
      <w:r w:rsidRPr="006A40F1">
        <w:rPr>
          <w:sz w:val="20"/>
          <w:szCs w:val="20"/>
          <w:lang w:val="en-GB"/>
        </w:rPr>
        <w:t xml:space="preserve"> sustainability perspective, agriculture remain</w:t>
      </w:r>
      <w:r w:rsidR="00C935B4" w:rsidRPr="006A40F1">
        <w:rPr>
          <w:sz w:val="20"/>
          <w:szCs w:val="20"/>
          <w:lang w:val="en-GB"/>
        </w:rPr>
        <w:t>s</w:t>
      </w:r>
      <w:r w:rsidRPr="006A40F1">
        <w:rPr>
          <w:sz w:val="20"/>
          <w:szCs w:val="20"/>
          <w:lang w:val="en-GB"/>
        </w:rPr>
        <w:t xml:space="preserve"> the most complex sector of our economy. When accounting for deforestation linked to agricultural land expansion, agriculture is the first sector of anthropogenic emissions and thus, first cause of climate change. Together with fossil fuel production they account </w:t>
      </w:r>
      <w:r w:rsidR="00B46AF3" w:rsidRPr="006A40F1">
        <w:rPr>
          <w:sz w:val="20"/>
          <w:szCs w:val="20"/>
          <w:lang w:val="en-GB"/>
        </w:rPr>
        <w:t>for 50</w:t>
      </w:r>
      <w:r w:rsidRPr="006A40F1">
        <w:rPr>
          <w:sz w:val="20"/>
          <w:szCs w:val="20"/>
          <w:lang w:val="en-GB"/>
        </w:rPr>
        <w:t xml:space="preserve">% of total emissions globally (IPCC 2014). On the other hand, agriculture is the major source of employment and wealth creation in developing countries, employing 40% of </w:t>
      </w:r>
      <w:r w:rsidR="004C61C7" w:rsidRPr="006A40F1">
        <w:rPr>
          <w:sz w:val="20"/>
          <w:szCs w:val="20"/>
          <w:lang w:val="en-GB"/>
        </w:rPr>
        <w:t xml:space="preserve">the </w:t>
      </w:r>
      <w:r w:rsidRPr="006A40F1">
        <w:rPr>
          <w:sz w:val="20"/>
          <w:szCs w:val="20"/>
          <w:lang w:val="en-GB"/>
        </w:rPr>
        <w:t>world</w:t>
      </w:r>
      <w:r w:rsidR="000148C2" w:rsidRPr="006A40F1">
        <w:rPr>
          <w:sz w:val="20"/>
          <w:szCs w:val="20"/>
          <w:lang w:val="en-GB"/>
        </w:rPr>
        <w:t>s</w:t>
      </w:r>
      <w:r w:rsidRPr="006A40F1">
        <w:rPr>
          <w:sz w:val="20"/>
          <w:szCs w:val="20"/>
          <w:lang w:val="en-GB"/>
        </w:rPr>
        <w:t xml:space="preserve"> labour force and </w:t>
      </w:r>
      <w:r w:rsidR="00F8640D" w:rsidRPr="006A40F1">
        <w:rPr>
          <w:sz w:val="20"/>
          <w:szCs w:val="20"/>
          <w:lang w:val="en-GB"/>
        </w:rPr>
        <w:t>bringing</w:t>
      </w:r>
      <w:r w:rsidRPr="006A40F1">
        <w:rPr>
          <w:sz w:val="20"/>
          <w:szCs w:val="20"/>
          <w:lang w:val="en-GB"/>
        </w:rPr>
        <w:t xml:space="preserve"> hope for poverty reduction. The next section reveals the relationship between </w:t>
      </w:r>
      <w:r w:rsidR="00B46AF3" w:rsidRPr="006A40F1">
        <w:rPr>
          <w:sz w:val="20"/>
          <w:szCs w:val="20"/>
          <w:lang w:val="en-GB"/>
        </w:rPr>
        <w:t>agricultural production</w:t>
      </w:r>
      <w:r w:rsidRPr="006A40F1">
        <w:rPr>
          <w:sz w:val="20"/>
          <w:szCs w:val="20"/>
          <w:lang w:val="en-GB"/>
        </w:rPr>
        <w:t>, demographics and climate change.</w:t>
      </w:r>
    </w:p>
    <w:p w14:paraId="7FC260E8" w14:textId="302869AC" w:rsidR="00F822D8" w:rsidRDefault="00F822D8" w:rsidP="00554ED6">
      <w:pPr>
        <w:spacing w:line="240" w:lineRule="atLeast"/>
        <w:ind w:firstLine="270"/>
        <w:jc w:val="both"/>
        <w:rPr>
          <w:sz w:val="20"/>
          <w:szCs w:val="20"/>
          <w:lang w:val="en-GB"/>
        </w:rPr>
      </w:pPr>
    </w:p>
    <w:p w14:paraId="196AB31E" w14:textId="77777777" w:rsidR="00DE2F81" w:rsidRPr="006A40F1" w:rsidRDefault="00DE2F81" w:rsidP="00554ED6">
      <w:pPr>
        <w:spacing w:line="240" w:lineRule="atLeast"/>
        <w:ind w:firstLine="270"/>
        <w:jc w:val="both"/>
        <w:rPr>
          <w:sz w:val="20"/>
          <w:szCs w:val="20"/>
          <w:lang w:val="en-GB"/>
        </w:rPr>
      </w:pPr>
    </w:p>
    <w:p w14:paraId="036816DD" w14:textId="253A4F3D" w:rsidR="00F822D8" w:rsidRPr="006A40F1" w:rsidRDefault="00DE2F81" w:rsidP="00DE2F81">
      <w:pPr>
        <w:pStyle w:val="Heading2"/>
      </w:pPr>
      <w:r>
        <w:t xml:space="preserve">5.3. </w:t>
      </w:r>
      <w:r w:rsidR="00F822D8" w:rsidRPr="006A40F1">
        <w:t>Climate</w:t>
      </w:r>
    </w:p>
    <w:p w14:paraId="687411BF" w14:textId="77777777" w:rsidR="00301E7E" w:rsidRPr="006A40F1" w:rsidRDefault="00301E7E" w:rsidP="00554ED6">
      <w:pPr>
        <w:spacing w:line="240" w:lineRule="atLeast"/>
        <w:ind w:firstLine="720"/>
        <w:jc w:val="both"/>
        <w:rPr>
          <w:sz w:val="20"/>
          <w:szCs w:val="20"/>
          <w:lang w:val="en-GB"/>
        </w:rPr>
      </w:pPr>
    </w:p>
    <w:p w14:paraId="12EA9897" w14:textId="0C50E692" w:rsidR="00F822D8" w:rsidRPr="006A40F1" w:rsidRDefault="00F822D8" w:rsidP="00554ED6">
      <w:pPr>
        <w:spacing w:line="240" w:lineRule="atLeast"/>
        <w:ind w:firstLine="270"/>
        <w:jc w:val="both"/>
        <w:rPr>
          <w:sz w:val="20"/>
          <w:szCs w:val="20"/>
          <w:lang w:val="en-GB"/>
        </w:rPr>
      </w:pPr>
      <w:r w:rsidRPr="006A40F1">
        <w:rPr>
          <w:sz w:val="20"/>
          <w:szCs w:val="20"/>
          <w:lang w:val="en-GB"/>
        </w:rPr>
        <w:t>Climate change (or global warming) consists in the overall increase in global average temperature, that is correlated with the accumulation of anthropogenic greenhouse gas emissions in the atmosphere (IPCC, 2014) (Figure 3), and thus is</w:t>
      </w:r>
      <w:r w:rsidR="00C7260A" w:rsidRPr="006A40F1">
        <w:rPr>
          <w:sz w:val="20"/>
          <w:szCs w:val="20"/>
          <w:lang w:val="en-GB"/>
        </w:rPr>
        <w:t xml:space="preserve"> a</w:t>
      </w:r>
      <w:r w:rsidRPr="006A40F1">
        <w:rPr>
          <w:sz w:val="20"/>
          <w:szCs w:val="20"/>
          <w:lang w:val="en-GB"/>
        </w:rPr>
        <w:t xml:space="preserve"> direct consequence of growth. Global concern with climate change today relates to the variety of systemic risks linked with the imbalance in the climate system stability as well as distribution of its effects all over the planet. </w:t>
      </w:r>
    </w:p>
    <w:p w14:paraId="08F76F0F" w14:textId="77777777" w:rsidR="00F822D8" w:rsidRPr="006A40F1" w:rsidRDefault="00F822D8" w:rsidP="00554ED6">
      <w:pPr>
        <w:jc w:val="both"/>
        <w:rPr>
          <w:sz w:val="20"/>
          <w:szCs w:val="20"/>
          <w:lang w:val="en-GB"/>
        </w:rPr>
      </w:pPr>
    </w:p>
    <w:p w14:paraId="289FB843" w14:textId="77C511FA" w:rsidR="00F822D8" w:rsidRDefault="00F822D8" w:rsidP="00554ED6">
      <w:pPr>
        <w:spacing w:line="240" w:lineRule="atLeast"/>
        <w:ind w:firstLine="270"/>
        <w:jc w:val="both"/>
        <w:rPr>
          <w:sz w:val="20"/>
          <w:szCs w:val="20"/>
          <w:lang w:val="en-GB"/>
        </w:rPr>
      </w:pPr>
      <w:r w:rsidRPr="006A40F1">
        <w:rPr>
          <w:noProof/>
          <w:lang w:val="en-GB"/>
        </w:rPr>
        <w:lastRenderedPageBreak/>
        <w:drawing>
          <wp:inline distT="0" distB="0" distL="0" distR="0" wp14:anchorId="4A261725" wp14:editId="42F36DC3">
            <wp:extent cx="4425950" cy="3499168"/>
            <wp:effectExtent l="0" t="0" r="12700" b="6350"/>
            <wp:docPr id="6" name="Chart 6">
              <a:extLst xmlns:a="http://schemas.openxmlformats.org/drawingml/2006/main">
                <a:ext uri="{FF2B5EF4-FFF2-40B4-BE49-F238E27FC236}">
                  <a16:creationId xmlns:a16="http://schemas.microsoft.com/office/drawing/2014/main" id="{31E25809-482E-4D97-8D7C-CB1E9F4DBF6F}"/>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2D494EE6" w14:textId="77777777" w:rsidR="00B46AF3" w:rsidRPr="006A40F1" w:rsidRDefault="00B46AF3" w:rsidP="00B46AF3">
      <w:pPr>
        <w:jc w:val="both"/>
        <w:rPr>
          <w:sz w:val="20"/>
          <w:szCs w:val="20"/>
          <w:lang w:val="en-GB"/>
        </w:rPr>
      </w:pPr>
      <w:r w:rsidRPr="006A40F1">
        <w:rPr>
          <w:sz w:val="20"/>
          <w:szCs w:val="20"/>
          <w:lang w:val="en-GB"/>
        </w:rPr>
        <w:t>Figure 3 - Correlation between CO</w:t>
      </w:r>
      <w:r w:rsidRPr="006A40F1">
        <w:rPr>
          <w:sz w:val="20"/>
          <w:szCs w:val="20"/>
          <w:vertAlign w:val="subscript"/>
          <w:lang w:val="en-GB"/>
        </w:rPr>
        <w:t>2</w:t>
      </w:r>
      <w:r w:rsidRPr="006A40F1">
        <w:rPr>
          <w:sz w:val="20"/>
          <w:szCs w:val="20"/>
          <w:lang w:val="en-GB"/>
        </w:rPr>
        <w:t xml:space="preserve"> concentration and global average temperature (sources NASA 2019)</w:t>
      </w:r>
    </w:p>
    <w:p w14:paraId="5E4F8FB7" w14:textId="77777777" w:rsidR="00B46AF3" w:rsidRPr="006A40F1" w:rsidRDefault="00B46AF3" w:rsidP="00554ED6">
      <w:pPr>
        <w:spacing w:line="240" w:lineRule="atLeast"/>
        <w:ind w:firstLine="270"/>
        <w:jc w:val="both"/>
        <w:rPr>
          <w:sz w:val="20"/>
          <w:szCs w:val="20"/>
          <w:lang w:val="en-GB"/>
        </w:rPr>
      </w:pPr>
    </w:p>
    <w:p w14:paraId="6CE42BC4" w14:textId="77777777" w:rsidR="00F822D8" w:rsidRPr="006A40F1" w:rsidRDefault="00F822D8" w:rsidP="00554ED6">
      <w:pPr>
        <w:spacing w:line="240" w:lineRule="atLeast"/>
        <w:ind w:firstLine="270"/>
        <w:jc w:val="both"/>
        <w:rPr>
          <w:sz w:val="20"/>
          <w:szCs w:val="20"/>
          <w:lang w:val="en-GB"/>
        </w:rPr>
      </w:pPr>
    </w:p>
    <w:p w14:paraId="685AE42E" w14:textId="60C1581A" w:rsidR="00F822D8" w:rsidRPr="006A40F1" w:rsidRDefault="00F822D8" w:rsidP="00554ED6">
      <w:pPr>
        <w:spacing w:line="240" w:lineRule="atLeast"/>
        <w:ind w:firstLine="270"/>
        <w:jc w:val="both"/>
        <w:rPr>
          <w:sz w:val="20"/>
          <w:szCs w:val="20"/>
          <w:lang w:val="en-GB"/>
        </w:rPr>
      </w:pPr>
      <w:r w:rsidRPr="006A40F1">
        <w:rPr>
          <w:sz w:val="20"/>
          <w:szCs w:val="20"/>
          <w:lang w:val="en-GB"/>
        </w:rPr>
        <w:t>One of the most unjust consequences of climate change is that its impact will be uneven across the world, impacting more</w:t>
      </w:r>
      <w:r w:rsidR="00A935C0" w:rsidRPr="006A40F1">
        <w:rPr>
          <w:sz w:val="20"/>
          <w:szCs w:val="20"/>
          <w:lang w:val="en-GB"/>
        </w:rPr>
        <w:t xml:space="preserve"> </w:t>
      </w:r>
      <w:r w:rsidRPr="006A40F1">
        <w:rPr>
          <w:sz w:val="20"/>
          <w:szCs w:val="20"/>
          <w:lang w:val="en-GB"/>
        </w:rPr>
        <w:t xml:space="preserve">those countries that influenced it </w:t>
      </w:r>
      <w:r w:rsidR="006A7154" w:rsidRPr="006A40F1">
        <w:rPr>
          <w:sz w:val="20"/>
          <w:szCs w:val="20"/>
          <w:lang w:val="en-GB"/>
        </w:rPr>
        <w:t>least</w:t>
      </w:r>
      <w:r w:rsidRPr="006A40F1">
        <w:rPr>
          <w:sz w:val="20"/>
          <w:szCs w:val="20"/>
          <w:lang w:val="en-GB"/>
        </w:rPr>
        <w:t>. In particular, agriculture represent</w:t>
      </w:r>
      <w:r w:rsidR="00093CCF" w:rsidRPr="006A40F1">
        <w:rPr>
          <w:sz w:val="20"/>
          <w:szCs w:val="20"/>
          <w:lang w:val="en-GB"/>
        </w:rPr>
        <w:t>s</w:t>
      </w:r>
      <w:r w:rsidRPr="006A40F1">
        <w:rPr>
          <w:sz w:val="20"/>
          <w:szCs w:val="20"/>
          <w:lang w:val="en-GB"/>
        </w:rPr>
        <w:t xml:space="preserve"> both the first cause as well the most vulnerable sector to climate change. Temperate regions are expected to be less impacted, with short term increase in crop yield due to the increase in carbon in the </w:t>
      </w:r>
      <w:r w:rsidR="00450E7D" w:rsidRPr="006A40F1">
        <w:rPr>
          <w:sz w:val="20"/>
          <w:szCs w:val="20"/>
          <w:lang w:val="en-GB"/>
        </w:rPr>
        <w:t>topsoil</w:t>
      </w:r>
      <w:r w:rsidRPr="006A40F1">
        <w:rPr>
          <w:sz w:val="20"/>
          <w:szCs w:val="20"/>
          <w:lang w:val="en-GB"/>
        </w:rPr>
        <w:t xml:space="preserve"> and</w:t>
      </w:r>
      <w:r w:rsidR="00576B9C" w:rsidRPr="006A40F1">
        <w:rPr>
          <w:sz w:val="20"/>
          <w:szCs w:val="20"/>
          <w:lang w:val="en-GB"/>
        </w:rPr>
        <w:t xml:space="preserve"> a</w:t>
      </w:r>
      <w:r w:rsidRPr="006A40F1">
        <w:rPr>
          <w:sz w:val="20"/>
          <w:szCs w:val="20"/>
          <w:lang w:val="en-GB"/>
        </w:rPr>
        <w:t xml:space="preserve"> more humid climate. However, medium to long term projections expect </w:t>
      </w:r>
      <w:r w:rsidR="00093CCF" w:rsidRPr="006A40F1">
        <w:rPr>
          <w:sz w:val="20"/>
          <w:szCs w:val="20"/>
          <w:lang w:val="en-GB"/>
        </w:rPr>
        <w:t xml:space="preserve">a </w:t>
      </w:r>
      <w:r w:rsidRPr="006A40F1">
        <w:rPr>
          <w:sz w:val="20"/>
          <w:szCs w:val="20"/>
          <w:lang w:val="en-GB"/>
        </w:rPr>
        <w:t>productivity fall due to increased diseases and infestation (Wijkman and Rockstrom, 2013, IPCC, 2014). In addition, short</w:t>
      </w:r>
      <w:r w:rsidR="009915DE" w:rsidRPr="006A40F1">
        <w:rPr>
          <w:sz w:val="20"/>
          <w:szCs w:val="20"/>
          <w:lang w:val="en-GB"/>
        </w:rPr>
        <w:t>-</w:t>
      </w:r>
      <w:r w:rsidRPr="006A40F1">
        <w:rPr>
          <w:sz w:val="20"/>
          <w:szCs w:val="20"/>
          <w:lang w:val="en-GB"/>
        </w:rPr>
        <w:t xml:space="preserve">term shocks such as shifts in weather patterns, extreme weather events and </w:t>
      </w:r>
      <w:r w:rsidR="00093CCF" w:rsidRPr="006A40F1">
        <w:rPr>
          <w:sz w:val="20"/>
          <w:szCs w:val="20"/>
          <w:lang w:val="en-GB"/>
        </w:rPr>
        <w:t xml:space="preserve">rising </w:t>
      </w:r>
      <w:r w:rsidRPr="006A40F1">
        <w:rPr>
          <w:sz w:val="20"/>
          <w:szCs w:val="20"/>
          <w:lang w:val="en-GB"/>
        </w:rPr>
        <w:t>sea level</w:t>
      </w:r>
      <w:r w:rsidR="00093CCF" w:rsidRPr="006A40F1">
        <w:rPr>
          <w:sz w:val="20"/>
          <w:szCs w:val="20"/>
          <w:lang w:val="en-GB"/>
        </w:rPr>
        <w:t>s</w:t>
      </w:r>
      <w:r w:rsidRPr="006A40F1">
        <w:rPr>
          <w:sz w:val="20"/>
          <w:szCs w:val="20"/>
          <w:lang w:val="en-GB"/>
        </w:rPr>
        <w:t xml:space="preserve"> will </w:t>
      </w:r>
      <w:r w:rsidR="009915DE" w:rsidRPr="006A40F1">
        <w:rPr>
          <w:sz w:val="20"/>
          <w:szCs w:val="20"/>
          <w:lang w:val="en-GB"/>
        </w:rPr>
        <w:t>have negative consequences for food output</w:t>
      </w:r>
      <w:r w:rsidRPr="006A40F1">
        <w:rPr>
          <w:sz w:val="20"/>
          <w:szCs w:val="20"/>
          <w:lang w:val="en-GB"/>
        </w:rPr>
        <w:t xml:space="preserve"> over the medium to long period.</w:t>
      </w:r>
    </w:p>
    <w:p w14:paraId="1F517AF5" w14:textId="77777777" w:rsidR="009915DE" w:rsidRPr="006A40F1" w:rsidRDefault="009915DE" w:rsidP="00554ED6">
      <w:pPr>
        <w:spacing w:line="240" w:lineRule="atLeast"/>
        <w:ind w:firstLine="270"/>
        <w:jc w:val="both"/>
        <w:rPr>
          <w:sz w:val="20"/>
          <w:szCs w:val="20"/>
          <w:lang w:val="en-GB"/>
        </w:rPr>
      </w:pPr>
    </w:p>
    <w:p w14:paraId="01F0B35F" w14:textId="3D8D575D" w:rsidR="00F822D8" w:rsidRPr="006A40F1" w:rsidRDefault="00F822D8" w:rsidP="00554ED6">
      <w:pPr>
        <w:spacing w:line="240" w:lineRule="atLeast"/>
        <w:ind w:firstLine="270"/>
        <w:jc w:val="both"/>
        <w:rPr>
          <w:sz w:val="20"/>
          <w:szCs w:val="20"/>
          <w:lang w:val="en-GB"/>
        </w:rPr>
      </w:pPr>
      <w:r w:rsidRPr="006A40F1">
        <w:rPr>
          <w:sz w:val="20"/>
          <w:szCs w:val="20"/>
          <w:lang w:val="en-GB"/>
        </w:rPr>
        <w:t xml:space="preserve">IPCC (2014) predicts a reduction in available </w:t>
      </w:r>
      <w:r w:rsidR="009915DE" w:rsidRPr="006A40F1">
        <w:rPr>
          <w:sz w:val="20"/>
          <w:szCs w:val="20"/>
          <w:lang w:val="en-GB"/>
        </w:rPr>
        <w:t xml:space="preserve">fresh </w:t>
      </w:r>
      <w:r w:rsidRPr="006A40F1">
        <w:rPr>
          <w:sz w:val="20"/>
          <w:szCs w:val="20"/>
          <w:lang w:val="en-GB"/>
        </w:rPr>
        <w:t xml:space="preserve">water in several regions including southern Europe, northern Africa, parts of western Africa, southern Africa, southern </w:t>
      </w:r>
      <w:r w:rsidRPr="006A40F1">
        <w:rPr>
          <w:sz w:val="20"/>
          <w:szCs w:val="20"/>
          <w:lang w:val="en-GB"/>
        </w:rPr>
        <w:lastRenderedPageBreak/>
        <w:t>Australia, the north-eastern parts of Latin America and parts of western North America. Extreme weather events, such as hurricanes, floods, or heat waves (Wijkman and Rockstrom, 2013), are becoming more frequent and violent in the Tropics than in the past decades, increasing food loss and land erosion which ultimately will impact on food availability and international price</w:t>
      </w:r>
      <w:r w:rsidR="00093CCF" w:rsidRPr="006A40F1">
        <w:rPr>
          <w:sz w:val="20"/>
          <w:szCs w:val="20"/>
          <w:lang w:val="en-GB"/>
        </w:rPr>
        <w:t>s</w:t>
      </w:r>
      <w:r w:rsidRPr="006A40F1">
        <w:rPr>
          <w:sz w:val="20"/>
          <w:szCs w:val="20"/>
          <w:lang w:val="en-GB"/>
        </w:rPr>
        <w:t xml:space="preserve"> (Stern, 2006, IPCC, 2014, Lloyd, 2015).  </w:t>
      </w:r>
    </w:p>
    <w:p w14:paraId="0A1E0441" w14:textId="77777777" w:rsidR="00F822D8" w:rsidRPr="006A40F1" w:rsidRDefault="00F822D8" w:rsidP="00554ED6">
      <w:pPr>
        <w:spacing w:line="240" w:lineRule="atLeast"/>
        <w:ind w:firstLine="270"/>
        <w:jc w:val="both"/>
        <w:rPr>
          <w:sz w:val="20"/>
          <w:szCs w:val="20"/>
          <w:lang w:val="en-GB"/>
        </w:rPr>
      </w:pPr>
    </w:p>
    <w:p w14:paraId="3C95E2B2" w14:textId="2026C911" w:rsidR="00F822D8" w:rsidRPr="006A40F1" w:rsidRDefault="00F822D8" w:rsidP="00554ED6">
      <w:pPr>
        <w:spacing w:line="240" w:lineRule="atLeast"/>
        <w:ind w:firstLine="270"/>
        <w:jc w:val="both"/>
        <w:rPr>
          <w:sz w:val="20"/>
          <w:szCs w:val="20"/>
          <w:lang w:val="en-GB"/>
        </w:rPr>
      </w:pPr>
      <w:r w:rsidRPr="006A40F1">
        <w:rPr>
          <w:sz w:val="20"/>
          <w:szCs w:val="20"/>
          <w:lang w:val="en-GB"/>
        </w:rPr>
        <w:t>Aware of these issues, 196 country representatives met in Paris in 2015 at the 21st Conference of Parties (COP21), as part of the United Nations Framework Convention on Climate Change (UNFCCC) to set a climate target at +2 degrees Celsius of global temperature increase, and commit to implementing policies to achieve this goal. Such a target could be met by keeping the average carbon concentration in the atmosphere below 450</w:t>
      </w:r>
      <w:r w:rsidR="009915DE" w:rsidRPr="006A40F1">
        <w:rPr>
          <w:sz w:val="20"/>
          <w:szCs w:val="20"/>
          <w:lang w:val="en-GB"/>
        </w:rPr>
        <w:t xml:space="preserve"> </w:t>
      </w:r>
      <w:r w:rsidRPr="006A40F1">
        <w:rPr>
          <w:sz w:val="20"/>
          <w:szCs w:val="20"/>
          <w:lang w:val="en-GB"/>
        </w:rPr>
        <w:t xml:space="preserve">ppm (parts per million) of carbon. It is worth noting that such an objective would imply an 80% reduction in greenhouse gas emissions from their current level by 2050. Recent studies from Steffen et al (2018) demonstrated that +2 degrees might not suffice to keep global warming in </w:t>
      </w:r>
      <w:r w:rsidR="00335FCA" w:rsidRPr="006A40F1">
        <w:rPr>
          <w:sz w:val="20"/>
          <w:szCs w:val="20"/>
          <w:lang w:val="en-GB"/>
        </w:rPr>
        <w:t xml:space="preserve">a </w:t>
      </w:r>
      <w:r w:rsidRPr="006A40F1">
        <w:rPr>
          <w:sz w:val="20"/>
          <w:szCs w:val="20"/>
          <w:lang w:val="en-GB"/>
        </w:rPr>
        <w:t xml:space="preserve">stable condition. Rather ecological feedback loops could be activated leading the world systems towards the path of +5 degrees (the </w:t>
      </w:r>
      <w:r w:rsidR="003156AC" w:rsidRPr="006A40F1">
        <w:rPr>
          <w:sz w:val="20"/>
          <w:szCs w:val="20"/>
          <w:lang w:val="en-GB"/>
        </w:rPr>
        <w:t>so-called</w:t>
      </w:r>
      <w:r w:rsidRPr="006A40F1">
        <w:rPr>
          <w:sz w:val="20"/>
          <w:szCs w:val="20"/>
          <w:lang w:val="en-GB"/>
        </w:rPr>
        <w:t xml:space="preserve"> Hothouse effect) without the requirement of any human additional emission, causing irreversible damages to ecosystems and economy.</w:t>
      </w:r>
      <w:r w:rsidR="002A6ADB" w:rsidRPr="006A40F1">
        <w:rPr>
          <w:sz w:val="20"/>
          <w:szCs w:val="20"/>
          <w:lang w:val="en-GB"/>
        </w:rPr>
        <w:t xml:space="preserve"> Global scenarios addressing the impact of Hot House effect on agriculture can be found in Pasqualino and Jones (2020).</w:t>
      </w:r>
    </w:p>
    <w:p w14:paraId="5D269028" w14:textId="77777777" w:rsidR="00F822D8" w:rsidRPr="006A40F1" w:rsidRDefault="00F822D8" w:rsidP="00554ED6">
      <w:pPr>
        <w:spacing w:line="240" w:lineRule="atLeast"/>
        <w:ind w:firstLine="270"/>
        <w:jc w:val="both"/>
        <w:rPr>
          <w:sz w:val="20"/>
          <w:szCs w:val="20"/>
          <w:lang w:val="en-GB"/>
        </w:rPr>
      </w:pPr>
    </w:p>
    <w:p w14:paraId="713495EA" w14:textId="2D665240" w:rsidR="002D4BF7" w:rsidRDefault="00F822D8" w:rsidP="00554ED6">
      <w:pPr>
        <w:spacing w:line="240" w:lineRule="atLeast"/>
        <w:ind w:firstLine="270"/>
        <w:jc w:val="both"/>
        <w:rPr>
          <w:sz w:val="20"/>
          <w:szCs w:val="20"/>
          <w:lang w:val="en-GB"/>
        </w:rPr>
      </w:pPr>
      <w:r w:rsidRPr="006A40F1">
        <w:rPr>
          <w:sz w:val="20"/>
          <w:szCs w:val="20"/>
          <w:lang w:val="en-GB"/>
        </w:rPr>
        <w:t xml:space="preserve">As Figure 1 has shown the increase in population is expected to be registered in the areas of the world that will be most impacted by climate change, and characterized with food poverty and undernourishment. This will create pressures from migration from poor to rich countries, and potential cause for conflicts and populist sentiment across the borders. On the other hand, it is worth noting that the problem of food security today is not a matter of producing enough food for all the people, but rather a matter of economic systems and supply chain inefficiency in distributing food output. Today’s supply chains waste approximately 30% of the entire food product from land, one third of which could suffice to satisfy the food demand of the poorest in the world (FAO, 2015, Kummu et al, 2012). </w:t>
      </w:r>
      <w:r w:rsidR="00B64CEC" w:rsidRPr="006A40F1">
        <w:rPr>
          <w:sz w:val="20"/>
          <w:szCs w:val="20"/>
          <w:lang w:val="en-GB"/>
        </w:rPr>
        <w:t xml:space="preserve"> </w:t>
      </w:r>
    </w:p>
    <w:p w14:paraId="496E3E9C" w14:textId="77777777" w:rsidR="00DE2F81" w:rsidRPr="006A40F1" w:rsidRDefault="00DE2F81" w:rsidP="00554ED6">
      <w:pPr>
        <w:spacing w:line="240" w:lineRule="atLeast"/>
        <w:ind w:firstLine="270"/>
        <w:jc w:val="both"/>
        <w:rPr>
          <w:sz w:val="20"/>
          <w:szCs w:val="20"/>
          <w:lang w:val="en-GB"/>
        </w:rPr>
      </w:pPr>
    </w:p>
    <w:p w14:paraId="09681DC2" w14:textId="5E0D35B3" w:rsidR="0083626F" w:rsidRPr="006A40F1" w:rsidRDefault="0083626F" w:rsidP="00554ED6">
      <w:pPr>
        <w:spacing w:line="240" w:lineRule="atLeast"/>
        <w:jc w:val="both"/>
        <w:rPr>
          <w:sz w:val="20"/>
          <w:szCs w:val="20"/>
          <w:lang w:val="en-GB"/>
        </w:rPr>
      </w:pPr>
    </w:p>
    <w:p w14:paraId="3BD1F210" w14:textId="559A1D9F" w:rsidR="00F822D8" w:rsidRPr="006A40F1" w:rsidRDefault="000643A7" w:rsidP="00DE2F81">
      <w:pPr>
        <w:pStyle w:val="Heading2"/>
      </w:pPr>
      <w:r w:rsidRPr="006A40F1">
        <w:t>5.4</w:t>
      </w:r>
      <w:r w:rsidR="00DE2F81">
        <w:t>.</w:t>
      </w:r>
      <w:r w:rsidRPr="006A40F1">
        <w:t xml:space="preserve"> </w:t>
      </w:r>
      <w:r w:rsidR="00F822D8" w:rsidRPr="006A40F1">
        <w:t>Planetary boundaries</w:t>
      </w:r>
    </w:p>
    <w:p w14:paraId="151282AE" w14:textId="77777777" w:rsidR="002A6ADB" w:rsidRPr="006A40F1" w:rsidRDefault="002A6ADB" w:rsidP="00554ED6">
      <w:pPr>
        <w:spacing w:line="240" w:lineRule="atLeast"/>
        <w:ind w:firstLine="270"/>
        <w:jc w:val="both"/>
        <w:rPr>
          <w:sz w:val="20"/>
          <w:szCs w:val="20"/>
          <w:lang w:val="en-GB"/>
        </w:rPr>
      </w:pPr>
    </w:p>
    <w:p w14:paraId="43F58D68" w14:textId="19232526" w:rsidR="000643A7" w:rsidRPr="006A40F1" w:rsidRDefault="000643A7" w:rsidP="00554ED6">
      <w:pPr>
        <w:spacing w:line="240" w:lineRule="atLeast"/>
        <w:ind w:firstLine="270"/>
        <w:jc w:val="both"/>
        <w:rPr>
          <w:sz w:val="20"/>
          <w:szCs w:val="20"/>
          <w:lang w:val="en-GB"/>
        </w:rPr>
      </w:pPr>
      <w:r w:rsidRPr="006A40F1">
        <w:rPr>
          <w:sz w:val="20"/>
          <w:szCs w:val="20"/>
          <w:lang w:val="en-GB"/>
        </w:rPr>
        <w:t>In line with the Limits to Growth study and the complex system science</w:t>
      </w:r>
      <w:r w:rsidR="002A6ADB" w:rsidRPr="006A40F1">
        <w:rPr>
          <w:sz w:val="20"/>
          <w:szCs w:val="20"/>
          <w:lang w:val="en-GB"/>
        </w:rPr>
        <w:t>s</w:t>
      </w:r>
      <w:r w:rsidRPr="006A40F1">
        <w:rPr>
          <w:sz w:val="20"/>
          <w:szCs w:val="20"/>
          <w:lang w:val="en-GB"/>
        </w:rPr>
        <w:t xml:space="preserve">, the planetary boundaries framework (Figure 4) shows that climate change represents only one of the nine thresholds that, as humanity, we are supposed to not overpass to keep operating in a safe space (Steffen et al 2015). According to this framework, all thresholds are interconnected systems, and should be managed not in isolation but </w:t>
      </w:r>
      <w:r w:rsidRPr="006A40F1">
        <w:rPr>
          <w:sz w:val="20"/>
          <w:szCs w:val="20"/>
          <w:lang w:val="en-GB"/>
        </w:rPr>
        <w:lastRenderedPageBreak/>
        <w:t>looking at the full picture. The global challenge of climate change is in</w:t>
      </w:r>
      <w:r w:rsidR="00457140" w:rsidRPr="006A40F1">
        <w:rPr>
          <w:sz w:val="20"/>
          <w:szCs w:val="20"/>
          <w:lang w:val="en-GB"/>
        </w:rPr>
        <w:t xml:space="preserve"> </w:t>
      </w:r>
      <w:r w:rsidR="00940EA5" w:rsidRPr="006A40F1">
        <w:rPr>
          <w:sz w:val="20"/>
          <w:szCs w:val="20"/>
          <w:lang w:val="en-GB"/>
        </w:rPr>
        <w:t>an</w:t>
      </w:r>
      <w:r w:rsidRPr="006A40F1">
        <w:rPr>
          <w:sz w:val="20"/>
          <w:szCs w:val="20"/>
          <w:lang w:val="en-GB"/>
        </w:rPr>
        <w:t xml:space="preserve"> uncertain risk zone. However, thresholds that are far beyond safety relate to agriculture. These include the continuous increase of production via </w:t>
      </w:r>
      <w:r w:rsidR="00035CCD" w:rsidRPr="006A40F1">
        <w:rPr>
          <w:sz w:val="20"/>
          <w:szCs w:val="20"/>
          <w:lang w:val="en-GB"/>
        </w:rPr>
        <w:t xml:space="preserve">the use of </w:t>
      </w:r>
      <w:r w:rsidRPr="006A40F1">
        <w:rPr>
          <w:sz w:val="20"/>
          <w:szCs w:val="20"/>
          <w:lang w:val="en-GB"/>
        </w:rPr>
        <w:t>fertilizers and genetic biodiversity. The first has already unbalanced the phosphorus and nitrogen cycles (both standard fertilizers), and started to negatively impact ocean ecosystems and fisheries through eutrophication of poisonous algae, whereas the second was mostly led by the use of pesticides to protect the food we eat and decrease food production loss.</w:t>
      </w:r>
    </w:p>
    <w:p w14:paraId="3E3EBA4E" w14:textId="77777777" w:rsidR="000643A7" w:rsidRPr="006A40F1" w:rsidRDefault="000643A7" w:rsidP="00554ED6">
      <w:pPr>
        <w:spacing w:line="240" w:lineRule="atLeast"/>
        <w:jc w:val="both"/>
        <w:rPr>
          <w:sz w:val="20"/>
          <w:szCs w:val="20"/>
          <w:lang w:val="en-GB"/>
        </w:rPr>
      </w:pPr>
    </w:p>
    <w:p w14:paraId="384E600E" w14:textId="0EFA7C98" w:rsidR="00F822D8" w:rsidRPr="006A40F1" w:rsidRDefault="000643A7" w:rsidP="00554ED6">
      <w:pPr>
        <w:spacing w:line="240" w:lineRule="atLeast"/>
        <w:ind w:firstLine="270"/>
        <w:jc w:val="both"/>
        <w:rPr>
          <w:sz w:val="20"/>
          <w:szCs w:val="20"/>
          <w:lang w:val="en-GB"/>
        </w:rPr>
      </w:pPr>
      <w:r w:rsidRPr="006A40F1">
        <w:rPr>
          <w:sz w:val="20"/>
          <w:szCs w:val="20"/>
          <w:lang w:val="en-GB"/>
        </w:rPr>
        <w:t>Among the thresholds, climate change, ocean acidification and stratospheric ozone depletion are all global in nature. Biosphere integrity, land-system change, freshwater use, biochemical flows, and atmospheric aerosol loading remain regional in nature and solutions must be approached within countries or specific areas of the world.</w:t>
      </w:r>
    </w:p>
    <w:p w14:paraId="3A8A8233" w14:textId="6EB1B418" w:rsidR="000643A7" w:rsidRPr="006A40F1" w:rsidRDefault="000643A7" w:rsidP="00554ED6">
      <w:pPr>
        <w:spacing w:line="240" w:lineRule="atLeast"/>
        <w:jc w:val="both"/>
        <w:rPr>
          <w:sz w:val="20"/>
          <w:szCs w:val="20"/>
          <w:lang w:val="en-GB"/>
        </w:rPr>
      </w:pPr>
    </w:p>
    <w:p w14:paraId="3256E731" w14:textId="645449F1" w:rsidR="000643A7" w:rsidRPr="006A40F1" w:rsidRDefault="000643A7" w:rsidP="00554ED6">
      <w:pPr>
        <w:spacing w:line="240" w:lineRule="atLeast"/>
        <w:jc w:val="both"/>
        <w:rPr>
          <w:sz w:val="20"/>
          <w:szCs w:val="20"/>
          <w:lang w:val="en-GB"/>
        </w:rPr>
      </w:pPr>
    </w:p>
    <w:p w14:paraId="6B5953C3" w14:textId="10A57ECA" w:rsidR="000643A7" w:rsidRDefault="000643A7" w:rsidP="00554ED6">
      <w:pPr>
        <w:spacing w:line="240" w:lineRule="atLeast"/>
        <w:jc w:val="both"/>
        <w:rPr>
          <w:sz w:val="20"/>
          <w:szCs w:val="20"/>
          <w:lang w:val="en-GB"/>
        </w:rPr>
      </w:pPr>
      <w:r w:rsidRPr="006A40F1">
        <w:rPr>
          <w:noProof/>
          <w:sz w:val="20"/>
          <w:szCs w:val="20"/>
          <w:lang w:val="en-GB"/>
        </w:rPr>
        <w:drawing>
          <wp:inline distT="0" distB="0" distL="0" distR="0" wp14:anchorId="229D906F" wp14:editId="55FB9C76">
            <wp:extent cx="4709160" cy="3356679"/>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713237" cy="3359585"/>
                    </a:xfrm>
                    <a:prstGeom prst="rect">
                      <a:avLst/>
                    </a:prstGeom>
                    <a:noFill/>
                  </pic:spPr>
                </pic:pic>
              </a:graphicData>
            </a:graphic>
          </wp:inline>
        </w:drawing>
      </w:r>
    </w:p>
    <w:p w14:paraId="37FDD5DD" w14:textId="146F479D" w:rsidR="00467965" w:rsidRDefault="00467965" w:rsidP="00554ED6">
      <w:pPr>
        <w:spacing w:line="240" w:lineRule="atLeast"/>
        <w:jc w:val="both"/>
        <w:rPr>
          <w:sz w:val="20"/>
          <w:szCs w:val="20"/>
          <w:lang w:val="en-GB"/>
        </w:rPr>
      </w:pPr>
      <w:r w:rsidRPr="006A40F1">
        <w:rPr>
          <w:sz w:val="20"/>
          <w:szCs w:val="20"/>
          <w:lang w:val="en-GB"/>
        </w:rPr>
        <w:t>Figure 4 – Planetary boundaries framework (source: Steffen et al., 2015)</w:t>
      </w:r>
    </w:p>
    <w:p w14:paraId="0C1B0644" w14:textId="03CC02F9" w:rsidR="00DE2F81" w:rsidRDefault="00DE2F81" w:rsidP="00554ED6">
      <w:pPr>
        <w:spacing w:line="240" w:lineRule="atLeast"/>
        <w:jc w:val="both"/>
        <w:rPr>
          <w:sz w:val="20"/>
          <w:szCs w:val="20"/>
          <w:lang w:val="en-GB"/>
        </w:rPr>
      </w:pPr>
    </w:p>
    <w:p w14:paraId="449ABAA3" w14:textId="7EF6D12F" w:rsidR="00DE2F81" w:rsidRDefault="00DE2F81" w:rsidP="00554ED6">
      <w:pPr>
        <w:spacing w:line="240" w:lineRule="atLeast"/>
        <w:jc w:val="both"/>
        <w:rPr>
          <w:sz w:val="20"/>
          <w:szCs w:val="20"/>
          <w:lang w:val="en-GB"/>
        </w:rPr>
      </w:pPr>
    </w:p>
    <w:p w14:paraId="2930F282" w14:textId="6594E79F" w:rsidR="000643A7" w:rsidRPr="006A40F1" w:rsidRDefault="000643A7" w:rsidP="00554ED6">
      <w:pPr>
        <w:spacing w:line="240" w:lineRule="atLeast"/>
        <w:jc w:val="both"/>
        <w:rPr>
          <w:sz w:val="20"/>
          <w:szCs w:val="20"/>
          <w:lang w:val="en-GB"/>
        </w:rPr>
      </w:pPr>
    </w:p>
    <w:p w14:paraId="1C86BC7F" w14:textId="702283B6" w:rsidR="000643A7" w:rsidRPr="00DE2F81" w:rsidRDefault="00DE2F81" w:rsidP="00DE2F81">
      <w:pPr>
        <w:pStyle w:val="Heading1"/>
        <w:rPr>
          <w:rStyle w:val="Strong"/>
          <w:b/>
          <w:bCs/>
        </w:rPr>
      </w:pPr>
      <w:r w:rsidRPr="00DE2F81">
        <w:rPr>
          <w:rStyle w:val="Strong"/>
          <w:b/>
          <w:bCs/>
        </w:rPr>
        <w:lastRenderedPageBreak/>
        <w:t xml:space="preserve">6. </w:t>
      </w:r>
      <w:r w:rsidR="000643A7" w:rsidRPr="00DE2F81">
        <w:rPr>
          <w:rStyle w:val="Strong"/>
          <w:b/>
          <w:bCs/>
        </w:rPr>
        <w:t>Current state of the energy transition</w:t>
      </w:r>
    </w:p>
    <w:p w14:paraId="5AD7205B" w14:textId="11C4F177" w:rsidR="000643A7" w:rsidRPr="006A40F1" w:rsidRDefault="000643A7" w:rsidP="00554ED6">
      <w:pPr>
        <w:spacing w:line="240" w:lineRule="atLeast"/>
        <w:jc w:val="both"/>
        <w:rPr>
          <w:rStyle w:val="Strong"/>
          <w:lang w:val="en-GB"/>
        </w:rPr>
      </w:pPr>
    </w:p>
    <w:p w14:paraId="11F090C9" w14:textId="02D6FCAC" w:rsidR="000643A7" w:rsidRPr="006A40F1" w:rsidRDefault="000643A7" w:rsidP="00554ED6">
      <w:pPr>
        <w:spacing w:line="240" w:lineRule="atLeast"/>
        <w:ind w:firstLine="270"/>
        <w:jc w:val="both"/>
        <w:rPr>
          <w:bCs/>
          <w:sz w:val="20"/>
          <w:szCs w:val="20"/>
          <w:lang w:val="en-GB"/>
        </w:rPr>
      </w:pPr>
      <w:r w:rsidRPr="006A40F1">
        <w:rPr>
          <w:bCs/>
          <w:sz w:val="20"/>
          <w:szCs w:val="20"/>
          <w:lang w:val="en-GB"/>
        </w:rPr>
        <w:t xml:space="preserve">Given the </w:t>
      </w:r>
      <w:r w:rsidR="002A6ADB" w:rsidRPr="006A40F1">
        <w:rPr>
          <w:bCs/>
          <w:sz w:val="20"/>
          <w:szCs w:val="20"/>
          <w:lang w:val="en-GB"/>
        </w:rPr>
        <w:t xml:space="preserve">above </w:t>
      </w:r>
      <w:r w:rsidRPr="006A40F1">
        <w:rPr>
          <w:bCs/>
          <w:sz w:val="20"/>
          <w:szCs w:val="20"/>
          <w:lang w:val="en-GB"/>
        </w:rPr>
        <w:t>picture, it appears how the transition towards sustainability must account for constraints in the ecological sphere and rely on system thinking to be successful. Whereas each of the planetary boundaries might require specific skills and know-how, in this chapter we focus on just one of the elements that can be considered a fundamental leverage point for the sustainability transition. That is the energy transition towards clean-tech and green finance economy. In so doing, in this section we provide an overview on the state of global green energy</w:t>
      </w:r>
      <w:r w:rsidR="00063CBD" w:rsidRPr="006A40F1">
        <w:rPr>
          <w:bCs/>
          <w:sz w:val="20"/>
          <w:szCs w:val="20"/>
          <w:lang w:val="en-GB"/>
        </w:rPr>
        <w:t>.</w:t>
      </w:r>
    </w:p>
    <w:p w14:paraId="26A64BE5" w14:textId="77777777" w:rsidR="000643A7" w:rsidRPr="006A40F1" w:rsidRDefault="000643A7" w:rsidP="00554ED6">
      <w:pPr>
        <w:spacing w:line="240" w:lineRule="atLeast"/>
        <w:ind w:firstLine="270"/>
        <w:jc w:val="both"/>
        <w:rPr>
          <w:bCs/>
          <w:sz w:val="20"/>
          <w:szCs w:val="20"/>
          <w:lang w:val="en-GB"/>
        </w:rPr>
      </w:pPr>
    </w:p>
    <w:p w14:paraId="54EF305B" w14:textId="3E449E55" w:rsidR="000643A7" w:rsidRPr="006A40F1" w:rsidRDefault="000643A7" w:rsidP="00554ED6">
      <w:pPr>
        <w:spacing w:line="240" w:lineRule="atLeast"/>
        <w:ind w:firstLine="270"/>
        <w:jc w:val="both"/>
        <w:rPr>
          <w:sz w:val="20"/>
          <w:szCs w:val="20"/>
          <w:lang w:val="en-GB"/>
        </w:rPr>
      </w:pPr>
      <w:r w:rsidRPr="006A40F1">
        <w:rPr>
          <w:sz w:val="20"/>
          <w:szCs w:val="20"/>
          <w:lang w:val="en-GB"/>
        </w:rPr>
        <w:t>Table 1 shows the current energy mix of fossil fuels, renewables, and nuclear energy divided between electricity generation, heating and transportation at the global level (REN21, 2018). As it is possible to see, the green energy sector is way behind the fossil fuel sector in relation to the issue at stake.</w:t>
      </w:r>
    </w:p>
    <w:p w14:paraId="0120AC80" w14:textId="087ACD97" w:rsidR="000643A7" w:rsidRDefault="000643A7" w:rsidP="00554ED6">
      <w:pPr>
        <w:jc w:val="both"/>
        <w:rPr>
          <w:sz w:val="20"/>
          <w:szCs w:val="20"/>
          <w:lang w:val="en-GB"/>
        </w:rPr>
      </w:pPr>
    </w:p>
    <w:p w14:paraId="6A2DCF34" w14:textId="77777777" w:rsidR="00A63578" w:rsidRPr="006A40F1" w:rsidRDefault="00A63578" w:rsidP="00554ED6">
      <w:pPr>
        <w:jc w:val="both"/>
        <w:rPr>
          <w:lang w:val="en-GB"/>
        </w:rPr>
      </w:pPr>
    </w:p>
    <w:tbl>
      <w:tblPr>
        <w:tblW w:w="8160" w:type="dxa"/>
        <w:jc w:val="center"/>
        <w:tblLook w:val="04A0" w:firstRow="1" w:lastRow="0" w:firstColumn="1" w:lastColumn="0" w:noHBand="0" w:noVBand="1"/>
      </w:tblPr>
      <w:tblGrid>
        <w:gridCol w:w="1883"/>
        <w:gridCol w:w="1550"/>
        <w:gridCol w:w="1292"/>
        <w:gridCol w:w="1790"/>
        <w:gridCol w:w="1645"/>
      </w:tblGrid>
      <w:tr w:rsidR="000643A7" w:rsidRPr="006A40F1" w14:paraId="18D4D161" w14:textId="77777777" w:rsidTr="00526B10">
        <w:trPr>
          <w:trHeight w:val="585"/>
          <w:jc w:val="center"/>
        </w:trPr>
        <w:tc>
          <w:tcPr>
            <w:tcW w:w="1883"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5D864D31" w14:textId="77777777" w:rsidR="000643A7" w:rsidRPr="006A40F1" w:rsidRDefault="000643A7" w:rsidP="00554ED6">
            <w:pPr>
              <w:jc w:val="both"/>
              <w:rPr>
                <w:b/>
                <w:bCs/>
                <w:lang w:val="en-GB" w:eastAsia="en-GB"/>
              </w:rPr>
            </w:pPr>
            <w:bookmarkStart w:id="5" w:name="_Hlk30076799"/>
            <w:r w:rsidRPr="006A40F1">
              <w:rPr>
                <w:b/>
                <w:bCs/>
                <w:lang w:val="en-GB" w:eastAsia="en-GB"/>
              </w:rPr>
              <w:t>Resource\Sector</w:t>
            </w:r>
          </w:p>
        </w:tc>
        <w:tc>
          <w:tcPr>
            <w:tcW w:w="1550" w:type="dxa"/>
            <w:tcBorders>
              <w:top w:val="single" w:sz="8" w:space="0" w:color="auto"/>
              <w:left w:val="nil"/>
              <w:bottom w:val="single" w:sz="8" w:space="0" w:color="auto"/>
              <w:right w:val="single" w:sz="8" w:space="0" w:color="auto"/>
            </w:tcBorders>
            <w:shd w:val="clear" w:color="auto" w:fill="auto"/>
            <w:vAlign w:val="center"/>
            <w:hideMark/>
          </w:tcPr>
          <w:p w14:paraId="044C2E77" w14:textId="77777777" w:rsidR="000643A7" w:rsidRPr="006A40F1" w:rsidRDefault="000643A7" w:rsidP="00554ED6">
            <w:pPr>
              <w:jc w:val="both"/>
              <w:rPr>
                <w:b/>
                <w:bCs/>
                <w:lang w:val="en-GB" w:eastAsia="en-GB"/>
              </w:rPr>
            </w:pPr>
            <w:r w:rsidRPr="006A40F1">
              <w:rPr>
                <w:b/>
                <w:bCs/>
                <w:lang w:val="en-GB" w:eastAsia="en-GB"/>
              </w:rPr>
              <w:t>Electricity</w:t>
            </w:r>
          </w:p>
        </w:tc>
        <w:tc>
          <w:tcPr>
            <w:tcW w:w="1292" w:type="dxa"/>
            <w:tcBorders>
              <w:top w:val="single" w:sz="8" w:space="0" w:color="auto"/>
              <w:left w:val="nil"/>
              <w:bottom w:val="single" w:sz="8" w:space="0" w:color="auto"/>
              <w:right w:val="single" w:sz="8" w:space="0" w:color="auto"/>
            </w:tcBorders>
            <w:shd w:val="clear" w:color="auto" w:fill="auto"/>
            <w:vAlign w:val="center"/>
            <w:hideMark/>
          </w:tcPr>
          <w:p w14:paraId="799F4C1D" w14:textId="77777777" w:rsidR="000643A7" w:rsidRPr="006A40F1" w:rsidRDefault="000643A7" w:rsidP="00554ED6">
            <w:pPr>
              <w:jc w:val="both"/>
              <w:rPr>
                <w:b/>
                <w:bCs/>
                <w:lang w:val="en-GB" w:eastAsia="en-GB"/>
              </w:rPr>
            </w:pPr>
            <w:r w:rsidRPr="006A40F1">
              <w:rPr>
                <w:b/>
                <w:bCs/>
                <w:lang w:val="en-GB" w:eastAsia="en-GB"/>
              </w:rPr>
              <w:t>Heating</w:t>
            </w:r>
          </w:p>
        </w:tc>
        <w:tc>
          <w:tcPr>
            <w:tcW w:w="1790" w:type="dxa"/>
            <w:tcBorders>
              <w:top w:val="single" w:sz="8" w:space="0" w:color="auto"/>
              <w:left w:val="nil"/>
              <w:bottom w:val="single" w:sz="8" w:space="0" w:color="auto"/>
              <w:right w:val="single" w:sz="8" w:space="0" w:color="auto"/>
            </w:tcBorders>
            <w:shd w:val="clear" w:color="auto" w:fill="auto"/>
            <w:vAlign w:val="center"/>
            <w:hideMark/>
          </w:tcPr>
          <w:p w14:paraId="6F380046" w14:textId="77777777" w:rsidR="000643A7" w:rsidRPr="006A40F1" w:rsidRDefault="000643A7" w:rsidP="00554ED6">
            <w:pPr>
              <w:jc w:val="both"/>
              <w:rPr>
                <w:b/>
                <w:bCs/>
                <w:lang w:val="en-GB" w:eastAsia="en-GB"/>
              </w:rPr>
            </w:pPr>
            <w:r w:rsidRPr="006A40F1">
              <w:rPr>
                <w:b/>
                <w:bCs/>
                <w:lang w:val="en-GB" w:eastAsia="en-GB"/>
              </w:rPr>
              <w:t>Transportation</w:t>
            </w:r>
          </w:p>
        </w:tc>
        <w:tc>
          <w:tcPr>
            <w:tcW w:w="1645" w:type="dxa"/>
            <w:tcBorders>
              <w:top w:val="single" w:sz="8" w:space="0" w:color="auto"/>
              <w:left w:val="nil"/>
              <w:bottom w:val="single" w:sz="8" w:space="0" w:color="auto"/>
              <w:right w:val="single" w:sz="8" w:space="0" w:color="auto"/>
            </w:tcBorders>
            <w:shd w:val="clear" w:color="000000" w:fill="D9D9D9"/>
            <w:vAlign w:val="center"/>
            <w:hideMark/>
          </w:tcPr>
          <w:p w14:paraId="526F747D" w14:textId="77777777" w:rsidR="000643A7" w:rsidRPr="006A40F1" w:rsidRDefault="000643A7" w:rsidP="00554ED6">
            <w:pPr>
              <w:jc w:val="both"/>
              <w:rPr>
                <w:b/>
                <w:bCs/>
                <w:lang w:val="en-GB" w:eastAsia="en-GB"/>
              </w:rPr>
            </w:pPr>
            <w:r w:rsidRPr="006A40F1">
              <w:rPr>
                <w:b/>
                <w:bCs/>
                <w:lang w:val="en-GB" w:eastAsia="en-GB"/>
              </w:rPr>
              <w:t>Global fraction of energy mix by source</w:t>
            </w:r>
          </w:p>
        </w:tc>
      </w:tr>
      <w:tr w:rsidR="000643A7" w:rsidRPr="006A40F1" w14:paraId="7D76D13A" w14:textId="77777777" w:rsidTr="00526B10">
        <w:trPr>
          <w:trHeight w:val="315"/>
          <w:jc w:val="center"/>
        </w:trPr>
        <w:tc>
          <w:tcPr>
            <w:tcW w:w="1883" w:type="dxa"/>
            <w:tcBorders>
              <w:top w:val="nil"/>
              <w:left w:val="single" w:sz="8" w:space="0" w:color="auto"/>
              <w:bottom w:val="single" w:sz="8" w:space="0" w:color="auto"/>
              <w:right w:val="single" w:sz="8" w:space="0" w:color="auto"/>
            </w:tcBorders>
            <w:shd w:val="clear" w:color="auto" w:fill="auto"/>
            <w:vAlign w:val="center"/>
            <w:hideMark/>
          </w:tcPr>
          <w:p w14:paraId="37713448" w14:textId="77777777" w:rsidR="000643A7" w:rsidRPr="006A40F1" w:rsidRDefault="000643A7" w:rsidP="00554ED6">
            <w:pPr>
              <w:jc w:val="both"/>
              <w:rPr>
                <w:lang w:val="en-GB" w:eastAsia="en-GB"/>
              </w:rPr>
            </w:pPr>
            <w:r w:rsidRPr="006A40F1">
              <w:rPr>
                <w:lang w:val="en-GB" w:eastAsia="en-GB"/>
              </w:rPr>
              <w:t>Fossil fuels</w:t>
            </w:r>
          </w:p>
        </w:tc>
        <w:tc>
          <w:tcPr>
            <w:tcW w:w="1550" w:type="dxa"/>
            <w:tcBorders>
              <w:top w:val="nil"/>
              <w:left w:val="nil"/>
              <w:bottom w:val="single" w:sz="8" w:space="0" w:color="auto"/>
              <w:right w:val="single" w:sz="8" w:space="0" w:color="auto"/>
            </w:tcBorders>
            <w:shd w:val="clear" w:color="auto" w:fill="auto"/>
            <w:vAlign w:val="center"/>
            <w:hideMark/>
          </w:tcPr>
          <w:p w14:paraId="0CEF70EC" w14:textId="77777777" w:rsidR="000643A7" w:rsidRPr="006A40F1" w:rsidRDefault="000643A7" w:rsidP="00554ED6">
            <w:pPr>
              <w:jc w:val="both"/>
              <w:rPr>
                <w:lang w:val="en-GB" w:eastAsia="en-GB"/>
              </w:rPr>
            </w:pPr>
            <w:r w:rsidRPr="006A40F1">
              <w:rPr>
                <w:lang w:val="en-GB" w:eastAsia="en-GB"/>
              </w:rPr>
              <w:t>66.30%</w:t>
            </w:r>
          </w:p>
        </w:tc>
        <w:tc>
          <w:tcPr>
            <w:tcW w:w="1292" w:type="dxa"/>
            <w:tcBorders>
              <w:top w:val="nil"/>
              <w:left w:val="nil"/>
              <w:bottom w:val="single" w:sz="8" w:space="0" w:color="auto"/>
              <w:right w:val="single" w:sz="8" w:space="0" w:color="auto"/>
            </w:tcBorders>
            <w:shd w:val="clear" w:color="auto" w:fill="auto"/>
            <w:vAlign w:val="center"/>
            <w:hideMark/>
          </w:tcPr>
          <w:p w14:paraId="58CBBB24" w14:textId="77777777" w:rsidR="000643A7" w:rsidRPr="006A40F1" w:rsidRDefault="000643A7" w:rsidP="00554ED6">
            <w:pPr>
              <w:jc w:val="both"/>
              <w:rPr>
                <w:lang w:val="en-GB" w:eastAsia="en-GB"/>
              </w:rPr>
            </w:pPr>
            <w:r w:rsidRPr="006A40F1">
              <w:rPr>
                <w:lang w:val="en-GB" w:eastAsia="en-GB"/>
              </w:rPr>
              <w:t>72.70%</w:t>
            </w:r>
          </w:p>
        </w:tc>
        <w:tc>
          <w:tcPr>
            <w:tcW w:w="1790" w:type="dxa"/>
            <w:tcBorders>
              <w:top w:val="nil"/>
              <w:left w:val="nil"/>
              <w:bottom w:val="single" w:sz="8" w:space="0" w:color="auto"/>
              <w:right w:val="single" w:sz="8" w:space="0" w:color="auto"/>
            </w:tcBorders>
            <w:shd w:val="clear" w:color="auto" w:fill="auto"/>
            <w:vAlign w:val="center"/>
            <w:hideMark/>
          </w:tcPr>
          <w:p w14:paraId="1AD730C4" w14:textId="77777777" w:rsidR="000643A7" w:rsidRPr="006A40F1" w:rsidRDefault="000643A7" w:rsidP="00554ED6">
            <w:pPr>
              <w:jc w:val="both"/>
              <w:rPr>
                <w:lang w:val="en-GB" w:eastAsia="en-GB"/>
              </w:rPr>
            </w:pPr>
            <w:r w:rsidRPr="006A40F1">
              <w:rPr>
                <w:lang w:val="en-GB" w:eastAsia="en-GB"/>
              </w:rPr>
              <w:t>97%</w:t>
            </w:r>
          </w:p>
        </w:tc>
        <w:tc>
          <w:tcPr>
            <w:tcW w:w="1645" w:type="dxa"/>
            <w:tcBorders>
              <w:top w:val="nil"/>
              <w:left w:val="nil"/>
              <w:bottom w:val="single" w:sz="8" w:space="0" w:color="auto"/>
              <w:right w:val="single" w:sz="8" w:space="0" w:color="auto"/>
            </w:tcBorders>
            <w:shd w:val="clear" w:color="000000" w:fill="D9D9D9"/>
            <w:vAlign w:val="center"/>
            <w:hideMark/>
          </w:tcPr>
          <w:p w14:paraId="4C769D21" w14:textId="77777777" w:rsidR="000643A7" w:rsidRPr="006A40F1" w:rsidRDefault="000643A7" w:rsidP="00554ED6">
            <w:pPr>
              <w:jc w:val="both"/>
              <w:rPr>
                <w:b/>
                <w:bCs/>
                <w:lang w:val="en-GB" w:eastAsia="en-GB"/>
              </w:rPr>
            </w:pPr>
            <w:r w:rsidRPr="006A40F1">
              <w:rPr>
                <w:b/>
                <w:bCs/>
                <w:lang w:val="en-GB" w:eastAsia="en-GB"/>
              </w:rPr>
              <w:t>78.60%</w:t>
            </w:r>
          </w:p>
        </w:tc>
      </w:tr>
      <w:tr w:rsidR="000643A7" w:rsidRPr="006A40F1" w14:paraId="74DBB845" w14:textId="77777777" w:rsidTr="00526B10">
        <w:trPr>
          <w:trHeight w:val="315"/>
          <w:jc w:val="center"/>
        </w:trPr>
        <w:tc>
          <w:tcPr>
            <w:tcW w:w="1883" w:type="dxa"/>
            <w:tcBorders>
              <w:top w:val="nil"/>
              <w:left w:val="single" w:sz="8" w:space="0" w:color="auto"/>
              <w:bottom w:val="single" w:sz="8" w:space="0" w:color="auto"/>
              <w:right w:val="single" w:sz="8" w:space="0" w:color="auto"/>
            </w:tcBorders>
            <w:shd w:val="clear" w:color="auto" w:fill="auto"/>
            <w:vAlign w:val="center"/>
            <w:hideMark/>
          </w:tcPr>
          <w:p w14:paraId="5245A0E5" w14:textId="77777777" w:rsidR="000643A7" w:rsidRPr="006A40F1" w:rsidRDefault="000643A7" w:rsidP="00554ED6">
            <w:pPr>
              <w:jc w:val="both"/>
              <w:rPr>
                <w:lang w:val="en-GB" w:eastAsia="en-GB"/>
              </w:rPr>
            </w:pPr>
            <w:r w:rsidRPr="006A40F1">
              <w:rPr>
                <w:lang w:val="en-GB" w:eastAsia="en-GB"/>
              </w:rPr>
              <w:t>Renewables</w:t>
            </w:r>
          </w:p>
        </w:tc>
        <w:tc>
          <w:tcPr>
            <w:tcW w:w="1550" w:type="dxa"/>
            <w:tcBorders>
              <w:top w:val="nil"/>
              <w:left w:val="nil"/>
              <w:bottom w:val="single" w:sz="8" w:space="0" w:color="auto"/>
              <w:right w:val="single" w:sz="8" w:space="0" w:color="auto"/>
            </w:tcBorders>
            <w:shd w:val="clear" w:color="auto" w:fill="auto"/>
            <w:vAlign w:val="center"/>
            <w:hideMark/>
          </w:tcPr>
          <w:p w14:paraId="543A50B9" w14:textId="77777777" w:rsidR="000643A7" w:rsidRPr="006A40F1" w:rsidRDefault="000643A7" w:rsidP="00554ED6">
            <w:pPr>
              <w:jc w:val="both"/>
              <w:rPr>
                <w:lang w:val="en-GB" w:eastAsia="en-GB"/>
              </w:rPr>
            </w:pPr>
            <w:r w:rsidRPr="006A40F1">
              <w:rPr>
                <w:lang w:val="en-GB" w:eastAsia="en-GB"/>
              </w:rPr>
              <w:t>23.10%</w:t>
            </w:r>
          </w:p>
        </w:tc>
        <w:tc>
          <w:tcPr>
            <w:tcW w:w="1292" w:type="dxa"/>
            <w:tcBorders>
              <w:top w:val="nil"/>
              <w:left w:val="nil"/>
              <w:bottom w:val="single" w:sz="8" w:space="0" w:color="auto"/>
              <w:right w:val="single" w:sz="8" w:space="0" w:color="auto"/>
            </w:tcBorders>
            <w:shd w:val="clear" w:color="auto" w:fill="auto"/>
            <w:vAlign w:val="center"/>
            <w:hideMark/>
          </w:tcPr>
          <w:p w14:paraId="5C37B9BF" w14:textId="77777777" w:rsidR="000643A7" w:rsidRPr="006A40F1" w:rsidRDefault="000643A7" w:rsidP="00554ED6">
            <w:pPr>
              <w:jc w:val="both"/>
              <w:rPr>
                <w:lang w:val="en-GB" w:eastAsia="en-GB"/>
              </w:rPr>
            </w:pPr>
            <w:r w:rsidRPr="006A40F1">
              <w:rPr>
                <w:lang w:val="en-GB" w:eastAsia="en-GB"/>
              </w:rPr>
              <w:t>26.20%</w:t>
            </w:r>
          </w:p>
        </w:tc>
        <w:tc>
          <w:tcPr>
            <w:tcW w:w="1790" w:type="dxa"/>
            <w:tcBorders>
              <w:top w:val="nil"/>
              <w:left w:val="nil"/>
              <w:bottom w:val="single" w:sz="8" w:space="0" w:color="auto"/>
              <w:right w:val="single" w:sz="8" w:space="0" w:color="auto"/>
            </w:tcBorders>
            <w:shd w:val="clear" w:color="auto" w:fill="auto"/>
            <w:vAlign w:val="center"/>
            <w:hideMark/>
          </w:tcPr>
          <w:p w14:paraId="60DDCDD8" w14:textId="77777777" w:rsidR="000643A7" w:rsidRPr="006A40F1" w:rsidRDefault="000643A7" w:rsidP="00554ED6">
            <w:pPr>
              <w:jc w:val="both"/>
              <w:rPr>
                <w:lang w:val="en-GB" w:eastAsia="en-GB"/>
              </w:rPr>
            </w:pPr>
            <w:r w:rsidRPr="006A40F1">
              <w:rPr>
                <w:lang w:val="en-GB" w:eastAsia="en-GB"/>
              </w:rPr>
              <w:t>3%</w:t>
            </w:r>
          </w:p>
        </w:tc>
        <w:tc>
          <w:tcPr>
            <w:tcW w:w="1645" w:type="dxa"/>
            <w:tcBorders>
              <w:top w:val="nil"/>
              <w:left w:val="nil"/>
              <w:bottom w:val="single" w:sz="8" w:space="0" w:color="auto"/>
              <w:right w:val="single" w:sz="8" w:space="0" w:color="auto"/>
            </w:tcBorders>
            <w:shd w:val="clear" w:color="000000" w:fill="D9D9D9"/>
            <w:vAlign w:val="center"/>
            <w:hideMark/>
          </w:tcPr>
          <w:p w14:paraId="382EC22B" w14:textId="77777777" w:rsidR="000643A7" w:rsidRPr="006A40F1" w:rsidRDefault="000643A7" w:rsidP="00554ED6">
            <w:pPr>
              <w:jc w:val="both"/>
              <w:rPr>
                <w:b/>
                <w:bCs/>
                <w:lang w:val="en-GB" w:eastAsia="en-GB"/>
              </w:rPr>
            </w:pPr>
            <w:r w:rsidRPr="006A40F1">
              <w:rPr>
                <w:b/>
                <w:bCs/>
                <w:lang w:val="en-GB" w:eastAsia="en-GB"/>
              </w:rPr>
              <w:t>18.90%</w:t>
            </w:r>
          </w:p>
        </w:tc>
      </w:tr>
      <w:tr w:rsidR="000643A7" w:rsidRPr="006A40F1" w14:paraId="3304C453" w14:textId="77777777" w:rsidTr="00526B10">
        <w:trPr>
          <w:trHeight w:val="315"/>
          <w:jc w:val="center"/>
        </w:trPr>
        <w:tc>
          <w:tcPr>
            <w:tcW w:w="1883" w:type="dxa"/>
            <w:tcBorders>
              <w:top w:val="nil"/>
              <w:left w:val="single" w:sz="8" w:space="0" w:color="auto"/>
              <w:bottom w:val="single" w:sz="8" w:space="0" w:color="auto"/>
              <w:right w:val="single" w:sz="8" w:space="0" w:color="auto"/>
            </w:tcBorders>
            <w:shd w:val="clear" w:color="auto" w:fill="auto"/>
            <w:vAlign w:val="center"/>
            <w:hideMark/>
          </w:tcPr>
          <w:p w14:paraId="2C39284D" w14:textId="77777777" w:rsidR="000643A7" w:rsidRPr="006A40F1" w:rsidRDefault="000643A7" w:rsidP="00554ED6">
            <w:pPr>
              <w:jc w:val="both"/>
              <w:rPr>
                <w:lang w:val="en-GB" w:eastAsia="en-GB"/>
              </w:rPr>
            </w:pPr>
            <w:r w:rsidRPr="006A40F1">
              <w:rPr>
                <w:lang w:val="en-GB" w:eastAsia="en-GB"/>
              </w:rPr>
              <w:t>Nuclear</w:t>
            </w:r>
          </w:p>
        </w:tc>
        <w:tc>
          <w:tcPr>
            <w:tcW w:w="1550" w:type="dxa"/>
            <w:tcBorders>
              <w:top w:val="nil"/>
              <w:left w:val="nil"/>
              <w:bottom w:val="single" w:sz="8" w:space="0" w:color="auto"/>
              <w:right w:val="single" w:sz="8" w:space="0" w:color="auto"/>
            </w:tcBorders>
            <w:shd w:val="clear" w:color="auto" w:fill="auto"/>
            <w:vAlign w:val="center"/>
            <w:hideMark/>
          </w:tcPr>
          <w:p w14:paraId="27CBE7EB" w14:textId="77777777" w:rsidR="000643A7" w:rsidRPr="006A40F1" w:rsidRDefault="000643A7" w:rsidP="00554ED6">
            <w:pPr>
              <w:jc w:val="both"/>
              <w:rPr>
                <w:lang w:val="en-GB" w:eastAsia="en-GB"/>
              </w:rPr>
            </w:pPr>
            <w:r w:rsidRPr="006A40F1">
              <w:rPr>
                <w:lang w:val="en-GB" w:eastAsia="en-GB"/>
              </w:rPr>
              <w:t>10.60%</w:t>
            </w:r>
          </w:p>
        </w:tc>
        <w:tc>
          <w:tcPr>
            <w:tcW w:w="1292" w:type="dxa"/>
            <w:tcBorders>
              <w:top w:val="nil"/>
              <w:left w:val="nil"/>
              <w:bottom w:val="single" w:sz="8" w:space="0" w:color="auto"/>
              <w:right w:val="single" w:sz="8" w:space="0" w:color="auto"/>
            </w:tcBorders>
            <w:shd w:val="clear" w:color="auto" w:fill="auto"/>
            <w:vAlign w:val="center"/>
            <w:hideMark/>
          </w:tcPr>
          <w:p w14:paraId="548CE2F5" w14:textId="77777777" w:rsidR="000643A7" w:rsidRPr="006A40F1" w:rsidRDefault="000643A7" w:rsidP="00554ED6">
            <w:pPr>
              <w:jc w:val="both"/>
              <w:rPr>
                <w:lang w:val="en-GB" w:eastAsia="en-GB"/>
              </w:rPr>
            </w:pPr>
            <w:r w:rsidRPr="006A40F1">
              <w:rPr>
                <w:lang w:val="en-GB" w:eastAsia="en-GB"/>
              </w:rPr>
              <w:t>1.10%</w:t>
            </w:r>
          </w:p>
        </w:tc>
        <w:tc>
          <w:tcPr>
            <w:tcW w:w="1790" w:type="dxa"/>
            <w:tcBorders>
              <w:top w:val="nil"/>
              <w:left w:val="nil"/>
              <w:bottom w:val="single" w:sz="8" w:space="0" w:color="auto"/>
              <w:right w:val="single" w:sz="8" w:space="0" w:color="auto"/>
            </w:tcBorders>
            <w:shd w:val="clear" w:color="auto" w:fill="auto"/>
            <w:vAlign w:val="center"/>
            <w:hideMark/>
          </w:tcPr>
          <w:p w14:paraId="3BEBC0DF" w14:textId="77777777" w:rsidR="000643A7" w:rsidRPr="006A40F1" w:rsidRDefault="000643A7" w:rsidP="00554ED6">
            <w:pPr>
              <w:jc w:val="both"/>
              <w:rPr>
                <w:lang w:val="en-GB" w:eastAsia="en-GB"/>
              </w:rPr>
            </w:pPr>
            <w:r w:rsidRPr="006A40F1">
              <w:rPr>
                <w:lang w:val="en-GB" w:eastAsia="en-GB"/>
              </w:rPr>
              <w:t>-</w:t>
            </w:r>
          </w:p>
        </w:tc>
        <w:tc>
          <w:tcPr>
            <w:tcW w:w="1645" w:type="dxa"/>
            <w:tcBorders>
              <w:top w:val="nil"/>
              <w:left w:val="nil"/>
              <w:bottom w:val="single" w:sz="8" w:space="0" w:color="auto"/>
              <w:right w:val="single" w:sz="8" w:space="0" w:color="auto"/>
            </w:tcBorders>
            <w:shd w:val="clear" w:color="000000" w:fill="D9D9D9"/>
            <w:vAlign w:val="center"/>
            <w:hideMark/>
          </w:tcPr>
          <w:p w14:paraId="5E530C1E" w14:textId="77777777" w:rsidR="000643A7" w:rsidRPr="006A40F1" w:rsidRDefault="000643A7" w:rsidP="00554ED6">
            <w:pPr>
              <w:jc w:val="both"/>
              <w:rPr>
                <w:b/>
                <w:bCs/>
                <w:lang w:val="en-GB" w:eastAsia="en-GB"/>
              </w:rPr>
            </w:pPr>
            <w:r w:rsidRPr="006A40F1">
              <w:rPr>
                <w:b/>
                <w:bCs/>
                <w:lang w:val="en-GB" w:eastAsia="en-GB"/>
              </w:rPr>
              <w:t>2.50%</w:t>
            </w:r>
          </w:p>
        </w:tc>
      </w:tr>
      <w:tr w:rsidR="000643A7" w:rsidRPr="006A40F1" w14:paraId="7EE86D02" w14:textId="77777777" w:rsidTr="00526B10">
        <w:trPr>
          <w:trHeight w:val="1155"/>
          <w:jc w:val="center"/>
        </w:trPr>
        <w:tc>
          <w:tcPr>
            <w:tcW w:w="1883" w:type="dxa"/>
            <w:tcBorders>
              <w:top w:val="nil"/>
              <w:left w:val="single" w:sz="8" w:space="0" w:color="auto"/>
              <w:bottom w:val="single" w:sz="8" w:space="0" w:color="auto"/>
              <w:right w:val="single" w:sz="8" w:space="0" w:color="auto"/>
            </w:tcBorders>
            <w:shd w:val="clear" w:color="auto" w:fill="auto"/>
            <w:vAlign w:val="center"/>
            <w:hideMark/>
          </w:tcPr>
          <w:p w14:paraId="58EC6D6E" w14:textId="77777777" w:rsidR="000643A7" w:rsidRPr="006A40F1" w:rsidRDefault="000643A7" w:rsidP="00554ED6">
            <w:pPr>
              <w:jc w:val="both"/>
              <w:rPr>
                <w:b/>
                <w:bCs/>
                <w:lang w:val="en-GB" w:eastAsia="en-GB"/>
              </w:rPr>
            </w:pPr>
            <w:r w:rsidRPr="006A40F1">
              <w:rPr>
                <w:b/>
                <w:bCs/>
                <w:lang w:val="en-GB" w:eastAsia="en-GB"/>
              </w:rPr>
              <w:t>Fraction of final consumption by sector</w:t>
            </w:r>
          </w:p>
        </w:tc>
        <w:tc>
          <w:tcPr>
            <w:tcW w:w="1550" w:type="dxa"/>
            <w:tcBorders>
              <w:top w:val="nil"/>
              <w:left w:val="nil"/>
              <w:bottom w:val="single" w:sz="8" w:space="0" w:color="auto"/>
              <w:right w:val="single" w:sz="8" w:space="0" w:color="auto"/>
            </w:tcBorders>
            <w:shd w:val="clear" w:color="auto" w:fill="auto"/>
            <w:vAlign w:val="center"/>
            <w:hideMark/>
          </w:tcPr>
          <w:p w14:paraId="012F0788" w14:textId="77777777" w:rsidR="000643A7" w:rsidRPr="006A40F1" w:rsidRDefault="000643A7" w:rsidP="00554ED6">
            <w:pPr>
              <w:jc w:val="both"/>
              <w:rPr>
                <w:b/>
                <w:bCs/>
                <w:lang w:val="en-GB" w:eastAsia="en-GB"/>
              </w:rPr>
            </w:pPr>
            <w:r w:rsidRPr="006A40F1">
              <w:rPr>
                <w:b/>
                <w:bCs/>
                <w:lang w:val="en-GB" w:eastAsia="en-GB"/>
              </w:rPr>
              <w:t>18%</w:t>
            </w:r>
          </w:p>
        </w:tc>
        <w:tc>
          <w:tcPr>
            <w:tcW w:w="1292" w:type="dxa"/>
            <w:tcBorders>
              <w:top w:val="nil"/>
              <w:left w:val="nil"/>
              <w:bottom w:val="single" w:sz="8" w:space="0" w:color="auto"/>
              <w:right w:val="single" w:sz="8" w:space="0" w:color="auto"/>
            </w:tcBorders>
            <w:shd w:val="clear" w:color="auto" w:fill="auto"/>
            <w:vAlign w:val="center"/>
            <w:hideMark/>
          </w:tcPr>
          <w:p w14:paraId="04409579" w14:textId="77777777" w:rsidR="000643A7" w:rsidRPr="006A40F1" w:rsidRDefault="000643A7" w:rsidP="00554ED6">
            <w:pPr>
              <w:jc w:val="both"/>
              <w:rPr>
                <w:b/>
                <w:bCs/>
                <w:lang w:val="en-GB" w:eastAsia="en-GB"/>
              </w:rPr>
            </w:pPr>
            <w:r w:rsidRPr="006A40F1">
              <w:rPr>
                <w:b/>
                <w:bCs/>
                <w:lang w:val="en-GB" w:eastAsia="en-GB"/>
              </w:rPr>
              <w:t>53%</w:t>
            </w:r>
          </w:p>
        </w:tc>
        <w:tc>
          <w:tcPr>
            <w:tcW w:w="1790" w:type="dxa"/>
            <w:tcBorders>
              <w:top w:val="nil"/>
              <w:left w:val="nil"/>
              <w:bottom w:val="single" w:sz="8" w:space="0" w:color="auto"/>
              <w:right w:val="single" w:sz="8" w:space="0" w:color="auto"/>
            </w:tcBorders>
            <w:shd w:val="clear" w:color="auto" w:fill="auto"/>
            <w:vAlign w:val="center"/>
            <w:hideMark/>
          </w:tcPr>
          <w:p w14:paraId="3CB2E4C0" w14:textId="77777777" w:rsidR="000643A7" w:rsidRPr="006A40F1" w:rsidRDefault="000643A7" w:rsidP="00554ED6">
            <w:pPr>
              <w:jc w:val="both"/>
              <w:rPr>
                <w:b/>
                <w:bCs/>
                <w:lang w:val="en-GB" w:eastAsia="en-GB"/>
              </w:rPr>
            </w:pPr>
            <w:r w:rsidRPr="006A40F1">
              <w:rPr>
                <w:b/>
                <w:bCs/>
                <w:lang w:val="en-GB" w:eastAsia="en-GB"/>
              </w:rPr>
              <w:t>29%</w:t>
            </w:r>
          </w:p>
        </w:tc>
        <w:tc>
          <w:tcPr>
            <w:tcW w:w="1645" w:type="dxa"/>
            <w:tcBorders>
              <w:top w:val="nil"/>
              <w:left w:val="nil"/>
              <w:bottom w:val="single" w:sz="8" w:space="0" w:color="auto"/>
              <w:right w:val="single" w:sz="8" w:space="0" w:color="auto"/>
            </w:tcBorders>
            <w:shd w:val="clear" w:color="000000" w:fill="D9D9D9"/>
            <w:vAlign w:val="center"/>
            <w:hideMark/>
          </w:tcPr>
          <w:p w14:paraId="35FE7C04" w14:textId="77777777" w:rsidR="000643A7" w:rsidRPr="006A40F1" w:rsidRDefault="000643A7" w:rsidP="00554ED6">
            <w:pPr>
              <w:jc w:val="both"/>
              <w:rPr>
                <w:b/>
                <w:bCs/>
                <w:lang w:val="en-GB" w:eastAsia="en-GB"/>
              </w:rPr>
            </w:pPr>
            <w:r w:rsidRPr="006A40F1">
              <w:rPr>
                <w:b/>
                <w:bCs/>
                <w:lang w:val="en-GB" w:eastAsia="en-GB"/>
              </w:rPr>
              <w:t>100%</w:t>
            </w:r>
          </w:p>
        </w:tc>
      </w:tr>
    </w:tbl>
    <w:bookmarkEnd w:id="5"/>
    <w:p w14:paraId="4B702B5C" w14:textId="7F77213C" w:rsidR="000643A7" w:rsidRDefault="00526B10" w:rsidP="00554ED6">
      <w:pPr>
        <w:spacing w:line="240" w:lineRule="atLeast"/>
        <w:jc w:val="both"/>
        <w:rPr>
          <w:lang w:val="en-GB"/>
        </w:rPr>
      </w:pPr>
      <w:r w:rsidRPr="006A40F1">
        <w:rPr>
          <w:lang w:val="en-GB"/>
        </w:rPr>
        <w:t>Table 1 – Global energy mix in 2016</w:t>
      </w:r>
    </w:p>
    <w:p w14:paraId="18430724" w14:textId="77777777" w:rsidR="00526B10" w:rsidRPr="006A40F1" w:rsidRDefault="00526B10" w:rsidP="00554ED6">
      <w:pPr>
        <w:spacing w:line="240" w:lineRule="atLeast"/>
        <w:jc w:val="both"/>
        <w:rPr>
          <w:rStyle w:val="Strong"/>
          <w:lang w:val="en-GB"/>
        </w:rPr>
      </w:pPr>
    </w:p>
    <w:p w14:paraId="30237EC8" w14:textId="57B541E9" w:rsidR="000643A7" w:rsidRPr="006A40F1" w:rsidRDefault="000643A7" w:rsidP="00554ED6">
      <w:pPr>
        <w:spacing w:line="240" w:lineRule="atLeast"/>
        <w:ind w:firstLine="270"/>
        <w:jc w:val="both"/>
        <w:rPr>
          <w:bCs/>
          <w:sz w:val="20"/>
          <w:szCs w:val="20"/>
          <w:lang w:val="en-GB"/>
        </w:rPr>
      </w:pPr>
      <w:r w:rsidRPr="006A40F1">
        <w:rPr>
          <w:bCs/>
          <w:sz w:val="20"/>
          <w:szCs w:val="20"/>
          <w:lang w:val="en-GB"/>
        </w:rPr>
        <w:t xml:space="preserve">The electricity sector accounts for approximately 18% of total energy supply, 23.1% of which is supplied with renewable energy. Today’s renewable electricity is 70% supplied via hydroelectric, that is a mature technology. Wind energy represents the 15%, bio-energy 8.4%, solar photovoltaic 5% and geothermal 1.6% of total green energy (IRENA 2018). </w:t>
      </w:r>
      <w:r w:rsidR="00BB1289" w:rsidRPr="006A40F1">
        <w:rPr>
          <w:bCs/>
          <w:sz w:val="20"/>
          <w:szCs w:val="20"/>
          <w:lang w:val="en-GB"/>
        </w:rPr>
        <w:t>Most</w:t>
      </w:r>
      <w:r w:rsidRPr="006A40F1">
        <w:rPr>
          <w:bCs/>
          <w:sz w:val="20"/>
          <w:szCs w:val="20"/>
          <w:lang w:val="en-GB"/>
        </w:rPr>
        <w:t xml:space="preserve"> of the hope for green energy transition rel</w:t>
      </w:r>
      <w:r w:rsidR="005F1530" w:rsidRPr="006A40F1">
        <w:rPr>
          <w:bCs/>
          <w:sz w:val="20"/>
          <w:szCs w:val="20"/>
          <w:lang w:val="en-GB"/>
        </w:rPr>
        <w:t>ies</w:t>
      </w:r>
      <w:r w:rsidRPr="006A40F1">
        <w:rPr>
          <w:bCs/>
          <w:sz w:val="20"/>
          <w:szCs w:val="20"/>
          <w:lang w:val="en-GB"/>
        </w:rPr>
        <w:t xml:space="preserve"> on the exponential growth of solar and wind energy technology to supply the electricity necessary to also </w:t>
      </w:r>
      <w:r w:rsidRPr="006A40F1">
        <w:rPr>
          <w:bCs/>
          <w:sz w:val="20"/>
          <w:szCs w:val="20"/>
          <w:lang w:val="en-GB"/>
        </w:rPr>
        <w:lastRenderedPageBreak/>
        <w:t>sustain the global transportation and heating energy supply. As these data show, these two sectors represent</w:t>
      </w:r>
      <w:r w:rsidR="002A6ADB" w:rsidRPr="006A40F1">
        <w:rPr>
          <w:bCs/>
          <w:sz w:val="20"/>
          <w:szCs w:val="20"/>
          <w:lang w:val="en-GB"/>
        </w:rPr>
        <w:t>ed</w:t>
      </w:r>
      <w:r w:rsidRPr="006A40F1">
        <w:rPr>
          <w:bCs/>
          <w:sz w:val="20"/>
          <w:szCs w:val="20"/>
          <w:lang w:val="en-GB"/>
        </w:rPr>
        <w:t xml:space="preserve"> 0.8% of the total energy supply</w:t>
      </w:r>
      <w:r w:rsidR="002A6ADB" w:rsidRPr="006A40F1">
        <w:rPr>
          <w:bCs/>
          <w:sz w:val="20"/>
          <w:szCs w:val="20"/>
          <w:lang w:val="en-GB"/>
        </w:rPr>
        <w:t xml:space="preserve"> in 2016</w:t>
      </w:r>
      <w:r w:rsidRPr="006A40F1">
        <w:rPr>
          <w:bCs/>
          <w:sz w:val="20"/>
          <w:szCs w:val="20"/>
          <w:lang w:val="en-GB"/>
        </w:rPr>
        <w:t>.</w:t>
      </w:r>
    </w:p>
    <w:p w14:paraId="5CC39DE4" w14:textId="77777777" w:rsidR="000643A7" w:rsidRPr="006A40F1" w:rsidRDefault="000643A7" w:rsidP="00554ED6">
      <w:pPr>
        <w:spacing w:line="240" w:lineRule="atLeast"/>
        <w:ind w:firstLine="270"/>
        <w:jc w:val="both"/>
        <w:rPr>
          <w:bCs/>
          <w:sz w:val="20"/>
          <w:szCs w:val="20"/>
          <w:lang w:val="en-GB"/>
        </w:rPr>
      </w:pPr>
    </w:p>
    <w:p w14:paraId="578D087F" w14:textId="02F343C8" w:rsidR="000643A7" w:rsidRPr="006A40F1" w:rsidRDefault="000643A7" w:rsidP="00554ED6">
      <w:pPr>
        <w:spacing w:line="240" w:lineRule="atLeast"/>
        <w:ind w:firstLine="270"/>
        <w:jc w:val="both"/>
        <w:rPr>
          <w:bCs/>
          <w:sz w:val="20"/>
          <w:szCs w:val="20"/>
          <w:lang w:val="en-GB"/>
        </w:rPr>
      </w:pPr>
      <w:r w:rsidRPr="00AC448F">
        <w:rPr>
          <w:bCs/>
          <w:sz w:val="20"/>
          <w:szCs w:val="20"/>
          <w:lang w:val="en-GB"/>
        </w:rPr>
        <w:t xml:space="preserve">In fact, the 26.2% </w:t>
      </w:r>
      <w:r w:rsidR="00AF1614" w:rsidRPr="00AC448F">
        <w:rPr>
          <w:bCs/>
          <w:sz w:val="20"/>
          <w:szCs w:val="20"/>
          <w:lang w:val="en-GB"/>
        </w:rPr>
        <w:t xml:space="preserve">of total heating energy consumption is </w:t>
      </w:r>
      <w:r w:rsidRPr="00AC448F">
        <w:rPr>
          <w:bCs/>
          <w:sz w:val="20"/>
          <w:szCs w:val="20"/>
          <w:lang w:val="en-GB"/>
        </w:rPr>
        <w:t>represented by renewable energy</w:t>
      </w:r>
      <w:r w:rsidR="00AF1614" w:rsidRPr="00AC448F">
        <w:rPr>
          <w:bCs/>
          <w:sz w:val="20"/>
          <w:szCs w:val="20"/>
          <w:lang w:val="en-GB"/>
        </w:rPr>
        <w:t xml:space="preserve">. However, 90% of this latter comes from the combustion of </w:t>
      </w:r>
      <w:r w:rsidRPr="00AC448F">
        <w:rPr>
          <w:bCs/>
          <w:sz w:val="20"/>
          <w:szCs w:val="20"/>
          <w:lang w:val="en-GB"/>
        </w:rPr>
        <w:t xml:space="preserve"> traditional bio-mass and of timber in developing and underdeveloped countries (IEA 2017).</w:t>
      </w:r>
      <w:r w:rsidRPr="006A40F1">
        <w:rPr>
          <w:bCs/>
          <w:sz w:val="20"/>
          <w:szCs w:val="20"/>
          <w:lang w:val="en-GB"/>
        </w:rPr>
        <w:t xml:space="preserve"> The sustainable development goals (UN 2019) show that indoor air pollution in low income countries is the second largest cause of death after HIV due to the inadequate ventilation for cooking and heating. The rest of heating supply from renewables is represented with 2.1% coming from solar finding applications in household heating at low temperatures, 0.5% from geothermal, and 6.1% from modern biomass plants (REN21 2018). </w:t>
      </w:r>
    </w:p>
    <w:p w14:paraId="588BD3B7" w14:textId="77777777" w:rsidR="000643A7" w:rsidRPr="006A40F1" w:rsidRDefault="000643A7" w:rsidP="00554ED6">
      <w:pPr>
        <w:spacing w:line="240" w:lineRule="atLeast"/>
        <w:ind w:firstLine="270"/>
        <w:jc w:val="both"/>
        <w:rPr>
          <w:bCs/>
          <w:sz w:val="20"/>
          <w:szCs w:val="20"/>
          <w:lang w:val="en-GB"/>
        </w:rPr>
      </w:pPr>
    </w:p>
    <w:p w14:paraId="0745FCAF" w14:textId="2BD0A9DC" w:rsidR="000643A7" w:rsidRPr="006A40F1" w:rsidRDefault="000643A7" w:rsidP="00554ED6">
      <w:pPr>
        <w:spacing w:line="240" w:lineRule="atLeast"/>
        <w:ind w:firstLine="270"/>
        <w:jc w:val="both"/>
        <w:rPr>
          <w:bCs/>
          <w:sz w:val="20"/>
          <w:szCs w:val="20"/>
          <w:lang w:val="en-GB"/>
        </w:rPr>
      </w:pPr>
      <w:r w:rsidRPr="006A40F1">
        <w:rPr>
          <w:bCs/>
          <w:sz w:val="20"/>
          <w:szCs w:val="20"/>
          <w:lang w:val="en-GB"/>
        </w:rPr>
        <w:t xml:space="preserve">The transportation sector is mostly run with oil, and a tiny 3% divided between 2.85% in modern biofuels and 0.15% in electric vehicles (IEA 2017). The transportation sector can be further divided in 76% represented by road vehicles, 12% marine, 11% avionic, and 2% rail sector. (REN21 2018). </w:t>
      </w:r>
      <w:r w:rsidR="003A6F8A" w:rsidRPr="006A40F1">
        <w:rPr>
          <w:bCs/>
          <w:sz w:val="20"/>
          <w:szCs w:val="20"/>
          <w:lang w:val="en-GB"/>
        </w:rPr>
        <w:t>The</w:t>
      </w:r>
      <w:r w:rsidRPr="006A40F1">
        <w:rPr>
          <w:bCs/>
          <w:sz w:val="20"/>
          <w:szCs w:val="20"/>
          <w:lang w:val="en-GB"/>
        </w:rPr>
        <w:t xml:space="preserve"> transportation sector </w:t>
      </w:r>
      <w:r w:rsidR="003A6F8A" w:rsidRPr="006A40F1">
        <w:rPr>
          <w:bCs/>
          <w:sz w:val="20"/>
          <w:szCs w:val="20"/>
          <w:lang w:val="en-GB"/>
        </w:rPr>
        <w:t xml:space="preserve">being responsible for </w:t>
      </w:r>
      <w:r w:rsidRPr="006A40F1">
        <w:rPr>
          <w:bCs/>
          <w:sz w:val="20"/>
          <w:szCs w:val="20"/>
          <w:lang w:val="en-GB"/>
        </w:rPr>
        <w:t xml:space="preserve">approximately one third of total emissions from energy, it is possible to say that today’s avionic correspond to approximately 3.2%, marine 3.5% and road transport is 22% of carbon emissions from energy. </w:t>
      </w:r>
    </w:p>
    <w:p w14:paraId="6934A32C" w14:textId="77777777" w:rsidR="000643A7" w:rsidRPr="006A40F1" w:rsidRDefault="000643A7" w:rsidP="00554ED6">
      <w:pPr>
        <w:spacing w:line="240" w:lineRule="atLeast"/>
        <w:ind w:firstLine="270"/>
        <w:jc w:val="both"/>
        <w:rPr>
          <w:bCs/>
          <w:sz w:val="20"/>
          <w:szCs w:val="20"/>
          <w:lang w:val="en-GB"/>
        </w:rPr>
      </w:pPr>
    </w:p>
    <w:p w14:paraId="22FB79F4" w14:textId="46761494" w:rsidR="000643A7" w:rsidRDefault="000643A7" w:rsidP="00554ED6">
      <w:pPr>
        <w:spacing w:line="240" w:lineRule="atLeast"/>
        <w:ind w:firstLine="270"/>
        <w:jc w:val="both"/>
        <w:rPr>
          <w:bCs/>
          <w:sz w:val="20"/>
          <w:szCs w:val="20"/>
          <w:lang w:val="en-GB"/>
        </w:rPr>
      </w:pPr>
      <w:r w:rsidRPr="006A40F1">
        <w:rPr>
          <w:bCs/>
          <w:sz w:val="20"/>
          <w:szCs w:val="20"/>
          <w:lang w:val="en-GB"/>
        </w:rPr>
        <w:t>While exponential growth of the global economy appears to be a challenge to economic sustainability, the exponential growth of the green energy sector seems to be a major hope on the way to sustainability. Of course, exponential growth will always find limits, coming both from the social and the environmental sphere, making it an unprecedented challenge to be faced by businesses seeking profit while addressing environmental sustainability.</w:t>
      </w:r>
    </w:p>
    <w:p w14:paraId="3B0057D2" w14:textId="77777777" w:rsidR="00DE2F81" w:rsidRPr="006A40F1" w:rsidRDefault="00DE2F81" w:rsidP="00554ED6">
      <w:pPr>
        <w:spacing w:line="240" w:lineRule="atLeast"/>
        <w:ind w:firstLine="270"/>
        <w:jc w:val="both"/>
        <w:rPr>
          <w:bCs/>
          <w:sz w:val="20"/>
          <w:szCs w:val="20"/>
          <w:lang w:val="en-GB"/>
        </w:rPr>
      </w:pPr>
    </w:p>
    <w:p w14:paraId="2CBFB1D0" w14:textId="77777777" w:rsidR="000643A7" w:rsidRPr="006A40F1" w:rsidRDefault="000643A7" w:rsidP="00554ED6">
      <w:pPr>
        <w:spacing w:line="240" w:lineRule="atLeast"/>
        <w:ind w:firstLine="270"/>
        <w:jc w:val="both"/>
        <w:rPr>
          <w:bCs/>
          <w:sz w:val="20"/>
          <w:szCs w:val="20"/>
          <w:lang w:val="en-GB"/>
        </w:rPr>
      </w:pPr>
    </w:p>
    <w:p w14:paraId="4B528C38" w14:textId="436194BD" w:rsidR="000643A7" w:rsidRDefault="00DE2F81" w:rsidP="00DE2F81">
      <w:pPr>
        <w:pStyle w:val="Heading1"/>
      </w:pPr>
      <w:r>
        <w:t xml:space="preserve">7. </w:t>
      </w:r>
      <w:r w:rsidR="000643A7" w:rsidRPr="006A40F1">
        <w:t>Sustainable Development Goals and growth</w:t>
      </w:r>
    </w:p>
    <w:p w14:paraId="1193E111" w14:textId="77777777" w:rsidR="00DE2F81" w:rsidRPr="00DE2F81" w:rsidRDefault="00DE2F81" w:rsidP="00DE2F81">
      <w:pPr>
        <w:rPr>
          <w:lang w:val="en-GB"/>
        </w:rPr>
      </w:pPr>
    </w:p>
    <w:p w14:paraId="1E0561D7" w14:textId="7F07F5E0" w:rsidR="000643A7" w:rsidRPr="006A40F1" w:rsidRDefault="002A6ADB" w:rsidP="00554ED6">
      <w:pPr>
        <w:spacing w:line="240" w:lineRule="atLeast"/>
        <w:ind w:firstLine="270"/>
        <w:jc w:val="both"/>
        <w:rPr>
          <w:sz w:val="20"/>
          <w:szCs w:val="20"/>
          <w:lang w:val="en-GB"/>
        </w:rPr>
      </w:pPr>
      <w:r w:rsidRPr="006A40F1">
        <w:rPr>
          <w:sz w:val="20"/>
          <w:szCs w:val="20"/>
          <w:lang w:val="en-GB"/>
        </w:rPr>
        <w:t>T</w:t>
      </w:r>
      <w:r w:rsidR="000643A7" w:rsidRPr="006A40F1">
        <w:rPr>
          <w:sz w:val="20"/>
          <w:szCs w:val="20"/>
          <w:lang w:val="en-GB"/>
        </w:rPr>
        <w:t>he definition of the +2 degrees climate target at COP21</w:t>
      </w:r>
      <w:r w:rsidRPr="006A40F1">
        <w:rPr>
          <w:sz w:val="20"/>
          <w:szCs w:val="20"/>
          <w:lang w:val="en-GB"/>
        </w:rPr>
        <w:t>, and the update of the Millennium Development Goals to the seventeen Sustainable Development Goals (SDGs) (UN 2019)</w:t>
      </w:r>
      <w:r w:rsidR="000643A7" w:rsidRPr="006A40F1">
        <w:rPr>
          <w:sz w:val="20"/>
          <w:szCs w:val="20"/>
          <w:lang w:val="en-GB"/>
        </w:rPr>
        <w:t xml:space="preserve">, </w:t>
      </w:r>
      <w:r w:rsidRPr="006A40F1">
        <w:rPr>
          <w:sz w:val="20"/>
          <w:szCs w:val="20"/>
          <w:lang w:val="en-GB"/>
        </w:rPr>
        <w:t xml:space="preserve">make the year </w:t>
      </w:r>
      <w:r w:rsidR="000643A7" w:rsidRPr="006A40F1">
        <w:rPr>
          <w:sz w:val="20"/>
          <w:szCs w:val="20"/>
          <w:lang w:val="en-GB"/>
        </w:rPr>
        <w:t xml:space="preserve">2015 an important </w:t>
      </w:r>
      <w:r w:rsidRPr="006A40F1">
        <w:rPr>
          <w:sz w:val="20"/>
          <w:szCs w:val="20"/>
          <w:lang w:val="en-GB"/>
        </w:rPr>
        <w:t>one</w:t>
      </w:r>
      <w:r w:rsidR="000643A7" w:rsidRPr="006A40F1">
        <w:rPr>
          <w:sz w:val="20"/>
          <w:szCs w:val="20"/>
          <w:lang w:val="en-GB"/>
        </w:rPr>
        <w:t xml:space="preserve"> for sustainability. The SDGs are a complex set of indicators that, if used correctly, can support the transition towards a sustainable economy. The aim of the SDGs is to provide balance in the world society, demanding governments, businesses and citizens to act in synergy toward the best performance of all of them. Ideally, each organization should target the larger number of SDGs simultaneously, since that targeting single indicators might result in under-performance on the others.</w:t>
      </w:r>
    </w:p>
    <w:p w14:paraId="6F708B15" w14:textId="77777777" w:rsidR="002A6ADB" w:rsidRPr="006A40F1" w:rsidRDefault="002A6ADB" w:rsidP="00554ED6">
      <w:pPr>
        <w:spacing w:line="240" w:lineRule="atLeast"/>
        <w:ind w:firstLine="270"/>
        <w:jc w:val="both"/>
        <w:rPr>
          <w:sz w:val="20"/>
          <w:szCs w:val="20"/>
          <w:lang w:val="en-GB"/>
        </w:rPr>
      </w:pPr>
    </w:p>
    <w:p w14:paraId="200EE710" w14:textId="1735D5E7" w:rsidR="000643A7" w:rsidRDefault="000643A7" w:rsidP="00554ED6">
      <w:pPr>
        <w:spacing w:line="240" w:lineRule="atLeast"/>
        <w:ind w:firstLine="270"/>
        <w:jc w:val="both"/>
        <w:rPr>
          <w:sz w:val="20"/>
          <w:szCs w:val="20"/>
          <w:lang w:val="en-GB"/>
        </w:rPr>
      </w:pPr>
      <w:r w:rsidRPr="006A40F1">
        <w:rPr>
          <w:sz w:val="20"/>
          <w:szCs w:val="20"/>
          <w:lang w:val="en-GB"/>
        </w:rPr>
        <w:t xml:space="preserve">For example, if an organization </w:t>
      </w:r>
      <w:r w:rsidR="005023D4" w:rsidRPr="006A40F1">
        <w:rPr>
          <w:sz w:val="20"/>
          <w:szCs w:val="20"/>
          <w:lang w:val="en-GB"/>
        </w:rPr>
        <w:t>should</w:t>
      </w:r>
      <w:r w:rsidRPr="006A40F1">
        <w:rPr>
          <w:sz w:val="20"/>
          <w:szCs w:val="20"/>
          <w:lang w:val="en-GB"/>
        </w:rPr>
        <w:t xml:space="preserve"> decide to target the indicator 8 only (sustainable and inclusive growth and decent jobs), this might result in no impact to sustainability at all. In fact, targeting growth without considering the others would correspond to act in business as usual condition along the way. </w:t>
      </w:r>
      <w:r w:rsidR="006C4E09" w:rsidRPr="006A40F1">
        <w:rPr>
          <w:sz w:val="20"/>
          <w:szCs w:val="20"/>
          <w:lang w:val="en-GB"/>
        </w:rPr>
        <w:t>While</w:t>
      </w:r>
      <w:r w:rsidR="0018401F" w:rsidRPr="006A40F1">
        <w:rPr>
          <w:sz w:val="20"/>
          <w:szCs w:val="20"/>
          <w:lang w:val="en-GB"/>
        </w:rPr>
        <w:t>,</w:t>
      </w:r>
      <w:r w:rsidR="006C4E09" w:rsidRPr="006A40F1">
        <w:rPr>
          <w:sz w:val="20"/>
          <w:szCs w:val="20"/>
          <w:lang w:val="en-GB"/>
        </w:rPr>
        <w:t xml:space="preserve"> on</w:t>
      </w:r>
      <w:r w:rsidRPr="006A40F1">
        <w:rPr>
          <w:sz w:val="20"/>
          <w:szCs w:val="20"/>
          <w:lang w:val="en-GB"/>
        </w:rPr>
        <w:t xml:space="preserve"> the other hand, approaching </w:t>
      </w:r>
      <w:r w:rsidR="00BA5DC4" w:rsidRPr="006A40F1">
        <w:rPr>
          <w:sz w:val="20"/>
          <w:szCs w:val="20"/>
          <w:lang w:val="en-GB"/>
        </w:rPr>
        <w:t>simultaneously indicators</w:t>
      </w:r>
      <w:r w:rsidRPr="006A40F1">
        <w:rPr>
          <w:sz w:val="20"/>
          <w:szCs w:val="20"/>
          <w:lang w:val="en-GB"/>
        </w:rPr>
        <w:t xml:space="preserve"> 13, 14 and 15 (climate action, life below water and life of land respectively)</w:t>
      </w:r>
      <w:r w:rsidR="00B87153" w:rsidRPr="006A40F1">
        <w:rPr>
          <w:sz w:val="20"/>
          <w:szCs w:val="20"/>
          <w:lang w:val="en-GB"/>
        </w:rPr>
        <w:t>,</w:t>
      </w:r>
      <w:r w:rsidRPr="006A40F1">
        <w:rPr>
          <w:sz w:val="20"/>
          <w:szCs w:val="20"/>
          <w:lang w:val="en-GB"/>
        </w:rPr>
        <w:t xml:space="preserve"> </w:t>
      </w:r>
      <w:r w:rsidR="00550DCF" w:rsidRPr="006A40F1">
        <w:rPr>
          <w:sz w:val="20"/>
          <w:szCs w:val="20"/>
          <w:lang w:val="en-GB"/>
        </w:rPr>
        <w:t xml:space="preserve">this </w:t>
      </w:r>
      <w:r w:rsidRPr="006A40F1">
        <w:rPr>
          <w:sz w:val="20"/>
          <w:szCs w:val="20"/>
          <w:lang w:val="en-GB"/>
        </w:rPr>
        <w:t xml:space="preserve">would require </w:t>
      </w:r>
      <w:r w:rsidR="002A3EC1" w:rsidRPr="006A40F1">
        <w:rPr>
          <w:sz w:val="20"/>
          <w:szCs w:val="20"/>
          <w:lang w:val="en-GB"/>
        </w:rPr>
        <w:t xml:space="preserve"> thinking </w:t>
      </w:r>
      <w:r w:rsidRPr="006A40F1">
        <w:rPr>
          <w:sz w:val="20"/>
          <w:szCs w:val="20"/>
          <w:lang w:val="en-GB"/>
        </w:rPr>
        <w:t>carefully about the maximum synergy possible between the planetary boundaries framework and economic growth, leading toward a more meaningful use of the indicators.</w:t>
      </w:r>
    </w:p>
    <w:p w14:paraId="075BC4C1" w14:textId="77777777" w:rsidR="00DE2F81" w:rsidRPr="006A40F1" w:rsidRDefault="00DE2F81" w:rsidP="00554ED6">
      <w:pPr>
        <w:spacing w:line="240" w:lineRule="atLeast"/>
        <w:ind w:firstLine="270"/>
        <w:jc w:val="both"/>
        <w:rPr>
          <w:sz w:val="20"/>
          <w:szCs w:val="20"/>
          <w:lang w:val="en-GB"/>
        </w:rPr>
      </w:pPr>
    </w:p>
    <w:p w14:paraId="2A85CBD4" w14:textId="69E94B92" w:rsidR="000643A7" w:rsidRPr="006A40F1" w:rsidRDefault="000643A7" w:rsidP="00554ED6">
      <w:pPr>
        <w:spacing w:line="240" w:lineRule="atLeast"/>
        <w:ind w:firstLine="270"/>
        <w:jc w:val="both"/>
        <w:rPr>
          <w:sz w:val="20"/>
          <w:szCs w:val="20"/>
          <w:lang w:val="en-GB"/>
        </w:rPr>
      </w:pPr>
    </w:p>
    <w:p w14:paraId="0E61ABE7" w14:textId="0B9E6141" w:rsidR="00DE2F81" w:rsidRPr="00DE2F81" w:rsidRDefault="00DE2F81" w:rsidP="00DE2F81">
      <w:pPr>
        <w:pStyle w:val="Heading1"/>
        <w:rPr>
          <w:bCs/>
        </w:rPr>
      </w:pPr>
      <w:r w:rsidRPr="00DE2F81">
        <w:rPr>
          <w:rStyle w:val="Strong"/>
          <w:b/>
          <w:bCs/>
        </w:rPr>
        <w:t xml:space="preserve">8. </w:t>
      </w:r>
      <w:r w:rsidR="000643A7" w:rsidRPr="00DE2F81">
        <w:rPr>
          <w:rStyle w:val="Strong"/>
          <w:b/>
          <w:bCs/>
        </w:rPr>
        <w:t>What should a corporate do for running a sustainable business today?</w:t>
      </w:r>
    </w:p>
    <w:p w14:paraId="4E62158F" w14:textId="44A89AB1" w:rsidR="000643A7" w:rsidRPr="006A40F1" w:rsidRDefault="000643A7" w:rsidP="00554ED6">
      <w:pPr>
        <w:spacing w:line="240" w:lineRule="atLeast"/>
        <w:ind w:firstLine="270"/>
        <w:jc w:val="both"/>
        <w:rPr>
          <w:sz w:val="20"/>
          <w:szCs w:val="20"/>
          <w:lang w:val="en-GB"/>
        </w:rPr>
      </w:pPr>
      <w:r w:rsidRPr="006A40F1">
        <w:rPr>
          <w:sz w:val="20"/>
          <w:szCs w:val="20"/>
          <w:lang w:val="en-GB"/>
        </w:rPr>
        <w:t xml:space="preserve">Short-term focused business </w:t>
      </w:r>
      <w:r w:rsidR="009A3E3B" w:rsidRPr="006A40F1">
        <w:rPr>
          <w:sz w:val="20"/>
          <w:szCs w:val="20"/>
          <w:lang w:val="en-GB"/>
        </w:rPr>
        <w:t>as usual</w:t>
      </w:r>
      <w:r w:rsidR="00EE4DE6" w:rsidRPr="006A40F1">
        <w:rPr>
          <w:sz w:val="20"/>
          <w:szCs w:val="20"/>
          <w:lang w:val="en-GB"/>
        </w:rPr>
        <w:t xml:space="preserve"> </w:t>
      </w:r>
      <w:r w:rsidRPr="006A40F1">
        <w:rPr>
          <w:sz w:val="20"/>
          <w:szCs w:val="20"/>
          <w:lang w:val="en-GB"/>
        </w:rPr>
        <w:t>growth of the past fifty years has gradually created wealth in the global economy, while causing concern for the future generations that must deal with sustainable challenge as a short-term issue today. The way of thinking of the past must be changed to perform well in this challenge, and must be approached in synergy between managers, policy makers and scientists along the way. System thinking and appreciation of complex systems science to approach these problems is a way to change the mindset required to deal with such a set of issues.</w:t>
      </w:r>
    </w:p>
    <w:p w14:paraId="23E1DB9A" w14:textId="77777777" w:rsidR="000643A7" w:rsidRPr="006A40F1" w:rsidRDefault="000643A7" w:rsidP="00554ED6">
      <w:pPr>
        <w:spacing w:line="240" w:lineRule="atLeast"/>
        <w:ind w:firstLine="270"/>
        <w:jc w:val="both"/>
        <w:rPr>
          <w:sz w:val="20"/>
          <w:szCs w:val="20"/>
          <w:lang w:val="en-GB"/>
        </w:rPr>
      </w:pPr>
    </w:p>
    <w:p w14:paraId="2AB275D1" w14:textId="1A9831A5" w:rsidR="000643A7" w:rsidRPr="006A40F1" w:rsidRDefault="000643A7" w:rsidP="00554ED6">
      <w:pPr>
        <w:spacing w:line="240" w:lineRule="atLeast"/>
        <w:ind w:firstLine="270"/>
        <w:jc w:val="both"/>
        <w:rPr>
          <w:sz w:val="20"/>
          <w:szCs w:val="20"/>
          <w:lang w:val="en-GB"/>
        </w:rPr>
      </w:pPr>
      <w:r w:rsidRPr="006A40F1">
        <w:rPr>
          <w:sz w:val="20"/>
          <w:szCs w:val="20"/>
          <w:lang w:val="en-GB"/>
        </w:rPr>
        <w:t xml:space="preserve">Pasqualino et al (2015) has shown that the concern of the Limits to Growth with exponential growth in a finite planet could </w:t>
      </w:r>
      <w:r w:rsidR="002A6ADB" w:rsidRPr="006A40F1">
        <w:rPr>
          <w:sz w:val="20"/>
          <w:szCs w:val="20"/>
          <w:lang w:val="en-GB"/>
        </w:rPr>
        <w:t xml:space="preserve">still holds true today. However, Pasqualino et al. (2015) also showed </w:t>
      </w:r>
      <w:r w:rsidRPr="006A40F1">
        <w:rPr>
          <w:sz w:val="20"/>
          <w:szCs w:val="20"/>
          <w:lang w:val="en-GB"/>
        </w:rPr>
        <w:t xml:space="preserve">that the overall economic system has developed better than expected creating more wealth with the services sector rather than just material industrial growth. This is a positive trend of growth, and businesses should aim to outperform on this activity in the future. </w:t>
      </w:r>
    </w:p>
    <w:p w14:paraId="1B5EA8B9" w14:textId="77777777" w:rsidR="000643A7" w:rsidRPr="006A40F1" w:rsidRDefault="000643A7" w:rsidP="00554ED6">
      <w:pPr>
        <w:spacing w:line="240" w:lineRule="atLeast"/>
        <w:ind w:firstLine="270"/>
        <w:jc w:val="both"/>
        <w:rPr>
          <w:sz w:val="20"/>
          <w:szCs w:val="20"/>
          <w:lang w:val="en-GB"/>
        </w:rPr>
      </w:pPr>
    </w:p>
    <w:p w14:paraId="197B73DC" w14:textId="4CF33D7D" w:rsidR="000643A7" w:rsidRPr="006A40F1" w:rsidRDefault="000643A7" w:rsidP="00554ED6">
      <w:pPr>
        <w:spacing w:line="240" w:lineRule="atLeast"/>
        <w:ind w:firstLine="270"/>
        <w:jc w:val="both"/>
        <w:rPr>
          <w:sz w:val="20"/>
          <w:szCs w:val="20"/>
          <w:lang w:val="en-GB"/>
        </w:rPr>
      </w:pPr>
      <w:r w:rsidRPr="006A40F1">
        <w:rPr>
          <w:sz w:val="20"/>
          <w:szCs w:val="20"/>
          <w:lang w:val="en-GB"/>
        </w:rPr>
        <w:t>On the other hand, constraints to the limits to growth mission are also presented as elements that form the foundation of our economic and financial system. These include the debt money system, the use of interest rates as risk assessment metric, the functioning of financial markets and the importance of pension funds in shaping long term investment towards global sustainability. Productivity growth and technology development in the past fifty years ha</w:t>
      </w:r>
      <w:r w:rsidR="002A6ADB" w:rsidRPr="006A40F1">
        <w:rPr>
          <w:sz w:val="20"/>
          <w:szCs w:val="20"/>
          <w:lang w:val="en-GB"/>
        </w:rPr>
        <w:t>ve</w:t>
      </w:r>
      <w:r w:rsidRPr="006A40F1">
        <w:rPr>
          <w:sz w:val="20"/>
          <w:szCs w:val="20"/>
          <w:lang w:val="en-GB"/>
        </w:rPr>
        <w:t xml:space="preserve"> partially helped in dealing with world limits, and still remain an engine for wealth creation, despite not being sufficient to </w:t>
      </w:r>
      <w:r w:rsidR="002A6ADB" w:rsidRPr="006A40F1">
        <w:rPr>
          <w:sz w:val="20"/>
          <w:szCs w:val="20"/>
          <w:lang w:val="en-GB"/>
        </w:rPr>
        <w:t>stop</w:t>
      </w:r>
      <w:r w:rsidRPr="006A40F1">
        <w:rPr>
          <w:sz w:val="20"/>
          <w:szCs w:val="20"/>
          <w:lang w:val="en-GB"/>
        </w:rPr>
        <w:t xml:space="preserve"> damag</w:t>
      </w:r>
      <w:r w:rsidR="002A6ADB" w:rsidRPr="006A40F1">
        <w:rPr>
          <w:sz w:val="20"/>
          <w:szCs w:val="20"/>
          <w:lang w:val="en-GB"/>
        </w:rPr>
        <w:t>ing</w:t>
      </w:r>
      <w:r w:rsidRPr="006A40F1">
        <w:rPr>
          <w:sz w:val="20"/>
          <w:szCs w:val="20"/>
          <w:lang w:val="en-GB"/>
        </w:rPr>
        <w:t xml:space="preserve"> ecosystems to date. While population grows in the areas of the world that will be most impacted by the negative consequences of approaching global environmental limits, concern</w:t>
      </w:r>
      <w:r w:rsidR="00B3658B" w:rsidRPr="006A40F1">
        <w:rPr>
          <w:sz w:val="20"/>
          <w:szCs w:val="20"/>
          <w:lang w:val="en-GB"/>
        </w:rPr>
        <w:t>s</w:t>
      </w:r>
      <w:r w:rsidRPr="006A40F1">
        <w:rPr>
          <w:sz w:val="20"/>
          <w:szCs w:val="20"/>
          <w:lang w:val="en-GB"/>
        </w:rPr>
        <w:t xml:space="preserve"> emerge around the areas of food security and mobility of people in the safe areas of the planet</w:t>
      </w:r>
      <w:r w:rsidR="00B3658B" w:rsidRPr="006A40F1">
        <w:rPr>
          <w:sz w:val="20"/>
          <w:szCs w:val="20"/>
          <w:lang w:val="en-GB"/>
        </w:rPr>
        <w:t>. These include</w:t>
      </w:r>
      <w:r w:rsidRPr="006A40F1">
        <w:rPr>
          <w:sz w:val="20"/>
          <w:szCs w:val="20"/>
          <w:lang w:val="en-GB"/>
        </w:rPr>
        <w:t xml:space="preserve"> the rise of social response with likely increase in populism and conflicts worldwide. </w:t>
      </w:r>
    </w:p>
    <w:p w14:paraId="301890AC" w14:textId="77777777" w:rsidR="000643A7" w:rsidRPr="006A40F1" w:rsidRDefault="000643A7" w:rsidP="00554ED6">
      <w:pPr>
        <w:spacing w:line="240" w:lineRule="atLeast"/>
        <w:ind w:firstLine="270"/>
        <w:jc w:val="both"/>
        <w:rPr>
          <w:sz w:val="20"/>
          <w:szCs w:val="20"/>
          <w:lang w:val="en-GB"/>
        </w:rPr>
      </w:pPr>
    </w:p>
    <w:p w14:paraId="3972D07B" w14:textId="78D0FEBF" w:rsidR="000643A7" w:rsidRPr="006A40F1" w:rsidRDefault="000643A7" w:rsidP="00554ED6">
      <w:pPr>
        <w:spacing w:line="240" w:lineRule="atLeast"/>
        <w:ind w:firstLine="270"/>
        <w:jc w:val="both"/>
        <w:rPr>
          <w:sz w:val="20"/>
          <w:szCs w:val="20"/>
          <w:lang w:val="en-GB"/>
        </w:rPr>
      </w:pPr>
      <w:r w:rsidRPr="006A40F1">
        <w:rPr>
          <w:sz w:val="20"/>
          <w:szCs w:val="20"/>
          <w:lang w:val="en-GB"/>
        </w:rPr>
        <w:t>The limits of fossil fuels and agriculture have been proposed in light of recent literature, together with the climate problem, and the overall frame of the planetary boundaries report. These shows how the challenge ahead is a complex issue, that require</w:t>
      </w:r>
      <w:r w:rsidR="00B64BA3" w:rsidRPr="006A40F1">
        <w:rPr>
          <w:sz w:val="20"/>
          <w:szCs w:val="20"/>
          <w:lang w:val="en-GB"/>
        </w:rPr>
        <w:t>s</w:t>
      </w:r>
      <w:r w:rsidRPr="006A40F1">
        <w:rPr>
          <w:sz w:val="20"/>
          <w:szCs w:val="20"/>
          <w:lang w:val="en-GB"/>
        </w:rPr>
        <w:t xml:space="preserve"> an important synergy between public and private sectors. The Sustainable Development Goals have been presented as a good complex system tool to approach this transition, and corporate bias</w:t>
      </w:r>
      <w:r w:rsidR="00B3658B" w:rsidRPr="006A40F1">
        <w:rPr>
          <w:sz w:val="20"/>
          <w:szCs w:val="20"/>
          <w:lang w:val="en-GB"/>
        </w:rPr>
        <w:t>es</w:t>
      </w:r>
      <w:r w:rsidRPr="006A40F1">
        <w:rPr>
          <w:sz w:val="20"/>
          <w:szCs w:val="20"/>
          <w:lang w:val="en-GB"/>
        </w:rPr>
        <w:t xml:space="preserve"> to </w:t>
      </w:r>
      <w:r w:rsidR="00B3658B" w:rsidRPr="006A40F1">
        <w:rPr>
          <w:sz w:val="20"/>
          <w:szCs w:val="20"/>
          <w:lang w:val="en-GB"/>
        </w:rPr>
        <w:t>support the correct use of these indicators have been</w:t>
      </w:r>
      <w:r w:rsidRPr="006A40F1">
        <w:rPr>
          <w:sz w:val="20"/>
          <w:szCs w:val="20"/>
          <w:lang w:val="en-GB"/>
        </w:rPr>
        <w:t xml:space="preserve"> highlighted.</w:t>
      </w:r>
    </w:p>
    <w:p w14:paraId="04B4C8CB" w14:textId="77777777" w:rsidR="000643A7" w:rsidRPr="006A40F1" w:rsidRDefault="000643A7" w:rsidP="00554ED6">
      <w:pPr>
        <w:spacing w:line="240" w:lineRule="atLeast"/>
        <w:ind w:firstLine="270"/>
        <w:jc w:val="both"/>
        <w:rPr>
          <w:sz w:val="20"/>
          <w:szCs w:val="20"/>
          <w:lang w:val="en-GB"/>
        </w:rPr>
      </w:pPr>
    </w:p>
    <w:p w14:paraId="2687B983" w14:textId="4825EAB3" w:rsidR="000643A7" w:rsidRPr="006A40F1" w:rsidRDefault="000643A7" w:rsidP="00554ED6">
      <w:pPr>
        <w:spacing w:line="240" w:lineRule="atLeast"/>
        <w:ind w:firstLine="270"/>
        <w:jc w:val="both"/>
        <w:rPr>
          <w:sz w:val="20"/>
          <w:szCs w:val="20"/>
          <w:lang w:val="en-GB"/>
        </w:rPr>
      </w:pPr>
      <w:r w:rsidRPr="006A40F1">
        <w:rPr>
          <w:sz w:val="20"/>
          <w:szCs w:val="20"/>
          <w:lang w:val="en-GB"/>
        </w:rPr>
        <w:t xml:space="preserve">In sum, what should a corporate do for running sustainable businesses today? This is a complex question that only the practice of management and collaboration between businesses and government </w:t>
      </w:r>
      <w:r w:rsidR="00B3658B" w:rsidRPr="006A40F1">
        <w:rPr>
          <w:sz w:val="20"/>
          <w:szCs w:val="20"/>
          <w:lang w:val="en-GB"/>
        </w:rPr>
        <w:t>can</w:t>
      </w:r>
      <w:r w:rsidRPr="006A40F1">
        <w:rPr>
          <w:sz w:val="20"/>
          <w:szCs w:val="20"/>
          <w:lang w:val="en-GB"/>
        </w:rPr>
        <w:t xml:space="preserve"> provide. It is worth noting that ‘if you cannot measure it, you will never be able to improve it’. A great challenge of the sustainable transition is that problems are hard to measure, and thus are most difficult to approach with clarity. The SDGs help in this context, even though each organization should develop and create indicators that fit to them, linking, for example, their balance scorecard or accounting metrics with complex system metrics such as planetary boundaries and SDGs. Implementation of practices that support this transition at the micro scale could provide benefits as well, while aligning business objectives with the larger sustainability frameworks as provided in this chapter.</w:t>
      </w:r>
    </w:p>
    <w:p w14:paraId="3FE49F0C" w14:textId="77777777" w:rsidR="000643A7" w:rsidRPr="006A40F1" w:rsidRDefault="000643A7" w:rsidP="00554ED6">
      <w:pPr>
        <w:spacing w:line="240" w:lineRule="atLeast"/>
        <w:ind w:firstLine="270"/>
        <w:jc w:val="both"/>
        <w:rPr>
          <w:sz w:val="20"/>
          <w:szCs w:val="20"/>
          <w:lang w:val="en-GB"/>
        </w:rPr>
      </w:pPr>
    </w:p>
    <w:p w14:paraId="40B65BA3" w14:textId="18C9FFB8" w:rsidR="000643A7" w:rsidRPr="006A40F1" w:rsidRDefault="000643A7" w:rsidP="00554ED6">
      <w:pPr>
        <w:spacing w:line="240" w:lineRule="atLeast"/>
        <w:ind w:firstLine="270"/>
        <w:jc w:val="both"/>
        <w:rPr>
          <w:sz w:val="20"/>
          <w:szCs w:val="20"/>
          <w:lang w:val="en-GB"/>
        </w:rPr>
      </w:pPr>
      <w:r w:rsidRPr="006A40F1">
        <w:rPr>
          <w:sz w:val="20"/>
          <w:szCs w:val="20"/>
          <w:lang w:val="en-GB"/>
        </w:rPr>
        <w:t>Over the long run, continuous development of novel technologies that improve productivity will be an important factor, in particular when they can generate more jobs throughout the supply chain than the ones they directly substitute. This trend is important for reshaping the entire economic system, in particular where exponential growth of the green sector should be supported and incentivized as possible. Alternatives to the standard energy framework might include the decentralized approach of creating local solutions of green energy rather the employing large energy plants. Transportation sector could be improved giving more emphasis to rail when distance allow</w:t>
      </w:r>
      <w:r w:rsidR="00B3658B" w:rsidRPr="006A40F1">
        <w:rPr>
          <w:sz w:val="20"/>
          <w:szCs w:val="20"/>
          <w:lang w:val="en-GB"/>
        </w:rPr>
        <w:t>s</w:t>
      </w:r>
      <w:r w:rsidRPr="006A40F1">
        <w:rPr>
          <w:sz w:val="20"/>
          <w:szCs w:val="20"/>
          <w:lang w:val="en-GB"/>
        </w:rPr>
        <w:t xml:space="preserve">, and substituting </w:t>
      </w:r>
      <w:r w:rsidR="00AD65AB" w:rsidRPr="006A40F1">
        <w:rPr>
          <w:sz w:val="20"/>
          <w:szCs w:val="20"/>
          <w:lang w:val="en-GB"/>
        </w:rPr>
        <w:t>air travel</w:t>
      </w:r>
      <w:r w:rsidRPr="006A40F1">
        <w:rPr>
          <w:sz w:val="20"/>
          <w:szCs w:val="20"/>
          <w:lang w:val="en-GB"/>
        </w:rPr>
        <w:t xml:space="preserve"> with video conferencing tools</w:t>
      </w:r>
      <w:r w:rsidR="00B3658B" w:rsidRPr="006A40F1">
        <w:rPr>
          <w:sz w:val="20"/>
          <w:szCs w:val="20"/>
          <w:lang w:val="en-GB"/>
        </w:rPr>
        <w:t xml:space="preserve"> when possible</w:t>
      </w:r>
      <w:r w:rsidRPr="006A40F1">
        <w:rPr>
          <w:sz w:val="20"/>
          <w:szCs w:val="20"/>
          <w:lang w:val="en-GB"/>
        </w:rPr>
        <w:t>. Food security can be supported with novel technology that aim at improving the match between supply and demand and targeted to the reduction of food waste in the global supply chain</w:t>
      </w:r>
      <w:r w:rsidR="00B3658B" w:rsidRPr="006A40F1">
        <w:rPr>
          <w:sz w:val="20"/>
          <w:szCs w:val="20"/>
          <w:lang w:val="en-GB"/>
        </w:rPr>
        <w:t>s</w:t>
      </w:r>
      <w:r w:rsidRPr="006A40F1">
        <w:rPr>
          <w:sz w:val="20"/>
          <w:szCs w:val="20"/>
          <w:lang w:val="en-GB"/>
        </w:rPr>
        <w:t>. A service economy should take a dominant role, creating value beyond the mere material consumption going forward.</w:t>
      </w:r>
    </w:p>
    <w:p w14:paraId="54FBEEB5" w14:textId="77777777" w:rsidR="000643A7" w:rsidRPr="006A40F1" w:rsidRDefault="000643A7" w:rsidP="00554ED6">
      <w:pPr>
        <w:spacing w:line="240" w:lineRule="atLeast"/>
        <w:ind w:firstLine="270"/>
        <w:jc w:val="both"/>
        <w:rPr>
          <w:sz w:val="20"/>
          <w:szCs w:val="20"/>
          <w:lang w:val="en-GB"/>
        </w:rPr>
      </w:pPr>
    </w:p>
    <w:p w14:paraId="60016CE5" w14:textId="718D333B" w:rsidR="000643A7" w:rsidRPr="006A40F1" w:rsidRDefault="000643A7" w:rsidP="00554ED6">
      <w:pPr>
        <w:spacing w:line="240" w:lineRule="atLeast"/>
        <w:ind w:firstLine="270"/>
        <w:jc w:val="both"/>
        <w:rPr>
          <w:sz w:val="20"/>
          <w:szCs w:val="20"/>
          <w:lang w:val="en-GB"/>
        </w:rPr>
      </w:pPr>
      <w:r w:rsidRPr="006A40F1">
        <w:rPr>
          <w:sz w:val="20"/>
          <w:szCs w:val="20"/>
          <w:lang w:val="en-GB"/>
        </w:rPr>
        <w:t>Short</w:t>
      </w:r>
      <w:r w:rsidR="00B3658B" w:rsidRPr="006A40F1">
        <w:rPr>
          <w:sz w:val="20"/>
          <w:szCs w:val="20"/>
          <w:lang w:val="en-GB"/>
        </w:rPr>
        <w:t>-</w:t>
      </w:r>
      <w:r w:rsidRPr="006A40F1">
        <w:rPr>
          <w:sz w:val="20"/>
          <w:szCs w:val="20"/>
          <w:lang w:val="en-GB"/>
        </w:rPr>
        <w:t>term business as usual growth, while creating wealth and eradicating poverty along the way, has also caused concern</w:t>
      </w:r>
      <w:r w:rsidR="00B3658B" w:rsidRPr="006A40F1">
        <w:rPr>
          <w:sz w:val="20"/>
          <w:szCs w:val="20"/>
          <w:lang w:val="en-GB"/>
        </w:rPr>
        <w:t>s</w:t>
      </w:r>
      <w:r w:rsidRPr="006A40F1">
        <w:rPr>
          <w:sz w:val="20"/>
          <w:szCs w:val="20"/>
          <w:lang w:val="en-GB"/>
        </w:rPr>
        <w:t xml:space="preserve"> f</w:t>
      </w:r>
      <w:r w:rsidR="00B3658B" w:rsidRPr="006A40F1">
        <w:rPr>
          <w:sz w:val="20"/>
          <w:szCs w:val="20"/>
          <w:lang w:val="en-GB"/>
        </w:rPr>
        <w:t>or</w:t>
      </w:r>
      <w:r w:rsidRPr="006A40F1">
        <w:rPr>
          <w:sz w:val="20"/>
          <w:szCs w:val="20"/>
          <w:lang w:val="en-GB"/>
        </w:rPr>
        <w:t xml:space="preserve"> environmental limits. The size of the challenge appears not to be a simple solution to be tacked by free market alone, and the constant and persistent collaboration between governments and businesses will be an important </w:t>
      </w:r>
      <w:r w:rsidR="00B3658B" w:rsidRPr="006A40F1">
        <w:rPr>
          <w:sz w:val="20"/>
          <w:szCs w:val="20"/>
          <w:lang w:val="en-GB"/>
        </w:rPr>
        <w:t>element for the success of this transition</w:t>
      </w:r>
      <w:r w:rsidRPr="006A40F1">
        <w:rPr>
          <w:sz w:val="20"/>
          <w:szCs w:val="20"/>
          <w:lang w:val="en-GB"/>
        </w:rPr>
        <w:t xml:space="preserve"> going forward.</w:t>
      </w:r>
    </w:p>
    <w:p w14:paraId="33C93075" w14:textId="1D136216" w:rsidR="00DE2F81" w:rsidRDefault="001941DC" w:rsidP="00301E7E">
      <w:pPr>
        <w:spacing w:before="240" w:line="240" w:lineRule="atLeast"/>
        <w:rPr>
          <w:b/>
          <w:sz w:val="20"/>
          <w:szCs w:val="20"/>
          <w:lang w:val="en-GB"/>
        </w:rPr>
      </w:pPr>
      <w:r w:rsidRPr="006A40F1">
        <w:rPr>
          <w:b/>
          <w:sz w:val="20"/>
          <w:szCs w:val="20"/>
          <w:lang w:val="en-GB"/>
        </w:rPr>
        <w:lastRenderedPageBreak/>
        <w:t>R</w:t>
      </w:r>
      <w:r w:rsidR="00301E7E" w:rsidRPr="006A40F1">
        <w:rPr>
          <w:b/>
          <w:sz w:val="20"/>
          <w:szCs w:val="20"/>
          <w:lang w:val="en-GB"/>
        </w:rPr>
        <w:t>eferences</w:t>
      </w:r>
    </w:p>
    <w:p w14:paraId="0BA6A5E9" w14:textId="77777777" w:rsidR="00DE2F81" w:rsidRPr="006A40F1" w:rsidRDefault="00DE2F81" w:rsidP="00301E7E">
      <w:pPr>
        <w:spacing w:before="240" w:line="240" w:lineRule="atLeast"/>
        <w:rPr>
          <w:rStyle w:val="Strong"/>
          <w:lang w:val="en-GB"/>
        </w:rPr>
      </w:pPr>
    </w:p>
    <w:p w14:paraId="10B377E2" w14:textId="77777777" w:rsidR="008A66F7" w:rsidRPr="006A40F1" w:rsidRDefault="008A66F7" w:rsidP="008A66F7">
      <w:pPr>
        <w:autoSpaceDE w:val="0"/>
        <w:autoSpaceDN w:val="0"/>
        <w:adjustRightInd w:val="0"/>
        <w:spacing w:after="240" w:line="276" w:lineRule="auto"/>
        <w:rPr>
          <w:rFonts w:ascii="Goudy" w:hAnsi="Goudy" w:cs="Goudy"/>
          <w:sz w:val="18"/>
          <w:szCs w:val="18"/>
          <w:lang w:val="en-GB"/>
        </w:rPr>
      </w:pPr>
      <w:r w:rsidRPr="006A40F1">
        <w:rPr>
          <w:rFonts w:ascii="Goudy" w:hAnsi="Goudy" w:cs="Goudy"/>
          <w:sz w:val="18"/>
          <w:szCs w:val="18"/>
          <w:lang w:val="en-GB"/>
        </w:rPr>
        <w:t xml:space="preserve">Bardi, U. (2014). </w:t>
      </w:r>
      <w:r w:rsidRPr="006A40F1">
        <w:rPr>
          <w:rFonts w:ascii="Goudy-Italic" w:hAnsi="Goudy-Italic" w:cs="Goudy-Italic"/>
          <w:i/>
          <w:iCs/>
          <w:sz w:val="18"/>
          <w:szCs w:val="18"/>
          <w:lang w:val="en-GB"/>
        </w:rPr>
        <w:t>Extracted: How the quest for mineral wealth is plundering the planet</w:t>
      </w:r>
      <w:r w:rsidRPr="006A40F1">
        <w:rPr>
          <w:rFonts w:ascii="Goudy" w:hAnsi="Goudy" w:cs="Goudy"/>
          <w:sz w:val="18"/>
          <w:szCs w:val="18"/>
          <w:lang w:val="en-GB"/>
        </w:rPr>
        <w:t>. Chelsea Green Publishing, Vermont, US.</w:t>
      </w:r>
    </w:p>
    <w:p w14:paraId="500ACD1A" w14:textId="77777777" w:rsidR="008A66F7" w:rsidRPr="006A40F1" w:rsidRDefault="008A66F7" w:rsidP="008A66F7">
      <w:pPr>
        <w:autoSpaceDE w:val="0"/>
        <w:autoSpaceDN w:val="0"/>
        <w:adjustRightInd w:val="0"/>
        <w:spacing w:after="240" w:line="276" w:lineRule="auto"/>
        <w:rPr>
          <w:rFonts w:ascii="Goudy" w:hAnsi="Goudy" w:cs="Goudy"/>
          <w:sz w:val="18"/>
          <w:szCs w:val="18"/>
          <w:lang w:val="en-GB"/>
        </w:rPr>
      </w:pPr>
      <w:r w:rsidRPr="006A40F1">
        <w:rPr>
          <w:rFonts w:ascii="Goudy" w:hAnsi="Goudy" w:cs="Goudy"/>
          <w:sz w:val="18"/>
          <w:szCs w:val="18"/>
          <w:lang w:val="en-GB"/>
        </w:rPr>
        <w:t xml:space="preserve">Capra, F., &amp; Luisi, P. (2016). </w:t>
      </w:r>
      <w:r w:rsidRPr="006A40F1">
        <w:rPr>
          <w:rFonts w:ascii="Goudy-Italic" w:hAnsi="Goudy-Italic" w:cs="Goudy-Italic"/>
          <w:i/>
          <w:iCs/>
          <w:sz w:val="18"/>
          <w:szCs w:val="18"/>
          <w:lang w:val="en-GB"/>
        </w:rPr>
        <w:t>The systems way of life: An unifying vision</w:t>
      </w:r>
      <w:r w:rsidRPr="006A40F1">
        <w:rPr>
          <w:rFonts w:ascii="Goudy" w:hAnsi="Goudy" w:cs="Goudy"/>
          <w:sz w:val="18"/>
          <w:szCs w:val="18"/>
          <w:lang w:val="en-GB"/>
        </w:rPr>
        <w:t>. Cambridge University Press, Cambridge, UK.</w:t>
      </w:r>
    </w:p>
    <w:p w14:paraId="496B5189" w14:textId="77777777" w:rsidR="008A66F7" w:rsidRPr="006A40F1" w:rsidRDefault="008A66F7" w:rsidP="008A66F7">
      <w:pPr>
        <w:autoSpaceDE w:val="0"/>
        <w:autoSpaceDN w:val="0"/>
        <w:adjustRightInd w:val="0"/>
        <w:spacing w:after="240" w:line="276" w:lineRule="auto"/>
        <w:rPr>
          <w:rFonts w:ascii="Goudy" w:hAnsi="Goudy" w:cs="Goudy"/>
          <w:sz w:val="18"/>
          <w:szCs w:val="18"/>
          <w:lang w:val="en-GB"/>
        </w:rPr>
      </w:pPr>
      <w:r w:rsidRPr="006A40F1">
        <w:rPr>
          <w:rFonts w:ascii="Goudy" w:hAnsi="Goudy" w:cs="Goudy"/>
          <w:sz w:val="18"/>
          <w:szCs w:val="18"/>
          <w:lang w:val="en-GB"/>
        </w:rPr>
        <w:t xml:space="preserve">Food and Agriculture Organization (FAO). (2015). </w:t>
      </w:r>
      <w:r w:rsidRPr="006A40F1">
        <w:rPr>
          <w:rFonts w:ascii="Goudy-Italic" w:hAnsi="Goudy-Italic" w:cs="Goudy-Italic"/>
          <w:i/>
          <w:iCs/>
          <w:sz w:val="18"/>
          <w:szCs w:val="18"/>
          <w:lang w:val="en-GB"/>
        </w:rPr>
        <w:t>The state of food insecurity in the world – meeting the 2015 international hunger targets: Taking stock of uneven progress</w:t>
      </w:r>
      <w:r w:rsidRPr="006A40F1">
        <w:rPr>
          <w:rFonts w:ascii="Goudy" w:hAnsi="Goudy" w:cs="Goudy"/>
          <w:sz w:val="18"/>
          <w:szCs w:val="18"/>
          <w:lang w:val="en-GB"/>
        </w:rPr>
        <w:t>. FAO, Rome, Italy.</w:t>
      </w:r>
    </w:p>
    <w:p w14:paraId="3523CE9C" w14:textId="77777777" w:rsidR="008A66F7" w:rsidRPr="006A40F1" w:rsidRDefault="008A66F7" w:rsidP="008A66F7">
      <w:pPr>
        <w:autoSpaceDE w:val="0"/>
        <w:autoSpaceDN w:val="0"/>
        <w:adjustRightInd w:val="0"/>
        <w:spacing w:after="240" w:line="276" w:lineRule="auto"/>
        <w:rPr>
          <w:rFonts w:ascii="Goudy" w:hAnsi="Goudy" w:cs="Goudy"/>
          <w:sz w:val="18"/>
          <w:szCs w:val="18"/>
          <w:lang w:val="en-GB"/>
        </w:rPr>
      </w:pPr>
      <w:r w:rsidRPr="006A40F1">
        <w:rPr>
          <w:rFonts w:ascii="Goudy" w:hAnsi="Goudy" w:cs="Goudy"/>
          <w:sz w:val="18"/>
          <w:szCs w:val="18"/>
          <w:lang w:val="en-GB"/>
        </w:rPr>
        <w:t xml:space="preserve">International Assessment of Agricultural knowledge, Science and Technology for Development (IAASTD). (2009). </w:t>
      </w:r>
      <w:r w:rsidRPr="006A40F1">
        <w:rPr>
          <w:rFonts w:ascii="Goudy-Italic" w:hAnsi="Goudy-Italic" w:cs="Goudy-Italic"/>
          <w:i/>
          <w:iCs/>
          <w:sz w:val="18"/>
          <w:szCs w:val="18"/>
          <w:lang w:val="en-GB"/>
        </w:rPr>
        <w:t>Agriculture at the cross road – Global report</w:t>
      </w:r>
      <w:r w:rsidRPr="006A40F1">
        <w:rPr>
          <w:rFonts w:ascii="Goudy" w:hAnsi="Goudy" w:cs="Goudy"/>
          <w:sz w:val="18"/>
          <w:szCs w:val="18"/>
          <w:lang w:val="en-GB"/>
        </w:rPr>
        <w:t>. IAASTD, Washington, DC.</w:t>
      </w:r>
    </w:p>
    <w:p w14:paraId="39BA0858" w14:textId="77777777" w:rsidR="008A66F7" w:rsidRPr="006A40F1" w:rsidRDefault="008A66F7" w:rsidP="008A66F7">
      <w:pPr>
        <w:autoSpaceDE w:val="0"/>
        <w:autoSpaceDN w:val="0"/>
        <w:adjustRightInd w:val="0"/>
        <w:spacing w:after="240" w:line="276" w:lineRule="auto"/>
        <w:rPr>
          <w:rFonts w:ascii="Goudy" w:hAnsi="Goudy" w:cs="Goudy"/>
          <w:sz w:val="18"/>
          <w:szCs w:val="18"/>
          <w:lang w:val="en-GB"/>
        </w:rPr>
      </w:pPr>
      <w:r w:rsidRPr="006A40F1">
        <w:rPr>
          <w:rFonts w:ascii="Goudy" w:hAnsi="Goudy" w:cs="Goudy"/>
          <w:sz w:val="18"/>
          <w:szCs w:val="18"/>
          <w:lang w:val="en-GB"/>
        </w:rPr>
        <w:t xml:space="preserve">International Energy Agency (IEA). (2017a). </w:t>
      </w:r>
      <w:r w:rsidRPr="006A40F1">
        <w:rPr>
          <w:rFonts w:ascii="Goudy-Italic" w:hAnsi="Goudy-Italic" w:cs="Goudy-Italic"/>
          <w:i/>
          <w:iCs/>
          <w:sz w:val="18"/>
          <w:szCs w:val="18"/>
          <w:lang w:val="en-GB"/>
        </w:rPr>
        <w:t>Statistics – renewables information 2017</w:t>
      </w:r>
      <w:r w:rsidRPr="006A40F1">
        <w:rPr>
          <w:rFonts w:ascii="Goudy" w:hAnsi="Goudy" w:cs="Goudy"/>
          <w:sz w:val="18"/>
          <w:szCs w:val="18"/>
          <w:lang w:val="en-GB"/>
        </w:rPr>
        <w:t>. IEA, Paris.</w:t>
      </w:r>
    </w:p>
    <w:p w14:paraId="30DEF15C" w14:textId="77777777" w:rsidR="008A66F7" w:rsidRPr="006A40F1" w:rsidRDefault="008A66F7" w:rsidP="008A66F7">
      <w:pPr>
        <w:autoSpaceDE w:val="0"/>
        <w:autoSpaceDN w:val="0"/>
        <w:adjustRightInd w:val="0"/>
        <w:spacing w:after="240" w:line="276" w:lineRule="auto"/>
        <w:rPr>
          <w:rFonts w:ascii="Goudy" w:hAnsi="Goudy" w:cs="Goudy"/>
          <w:sz w:val="18"/>
          <w:szCs w:val="18"/>
          <w:lang w:val="en-GB"/>
        </w:rPr>
      </w:pPr>
      <w:r w:rsidRPr="006A40F1">
        <w:rPr>
          <w:rFonts w:ascii="Goudy" w:hAnsi="Goudy" w:cs="Goudy"/>
          <w:sz w:val="18"/>
          <w:szCs w:val="18"/>
          <w:lang w:val="en-GB"/>
        </w:rPr>
        <w:t xml:space="preserve">International Energy Agency (IEA). (2017b). </w:t>
      </w:r>
      <w:r w:rsidRPr="006A40F1">
        <w:rPr>
          <w:rFonts w:ascii="Goudy-Italic" w:hAnsi="Goudy-Italic" w:cs="Goudy-Italic"/>
          <w:i/>
          <w:iCs/>
          <w:sz w:val="18"/>
          <w:szCs w:val="18"/>
          <w:lang w:val="en-GB"/>
        </w:rPr>
        <w:t>Data and statistics</w:t>
      </w:r>
      <w:r w:rsidRPr="006A40F1">
        <w:rPr>
          <w:rFonts w:ascii="Goudy" w:hAnsi="Goudy" w:cs="Goudy"/>
          <w:sz w:val="18"/>
          <w:szCs w:val="18"/>
          <w:lang w:val="en-GB"/>
        </w:rPr>
        <w:t>. Available online: www. iea.org/data-and-statistics (accessed September 2017).</w:t>
      </w:r>
    </w:p>
    <w:p w14:paraId="73DE24A5" w14:textId="77777777" w:rsidR="008A66F7" w:rsidRPr="006A40F1" w:rsidRDefault="008A66F7" w:rsidP="008A66F7">
      <w:pPr>
        <w:autoSpaceDE w:val="0"/>
        <w:autoSpaceDN w:val="0"/>
        <w:adjustRightInd w:val="0"/>
        <w:spacing w:after="240" w:line="276" w:lineRule="auto"/>
        <w:rPr>
          <w:sz w:val="20"/>
          <w:szCs w:val="20"/>
          <w:lang w:val="en-GB"/>
        </w:rPr>
      </w:pPr>
      <w:r w:rsidRPr="006A40F1">
        <w:rPr>
          <w:rFonts w:ascii="Goudy" w:hAnsi="Goudy" w:cs="Goudy"/>
          <w:sz w:val="18"/>
          <w:szCs w:val="18"/>
          <w:lang w:val="en-GB"/>
        </w:rPr>
        <w:t xml:space="preserve">International Renewable Energy Agency (IRENA). (2018). </w:t>
      </w:r>
      <w:r w:rsidRPr="006A40F1">
        <w:rPr>
          <w:rFonts w:ascii="Goudy-Italic" w:hAnsi="Goudy-Italic" w:cs="Goudy-Italic"/>
          <w:i/>
          <w:iCs/>
          <w:sz w:val="18"/>
          <w:szCs w:val="18"/>
          <w:lang w:val="en-GB"/>
        </w:rPr>
        <w:t>Data and statistics</w:t>
      </w:r>
      <w:r w:rsidRPr="006A40F1">
        <w:rPr>
          <w:rFonts w:ascii="Goudy" w:hAnsi="Goudy" w:cs="Goudy"/>
          <w:sz w:val="18"/>
          <w:szCs w:val="18"/>
          <w:lang w:val="en-GB"/>
        </w:rPr>
        <w:t>. Available online: www.irena.org/Statistics (accessed June 2018).</w:t>
      </w:r>
    </w:p>
    <w:p w14:paraId="2C30C00F" w14:textId="77777777" w:rsidR="008A66F7" w:rsidRPr="006A40F1" w:rsidRDefault="008A66F7" w:rsidP="008A66F7">
      <w:pPr>
        <w:autoSpaceDE w:val="0"/>
        <w:autoSpaceDN w:val="0"/>
        <w:adjustRightInd w:val="0"/>
        <w:spacing w:after="240" w:line="276" w:lineRule="auto"/>
        <w:rPr>
          <w:sz w:val="20"/>
          <w:szCs w:val="20"/>
          <w:lang w:val="en-GB"/>
        </w:rPr>
      </w:pPr>
      <w:r w:rsidRPr="006A40F1">
        <w:rPr>
          <w:rFonts w:ascii="Goudy" w:hAnsi="Goudy" w:cs="Goudy"/>
          <w:sz w:val="18"/>
          <w:szCs w:val="18"/>
          <w:lang w:val="en-GB"/>
        </w:rPr>
        <w:t xml:space="preserve">IPCC. (2014). Climate change 2014: Synthesis report. In R. Pachauri &amp; L. Meyer (eds.), </w:t>
      </w:r>
      <w:r w:rsidRPr="006A40F1">
        <w:rPr>
          <w:rFonts w:ascii="Goudy-Italic" w:hAnsi="Goudy-Italic" w:cs="Goudy-Italic"/>
          <w:i/>
          <w:iCs/>
          <w:sz w:val="18"/>
          <w:szCs w:val="18"/>
          <w:lang w:val="en-GB"/>
        </w:rPr>
        <w:t>Contribution of Working Groups I, II and III to the Fifth Assessment Report of the Intergovernmental Panel on Climate Change</w:t>
      </w:r>
      <w:r w:rsidRPr="006A40F1">
        <w:rPr>
          <w:rFonts w:ascii="Goudy" w:hAnsi="Goudy" w:cs="Goudy"/>
          <w:sz w:val="18"/>
          <w:szCs w:val="18"/>
          <w:lang w:val="en-GB"/>
        </w:rPr>
        <w:t>. IPCC, Geneva, Switzerland, 151. ISBN: 978-92- 9169- 143- 2.</w:t>
      </w:r>
      <w:r w:rsidRPr="006A40F1">
        <w:rPr>
          <w:sz w:val="20"/>
          <w:szCs w:val="20"/>
          <w:lang w:val="en-GB"/>
        </w:rPr>
        <w:t xml:space="preserve"> </w:t>
      </w:r>
    </w:p>
    <w:p w14:paraId="6544CB80" w14:textId="77777777" w:rsidR="008A66F7" w:rsidRPr="006A40F1" w:rsidRDefault="008A66F7" w:rsidP="008A66F7">
      <w:pPr>
        <w:autoSpaceDE w:val="0"/>
        <w:autoSpaceDN w:val="0"/>
        <w:adjustRightInd w:val="0"/>
        <w:spacing w:after="240" w:line="276" w:lineRule="auto"/>
        <w:rPr>
          <w:rFonts w:ascii="Goudy" w:hAnsi="Goudy" w:cs="Goudy"/>
          <w:sz w:val="18"/>
          <w:szCs w:val="18"/>
          <w:lang w:val="en-GB"/>
        </w:rPr>
      </w:pPr>
      <w:r w:rsidRPr="006A40F1">
        <w:rPr>
          <w:rFonts w:ascii="Goudy" w:hAnsi="Goudy" w:cs="Goudy"/>
          <w:sz w:val="18"/>
          <w:szCs w:val="18"/>
          <w:lang w:val="en-GB"/>
        </w:rPr>
        <w:t xml:space="preserve">Jackson, T. (2016). </w:t>
      </w:r>
      <w:r w:rsidRPr="006A40F1">
        <w:rPr>
          <w:rFonts w:ascii="Goudy-Italic" w:hAnsi="Goudy-Italic" w:cs="Goudy-Italic"/>
          <w:i/>
          <w:iCs/>
          <w:sz w:val="18"/>
          <w:szCs w:val="18"/>
          <w:lang w:val="en-GB"/>
        </w:rPr>
        <w:t>Prosperity without growth: Foundations for the economy of tomorrow</w:t>
      </w:r>
      <w:r w:rsidRPr="006A40F1">
        <w:rPr>
          <w:rFonts w:ascii="Goudy" w:hAnsi="Goudy" w:cs="Goudy"/>
          <w:sz w:val="18"/>
          <w:szCs w:val="18"/>
          <w:lang w:val="en-GB"/>
        </w:rPr>
        <w:t>. Routledge, Oxford, UK.</w:t>
      </w:r>
    </w:p>
    <w:p w14:paraId="1B3FD55A" w14:textId="77777777" w:rsidR="008A66F7" w:rsidRPr="006A40F1" w:rsidRDefault="008A66F7" w:rsidP="008A66F7">
      <w:pPr>
        <w:autoSpaceDE w:val="0"/>
        <w:autoSpaceDN w:val="0"/>
        <w:adjustRightInd w:val="0"/>
        <w:spacing w:after="240" w:line="276" w:lineRule="auto"/>
        <w:rPr>
          <w:rFonts w:ascii="Goudy-Italic" w:hAnsi="Goudy-Italic" w:cs="Goudy-Italic"/>
          <w:i/>
          <w:iCs/>
          <w:sz w:val="18"/>
          <w:szCs w:val="18"/>
          <w:lang w:val="en-GB"/>
        </w:rPr>
      </w:pPr>
      <w:r w:rsidRPr="006A40F1">
        <w:rPr>
          <w:rFonts w:ascii="Goudy" w:hAnsi="Goudy" w:cs="Goudy"/>
          <w:sz w:val="18"/>
          <w:szCs w:val="18"/>
          <w:lang w:val="en-GB"/>
        </w:rPr>
        <w:t xml:space="preserve">Kummu, M., De Moel, H., Porkka, M., Siebert, S., Varis, O., &amp; Ward, P. J. (2012). Lost food, wasted resources: Global food supply chain losses and their impacts on freshwater, cropland, and fertiliser use. </w:t>
      </w:r>
      <w:r w:rsidRPr="006A40F1">
        <w:rPr>
          <w:rFonts w:ascii="Goudy-Italic" w:hAnsi="Goudy-Italic" w:cs="Goudy-Italic"/>
          <w:i/>
          <w:iCs/>
          <w:sz w:val="18"/>
          <w:szCs w:val="18"/>
          <w:lang w:val="en-GB"/>
        </w:rPr>
        <w:t>Science of the Total Environment</w:t>
      </w:r>
      <w:r w:rsidRPr="006A40F1">
        <w:rPr>
          <w:rFonts w:ascii="Goudy" w:hAnsi="Goudy" w:cs="Goudy"/>
          <w:sz w:val="18"/>
          <w:szCs w:val="18"/>
          <w:lang w:val="en-GB"/>
        </w:rPr>
        <w:t xml:space="preserve">, </w:t>
      </w:r>
      <w:r w:rsidRPr="006A40F1">
        <w:rPr>
          <w:rFonts w:ascii="Goudy-Italic" w:hAnsi="Goudy-Italic" w:cs="Goudy-Italic"/>
          <w:i/>
          <w:iCs/>
          <w:sz w:val="18"/>
          <w:szCs w:val="18"/>
          <w:lang w:val="en-GB"/>
        </w:rPr>
        <w:t>438</w:t>
      </w:r>
      <w:r w:rsidRPr="006A40F1">
        <w:rPr>
          <w:rFonts w:ascii="Goudy" w:hAnsi="Goudy" w:cs="Goudy"/>
          <w:sz w:val="18"/>
          <w:szCs w:val="18"/>
          <w:lang w:val="en-GB"/>
        </w:rPr>
        <w:t>, 477–489.</w:t>
      </w:r>
    </w:p>
    <w:p w14:paraId="7AE8AE17" w14:textId="77777777" w:rsidR="008A66F7" w:rsidRPr="006A40F1" w:rsidRDefault="008A66F7" w:rsidP="008A66F7">
      <w:pPr>
        <w:autoSpaceDE w:val="0"/>
        <w:autoSpaceDN w:val="0"/>
        <w:adjustRightInd w:val="0"/>
        <w:spacing w:after="240" w:line="276" w:lineRule="auto"/>
        <w:rPr>
          <w:rFonts w:ascii="Goudy" w:hAnsi="Goudy" w:cs="Goudy"/>
          <w:sz w:val="18"/>
          <w:szCs w:val="18"/>
          <w:lang w:val="en-GB"/>
        </w:rPr>
      </w:pPr>
      <w:r w:rsidRPr="006A40F1">
        <w:rPr>
          <w:rFonts w:ascii="Goudy" w:hAnsi="Goudy" w:cs="Goudy"/>
          <w:sz w:val="18"/>
          <w:szCs w:val="18"/>
          <w:lang w:val="en-GB"/>
        </w:rPr>
        <w:t xml:space="preserve">Lloyd’s Report. (2015). </w:t>
      </w:r>
      <w:r w:rsidRPr="006A40F1">
        <w:rPr>
          <w:rFonts w:ascii="Goudy-Italic" w:hAnsi="Goudy-Italic" w:cs="Goudy-Italic"/>
          <w:i/>
          <w:iCs/>
          <w:sz w:val="18"/>
          <w:szCs w:val="18"/>
          <w:lang w:val="en-GB"/>
        </w:rPr>
        <w:t>Food system shock – the insurance impacts of acute disruption to global food supply</w:t>
      </w:r>
      <w:r w:rsidRPr="006A40F1">
        <w:rPr>
          <w:rFonts w:ascii="Goudy" w:hAnsi="Goudy" w:cs="Goudy"/>
          <w:sz w:val="18"/>
          <w:szCs w:val="18"/>
          <w:lang w:val="en-GB"/>
        </w:rPr>
        <w:t>. Lloyd’s Emerging Risk Report 2015, London.</w:t>
      </w:r>
    </w:p>
    <w:p w14:paraId="4B6BA4BC" w14:textId="77777777" w:rsidR="008A66F7" w:rsidRPr="006A40F1" w:rsidRDefault="008A66F7" w:rsidP="008A66F7">
      <w:pPr>
        <w:autoSpaceDE w:val="0"/>
        <w:autoSpaceDN w:val="0"/>
        <w:adjustRightInd w:val="0"/>
        <w:spacing w:after="240" w:line="276" w:lineRule="auto"/>
        <w:rPr>
          <w:rFonts w:ascii="Goudy-Italic" w:hAnsi="Goudy-Italic" w:cs="Goudy-Italic"/>
          <w:i/>
          <w:iCs/>
          <w:sz w:val="18"/>
          <w:szCs w:val="18"/>
          <w:lang w:val="en-GB"/>
        </w:rPr>
      </w:pPr>
      <w:r w:rsidRPr="006A40F1">
        <w:rPr>
          <w:rFonts w:ascii="Goudy" w:hAnsi="Goudy" w:cs="Goudy"/>
          <w:sz w:val="18"/>
          <w:szCs w:val="18"/>
          <w:lang w:val="en-GB"/>
        </w:rPr>
        <w:lastRenderedPageBreak/>
        <w:t xml:space="preserve">Maxton, G., &amp; Randers, J. (2016). </w:t>
      </w:r>
      <w:r w:rsidRPr="006A40F1">
        <w:rPr>
          <w:rFonts w:ascii="Goudy-Italic" w:hAnsi="Goudy-Italic" w:cs="Goudy-Italic"/>
          <w:i/>
          <w:iCs/>
          <w:sz w:val="18"/>
          <w:szCs w:val="18"/>
          <w:lang w:val="en-GB"/>
        </w:rPr>
        <w:t>Reinventing prosperity: Managing economic growth to reduce unemployment, inequality and climate change</w:t>
      </w:r>
      <w:r w:rsidRPr="006A40F1">
        <w:rPr>
          <w:rFonts w:ascii="Goudy" w:hAnsi="Goudy" w:cs="Goudy"/>
          <w:sz w:val="18"/>
          <w:szCs w:val="18"/>
          <w:lang w:val="en-GB"/>
        </w:rPr>
        <w:t>. Greystone Books, Vancouver,</w:t>
      </w:r>
      <w:r w:rsidRPr="006A40F1">
        <w:rPr>
          <w:rFonts w:ascii="Goudy-Italic" w:hAnsi="Goudy-Italic" w:cs="Goudy-Italic"/>
          <w:i/>
          <w:iCs/>
          <w:sz w:val="18"/>
          <w:szCs w:val="18"/>
          <w:lang w:val="en-GB"/>
        </w:rPr>
        <w:t xml:space="preserve"> </w:t>
      </w:r>
      <w:r w:rsidRPr="006A40F1">
        <w:rPr>
          <w:rFonts w:ascii="Goudy" w:hAnsi="Goudy" w:cs="Goudy"/>
          <w:sz w:val="18"/>
          <w:szCs w:val="18"/>
          <w:lang w:val="en-GB"/>
        </w:rPr>
        <w:t>Canada.</w:t>
      </w:r>
    </w:p>
    <w:p w14:paraId="7B9BAE37" w14:textId="77777777" w:rsidR="008A66F7" w:rsidRPr="006A40F1" w:rsidRDefault="008A66F7" w:rsidP="008A66F7">
      <w:pPr>
        <w:autoSpaceDE w:val="0"/>
        <w:autoSpaceDN w:val="0"/>
        <w:adjustRightInd w:val="0"/>
        <w:spacing w:after="240" w:line="276" w:lineRule="auto"/>
        <w:rPr>
          <w:rFonts w:ascii="Goudy" w:hAnsi="Goudy" w:cs="Goudy"/>
          <w:sz w:val="18"/>
          <w:szCs w:val="18"/>
          <w:lang w:val="en-GB"/>
        </w:rPr>
      </w:pPr>
      <w:r w:rsidRPr="006A40F1">
        <w:rPr>
          <w:rFonts w:ascii="Goudy" w:hAnsi="Goudy" w:cs="Goudy"/>
          <w:sz w:val="18"/>
          <w:szCs w:val="18"/>
          <w:lang w:val="en-GB"/>
        </w:rPr>
        <w:t xml:space="preserve">Meadows, D. H., Meadows, D. L., &amp; Randers, J. (1992). </w:t>
      </w:r>
      <w:r w:rsidRPr="006A40F1">
        <w:rPr>
          <w:rFonts w:ascii="Goudy-Italic" w:hAnsi="Goudy-Italic" w:cs="Goudy-Italic"/>
          <w:i/>
          <w:iCs/>
          <w:sz w:val="18"/>
          <w:szCs w:val="18"/>
          <w:lang w:val="en-GB"/>
        </w:rPr>
        <w:t>Beyond the limits: global collapse or a sustainable future</w:t>
      </w:r>
      <w:r w:rsidRPr="006A40F1">
        <w:rPr>
          <w:rFonts w:ascii="Goudy" w:hAnsi="Goudy" w:cs="Goudy"/>
          <w:sz w:val="18"/>
          <w:szCs w:val="18"/>
          <w:lang w:val="en-GB"/>
        </w:rPr>
        <w:t>. Earthscan Publications Ltd, London, UK.</w:t>
      </w:r>
    </w:p>
    <w:p w14:paraId="1E775FBB" w14:textId="77777777" w:rsidR="008A66F7" w:rsidRPr="006A40F1" w:rsidRDefault="008A66F7" w:rsidP="008A66F7">
      <w:pPr>
        <w:autoSpaceDE w:val="0"/>
        <w:autoSpaceDN w:val="0"/>
        <w:adjustRightInd w:val="0"/>
        <w:spacing w:after="240" w:line="276" w:lineRule="auto"/>
        <w:rPr>
          <w:rFonts w:ascii="Goudy" w:hAnsi="Goudy" w:cs="Goudy"/>
          <w:sz w:val="18"/>
          <w:szCs w:val="18"/>
          <w:lang w:val="en-GB"/>
        </w:rPr>
      </w:pPr>
      <w:r w:rsidRPr="006A40F1">
        <w:rPr>
          <w:rFonts w:ascii="Goudy" w:hAnsi="Goudy" w:cs="Goudy"/>
          <w:sz w:val="18"/>
          <w:szCs w:val="18"/>
          <w:lang w:val="en-GB"/>
        </w:rPr>
        <w:t xml:space="preserve">Meadows, D. H., Meadows, D. L., &amp; Randers, J. (2003). </w:t>
      </w:r>
      <w:r w:rsidRPr="006A40F1">
        <w:rPr>
          <w:rFonts w:ascii="Goudy-Italic" w:hAnsi="Goudy-Italic" w:cs="Goudy-Italic"/>
          <w:i/>
          <w:iCs/>
          <w:sz w:val="18"/>
          <w:szCs w:val="18"/>
          <w:lang w:val="en-GB"/>
        </w:rPr>
        <w:t>The limits to growth: The 30-year update</w:t>
      </w:r>
      <w:r w:rsidRPr="006A40F1">
        <w:rPr>
          <w:rFonts w:ascii="Goudy" w:hAnsi="Goudy" w:cs="Goudy"/>
          <w:sz w:val="18"/>
          <w:szCs w:val="18"/>
          <w:lang w:val="en-GB"/>
        </w:rPr>
        <w:t>. Routledge, Oxford, UK.</w:t>
      </w:r>
    </w:p>
    <w:p w14:paraId="64A04433" w14:textId="77777777" w:rsidR="008A66F7" w:rsidRPr="006A40F1" w:rsidRDefault="008A66F7" w:rsidP="008A66F7">
      <w:pPr>
        <w:autoSpaceDE w:val="0"/>
        <w:autoSpaceDN w:val="0"/>
        <w:adjustRightInd w:val="0"/>
        <w:spacing w:after="240" w:line="276" w:lineRule="auto"/>
        <w:rPr>
          <w:sz w:val="20"/>
          <w:szCs w:val="20"/>
          <w:lang w:val="en-GB"/>
        </w:rPr>
      </w:pPr>
      <w:r w:rsidRPr="006A40F1">
        <w:rPr>
          <w:rFonts w:ascii="Goudy" w:hAnsi="Goudy" w:cs="Goudy"/>
          <w:sz w:val="18"/>
          <w:szCs w:val="18"/>
          <w:lang w:val="en-GB"/>
        </w:rPr>
        <w:t xml:space="preserve">Meadows, D. H., Meadows, D. L., Randers, J., &amp; Behrens, J. (1972). </w:t>
      </w:r>
      <w:r w:rsidRPr="006A40F1">
        <w:rPr>
          <w:rFonts w:ascii="Goudy-Italic" w:hAnsi="Goudy-Italic" w:cs="Goudy-Italic"/>
          <w:i/>
          <w:iCs/>
          <w:sz w:val="18"/>
          <w:szCs w:val="18"/>
          <w:lang w:val="en-GB"/>
        </w:rPr>
        <w:t>The limits to growth</w:t>
      </w:r>
      <w:r w:rsidRPr="006A40F1">
        <w:rPr>
          <w:rFonts w:ascii="Goudy" w:hAnsi="Goudy" w:cs="Goudy"/>
          <w:sz w:val="18"/>
          <w:szCs w:val="18"/>
          <w:lang w:val="en-GB"/>
        </w:rPr>
        <w:t>; Universe Books, New York, NY, USA.</w:t>
      </w:r>
    </w:p>
    <w:p w14:paraId="73654C5D" w14:textId="77777777" w:rsidR="008A66F7" w:rsidRPr="006A40F1" w:rsidRDefault="008A66F7" w:rsidP="008A66F7">
      <w:pPr>
        <w:autoSpaceDE w:val="0"/>
        <w:autoSpaceDN w:val="0"/>
        <w:adjustRightInd w:val="0"/>
        <w:spacing w:after="240" w:line="276" w:lineRule="auto"/>
        <w:rPr>
          <w:rFonts w:ascii="Goudy" w:hAnsi="Goudy" w:cs="Goudy"/>
          <w:sz w:val="18"/>
          <w:szCs w:val="18"/>
          <w:lang w:val="en-GB"/>
        </w:rPr>
      </w:pPr>
      <w:r w:rsidRPr="006A40F1">
        <w:rPr>
          <w:rFonts w:ascii="Goudy" w:hAnsi="Goudy" w:cs="Goudy"/>
          <w:sz w:val="18"/>
          <w:szCs w:val="18"/>
          <w:lang w:val="en-GB"/>
        </w:rPr>
        <w:t xml:space="preserve">NASA. (2019). </w:t>
      </w:r>
      <w:r w:rsidRPr="006A40F1">
        <w:rPr>
          <w:rFonts w:ascii="Goudy-Italic" w:hAnsi="Goudy-Italic" w:cs="Goudy-Italic"/>
          <w:i/>
          <w:iCs/>
          <w:sz w:val="18"/>
          <w:szCs w:val="18"/>
          <w:lang w:val="en-GB"/>
        </w:rPr>
        <w:t>Data on carbon dioxide and temperature anomaly</w:t>
      </w:r>
      <w:r w:rsidRPr="006A40F1">
        <w:rPr>
          <w:rFonts w:ascii="Goudy" w:hAnsi="Goudy" w:cs="Goudy"/>
          <w:sz w:val="18"/>
          <w:szCs w:val="18"/>
          <w:lang w:val="en-GB"/>
        </w:rPr>
        <w:t>. Available online: https:// climate.nasa.gov/vital-signs/carbon-dioxide/(accessed June 2019).</w:t>
      </w:r>
    </w:p>
    <w:p w14:paraId="102F84F3" w14:textId="77777777" w:rsidR="008A66F7" w:rsidRPr="006A40F1" w:rsidRDefault="008A66F7" w:rsidP="008A66F7">
      <w:pPr>
        <w:autoSpaceDE w:val="0"/>
        <w:autoSpaceDN w:val="0"/>
        <w:adjustRightInd w:val="0"/>
        <w:spacing w:after="240" w:line="276" w:lineRule="auto"/>
        <w:rPr>
          <w:rFonts w:ascii="Goudy" w:hAnsi="Goudy" w:cs="Goudy"/>
          <w:color w:val="000000" w:themeColor="text1"/>
          <w:sz w:val="18"/>
          <w:szCs w:val="18"/>
          <w:lang w:val="en-GB"/>
        </w:rPr>
      </w:pPr>
      <w:r w:rsidRPr="006A40F1">
        <w:rPr>
          <w:rFonts w:ascii="Goudy" w:hAnsi="Goudy" w:cs="Goudy"/>
          <w:sz w:val="18"/>
          <w:szCs w:val="18"/>
          <w:lang w:val="en-GB"/>
        </w:rPr>
        <w:t xml:space="preserve">Nordhaus, W. D. (1973). World dynamics: Measurement without data. </w:t>
      </w:r>
      <w:r w:rsidRPr="006A40F1">
        <w:rPr>
          <w:rFonts w:ascii="Goudy-Italic" w:hAnsi="Goudy-Italic" w:cs="Goudy-Italic"/>
          <w:i/>
          <w:iCs/>
          <w:sz w:val="18"/>
          <w:szCs w:val="18"/>
          <w:lang w:val="en-GB"/>
        </w:rPr>
        <w:t xml:space="preserve">The Economic </w:t>
      </w:r>
      <w:r w:rsidRPr="006A40F1">
        <w:rPr>
          <w:rFonts w:ascii="Goudy-Italic" w:hAnsi="Goudy-Italic" w:cs="Goudy-Italic"/>
          <w:i/>
          <w:iCs/>
          <w:color w:val="000000" w:themeColor="text1"/>
          <w:sz w:val="18"/>
          <w:szCs w:val="18"/>
          <w:lang w:val="en-GB"/>
        </w:rPr>
        <w:t>Journal</w:t>
      </w:r>
      <w:r w:rsidRPr="006A40F1">
        <w:rPr>
          <w:rFonts w:ascii="Goudy" w:hAnsi="Goudy" w:cs="Goudy"/>
          <w:color w:val="000000" w:themeColor="text1"/>
          <w:sz w:val="18"/>
          <w:szCs w:val="18"/>
          <w:lang w:val="en-GB"/>
        </w:rPr>
        <w:t xml:space="preserve">, </w:t>
      </w:r>
      <w:r w:rsidRPr="006A40F1">
        <w:rPr>
          <w:rFonts w:ascii="Goudy-Italic" w:hAnsi="Goudy-Italic" w:cs="Goudy-Italic"/>
          <w:i/>
          <w:iCs/>
          <w:color w:val="000000" w:themeColor="text1"/>
          <w:sz w:val="18"/>
          <w:szCs w:val="18"/>
          <w:lang w:val="en-GB"/>
        </w:rPr>
        <w:t>83</w:t>
      </w:r>
      <w:r w:rsidRPr="006A40F1">
        <w:rPr>
          <w:rFonts w:ascii="Goudy" w:hAnsi="Goudy" w:cs="Goudy"/>
          <w:color w:val="000000" w:themeColor="text1"/>
          <w:sz w:val="18"/>
          <w:szCs w:val="18"/>
          <w:lang w:val="en-GB"/>
        </w:rPr>
        <w:t>(332), 1156–1183.</w:t>
      </w:r>
    </w:p>
    <w:p w14:paraId="0A0C06D1" w14:textId="77777777" w:rsidR="008A66F7" w:rsidRPr="006A40F1" w:rsidRDefault="008A66F7" w:rsidP="008A66F7">
      <w:pPr>
        <w:spacing w:after="240" w:line="276" w:lineRule="auto"/>
        <w:rPr>
          <w:color w:val="000000" w:themeColor="text1"/>
          <w:sz w:val="20"/>
          <w:szCs w:val="20"/>
          <w:lang w:val="en-GB"/>
        </w:rPr>
      </w:pPr>
      <w:r w:rsidRPr="006A40F1">
        <w:rPr>
          <w:color w:val="000000" w:themeColor="text1"/>
          <w:sz w:val="20"/>
          <w:szCs w:val="20"/>
          <w:lang w:val="en-GB"/>
        </w:rPr>
        <w:t>Pasqualino, R. and Jones, A. (2020</w:t>
      </w:r>
      <w:r w:rsidRPr="006A40F1">
        <w:rPr>
          <w:i/>
          <w:iCs/>
          <w:color w:val="000000" w:themeColor="text1"/>
          <w:sz w:val="20"/>
          <w:szCs w:val="20"/>
          <w:lang w:val="en-GB"/>
        </w:rPr>
        <w:t>). Resources, Financial Risk and the Dynamics of Growth – Systems and Global Society</w:t>
      </w:r>
      <w:r w:rsidRPr="006A40F1">
        <w:rPr>
          <w:color w:val="000000" w:themeColor="text1"/>
          <w:sz w:val="20"/>
          <w:szCs w:val="20"/>
          <w:lang w:val="en-GB"/>
        </w:rPr>
        <w:t>. Routledge, Oxford, UK.</w:t>
      </w:r>
    </w:p>
    <w:p w14:paraId="0A6E3DAC" w14:textId="77777777" w:rsidR="008A66F7" w:rsidRPr="006A40F1" w:rsidRDefault="008A66F7" w:rsidP="008A66F7">
      <w:pPr>
        <w:autoSpaceDE w:val="0"/>
        <w:autoSpaceDN w:val="0"/>
        <w:adjustRightInd w:val="0"/>
        <w:spacing w:after="240" w:line="276" w:lineRule="auto"/>
        <w:rPr>
          <w:rFonts w:ascii="Goudy" w:hAnsi="Goudy" w:cs="Goudy"/>
          <w:color w:val="000000" w:themeColor="text1"/>
          <w:sz w:val="18"/>
          <w:szCs w:val="18"/>
          <w:lang w:val="en-GB"/>
        </w:rPr>
      </w:pPr>
      <w:r w:rsidRPr="006A40F1">
        <w:rPr>
          <w:rFonts w:ascii="Goudy" w:hAnsi="Goudy" w:cs="Goudy"/>
          <w:color w:val="000000" w:themeColor="text1"/>
          <w:sz w:val="18"/>
          <w:szCs w:val="18"/>
          <w:lang w:val="en-GB"/>
        </w:rPr>
        <w:t xml:space="preserve">Pasqualino, R., Jones, A., Monasterolo, I., &amp; Phillips, A. (2015). Understanding global systems today – a calibration of the world3–03 model between 1995 and 2012. </w:t>
      </w:r>
      <w:r w:rsidRPr="006A40F1">
        <w:rPr>
          <w:rFonts w:ascii="Goudy-Italic" w:hAnsi="Goudy-Italic" w:cs="Goudy-Italic"/>
          <w:i/>
          <w:iCs/>
          <w:color w:val="000000" w:themeColor="text1"/>
          <w:sz w:val="18"/>
          <w:szCs w:val="18"/>
          <w:lang w:val="en-GB"/>
        </w:rPr>
        <w:t>Sustainability</w:t>
      </w:r>
      <w:r w:rsidRPr="006A40F1">
        <w:rPr>
          <w:rFonts w:ascii="Goudy" w:hAnsi="Goudy" w:cs="Goudy"/>
          <w:color w:val="000000" w:themeColor="text1"/>
          <w:sz w:val="18"/>
          <w:szCs w:val="18"/>
          <w:lang w:val="en-GB"/>
        </w:rPr>
        <w:t xml:space="preserve">, </w:t>
      </w:r>
      <w:r w:rsidRPr="006A40F1">
        <w:rPr>
          <w:rFonts w:ascii="Goudy-Italic" w:hAnsi="Goudy-Italic" w:cs="Goudy-Italic"/>
          <w:i/>
          <w:iCs/>
          <w:color w:val="000000" w:themeColor="text1"/>
          <w:sz w:val="18"/>
          <w:szCs w:val="18"/>
          <w:lang w:val="en-GB"/>
        </w:rPr>
        <w:t>7</w:t>
      </w:r>
      <w:r w:rsidRPr="006A40F1">
        <w:rPr>
          <w:rFonts w:ascii="Goudy" w:hAnsi="Goudy" w:cs="Goudy"/>
          <w:color w:val="000000" w:themeColor="text1"/>
          <w:sz w:val="18"/>
          <w:szCs w:val="18"/>
          <w:lang w:val="en-GB"/>
        </w:rPr>
        <w:t>(8), 9864–9889.</w:t>
      </w:r>
    </w:p>
    <w:p w14:paraId="4240965F" w14:textId="77777777" w:rsidR="008A66F7" w:rsidRPr="006A40F1" w:rsidRDefault="008A66F7" w:rsidP="008A66F7">
      <w:pPr>
        <w:spacing w:after="240" w:line="276" w:lineRule="auto"/>
        <w:rPr>
          <w:rFonts w:ascii="Goudy" w:hAnsi="Goudy" w:cs="Goudy"/>
          <w:sz w:val="18"/>
          <w:szCs w:val="18"/>
          <w:lang w:val="en-GB"/>
        </w:rPr>
      </w:pPr>
      <w:r w:rsidRPr="006A40F1">
        <w:rPr>
          <w:rFonts w:ascii="Goudy" w:hAnsi="Goudy" w:cs="Goudy"/>
          <w:sz w:val="18"/>
          <w:szCs w:val="18"/>
          <w:lang w:val="en-GB"/>
        </w:rPr>
        <w:t xml:space="preserve">REN21. (2018). </w:t>
      </w:r>
      <w:r w:rsidRPr="006A40F1">
        <w:rPr>
          <w:rFonts w:ascii="Goudy-Italic" w:hAnsi="Goudy-Italic" w:cs="Goudy-Italic"/>
          <w:i/>
          <w:iCs/>
          <w:sz w:val="18"/>
          <w:szCs w:val="18"/>
          <w:lang w:val="en-GB"/>
        </w:rPr>
        <w:t>Renewables 2018 global status report</w:t>
      </w:r>
      <w:r w:rsidRPr="006A40F1">
        <w:rPr>
          <w:rFonts w:ascii="Goudy" w:hAnsi="Goudy" w:cs="Goudy"/>
          <w:sz w:val="18"/>
          <w:szCs w:val="18"/>
          <w:lang w:val="en-GB"/>
        </w:rPr>
        <w:t>. UNEP, Paris, France.</w:t>
      </w:r>
    </w:p>
    <w:p w14:paraId="42D59EC4" w14:textId="77777777" w:rsidR="008A66F7" w:rsidRPr="006A40F1" w:rsidRDefault="008A66F7" w:rsidP="008A66F7">
      <w:pPr>
        <w:spacing w:after="240" w:line="276" w:lineRule="auto"/>
        <w:rPr>
          <w:rFonts w:ascii="Goudy" w:hAnsi="Goudy" w:cs="Goudy"/>
          <w:sz w:val="18"/>
          <w:szCs w:val="18"/>
          <w:lang w:val="en-GB"/>
        </w:rPr>
      </w:pPr>
      <w:r w:rsidRPr="006A40F1">
        <w:rPr>
          <w:rFonts w:ascii="Goudy" w:hAnsi="Goudy" w:cs="Goudy"/>
          <w:sz w:val="18"/>
          <w:szCs w:val="18"/>
          <w:lang w:val="en-GB"/>
        </w:rPr>
        <w:t xml:space="preserve">Schwab, K. (2017). </w:t>
      </w:r>
      <w:r w:rsidRPr="006A40F1">
        <w:rPr>
          <w:rFonts w:ascii="Goudy-Italic" w:hAnsi="Goudy-Italic" w:cs="Goudy-Italic"/>
          <w:i/>
          <w:iCs/>
          <w:sz w:val="18"/>
          <w:szCs w:val="18"/>
          <w:lang w:val="en-GB"/>
        </w:rPr>
        <w:t>The fourth industrial revolution</w:t>
      </w:r>
      <w:r w:rsidRPr="006A40F1">
        <w:rPr>
          <w:rFonts w:ascii="Goudy" w:hAnsi="Goudy" w:cs="Goudy"/>
          <w:sz w:val="18"/>
          <w:szCs w:val="18"/>
          <w:lang w:val="en-GB"/>
        </w:rPr>
        <w:t>. Currency, Currency Penguin, UK.</w:t>
      </w:r>
    </w:p>
    <w:p w14:paraId="1838A065" w14:textId="77777777" w:rsidR="008A66F7" w:rsidRPr="006A40F1" w:rsidRDefault="008A66F7" w:rsidP="008A66F7">
      <w:pPr>
        <w:autoSpaceDE w:val="0"/>
        <w:autoSpaceDN w:val="0"/>
        <w:adjustRightInd w:val="0"/>
        <w:spacing w:after="240" w:line="276" w:lineRule="auto"/>
        <w:rPr>
          <w:rFonts w:ascii="Goudy" w:hAnsi="Goudy" w:cs="Goudy"/>
          <w:sz w:val="18"/>
          <w:szCs w:val="18"/>
          <w:lang w:val="en-GB"/>
        </w:rPr>
      </w:pPr>
      <w:r w:rsidRPr="006A40F1">
        <w:rPr>
          <w:rFonts w:ascii="Goudy" w:hAnsi="Goudy" w:cs="Goudy"/>
          <w:sz w:val="18"/>
          <w:szCs w:val="18"/>
          <w:lang w:val="en-GB"/>
        </w:rPr>
        <w:t xml:space="preserve">Silver, N. (2017). </w:t>
      </w:r>
      <w:r w:rsidRPr="006A40F1">
        <w:rPr>
          <w:rFonts w:ascii="Goudy-Italic" w:hAnsi="Goudy-Italic" w:cs="Goudy-Italic"/>
          <w:i/>
          <w:iCs/>
          <w:sz w:val="18"/>
          <w:szCs w:val="18"/>
          <w:lang w:val="en-GB"/>
        </w:rPr>
        <w:t>Finance, society and sustainability: How to make the financial system work for the economy, people and planet</w:t>
      </w:r>
      <w:r w:rsidRPr="006A40F1">
        <w:rPr>
          <w:rFonts w:ascii="Goudy" w:hAnsi="Goudy" w:cs="Goudy"/>
          <w:sz w:val="18"/>
          <w:szCs w:val="18"/>
          <w:lang w:val="en-GB"/>
        </w:rPr>
        <w:t>. Springer, Berlin, Germany.</w:t>
      </w:r>
    </w:p>
    <w:p w14:paraId="4F6DF857" w14:textId="77777777" w:rsidR="008A66F7" w:rsidRPr="006A40F1" w:rsidRDefault="008A66F7" w:rsidP="008A66F7">
      <w:pPr>
        <w:autoSpaceDE w:val="0"/>
        <w:autoSpaceDN w:val="0"/>
        <w:adjustRightInd w:val="0"/>
        <w:spacing w:after="240" w:line="276" w:lineRule="auto"/>
        <w:rPr>
          <w:rFonts w:ascii="Goudy" w:hAnsi="Goudy" w:cs="Goudy"/>
          <w:sz w:val="18"/>
          <w:szCs w:val="18"/>
          <w:lang w:val="en-GB"/>
        </w:rPr>
      </w:pPr>
      <w:r w:rsidRPr="006A40F1">
        <w:rPr>
          <w:rFonts w:ascii="Goudy" w:hAnsi="Goudy" w:cs="Goudy"/>
          <w:sz w:val="18"/>
          <w:szCs w:val="18"/>
          <w:lang w:val="en-GB"/>
        </w:rPr>
        <w:t xml:space="preserve">Smith, A. (1776). </w:t>
      </w:r>
      <w:r w:rsidRPr="006A40F1">
        <w:rPr>
          <w:rFonts w:ascii="Goudy-Italic" w:hAnsi="Goudy-Italic" w:cs="Goudy-Italic"/>
          <w:i/>
          <w:iCs/>
          <w:sz w:val="18"/>
          <w:szCs w:val="18"/>
          <w:lang w:val="en-GB"/>
        </w:rPr>
        <w:t xml:space="preserve">An inquiry into the nature and causes of the wealth of nations </w:t>
      </w:r>
      <w:r w:rsidRPr="006A40F1">
        <w:rPr>
          <w:rFonts w:ascii="Goudy" w:hAnsi="Goudy" w:cs="Goudy"/>
          <w:sz w:val="18"/>
          <w:szCs w:val="18"/>
          <w:lang w:val="en-GB"/>
        </w:rPr>
        <w:t>(S. M. Soares, Ed.). Metalibri Digital Library. Available online at https://www.ibiblio.org/ml/libri/s/SmithA_WealthNations_p.pdf</w:t>
      </w:r>
    </w:p>
    <w:p w14:paraId="48DCFD8B" w14:textId="77777777" w:rsidR="008A66F7" w:rsidRPr="006A40F1" w:rsidRDefault="008A66F7" w:rsidP="008A66F7">
      <w:pPr>
        <w:autoSpaceDE w:val="0"/>
        <w:autoSpaceDN w:val="0"/>
        <w:adjustRightInd w:val="0"/>
        <w:spacing w:after="240" w:line="276" w:lineRule="auto"/>
        <w:rPr>
          <w:rFonts w:ascii="Goudy" w:hAnsi="Goudy" w:cs="Goudy"/>
          <w:sz w:val="18"/>
          <w:szCs w:val="18"/>
          <w:lang w:val="en-GB"/>
        </w:rPr>
      </w:pPr>
      <w:r w:rsidRPr="006A40F1">
        <w:rPr>
          <w:rFonts w:ascii="Goudy" w:hAnsi="Goudy" w:cs="Goudy"/>
          <w:sz w:val="18"/>
          <w:szCs w:val="18"/>
          <w:lang w:val="en-GB"/>
        </w:rPr>
        <w:t xml:space="preserve">Steffen, W., Richardson, K., Rockström, J., Cornell, S. E., Fetzer, I., Bennett, E. M., . . . De Wit, C. A. (2015). Planetary boundaries: Guiding human development on a changing planet. </w:t>
      </w:r>
      <w:r w:rsidRPr="006A40F1">
        <w:rPr>
          <w:rFonts w:ascii="Goudy-Italic" w:hAnsi="Goudy-Italic" w:cs="Goudy-Italic"/>
          <w:i/>
          <w:iCs/>
          <w:sz w:val="18"/>
          <w:szCs w:val="18"/>
          <w:lang w:val="en-GB"/>
        </w:rPr>
        <w:t>Science</w:t>
      </w:r>
      <w:r w:rsidRPr="006A40F1">
        <w:rPr>
          <w:rFonts w:ascii="Goudy" w:hAnsi="Goudy" w:cs="Goudy"/>
          <w:sz w:val="18"/>
          <w:szCs w:val="18"/>
          <w:lang w:val="en-GB"/>
        </w:rPr>
        <w:t xml:space="preserve">, </w:t>
      </w:r>
      <w:r w:rsidRPr="006A40F1">
        <w:rPr>
          <w:rFonts w:ascii="Goudy-Italic" w:hAnsi="Goudy-Italic" w:cs="Goudy-Italic"/>
          <w:i/>
          <w:iCs/>
          <w:sz w:val="18"/>
          <w:szCs w:val="18"/>
          <w:lang w:val="en-GB"/>
        </w:rPr>
        <w:t>347</w:t>
      </w:r>
      <w:r w:rsidRPr="006A40F1">
        <w:rPr>
          <w:rFonts w:ascii="Goudy" w:hAnsi="Goudy" w:cs="Goudy"/>
          <w:sz w:val="18"/>
          <w:szCs w:val="18"/>
          <w:lang w:val="en-GB"/>
        </w:rPr>
        <w:t>(6223), 1259855.</w:t>
      </w:r>
    </w:p>
    <w:p w14:paraId="60F79277" w14:textId="77777777" w:rsidR="008A66F7" w:rsidRPr="006A40F1" w:rsidRDefault="008A66F7" w:rsidP="008A66F7">
      <w:pPr>
        <w:autoSpaceDE w:val="0"/>
        <w:autoSpaceDN w:val="0"/>
        <w:adjustRightInd w:val="0"/>
        <w:spacing w:after="240" w:line="276" w:lineRule="auto"/>
        <w:rPr>
          <w:rFonts w:ascii="Goudy" w:hAnsi="Goudy" w:cs="Goudy"/>
          <w:sz w:val="18"/>
          <w:szCs w:val="18"/>
          <w:lang w:val="en-GB"/>
        </w:rPr>
      </w:pPr>
      <w:r w:rsidRPr="006A40F1">
        <w:rPr>
          <w:rFonts w:ascii="Goudy" w:hAnsi="Goudy" w:cs="Goudy"/>
          <w:sz w:val="18"/>
          <w:szCs w:val="18"/>
          <w:lang w:val="en-GB"/>
        </w:rPr>
        <w:lastRenderedPageBreak/>
        <w:t xml:space="preserve">Steffen, W., Rockström, J., Richardson, K., Lenton, T. M., Folke, C., Liverman, D., . . . Crucifix, M. (2018). Trajectories of the earth system in the anthropocene. </w:t>
      </w:r>
      <w:r w:rsidRPr="006A40F1">
        <w:rPr>
          <w:rFonts w:ascii="Goudy-Italic" w:hAnsi="Goudy-Italic" w:cs="Goudy-Italic"/>
          <w:i/>
          <w:iCs/>
          <w:sz w:val="18"/>
          <w:szCs w:val="18"/>
          <w:lang w:val="en-GB"/>
        </w:rPr>
        <w:t>Proceedings of the National Academy of Sciences</w:t>
      </w:r>
      <w:r w:rsidRPr="006A40F1">
        <w:rPr>
          <w:rFonts w:ascii="Goudy" w:hAnsi="Goudy" w:cs="Goudy"/>
          <w:sz w:val="18"/>
          <w:szCs w:val="18"/>
          <w:lang w:val="en-GB"/>
        </w:rPr>
        <w:t xml:space="preserve">, </w:t>
      </w:r>
      <w:r w:rsidRPr="006A40F1">
        <w:rPr>
          <w:rFonts w:ascii="Goudy-Italic" w:hAnsi="Goudy-Italic" w:cs="Goudy-Italic"/>
          <w:i/>
          <w:iCs/>
          <w:sz w:val="18"/>
          <w:szCs w:val="18"/>
          <w:lang w:val="en-GB"/>
        </w:rPr>
        <w:t>115</w:t>
      </w:r>
      <w:r w:rsidRPr="006A40F1">
        <w:rPr>
          <w:rFonts w:ascii="Goudy" w:hAnsi="Goudy" w:cs="Goudy"/>
          <w:sz w:val="18"/>
          <w:szCs w:val="18"/>
          <w:lang w:val="en-GB"/>
        </w:rPr>
        <w:t>(33), 8252–8259.</w:t>
      </w:r>
    </w:p>
    <w:p w14:paraId="14BAB853" w14:textId="77777777" w:rsidR="008A66F7" w:rsidRPr="006A40F1" w:rsidRDefault="008A66F7" w:rsidP="008A66F7">
      <w:pPr>
        <w:autoSpaceDE w:val="0"/>
        <w:autoSpaceDN w:val="0"/>
        <w:adjustRightInd w:val="0"/>
        <w:spacing w:after="240" w:line="276" w:lineRule="auto"/>
        <w:rPr>
          <w:sz w:val="20"/>
          <w:szCs w:val="20"/>
          <w:lang w:val="en-GB"/>
        </w:rPr>
      </w:pPr>
      <w:r w:rsidRPr="006A40F1">
        <w:rPr>
          <w:rFonts w:ascii="Goudy" w:hAnsi="Goudy" w:cs="Goudy"/>
          <w:sz w:val="18"/>
          <w:szCs w:val="18"/>
          <w:lang w:val="en-GB"/>
        </w:rPr>
        <w:t xml:space="preserve">Stern, N. (2006). </w:t>
      </w:r>
      <w:r w:rsidRPr="006A40F1">
        <w:rPr>
          <w:rFonts w:ascii="Goudy-Italic" w:hAnsi="Goudy-Italic" w:cs="Goudy-Italic"/>
          <w:i/>
          <w:iCs/>
          <w:sz w:val="18"/>
          <w:szCs w:val="18"/>
          <w:lang w:val="en-GB"/>
        </w:rPr>
        <w:t>Stern review on the economics of climate change, 2006</w:t>
      </w:r>
      <w:r w:rsidRPr="006A40F1">
        <w:rPr>
          <w:rFonts w:ascii="Goudy" w:hAnsi="Goudy" w:cs="Goudy"/>
          <w:sz w:val="18"/>
          <w:szCs w:val="18"/>
          <w:lang w:val="en-GB"/>
        </w:rPr>
        <w:t>. Government of the United Kingdom, London.</w:t>
      </w:r>
    </w:p>
    <w:p w14:paraId="5A3DFA81" w14:textId="77777777" w:rsidR="008A66F7" w:rsidRPr="006A40F1" w:rsidRDefault="008A66F7" w:rsidP="008A66F7">
      <w:pPr>
        <w:autoSpaceDE w:val="0"/>
        <w:autoSpaceDN w:val="0"/>
        <w:adjustRightInd w:val="0"/>
        <w:spacing w:after="240" w:line="276" w:lineRule="auto"/>
        <w:rPr>
          <w:rFonts w:ascii="Goudy" w:hAnsi="Goudy" w:cs="Goudy"/>
          <w:sz w:val="18"/>
          <w:szCs w:val="18"/>
          <w:lang w:val="en-GB"/>
        </w:rPr>
      </w:pPr>
      <w:r w:rsidRPr="006A40F1">
        <w:rPr>
          <w:rFonts w:ascii="Goudy" w:hAnsi="Goudy" w:cs="Goudy"/>
          <w:sz w:val="18"/>
          <w:szCs w:val="18"/>
          <w:lang w:val="en-GB"/>
        </w:rPr>
        <w:t xml:space="preserve">United Nations Population Division Report. </w:t>
      </w:r>
      <w:r w:rsidRPr="006A40F1">
        <w:rPr>
          <w:rFonts w:ascii="Goudy-Italic" w:hAnsi="Goudy-Italic" w:cs="Goudy-Italic"/>
          <w:i/>
          <w:iCs/>
          <w:sz w:val="18"/>
          <w:szCs w:val="18"/>
          <w:lang w:val="en-GB"/>
        </w:rPr>
        <w:t>United Nations, department of economic and social affairs</w:t>
      </w:r>
      <w:r w:rsidRPr="006A40F1">
        <w:rPr>
          <w:rFonts w:ascii="Goudy" w:hAnsi="Goudy" w:cs="Goudy"/>
          <w:sz w:val="18"/>
          <w:szCs w:val="18"/>
          <w:lang w:val="en-GB"/>
        </w:rPr>
        <w:t xml:space="preserve">. Available online: </w:t>
      </w:r>
      <w:hyperlink r:id="rId12" w:history="1">
        <w:r w:rsidRPr="006A40F1">
          <w:rPr>
            <w:rStyle w:val="Hyperlink"/>
            <w:rFonts w:ascii="Goudy" w:hAnsi="Goudy" w:cs="Goudy"/>
            <w:sz w:val="18"/>
            <w:szCs w:val="18"/>
            <w:lang w:val="en-GB"/>
          </w:rPr>
          <w:t>http://esa.un.org/unpd/wpp/unpp/panel_population.htm</w:t>
        </w:r>
      </w:hyperlink>
      <w:r w:rsidRPr="006A40F1">
        <w:rPr>
          <w:rFonts w:ascii="Goudy" w:hAnsi="Goudy" w:cs="Goudy"/>
          <w:sz w:val="18"/>
          <w:szCs w:val="18"/>
          <w:lang w:val="en-GB"/>
        </w:rPr>
        <w:t xml:space="preserve"> (accessed May 2018).</w:t>
      </w:r>
    </w:p>
    <w:p w14:paraId="16C0031A" w14:textId="77777777" w:rsidR="008A66F7" w:rsidRPr="006A40F1" w:rsidRDefault="008A66F7" w:rsidP="008A66F7">
      <w:pPr>
        <w:autoSpaceDE w:val="0"/>
        <w:autoSpaceDN w:val="0"/>
        <w:adjustRightInd w:val="0"/>
        <w:spacing w:after="240" w:line="276" w:lineRule="auto"/>
        <w:rPr>
          <w:rFonts w:ascii="Goudy" w:hAnsi="Goudy" w:cs="Goudy"/>
          <w:sz w:val="18"/>
          <w:szCs w:val="18"/>
          <w:lang w:val="en-GB"/>
        </w:rPr>
      </w:pPr>
      <w:r w:rsidRPr="006A40F1">
        <w:rPr>
          <w:rFonts w:ascii="Goudy" w:hAnsi="Goudy" w:cs="Goudy"/>
          <w:sz w:val="18"/>
          <w:szCs w:val="18"/>
          <w:lang w:val="en-GB"/>
        </w:rPr>
        <w:t xml:space="preserve">United Nations. (2019). </w:t>
      </w:r>
      <w:r w:rsidRPr="006A40F1">
        <w:rPr>
          <w:rFonts w:ascii="Goudy-Italic" w:hAnsi="Goudy-Italic" w:cs="Goudy-Italic"/>
          <w:i/>
          <w:iCs/>
          <w:sz w:val="18"/>
          <w:szCs w:val="18"/>
          <w:lang w:val="en-GB"/>
        </w:rPr>
        <w:t>The sustainable development goals report 2019</w:t>
      </w:r>
      <w:r w:rsidRPr="006A40F1">
        <w:rPr>
          <w:rFonts w:ascii="Goudy" w:hAnsi="Goudy" w:cs="Goudy"/>
          <w:sz w:val="18"/>
          <w:szCs w:val="18"/>
          <w:lang w:val="en-GB"/>
        </w:rPr>
        <w:t>. United Nations, Geneva, Switzerland.</w:t>
      </w:r>
    </w:p>
    <w:p w14:paraId="43416164" w14:textId="77777777" w:rsidR="00DE2F81" w:rsidRDefault="008A66F7" w:rsidP="00DE2F81">
      <w:pPr>
        <w:autoSpaceDE w:val="0"/>
        <w:autoSpaceDN w:val="0"/>
        <w:adjustRightInd w:val="0"/>
        <w:spacing w:after="240" w:line="276" w:lineRule="auto"/>
        <w:rPr>
          <w:rStyle w:val="Strong"/>
          <w:rFonts w:ascii="Goudy" w:hAnsi="Goudy" w:cs="Goudy"/>
          <w:b w:val="0"/>
          <w:sz w:val="18"/>
          <w:szCs w:val="18"/>
          <w:lang w:val="en-GB"/>
        </w:rPr>
      </w:pPr>
      <w:r w:rsidRPr="006A40F1">
        <w:rPr>
          <w:rFonts w:ascii="Goudy" w:hAnsi="Goudy" w:cs="Goudy"/>
          <w:sz w:val="18"/>
          <w:szCs w:val="18"/>
          <w:lang w:val="en-GB"/>
        </w:rPr>
        <w:t xml:space="preserve">Wijkman, A., &amp; Rockström, J. (2013). </w:t>
      </w:r>
      <w:r w:rsidRPr="006A40F1">
        <w:rPr>
          <w:rFonts w:ascii="Goudy-Italic" w:hAnsi="Goudy-Italic" w:cs="Goudy-Italic"/>
          <w:i/>
          <w:iCs/>
          <w:sz w:val="18"/>
          <w:szCs w:val="18"/>
          <w:lang w:val="en-GB"/>
        </w:rPr>
        <w:t>Bankrupting nature: Denying our planetary boundaries</w:t>
      </w:r>
      <w:r w:rsidRPr="006A40F1">
        <w:rPr>
          <w:rFonts w:ascii="Goudy" w:hAnsi="Goudy" w:cs="Goudy"/>
          <w:sz w:val="18"/>
          <w:szCs w:val="18"/>
          <w:lang w:val="en-GB"/>
        </w:rPr>
        <w:t>. Routledge, Oxford, UK.</w:t>
      </w:r>
    </w:p>
    <w:p w14:paraId="0814283A" w14:textId="77777777" w:rsidR="00DE2F81" w:rsidRDefault="00DE2F81" w:rsidP="00DE2F81">
      <w:pPr>
        <w:autoSpaceDE w:val="0"/>
        <w:autoSpaceDN w:val="0"/>
        <w:adjustRightInd w:val="0"/>
        <w:spacing w:after="240" w:line="276" w:lineRule="auto"/>
        <w:rPr>
          <w:rStyle w:val="Strong"/>
          <w:rFonts w:ascii="Goudy" w:hAnsi="Goudy" w:cs="Goudy"/>
          <w:b w:val="0"/>
          <w:sz w:val="18"/>
          <w:szCs w:val="18"/>
          <w:lang w:val="en-GB"/>
        </w:rPr>
      </w:pPr>
    </w:p>
    <w:p w14:paraId="794FC90D" w14:textId="3E42145E" w:rsidR="00DE2F81" w:rsidRPr="00DE2F81" w:rsidRDefault="00AA7A59" w:rsidP="00DE2F81">
      <w:pPr>
        <w:autoSpaceDE w:val="0"/>
        <w:autoSpaceDN w:val="0"/>
        <w:adjustRightInd w:val="0"/>
        <w:spacing w:after="240" w:line="276" w:lineRule="auto"/>
        <w:rPr>
          <w:rStyle w:val="Strong"/>
          <w:rFonts w:ascii="Goudy" w:hAnsi="Goudy" w:cs="Goudy"/>
          <w:b w:val="0"/>
          <w:sz w:val="18"/>
          <w:szCs w:val="18"/>
          <w:lang w:val="en-GB"/>
        </w:rPr>
      </w:pPr>
      <w:r w:rsidRPr="006A40F1">
        <w:rPr>
          <w:rStyle w:val="Strong"/>
          <w:lang w:val="en-GB"/>
        </w:rPr>
        <w:t>Bio</w:t>
      </w:r>
      <w:r w:rsidR="001F3337" w:rsidRPr="006A40F1">
        <w:rPr>
          <w:rStyle w:val="Strong"/>
          <w:lang w:val="en-GB"/>
        </w:rPr>
        <w:t>graphy</w:t>
      </w:r>
      <w:r w:rsidRPr="006A40F1">
        <w:rPr>
          <w:rStyle w:val="Strong"/>
          <w:lang w:val="en-GB"/>
        </w:rPr>
        <w:t>:</w:t>
      </w:r>
    </w:p>
    <w:p w14:paraId="058FDB8A" w14:textId="77777777" w:rsidR="00DE2F81" w:rsidRPr="006A40F1" w:rsidRDefault="00DE2F81" w:rsidP="00DE2F81">
      <w:pPr>
        <w:rPr>
          <w:rStyle w:val="Strong"/>
          <w:lang w:val="en-GB"/>
        </w:rPr>
      </w:pPr>
    </w:p>
    <w:p w14:paraId="2320A359" w14:textId="77777777" w:rsidR="003E15B0" w:rsidRPr="006A40F1" w:rsidRDefault="003E15B0" w:rsidP="003E15B0">
      <w:pPr>
        <w:spacing w:line="240" w:lineRule="atLeast"/>
        <w:rPr>
          <w:rFonts w:cs="Arial"/>
          <w:sz w:val="20"/>
          <w:szCs w:val="20"/>
          <w:lang w:val="en-GB"/>
        </w:rPr>
      </w:pPr>
      <w:r w:rsidRPr="006A40F1">
        <w:rPr>
          <w:rFonts w:cs="Arial"/>
          <w:sz w:val="20"/>
          <w:szCs w:val="20"/>
          <w:lang w:val="en-GB"/>
        </w:rPr>
        <w:t>Roberto Pasqualino is Visiting Researcher of the Global Sustainability Institute at Anglia Ruskin University, UK and Chief Innovation Officer of Exoshock Ltd, a global risk analysis company based on Roberto’s research. With background and culture in industrial engineering, Roberto’s research interest is in system dynamics modelling of industrial policies for the analysis of financial risk and sustainability.</w:t>
      </w:r>
    </w:p>
    <w:p w14:paraId="362754F7" w14:textId="77777777" w:rsidR="003E15B0" w:rsidRPr="006A40F1" w:rsidRDefault="003E15B0" w:rsidP="003E15B0">
      <w:pPr>
        <w:spacing w:line="240" w:lineRule="atLeast"/>
        <w:rPr>
          <w:rFonts w:cs="Arial"/>
          <w:sz w:val="20"/>
          <w:szCs w:val="20"/>
          <w:lang w:val="en-GB"/>
        </w:rPr>
      </w:pPr>
    </w:p>
    <w:p w14:paraId="1DF35416" w14:textId="04295AC1" w:rsidR="003E15B0" w:rsidRPr="006A40F1" w:rsidRDefault="003E15B0" w:rsidP="003E15B0">
      <w:pPr>
        <w:spacing w:line="240" w:lineRule="atLeast"/>
        <w:rPr>
          <w:rFonts w:cs="Arial"/>
          <w:sz w:val="20"/>
          <w:szCs w:val="20"/>
          <w:lang w:val="en-GB"/>
        </w:rPr>
      </w:pPr>
      <w:r w:rsidRPr="006A40F1">
        <w:rPr>
          <w:rFonts w:cs="Arial"/>
          <w:sz w:val="20"/>
          <w:szCs w:val="20"/>
          <w:lang w:val="en-GB"/>
        </w:rPr>
        <w:t>Roberto developed his own Economic Risk Resources and Environment system model to quantitatively capture the financial risks emerging from the interaction between the dynamics of growth and global ecological constraints during his Research Fellowship</w:t>
      </w:r>
      <w:r w:rsidR="009B0E1D" w:rsidRPr="006A40F1">
        <w:rPr>
          <w:rFonts w:cs="Arial"/>
          <w:sz w:val="20"/>
          <w:szCs w:val="20"/>
          <w:lang w:val="en-GB"/>
        </w:rPr>
        <w:t>,</w:t>
      </w:r>
      <w:r w:rsidRPr="006A40F1">
        <w:rPr>
          <w:rFonts w:cs="Arial"/>
          <w:sz w:val="20"/>
          <w:szCs w:val="20"/>
          <w:lang w:val="en-GB"/>
        </w:rPr>
        <w:t xml:space="preserve"> under the Economic and Social Research Council CUSP project. This allowed him to create his own company Exoshock Ltd to help businesses to deal with those environmental and economic shocks that have the potential to disrupt their markets in a complex world thus reducing future risks. Roberto is one of the maximum experts on the Limits to Growth in the UK and author of the book “Resources, Financial Risk and Dynamics of Growth – Systems and Global Society, Routledge Oxford” co-authored with Professor Aled Jones. </w:t>
      </w:r>
    </w:p>
    <w:p w14:paraId="1AED86FE" w14:textId="77777777" w:rsidR="003E15B0" w:rsidRPr="006A40F1" w:rsidRDefault="003E15B0" w:rsidP="003E15B0">
      <w:pPr>
        <w:spacing w:line="240" w:lineRule="atLeast"/>
        <w:rPr>
          <w:rFonts w:cs="Arial"/>
          <w:sz w:val="20"/>
          <w:szCs w:val="20"/>
          <w:lang w:val="en-GB"/>
        </w:rPr>
      </w:pPr>
    </w:p>
    <w:p w14:paraId="6DB9778B" w14:textId="5F02D9D6" w:rsidR="006624AC" w:rsidRPr="006A40F1" w:rsidRDefault="003E15B0" w:rsidP="003E15B0">
      <w:pPr>
        <w:spacing w:line="240" w:lineRule="atLeast"/>
        <w:rPr>
          <w:sz w:val="20"/>
          <w:szCs w:val="20"/>
          <w:lang w:val="en-GB"/>
        </w:rPr>
      </w:pPr>
      <w:r w:rsidRPr="006A40F1">
        <w:rPr>
          <w:rFonts w:cs="Arial"/>
          <w:sz w:val="20"/>
          <w:szCs w:val="20"/>
          <w:lang w:val="en-GB"/>
        </w:rPr>
        <w:lastRenderedPageBreak/>
        <w:t>Roberto’s expertise encompasses sustainable supply chain management, business practices, risk assessment, circular economy, energy transitions, climate change, food security, behavioural and evolutionary economics, and strategy. The methods adopted include system dynamics, econometrics, game theory, complex networks, statistics, and simulation techniques in general. Roberto has been teaching university lectures at BSc, MSc and MBA levels since 2013.</w:t>
      </w:r>
    </w:p>
    <w:sectPr w:rsidR="006624AC" w:rsidRPr="006A40F1" w:rsidSect="00F8041C">
      <w:headerReference w:type="default" r:id="rId13"/>
      <w:footerReference w:type="even" r:id="rId14"/>
      <w:footerReference w:type="default" r:id="rId15"/>
      <w:pgSz w:w="12240" w:h="15840"/>
      <w:pgMar w:top="2952" w:right="2664" w:bottom="3226" w:left="2606"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0AEEC1" w14:textId="77777777" w:rsidR="007C02C6" w:rsidRDefault="007C02C6" w:rsidP="001D0A84">
      <w:r>
        <w:separator/>
      </w:r>
    </w:p>
  </w:endnote>
  <w:endnote w:type="continuationSeparator" w:id="0">
    <w:p w14:paraId="5E59A0A1" w14:textId="77777777" w:rsidR="007C02C6" w:rsidRDefault="007C02C6" w:rsidP="001D0A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PMingLiU">
    <w:altName w:val="新細明體"/>
    <w:panose1 w:val="02010601000101010101"/>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Goudy">
    <w:altName w:val="Cambria"/>
    <w:charset w:val="00"/>
    <w:family w:val="roman"/>
    <w:pitch w:val="default"/>
    <w:sig w:usb0="00000003" w:usb1="00000000" w:usb2="00000000" w:usb3="00000000" w:csb0="00000001" w:csb1="00000000"/>
  </w:font>
  <w:font w:name="Goudy-Italic">
    <w:altName w:val="Cambria"/>
    <w:charset w:val="00"/>
    <w:family w:val="roman"/>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F5907A" w14:textId="77777777" w:rsidR="000676A7" w:rsidRDefault="000676A7" w:rsidP="001F76E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FB47948" w14:textId="77777777" w:rsidR="000676A7" w:rsidRDefault="000676A7" w:rsidP="001F76ED">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82BFAE" w14:textId="77777777" w:rsidR="000676A7" w:rsidRDefault="000676A7" w:rsidP="001F76ED">
    <w:pPr>
      <w:pStyle w:val="Footer"/>
      <w:framePr w:wrap="around" w:vAnchor="text" w:hAnchor="margin" w:xAlign="right" w:y="1"/>
      <w:rPr>
        <w:rStyle w:val="PageNumber"/>
      </w:rPr>
    </w:pPr>
  </w:p>
  <w:p w14:paraId="5B0041AA" w14:textId="77777777" w:rsidR="000676A7" w:rsidRDefault="000676A7" w:rsidP="001F76ED">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162AE3" w14:textId="77777777" w:rsidR="007C02C6" w:rsidRDefault="007C02C6" w:rsidP="001D0A84">
      <w:r>
        <w:separator/>
      </w:r>
    </w:p>
  </w:footnote>
  <w:footnote w:type="continuationSeparator" w:id="0">
    <w:p w14:paraId="403A9E84" w14:textId="77777777" w:rsidR="007C02C6" w:rsidRDefault="007C02C6" w:rsidP="001D0A84">
      <w:r>
        <w:continuationSeparator/>
      </w:r>
    </w:p>
  </w:footnote>
  <w:footnote w:id="1">
    <w:p w14:paraId="53495D77" w14:textId="77777777" w:rsidR="000676A7" w:rsidRDefault="000676A7">
      <w:pPr>
        <w:pStyle w:val="FootnoteText"/>
        <w:rPr>
          <w:sz w:val="18"/>
          <w:szCs w:val="18"/>
        </w:rPr>
      </w:pPr>
    </w:p>
    <w:p w14:paraId="40936F14" w14:textId="67EF67C8" w:rsidR="000676A7" w:rsidRPr="003E15B0" w:rsidRDefault="000676A7" w:rsidP="009B4864">
      <w:pPr>
        <w:pStyle w:val="FootnoteText"/>
        <w:ind w:firstLine="270"/>
        <w:rPr>
          <w:sz w:val="18"/>
          <w:szCs w:val="18"/>
          <w:lang w:val="en-GB"/>
        </w:rPr>
      </w:pPr>
      <w:r w:rsidRPr="00E3052E">
        <w:rPr>
          <w:rStyle w:val="FootnoteReference"/>
          <w:sz w:val="18"/>
          <w:szCs w:val="18"/>
        </w:rPr>
        <w:footnoteRef/>
      </w:r>
      <w:r w:rsidRPr="003E15B0">
        <w:rPr>
          <w:sz w:val="18"/>
          <w:szCs w:val="18"/>
          <w:lang w:val="en-GB"/>
        </w:rPr>
        <w:t xml:space="preserve"> </w:t>
      </w:r>
      <w:r w:rsidRPr="003E15B0">
        <w:rPr>
          <w:sz w:val="18"/>
          <w:szCs w:val="18"/>
          <w:lang w:val="en-GB"/>
        </w:rPr>
        <w:tab/>
      </w:r>
      <w:r w:rsidR="00C00BD1" w:rsidRPr="003E15B0">
        <w:rPr>
          <w:sz w:val="18"/>
          <w:szCs w:val="18"/>
          <w:lang w:val="en-GB"/>
        </w:rPr>
        <w:t>Roberto Pasqualino</w:t>
      </w:r>
      <w:r w:rsidRPr="003E15B0">
        <w:rPr>
          <w:sz w:val="18"/>
          <w:szCs w:val="18"/>
          <w:lang w:val="en-GB"/>
        </w:rPr>
        <w:t>, Ph.D.</w:t>
      </w:r>
      <w:r w:rsidR="00D81467" w:rsidRPr="003E15B0">
        <w:rPr>
          <w:sz w:val="18"/>
          <w:szCs w:val="18"/>
          <w:lang w:val="en-GB"/>
        </w:rPr>
        <w:t>, Eng</w:t>
      </w:r>
    </w:p>
    <w:p w14:paraId="5C9ED3CB" w14:textId="74A3D0DA" w:rsidR="002252AE" w:rsidRDefault="002252AE" w:rsidP="002252AE">
      <w:pPr>
        <w:pStyle w:val="FootnoteText"/>
        <w:ind w:firstLine="720"/>
        <w:rPr>
          <w:sz w:val="18"/>
          <w:szCs w:val="18"/>
        </w:rPr>
      </w:pPr>
      <w:r>
        <w:rPr>
          <w:sz w:val="18"/>
          <w:szCs w:val="18"/>
        </w:rPr>
        <w:t xml:space="preserve">Chief Innovation Officer @ Exoshock Ltd </w:t>
      </w:r>
    </w:p>
    <w:p w14:paraId="54300144" w14:textId="77777777" w:rsidR="002252AE" w:rsidRDefault="002252AE" w:rsidP="002252AE">
      <w:pPr>
        <w:pStyle w:val="FootnoteText"/>
        <w:ind w:firstLine="720"/>
        <w:rPr>
          <w:sz w:val="18"/>
          <w:szCs w:val="18"/>
        </w:rPr>
      </w:pPr>
      <w:r w:rsidRPr="002252AE">
        <w:rPr>
          <w:sz w:val="18"/>
          <w:szCs w:val="18"/>
        </w:rPr>
        <w:t>The Courtyard, High Street, Ascot, SL5 7HP</w:t>
      </w:r>
      <w:r>
        <w:rPr>
          <w:sz w:val="18"/>
          <w:szCs w:val="18"/>
        </w:rPr>
        <w:t xml:space="preserve"> UK</w:t>
      </w:r>
    </w:p>
    <w:p w14:paraId="36CD0101" w14:textId="77777777" w:rsidR="002252AE" w:rsidRDefault="002252AE" w:rsidP="002252AE">
      <w:pPr>
        <w:pStyle w:val="FootnoteText"/>
        <w:ind w:firstLine="720"/>
        <w:rPr>
          <w:sz w:val="18"/>
          <w:szCs w:val="18"/>
        </w:rPr>
      </w:pPr>
      <w:r>
        <w:rPr>
          <w:sz w:val="18"/>
          <w:szCs w:val="18"/>
        </w:rPr>
        <w:t xml:space="preserve">roberto.pasqualino@exoshock.com </w:t>
      </w:r>
    </w:p>
    <w:p w14:paraId="79084486" w14:textId="77777777" w:rsidR="002252AE" w:rsidRDefault="002252AE" w:rsidP="002252AE">
      <w:pPr>
        <w:pStyle w:val="FootnoteText"/>
        <w:ind w:firstLine="720"/>
        <w:rPr>
          <w:sz w:val="18"/>
          <w:szCs w:val="18"/>
        </w:rPr>
      </w:pPr>
    </w:p>
    <w:p w14:paraId="40C603B5" w14:textId="4B90437D" w:rsidR="002252AE" w:rsidRDefault="00F34E44" w:rsidP="002252AE">
      <w:pPr>
        <w:pStyle w:val="FootnoteText"/>
        <w:ind w:firstLine="720"/>
        <w:rPr>
          <w:sz w:val="18"/>
          <w:szCs w:val="18"/>
        </w:rPr>
      </w:pPr>
      <w:r>
        <w:rPr>
          <w:sz w:val="18"/>
          <w:szCs w:val="18"/>
        </w:rPr>
        <w:t>Visiting Researcher</w:t>
      </w:r>
      <w:r w:rsidR="002252AE">
        <w:rPr>
          <w:sz w:val="18"/>
          <w:szCs w:val="18"/>
        </w:rPr>
        <w:t xml:space="preserve"> @ </w:t>
      </w:r>
      <w:r>
        <w:rPr>
          <w:sz w:val="18"/>
          <w:szCs w:val="18"/>
        </w:rPr>
        <w:t>Global Sustainability Institute</w:t>
      </w:r>
    </w:p>
    <w:p w14:paraId="56B49FAC" w14:textId="727ADDAB" w:rsidR="000676A7" w:rsidRPr="00E3052E" w:rsidRDefault="00F34E44" w:rsidP="009B4864">
      <w:pPr>
        <w:pStyle w:val="FootnoteText"/>
        <w:ind w:firstLine="720"/>
        <w:rPr>
          <w:sz w:val="18"/>
          <w:szCs w:val="18"/>
        </w:rPr>
      </w:pPr>
      <w:r>
        <w:rPr>
          <w:sz w:val="18"/>
          <w:szCs w:val="18"/>
        </w:rPr>
        <w:t>Anglia Ruskin University</w:t>
      </w:r>
      <w:r w:rsidR="002252AE">
        <w:rPr>
          <w:sz w:val="18"/>
          <w:szCs w:val="18"/>
        </w:rPr>
        <w:t xml:space="preserve">, </w:t>
      </w:r>
      <w:r>
        <w:rPr>
          <w:sz w:val="18"/>
          <w:szCs w:val="18"/>
        </w:rPr>
        <w:t>183 East Road</w:t>
      </w:r>
      <w:r w:rsidR="002252AE">
        <w:rPr>
          <w:sz w:val="18"/>
          <w:szCs w:val="18"/>
        </w:rPr>
        <w:t xml:space="preserve">, </w:t>
      </w:r>
      <w:r w:rsidR="00C00BD1">
        <w:rPr>
          <w:sz w:val="18"/>
          <w:szCs w:val="18"/>
        </w:rPr>
        <w:t>Cambridge</w:t>
      </w:r>
      <w:r w:rsidR="000676A7" w:rsidRPr="00E3052E">
        <w:rPr>
          <w:sz w:val="18"/>
          <w:szCs w:val="18"/>
        </w:rPr>
        <w:t xml:space="preserve">, </w:t>
      </w:r>
      <w:r w:rsidR="00C00BD1">
        <w:rPr>
          <w:sz w:val="18"/>
          <w:szCs w:val="18"/>
        </w:rPr>
        <w:t>CB11PT</w:t>
      </w:r>
      <w:r w:rsidR="002252AE">
        <w:rPr>
          <w:sz w:val="18"/>
          <w:szCs w:val="18"/>
        </w:rPr>
        <w:t xml:space="preserve">, </w:t>
      </w:r>
      <w:r w:rsidR="00C00BD1">
        <w:rPr>
          <w:sz w:val="18"/>
          <w:szCs w:val="18"/>
        </w:rPr>
        <w:t>UK</w:t>
      </w:r>
    </w:p>
    <w:p w14:paraId="0E34B875" w14:textId="3C8BDB78" w:rsidR="002252AE" w:rsidRPr="00E3052E" w:rsidRDefault="00C00BD1" w:rsidP="009B4864">
      <w:pPr>
        <w:pStyle w:val="FootnoteText"/>
        <w:ind w:firstLine="720"/>
        <w:rPr>
          <w:sz w:val="18"/>
          <w:szCs w:val="18"/>
        </w:rPr>
      </w:pPr>
      <w:r w:rsidRPr="002252AE">
        <w:rPr>
          <w:sz w:val="18"/>
          <w:szCs w:val="18"/>
        </w:rPr>
        <w:t>roberto.pasqualino@anglia.ac.uk</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94813894"/>
      <w:docPartObj>
        <w:docPartGallery w:val="Page Numbers (Top of Page)"/>
        <w:docPartUnique/>
      </w:docPartObj>
    </w:sdtPr>
    <w:sdtEndPr>
      <w:rPr>
        <w:noProof/>
      </w:rPr>
    </w:sdtEndPr>
    <w:sdtContent>
      <w:p w14:paraId="5DBEB6BA" w14:textId="77777777" w:rsidR="000676A7" w:rsidRDefault="000676A7">
        <w:pPr>
          <w:pStyle w:val="Header"/>
        </w:pPr>
        <w:r>
          <w:fldChar w:fldCharType="begin"/>
        </w:r>
        <w:r>
          <w:instrText xml:space="preserve"> PAGE   \* MERGEFORMAT </w:instrText>
        </w:r>
        <w:r>
          <w:fldChar w:fldCharType="separate"/>
        </w:r>
        <w:r w:rsidR="006F5423">
          <w:rPr>
            <w:noProof/>
          </w:rPr>
          <w:t>2</w:t>
        </w:r>
        <w:r>
          <w:rPr>
            <w:noProof/>
          </w:rPr>
          <w:fldChar w:fldCharType="end"/>
        </w:r>
      </w:p>
    </w:sdtContent>
  </w:sdt>
  <w:p w14:paraId="7874EF62" w14:textId="77777777" w:rsidR="000676A7" w:rsidRDefault="000676A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635BC2"/>
    <w:multiLevelType w:val="hybridMultilevel"/>
    <w:tmpl w:val="010A1842"/>
    <w:lvl w:ilvl="0" w:tplc="EF9603A4">
      <w:numFmt w:val="bullet"/>
      <w:lvlText w:val=""/>
      <w:lvlJc w:val="left"/>
      <w:pPr>
        <w:ind w:left="1080" w:hanging="360"/>
      </w:pPr>
      <w:rPr>
        <w:rFonts w:ascii="Symbol" w:eastAsia="PMingLiU" w:hAnsi="Symbol" w:cs="Times New Roman" w:hint="default"/>
      </w:rPr>
    </w:lvl>
    <w:lvl w:ilvl="1" w:tplc="04090003" w:tentative="1">
      <w:start w:val="1"/>
      <w:numFmt w:val="bullet"/>
      <w:lvlText w:val="o"/>
      <w:lvlJc w:val="left"/>
      <w:pPr>
        <w:ind w:left="1800" w:hanging="360"/>
      </w:pPr>
      <w:rPr>
        <w:rFonts w:ascii="Courier New" w:hAnsi="Courier New" w:cs="Wingdings"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Wingdings"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Wingdings"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B045D21"/>
    <w:multiLevelType w:val="hybridMultilevel"/>
    <w:tmpl w:val="6726B26E"/>
    <w:lvl w:ilvl="0" w:tplc="6F601A2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C0A0A3F"/>
    <w:multiLevelType w:val="hybridMultilevel"/>
    <w:tmpl w:val="1910FC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B655CB"/>
    <w:multiLevelType w:val="hybridMultilevel"/>
    <w:tmpl w:val="4732AD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2340D67"/>
    <w:multiLevelType w:val="hybridMultilevel"/>
    <w:tmpl w:val="118697D6"/>
    <w:lvl w:ilvl="0" w:tplc="3A96E36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2F330522"/>
    <w:multiLevelType w:val="hybridMultilevel"/>
    <w:tmpl w:val="60ECCEE8"/>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3CD000F"/>
    <w:multiLevelType w:val="hybridMultilevel"/>
    <w:tmpl w:val="B7A860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49B5378"/>
    <w:multiLevelType w:val="hybridMultilevel"/>
    <w:tmpl w:val="115A2738"/>
    <w:lvl w:ilvl="0" w:tplc="B3F074F4">
      <w:start w:val="1"/>
      <w:numFmt w:val="decimal"/>
      <w:lvlText w:val="%1."/>
      <w:lvlJc w:val="left"/>
      <w:pPr>
        <w:ind w:left="630" w:hanging="360"/>
      </w:pPr>
      <w:rPr>
        <w:rFonts w:hint="default"/>
        <w:i/>
      </w:rPr>
    </w:lvl>
    <w:lvl w:ilvl="1" w:tplc="08090019" w:tentative="1">
      <w:start w:val="1"/>
      <w:numFmt w:val="lowerLetter"/>
      <w:lvlText w:val="%2."/>
      <w:lvlJc w:val="left"/>
      <w:pPr>
        <w:ind w:left="1350" w:hanging="360"/>
      </w:pPr>
    </w:lvl>
    <w:lvl w:ilvl="2" w:tplc="0809001B" w:tentative="1">
      <w:start w:val="1"/>
      <w:numFmt w:val="lowerRoman"/>
      <w:lvlText w:val="%3."/>
      <w:lvlJc w:val="right"/>
      <w:pPr>
        <w:ind w:left="2070" w:hanging="180"/>
      </w:pPr>
    </w:lvl>
    <w:lvl w:ilvl="3" w:tplc="0809000F" w:tentative="1">
      <w:start w:val="1"/>
      <w:numFmt w:val="decimal"/>
      <w:lvlText w:val="%4."/>
      <w:lvlJc w:val="left"/>
      <w:pPr>
        <w:ind w:left="2790" w:hanging="360"/>
      </w:pPr>
    </w:lvl>
    <w:lvl w:ilvl="4" w:tplc="08090019" w:tentative="1">
      <w:start w:val="1"/>
      <w:numFmt w:val="lowerLetter"/>
      <w:lvlText w:val="%5."/>
      <w:lvlJc w:val="left"/>
      <w:pPr>
        <w:ind w:left="3510" w:hanging="360"/>
      </w:pPr>
    </w:lvl>
    <w:lvl w:ilvl="5" w:tplc="0809001B" w:tentative="1">
      <w:start w:val="1"/>
      <w:numFmt w:val="lowerRoman"/>
      <w:lvlText w:val="%6."/>
      <w:lvlJc w:val="right"/>
      <w:pPr>
        <w:ind w:left="4230" w:hanging="180"/>
      </w:pPr>
    </w:lvl>
    <w:lvl w:ilvl="6" w:tplc="0809000F" w:tentative="1">
      <w:start w:val="1"/>
      <w:numFmt w:val="decimal"/>
      <w:lvlText w:val="%7."/>
      <w:lvlJc w:val="left"/>
      <w:pPr>
        <w:ind w:left="4950" w:hanging="360"/>
      </w:pPr>
    </w:lvl>
    <w:lvl w:ilvl="7" w:tplc="08090019" w:tentative="1">
      <w:start w:val="1"/>
      <w:numFmt w:val="lowerLetter"/>
      <w:lvlText w:val="%8."/>
      <w:lvlJc w:val="left"/>
      <w:pPr>
        <w:ind w:left="5670" w:hanging="360"/>
      </w:pPr>
    </w:lvl>
    <w:lvl w:ilvl="8" w:tplc="0809001B" w:tentative="1">
      <w:start w:val="1"/>
      <w:numFmt w:val="lowerRoman"/>
      <w:lvlText w:val="%9."/>
      <w:lvlJc w:val="right"/>
      <w:pPr>
        <w:ind w:left="6390" w:hanging="180"/>
      </w:pPr>
    </w:lvl>
  </w:abstractNum>
  <w:abstractNum w:abstractNumId="8" w15:restartNumberingAfterBreak="0">
    <w:nsid w:val="526D6A2D"/>
    <w:multiLevelType w:val="hybridMultilevel"/>
    <w:tmpl w:val="93E05C52"/>
    <w:lvl w:ilvl="0" w:tplc="04090019">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67F1EB2"/>
    <w:multiLevelType w:val="hybridMultilevel"/>
    <w:tmpl w:val="7792C1F2"/>
    <w:lvl w:ilvl="0" w:tplc="08090001">
      <w:start w:val="1"/>
      <w:numFmt w:val="bullet"/>
      <w:lvlText w:val=""/>
      <w:lvlJc w:val="left"/>
      <w:pPr>
        <w:ind w:left="990" w:hanging="360"/>
      </w:pPr>
      <w:rPr>
        <w:rFonts w:ascii="Symbol" w:hAnsi="Symbol" w:hint="default"/>
      </w:rPr>
    </w:lvl>
    <w:lvl w:ilvl="1" w:tplc="08090003" w:tentative="1">
      <w:start w:val="1"/>
      <w:numFmt w:val="bullet"/>
      <w:lvlText w:val="o"/>
      <w:lvlJc w:val="left"/>
      <w:pPr>
        <w:ind w:left="1710" w:hanging="360"/>
      </w:pPr>
      <w:rPr>
        <w:rFonts w:ascii="Courier New" w:hAnsi="Courier New" w:cs="Courier New" w:hint="default"/>
      </w:rPr>
    </w:lvl>
    <w:lvl w:ilvl="2" w:tplc="08090005" w:tentative="1">
      <w:start w:val="1"/>
      <w:numFmt w:val="bullet"/>
      <w:lvlText w:val=""/>
      <w:lvlJc w:val="left"/>
      <w:pPr>
        <w:ind w:left="2430" w:hanging="360"/>
      </w:pPr>
      <w:rPr>
        <w:rFonts w:ascii="Wingdings" w:hAnsi="Wingdings" w:hint="default"/>
      </w:rPr>
    </w:lvl>
    <w:lvl w:ilvl="3" w:tplc="08090001" w:tentative="1">
      <w:start w:val="1"/>
      <w:numFmt w:val="bullet"/>
      <w:lvlText w:val=""/>
      <w:lvlJc w:val="left"/>
      <w:pPr>
        <w:ind w:left="3150" w:hanging="360"/>
      </w:pPr>
      <w:rPr>
        <w:rFonts w:ascii="Symbol" w:hAnsi="Symbol" w:hint="default"/>
      </w:rPr>
    </w:lvl>
    <w:lvl w:ilvl="4" w:tplc="08090003" w:tentative="1">
      <w:start w:val="1"/>
      <w:numFmt w:val="bullet"/>
      <w:lvlText w:val="o"/>
      <w:lvlJc w:val="left"/>
      <w:pPr>
        <w:ind w:left="3870" w:hanging="360"/>
      </w:pPr>
      <w:rPr>
        <w:rFonts w:ascii="Courier New" w:hAnsi="Courier New" w:cs="Courier New" w:hint="default"/>
      </w:rPr>
    </w:lvl>
    <w:lvl w:ilvl="5" w:tplc="08090005" w:tentative="1">
      <w:start w:val="1"/>
      <w:numFmt w:val="bullet"/>
      <w:lvlText w:val=""/>
      <w:lvlJc w:val="left"/>
      <w:pPr>
        <w:ind w:left="4590" w:hanging="360"/>
      </w:pPr>
      <w:rPr>
        <w:rFonts w:ascii="Wingdings" w:hAnsi="Wingdings" w:hint="default"/>
      </w:rPr>
    </w:lvl>
    <w:lvl w:ilvl="6" w:tplc="08090001" w:tentative="1">
      <w:start w:val="1"/>
      <w:numFmt w:val="bullet"/>
      <w:lvlText w:val=""/>
      <w:lvlJc w:val="left"/>
      <w:pPr>
        <w:ind w:left="5310" w:hanging="360"/>
      </w:pPr>
      <w:rPr>
        <w:rFonts w:ascii="Symbol" w:hAnsi="Symbol" w:hint="default"/>
      </w:rPr>
    </w:lvl>
    <w:lvl w:ilvl="7" w:tplc="08090003" w:tentative="1">
      <w:start w:val="1"/>
      <w:numFmt w:val="bullet"/>
      <w:lvlText w:val="o"/>
      <w:lvlJc w:val="left"/>
      <w:pPr>
        <w:ind w:left="6030" w:hanging="360"/>
      </w:pPr>
      <w:rPr>
        <w:rFonts w:ascii="Courier New" w:hAnsi="Courier New" w:cs="Courier New" w:hint="default"/>
      </w:rPr>
    </w:lvl>
    <w:lvl w:ilvl="8" w:tplc="08090005" w:tentative="1">
      <w:start w:val="1"/>
      <w:numFmt w:val="bullet"/>
      <w:lvlText w:val=""/>
      <w:lvlJc w:val="left"/>
      <w:pPr>
        <w:ind w:left="6750" w:hanging="360"/>
      </w:pPr>
      <w:rPr>
        <w:rFonts w:ascii="Wingdings" w:hAnsi="Wingdings" w:hint="default"/>
      </w:rPr>
    </w:lvl>
  </w:abstractNum>
  <w:abstractNum w:abstractNumId="10" w15:restartNumberingAfterBreak="0">
    <w:nsid w:val="585E662C"/>
    <w:multiLevelType w:val="hybridMultilevel"/>
    <w:tmpl w:val="957AD49A"/>
    <w:lvl w:ilvl="0" w:tplc="F0F6CE5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ECF7F56"/>
    <w:multiLevelType w:val="hybridMultilevel"/>
    <w:tmpl w:val="C0368940"/>
    <w:lvl w:ilvl="0" w:tplc="18AA71D0">
      <w:start w:val="1"/>
      <w:numFmt w:val="lowerLetter"/>
      <w:lvlText w:val="%1."/>
      <w:lvlJc w:val="left"/>
      <w:pPr>
        <w:ind w:left="720" w:hanging="360"/>
      </w:pPr>
      <w:rPr>
        <w:rFonts w:hint="default"/>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76677AA"/>
    <w:multiLevelType w:val="hybridMultilevel"/>
    <w:tmpl w:val="F5649DA0"/>
    <w:lvl w:ilvl="0" w:tplc="1DA80340">
      <w:start w:val="2"/>
      <w:numFmt w:val="decimal"/>
      <w:lvlText w:val="%1."/>
      <w:lvlJc w:val="left"/>
      <w:pPr>
        <w:ind w:left="720" w:hanging="360"/>
      </w:pPr>
      <w:rPr>
        <w:rFonts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8195A25"/>
    <w:multiLevelType w:val="hybridMultilevel"/>
    <w:tmpl w:val="1D689828"/>
    <w:lvl w:ilvl="0" w:tplc="08090001">
      <w:start w:val="1"/>
      <w:numFmt w:val="bullet"/>
      <w:lvlText w:val=""/>
      <w:lvlJc w:val="left"/>
      <w:pPr>
        <w:ind w:left="1080" w:hanging="720"/>
      </w:pPr>
      <w:rPr>
        <w:rFonts w:ascii="Symbol" w:hAnsi="Symbol" w:hint="default"/>
      </w:rPr>
    </w:lvl>
    <w:lvl w:ilvl="1" w:tplc="17B864DC">
      <w:start w:val="6"/>
      <w:numFmt w:val="bullet"/>
      <w:lvlText w:val="•"/>
      <w:lvlJc w:val="left"/>
      <w:pPr>
        <w:ind w:left="1524" w:hanging="444"/>
      </w:pPr>
      <w:rPr>
        <w:rFonts w:ascii="Times New Roman" w:eastAsia="Times New Roman" w:hAnsi="Times New Roman" w:cs="Times New Roman"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699C5B03"/>
    <w:multiLevelType w:val="multilevel"/>
    <w:tmpl w:val="2B604C76"/>
    <w:lvl w:ilvl="0">
      <w:start w:val="2"/>
      <w:numFmt w:val="decimal"/>
      <w:lvlText w:val="%1."/>
      <w:lvlJc w:val="left"/>
      <w:pPr>
        <w:ind w:left="630" w:hanging="360"/>
      </w:pPr>
      <w:rPr>
        <w:rFonts w:hint="default"/>
        <w:i/>
      </w:rPr>
    </w:lvl>
    <w:lvl w:ilvl="1">
      <w:start w:val="3"/>
      <w:numFmt w:val="decimal"/>
      <w:isLgl/>
      <w:lvlText w:val="%1.%2."/>
      <w:lvlJc w:val="left"/>
      <w:pPr>
        <w:ind w:left="630" w:hanging="360"/>
      </w:pPr>
      <w:rPr>
        <w:rFonts w:hint="default"/>
      </w:rPr>
    </w:lvl>
    <w:lvl w:ilvl="2">
      <w:start w:val="1"/>
      <w:numFmt w:val="decimal"/>
      <w:isLgl/>
      <w:lvlText w:val="%1.%2.%3."/>
      <w:lvlJc w:val="left"/>
      <w:pPr>
        <w:ind w:left="990" w:hanging="720"/>
      </w:pPr>
      <w:rPr>
        <w:rFonts w:hint="default"/>
      </w:rPr>
    </w:lvl>
    <w:lvl w:ilvl="3">
      <w:start w:val="1"/>
      <w:numFmt w:val="decimal"/>
      <w:isLgl/>
      <w:lvlText w:val="%1.%2.%3.%4."/>
      <w:lvlJc w:val="left"/>
      <w:pPr>
        <w:ind w:left="990" w:hanging="720"/>
      </w:pPr>
      <w:rPr>
        <w:rFonts w:hint="default"/>
      </w:rPr>
    </w:lvl>
    <w:lvl w:ilvl="4">
      <w:start w:val="1"/>
      <w:numFmt w:val="decimal"/>
      <w:isLgl/>
      <w:lvlText w:val="%1.%2.%3.%4.%5."/>
      <w:lvlJc w:val="left"/>
      <w:pPr>
        <w:ind w:left="1350" w:hanging="1080"/>
      </w:pPr>
      <w:rPr>
        <w:rFonts w:hint="default"/>
      </w:rPr>
    </w:lvl>
    <w:lvl w:ilvl="5">
      <w:start w:val="1"/>
      <w:numFmt w:val="decimal"/>
      <w:isLgl/>
      <w:lvlText w:val="%1.%2.%3.%4.%5.%6."/>
      <w:lvlJc w:val="left"/>
      <w:pPr>
        <w:ind w:left="1350" w:hanging="1080"/>
      </w:pPr>
      <w:rPr>
        <w:rFonts w:hint="default"/>
      </w:rPr>
    </w:lvl>
    <w:lvl w:ilvl="6">
      <w:start w:val="1"/>
      <w:numFmt w:val="decimal"/>
      <w:isLgl/>
      <w:lvlText w:val="%1.%2.%3.%4.%5.%6.%7."/>
      <w:lvlJc w:val="left"/>
      <w:pPr>
        <w:ind w:left="1350" w:hanging="1080"/>
      </w:pPr>
      <w:rPr>
        <w:rFonts w:hint="default"/>
      </w:rPr>
    </w:lvl>
    <w:lvl w:ilvl="7">
      <w:start w:val="1"/>
      <w:numFmt w:val="decimal"/>
      <w:isLgl/>
      <w:lvlText w:val="%1.%2.%3.%4.%5.%6.%7.%8."/>
      <w:lvlJc w:val="left"/>
      <w:pPr>
        <w:ind w:left="1710" w:hanging="1440"/>
      </w:pPr>
      <w:rPr>
        <w:rFonts w:hint="default"/>
      </w:rPr>
    </w:lvl>
    <w:lvl w:ilvl="8">
      <w:start w:val="1"/>
      <w:numFmt w:val="decimal"/>
      <w:isLgl/>
      <w:lvlText w:val="%1.%2.%3.%4.%5.%6.%7.%8.%9."/>
      <w:lvlJc w:val="left"/>
      <w:pPr>
        <w:ind w:left="1710" w:hanging="1440"/>
      </w:pPr>
      <w:rPr>
        <w:rFonts w:hint="default"/>
      </w:rPr>
    </w:lvl>
  </w:abstractNum>
  <w:abstractNum w:abstractNumId="15" w15:restartNumberingAfterBreak="0">
    <w:nsid w:val="69AD559D"/>
    <w:multiLevelType w:val="hybridMultilevel"/>
    <w:tmpl w:val="4428FF3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69BB6EF4"/>
    <w:multiLevelType w:val="hybridMultilevel"/>
    <w:tmpl w:val="C9429E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AEC289F"/>
    <w:multiLevelType w:val="hybridMultilevel"/>
    <w:tmpl w:val="2A6A94AE"/>
    <w:lvl w:ilvl="0" w:tplc="21D8A54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D3966DB"/>
    <w:multiLevelType w:val="hybridMultilevel"/>
    <w:tmpl w:val="6E8A3AAA"/>
    <w:lvl w:ilvl="0" w:tplc="D2DAB530">
      <w:start w:val="1"/>
      <w:numFmt w:val="decimal"/>
      <w:lvlText w:val="%1."/>
      <w:lvlJc w:val="left"/>
      <w:pPr>
        <w:ind w:left="1080" w:hanging="720"/>
      </w:pPr>
      <w:rPr>
        <w:rFonts w:hint="default"/>
      </w:rPr>
    </w:lvl>
    <w:lvl w:ilvl="1" w:tplc="17B864DC">
      <w:start w:val="6"/>
      <w:numFmt w:val="bullet"/>
      <w:lvlText w:val="•"/>
      <w:lvlJc w:val="left"/>
      <w:pPr>
        <w:ind w:left="1524" w:hanging="444"/>
      </w:pPr>
      <w:rPr>
        <w:rFonts w:ascii="Times New Roman" w:eastAsia="Times New Roman" w:hAnsi="Times New Roman" w:cs="Times New Roman"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6F0F63BD"/>
    <w:multiLevelType w:val="hybridMultilevel"/>
    <w:tmpl w:val="BC92C4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8C26F81"/>
    <w:multiLevelType w:val="hybridMultilevel"/>
    <w:tmpl w:val="1EDE7A2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20"/>
  </w:num>
  <w:num w:numId="3">
    <w:abstractNumId w:val="4"/>
  </w:num>
  <w:num w:numId="4">
    <w:abstractNumId w:val="0"/>
  </w:num>
  <w:num w:numId="5">
    <w:abstractNumId w:val="8"/>
  </w:num>
  <w:num w:numId="6">
    <w:abstractNumId w:val="11"/>
  </w:num>
  <w:num w:numId="7">
    <w:abstractNumId w:val="1"/>
  </w:num>
  <w:num w:numId="8">
    <w:abstractNumId w:val="6"/>
  </w:num>
  <w:num w:numId="9">
    <w:abstractNumId w:val="5"/>
  </w:num>
  <w:num w:numId="10">
    <w:abstractNumId w:val="3"/>
  </w:num>
  <w:num w:numId="11">
    <w:abstractNumId w:val="16"/>
  </w:num>
  <w:num w:numId="12">
    <w:abstractNumId w:val="19"/>
  </w:num>
  <w:num w:numId="13">
    <w:abstractNumId w:val="17"/>
  </w:num>
  <w:num w:numId="14">
    <w:abstractNumId w:val="10"/>
  </w:num>
  <w:num w:numId="15">
    <w:abstractNumId w:val="12"/>
  </w:num>
  <w:num w:numId="16">
    <w:abstractNumId w:val="15"/>
  </w:num>
  <w:num w:numId="17">
    <w:abstractNumId w:val="18"/>
  </w:num>
  <w:num w:numId="18">
    <w:abstractNumId w:val="7"/>
  </w:num>
  <w:num w:numId="19">
    <w:abstractNumId w:val="14"/>
  </w:num>
  <w:num w:numId="20">
    <w:abstractNumId w:val="9"/>
  </w:num>
  <w:num w:numId="2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6CD0"/>
    <w:rsid w:val="000019C4"/>
    <w:rsid w:val="00001E4C"/>
    <w:rsid w:val="00003192"/>
    <w:rsid w:val="00003F83"/>
    <w:rsid w:val="000053DC"/>
    <w:rsid w:val="0000707C"/>
    <w:rsid w:val="0001281C"/>
    <w:rsid w:val="000148C2"/>
    <w:rsid w:val="00014BE1"/>
    <w:rsid w:val="00015E2A"/>
    <w:rsid w:val="000162F4"/>
    <w:rsid w:val="0002245C"/>
    <w:rsid w:val="000232D3"/>
    <w:rsid w:val="00026213"/>
    <w:rsid w:val="000276B5"/>
    <w:rsid w:val="00031E92"/>
    <w:rsid w:val="00033AF5"/>
    <w:rsid w:val="00033CF2"/>
    <w:rsid w:val="00035CCD"/>
    <w:rsid w:val="0003694A"/>
    <w:rsid w:val="000373A2"/>
    <w:rsid w:val="00041A16"/>
    <w:rsid w:val="000455F4"/>
    <w:rsid w:val="0005128F"/>
    <w:rsid w:val="000527A9"/>
    <w:rsid w:val="00053E15"/>
    <w:rsid w:val="00056132"/>
    <w:rsid w:val="000574FC"/>
    <w:rsid w:val="00060262"/>
    <w:rsid w:val="00060756"/>
    <w:rsid w:val="00060D1B"/>
    <w:rsid w:val="00061001"/>
    <w:rsid w:val="00061556"/>
    <w:rsid w:val="00062916"/>
    <w:rsid w:val="00063CBD"/>
    <w:rsid w:val="000643A7"/>
    <w:rsid w:val="00065757"/>
    <w:rsid w:val="000669A7"/>
    <w:rsid w:val="00066F98"/>
    <w:rsid w:val="000676A7"/>
    <w:rsid w:val="00071014"/>
    <w:rsid w:val="000719CE"/>
    <w:rsid w:val="00073DB0"/>
    <w:rsid w:val="00073FB7"/>
    <w:rsid w:val="00074C6D"/>
    <w:rsid w:val="0008313B"/>
    <w:rsid w:val="00083B39"/>
    <w:rsid w:val="0008587B"/>
    <w:rsid w:val="00087EB0"/>
    <w:rsid w:val="00091BE2"/>
    <w:rsid w:val="00093CCF"/>
    <w:rsid w:val="00094433"/>
    <w:rsid w:val="000A004D"/>
    <w:rsid w:val="000A1B47"/>
    <w:rsid w:val="000A2CF5"/>
    <w:rsid w:val="000A3E53"/>
    <w:rsid w:val="000A5948"/>
    <w:rsid w:val="000B07EB"/>
    <w:rsid w:val="000B2B47"/>
    <w:rsid w:val="000B468F"/>
    <w:rsid w:val="000B4EDF"/>
    <w:rsid w:val="000B58A2"/>
    <w:rsid w:val="000C2255"/>
    <w:rsid w:val="000C25E8"/>
    <w:rsid w:val="000C2CB8"/>
    <w:rsid w:val="000C34D9"/>
    <w:rsid w:val="000C3E26"/>
    <w:rsid w:val="000C489F"/>
    <w:rsid w:val="000C529E"/>
    <w:rsid w:val="000C54AF"/>
    <w:rsid w:val="000C5D95"/>
    <w:rsid w:val="000C6AB2"/>
    <w:rsid w:val="000D0A13"/>
    <w:rsid w:val="000D0B9E"/>
    <w:rsid w:val="000D422F"/>
    <w:rsid w:val="000D572A"/>
    <w:rsid w:val="000D68BC"/>
    <w:rsid w:val="000D6C68"/>
    <w:rsid w:val="000E0632"/>
    <w:rsid w:val="000E0A34"/>
    <w:rsid w:val="000E0CDC"/>
    <w:rsid w:val="000E1863"/>
    <w:rsid w:val="000E51B9"/>
    <w:rsid w:val="000E5F9D"/>
    <w:rsid w:val="000E6C24"/>
    <w:rsid w:val="000E7DFE"/>
    <w:rsid w:val="000F0682"/>
    <w:rsid w:val="000F1ED6"/>
    <w:rsid w:val="000F3B2C"/>
    <w:rsid w:val="000F46F6"/>
    <w:rsid w:val="000F522A"/>
    <w:rsid w:val="000F73FF"/>
    <w:rsid w:val="0010053F"/>
    <w:rsid w:val="00103BBB"/>
    <w:rsid w:val="001045AE"/>
    <w:rsid w:val="00104EBB"/>
    <w:rsid w:val="00105869"/>
    <w:rsid w:val="00105D52"/>
    <w:rsid w:val="00106B25"/>
    <w:rsid w:val="00106CFA"/>
    <w:rsid w:val="00113368"/>
    <w:rsid w:val="0011482E"/>
    <w:rsid w:val="001214C5"/>
    <w:rsid w:val="001232B9"/>
    <w:rsid w:val="00124A32"/>
    <w:rsid w:val="001258AD"/>
    <w:rsid w:val="001261CB"/>
    <w:rsid w:val="001270EE"/>
    <w:rsid w:val="00131DB5"/>
    <w:rsid w:val="001369CC"/>
    <w:rsid w:val="0014052C"/>
    <w:rsid w:val="00140CF3"/>
    <w:rsid w:val="00141046"/>
    <w:rsid w:val="0014316B"/>
    <w:rsid w:val="001444EA"/>
    <w:rsid w:val="00144A3F"/>
    <w:rsid w:val="001457A3"/>
    <w:rsid w:val="00147951"/>
    <w:rsid w:val="001508C8"/>
    <w:rsid w:val="001518C4"/>
    <w:rsid w:val="00151C45"/>
    <w:rsid w:val="00153958"/>
    <w:rsid w:val="001540FB"/>
    <w:rsid w:val="00154672"/>
    <w:rsid w:val="00155A95"/>
    <w:rsid w:val="00155AAB"/>
    <w:rsid w:val="001602B7"/>
    <w:rsid w:val="001605A3"/>
    <w:rsid w:val="001609F7"/>
    <w:rsid w:val="00165702"/>
    <w:rsid w:val="00165B7C"/>
    <w:rsid w:val="00166AEF"/>
    <w:rsid w:val="001735B7"/>
    <w:rsid w:val="00175BF8"/>
    <w:rsid w:val="00177375"/>
    <w:rsid w:val="00177CD5"/>
    <w:rsid w:val="00177FA1"/>
    <w:rsid w:val="00180812"/>
    <w:rsid w:val="00180B6A"/>
    <w:rsid w:val="0018159E"/>
    <w:rsid w:val="00183FE5"/>
    <w:rsid w:val="0018401F"/>
    <w:rsid w:val="00184553"/>
    <w:rsid w:val="00185613"/>
    <w:rsid w:val="001868C3"/>
    <w:rsid w:val="0019035A"/>
    <w:rsid w:val="00192967"/>
    <w:rsid w:val="0019399A"/>
    <w:rsid w:val="00193A96"/>
    <w:rsid w:val="001941DC"/>
    <w:rsid w:val="00194602"/>
    <w:rsid w:val="00196CD0"/>
    <w:rsid w:val="001A3C3E"/>
    <w:rsid w:val="001A3F55"/>
    <w:rsid w:val="001A5B04"/>
    <w:rsid w:val="001B0836"/>
    <w:rsid w:val="001B1285"/>
    <w:rsid w:val="001B3650"/>
    <w:rsid w:val="001B52B3"/>
    <w:rsid w:val="001B64A6"/>
    <w:rsid w:val="001B7701"/>
    <w:rsid w:val="001C0C55"/>
    <w:rsid w:val="001C1F17"/>
    <w:rsid w:val="001C22F3"/>
    <w:rsid w:val="001C4379"/>
    <w:rsid w:val="001C4544"/>
    <w:rsid w:val="001C47A9"/>
    <w:rsid w:val="001C5E9E"/>
    <w:rsid w:val="001C5EDC"/>
    <w:rsid w:val="001C6F68"/>
    <w:rsid w:val="001C7FA4"/>
    <w:rsid w:val="001D0A84"/>
    <w:rsid w:val="001D19B9"/>
    <w:rsid w:val="001D2398"/>
    <w:rsid w:val="001D486D"/>
    <w:rsid w:val="001D4AB1"/>
    <w:rsid w:val="001D5174"/>
    <w:rsid w:val="001D6A09"/>
    <w:rsid w:val="001E4140"/>
    <w:rsid w:val="001E4EF8"/>
    <w:rsid w:val="001F3337"/>
    <w:rsid w:val="001F76ED"/>
    <w:rsid w:val="001F793B"/>
    <w:rsid w:val="00200256"/>
    <w:rsid w:val="00203E19"/>
    <w:rsid w:val="00210814"/>
    <w:rsid w:val="002108EC"/>
    <w:rsid w:val="00210EC6"/>
    <w:rsid w:val="00210F73"/>
    <w:rsid w:val="00210F76"/>
    <w:rsid w:val="00216448"/>
    <w:rsid w:val="00220DA4"/>
    <w:rsid w:val="00224D6E"/>
    <w:rsid w:val="00225161"/>
    <w:rsid w:val="002252AE"/>
    <w:rsid w:val="00226957"/>
    <w:rsid w:val="002300A7"/>
    <w:rsid w:val="00231B3A"/>
    <w:rsid w:val="00234030"/>
    <w:rsid w:val="00234D21"/>
    <w:rsid w:val="00236E9A"/>
    <w:rsid w:val="0024119A"/>
    <w:rsid w:val="00243094"/>
    <w:rsid w:val="00244742"/>
    <w:rsid w:val="002452B8"/>
    <w:rsid w:val="00245916"/>
    <w:rsid w:val="00245AD5"/>
    <w:rsid w:val="00245CD5"/>
    <w:rsid w:val="00246C18"/>
    <w:rsid w:val="00247665"/>
    <w:rsid w:val="002476A7"/>
    <w:rsid w:val="0025097A"/>
    <w:rsid w:val="00250C0A"/>
    <w:rsid w:val="002528FE"/>
    <w:rsid w:val="00252FC0"/>
    <w:rsid w:val="002548B5"/>
    <w:rsid w:val="00255687"/>
    <w:rsid w:val="00256A1B"/>
    <w:rsid w:val="00262585"/>
    <w:rsid w:val="0026315A"/>
    <w:rsid w:val="0026373D"/>
    <w:rsid w:val="002663E5"/>
    <w:rsid w:val="0026686E"/>
    <w:rsid w:val="00267D18"/>
    <w:rsid w:val="002700A9"/>
    <w:rsid w:val="00270466"/>
    <w:rsid w:val="0027236D"/>
    <w:rsid w:val="00272F59"/>
    <w:rsid w:val="00273DA1"/>
    <w:rsid w:val="002823A3"/>
    <w:rsid w:val="00282489"/>
    <w:rsid w:val="00282CBC"/>
    <w:rsid w:val="00284F79"/>
    <w:rsid w:val="00287A1A"/>
    <w:rsid w:val="002918BF"/>
    <w:rsid w:val="002950B2"/>
    <w:rsid w:val="00297FC4"/>
    <w:rsid w:val="002A1113"/>
    <w:rsid w:val="002A1AD4"/>
    <w:rsid w:val="002A1D26"/>
    <w:rsid w:val="002A293C"/>
    <w:rsid w:val="002A3EC1"/>
    <w:rsid w:val="002A6ADB"/>
    <w:rsid w:val="002A711C"/>
    <w:rsid w:val="002B093E"/>
    <w:rsid w:val="002B12D8"/>
    <w:rsid w:val="002B1C58"/>
    <w:rsid w:val="002B1EA7"/>
    <w:rsid w:val="002B2B65"/>
    <w:rsid w:val="002B78E5"/>
    <w:rsid w:val="002C0FC9"/>
    <w:rsid w:val="002C1018"/>
    <w:rsid w:val="002C1081"/>
    <w:rsid w:val="002C209D"/>
    <w:rsid w:val="002C2F3A"/>
    <w:rsid w:val="002C3952"/>
    <w:rsid w:val="002C3B31"/>
    <w:rsid w:val="002C3F06"/>
    <w:rsid w:val="002C4711"/>
    <w:rsid w:val="002C4B23"/>
    <w:rsid w:val="002C4BB4"/>
    <w:rsid w:val="002C5DD1"/>
    <w:rsid w:val="002C6364"/>
    <w:rsid w:val="002C7E24"/>
    <w:rsid w:val="002D089C"/>
    <w:rsid w:val="002D0A0F"/>
    <w:rsid w:val="002D1F55"/>
    <w:rsid w:val="002D2079"/>
    <w:rsid w:val="002D432C"/>
    <w:rsid w:val="002D4BF7"/>
    <w:rsid w:val="002D7656"/>
    <w:rsid w:val="002E0A54"/>
    <w:rsid w:val="002E1BB5"/>
    <w:rsid w:val="002E463E"/>
    <w:rsid w:val="002F060A"/>
    <w:rsid w:val="002F187A"/>
    <w:rsid w:val="002F4D7E"/>
    <w:rsid w:val="002F6C28"/>
    <w:rsid w:val="002F7DEC"/>
    <w:rsid w:val="003008E7"/>
    <w:rsid w:val="00300A34"/>
    <w:rsid w:val="00300D2D"/>
    <w:rsid w:val="00301E7E"/>
    <w:rsid w:val="00302567"/>
    <w:rsid w:val="003028C2"/>
    <w:rsid w:val="0030302D"/>
    <w:rsid w:val="00304971"/>
    <w:rsid w:val="00307361"/>
    <w:rsid w:val="003119CD"/>
    <w:rsid w:val="003137D8"/>
    <w:rsid w:val="003156AC"/>
    <w:rsid w:val="003158D1"/>
    <w:rsid w:val="003177A2"/>
    <w:rsid w:val="003179B9"/>
    <w:rsid w:val="00322052"/>
    <w:rsid w:val="003240B3"/>
    <w:rsid w:val="0032521A"/>
    <w:rsid w:val="00326BD1"/>
    <w:rsid w:val="003273B4"/>
    <w:rsid w:val="003307C5"/>
    <w:rsid w:val="0033340D"/>
    <w:rsid w:val="0033442C"/>
    <w:rsid w:val="00335FCA"/>
    <w:rsid w:val="003405F7"/>
    <w:rsid w:val="0034201A"/>
    <w:rsid w:val="00344AA6"/>
    <w:rsid w:val="00346D96"/>
    <w:rsid w:val="00350226"/>
    <w:rsid w:val="00350433"/>
    <w:rsid w:val="00350F37"/>
    <w:rsid w:val="00353289"/>
    <w:rsid w:val="00353CF5"/>
    <w:rsid w:val="003540AC"/>
    <w:rsid w:val="00354D21"/>
    <w:rsid w:val="003571BF"/>
    <w:rsid w:val="00360F0F"/>
    <w:rsid w:val="003610CE"/>
    <w:rsid w:val="00361FAF"/>
    <w:rsid w:val="0036276F"/>
    <w:rsid w:val="003649F9"/>
    <w:rsid w:val="0036574B"/>
    <w:rsid w:val="003660D2"/>
    <w:rsid w:val="003667F3"/>
    <w:rsid w:val="003678B3"/>
    <w:rsid w:val="0037125E"/>
    <w:rsid w:val="0037186A"/>
    <w:rsid w:val="00376C5B"/>
    <w:rsid w:val="00376E4D"/>
    <w:rsid w:val="00380CBE"/>
    <w:rsid w:val="00382759"/>
    <w:rsid w:val="00387E4A"/>
    <w:rsid w:val="00391442"/>
    <w:rsid w:val="00393E3E"/>
    <w:rsid w:val="0039428B"/>
    <w:rsid w:val="00395A94"/>
    <w:rsid w:val="003A1E8E"/>
    <w:rsid w:val="003A2031"/>
    <w:rsid w:val="003A6F8A"/>
    <w:rsid w:val="003B1C2A"/>
    <w:rsid w:val="003B1D96"/>
    <w:rsid w:val="003B30A4"/>
    <w:rsid w:val="003B3E4A"/>
    <w:rsid w:val="003B50B8"/>
    <w:rsid w:val="003B6015"/>
    <w:rsid w:val="003B7FE6"/>
    <w:rsid w:val="003C066D"/>
    <w:rsid w:val="003C1C2C"/>
    <w:rsid w:val="003C2E4F"/>
    <w:rsid w:val="003C31F4"/>
    <w:rsid w:val="003C3376"/>
    <w:rsid w:val="003C50A2"/>
    <w:rsid w:val="003C5C33"/>
    <w:rsid w:val="003C5DE9"/>
    <w:rsid w:val="003C79B7"/>
    <w:rsid w:val="003D0363"/>
    <w:rsid w:val="003D0843"/>
    <w:rsid w:val="003D1DED"/>
    <w:rsid w:val="003D33F2"/>
    <w:rsid w:val="003D3A35"/>
    <w:rsid w:val="003D4519"/>
    <w:rsid w:val="003D4803"/>
    <w:rsid w:val="003D53B0"/>
    <w:rsid w:val="003D5F74"/>
    <w:rsid w:val="003D63DD"/>
    <w:rsid w:val="003D79C1"/>
    <w:rsid w:val="003E15B0"/>
    <w:rsid w:val="003E1E0D"/>
    <w:rsid w:val="003E2F6C"/>
    <w:rsid w:val="003E3F82"/>
    <w:rsid w:val="003E6C9C"/>
    <w:rsid w:val="003E7D6D"/>
    <w:rsid w:val="003F0927"/>
    <w:rsid w:val="003F18FE"/>
    <w:rsid w:val="003F1F0A"/>
    <w:rsid w:val="003F30BF"/>
    <w:rsid w:val="003F34FF"/>
    <w:rsid w:val="003F356C"/>
    <w:rsid w:val="003F371E"/>
    <w:rsid w:val="003F3E10"/>
    <w:rsid w:val="003F420B"/>
    <w:rsid w:val="003F4528"/>
    <w:rsid w:val="003F6257"/>
    <w:rsid w:val="003F7F9B"/>
    <w:rsid w:val="0040015D"/>
    <w:rsid w:val="004008D2"/>
    <w:rsid w:val="00401466"/>
    <w:rsid w:val="004034F8"/>
    <w:rsid w:val="00407881"/>
    <w:rsid w:val="00407C9C"/>
    <w:rsid w:val="00412942"/>
    <w:rsid w:val="00412A60"/>
    <w:rsid w:val="004132B3"/>
    <w:rsid w:val="004132BB"/>
    <w:rsid w:val="00414B33"/>
    <w:rsid w:val="00414E9F"/>
    <w:rsid w:val="00415D51"/>
    <w:rsid w:val="0041725C"/>
    <w:rsid w:val="004208D4"/>
    <w:rsid w:val="00423CCD"/>
    <w:rsid w:val="00425B69"/>
    <w:rsid w:val="0043189F"/>
    <w:rsid w:val="00431D66"/>
    <w:rsid w:val="0043289D"/>
    <w:rsid w:val="0043368A"/>
    <w:rsid w:val="00433DE2"/>
    <w:rsid w:val="004345FA"/>
    <w:rsid w:val="00434639"/>
    <w:rsid w:val="00434DDD"/>
    <w:rsid w:val="00436391"/>
    <w:rsid w:val="004378E0"/>
    <w:rsid w:val="00440A54"/>
    <w:rsid w:val="00445079"/>
    <w:rsid w:val="0044547E"/>
    <w:rsid w:val="00445907"/>
    <w:rsid w:val="00447ADF"/>
    <w:rsid w:val="0045073C"/>
    <w:rsid w:val="00450E7D"/>
    <w:rsid w:val="004527D8"/>
    <w:rsid w:val="004530CE"/>
    <w:rsid w:val="00455FDC"/>
    <w:rsid w:val="00457140"/>
    <w:rsid w:val="00457D1D"/>
    <w:rsid w:val="004619EA"/>
    <w:rsid w:val="00461FEE"/>
    <w:rsid w:val="00462D1C"/>
    <w:rsid w:val="004645CF"/>
    <w:rsid w:val="00464AD3"/>
    <w:rsid w:val="0046586A"/>
    <w:rsid w:val="00465960"/>
    <w:rsid w:val="00467965"/>
    <w:rsid w:val="004764A6"/>
    <w:rsid w:val="004804CD"/>
    <w:rsid w:val="00482061"/>
    <w:rsid w:val="004820B9"/>
    <w:rsid w:val="0048311C"/>
    <w:rsid w:val="00483741"/>
    <w:rsid w:val="00484267"/>
    <w:rsid w:val="00485AC7"/>
    <w:rsid w:val="004870CB"/>
    <w:rsid w:val="00487AA4"/>
    <w:rsid w:val="00490603"/>
    <w:rsid w:val="004917A8"/>
    <w:rsid w:val="00492633"/>
    <w:rsid w:val="00493B09"/>
    <w:rsid w:val="00494426"/>
    <w:rsid w:val="004968F8"/>
    <w:rsid w:val="004A01BD"/>
    <w:rsid w:val="004A388C"/>
    <w:rsid w:val="004A4C70"/>
    <w:rsid w:val="004B3A15"/>
    <w:rsid w:val="004B40C7"/>
    <w:rsid w:val="004B472E"/>
    <w:rsid w:val="004B4AAB"/>
    <w:rsid w:val="004B4F6A"/>
    <w:rsid w:val="004B54FB"/>
    <w:rsid w:val="004B7A81"/>
    <w:rsid w:val="004C1078"/>
    <w:rsid w:val="004C12B6"/>
    <w:rsid w:val="004C4A81"/>
    <w:rsid w:val="004C4AF8"/>
    <w:rsid w:val="004C61C7"/>
    <w:rsid w:val="004C62C3"/>
    <w:rsid w:val="004C6C92"/>
    <w:rsid w:val="004C6F87"/>
    <w:rsid w:val="004D23CF"/>
    <w:rsid w:val="004D5A9C"/>
    <w:rsid w:val="004E1335"/>
    <w:rsid w:val="004E2A85"/>
    <w:rsid w:val="004E347F"/>
    <w:rsid w:val="004E7FEF"/>
    <w:rsid w:val="004F0954"/>
    <w:rsid w:val="004F09B5"/>
    <w:rsid w:val="004F19DA"/>
    <w:rsid w:val="004F2A50"/>
    <w:rsid w:val="004F2AA8"/>
    <w:rsid w:val="004F376D"/>
    <w:rsid w:val="004F3E50"/>
    <w:rsid w:val="004F3FFA"/>
    <w:rsid w:val="004F52EC"/>
    <w:rsid w:val="004F7CE5"/>
    <w:rsid w:val="00500367"/>
    <w:rsid w:val="00501C7F"/>
    <w:rsid w:val="005023D4"/>
    <w:rsid w:val="00502731"/>
    <w:rsid w:val="00502B07"/>
    <w:rsid w:val="005038E2"/>
    <w:rsid w:val="00503CEC"/>
    <w:rsid w:val="00504E89"/>
    <w:rsid w:val="005068CE"/>
    <w:rsid w:val="00507EB8"/>
    <w:rsid w:val="00510BAA"/>
    <w:rsid w:val="00511DE4"/>
    <w:rsid w:val="00513AF5"/>
    <w:rsid w:val="00514097"/>
    <w:rsid w:val="00514637"/>
    <w:rsid w:val="00514E99"/>
    <w:rsid w:val="00515934"/>
    <w:rsid w:val="005163E2"/>
    <w:rsid w:val="00517715"/>
    <w:rsid w:val="00517C2F"/>
    <w:rsid w:val="00517E00"/>
    <w:rsid w:val="0052039C"/>
    <w:rsid w:val="005212DB"/>
    <w:rsid w:val="00521DE7"/>
    <w:rsid w:val="00524C09"/>
    <w:rsid w:val="00526B10"/>
    <w:rsid w:val="00527406"/>
    <w:rsid w:val="005277D1"/>
    <w:rsid w:val="00530BEF"/>
    <w:rsid w:val="00530E6D"/>
    <w:rsid w:val="0053125A"/>
    <w:rsid w:val="005313E3"/>
    <w:rsid w:val="00531FC1"/>
    <w:rsid w:val="00532FCA"/>
    <w:rsid w:val="00534F59"/>
    <w:rsid w:val="00536AD9"/>
    <w:rsid w:val="00540328"/>
    <w:rsid w:val="00541262"/>
    <w:rsid w:val="0054363A"/>
    <w:rsid w:val="005446F8"/>
    <w:rsid w:val="00546812"/>
    <w:rsid w:val="0054687F"/>
    <w:rsid w:val="00550134"/>
    <w:rsid w:val="00550DCF"/>
    <w:rsid w:val="005510C2"/>
    <w:rsid w:val="00551F76"/>
    <w:rsid w:val="00552A42"/>
    <w:rsid w:val="00554ED6"/>
    <w:rsid w:val="00555309"/>
    <w:rsid w:val="005558E2"/>
    <w:rsid w:val="0055642B"/>
    <w:rsid w:val="00557340"/>
    <w:rsid w:val="00560687"/>
    <w:rsid w:val="00562EF8"/>
    <w:rsid w:val="00563297"/>
    <w:rsid w:val="00563722"/>
    <w:rsid w:val="0056373C"/>
    <w:rsid w:val="00564434"/>
    <w:rsid w:val="00567ADA"/>
    <w:rsid w:val="0057072A"/>
    <w:rsid w:val="0057180E"/>
    <w:rsid w:val="00574243"/>
    <w:rsid w:val="00574B2E"/>
    <w:rsid w:val="00574DE0"/>
    <w:rsid w:val="005760E8"/>
    <w:rsid w:val="00576496"/>
    <w:rsid w:val="00576B53"/>
    <w:rsid w:val="00576B9C"/>
    <w:rsid w:val="00576F1F"/>
    <w:rsid w:val="005779A5"/>
    <w:rsid w:val="00583443"/>
    <w:rsid w:val="00584A41"/>
    <w:rsid w:val="00586386"/>
    <w:rsid w:val="00586862"/>
    <w:rsid w:val="00587C6E"/>
    <w:rsid w:val="005918E5"/>
    <w:rsid w:val="00591E6C"/>
    <w:rsid w:val="00592705"/>
    <w:rsid w:val="00595125"/>
    <w:rsid w:val="00595795"/>
    <w:rsid w:val="00595DAF"/>
    <w:rsid w:val="005A116D"/>
    <w:rsid w:val="005A1E19"/>
    <w:rsid w:val="005A3B0D"/>
    <w:rsid w:val="005A415B"/>
    <w:rsid w:val="005A6C95"/>
    <w:rsid w:val="005A7957"/>
    <w:rsid w:val="005B0B51"/>
    <w:rsid w:val="005B10F5"/>
    <w:rsid w:val="005B1B3E"/>
    <w:rsid w:val="005B3E1C"/>
    <w:rsid w:val="005B4086"/>
    <w:rsid w:val="005B5569"/>
    <w:rsid w:val="005C04EA"/>
    <w:rsid w:val="005C1C8D"/>
    <w:rsid w:val="005C1EEF"/>
    <w:rsid w:val="005C1F36"/>
    <w:rsid w:val="005C21A2"/>
    <w:rsid w:val="005C32D4"/>
    <w:rsid w:val="005C5136"/>
    <w:rsid w:val="005C717B"/>
    <w:rsid w:val="005C723D"/>
    <w:rsid w:val="005D0663"/>
    <w:rsid w:val="005D69BB"/>
    <w:rsid w:val="005D74E5"/>
    <w:rsid w:val="005D779C"/>
    <w:rsid w:val="005E03FF"/>
    <w:rsid w:val="005E0BD5"/>
    <w:rsid w:val="005E2A23"/>
    <w:rsid w:val="005E45ED"/>
    <w:rsid w:val="005E573E"/>
    <w:rsid w:val="005E5B1B"/>
    <w:rsid w:val="005F1530"/>
    <w:rsid w:val="005F391E"/>
    <w:rsid w:val="00600FEC"/>
    <w:rsid w:val="006016CF"/>
    <w:rsid w:val="00605174"/>
    <w:rsid w:val="006079EF"/>
    <w:rsid w:val="00610E13"/>
    <w:rsid w:val="00610E95"/>
    <w:rsid w:val="00611F18"/>
    <w:rsid w:val="006125EB"/>
    <w:rsid w:val="00613FEA"/>
    <w:rsid w:val="006149C1"/>
    <w:rsid w:val="0061728B"/>
    <w:rsid w:val="00624677"/>
    <w:rsid w:val="0062497F"/>
    <w:rsid w:val="006250D4"/>
    <w:rsid w:val="006252EA"/>
    <w:rsid w:val="006309C9"/>
    <w:rsid w:val="006319E7"/>
    <w:rsid w:val="00632FCF"/>
    <w:rsid w:val="00635019"/>
    <w:rsid w:val="00637C48"/>
    <w:rsid w:val="00641582"/>
    <w:rsid w:val="006416AA"/>
    <w:rsid w:val="00642FC9"/>
    <w:rsid w:val="00642FD3"/>
    <w:rsid w:val="00645630"/>
    <w:rsid w:val="00653DF6"/>
    <w:rsid w:val="006548A8"/>
    <w:rsid w:val="00654A6F"/>
    <w:rsid w:val="006557B1"/>
    <w:rsid w:val="00655990"/>
    <w:rsid w:val="00656FC7"/>
    <w:rsid w:val="00656FDA"/>
    <w:rsid w:val="006608D2"/>
    <w:rsid w:val="00661BDD"/>
    <w:rsid w:val="00661F53"/>
    <w:rsid w:val="006624AC"/>
    <w:rsid w:val="00662A5E"/>
    <w:rsid w:val="00665A27"/>
    <w:rsid w:val="00665C1A"/>
    <w:rsid w:val="006668EB"/>
    <w:rsid w:val="006721E2"/>
    <w:rsid w:val="0067426C"/>
    <w:rsid w:val="0067460E"/>
    <w:rsid w:val="006775EF"/>
    <w:rsid w:val="00681264"/>
    <w:rsid w:val="00682B8A"/>
    <w:rsid w:val="00682FF5"/>
    <w:rsid w:val="00686AA4"/>
    <w:rsid w:val="006908E6"/>
    <w:rsid w:val="006912E8"/>
    <w:rsid w:val="00692982"/>
    <w:rsid w:val="00692CD9"/>
    <w:rsid w:val="00692F5C"/>
    <w:rsid w:val="00694970"/>
    <w:rsid w:val="006955E9"/>
    <w:rsid w:val="00695663"/>
    <w:rsid w:val="0069772F"/>
    <w:rsid w:val="006A0BBC"/>
    <w:rsid w:val="006A0F16"/>
    <w:rsid w:val="006A40F1"/>
    <w:rsid w:val="006A5B75"/>
    <w:rsid w:val="006A6F56"/>
    <w:rsid w:val="006A7154"/>
    <w:rsid w:val="006A7302"/>
    <w:rsid w:val="006A7A35"/>
    <w:rsid w:val="006B0D60"/>
    <w:rsid w:val="006B1D11"/>
    <w:rsid w:val="006B1DD9"/>
    <w:rsid w:val="006B2963"/>
    <w:rsid w:val="006B7B32"/>
    <w:rsid w:val="006C177D"/>
    <w:rsid w:val="006C24C8"/>
    <w:rsid w:val="006C30FE"/>
    <w:rsid w:val="006C4B38"/>
    <w:rsid w:val="006C4E09"/>
    <w:rsid w:val="006C4E49"/>
    <w:rsid w:val="006C58DD"/>
    <w:rsid w:val="006C6DB2"/>
    <w:rsid w:val="006D1262"/>
    <w:rsid w:val="006D52D2"/>
    <w:rsid w:val="006D6583"/>
    <w:rsid w:val="006E0F23"/>
    <w:rsid w:val="006E1AB5"/>
    <w:rsid w:val="006E277A"/>
    <w:rsid w:val="006E2FB3"/>
    <w:rsid w:val="006E3BFE"/>
    <w:rsid w:val="006E3D7D"/>
    <w:rsid w:val="006E4676"/>
    <w:rsid w:val="006E5C2E"/>
    <w:rsid w:val="006E61FB"/>
    <w:rsid w:val="006E6CEB"/>
    <w:rsid w:val="006F1283"/>
    <w:rsid w:val="006F29AB"/>
    <w:rsid w:val="006F538B"/>
    <w:rsid w:val="006F5423"/>
    <w:rsid w:val="006F5A1A"/>
    <w:rsid w:val="006F6405"/>
    <w:rsid w:val="007024F7"/>
    <w:rsid w:val="00702B0A"/>
    <w:rsid w:val="0070482D"/>
    <w:rsid w:val="0070569B"/>
    <w:rsid w:val="00707B10"/>
    <w:rsid w:val="0071071C"/>
    <w:rsid w:val="00710E04"/>
    <w:rsid w:val="00711D8A"/>
    <w:rsid w:val="0071594F"/>
    <w:rsid w:val="0071674D"/>
    <w:rsid w:val="00716914"/>
    <w:rsid w:val="0071714B"/>
    <w:rsid w:val="0072048A"/>
    <w:rsid w:val="00720909"/>
    <w:rsid w:val="00722BDC"/>
    <w:rsid w:val="00722E9E"/>
    <w:rsid w:val="0072394C"/>
    <w:rsid w:val="0072496D"/>
    <w:rsid w:val="007262D6"/>
    <w:rsid w:val="00727FD0"/>
    <w:rsid w:val="0073078A"/>
    <w:rsid w:val="007321E7"/>
    <w:rsid w:val="00733008"/>
    <w:rsid w:val="007356BC"/>
    <w:rsid w:val="007412CB"/>
    <w:rsid w:val="00741A74"/>
    <w:rsid w:val="00741D7F"/>
    <w:rsid w:val="007428EA"/>
    <w:rsid w:val="00742B4C"/>
    <w:rsid w:val="00744A36"/>
    <w:rsid w:val="00745D04"/>
    <w:rsid w:val="007502FD"/>
    <w:rsid w:val="007506F9"/>
    <w:rsid w:val="00750A03"/>
    <w:rsid w:val="00750BD6"/>
    <w:rsid w:val="007512AB"/>
    <w:rsid w:val="007512FA"/>
    <w:rsid w:val="00751F17"/>
    <w:rsid w:val="00752F90"/>
    <w:rsid w:val="00755764"/>
    <w:rsid w:val="00755857"/>
    <w:rsid w:val="0075644C"/>
    <w:rsid w:val="00756F07"/>
    <w:rsid w:val="00760AA4"/>
    <w:rsid w:val="007611F0"/>
    <w:rsid w:val="007612DA"/>
    <w:rsid w:val="00762300"/>
    <w:rsid w:val="00764412"/>
    <w:rsid w:val="007657C1"/>
    <w:rsid w:val="00767BDD"/>
    <w:rsid w:val="00767FA2"/>
    <w:rsid w:val="00770530"/>
    <w:rsid w:val="0077103D"/>
    <w:rsid w:val="00773BE1"/>
    <w:rsid w:val="00776402"/>
    <w:rsid w:val="0077642D"/>
    <w:rsid w:val="00780C54"/>
    <w:rsid w:val="00782289"/>
    <w:rsid w:val="007823BC"/>
    <w:rsid w:val="00782548"/>
    <w:rsid w:val="00786042"/>
    <w:rsid w:val="00790D50"/>
    <w:rsid w:val="00790EFD"/>
    <w:rsid w:val="00793FA7"/>
    <w:rsid w:val="007977C2"/>
    <w:rsid w:val="00797B70"/>
    <w:rsid w:val="007A1BA8"/>
    <w:rsid w:val="007A2EEA"/>
    <w:rsid w:val="007A3253"/>
    <w:rsid w:val="007A3ABF"/>
    <w:rsid w:val="007A460E"/>
    <w:rsid w:val="007A47B8"/>
    <w:rsid w:val="007A4EDC"/>
    <w:rsid w:val="007B01CF"/>
    <w:rsid w:val="007B06F3"/>
    <w:rsid w:val="007B0F36"/>
    <w:rsid w:val="007B444D"/>
    <w:rsid w:val="007B5514"/>
    <w:rsid w:val="007B6818"/>
    <w:rsid w:val="007C02C6"/>
    <w:rsid w:val="007C6DBF"/>
    <w:rsid w:val="007D2E08"/>
    <w:rsid w:val="007D58B3"/>
    <w:rsid w:val="007D63F5"/>
    <w:rsid w:val="007E1C81"/>
    <w:rsid w:val="007E1F13"/>
    <w:rsid w:val="007E27B8"/>
    <w:rsid w:val="007E4838"/>
    <w:rsid w:val="007E6C2E"/>
    <w:rsid w:val="007E6C80"/>
    <w:rsid w:val="007E7933"/>
    <w:rsid w:val="007F263F"/>
    <w:rsid w:val="007F286F"/>
    <w:rsid w:val="007F2E60"/>
    <w:rsid w:val="007F5240"/>
    <w:rsid w:val="007F54D6"/>
    <w:rsid w:val="007F6251"/>
    <w:rsid w:val="007F679B"/>
    <w:rsid w:val="007F7497"/>
    <w:rsid w:val="0080151F"/>
    <w:rsid w:val="00801632"/>
    <w:rsid w:val="00802601"/>
    <w:rsid w:val="00803D09"/>
    <w:rsid w:val="008051B9"/>
    <w:rsid w:val="00805E10"/>
    <w:rsid w:val="008078FE"/>
    <w:rsid w:val="00807915"/>
    <w:rsid w:val="00812DDE"/>
    <w:rsid w:val="00815B97"/>
    <w:rsid w:val="00820AF3"/>
    <w:rsid w:val="00820D40"/>
    <w:rsid w:val="008220AE"/>
    <w:rsid w:val="0082255D"/>
    <w:rsid w:val="00823C40"/>
    <w:rsid w:val="00824143"/>
    <w:rsid w:val="00824648"/>
    <w:rsid w:val="00826D77"/>
    <w:rsid w:val="0082714A"/>
    <w:rsid w:val="00827B38"/>
    <w:rsid w:val="00830C83"/>
    <w:rsid w:val="00830D8C"/>
    <w:rsid w:val="00833524"/>
    <w:rsid w:val="0083626F"/>
    <w:rsid w:val="0083631B"/>
    <w:rsid w:val="00836F83"/>
    <w:rsid w:val="00837C06"/>
    <w:rsid w:val="00837E15"/>
    <w:rsid w:val="00841DE1"/>
    <w:rsid w:val="00842A73"/>
    <w:rsid w:val="00842E95"/>
    <w:rsid w:val="00843D0F"/>
    <w:rsid w:val="0084490D"/>
    <w:rsid w:val="00846B30"/>
    <w:rsid w:val="008471CE"/>
    <w:rsid w:val="00847C82"/>
    <w:rsid w:val="0085115E"/>
    <w:rsid w:val="00852FF9"/>
    <w:rsid w:val="00854BA9"/>
    <w:rsid w:val="00855117"/>
    <w:rsid w:val="0085529F"/>
    <w:rsid w:val="0085539D"/>
    <w:rsid w:val="008558EA"/>
    <w:rsid w:val="00856045"/>
    <w:rsid w:val="00860B94"/>
    <w:rsid w:val="008611BE"/>
    <w:rsid w:val="00861489"/>
    <w:rsid w:val="00861D65"/>
    <w:rsid w:val="0086345B"/>
    <w:rsid w:val="00866226"/>
    <w:rsid w:val="00866867"/>
    <w:rsid w:val="008706A8"/>
    <w:rsid w:val="008740D2"/>
    <w:rsid w:val="008764FF"/>
    <w:rsid w:val="0087724D"/>
    <w:rsid w:val="008776A8"/>
    <w:rsid w:val="00881942"/>
    <w:rsid w:val="00881ED4"/>
    <w:rsid w:val="008849B3"/>
    <w:rsid w:val="0088520A"/>
    <w:rsid w:val="008907FB"/>
    <w:rsid w:val="00894C26"/>
    <w:rsid w:val="008950E1"/>
    <w:rsid w:val="00895839"/>
    <w:rsid w:val="00895A4A"/>
    <w:rsid w:val="00896AB9"/>
    <w:rsid w:val="008A174F"/>
    <w:rsid w:val="008A259F"/>
    <w:rsid w:val="008A49AB"/>
    <w:rsid w:val="008A4C7F"/>
    <w:rsid w:val="008A66F7"/>
    <w:rsid w:val="008A6E14"/>
    <w:rsid w:val="008A6E50"/>
    <w:rsid w:val="008A709E"/>
    <w:rsid w:val="008A71FE"/>
    <w:rsid w:val="008A7CA8"/>
    <w:rsid w:val="008B2EF2"/>
    <w:rsid w:val="008B38B8"/>
    <w:rsid w:val="008B43BA"/>
    <w:rsid w:val="008B532B"/>
    <w:rsid w:val="008B5AC9"/>
    <w:rsid w:val="008B698F"/>
    <w:rsid w:val="008B6AF8"/>
    <w:rsid w:val="008B7631"/>
    <w:rsid w:val="008B76B6"/>
    <w:rsid w:val="008B7A09"/>
    <w:rsid w:val="008C03CD"/>
    <w:rsid w:val="008C0A6D"/>
    <w:rsid w:val="008C1938"/>
    <w:rsid w:val="008C2502"/>
    <w:rsid w:val="008C3065"/>
    <w:rsid w:val="008C4CB7"/>
    <w:rsid w:val="008C5451"/>
    <w:rsid w:val="008C5DFD"/>
    <w:rsid w:val="008C7596"/>
    <w:rsid w:val="008D190F"/>
    <w:rsid w:val="008D30B0"/>
    <w:rsid w:val="008D30C9"/>
    <w:rsid w:val="008D39C1"/>
    <w:rsid w:val="008D436B"/>
    <w:rsid w:val="008D43A9"/>
    <w:rsid w:val="008D5C2A"/>
    <w:rsid w:val="008E0E07"/>
    <w:rsid w:val="008E14DA"/>
    <w:rsid w:val="008E3442"/>
    <w:rsid w:val="008E50FF"/>
    <w:rsid w:val="008E61CA"/>
    <w:rsid w:val="008E75FA"/>
    <w:rsid w:val="008F041D"/>
    <w:rsid w:val="008F07F7"/>
    <w:rsid w:val="008F17A0"/>
    <w:rsid w:val="008F216D"/>
    <w:rsid w:val="008F2CE9"/>
    <w:rsid w:val="008F3BF4"/>
    <w:rsid w:val="008F413B"/>
    <w:rsid w:val="008F483B"/>
    <w:rsid w:val="0090037E"/>
    <w:rsid w:val="0090038B"/>
    <w:rsid w:val="00901278"/>
    <w:rsid w:val="00906680"/>
    <w:rsid w:val="00906D5D"/>
    <w:rsid w:val="009071B9"/>
    <w:rsid w:val="00907DB2"/>
    <w:rsid w:val="009123CB"/>
    <w:rsid w:val="00913084"/>
    <w:rsid w:val="0091508B"/>
    <w:rsid w:val="00916F58"/>
    <w:rsid w:val="00923A1D"/>
    <w:rsid w:val="00925507"/>
    <w:rsid w:val="009257D0"/>
    <w:rsid w:val="00926847"/>
    <w:rsid w:val="00926D81"/>
    <w:rsid w:val="00927B91"/>
    <w:rsid w:val="00931A1F"/>
    <w:rsid w:val="00932D03"/>
    <w:rsid w:val="0093387E"/>
    <w:rsid w:val="00933D2C"/>
    <w:rsid w:val="00934173"/>
    <w:rsid w:val="00937F06"/>
    <w:rsid w:val="00940EA5"/>
    <w:rsid w:val="009443BC"/>
    <w:rsid w:val="00944C7E"/>
    <w:rsid w:val="009463CF"/>
    <w:rsid w:val="00947A50"/>
    <w:rsid w:val="00953C0C"/>
    <w:rsid w:val="00955C96"/>
    <w:rsid w:val="00964AE7"/>
    <w:rsid w:val="00964DB2"/>
    <w:rsid w:val="009656C5"/>
    <w:rsid w:val="009668BE"/>
    <w:rsid w:val="00966A1D"/>
    <w:rsid w:val="00967FD7"/>
    <w:rsid w:val="0097115B"/>
    <w:rsid w:val="0098194A"/>
    <w:rsid w:val="0098266C"/>
    <w:rsid w:val="00982F82"/>
    <w:rsid w:val="00985FF2"/>
    <w:rsid w:val="00986D04"/>
    <w:rsid w:val="009873CE"/>
    <w:rsid w:val="00987CC2"/>
    <w:rsid w:val="0099021E"/>
    <w:rsid w:val="00990220"/>
    <w:rsid w:val="009915DE"/>
    <w:rsid w:val="00992B79"/>
    <w:rsid w:val="009935D6"/>
    <w:rsid w:val="0099757D"/>
    <w:rsid w:val="009A3E3B"/>
    <w:rsid w:val="009A4CC6"/>
    <w:rsid w:val="009A6F14"/>
    <w:rsid w:val="009B094D"/>
    <w:rsid w:val="009B0B69"/>
    <w:rsid w:val="009B0E1D"/>
    <w:rsid w:val="009B198D"/>
    <w:rsid w:val="009B205C"/>
    <w:rsid w:val="009B4759"/>
    <w:rsid w:val="009B4864"/>
    <w:rsid w:val="009B4BD6"/>
    <w:rsid w:val="009B4C1D"/>
    <w:rsid w:val="009B50D1"/>
    <w:rsid w:val="009B7E58"/>
    <w:rsid w:val="009C1A40"/>
    <w:rsid w:val="009C253D"/>
    <w:rsid w:val="009C31FD"/>
    <w:rsid w:val="009C3CAB"/>
    <w:rsid w:val="009C6061"/>
    <w:rsid w:val="009C6219"/>
    <w:rsid w:val="009C622E"/>
    <w:rsid w:val="009C68A2"/>
    <w:rsid w:val="009D0F2B"/>
    <w:rsid w:val="009D1220"/>
    <w:rsid w:val="009D127D"/>
    <w:rsid w:val="009D15AF"/>
    <w:rsid w:val="009D267F"/>
    <w:rsid w:val="009D678E"/>
    <w:rsid w:val="009E085D"/>
    <w:rsid w:val="009E1068"/>
    <w:rsid w:val="009E1933"/>
    <w:rsid w:val="009E289F"/>
    <w:rsid w:val="009E354E"/>
    <w:rsid w:val="009E3DEE"/>
    <w:rsid w:val="009E3F9C"/>
    <w:rsid w:val="009E500B"/>
    <w:rsid w:val="009E502B"/>
    <w:rsid w:val="009E5080"/>
    <w:rsid w:val="009F02AA"/>
    <w:rsid w:val="009F0D07"/>
    <w:rsid w:val="009F2453"/>
    <w:rsid w:val="009F36E1"/>
    <w:rsid w:val="009F5622"/>
    <w:rsid w:val="009F564F"/>
    <w:rsid w:val="009F7526"/>
    <w:rsid w:val="009F7CEE"/>
    <w:rsid w:val="00A024A9"/>
    <w:rsid w:val="00A035A5"/>
    <w:rsid w:val="00A052B2"/>
    <w:rsid w:val="00A05AD6"/>
    <w:rsid w:val="00A0677B"/>
    <w:rsid w:val="00A07096"/>
    <w:rsid w:val="00A07A9E"/>
    <w:rsid w:val="00A12EC9"/>
    <w:rsid w:val="00A143AF"/>
    <w:rsid w:val="00A1526B"/>
    <w:rsid w:val="00A174A7"/>
    <w:rsid w:val="00A20DC0"/>
    <w:rsid w:val="00A21504"/>
    <w:rsid w:val="00A24FED"/>
    <w:rsid w:val="00A265D3"/>
    <w:rsid w:val="00A27110"/>
    <w:rsid w:val="00A275CB"/>
    <w:rsid w:val="00A27A11"/>
    <w:rsid w:val="00A32E66"/>
    <w:rsid w:val="00A34624"/>
    <w:rsid w:val="00A34D64"/>
    <w:rsid w:val="00A36EFF"/>
    <w:rsid w:val="00A37AA4"/>
    <w:rsid w:val="00A40516"/>
    <w:rsid w:val="00A419B1"/>
    <w:rsid w:val="00A42AF6"/>
    <w:rsid w:val="00A44409"/>
    <w:rsid w:val="00A44474"/>
    <w:rsid w:val="00A44744"/>
    <w:rsid w:val="00A4672F"/>
    <w:rsid w:val="00A50965"/>
    <w:rsid w:val="00A55464"/>
    <w:rsid w:val="00A57566"/>
    <w:rsid w:val="00A57EDB"/>
    <w:rsid w:val="00A60104"/>
    <w:rsid w:val="00A60D18"/>
    <w:rsid w:val="00A62519"/>
    <w:rsid w:val="00A63578"/>
    <w:rsid w:val="00A64438"/>
    <w:rsid w:val="00A672B6"/>
    <w:rsid w:val="00A7012C"/>
    <w:rsid w:val="00A71263"/>
    <w:rsid w:val="00A724E8"/>
    <w:rsid w:val="00A74012"/>
    <w:rsid w:val="00A74280"/>
    <w:rsid w:val="00A7610F"/>
    <w:rsid w:val="00A770EF"/>
    <w:rsid w:val="00A827FE"/>
    <w:rsid w:val="00A842AB"/>
    <w:rsid w:val="00A86AA3"/>
    <w:rsid w:val="00A926ED"/>
    <w:rsid w:val="00A935C0"/>
    <w:rsid w:val="00A95047"/>
    <w:rsid w:val="00A96296"/>
    <w:rsid w:val="00A972C6"/>
    <w:rsid w:val="00A97A58"/>
    <w:rsid w:val="00AA057A"/>
    <w:rsid w:val="00AA125C"/>
    <w:rsid w:val="00AA20B7"/>
    <w:rsid w:val="00AA56B7"/>
    <w:rsid w:val="00AA61B8"/>
    <w:rsid w:val="00AA68E9"/>
    <w:rsid w:val="00AA713A"/>
    <w:rsid w:val="00AA7A59"/>
    <w:rsid w:val="00AB10AB"/>
    <w:rsid w:val="00AB1558"/>
    <w:rsid w:val="00AB3450"/>
    <w:rsid w:val="00AB6F9D"/>
    <w:rsid w:val="00AC058E"/>
    <w:rsid w:val="00AC1C3A"/>
    <w:rsid w:val="00AC448F"/>
    <w:rsid w:val="00AC4FAB"/>
    <w:rsid w:val="00AC7768"/>
    <w:rsid w:val="00AD1E85"/>
    <w:rsid w:val="00AD46F0"/>
    <w:rsid w:val="00AD5198"/>
    <w:rsid w:val="00AD65AB"/>
    <w:rsid w:val="00AD7A5A"/>
    <w:rsid w:val="00AD7D89"/>
    <w:rsid w:val="00AE0C10"/>
    <w:rsid w:val="00AE5BDE"/>
    <w:rsid w:val="00AF00E5"/>
    <w:rsid w:val="00AF0349"/>
    <w:rsid w:val="00AF1614"/>
    <w:rsid w:val="00AF16EE"/>
    <w:rsid w:val="00AF3DDF"/>
    <w:rsid w:val="00AF435C"/>
    <w:rsid w:val="00AF479F"/>
    <w:rsid w:val="00AF5148"/>
    <w:rsid w:val="00B016A0"/>
    <w:rsid w:val="00B02ED1"/>
    <w:rsid w:val="00B07E7A"/>
    <w:rsid w:val="00B12FEA"/>
    <w:rsid w:val="00B1612E"/>
    <w:rsid w:val="00B20E56"/>
    <w:rsid w:val="00B2209A"/>
    <w:rsid w:val="00B22426"/>
    <w:rsid w:val="00B22E2B"/>
    <w:rsid w:val="00B24928"/>
    <w:rsid w:val="00B33EFF"/>
    <w:rsid w:val="00B34B95"/>
    <w:rsid w:val="00B3570A"/>
    <w:rsid w:val="00B360BF"/>
    <w:rsid w:val="00B3658B"/>
    <w:rsid w:val="00B37015"/>
    <w:rsid w:val="00B37157"/>
    <w:rsid w:val="00B37D64"/>
    <w:rsid w:val="00B403B7"/>
    <w:rsid w:val="00B41977"/>
    <w:rsid w:val="00B447AD"/>
    <w:rsid w:val="00B44C69"/>
    <w:rsid w:val="00B461BA"/>
    <w:rsid w:val="00B4686C"/>
    <w:rsid w:val="00B46AF3"/>
    <w:rsid w:val="00B47FB9"/>
    <w:rsid w:val="00B50368"/>
    <w:rsid w:val="00B52BAD"/>
    <w:rsid w:val="00B53D87"/>
    <w:rsid w:val="00B54055"/>
    <w:rsid w:val="00B54546"/>
    <w:rsid w:val="00B54DAD"/>
    <w:rsid w:val="00B56949"/>
    <w:rsid w:val="00B56B3E"/>
    <w:rsid w:val="00B611CA"/>
    <w:rsid w:val="00B6230A"/>
    <w:rsid w:val="00B62E98"/>
    <w:rsid w:val="00B6363C"/>
    <w:rsid w:val="00B645C1"/>
    <w:rsid w:val="00B64BA3"/>
    <w:rsid w:val="00B64CEC"/>
    <w:rsid w:val="00B653E8"/>
    <w:rsid w:val="00B66EC0"/>
    <w:rsid w:val="00B707FB"/>
    <w:rsid w:val="00B709BF"/>
    <w:rsid w:val="00B73136"/>
    <w:rsid w:val="00B74429"/>
    <w:rsid w:val="00B744EC"/>
    <w:rsid w:val="00B748CF"/>
    <w:rsid w:val="00B74BE8"/>
    <w:rsid w:val="00B75E0F"/>
    <w:rsid w:val="00B75FB9"/>
    <w:rsid w:val="00B7731B"/>
    <w:rsid w:val="00B80133"/>
    <w:rsid w:val="00B81746"/>
    <w:rsid w:val="00B820A5"/>
    <w:rsid w:val="00B8236D"/>
    <w:rsid w:val="00B83885"/>
    <w:rsid w:val="00B85E3A"/>
    <w:rsid w:val="00B8682A"/>
    <w:rsid w:val="00B87153"/>
    <w:rsid w:val="00B9199E"/>
    <w:rsid w:val="00B9203D"/>
    <w:rsid w:val="00B92622"/>
    <w:rsid w:val="00B92833"/>
    <w:rsid w:val="00B92A70"/>
    <w:rsid w:val="00B94A90"/>
    <w:rsid w:val="00B959A3"/>
    <w:rsid w:val="00B97047"/>
    <w:rsid w:val="00B974ED"/>
    <w:rsid w:val="00BA2924"/>
    <w:rsid w:val="00BA4AC1"/>
    <w:rsid w:val="00BA4F0C"/>
    <w:rsid w:val="00BA4FB6"/>
    <w:rsid w:val="00BA57A1"/>
    <w:rsid w:val="00BA5822"/>
    <w:rsid w:val="00BA5B7F"/>
    <w:rsid w:val="00BA5DC4"/>
    <w:rsid w:val="00BB1289"/>
    <w:rsid w:val="00BB1442"/>
    <w:rsid w:val="00BB258F"/>
    <w:rsid w:val="00BB27CD"/>
    <w:rsid w:val="00BB3B56"/>
    <w:rsid w:val="00BB45AD"/>
    <w:rsid w:val="00BB4798"/>
    <w:rsid w:val="00BB5F25"/>
    <w:rsid w:val="00BC0459"/>
    <w:rsid w:val="00BC07AF"/>
    <w:rsid w:val="00BC1222"/>
    <w:rsid w:val="00BC37C2"/>
    <w:rsid w:val="00BC4392"/>
    <w:rsid w:val="00BC4722"/>
    <w:rsid w:val="00BC599E"/>
    <w:rsid w:val="00BC629F"/>
    <w:rsid w:val="00BC6D77"/>
    <w:rsid w:val="00BD0C73"/>
    <w:rsid w:val="00BD3A4E"/>
    <w:rsid w:val="00BD47CE"/>
    <w:rsid w:val="00BD54C8"/>
    <w:rsid w:val="00BD647E"/>
    <w:rsid w:val="00BD7D42"/>
    <w:rsid w:val="00BE14BB"/>
    <w:rsid w:val="00BE1A37"/>
    <w:rsid w:val="00BE4AB4"/>
    <w:rsid w:val="00BE62B3"/>
    <w:rsid w:val="00BE6370"/>
    <w:rsid w:val="00BE699F"/>
    <w:rsid w:val="00BF033B"/>
    <w:rsid w:val="00BF0A5A"/>
    <w:rsid w:val="00BF24AB"/>
    <w:rsid w:val="00BF30C1"/>
    <w:rsid w:val="00BF3A48"/>
    <w:rsid w:val="00BF6958"/>
    <w:rsid w:val="00BF70DC"/>
    <w:rsid w:val="00BF79ED"/>
    <w:rsid w:val="00C00BD1"/>
    <w:rsid w:val="00C018F5"/>
    <w:rsid w:val="00C023C8"/>
    <w:rsid w:val="00C03D21"/>
    <w:rsid w:val="00C04E38"/>
    <w:rsid w:val="00C0639B"/>
    <w:rsid w:val="00C0678B"/>
    <w:rsid w:val="00C07553"/>
    <w:rsid w:val="00C17DDB"/>
    <w:rsid w:val="00C209CC"/>
    <w:rsid w:val="00C21F67"/>
    <w:rsid w:val="00C22925"/>
    <w:rsid w:val="00C258D6"/>
    <w:rsid w:val="00C3149A"/>
    <w:rsid w:val="00C33F41"/>
    <w:rsid w:val="00C36AD8"/>
    <w:rsid w:val="00C36AEB"/>
    <w:rsid w:val="00C37598"/>
    <w:rsid w:val="00C40339"/>
    <w:rsid w:val="00C4142C"/>
    <w:rsid w:val="00C42DD5"/>
    <w:rsid w:val="00C4409E"/>
    <w:rsid w:val="00C44F00"/>
    <w:rsid w:val="00C47DA8"/>
    <w:rsid w:val="00C501CA"/>
    <w:rsid w:val="00C529DA"/>
    <w:rsid w:val="00C54B88"/>
    <w:rsid w:val="00C55E96"/>
    <w:rsid w:val="00C562D1"/>
    <w:rsid w:val="00C64E3D"/>
    <w:rsid w:val="00C71540"/>
    <w:rsid w:val="00C723DD"/>
    <w:rsid w:val="00C7260A"/>
    <w:rsid w:val="00C73E39"/>
    <w:rsid w:val="00C75F00"/>
    <w:rsid w:val="00C802A6"/>
    <w:rsid w:val="00C80DD3"/>
    <w:rsid w:val="00C80F8D"/>
    <w:rsid w:val="00C80FA6"/>
    <w:rsid w:val="00C81E8E"/>
    <w:rsid w:val="00C825D3"/>
    <w:rsid w:val="00C83A39"/>
    <w:rsid w:val="00C84FA9"/>
    <w:rsid w:val="00C87034"/>
    <w:rsid w:val="00C87643"/>
    <w:rsid w:val="00C9152C"/>
    <w:rsid w:val="00C93211"/>
    <w:rsid w:val="00C935B4"/>
    <w:rsid w:val="00C957FF"/>
    <w:rsid w:val="00CA5F7F"/>
    <w:rsid w:val="00CA607F"/>
    <w:rsid w:val="00CA6519"/>
    <w:rsid w:val="00CA6BAD"/>
    <w:rsid w:val="00CB062F"/>
    <w:rsid w:val="00CB19F9"/>
    <w:rsid w:val="00CB43F3"/>
    <w:rsid w:val="00CB5EB3"/>
    <w:rsid w:val="00CB6B52"/>
    <w:rsid w:val="00CC0E79"/>
    <w:rsid w:val="00CC1750"/>
    <w:rsid w:val="00CC21C4"/>
    <w:rsid w:val="00CC495E"/>
    <w:rsid w:val="00CC5C9C"/>
    <w:rsid w:val="00CD3331"/>
    <w:rsid w:val="00CD3F9E"/>
    <w:rsid w:val="00CD3FC9"/>
    <w:rsid w:val="00CD483C"/>
    <w:rsid w:val="00CD5027"/>
    <w:rsid w:val="00CD6262"/>
    <w:rsid w:val="00CD6A8D"/>
    <w:rsid w:val="00CE2B37"/>
    <w:rsid w:val="00CE2C2E"/>
    <w:rsid w:val="00CE3D64"/>
    <w:rsid w:val="00CE461E"/>
    <w:rsid w:val="00CE4B0E"/>
    <w:rsid w:val="00CE63F7"/>
    <w:rsid w:val="00CE670A"/>
    <w:rsid w:val="00CE6BB7"/>
    <w:rsid w:val="00CE7AD3"/>
    <w:rsid w:val="00CF1F3D"/>
    <w:rsid w:val="00CF24C1"/>
    <w:rsid w:val="00CF2559"/>
    <w:rsid w:val="00CF2DF2"/>
    <w:rsid w:val="00CF41DC"/>
    <w:rsid w:val="00CF4532"/>
    <w:rsid w:val="00CF6789"/>
    <w:rsid w:val="00CF7060"/>
    <w:rsid w:val="00D0091B"/>
    <w:rsid w:val="00D0158C"/>
    <w:rsid w:val="00D0232A"/>
    <w:rsid w:val="00D028E3"/>
    <w:rsid w:val="00D02AEA"/>
    <w:rsid w:val="00D046EE"/>
    <w:rsid w:val="00D05D1F"/>
    <w:rsid w:val="00D1254C"/>
    <w:rsid w:val="00D153B3"/>
    <w:rsid w:val="00D161C9"/>
    <w:rsid w:val="00D20982"/>
    <w:rsid w:val="00D234F2"/>
    <w:rsid w:val="00D24091"/>
    <w:rsid w:val="00D25670"/>
    <w:rsid w:val="00D27DAC"/>
    <w:rsid w:val="00D322BE"/>
    <w:rsid w:val="00D332FA"/>
    <w:rsid w:val="00D33AD0"/>
    <w:rsid w:val="00D34206"/>
    <w:rsid w:val="00D36223"/>
    <w:rsid w:val="00D36B75"/>
    <w:rsid w:val="00D42797"/>
    <w:rsid w:val="00D43EBE"/>
    <w:rsid w:val="00D4424C"/>
    <w:rsid w:val="00D457DF"/>
    <w:rsid w:val="00D45821"/>
    <w:rsid w:val="00D53820"/>
    <w:rsid w:val="00D53C87"/>
    <w:rsid w:val="00D53FFD"/>
    <w:rsid w:val="00D55D15"/>
    <w:rsid w:val="00D60E4A"/>
    <w:rsid w:val="00D627A4"/>
    <w:rsid w:val="00D630FA"/>
    <w:rsid w:val="00D64006"/>
    <w:rsid w:val="00D64048"/>
    <w:rsid w:val="00D64147"/>
    <w:rsid w:val="00D6416C"/>
    <w:rsid w:val="00D64742"/>
    <w:rsid w:val="00D66844"/>
    <w:rsid w:val="00D66BD1"/>
    <w:rsid w:val="00D67BC4"/>
    <w:rsid w:val="00D712B3"/>
    <w:rsid w:val="00D71458"/>
    <w:rsid w:val="00D72BD4"/>
    <w:rsid w:val="00D748E9"/>
    <w:rsid w:val="00D74EAE"/>
    <w:rsid w:val="00D775CE"/>
    <w:rsid w:val="00D776AB"/>
    <w:rsid w:val="00D81467"/>
    <w:rsid w:val="00D82110"/>
    <w:rsid w:val="00D82304"/>
    <w:rsid w:val="00D82857"/>
    <w:rsid w:val="00D82E12"/>
    <w:rsid w:val="00D85C25"/>
    <w:rsid w:val="00D902A3"/>
    <w:rsid w:val="00D91CC6"/>
    <w:rsid w:val="00D940AA"/>
    <w:rsid w:val="00D96E9C"/>
    <w:rsid w:val="00D973BA"/>
    <w:rsid w:val="00D978A5"/>
    <w:rsid w:val="00D97C0B"/>
    <w:rsid w:val="00D97D45"/>
    <w:rsid w:val="00DA167E"/>
    <w:rsid w:val="00DA198A"/>
    <w:rsid w:val="00DA3620"/>
    <w:rsid w:val="00DA55CC"/>
    <w:rsid w:val="00DB2087"/>
    <w:rsid w:val="00DB3B0A"/>
    <w:rsid w:val="00DB3DE3"/>
    <w:rsid w:val="00DB4C8B"/>
    <w:rsid w:val="00DB670E"/>
    <w:rsid w:val="00DB7BBF"/>
    <w:rsid w:val="00DB7DF6"/>
    <w:rsid w:val="00DC0F93"/>
    <w:rsid w:val="00DC1CFB"/>
    <w:rsid w:val="00DC1DB0"/>
    <w:rsid w:val="00DC27CD"/>
    <w:rsid w:val="00DC3E97"/>
    <w:rsid w:val="00DC42D7"/>
    <w:rsid w:val="00DC44B4"/>
    <w:rsid w:val="00DC4729"/>
    <w:rsid w:val="00DC4B8E"/>
    <w:rsid w:val="00DC5904"/>
    <w:rsid w:val="00DC7ACC"/>
    <w:rsid w:val="00DC7D8F"/>
    <w:rsid w:val="00DD442F"/>
    <w:rsid w:val="00DD4C24"/>
    <w:rsid w:val="00DD6F4A"/>
    <w:rsid w:val="00DD7329"/>
    <w:rsid w:val="00DD7567"/>
    <w:rsid w:val="00DD7DA7"/>
    <w:rsid w:val="00DE05A8"/>
    <w:rsid w:val="00DE0A5E"/>
    <w:rsid w:val="00DE24D4"/>
    <w:rsid w:val="00DE2F81"/>
    <w:rsid w:val="00DF000D"/>
    <w:rsid w:val="00DF068F"/>
    <w:rsid w:val="00DF2E92"/>
    <w:rsid w:val="00DF46C4"/>
    <w:rsid w:val="00DF5E68"/>
    <w:rsid w:val="00DF6898"/>
    <w:rsid w:val="00DF7DC6"/>
    <w:rsid w:val="00E02668"/>
    <w:rsid w:val="00E0347E"/>
    <w:rsid w:val="00E036A7"/>
    <w:rsid w:val="00E05250"/>
    <w:rsid w:val="00E1012F"/>
    <w:rsid w:val="00E11E1B"/>
    <w:rsid w:val="00E12780"/>
    <w:rsid w:val="00E13115"/>
    <w:rsid w:val="00E16304"/>
    <w:rsid w:val="00E1632F"/>
    <w:rsid w:val="00E1708E"/>
    <w:rsid w:val="00E24B1A"/>
    <w:rsid w:val="00E25F51"/>
    <w:rsid w:val="00E26695"/>
    <w:rsid w:val="00E275F0"/>
    <w:rsid w:val="00E3052E"/>
    <w:rsid w:val="00E306E8"/>
    <w:rsid w:val="00E323C7"/>
    <w:rsid w:val="00E32EEB"/>
    <w:rsid w:val="00E337AD"/>
    <w:rsid w:val="00E33FC0"/>
    <w:rsid w:val="00E34669"/>
    <w:rsid w:val="00E35FB1"/>
    <w:rsid w:val="00E3761F"/>
    <w:rsid w:val="00E4024C"/>
    <w:rsid w:val="00E43F56"/>
    <w:rsid w:val="00E50BC2"/>
    <w:rsid w:val="00E51FF2"/>
    <w:rsid w:val="00E63581"/>
    <w:rsid w:val="00E701A5"/>
    <w:rsid w:val="00E7021F"/>
    <w:rsid w:val="00E70D67"/>
    <w:rsid w:val="00E71AA4"/>
    <w:rsid w:val="00E75AAF"/>
    <w:rsid w:val="00E76245"/>
    <w:rsid w:val="00E76838"/>
    <w:rsid w:val="00E77944"/>
    <w:rsid w:val="00E82736"/>
    <w:rsid w:val="00E83606"/>
    <w:rsid w:val="00E83A05"/>
    <w:rsid w:val="00E84957"/>
    <w:rsid w:val="00E849A9"/>
    <w:rsid w:val="00E85713"/>
    <w:rsid w:val="00E87726"/>
    <w:rsid w:val="00E9178C"/>
    <w:rsid w:val="00E91B7A"/>
    <w:rsid w:val="00E91DE4"/>
    <w:rsid w:val="00E9504A"/>
    <w:rsid w:val="00E9583A"/>
    <w:rsid w:val="00EA0E82"/>
    <w:rsid w:val="00EA1A00"/>
    <w:rsid w:val="00EA2A36"/>
    <w:rsid w:val="00EA4233"/>
    <w:rsid w:val="00EB0B9E"/>
    <w:rsid w:val="00EB1524"/>
    <w:rsid w:val="00EB157F"/>
    <w:rsid w:val="00EB2904"/>
    <w:rsid w:val="00EB5374"/>
    <w:rsid w:val="00EC0D6D"/>
    <w:rsid w:val="00EC2452"/>
    <w:rsid w:val="00EC33E1"/>
    <w:rsid w:val="00EC4CD9"/>
    <w:rsid w:val="00ED1B67"/>
    <w:rsid w:val="00ED223E"/>
    <w:rsid w:val="00ED4EC0"/>
    <w:rsid w:val="00ED7A8F"/>
    <w:rsid w:val="00EE0A00"/>
    <w:rsid w:val="00EE1D36"/>
    <w:rsid w:val="00EE20BC"/>
    <w:rsid w:val="00EE36F5"/>
    <w:rsid w:val="00EE3F6A"/>
    <w:rsid w:val="00EE4DE6"/>
    <w:rsid w:val="00EE68B8"/>
    <w:rsid w:val="00EF1EF3"/>
    <w:rsid w:val="00EF3075"/>
    <w:rsid w:val="00EF34C0"/>
    <w:rsid w:val="00EF35CE"/>
    <w:rsid w:val="00EF420D"/>
    <w:rsid w:val="00F002F2"/>
    <w:rsid w:val="00F021D3"/>
    <w:rsid w:val="00F029AC"/>
    <w:rsid w:val="00F03B73"/>
    <w:rsid w:val="00F054AE"/>
    <w:rsid w:val="00F06EDB"/>
    <w:rsid w:val="00F07C1F"/>
    <w:rsid w:val="00F10AF1"/>
    <w:rsid w:val="00F12C60"/>
    <w:rsid w:val="00F137E0"/>
    <w:rsid w:val="00F139F9"/>
    <w:rsid w:val="00F14847"/>
    <w:rsid w:val="00F15121"/>
    <w:rsid w:val="00F15913"/>
    <w:rsid w:val="00F23768"/>
    <w:rsid w:val="00F23C6B"/>
    <w:rsid w:val="00F24DB4"/>
    <w:rsid w:val="00F25869"/>
    <w:rsid w:val="00F30304"/>
    <w:rsid w:val="00F30E0D"/>
    <w:rsid w:val="00F30EC2"/>
    <w:rsid w:val="00F32B1A"/>
    <w:rsid w:val="00F34E44"/>
    <w:rsid w:val="00F36514"/>
    <w:rsid w:val="00F366AD"/>
    <w:rsid w:val="00F37208"/>
    <w:rsid w:val="00F378BB"/>
    <w:rsid w:val="00F37B70"/>
    <w:rsid w:val="00F44D9D"/>
    <w:rsid w:val="00F45CCE"/>
    <w:rsid w:val="00F46855"/>
    <w:rsid w:val="00F47834"/>
    <w:rsid w:val="00F50160"/>
    <w:rsid w:val="00F54F6C"/>
    <w:rsid w:val="00F5588E"/>
    <w:rsid w:val="00F56837"/>
    <w:rsid w:val="00F56CDB"/>
    <w:rsid w:val="00F57B68"/>
    <w:rsid w:val="00F6108B"/>
    <w:rsid w:val="00F61CBC"/>
    <w:rsid w:val="00F62109"/>
    <w:rsid w:val="00F624B1"/>
    <w:rsid w:val="00F642D9"/>
    <w:rsid w:val="00F65C10"/>
    <w:rsid w:val="00F661BA"/>
    <w:rsid w:val="00F66482"/>
    <w:rsid w:val="00F70128"/>
    <w:rsid w:val="00F71CED"/>
    <w:rsid w:val="00F71E71"/>
    <w:rsid w:val="00F72362"/>
    <w:rsid w:val="00F73992"/>
    <w:rsid w:val="00F7544F"/>
    <w:rsid w:val="00F767A5"/>
    <w:rsid w:val="00F8041C"/>
    <w:rsid w:val="00F822D8"/>
    <w:rsid w:val="00F82FC1"/>
    <w:rsid w:val="00F838AF"/>
    <w:rsid w:val="00F83D4D"/>
    <w:rsid w:val="00F843D8"/>
    <w:rsid w:val="00F8638F"/>
    <w:rsid w:val="00F8640D"/>
    <w:rsid w:val="00F86728"/>
    <w:rsid w:val="00F91819"/>
    <w:rsid w:val="00F93D08"/>
    <w:rsid w:val="00F94105"/>
    <w:rsid w:val="00F9424F"/>
    <w:rsid w:val="00F94341"/>
    <w:rsid w:val="00F96365"/>
    <w:rsid w:val="00F9741F"/>
    <w:rsid w:val="00F9777F"/>
    <w:rsid w:val="00FA1CEE"/>
    <w:rsid w:val="00FA2358"/>
    <w:rsid w:val="00FA3B3C"/>
    <w:rsid w:val="00FA3CB7"/>
    <w:rsid w:val="00FA4098"/>
    <w:rsid w:val="00FA425E"/>
    <w:rsid w:val="00FA7373"/>
    <w:rsid w:val="00FA7C98"/>
    <w:rsid w:val="00FB04D1"/>
    <w:rsid w:val="00FB786F"/>
    <w:rsid w:val="00FC1318"/>
    <w:rsid w:val="00FC1DD1"/>
    <w:rsid w:val="00FC2342"/>
    <w:rsid w:val="00FC7B22"/>
    <w:rsid w:val="00FD0B1F"/>
    <w:rsid w:val="00FD2698"/>
    <w:rsid w:val="00FD3E37"/>
    <w:rsid w:val="00FD51F1"/>
    <w:rsid w:val="00FD5A2E"/>
    <w:rsid w:val="00FE0679"/>
    <w:rsid w:val="00FE0CD6"/>
    <w:rsid w:val="00FE39F2"/>
    <w:rsid w:val="00FE500D"/>
    <w:rsid w:val="00FE514C"/>
    <w:rsid w:val="00FE5AA7"/>
    <w:rsid w:val="00FE7723"/>
    <w:rsid w:val="00FF0B74"/>
    <w:rsid w:val="00FF6B43"/>
    <w:rsid w:val="00FF6DC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8A9F4D"/>
  <w15:docId w15:val="{681DE3F8-6470-4DC0-860E-C3E3747E39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D0B9E"/>
    <w:rPr>
      <w:sz w:val="24"/>
      <w:szCs w:val="24"/>
    </w:rPr>
  </w:style>
  <w:style w:type="paragraph" w:styleId="Heading1">
    <w:name w:val="heading 1"/>
    <w:basedOn w:val="Normal"/>
    <w:next w:val="Normal"/>
    <w:link w:val="Heading1Char"/>
    <w:qFormat/>
    <w:rsid w:val="005E0BD5"/>
    <w:pPr>
      <w:spacing w:line="480" w:lineRule="auto"/>
      <w:ind w:firstLine="270"/>
      <w:outlineLvl w:val="0"/>
    </w:pPr>
    <w:rPr>
      <w:b/>
      <w:sz w:val="20"/>
      <w:szCs w:val="20"/>
      <w:lang w:val="en-GB"/>
    </w:rPr>
  </w:style>
  <w:style w:type="paragraph" w:styleId="Heading2">
    <w:name w:val="heading 2"/>
    <w:basedOn w:val="Subtitle"/>
    <w:next w:val="Normal"/>
    <w:link w:val="Heading2Char"/>
    <w:uiPriority w:val="9"/>
    <w:unhideWhenUsed/>
    <w:qFormat/>
    <w:rsid w:val="00DE2F81"/>
    <w:pPr>
      <w:jc w:val="both"/>
      <w:outlineLvl w:val="1"/>
    </w:pPr>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96CD0"/>
    <w:pPr>
      <w:ind w:left="720"/>
      <w:contextualSpacing/>
    </w:pPr>
  </w:style>
  <w:style w:type="paragraph" w:styleId="Footer">
    <w:name w:val="footer"/>
    <w:basedOn w:val="Normal"/>
    <w:link w:val="FooterChar"/>
    <w:rsid w:val="001F76ED"/>
    <w:pPr>
      <w:tabs>
        <w:tab w:val="center" w:pos="4320"/>
        <w:tab w:val="right" w:pos="8640"/>
      </w:tabs>
    </w:pPr>
  </w:style>
  <w:style w:type="character" w:customStyle="1" w:styleId="FooterChar">
    <w:name w:val="Footer Char"/>
    <w:basedOn w:val="DefaultParagraphFont"/>
    <w:link w:val="Footer"/>
    <w:rsid w:val="001F76ED"/>
    <w:rPr>
      <w:sz w:val="24"/>
      <w:szCs w:val="24"/>
    </w:rPr>
  </w:style>
  <w:style w:type="character" w:styleId="PageNumber">
    <w:name w:val="page number"/>
    <w:basedOn w:val="DefaultParagraphFont"/>
    <w:rsid w:val="001F76ED"/>
  </w:style>
  <w:style w:type="paragraph" w:styleId="Header">
    <w:name w:val="header"/>
    <w:basedOn w:val="Normal"/>
    <w:link w:val="HeaderChar"/>
    <w:uiPriority w:val="99"/>
    <w:rsid w:val="001F76ED"/>
    <w:pPr>
      <w:tabs>
        <w:tab w:val="center" w:pos="4320"/>
        <w:tab w:val="right" w:pos="8640"/>
      </w:tabs>
    </w:pPr>
  </w:style>
  <w:style w:type="character" w:customStyle="1" w:styleId="HeaderChar">
    <w:name w:val="Header Char"/>
    <w:basedOn w:val="DefaultParagraphFont"/>
    <w:link w:val="Header"/>
    <w:uiPriority w:val="99"/>
    <w:rsid w:val="001F76ED"/>
    <w:rPr>
      <w:sz w:val="24"/>
      <w:szCs w:val="24"/>
    </w:rPr>
  </w:style>
  <w:style w:type="paragraph" w:styleId="FootnoteText">
    <w:name w:val="footnote text"/>
    <w:basedOn w:val="Normal"/>
    <w:link w:val="FootnoteTextChar"/>
    <w:rsid w:val="00A842AB"/>
  </w:style>
  <w:style w:type="character" w:customStyle="1" w:styleId="FootnoteTextChar">
    <w:name w:val="Footnote Text Char"/>
    <w:basedOn w:val="DefaultParagraphFont"/>
    <w:link w:val="FootnoteText"/>
    <w:rsid w:val="00A842AB"/>
    <w:rPr>
      <w:sz w:val="24"/>
      <w:szCs w:val="24"/>
    </w:rPr>
  </w:style>
  <w:style w:type="character" w:styleId="FootnoteReference">
    <w:name w:val="footnote reference"/>
    <w:basedOn w:val="DefaultParagraphFont"/>
    <w:rsid w:val="00A842AB"/>
    <w:rPr>
      <w:vertAlign w:val="superscript"/>
    </w:rPr>
  </w:style>
  <w:style w:type="character" w:styleId="Hyperlink">
    <w:name w:val="Hyperlink"/>
    <w:basedOn w:val="DefaultParagraphFont"/>
    <w:rsid w:val="00530BEF"/>
    <w:rPr>
      <w:color w:val="0000FF" w:themeColor="hyperlink"/>
      <w:u w:val="single"/>
    </w:rPr>
  </w:style>
  <w:style w:type="paragraph" w:styleId="EndnoteText">
    <w:name w:val="endnote text"/>
    <w:basedOn w:val="Normal"/>
    <w:link w:val="EndnoteTextChar"/>
    <w:rsid w:val="007B5514"/>
  </w:style>
  <w:style w:type="character" w:customStyle="1" w:styleId="EndnoteTextChar">
    <w:name w:val="Endnote Text Char"/>
    <w:basedOn w:val="DefaultParagraphFont"/>
    <w:link w:val="EndnoteText"/>
    <w:rsid w:val="007B5514"/>
    <w:rPr>
      <w:sz w:val="24"/>
      <w:szCs w:val="24"/>
    </w:rPr>
  </w:style>
  <w:style w:type="character" w:styleId="EndnoteReference">
    <w:name w:val="endnote reference"/>
    <w:basedOn w:val="DefaultParagraphFont"/>
    <w:rsid w:val="007B5514"/>
    <w:rPr>
      <w:vertAlign w:val="superscript"/>
    </w:rPr>
  </w:style>
  <w:style w:type="paragraph" w:styleId="BalloonText">
    <w:name w:val="Balloon Text"/>
    <w:basedOn w:val="Normal"/>
    <w:link w:val="BalloonTextChar"/>
    <w:rsid w:val="000676A7"/>
    <w:rPr>
      <w:rFonts w:ascii="Tahoma" w:hAnsi="Tahoma" w:cs="Tahoma"/>
      <w:sz w:val="16"/>
      <w:szCs w:val="16"/>
    </w:rPr>
  </w:style>
  <w:style w:type="character" w:customStyle="1" w:styleId="BalloonTextChar">
    <w:name w:val="Balloon Text Char"/>
    <w:basedOn w:val="DefaultParagraphFont"/>
    <w:link w:val="BalloonText"/>
    <w:rsid w:val="000676A7"/>
    <w:rPr>
      <w:rFonts w:ascii="Tahoma" w:hAnsi="Tahoma" w:cs="Tahoma"/>
      <w:sz w:val="16"/>
      <w:szCs w:val="16"/>
    </w:rPr>
  </w:style>
  <w:style w:type="character" w:styleId="UnresolvedMention">
    <w:name w:val="Unresolved Mention"/>
    <w:basedOn w:val="DefaultParagraphFont"/>
    <w:uiPriority w:val="99"/>
    <w:semiHidden/>
    <w:unhideWhenUsed/>
    <w:rsid w:val="00C00BD1"/>
    <w:rPr>
      <w:color w:val="605E5C"/>
      <w:shd w:val="clear" w:color="auto" w:fill="E1DFDD"/>
    </w:rPr>
  </w:style>
  <w:style w:type="paragraph" w:styleId="Caption">
    <w:name w:val="caption"/>
    <w:basedOn w:val="Normal"/>
    <w:next w:val="Normal"/>
    <w:uiPriority w:val="35"/>
    <w:unhideWhenUsed/>
    <w:qFormat/>
    <w:rsid w:val="002D1F55"/>
    <w:pPr>
      <w:spacing w:after="200"/>
    </w:pPr>
    <w:rPr>
      <w:rFonts w:asciiTheme="minorHAnsi" w:eastAsiaTheme="minorHAnsi" w:hAnsiTheme="minorHAnsi" w:cstheme="minorBidi"/>
      <w:i/>
      <w:iCs/>
      <w:color w:val="1F497D" w:themeColor="text2"/>
      <w:sz w:val="18"/>
      <w:szCs w:val="18"/>
      <w:lang w:val="en-GB"/>
    </w:rPr>
  </w:style>
  <w:style w:type="character" w:styleId="Strong">
    <w:name w:val="Strong"/>
    <w:qFormat/>
    <w:rsid w:val="002D1F55"/>
    <w:rPr>
      <w:b/>
      <w:sz w:val="20"/>
      <w:szCs w:val="20"/>
    </w:rPr>
  </w:style>
  <w:style w:type="character" w:customStyle="1" w:styleId="Heading2Char">
    <w:name w:val="Heading 2 Char"/>
    <w:basedOn w:val="DefaultParagraphFont"/>
    <w:link w:val="Heading2"/>
    <w:uiPriority w:val="9"/>
    <w:rsid w:val="00DE2F81"/>
    <w:rPr>
      <w:i/>
      <w:lang w:val="en-GB"/>
    </w:rPr>
  </w:style>
  <w:style w:type="paragraph" w:styleId="Subtitle">
    <w:name w:val="Subtitle"/>
    <w:basedOn w:val="Normal"/>
    <w:next w:val="Normal"/>
    <w:link w:val="SubtitleChar"/>
    <w:qFormat/>
    <w:rsid w:val="00F822D8"/>
    <w:pPr>
      <w:spacing w:line="240" w:lineRule="atLeast"/>
      <w:ind w:firstLine="270"/>
    </w:pPr>
    <w:rPr>
      <w:i/>
      <w:sz w:val="20"/>
      <w:szCs w:val="20"/>
    </w:rPr>
  </w:style>
  <w:style w:type="character" w:customStyle="1" w:styleId="SubtitleChar">
    <w:name w:val="Subtitle Char"/>
    <w:basedOn w:val="DefaultParagraphFont"/>
    <w:link w:val="Subtitle"/>
    <w:rsid w:val="00F822D8"/>
    <w:rPr>
      <w:i/>
    </w:rPr>
  </w:style>
  <w:style w:type="character" w:styleId="CommentReference">
    <w:name w:val="annotation reference"/>
    <w:basedOn w:val="DefaultParagraphFont"/>
    <w:semiHidden/>
    <w:unhideWhenUsed/>
    <w:rsid w:val="00CE4B0E"/>
    <w:rPr>
      <w:sz w:val="16"/>
      <w:szCs w:val="16"/>
    </w:rPr>
  </w:style>
  <w:style w:type="paragraph" w:styleId="CommentText">
    <w:name w:val="annotation text"/>
    <w:basedOn w:val="Normal"/>
    <w:link w:val="CommentTextChar"/>
    <w:unhideWhenUsed/>
    <w:rsid w:val="00CE4B0E"/>
    <w:rPr>
      <w:sz w:val="20"/>
      <w:szCs w:val="20"/>
    </w:rPr>
  </w:style>
  <w:style w:type="character" w:customStyle="1" w:styleId="CommentTextChar">
    <w:name w:val="Comment Text Char"/>
    <w:basedOn w:val="DefaultParagraphFont"/>
    <w:link w:val="CommentText"/>
    <w:rsid w:val="00CE4B0E"/>
  </w:style>
  <w:style w:type="paragraph" w:styleId="CommentSubject">
    <w:name w:val="annotation subject"/>
    <w:basedOn w:val="CommentText"/>
    <w:next w:val="CommentText"/>
    <w:link w:val="CommentSubjectChar"/>
    <w:semiHidden/>
    <w:unhideWhenUsed/>
    <w:rsid w:val="00CE4B0E"/>
    <w:rPr>
      <w:b/>
      <w:bCs/>
    </w:rPr>
  </w:style>
  <w:style w:type="character" w:customStyle="1" w:styleId="CommentSubjectChar">
    <w:name w:val="Comment Subject Char"/>
    <w:basedOn w:val="CommentTextChar"/>
    <w:link w:val="CommentSubject"/>
    <w:semiHidden/>
    <w:rsid w:val="00CE4B0E"/>
    <w:rPr>
      <w:b/>
      <w:bCs/>
    </w:rPr>
  </w:style>
  <w:style w:type="paragraph" w:styleId="Title">
    <w:name w:val="Title"/>
    <w:basedOn w:val="Normal"/>
    <w:next w:val="Normal"/>
    <w:link w:val="TitleChar"/>
    <w:qFormat/>
    <w:rsid w:val="005E0BD5"/>
    <w:pPr>
      <w:spacing w:line="480" w:lineRule="auto"/>
      <w:ind w:left="720" w:hanging="720"/>
    </w:pPr>
    <w:rPr>
      <w:b/>
      <w:sz w:val="28"/>
      <w:szCs w:val="28"/>
      <w:lang w:val="en-GB"/>
    </w:rPr>
  </w:style>
  <w:style w:type="character" w:customStyle="1" w:styleId="TitleChar">
    <w:name w:val="Title Char"/>
    <w:basedOn w:val="DefaultParagraphFont"/>
    <w:link w:val="Title"/>
    <w:rsid w:val="005E0BD5"/>
    <w:rPr>
      <w:b/>
      <w:sz w:val="28"/>
      <w:szCs w:val="28"/>
      <w:lang w:val="en-GB"/>
    </w:rPr>
  </w:style>
  <w:style w:type="character" w:customStyle="1" w:styleId="Heading1Char">
    <w:name w:val="Heading 1 Char"/>
    <w:basedOn w:val="DefaultParagraphFont"/>
    <w:link w:val="Heading1"/>
    <w:rsid w:val="005E0BD5"/>
    <w:rPr>
      <w:b/>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esa.un.org/unpd/wpp/unpp/panel_population.ht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chart" Target="charts/chart3.xm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footer" Target="footer1.xml"/></Relationships>
</file>

<file path=word/charts/_rels/chart1.xml.rels><?xml version="1.0" encoding="UTF-8" standalone="yes"?>
<Relationships xmlns="http://schemas.openxmlformats.org/package/2006/relationships"><Relationship Id="rId3" Type="http://schemas.openxmlformats.org/officeDocument/2006/relationships/oleObject" Target="file:///C:\Users\Roberto\Desktop\Routledge%20thesis\03%20Pictures%20and%20Diagrams\02%20Fig%203.8%20population.xlsx" TargetMode="External"/><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oleObject" Target="file:///C:\Users\Roberto\01%20My%20Papers%20&amp;%20Books%20and%20Literature\01%20My%20Papers\25%20System%20Thinking%20and%20corporate%20sustainability%20(Paolo%20e%20Melissa)\coal%20diagram.xlsx" TargetMode="External"/><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oleObject" Target="file:///C:\Users\Roberto\Desktop\Routledge%20thesis\03%20Pictures%20and%20Diagrams\02%20Fig%203.7%20temp%20anomaly%20and%20carbon.xlsx" TargetMode="External"/><Relationship Id="rId2" Type="http://schemas.microsoft.com/office/2011/relationships/chartColorStyle" Target="colors3.xml"/><Relationship Id="rId1" Type="http://schemas.microsoft.com/office/2011/relationships/chartStyle" Target="style3.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r>
              <a:rPr lang="en-GB" b="1"/>
              <a:t>Population Projections by Region</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title>
    <c:autoTitleDeleted val="0"/>
    <c:plotArea>
      <c:layout/>
      <c:lineChart>
        <c:grouping val="standard"/>
        <c:varyColors val="0"/>
        <c:ser>
          <c:idx val="0"/>
          <c:order val="0"/>
          <c:tx>
            <c:strRef>
              <c:f>Sheet1!$A$11</c:f>
              <c:strCache>
                <c:ptCount val="1"/>
                <c:pt idx="0">
                  <c:v>AFRICA</c:v>
                </c:pt>
              </c:strCache>
            </c:strRef>
          </c:tx>
          <c:spPr>
            <a:ln w="28575" cap="rnd" cmpd="dbl">
              <a:solidFill>
                <a:schemeClr val="tx1"/>
              </a:solidFill>
              <a:prstDash val="solid"/>
              <a:round/>
            </a:ln>
            <a:effectLst/>
          </c:spPr>
          <c:marker>
            <c:symbol val="none"/>
          </c:marker>
          <c:cat>
            <c:strRef>
              <c:f>Sheet1!$B$10:$EV$10</c:f>
              <c:strCache>
                <c:ptCount val="151"/>
                <c:pt idx="0">
                  <c:v>1950</c:v>
                </c:pt>
                <c:pt idx="1">
                  <c:v>1951</c:v>
                </c:pt>
                <c:pt idx="2">
                  <c:v>1952</c:v>
                </c:pt>
                <c:pt idx="3">
                  <c:v>1953</c:v>
                </c:pt>
                <c:pt idx="4">
                  <c:v>1954</c:v>
                </c:pt>
                <c:pt idx="5">
                  <c:v>1955</c:v>
                </c:pt>
                <c:pt idx="6">
                  <c:v>1956</c:v>
                </c:pt>
                <c:pt idx="7">
                  <c:v>1957</c:v>
                </c:pt>
                <c:pt idx="8">
                  <c:v>1958</c:v>
                </c:pt>
                <c:pt idx="9">
                  <c:v>1959</c:v>
                </c:pt>
                <c:pt idx="10">
                  <c:v>1960</c:v>
                </c:pt>
                <c:pt idx="11">
                  <c:v>1961</c:v>
                </c:pt>
                <c:pt idx="12">
                  <c:v>1962</c:v>
                </c:pt>
                <c:pt idx="13">
                  <c:v>1963</c:v>
                </c:pt>
                <c:pt idx="14">
                  <c:v>1964</c:v>
                </c:pt>
                <c:pt idx="15">
                  <c:v>1965</c:v>
                </c:pt>
                <c:pt idx="16">
                  <c:v>1966</c:v>
                </c:pt>
                <c:pt idx="17">
                  <c:v>1967</c:v>
                </c:pt>
                <c:pt idx="18">
                  <c:v>1968</c:v>
                </c:pt>
                <c:pt idx="19">
                  <c:v>1969</c:v>
                </c:pt>
                <c:pt idx="20">
                  <c:v>1970</c:v>
                </c:pt>
                <c:pt idx="21">
                  <c:v>1971</c:v>
                </c:pt>
                <c:pt idx="22">
                  <c:v>1972</c:v>
                </c:pt>
                <c:pt idx="23">
                  <c:v>1973</c:v>
                </c:pt>
                <c:pt idx="24">
                  <c:v>1974</c:v>
                </c:pt>
                <c:pt idx="25">
                  <c:v>1975</c:v>
                </c:pt>
                <c:pt idx="26">
                  <c:v>1976</c:v>
                </c:pt>
                <c:pt idx="27">
                  <c:v>1977</c:v>
                </c:pt>
                <c:pt idx="28">
                  <c:v>1978</c:v>
                </c:pt>
                <c:pt idx="29">
                  <c:v>1979</c:v>
                </c:pt>
                <c:pt idx="30">
                  <c:v>1980</c:v>
                </c:pt>
                <c:pt idx="31">
                  <c:v>1981</c:v>
                </c:pt>
                <c:pt idx="32">
                  <c:v>1982</c:v>
                </c:pt>
                <c:pt idx="33">
                  <c:v>1983</c:v>
                </c:pt>
                <c:pt idx="34">
                  <c:v>1984</c:v>
                </c:pt>
                <c:pt idx="35">
                  <c:v>1985</c:v>
                </c:pt>
                <c:pt idx="36">
                  <c:v>1986</c:v>
                </c:pt>
                <c:pt idx="37">
                  <c:v>1987</c:v>
                </c:pt>
                <c:pt idx="38">
                  <c:v>1988</c:v>
                </c:pt>
                <c:pt idx="39">
                  <c:v>1989</c:v>
                </c:pt>
                <c:pt idx="40">
                  <c:v>1990</c:v>
                </c:pt>
                <c:pt idx="41">
                  <c:v>1991</c:v>
                </c:pt>
                <c:pt idx="42">
                  <c:v>1992</c:v>
                </c:pt>
                <c:pt idx="43">
                  <c:v>1993</c:v>
                </c:pt>
                <c:pt idx="44">
                  <c:v>1994</c:v>
                </c:pt>
                <c:pt idx="45">
                  <c:v>1995</c:v>
                </c:pt>
                <c:pt idx="46">
                  <c:v>1996</c:v>
                </c:pt>
                <c:pt idx="47">
                  <c:v>1997</c:v>
                </c:pt>
                <c:pt idx="48">
                  <c:v>1998</c:v>
                </c:pt>
                <c:pt idx="49">
                  <c:v>1999</c:v>
                </c:pt>
                <c:pt idx="50">
                  <c:v>2000</c:v>
                </c:pt>
                <c:pt idx="51">
                  <c:v>2001</c:v>
                </c:pt>
                <c:pt idx="52">
                  <c:v>2002</c:v>
                </c:pt>
                <c:pt idx="53">
                  <c:v>2003</c:v>
                </c:pt>
                <c:pt idx="54">
                  <c:v>2004</c:v>
                </c:pt>
                <c:pt idx="55">
                  <c:v>2005</c:v>
                </c:pt>
                <c:pt idx="56">
                  <c:v>2006</c:v>
                </c:pt>
                <c:pt idx="57">
                  <c:v>2007</c:v>
                </c:pt>
                <c:pt idx="58">
                  <c:v>2008</c:v>
                </c:pt>
                <c:pt idx="59">
                  <c:v>2009</c:v>
                </c:pt>
                <c:pt idx="60">
                  <c:v>2010</c:v>
                </c:pt>
                <c:pt idx="61">
                  <c:v>2011</c:v>
                </c:pt>
                <c:pt idx="62">
                  <c:v>2012</c:v>
                </c:pt>
                <c:pt idx="63">
                  <c:v>2013</c:v>
                </c:pt>
                <c:pt idx="64">
                  <c:v>2014</c:v>
                </c:pt>
                <c:pt idx="65">
                  <c:v>2015</c:v>
                </c:pt>
                <c:pt idx="66">
                  <c:v>2016</c:v>
                </c:pt>
                <c:pt idx="67">
                  <c:v>2017</c:v>
                </c:pt>
                <c:pt idx="68">
                  <c:v>2018</c:v>
                </c:pt>
                <c:pt idx="69">
                  <c:v>2019</c:v>
                </c:pt>
                <c:pt idx="70">
                  <c:v>2020</c:v>
                </c:pt>
                <c:pt idx="71">
                  <c:v>2021</c:v>
                </c:pt>
                <c:pt idx="72">
                  <c:v>2022</c:v>
                </c:pt>
                <c:pt idx="73">
                  <c:v>2023</c:v>
                </c:pt>
                <c:pt idx="74">
                  <c:v>2024</c:v>
                </c:pt>
                <c:pt idx="75">
                  <c:v>2025</c:v>
                </c:pt>
                <c:pt idx="76">
                  <c:v>2026</c:v>
                </c:pt>
                <c:pt idx="77">
                  <c:v>2027</c:v>
                </c:pt>
                <c:pt idx="78">
                  <c:v>2028</c:v>
                </c:pt>
                <c:pt idx="79">
                  <c:v>2029</c:v>
                </c:pt>
                <c:pt idx="80">
                  <c:v>2030</c:v>
                </c:pt>
                <c:pt idx="81">
                  <c:v>2031</c:v>
                </c:pt>
                <c:pt idx="82">
                  <c:v>2032</c:v>
                </c:pt>
                <c:pt idx="83">
                  <c:v>2033</c:v>
                </c:pt>
                <c:pt idx="84">
                  <c:v>2034</c:v>
                </c:pt>
                <c:pt idx="85">
                  <c:v>2035</c:v>
                </c:pt>
                <c:pt idx="86">
                  <c:v>2036</c:v>
                </c:pt>
                <c:pt idx="87">
                  <c:v>2037</c:v>
                </c:pt>
                <c:pt idx="88">
                  <c:v>2038</c:v>
                </c:pt>
                <c:pt idx="89">
                  <c:v>2039</c:v>
                </c:pt>
                <c:pt idx="90">
                  <c:v>2040</c:v>
                </c:pt>
                <c:pt idx="91">
                  <c:v>2041</c:v>
                </c:pt>
                <c:pt idx="92">
                  <c:v>2042</c:v>
                </c:pt>
                <c:pt idx="93">
                  <c:v>2043</c:v>
                </c:pt>
                <c:pt idx="94">
                  <c:v>2044</c:v>
                </c:pt>
                <c:pt idx="95">
                  <c:v>2045</c:v>
                </c:pt>
                <c:pt idx="96">
                  <c:v>2046</c:v>
                </c:pt>
                <c:pt idx="97">
                  <c:v>2047</c:v>
                </c:pt>
                <c:pt idx="98">
                  <c:v>2048</c:v>
                </c:pt>
                <c:pt idx="99">
                  <c:v>2049</c:v>
                </c:pt>
                <c:pt idx="100">
                  <c:v>2050</c:v>
                </c:pt>
                <c:pt idx="101">
                  <c:v>2051</c:v>
                </c:pt>
                <c:pt idx="102">
                  <c:v>2052</c:v>
                </c:pt>
                <c:pt idx="103">
                  <c:v>2053</c:v>
                </c:pt>
                <c:pt idx="104">
                  <c:v>2054</c:v>
                </c:pt>
                <c:pt idx="105">
                  <c:v>2055</c:v>
                </c:pt>
                <c:pt idx="106">
                  <c:v>2056</c:v>
                </c:pt>
                <c:pt idx="107">
                  <c:v>2057</c:v>
                </c:pt>
                <c:pt idx="108">
                  <c:v>2058</c:v>
                </c:pt>
                <c:pt idx="109">
                  <c:v>2059</c:v>
                </c:pt>
                <c:pt idx="110">
                  <c:v>2060</c:v>
                </c:pt>
                <c:pt idx="111">
                  <c:v>2061</c:v>
                </c:pt>
                <c:pt idx="112">
                  <c:v>2062</c:v>
                </c:pt>
                <c:pt idx="113">
                  <c:v>2063</c:v>
                </c:pt>
                <c:pt idx="114">
                  <c:v>2064</c:v>
                </c:pt>
                <c:pt idx="115">
                  <c:v>2065</c:v>
                </c:pt>
                <c:pt idx="116">
                  <c:v>2066</c:v>
                </c:pt>
                <c:pt idx="117">
                  <c:v>2067</c:v>
                </c:pt>
                <c:pt idx="118">
                  <c:v>2068</c:v>
                </c:pt>
                <c:pt idx="119">
                  <c:v>2069</c:v>
                </c:pt>
                <c:pt idx="120">
                  <c:v>2070</c:v>
                </c:pt>
                <c:pt idx="121">
                  <c:v>2071</c:v>
                </c:pt>
                <c:pt idx="122">
                  <c:v>2072</c:v>
                </c:pt>
                <c:pt idx="123">
                  <c:v>2073</c:v>
                </c:pt>
                <c:pt idx="124">
                  <c:v>2074</c:v>
                </c:pt>
                <c:pt idx="125">
                  <c:v>2075</c:v>
                </c:pt>
                <c:pt idx="126">
                  <c:v>2076</c:v>
                </c:pt>
                <c:pt idx="127">
                  <c:v>2077</c:v>
                </c:pt>
                <c:pt idx="128">
                  <c:v>2078</c:v>
                </c:pt>
                <c:pt idx="129">
                  <c:v>2079</c:v>
                </c:pt>
                <c:pt idx="130">
                  <c:v>2080</c:v>
                </c:pt>
                <c:pt idx="131">
                  <c:v>2081</c:v>
                </c:pt>
                <c:pt idx="132">
                  <c:v>2082</c:v>
                </c:pt>
                <c:pt idx="133">
                  <c:v>2083</c:v>
                </c:pt>
                <c:pt idx="134">
                  <c:v>2084</c:v>
                </c:pt>
                <c:pt idx="135">
                  <c:v>2085</c:v>
                </c:pt>
                <c:pt idx="136">
                  <c:v>2086</c:v>
                </c:pt>
                <c:pt idx="137">
                  <c:v>2087</c:v>
                </c:pt>
                <c:pt idx="138">
                  <c:v>2088</c:v>
                </c:pt>
                <c:pt idx="139">
                  <c:v>2089</c:v>
                </c:pt>
                <c:pt idx="140">
                  <c:v>2090</c:v>
                </c:pt>
                <c:pt idx="141">
                  <c:v>2091</c:v>
                </c:pt>
                <c:pt idx="142">
                  <c:v>2092</c:v>
                </c:pt>
                <c:pt idx="143">
                  <c:v>2093</c:v>
                </c:pt>
                <c:pt idx="144">
                  <c:v>2094</c:v>
                </c:pt>
                <c:pt idx="145">
                  <c:v>2095</c:v>
                </c:pt>
                <c:pt idx="146">
                  <c:v>2096</c:v>
                </c:pt>
                <c:pt idx="147">
                  <c:v>2097</c:v>
                </c:pt>
                <c:pt idx="148">
                  <c:v>2098</c:v>
                </c:pt>
                <c:pt idx="149">
                  <c:v>2099</c:v>
                </c:pt>
                <c:pt idx="150">
                  <c:v>2100</c:v>
                </c:pt>
              </c:strCache>
            </c:strRef>
          </c:cat>
          <c:val>
            <c:numRef>
              <c:f>Sheet1!$B$11:$EV$11</c:f>
              <c:numCache>
                <c:formatCode>#\ ###\ ###\ ##0;\-#\ ###\ ###\ ##0;0</c:formatCode>
                <c:ptCount val="151"/>
                <c:pt idx="0">
                  <c:v>228670.019</c:v>
                </c:pt>
                <c:pt idx="1">
                  <c:v>233277.049</c:v>
                </c:pt>
                <c:pt idx="2">
                  <c:v>238113.12100000001</c:v>
                </c:pt>
                <c:pt idx="3">
                  <c:v>243177.791</c:v>
                </c:pt>
                <c:pt idx="4">
                  <c:v>248471.497</c:v>
                </c:pt>
                <c:pt idx="5">
                  <c:v>253995.02499999999</c:v>
                </c:pt>
                <c:pt idx="6">
                  <c:v>259750.19500000001</c:v>
                </c:pt>
                <c:pt idx="7">
                  <c:v>265739.28100000002</c:v>
                </c:pt>
                <c:pt idx="8">
                  <c:v>271965.261</c:v>
                </c:pt>
                <c:pt idx="9">
                  <c:v>278431.54499999998</c:v>
                </c:pt>
                <c:pt idx="10">
                  <c:v>285142.00599999999</c:v>
                </c:pt>
                <c:pt idx="11">
                  <c:v>292100.07900000003</c:v>
                </c:pt>
                <c:pt idx="12">
                  <c:v>299309.23100000003</c:v>
                </c:pt>
                <c:pt idx="13">
                  <c:v>306772.11200000002</c:v>
                </c:pt>
                <c:pt idx="14">
                  <c:v>314491.391</c:v>
                </c:pt>
                <c:pt idx="15">
                  <c:v>322470.63400000002</c:v>
                </c:pt>
                <c:pt idx="16">
                  <c:v>330720.40700000001</c:v>
                </c:pt>
                <c:pt idx="17">
                  <c:v>339247.87800000003</c:v>
                </c:pt>
                <c:pt idx="18">
                  <c:v>348049.88099999999</c:v>
                </c:pt>
                <c:pt idx="19">
                  <c:v>357119.79399999999</c:v>
                </c:pt>
                <c:pt idx="20">
                  <c:v>366458.929</c:v>
                </c:pt>
                <c:pt idx="21">
                  <c:v>376067.25699999998</c:v>
                </c:pt>
                <c:pt idx="22">
                  <c:v>385965.16100000002</c:v>
                </c:pt>
                <c:pt idx="23">
                  <c:v>396198.875</c:v>
                </c:pt>
                <c:pt idx="24">
                  <c:v>406828.20600000001</c:v>
                </c:pt>
                <c:pt idx="25">
                  <c:v>417898.07400000002</c:v>
                </c:pt>
                <c:pt idx="26">
                  <c:v>429424.761</c:v>
                </c:pt>
                <c:pt idx="27">
                  <c:v>441404.179</c:v>
                </c:pt>
                <c:pt idx="28">
                  <c:v>453834.79200000002</c:v>
                </c:pt>
                <c:pt idx="29">
                  <c:v>466707.33100000001</c:v>
                </c:pt>
                <c:pt idx="30">
                  <c:v>480012.20899999997</c:v>
                </c:pt>
                <c:pt idx="31">
                  <c:v>493747.69900000002</c:v>
                </c:pt>
                <c:pt idx="32">
                  <c:v>507910.46500000003</c:v>
                </c:pt>
                <c:pt idx="33">
                  <c:v>522485.55</c:v>
                </c:pt>
                <c:pt idx="34">
                  <c:v>537453.70299999998</c:v>
                </c:pt>
                <c:pt idx="35">
                  <c:v>552796.228</c:v>
                </c:pt>
                <c:pt idx="36">
                  <c:v>568505.61100000003</c:v>
                </c:pt>
                <c:pt idx="37">
                  <c:v>584569.18599999999</c:v>
                </c:pt>
                <c:pt idx="38">
                  <c:v>600956.701</c:v>
                </c:pt>
                <c:pt idx="39">
                  <c:v>617632.01199999999</c:v>
                </c:pt>
                <c:pt idx="40">
                  <c:v>634567.04399999999</c:v>
                </c:pt>
                <c:pt idx="41">
                  <c:v>651763.10600000003</c:v>
                </c:pt>
                <c:pt idx="42">
                  <c:v>669221.34199999995</c:v>
                </c:pt>
                <c:pt idx="43">
                  <c:v>686916.86199999996</c:v>
                </c:pt>
                <c:pt idx="44">
                  <c:v>704820.799</c:v>
                </c:pt>
                <c:pt idx="45">
                  <c:v>722921.96100000001</c:v>
                </c:pt>
                <c:pt idx="46">
                  <c:v>741220.51899999997</c:v>
                </c:pt>
                <c:pt idx="47">
                  <c:v>759752.78899999999</c:v>
                </c:pt>
                <c:pt idx="48">
                  <c:v>778592.23600000003</c:v>
                </c:pt>
                <c:pt idx="49">
                  <c:v>797836.027</c:v>
                </c:pt>
                <c:pt idx="50">
                  <c:v>817566.00399999996</c:v>
                </c:pt>
                <c:pt idx="51">
                  <c:v>837820.92799999996</c:v>
                </c:pt>
                <c:pt idx="52">
                  <c:v>858622.59699999995</c:v>
                </c:pt>
                <c:pt idx="53">
                  <c:v>880016.86600000004</c:v>
                </c:pt>
                <c:pt idx="54">
                  <c:v>902048.60100000002</c:v>
                </c:pt>
                <c:pt idx="55">
                  <c:v>924757.70799999998</c:v>
                </c:pt>
                <c:pt idx="56">
                  <c:v>948156.16599999997</c:v>
                </c:pt>
                <c:pt idx="57">
                  <c:v>972265.96100000001</c:v>
                </c:pt>
                <c:pt idx="58">
                  <c:v>997144.67</c:v>
                </c:pt>
                <c:pt idx="59">
                  <c:v>1022858.654</c:v>
                </c:pt>
                <c:pt idx="60">
                  <c:v>1049446.344</c:v>
                </c:pt>
                <c:pt idx="61">
                  <c:v>1076933.8130000001</c:v>
                </c:pt>
                <c:pt idx="62">
                  <c:v>1105285.2679999999</c:v>
                </c:pt>
                <c:pt idx="63">
                  <c:v>1134398.192</c:v>
                </c:pt>
                <c:pt idx="64">
                  <c:v>1164129.7890000001</c:v>
                </c:pt>
                <c:pt idx="65">
                  <c:v>1194369.9080000001</c:v>
                </c:pt>
                <c:pt idx="66">
                  <c:v>1225080.51</c:v>
                </c:pt>
                <c:pt idx="67">
                  <c:v>1256268.0249999999</c:v>
                </c:pt>
                <c:pt idx="68">
                  <c:v>1287920.5179999999</c:v>
                </c:pt>
                <c:pt idx="69">
                  <c:v>1320038.716</c:v>
                </c:pt>
                <c:pt idx="70">
                  <c:v>1352622.189</c:v>
                </c:pt>
                <c:pt idx="71">
                  <c:v>1385654.615</c:v>
                </c:pt>
                <c:pt idx="72">
                  <c:v>1419122.3959999999</c:v>
                </c:pt>
                <c:pt idx="73">
                  <c:v>1453034.2709999999</c:v>
                </c:pt>
                <c:pt idx="74">
                  <c:v>1487406.129</c:v>
                </c:pt>
                <c:pt idx="75">
                  <c:v>1522250.0930000001</c:v>
                </c:pt>
                <c:pt idx="76">
                  <c:v>1557562.575</c:v>
                </c:pt>
                <c:pt idx="77">
                  <c:v>1593338.2609999999</c:v>
                </c:pt>
                <c:pt idx="78">
                  <c:v>1629585.987</c:v>
                </c:pt>
                <c:pt idx="79">
                  <c:v>1666317.064</c:v>
                </c:pt>
                <c:pt idx="80">
                  <c:v>1703537.504</c:v>
                </c:pt>
                <c:pt idx="81">
                  <c:v>1741243.659</c:v>
                </c:pt>
                <c:pt idx="82">
                  <c:v>1779425.2390000001</c:v>
                </c:pt>
                <c:pt idx="83">
                  <c:v>1818071.7290000001</c:v>
                </c:pt>
                <c:pt idx="84">
                  <c:v>1857169.6029999999</c:v>
                </c:pt>
                <c:pt idx="85">
                  <c:v>1896703.6969999999</c:v>
                </c:pt>
                <c:pt idx="86">
                  <c:v>1936661.446</c:v>
                </c:pt>
                <c:pt idx="87">
                  <c:v>1977026.733</c:v>
                </c:pt>
                <c:pt idx="88">
                  <c:v>2017774.3729999999</c:v>
                </c:pt>
                <c:pt idx="89">
                  <c:v>2058875.145</c:v>
                </c:pt>
                <c:pt idx="90">
                  <c:v>2100301.7310000001</c:v>
                </c:pt>
                <c:pt idx="91">
                  <c:v>2142034.0320000001</c:v>
                </c:pt>
                <c:pt idx="92">
                  <c:v>2184052.7319999998</c:v>
                </c:pt>
                <c:pt idx="93">
                  <c:v>2226331.727</c:v>
                </c:pt>
                <c:pt idx="94">
                  <c:v>2268843.0499999998</c:v>
                </c:pt>
                <c:pt idx="95">
                  <c:v>2311561.3259999999</c:v>
                </c:pt>
                <c:pt idx="96">
                  <c:v>2354463.8220000002</c:v>
                </c:pt>
                <c:pt idx="97">
                  <c:v>2397531.5440000002</c:v>
                </c:pt>
                <c:pt idx="98">
                  <c:v>2440746.9389999998</c:v>
                </c:pt>
                <c:pt idx="99">
                  <c:v>2484094.2000000002</c:v>
                </c:pt>
                <c:pt idx="100">
                  <c:v>2527556.7609999999</c:v>
                </c:pt>
                <c:pt idx="101">
                  <c:v>2571117.139</c:v>
                </c:pt>
                <c:pt idx="102">
                  <c:v>2614755.642</c:v>
                </c:pt>
                <c:pt idx="103">
                  <c:v>2658451.1150000002</c:v>
                </c:pt>
                <c:pt idx="104">
                  <c:v>2702181.3339999998</c:v>
                </c:pt>
                <c:pt idx="105">
                  <c:v>2745926.4070000001</c:v>
                </c:pt>
                <c:pt idx="106">
                  <c:v>2789666.9270000001</c:v>
                </c:pt>
                <c:pt idx="107">
                  <c:v>2833388.4819999998</c:v>
                </c:pt>
                <c:pt idx="108">
                  <c:v>2877081.5279999999</c:v>
                </c:pt>
                <c:pt idx="109">
                  <c:v>2920739.47</c:v>
                </c:pt>
                <c:pt idx="110">
                  <c:v>2964353.0819999999</c:v>
                </c:pt>
                <c:pt idx="111">
                  <c:v>3007906.9249999998</c:v>
                </c:pt>
                <c:pt idx="112">
                  <c:v>3051382.037</c:v>
                </c:pt>
                <c:pt idx="113">
                  <c:v>3094761.4909999999</c:v>
                </c:pt>
                <c:pt idx="114">
                  <c:v>3138027.267</c:v>
                </c:pt>
                <c:pt idx="115">
                  <c:v>3181160.8539999998</c:v>
                </c:pt>
                <c:pt idx="116">
                  <c:v>3224145.3330000001</c:v>
                </c:pt>
                <c:pt idx="117">
                  <c:v>3266961.8330000001</c:v>
                </c:pt>
                <c:pt idx="118">
                  <c:v>3309587.7560000001</c:v>
                </c:pt>
                <c:pt idx="119">
                  <c:v>3351998.5070000002</c:v>
                </c:pt>
                <c:pt idx="120">
                  <c:v>3394171.0690000001</c:v>
                </c:pt>
                <c:pt idx="121">
                  <c:v>3436086.3879999998</c:v>
                </c:pt>
                <c:pt idx="122">
                  <c:v>3477726.6140000001</c:v>
                </c:pt>
                <c:pt idx="123">
                  <c:v>3519071.835</c:v>
                </c:pt>
                <c:pt idx="124">
                  <c:v>3560101.83</c:v>
                </c:pt>
                <c:pt idx="125">
                  <c:v>3600797.6910000001</c:v>
                </c:pt>
                <c:pt idx="126">
                  <c:v>3641141.4750000001</c:v>
                </c:pt>
                <c:pt idx="127">
                  <c:v>3681116.7170000002</c:v>
                </c:pt>
                <c:pt idx="128">
                  <c:v>3720708.1159999999</c:v>
                </c:pt>
                <c:pt idx="129">
                  <c:v>3759901.199</c:v>
                </c:pt>
                <c:pt idx="130">
                  <c:v>3798681.7149999999</c:v>
                </c:pt>
                <c:pt idx="131">
                  <c:v>3837034.622</c:v>
                </c:pt>
                <c:pt idx="132">
                  <c:v>3874945.0580000002</c:v>
                </c:pt>
                <c:pt idx="133">
                  <c:v>3912399.3739999998</c:v>
                </c:pt>
                <c:pt idx="134">
                  <c:v>3949384.3119999999</c:v>
                </c:pt>
                <c:pt idx="135">
                  <c:v>3985886.7459999998</c:v>
                </c:pt>
                <c:pt idx="136">
                  <c:v>4021894.3870000001</c:v>
                </c:pt>
                <c:pt idx="137">
                  <c:v>4057394.3930000002</c:v>
                </c:pt>
                <c:pt idx="138">
                  <c:v>4092373.4720000001</c:v>
                </c:pt>
                <c:pt idx="139">
                  <c:v>4126818.3319999999</c:v>
                </c:pt>
                <c:pt idx="140">
                  <c:v>4160716.5040000002</c:v>
                </c:pt>
                <c:pt idx="141">
                  <c:v>4194057.0860000001</c:v>
                </c:pt>
                <c:pt idx="142">
                  <c:v>4226830.0470000003</c:v>
                </c:pt>
                <c:pt idx="143">
                  <c:v>4259026.6639999999</c:v>
                </c:pt>
                <c:pt idx="144">
                  <c:v>4290638.534</c:v>
                </c:pt>
                <c:pt idx="145">
                  <c:v>4321657.59</c:v>
                </c:pt>
                <c:pt idx="146">
                  <c:v>4352075.9469999997</c:v>
                </c:pt>
                <c:pt idx="147">
                  <c:v>4381885.852</c:v>
                </c:pt>
                <c:pt idx="148">
                  <c:v>4411079.6119999997</c:v>
                </c:pt>
                <c:pt idx="149">
                  <c:v>4439649.6579999998</c:v>
                </c:pt>
                <c:pt idx="150">
                  <c:v>4467588.4330000002</c:v>
                </c:pt>
              </c:numCache>
            </c:numRef>
          </c:val>
          <c:smooth val="0"/>
          <c:extLst>
            <c:ext xmlns:c16="http://schemas.microsoft.com/office/drawing/2014/chart" uri="{C3380CC4-5D6E-409C-BE32-E72D297353CC}">
              <c16:uniqueId val="{00000000-D8B8-4049-941C-804839837573}"/>
            </c:ext>
          </c:extLst>
        </c:ser>
        <c:ser>
          <c:idx val="1"/>
          <c:order val="1"/>
          <c:tx>
            <c:strRef>
              <c:f>Sheet1!$A$12</c:f>
              <c:strCache>
                <c:ptCount val="1"/>
                <c:pt idx="0">
                  <c:v>ASIA</c:v>
                </c:pt>
              </c:strCache>
            </c:strRef>
          </c:tx>
          <c:spPr>
            <a:ln w="15875" cap="rnd">
              <a:solidFill>
                <a:schemeClr val="tx1"/>
              </a:solidFill>
              <a:prstDash val="dashDot"/>
              <a:round/>
            </a:ln>
            <a:effectLst/>
          </c:spPr>
          <c:marker>
            <c:symbol val="none"/>
          </c:marker>
          <c:cat>
            <c:strRef>
              <c:f>Sheet1!$B$10:$EV$10</c:f>
              <c:strCache>
                <c:ptCount val="151"/>
                <c:pt idx="0">
                  <c:v>1950</c:v>
                </c:pt>
                <c:pt idx="1">
                  <c:v>1951</c:v>
                </c:pt>
                <c:pt idx="2">
                  <c:v>1952</c:v>
                </c:pt>
                <c:pt idx="3">
                  <c:v>1953</c:v>
                </c:pt>
                <c:pt idx="4">
                  <c:v>1954</c:v>
                </c:pt>
                <c:pt idx="5">
                  <c:v>1955</c:v>
                </c:pt>
                <c:pt idx="6">
                  <c:v>1956</c:v>
                </c:pt>
                <c:pt idx="7">
                  <c:v>1957</c:v>
                </c:pt>
                <c:pt idx="8">
                  <c:v>1958</c:v>
                </c:pt>
                <c:pt idx="9">
                  <c:v>1959</c:v>
                </c:pt>
                <c:pt idx="10">
                  <c:v>1960</c:v>
                </c:pt>
                <c:pt idx="11">
                  <c:v>1961</c:v>
                </c:pt>
                <c:pt idx="12">
                  <c:v>1962</c:v>
                </c:pt>
                <c:pt idx="13">
                  <c:v>1963</c:v>
                </c:pt>
                <c:pt idx="14">
                  <c:v>1964</c:v>
                </c:pt>
                <c:pt idx="15">
                  <c:v>1965</c:v>
                </c:pt>
                <c:pt idx="16">
                  <c:v>1966</c:v>
                </c:pt>
                <c:pt idx="17">
                  <c:v>1967</c:v>
                </c:pt>
                <c:pt idx="18">
                  <c:v>1968</c:v>
                </c:pt>
                <c:pt idx="19">
                  <c:v>1969</c:v>
                </c:pt>
                <c:pt idx="20">
                  <c:v>1970</c:v>
                </c:pt>
                <c:pt idx="21">
                  <c:v>1971</c:v>
                </c:pt>
                <c:pt idx="22">
                  <c:v>1972</c:v>
                </c:pt>
                <c:pt idx="23">
                  <c:v>1973</c:v>
                </c:pt>
                <c:pt idx="24">
                  <c:v>1974</c:v>
                </c:pt>
                <c:pt idx="25">
                  <c:v>1975</c:v>
                </c:pt>
                <c:pt idx="26">
                  <c:v>1976</c:v>
                </c:pt>
                <c:pt idx="27">
                  <c:v>1977</c:v>
                </c:pt>
                <c:pt idx="28">
                  <c:v>1978</c:v>
                </c:pt>
                <c:pt idx="29">
                  <c:v>1979</c:v>
                </c:pt>
                <c:pt idx="30">
                  <c:v>1980</c:v>
                </c:pt>
                <c:pt idx="31">
                  <c:v>1981</c:v>
                </c:pt>
                <c:pt idx="32">
                  <c:v>1982</c:v>
                </c:pt>
                <c:pt idx="33">
                  <c:v>1983</c:v>
                </c:pt>
                <c:pt idx="34">
                  <c:v>1984</c:v>
                </c:pt>
                <c:pt idx="35">
                  <c:v>1985</c:v>
                </c:pt>
                <c:pt idx="36">
                  <c:v>1986</c:v>
                </c:pt>
                <c:pt idx="37">
                  <c:v>1987</c:v>
                </c:pt>
                <c:pt idx="38">
                  <c:v>1988</c:v>
                </c:pt>
                <c:pt idx="39">
                  <c:v>1989</c:v>
                </c:pt>
                <c:pt idx="40">
                  <c:v>1990</c:v>
                </c:pt>
                <c:pt idx="41">
                  <c:v>1991</c:v>
                </c:pt>
                <c:pt idx="42">
                  <c:v>1992</c:v>
                </c:pt>
                <c:pt idx="43">
                  <c:v>1993</c:v>
                </c:pt>
                <c:pt idx="44">
                  <c:v>1994</c:v>
                </c:pt>
                <c:pt idx="45">
                  <c:v>1995</c:v>
                </c:pt>
                <c:pt idx="46">
                  <c:v>1996</c:v>
                </c:pt>
                <c:pt idx="47">
                  <c:v>1997</c:v>
                </c:pt>
                <c:pt idx="48">
                  <c:v>1998</c:v>
                </c:pt>
                <c:pt idx="49">
                  <c:v>1999</c:v>
                </c:pt>
                <c:pt idx="50">
                  <c:v>2000</c:v>
                </c:pt>
                <c:pt idx="51">
                  <c:v>2001</c:v>
                </c:pt>
                <c:pt idx="52">
                  <c:v>2002</c:v>
                </c:pt>
                <c:pt idx="53">
                  <c:v>2003</c:v>
                </c:pt>
                <c:pt idx="54">
                  <c:v>2004</c:v>
                </c:pt>
                <c:pt idx="55">
                  <c:v>2005</c:v>
                </c:pt>
                <c:pt idx="56">
                  <c:v>2006</c:v>
                </c:pt>
                <c:pt idx="57">
                  <c:v>2007</c:v>
                </c:pt>
                <c:pt idx="58">
                  <c:v>2008</c:v>
                </c:pt>
                <c:pt idx="59">
                  <c:v>2009</c:v>
                </c:pt>
                <c:pt idx="60">
                  <c:v>2010</c:v>
                </c:pt>
                <c:pt idx="61">
                  <c:v>2011</c:v>
                </c:pt>
                <c:pt idx="62">
                  <c:v>2012</c:v>
                </c:pt>
                <c:pt idx="63">
                  <c:v>2013</c:v>
                </c:pt>
                <c:pt idx="64">
                  <c:v>2014</c:v>
                </c:pt>
                <c:pt idx="65">
                  <c:v>2015</c:v>
                </c:pt>
                <c:pt idx="66">
                  <c:v>2016</c:v>
                </c:pt>
                <c:pt idx="67">
                  <c:v>2017</c:v>
                </c:pt>
                <c:pt idx="68">
                  <c:v>2018</c:v>
                </c:pt>
                <c:pt idx="69">
                  <c:v>2019</c:v>
                </c:pt>
                <c:pt idx="70">
                  <c:v>2020</c:v>
                </c:pt>
                <c:pt idx="71">
                  <c:v>2021</c:v>
                </c:pt>
                <c:pt idx="72">
                  <c:v>2022</c:v>
                </c:pt>
                <c:pt idx="73">
                  <c:v>2023</c:v>
                </c:pt>
                <c:pt idx="74">
                  <c:v>2024</c:v>
                </c:pt>
                <c:pt idx="75">
                  <c:v>2025</c:v>
                </c:pt>
                <c:pt idx="76">
                  <c:v>2026</c:v>
                </c:pt>
                <c:pt idx="77">
                  <c:v>2027</c:v>
                </c:pt>
                <c:pt idx="78">
                  <c:v>2028</c:v>
                </c:pt>
                <c:pt idx="79">
                  <c:v>2029</c:v>
                </c:pt>
                <c:pt idx="80">
                  <c:v>2030</c:v>
                </c:pt>
                <c:pt idx="81">
                  <c:v>2031</c:v>
                </c:pt>
                <c:pt idx="82">
                  <c:v>2032</c:v>
                </c:pt>
                <c:pt idx="83">
                  <c:v>2033</c:v>
                </c:pt>
                <c:pt idx="84">
                  <c:v>2034</c:v>
                </c:pt>
                <c:pt idx="85">
                  <c:v>2035</c:v>
                </c:pt>
                <c:pt idx="86">
                  <c:v>2036</c:v>
                </c:pt>
                <c:pt idx="87">
                  <c:v>2037</c:v>
                </c:pt>
                <c:pt idx="88">
                  <c:v>2038</c:v>
                </c:pt>
                <c:pt idx="89">
                  <c:v>2039</c:v>
                </c:pt>
                <c:pt idx="90">
                  <c:v>2040</c:v>
                </c:pt>
                <c:pt idx="91">
                  <c:v>2041</c:v>
                </c:pt>
                <c:pt idx="92">
                  <c:v>2042</c:v>
                </c:pt>
                <c:pt idx="93">
                  <c:v>2043</c:v>
                </c:pt>
                <c:pt idx="94">
                  <c:v>2044</c:v>
                </c:pt>
                <c:pt idx="95">
                  <c:v>2045</c:v>
                </c:pt>
                <c:pt idx="96">
                  <c:v>2046</c:v>
                </c:pt>
                <c:pt idx="97">
                  <c:v>2047</c:v>
                </c:pt>
                <c:pt idx="98">
                  <c:v>2048</c:v>
                </c:pt>
                <c:pt idx="99">
                  <c:v>2049</c:v>
                </c:pt>
                <c:pt idx="100">
                  <c:v>2050</c:v>
                </c:pt>
                <c:pt idx="101">
                  <c:v>2051</c:v>
                </c:pt>
                <c:pt idx="102">
                  <c:v>2052</c:v>
                </c:pt>
                <c:pt idx="103">
                  <c:v>2053</c:v>
                </c:pt>
                <c:pt idx="104">
                  <c:v>2054</c:v>
                </c:pt>
                <c:pt idx="105">
                  <c:v>2055</c:v>
                </c:pt>
                <c:pt idx="106">
                  <c:v>2056</c:v>
                </c:pt>
                <c:pt idx="107">
                  <c:v>2057</c:v>
                </c:pt>
                <c:pt idx="108">
                  <c:v>2058</c:v>
                </c:pt>
                <c:pt idx="109">
                  <c:v>2059</c:v>
                </c:pt>
                <c:pt idx="110">
                  <c:v>2060</c:v>
                </c:pt>
                <c:pt idx="111">
                  <c:v>2061</c:v>
                </c:pt>
                <c:pt idx="112">
                  <c:v>2062</c:v>
                </c:pt>
                <c:pt idx="113">
                  <c:v>2063</c:v>
                </c:pt>
                <c:pt idx="114">
                  <c:v>2064</c:v>
                </c:pt>
                <c:pt idx="115">
                  <c:v>2065</c:v>
                </c:pt>
                <c:pt idx="116">
                  <c:v>2066</c:v>
                </c:pt>
                <c:pt idx="117">
                  <c:v>2067</c:v>
                </c:pt>
                <c:pt idx="118">
                  <c:v>2068</c:v>
                </c:pt>
                <c:pt idx="119">
                  <c:v>2069</c:v>
                </c:pt>
                <c:pt idx="120">
                  <c:v>2070</c:v>
                </c:pt>
                <c:pt idx="121">
                  <c:v>2071</c:v>
                </c:pt>
                <c:pt idx="122">
                  <c:v>2072</c:v>
                </c:pt>
                <c:pt idx="123">
                  <c:v>2073</c:v>
                </c:pt>
                <c:pt idx="124">
                  <c:v>2074</c:v>
                </c:pt>
                <c:pt idx="125">
                  <c:v>2075</c:v>
                </c:pt>
                <c:pt idx="126">
                  <c:v>2076</c:v>
                </c:pt>
                <c:pt idx="127">
                  <c:v>2077</c:v>
                </c:pt>
                <c:pt idx="128">
                  <c:v>2078</c:v>
                </c:pt>
                <c:pt idx="129">
                  <c:v>2079</c:v>
                </c:pt>
                <c:pt idx="130">
                  <c:v>2080</c:v>
                </c:pt>
                <c:pt idx="131">
                  <c:v>2081</c:v>
                </c:pt>
                <c:pt idx="132">
                  <c:v>2082</c:v>
                </c:pt>
                <c:pt idx="133">
                  <c:v>2083</c:v>
                </c:pt>
                <c:pt idx="134">
                  <c:v>2084</c:v>
                </c:pt>
                <c:pt idx="135">
                  <c:v>2085</c:v>
                </c:pt>
                <c:pt idx="136">
                  <c:v>2086</c:v>
                </c:pt>
                <c:pt idx="137">
                  <c:v>2087</c:v>
                </c:pt>
                <c:pt idx="138">
                  <c:v>2088</c:v>
                </c:pt>
                <c:pt idx="139">
                  <c:v>2089</c:v>
                </c:pt>
                <c:pt idx="140">
                  <c:v>2090</c:v>
                </c:pt>
                <c:pt idx="141">
                  <c:v>2091</c:v>
                </c:pt>
                <c:pt idx="142">
                  <c:v>2092</c:v>
                </c:pt>
                <c:pt idx="143">
                  <c:v>2093</c:v>
                </c:pt>
                <c:pt idx="144">
                  <c:v>2094</c:v>
                </c:pt>
                <c:pt idx="145">
                  <c:v>2095</c:v>
                </c:pt>
                <c:pt idx="146">
                  <c:v>2096</c:v>
                </c:pt>
                <c:pt idx="147">
                  <c:v>2097</c:v>
                </c:pt>
                <c:pt idx="148">
                  <c:v>2098</c:v>
                </c:pt>
                <c:pt idx="149">
                  <c:v>2099</c:v>
                </c:pt>
                <c:pt idx="150">
                  <c:v>2100</c:v>
                </c:pt>
              </c:strCache>
            </c:strRef>
          </c:cat>
          <c:val>
            <c:numRef>
              <c:f>Sheet1!$B$12:$EV$12</c:f>
              <c:numCache>
                <c:formatCode>#\ ###\ ###\ ##0;\-#\ ###\ ###\ ##0;0</c:formatCode>
                <c:ptCount val="151"/>
                <c:pt idx="0">
                  <c:v>1404061.59</c:v>
                </c:pt>
                <c:pt idx="1">
                  <c:v>1434534.7849999999</c:v>
                </c:pt>
                <c:pt idx="2">
                  <c:v>1463159.8160000001</c:v>
                </c:pt>
                <c:pt idx="3">
                  <c:v>1490835.7139999999</c:v>
                </c:pt>
                <c:pt idx="4">
                  <c:v>1518303.01</c:v>
                </c:pt>
                <c:pt idx="5">
                  <c:v>1546143.227</c:v>
                </c:pt>
                <c:pt idx="6">
                  <c:v>1574772.6529999999</c:v>
                </c:pt>
                <c:pt idx="7">
                  <c:v>1604448.7949999999</c:v>
                </c:pt>
                <c:pt idx="8">
                  <c:v>1635288.4339999999</c:v>
                </c:pt>
                <c:pt idx="9">
                  <c:v>1667297.629</c:v>
                </c:pt>
                <c:pt idx="10">
                  <c:v>1700462.7520000001</c:v>
                </c:pt>
                <c:pt idx="11">
                  <c:v>1734847.0649999999</c:v>
                </c:pt>
                <c:pt idx="12">
                  <c:v>1770675.629</c:v>
                </c:pt>
                <c:pt idx="13">
                  <c:v>1808371.2649999999</c:v>
                </c:pt>
                <c:pt idx="14">
                  <c:v>1848452.0490000001</c:v>
                </c:pt>
                <c:pt idx="15">
                  <c:v>1891228.7350000001</c:v>
                </c:pt>
                <c:pt idx="16">
                  <c:v>1936862.071</c:v>
                </c:pt>
                <c:pt idx="17">
                  <c:v>1985086.19</c:v>
                </c:pt>
                <c:pt idx="18">
                  <c:v>2035238.284</c:v>
                </c:pt>
                <c:pt idx="19">
                  <c:v>2086393.344</c:v>
                </c:pt>
                <c:pt idx="20">
                  <c:v>2137828.395</c:v>
                </c:pt>
                <c:pt idx="21">
                  <c:v>2189385.932</c:v>
                </c:pt>
                <c:pt idx="22">
                  <c:v>2241096.8530000001</c:v>
                </c:pt>
                <c:pt idx="23">
                  <c:v>2292666.3569999998</c:v>
                </c:pt>
                <c:pt idx="24">
                  <c:v>2343802.5619999999</c:v>
                </c:pt>
                <c:pt idx="25">
                  <c:v>2394338.0040000002</c:v>
                </c:pt>
                <c:pt idx="26">
                  <c:v>2444094.0129999998</c:v>
                </c:pt>
                <c:pt idx="27">
                  <c:v>2493191.9350000001</c:v>
                </c:pt>
                <c:pt idx="28">
                  <c:v>2542157.7310000001</c:v>
                </c:pt>
                <c:pt idx="29">
                  <c:v>2591734.858</c:v>
                </c:pt>
                <c:pt idx="30">
                  <c:v>2642488.969</c:v>
                </c:pt>
                <c:pt idx="31">
                  <c:v>2694423.5359999998</c:v>
                </c:pt>
                <c:pt idx="32">
                  <c:v>2747435.3339999998</c:v>
                </c:pt>
                <c:pt idx="33">
                  <c:v>2801830.9029999999</c:v>
                </c:pt>
                <c:pt idx="34">
                  <c:v>2857956.3539999998</c:v>
                </c:pt>
                <c:pt idx="35">
                  <c:v>2915953.4440000001</c:v>
                </c:pt>
                <c:pt idx="36">
                  <c:v>2976023.1940000001</c:v>
                </c:pt>
                <c:pt idx="37">
                  <c:v>3037815.6</c:v>
                </c:pt>
                <c:pt idx="38">
                  <c:v>3100227.1690000002</c:v>
                </c:pt>
                <c:pt idx="39">
                  <c:v>3161768.2859999998</c:v>
                </c:pt>
                <c:pt idx="40">
                  <c:v>3221341.719</c:v>
                </c:pt>
                <c:pt idx="41">
                  <c:v>3278551.3429999999</c:v>
                </c:pt>
                <c:pt idx="42">
                  <c:v>3333604.0950000002</c:v>
                </c:pt>
                <c:pt idx="43">
                  <c:v>3386759.8560000001</c:v>
                </c:pt>
                <c:pt idx="44">
                  <c:v>3438526.43</c:v>
                </c:pt>
                <c:pt idx="45">
                  <c:v>3489306.253</c:v>
                </c:pt>
                <c:pt idx="46">
                  <c:v>3539101.0690000001</c:v>
                </c:pt>
                <c:pt idx="47">
                  <c:v>3587833.5210000002</c:v>
                </c:pt>
                <c:pt idx="48">
                  <c:v>3635758.51</c:v>
                </c:pt>
                <c:pt idx="49">
                  <c:v>3683189.7859999998</c:v>
                </c:pt>
                <c:pt idx="50">
                  <c:v>3730370.625</c:v>
                </c:pt>
                <c:pt idx="51">
                  <c:v>3777425.0690000001</c:v>
                </c:pt>
                <c:pt idx="52">
                  <c:v>3824369.5260000001</c:v>
                </c:pt>
                <c:pt idx="53">
                  <c:v>3871201.74</c:v>
                </c:pt>
                <c:pt idx="54">
                  <c:v>3917871.1510000001</c:v>
                </c:pt>
                <c:pt idx="55">
                  <c:v>3964342.662</c:v>
                </c:pt>
                <c:pt idx="56">
                  <c:v>4010602.6669999999</c:v>
                </c:pt>
                <c:pt idx="57">
                  <c:v>4056684.6970000002</c:v>
                </c:pt>
                <c:pt idx="58">
                  <c:v>4102643.673</c:v>
                </c:pt>
                <c:pt idx="59">
                  <c:v>4148549.798</c:v>
                </c:pt>
                <c:pt idx="60">
                  <c:v>4194425.2120000003</c:v>
                </c:pt>
                <c:pt idx="61">
                  <c:v>4240280.9759999998</c:v>
                </c:pt>
                <c:pt idx="62">
                  <c:v>4286014.7309999997</c:v>
                </c:pt>
                <c:pt idx="63">
                  <c:v>4331391.2050000001</c:v>
                </c:pt>
                <c:pt idx="64">
                  <c:v>4376099.6550000003</c:v>
                </c:pt>
                <c:pt idx="65">
                  <c:v>4419897.6009999998</c:v>
                </c:pt>
                <c:pt idx="66">
                  <c:v>4462676.7309999997</c:v>
                </c:pt>
                <c:pt idx="67">
                  <c:v>4504428.3729999997</c:v>
                </c:pt>
                <c:pt idx="68">
                  <c:v>4545133.0939999996</c:v>
                </c:pt>
                <c:pt idx="69">
                  <c:v>4584807.0719999997</c:v>
                </c:pt>
                <c:pt idx="70">
                  <c:v>4623454.1909999996</c:v>
                </c:pt>
                <c:pt idx="71">
                  <c:v>4661038.3689999999</c:v>
                </c:pt>
                <c:pt idx="72">
                  <c:v>4697504.8140000002</c:v>
                </c:pt>
                <c:pt idx="73">
                  <c:v>4732823.2249999996</c:v>
                </c:pt>
                <c:pt idx="74">
                  <c:v>4766965.1119999997</c:v>
                </c:pt>
                <c:pt idx="75">
                  <c:v>4799909.8550000004</c:v>
                </c:pt>
                <c:pt idx="76">
                  <c:v>4831638.1390000004</c:v>
                </c:pt>
                <c:pt idx="77">
                  <c:v>4862147.0530000003</c:v>
                </c:pt>
                <c:pt idx="78">
                  <c:v>4891455.2019999996</c:v>
                </c:pt>
                <c:pt idx="79">
                  <c:v>4919593.5539999995</c:v>
                </c:pt>
                <c:pt idx="80">
                  <c:v>4946586.3619999997</c:v>
                </c:pt>
                <c:pt idx="81">
                  <c:v>4972442.8420000002</c:v>
                </c:pt>
                <c:pt idx="82">
                  <c:v>4997160.5590000004</c:v>
                </c:pt>
                <c:pt idx="83">
                  <c:v>5020740.0810000002</c:v>
                </c:pt>
                <c:pt idx="84">
                  <c:v>5043179.0460000001</c:v>
                </c:pt>
                <c:pt idx="85">
                  <c:v>5064479.8250000002</c:v>
                </c:pt>
                <c:pt idx="86">
                  <c:v>5084644.8710000003</c:v>
                </c:pt>
                <c:pt idx="87">
                  <c:v>5103689.0810000002</c:v>
                </c:pt>
                <c:pt idx="88">
                  <c:v>5121642.4400000004</c:v>
                </c:pt>
                <c:pt idx="89">
                  <c:v>5138542.949</c:v>
                </c:pt>
                <c:pt idx="90">
                  <c:v>5154419.0959999999</c:v>
                </c:pt>
                <c:pt idx="91">
                  <c:v>5169286.1490000002</c:v>
                </c:pt>
                <c:pt idx="92">
                  <c:v>5183143.2560000001</c:v>
                </c:pt>
                <c:pt idx="93">
                  <c:v>5195983.3420000002</c:v>
                </c:pt>
                <c:pt idx="94">
                  <c:v>5207791.7010000004</c:v>
                </c:pt>
                <c:pt idx="95">
                  <c:v>5218558.3059999999</c:v>
                </c:pt>
                <c:pt idx="96">
                  <c:v>5228289.8689999999</c:v>
                </c:pt>
                <c:pt idx="97">
                  <c:v>5236996.0449999999</c:v>
                </c:pt>
                <c:pt idx="98">
                  <c:v>5244673.4689999996</c:v>
                </c:pt>
                <c:pt idx="99">
                  <c:v>5251317.2410000004</c:v>
                </c:pt>
                <c:pt idx="100">
                  <c:v>5256927.4989999998</c:v>
                </c:pt>
                <c:pt idx="101">
                  <c:v>5261515.6069999998</c:v>
                </c:pt>
                <c:pt idx="102">
                  <c:v>5265097.1849999996</c:v>
                </c:pt>
                <c:pt idx="103">
                  <c:v>5267683.9340000004</c:v>
                </c:pt>
                <c:pt idx="104">
                  <c:v>5269289.2769999998</c:v>
                </c:pt>
                <c:pt idx="105">
                  <c:v>5269931.5159999998</c:v>
                </c:pt>
                <c:pt idx="106">
                  <c:v>5269628.6780000003</c:v>
                </c:pt>
                <c:pt idx="107">
                  <c:v>5268409.5860000001</c:v>
                </c:pt>
                <c:pt idx="108">
                  <c:v>5266317.6710000001</c:v>
                </c:pt>
                <c:pt idx="109">
                  <c:v>5263404.5520000001</c:v>
                </c:pt>
                <c:pt idx="110">
                  <c:v>5259717.37</c:v>
                </c:pt>
                <c:pt idx="111">
                  <c:v>5255287.9550000001</c:v>
                </c:pt>
                <c:pt idx="112">
                  <c:v>5250143.6730000004</c:v>
                </c:pt>
                <c:pt idx="113">
                  <c:v>5244322.3969999999</c:v>
                </c:pt>
                <c:pt idx="114">
                  <c:v>5237862.6569999997</c:v>
                </c:pt>
                <c:pt idx="115">
                  <c:v>5230800.3590000002</c:v>
                </c:pt>
                <c:pt idx="116">
                  <c:v>5223166.165</c:v>
                </c:pt>
                <c:pt idx="117">
                  <c:v>5214987.7209999999</c:v>
                </c:pt>
                <c:pt idx="118">
                  <c:v>5206293.1059999997</c:v>
                </c:pt>
                <c:pt idx="119">
                  <c:v>5197108.6840000004</c:v>
                </c:pt>
                <c:pt idx="120">
                  <c:v>5187459.4670000002</c:v>
                </c:pt>
                <c:pt idx="121">
                  <c:v>5177373.2920000004</c:v>
                </c:pt>
                <c:pt idx="122">
                  <c:v>5166873.16</c:v>
                </c:pt>
                <c:pt idx="123">
                  <c:v>5155972.3739999998</c:v>
                </c:pt>
                <c:pt idx="124">
                  <c:v>5144679.8839999996</c:v>
                </c:pt>
                <c:pt idx="125">
                  <c:v>5133008.3959999997</c:v>
                </c:pt>
                <c:pt idx="126">
                  <c:v>5120977.4289999995</c:v>
                </c:pt>
                <c:pt idx="127">
                  <c:v>5108613.2450000001</c:v>
                </c:pt>
                <c:pt idx="128">
                  <c:v>5095943.5539999995</c:v>
                </c:pt>
                <c:pt idx="129">
                  <c:v>5082998.9529999997</c:v>
                </c:pt>
                <c:pt idx="130">
                  <c:v>5069807.932</c:v>
                </c:pt>
                <c:pt idx="131">
                  <c:v>5056389.7879999997</c:v>
                </c:pt>
                <c:pt idx="132">
                  <c:v>5042764.2300000004</c:v>
                </c:pt>
                <c:pt idx="133">
                  <c:v>5028959.92</c:v>
                </c:pt>
                <c:pt idx="134">
                  <c:v>5015007.2980000004</c:v>
                </c:pt>
                <c:pt idx="135">
                  <c:v>5000931.8990000002</c:v>
                </c:pt>
                <c:pt idx="136">
                  <c:v>4986751.8760000002</c:v>
                </c:pt>
                <c:pt idx="137">
                  <c:v>4972478.0889999997</c:v>
                </c:pt>
                <c:pt idx="138">
                  <c:v>4958119.1569999997</c:v>
                </c:pt>
                <c:pt idx="139">
                  <c:v>4943679.7110000001</c:v>
                </c:pt>
                <c:pt idx="140">
                  <c:v>4929164.1109999996</c:v>
                </c:pt>
                <c:pt idx="141">
                  <c:v>4914577.5650000004</c:v>
                </c:pt>
                <c:pt idx="142">
                  <c:v>4899925.8909999998</c:v>
                </c:pt>
                <c:pt idx="143">
                  <c:v>4885214.449</c:v>
                </c:pt>
                <c:pt idx="144">
                  <c:v>4870446.8030000003</c:v>
                </c:pt>
                <c:pt idx="145">
                  <c:v>4855623.7779999999</c:v>
                </c:pt>
                <c:pt idx="146">
                  <c:v>4840743.1809999999</c:v>
                </c:pt>
                <c:pt idx="147">
                  <c:v>4825799.6440000003</c:v>
                </c:pt>
                <c:pt idx="148">
                  <c:v>4810784.0489999996</c:v>
                </c:pt>
                <c:pt idx="149">
                  <c:v>4795684.3899999997</c:v>
                </c:pt>
                <c:pt idx="150">
                  <c:v>4780484.9929999998</c:v>
                </c:pt>
              </c:numCache>
            </c:numRef>
          </c:val>
          <c:smooth val="0"/>
          <c:extLst>
            <c:ext xmlns:c16="http://schemas.microsoft.com/office/drawing/2014/chart" uri="{C3380CC4-5D6E-409C-BE32-E72D297353CC}">
              <c16:uniqueId val="{00000001-D8B8-4049-941C-804839837573}"/>
            </c:ext>
          </c:extLst>
        </c:ser>
        <c:ser>
          <c:idx val="2"/>
          <c:order val="2"/>
          <c:tx>
            <c:strRef>
              <c:f>Sheet1!$A$13</c:f>
              <c:strCache>
                <c:ptCount val="1"/>
                <c:pt idx="0">
                  <c:v>EUROPE</c:v>
                </c:pt>
              </c:strCache>
            </c:strRef>
          </c:tx>
          <c:spPr>
            <a:ln w="15875" cap="rnd">
              <a:solidFill>
                <a:schemeClr val="tx1">
                  <a:lumMod val="85000"/>
                  <a:lumOff val="15000"/>
                </a:schemeClr>
              </a:solidFill>
              <a:prstDash val="solid"/>
              <a:round/>
            </a:ln>
            <a:effectLst/>
          </c:spPr>
          <c:marker>
            <c:symbol val="none"/>
          </c:marker>
          <c:cat>
            <c:strRef>
              <c:f>Sheet1!$B$10:$EV$10</c:f>
              <c:strCache>
                <c:ptCount val="151"/>
                <c:pt idx="0">
                  <c:v>1950</c:v>
                </c:pt>
                <c:pt idx="1">
                  <c:v>1951</c:v>
                </c:pt>
                <c:pt idx="2">
                  <c:v>1952</c:v>
                </c:pt>
                <c:pt idx="3">
                  <c:v>1953</c:v>
                </c:pt>
                <c:pt idx="4">
                  <c:v>1954</c:v>
                </c:pt>
                <c:pt idx="5">
                  <c:v>1955</c:v>
                </c:pt>
                <c:pt idx="6">
                  <c:v>1956</c:v>
                </c:pt>
                <c:pt idx="7">
                  <c:v>1957</c:v>
                </c:pt>
                <c:pt idx="8">
                  <c:v>1958</c:v>
                </c:pt>
                <c:pt idx="9">
                  <c:v>1959</c:v>
                </c:pt>
                <c:pt idx="10">
                  <c:v>1960</c:v>
                </c:pt>
                <c:pt idx="11">
                  <c:v>1961</c:v>
                </c:pt>
                <c:pt idx="12">
                  <c:v>1962</c:v>
                </c:pt>
                <c:pt idx="13">
                  <c:v>1963</c:v>
                </c:pt>
                <c:pt idx="14">
                  <c:v>1964</c:v>
                </c:pt>
                <c:pt idx="15">
                  <c:v>1965</c:v>
                </c:pt>
                <c:pt idx="16">
                  <c:v>1966</c:v>
                </c:pt>
                <c:pt idx="17">
                  <c:v>1967</c:v>
                </c:pt>
                <c:pt idx="18">
                  <c:v>1968</c:v>
                </c:pt>
                <c:pt idx="19">
                  <c:v>1969</c:v>
                </c:pt>
                <c:pt idx="20">
                  <c:v>1970</c:v>
                </c:pt>
                <c:pt idx="21">
                  <c:v>1971</c:v>
                </c:pt>
                <c:pt idx="22">
                  <c:v>1972</c:v>
                </c:pt>
                <c:pt idx="23">
                  <c:v>1973</c:v>
                </c:pt>
                <c:pt idx="24">
                  <c:v>1974</c:v>
                </c:pt>
                <c:pt idx="25">
                  <c:v>1975</c:v>
                </c:pt>
                <c:pt idx="26">
                  <c:v>1976</c:v>
                </c:pt>
                <c:pt idx="27">
                  <c:v>1977</c:v>
                </c:pt>
                <c:pt idx="28">
                  <c:v>1978</c:v>
                </c:pt>
                <c:pt idx="29">
                  <c:v>1979</c:v>
                </c:pt>
                <c:pt idx="30">
                  <c:v>1980</c:v>
                </c:pt>
                <c:pt idx="31">
                  <c:v>1981</c:v>
                </c:pt>
                <c:pt idx="32">
                  <c:v>1982</c:v>
                </c:pt>
                <c:pt idx="33">
                  <c:v>1983</c:v>
                </c:pt>
                <c:pt idx="34">
                  <c:v>1984</c:v>
                </c:pt>
                <c:pt idx="35">
                  <c:v>1985</c:v>
                </c:pt>
                <c:pt idx="36">
                  <c:v>1986</c:v>
                </c:pt>
                <c:pt idx="37">
                  <c:v>1987</c:v>
                </c:pt>
                <c:pt idx="38">
                  <c:v>1988</c:v>
                </c:pt>
                <c:pt idx="39">
                  <c:v>1989</c:v>
                </c:pt>
                <c:pt idx="40">
                  <c:v>1990</c:v>
                </c:pt>
                <c:pt idx="41">
                  <c:v>1991</c:v>
                </c:pt>
                <c:pt idx="42">
                  <c:v>1992</c:v>
                </c:pt>
                <c:pt idx="43">
                  <c:v>1993</c:v>
                </c:pt>
                <c:pt idx="44">
                  <c:v>1994</c:v>
                </c:pt>
                <c:pt idx="45">
                  <c:v>1995</c:v>
                </c:pt>
                <c:pt idx="46">
                  <c:v>1996</c:v>
                </c:pt>
                <c:pt idx="47">
                  <c:v>1997</c:v>
                </c:pt>
                <c:pt idx="48">
                  <c:v>1998</c:v>
                </c:pt>
                <c:pt idx="49">
                  <c:v>1999</c:v>
                </c:pt>
                <c:pt idx="50">
                  <c:v>2000</c:v>
                </c:pt>
                <c:pt idx="51">
                  <c:v>2001</c:v>
                </c:pt>
                <c:pt idx="52">
                  <c:v>2002</c:v>
                </c:pt>
                <c:pt idx="53">
                  <c:v>2003</c:v>
                </c:pt>
                <c:pt idx="54">
                  <c:v>2004</c:v>
                </c:pt>
                <c:pt idx="55">
                  <c:v>2005</c:v>
                </c:pt>
                <c:pt idx="56">
                  <c:v>2006</c:v>
                </c:pt>
                <c:pt idx="57">
                  <c:v>2007</c:v>
                </c:pt>
                <c:pt idx="58">
                  <c:v>2008</c:v>
                </c:pt>
                <c:pt idx="59">
                  <c:v>2009</c:v>
                </c:pt>
                <c:pt idx="60">
                  <c:v>2010</c:v>
                </c:pt>
                <c:pt idx="61">
                  <c:v>2011</c:v>
                </c:pt>
                <c:pt idx="62">
                  <c:v>2012</c:v>
                </c:pt>
                <c:pt idx="63">
                  <c:v>2013</c:v>
                </c:pt>
                <c:pt idx="64">
                  <c:v>2014</c:v>
                </c:pt>
                <c:pt idx="65">
                  <c:v>2015</c:v>
                </c:pt>
                <c:pt idx="66">
                  <c:v>2016</c:v>
                </c:pt>
                <c:pt idx="67">
                  <c:v>2017</c:v>
                </c:pt>
                <c:pt idx="68">
                  <c:v>2018</c:v>
                </c:pt>
                <c:pt idx="69">
                  <c:v>2019</c:v>
                </c:pt>
                <c:pt idx="70">
                  <c:v>2020</c:v>
                </c:pt>
                <c:pt idx="71">
                  <c:v>2021</c:v>
                </c:pt>
                <c:pt idx="72">
                  <c:v>2022</c:v>
                </c:pt>
                <c:pt idx="73">
                  <c:v>2023</c:v>
                </c:pt>
                <c:pt idx="74">
                  <c:v>2024</c:v>
                </c:pt>
                <c:pt idx="75">
                  <c:v>2025</c:v>
                </c:pt>
                <c:pt idx="76">
                  <c:v>2026</c:v>
                </c:pt>
                <c:pt idx="77">
                  <c:v>2027</c:v>
                </c:pt>
                <c:pt idx="78">
                  <c:v>2028</c:v>
                </c:pt>
                <c:pt idx="79">
                  <c:v>2029</c:v>
                </c:pt>
                <c:pt idx="80">
                  <c:v>2030</c:v>
                </c:pt>
                <c:pt idx="81">
                  <c:v>2031</c:v>
                </c:pt>
                <c:pt idx="82">
                  <c:v>2032</c:v>
                </c:pt>
                <c:pt idx="83">
                  <c:v>2033</c:v>
                </c:pt>
                <c:pt idx="84">
                  <c:v>2034</c:v>
                </c:pt>
                <c:pt idx="85">
                  <c:v>2035</c:v>
                </c:pt>
                <c:pt idx="86">
                  <c:v>2036</c:v>
                </c:pt>
                <c:pt idx="87">
                  <c:v>2037</c:v>
                </c:pt>
                <c:pt idx="88">
                  <c:v>2038</c:v>
                </c:pt>
                <c:pt idx="89">
                  <c:v>2039</c:v>
                </c:pt>
                <c:pt idx="90">
                  <c:v>2040</c:v>
                </c:pt>
                <c:pt idx="91">
                  <c:v>2041</c:v>
                </c:pt>
                <c:pt idx="92">
                  <c:v>2042</c:v>
                </c:pt>
                <c:pt idx="93">
                  <c:v>2043</c:v>
                </c:pt>
                <c:pt idx="94">
                  <c:v>2044</c:v>
                </c:pt>
                <c:pt idx="95">
                  <c:v>2045</c:v>
                </c:pt>
                <c:pt idx="96">
                  <c:v>2046</c:v>
                </c:pt>
                <c:pt idx="97">
                  <c:v>2047</c:v>
                </c:pt>
                <c:pt idx="98">
                  <c:v>2048</c:v>
                </c:pt>
                <c:pt idx="99">
                  <c:v>2049</c:v>
                </c:pt>
                <c:pt idx="100">
                  <c:v>2050</c:v>
                </c:pt>
                <c:pt idx="101">
                  <c:v>2051</c:v>
                </c:pt>
                <c:pt idx="102">
                  <c:v>2052</c:v>
                </c:pt>
                <c:pt idx="103">
                  <c:v>2053</c:v>
                </c:pt>
                <c:pt idx="104">
                  <c:v>2054</c:v>
                </c:pt>
                <c:pt idx="105">
                  <c:v>2055</c:v>
                </c:pt>
                <c:pt idx="106">
                  <c:v>2056</c:v>
                </c:pt>
                <c:pt idx="107">
                  <c:v>2057</c:v>
                </c:pt>
                <c:pt idx="108">
                  <c:v>2058</c:v>
                </c:pt>
                <c:pt idx="109">
                  <c:v>2059</c:v>
                </c:pt>
                <c:pt idx="110">
                  <c:v>2060</c:v>
                </c:pt>
                <c:pt idx="111">
                  <c:v>2061</c:v>
                </c:pt>
                <c:pt idx="112">
                  <c:v>2062</c:v>
                </c:pt>
                <c:pt idx="113">
                  <c:v>2063</c:v>
                </c:pt>
                <c:pt idx="114">
                  <c:v>2064</c:v>
                </c:pt>
                <c:pt idx="115">
                  <c:v>2065</c:v>
                </c:pt>
                <c:pt idx="116">
                  <c:v>2066</c:v>
                </c:pt>
                <c:pt idx="117">
                  <c:v>2067</c:v>
                </c:pt>
                <c:pt idx="118">
                  <c:v>2068</c:v>
                </c:pt>
                <c:pt idx="119">
                  <c:v>2069</c:v>
                </c:pt>
                <c:pt idx="120">
                  <c:v>2070</c:v>
                </c:pt>
                <c:pt idx="121">
                  <c:v>2071</c:v>
                </c:pt>
                <c:pt idx="122">
                  <c:v>2072</c:v>
                </c:pt>
                <c:pt idx="123">
                  <c:v>2073</c:v>
                </c:pt>
                <c:pt idx="124">
                  <c:v>2074</c:v>
                </c:pt>
                <c:pt idx="125">
                  <c:v>2075</c:v>
                </c:pt>
                <c:pt idx="126">
                  <c:v>2076</c:v>
                </c:pt>
                <c:pt idx="127">
                  <c:v>2077</c:v>
                </c:pt>
                <c:pt idx="128">
                  <c:v>2078</c:v>
                </c:pt>
                <c:pt idx="129">
                  <c:v>2079</c:v>
                </c:pt>
                <c:pt idx="130">
                  <c:v>2080</c:v>
                </c:pt>
                <c:pt idx="131">
                  <c:v>2081</c:v>
                </c:pt>
                <c:pt idx="132">
                  <c:v>2082</c:v>
                </c:pt>
                <c:pt idx="133">
                  <c:v>2083</c:v>
                </c:pt>
                <c:pt idx="134">
                  <c:v>2084</c:v>
                </c:pt>
                <c:pt idx="135">
                  <c:v>2085</c:v>
                </c:pt>
                <c:pt idx="136">
                  <c:v>2086</c:v>
                </c:pt>
                <c:pt idx="137">
                  <c:v>2087</c:v>
                </c:pt>
                <c:pt idx="138">
                  <c:v>2088</c:v>
                </c:pt>
                <c:pt idx="139">
                  <c:v>2089</c:v>
                </c:pt>
                <c:pt idx="140">
                  <c:v>2090</c:v>
                </c:pt>
                <c:pt idx="141">
                  <c:v>2091</c:v>
                </c:pt>
                <c:pt idx="142">
                  <c:v>2092</c:v>
                </c:pt>
                <c:pt idx="143">
                  <c:v>2093</c:v>
                </c:pt>
                <c:pt idx="144">
                  <c:v>2094</c:v>
                </c:pt>
                <c:pt idx="145">
                  <c:v>2095</c:v>
                </c:pt>
                <c:pt idx="146">
                  <c:v>2096</c:v>
                </c:pt>
                <c:pt idx="147">
                  <c:v>2097</c:v>
                </c:pt>
                <c:pt idx="148">
                  <c:v>2098</c:v>
                </c:pt>
                <c:pt idx="149">
                  <c:v>2099</c:v>
                </c:pt>
                <c:pt idx="150">
                  <c:v>2100</c:v>
                </c:pt>
              </c:strCache>
            </c:strRef>
          </c:cat>
          <c:val>
            <c:numRef>
              <c:f>Sheet1!$B$13:$EV$13</c:f>
              <c:numCache>
                <c:formatCode>#\ ###\ ###\ ##0;\-#\ ###\ ###\ ##0;0</c:formatCode>
                <c:ptCount val="151"/>
                <c:pt idx="0">
                  <c:v>549375.01899999997</c:v>
                </c:pt>
                <c:pt idx="1">
                  <c:v>554466.929</c:v>
                </c:pt>
                <c:pt idx="2">
                  <c:v>559927.98100000003</c:v>
                </c:pt>
                <c:pt idx="3">
                  <c:v>565596.26699999999</c:v>
                </c:pt>
                <c:pt idx="4">
                  <c:v>571350.53399999999</c:v>
                </c:pt>
                <c:pt idx="5">
                  <c:v>577110.36</c:v>
                </c:pt>
                <c:pt idx="6">
                  <c:v>582838.18400000001</c:v>
                </c:pt>
                <c:pt idx="7">
                  <c:v>588537.23300000001</c:v>
                </c:pt>
                <c:pt idx="8">
                  <c:v>594245.07799999998</c:v>
                </c:pt>
                <c:pt idx="9">
                  <c:v>600023.21799999999</c:v>
                </c:pt>
                <c:pt idx="10">
                  <c:v>605925.43700000003</c:v>
                </c:pt>
                <c:pt idx="11">
                  <c:v>611963.91</c:v>
                </c:pt>
                <c:pt idx="12">
                  <c:v>618079.777</c:v>
                </c:pt>
                <c:pt idx="13">
                  <c:v>624130.49699999997</c:v>
                </c:pt>
                <c:pt idx="14">
                  <c:v>629925.54700000002</c:v>
                </c:pt>
                <c:pt idx="15">
                  <c:v>635332.23400000005</c:v>
                </c:pt>
                <c:pt idx="16">
                  <c:v>640285.79799999995</c:v>
                </c:pt>
                <c:pt idx="17">
                  <c:v>644832.05200000003</c:v>
                </c:pt>
                <c:pt idx="18">
                  <c:v>649085.05099999998</c:v>
                </c:pt>
                <c:pt idx="19">
                  <c:v>653216.51</c:v>
                </c:pt>
                <c:pt idx="20">
                  <c:v>657350.13399999996</c:v>
                </c:pt>
                <c:pt idx="21">
                  <c:v>661522.652</c:v>
                </c:pt>
                <c:pt idx="22">
                  <c:v>665692.14500000002</c:v>
                </c:pt>
                <c:pt idx="23">
                  <c:v>669810.6</c:v>
                </c:pt>
                <c:pt idx="24">
                  <c:v>673799.96900000004</c:v>
                </c:pt>
                <c:pt idx="25">
                  <c:v>677604.81599999999</c:v>
                </c:pt>
                <c:pt idx="26">
                  <c:v>681220.53099999996</c:v>
                </c:pt>
                <c:pt idx="27">
                  <c:v>684673.15700000001</c:v>
                </c:pt>
                <c:pt idx="28">
                  <c:v>687975.13800000004</c:v>
                </c:pt>
                <c:pt idx="29">
                  <c:v>691147.01199999999</c:v>
                </c:pt>
                <c:pt idx="30">
                  <c:v>694207.33700000006</c:v>
                </c:pt>
                <c:pt idx="31">
                  <c:v>697140.91099999996</c:v>
                </c:pt>
                <c:pt idx="32">
                  <c:v>699949.75399999996</c:v>
                </c:pt>
                <c:pt idx="33">
                  <c:v>702689.65599999996</c:v>
                </c:pt>
                <c:pt idx="34">
                  <c:v>705434.11300000001</c:v>
                </c:pt>
                <c:pt idx="35">
                  <c:v>708226.81799999997</c:v>
                </c:pt>
                <c:pt idx="36">
                  <c:v>711091.02800000005</c:v>
                </c:pt>
                <c:pt idx="37">
                  <c:v>713985.201</c:v>
                </c:pt>
                <c:pt idx="38">
                  <c:v>716806.50899999996</c:v>
                </c:pt>
                <c:pt idx="39">
                  <c:v>719413.06599999999</c:v>
                </c:pt>
                <c:pt idx="40">
                  <c:v>721698.58700000006</c:v>
                </c:pt>
                <c:pt idx="41">
                  <c:v>723653.72499999998</c:v>
                </c:pt>
                <c:pt idx="42">
                  <c:v>725300.09100000001</c:v>
                </c:pt>
                <c:pt idx="43">
                  <c:v>726604.11800000002</c:v>
                </c:pt>
                <c:pt idx="44">
                  <c:v>727533.92299999995</c:v>
                </c:pt>
                <c:pt idx="45">
                  <c:v>728084.59299999999</c:v>
                </c:pt>
                <c:pt idx="46">
                  <c:v>728232.51</c:v>
                </c:pt>
                <c:pt idx="47">
                  <c:v>728031.01599999995</c:v>
                </c:pt>
                <c:pt idx="48">
                  <c:v>727650.06</c:v>
                </c:pt>
                <c:pt idx="49">
                  <c:v>727316.73300000001</c:v>
                </c:pt>
                <c:pt idx="50">
                  <c:v>727200.93900000001</c:v>
                </c:pt>
                <c:pt idx="51">
                  <c:v>727354.723</c:v>
                </c:pt>
                <c:pt idx="52">
                  <c:v>727754.272</c:v>
                </c:pt>
                <c:pt idx="53">
                  <c:v>728396.63300000003</c:v>
                </c:pt>
                <c:pt idx="54">
                  <c:v>729252.505</c:v>
                </c:pt>
                <c:pt idx="55">
                  <c:v>730289.68200000003</c:v>
                </c:pt>
                <c:pt idx="56">
                  <c:v>731530.90899999999</c:v>
                </c:pt>
                <c:pt idx="57">
                  <c:v>732963.75600000005</c:v>
                </c:pt>
                <c:pt idx="58">
                  <c:v>734474.49</c:v>
                </c:pt>
                <c:pt idx="59">
                  <c:v>735911.17500000005</c:v>
                </c:pt>
                <c:pt idx="60">
                  <c:v>737163.58</c:v>
                </c:pt>
                <c:pt idx="61">
                  <c:v>738177.804</c:v>
                </c:pt>
                <c:pt idx="62">
                  <c:v>738976.54200000002</c:v>
                </c:pt>
                <c:pt idx="63">
                  <c:v>739621.18200000003</c:v>
                </c:pt>
                <c:pt idx="64">
                  <c:v>740210.73</c:v>
                </c:pt>
                <c:pt idx="65">
                  <c:v>740813.95900000003</c:v>
                </c:pt>
                <c:pt idx="66">
                  <c:v>741447.15800000005</c:v>
                </c:pt>
                <c:pt idx="67">
                  <c:v>742073.853</c:v>
                </c:pt>
                <c:pt idx="68">
                  <c:v>742648.01</c:v>
                </c:pt>
                <c:pt idx="69">
                  <c:v>743102.6</c:v>
                </c:pt>
                <c:pt idx="70">
                  <c:v>743390.04500000004</c:v>
                </c:pt>
                <c:pt idx="71">
                  <c:v>743496.12300000002</c:v>
                </c:pt>
                <c:pt idx="72">
                  <c:v>743438.071</c:v>
                </c:pt>
                <c:pt idx="73">
                  <c:v>743238.04399999999</c:v>
                </c:pt>
                <c:pt idx="74">
                  <c:v>742931.10800000001</c:v>
                </c:pt>
                <c:pt idx="75">
                  <c:v>742543.94299999997</c:v>
                </c:pt>
                <c:pt idx="76">
                  <c:v>742084.45499999996</c:v>
                </c:pt>
                <c:pt idx="77">
                  <c:v>741547.81099999999</c:v>
                </c:pt>
                <c:pt idx="78">
                  <c:v>740933.049</c:v>
                </c:pt>
                <c:pt idx="79">
                  <c:v>740236.03799999994</c:v>
                </c:pt>
                <c:pt idx="80">
                  <c:v>739455.61800000002</c:v>
                </c:pt>
                <c:pt idx="81">
                  <c:v>738594.64899999998</c:v>
                </c:pt>
                <c:pt idx="82">
                  <c:v>737662.13300000003</c:v>
                </c:pt>
                <c:pt idx="83">
                  <c:v>736669.55799999996</c:v>
                </c:pt>
                <c:pt idx="84">
                  <c:v>735631.39899999998</c:v>
                </c:pt>
                <c:pt idx="85">
                  <c:v>734559.25899999996</c:v>
                </c:pt>
                <c:pt idx="86">
                  <c:v>733458.05900000001</c:v>
                </c:pt>
                <c:pt idx="87">
                  <c:v>732329.79</c:v>
                </c:pt>
                <c:pt idx="88">
                  <c:v>731178.88800000004</c:v>
                </c:pt>
                <c:pt idx="89">
                  <c:v>730009.26100000006</c:v>
                </c:pt>
                <c:pt idx="90">
                  <c:v>728823.37300000002</c:v>
                </c:pt>
                <c:pt idx="91">
                  <c:v>727623.603</c:v>
                </c:pt>
                <c:pt idx="92">
                  <c:v>726409.81799999997</c:v>
                </c:pt>
                <c:pt idx="93">
                  <c:v>725178.43200000003</c:v>
                </c:pt>
                <c:pt idx="94">
                  <c:v>723923.91599999997</c:v>
                </c:pt>
                <c:pt idx="95">
                  <c:v>722641.29599999997</c:v>
                </c:pt>
                <c:pt idx="96">
                  <c:v>721330.28200000001</c:v>
                </c:pt>
                <c:pt idx="97">
                  <c:v>719989.73100000003</c:v>
                </c:pt>
                <c:pt idx="98">
                  <c:v>718613.11199999996</c:v>
                </c:pt>
                <c:pt idx="99">
                  <c:v>717192.18500000006</c:v>
                </c:pt>
                <c:pt idx="100">
                  <c:v>715721.01399999997</c:v>
                </c:pt>
                <c:pt idx="101">
                  <c:v>714198.65</c:v>
                </c:pt>
                <c:pt idx="102">
                  <c:v>712626.79099999997</c:v>
                </c:pt>
                <c:pt idx="103">
                  <c:v>711006.29299999995</c:v>
                </c:pt>
                <c:pt idx="104">
                  <c:v>709338.97</c:v>
                </c:pt>
                <c:pt idx="105">
                  <c:v>707627.72699999996</c:v>
                </c:pt>
                <c:pt idx="106">
                  <c:v>705874.90599999996</c:v>
                </c:pt>
                <c:pt idx="107">
                  <c:v>704084.68</c:v>
                </c:pt>
                <c:pt idx="108">
                  <c:v>702264.549</c:v>
                </c:pt>
                <c:pt idx="109">
                  <c:v>700423.79399999999</c:v>
                </c:pt>
                <c:pt idx="110">
                  <c:v>698571.10800000001</c:v>
                </c:pt>
                <c:pt idx="111">
                  <c:v>696711.60600000003</c:v>
                </c:pt>
                <c:pt idx="112">
                  <c:v>694850.97</c:v>
                </c:pt>
                <c:pt idx="113">
                  <c:v>692999.22100000002</c:v>
                </c:pt>
                <c:pt idx="114">
                  <c:v>691167.49100000004</c:v>
                </c:pt>
                <c:pt idx="115">
                  <c:v>689365.38600000006</c:v>
                </c:pt>
                <c:pt idx="116">
                  <c:v>687598.853</c:v>
                </c:pt>
                <c:pt idx="117">
                  <c:v>685871.99800000002</c:v>
                </c:pt>
                <c:pt idx="118">
                  <c:v>684189.71799999999</c:v>
                </c:pt>
                <c:pt idx="119">
                  <c:v>682556.37199999997</c:v>
                </c:pt>
                <c:pt idx="120">
                  <c:v>680975.51899999997</c:v>
                </c:pt>
                <c:pt idx="121">
                  <c:v>679450.31400000001</c:v>
                </c:pt>
                <c:pt idx="122">
                  <c:v>677982.92099999997</c:v>
                </c:pt>
                <c:pt idx="123">
                  <c:v>676574.41899999999</c:v>
                </c:pt>
                <c:pt idx="124">
                  <c:v>675224.83799999999</c:v>
                </c:pt>
                <c:pt idx="125">
                  <c:v>673934.02599999995</c:v>
                </c:pt>
                <c:pt idx="126">
                  <c:v>672702.07900000003</c:v>
                </c:pt>
                <c:pt idx="127">
                  <c:v>671528.58499999996</c:v>
                </c:pt>
                <c:pt idx="128">
                  <c:v>670411.47499999998</c:v>
                </c:pt>
                <c:pt idx="129">
                  <c:v>669348.21</c:v>
                </c:pt>
                <c:pt idx="130">
                  <c:v>668335.80500000005</c:v>
                </c:pt>
                <c:pt idx="131">
                  <c:v>667372.24199999997</c:v>
                </c:pt>
                <c:pt idx="132">
                  <c:v>666454.87300000002</c:v>
                </c:pt>
                <c:pt idx="133">
                  <c:v>665580.42799999996</c:v>
                </c:pt>
                <c:pt idx="134">
                  <c:v>664744.995</c:v>
                </c:pt>
                <c:pt idx="135">
                  <c:v>663944.66</c:v>
                </c:pt>
                <c:pt idx="136">
                  <c:v>663176.20700000005</c:v>
                </c:pt>
                <c:pt idx="137">
                  <c:v>662435.83900000004</c:v>
                </c:pt>
                <c:pt idx="138">
                  <c:v>661718.30700000003</c:v>
                </c:pt>
                <c:pt idx="139">
                  <c:v>661017.70900000003</c:v>
                </c:pt>
                <c:pt idx="140">
                  <c:v>660328.63800000004</c:v>
                </c:pt>
                <c:pt idx="141">
                  <c:v>659646.77800000005</c:v>
                </c:pt>
                <c:pt idx="142">
                  <c:v>658968.45499999996</c:v>
                </c:pt>
                <c:pt idx="143">
                  <c:v>658290.52599999995</c:v>
                </c:pt>
                <c:pt idx="144">
                  <c:v>657609.95400000003</c:v>
                </c:pt>
                <c:pt idx="145">
                  <c:v>656923.48899999994</c:v>
                </c:pt>
                <c:pt idx="146">
                  <c:v>656227.522</c:v>
                </c:pt>
                <c:pt idx="147">
                  <c:v>655517.99699999997</c:v>
                </c:pt>
                <c:pt idx="148">
                  <c:v>654790.44799999997</c:v>
                </c:pt>
                <c:pt idx="149">
                  <c:v>654039.96499999997</c:v>
                </c:pt>
                <c:pt idx="150">
                  <c:v>653261.25199999998</c:v>
                </c:pt>
              </c:numCache>
            </c:numRef>
          </c:val>
          <c:smooth val="0"/>
          <c:extLst>
            <c:ext xmlns:c16="http://schemas.microsoft.com/office/drawing/2014/chart" uri="{C3380CC4-5D6E-409C-BE32-E72D297353CC}">
              <c16:uniqueId val="{00000002-D8B8-4049-941C-804839837573}"/>
            </c:ext>
          </c:extLst>
        </c:ser>
        <c:ser>
          <c:idx val="3"/>
          <c:order val="3"/>
          <c:tx>
            <c:strRef>
              <c:f>Sheet1!$A$14</c:f>
              <c:strCache>
                <c:ptCount val="1"/>
                <c:pt idx="0">
                  <c:v>LATIN AMERICA AND THE CARIBBEAN</c:v>
                </c:pt>
              </c:strCache>
            </c:strRef>
          </c:tx>
          <c:spPr>
            <a:ln w="15875" cap="rnd">
              <a:solidFill>
                <a:schemeClr val="tx1">
                  <a:lumMod val="65000"/>
                  <a:lumOff val="35000"/>
                </a:schemeClr>
              </a:solidFill>
              <a:prstDash val="dash"/>
              <a:round/>
            </a:ln>
            <a:effectLst/>
          </c:spPr>
          <c:marker>
            <c:symbol val="none"/>
          </c:marker>
          <c:cat>
            <c:strRef>
              <c:f>Sheet1!$B$10:$EV$10</c:f>
              <c:strCache>
                <c:ptCount val="151"/>
                <c:pt idx="0">
                  <c:v>1950</c:v>
                </c:pt>
                <c:pt idx="1">
                  <c:v>1951</c:v>
                </c:pt>
                <c:pt idx="2">
                  <c:v>1952</c:v>
                </c:pt>
                <c:pt idx="3">
                  <c:v>1953</c:v>
                </c:pt>
                <c:pt idx="4">
                  <c:v>1954</c:v>
                </c:pt>
                <c:pt idx="5">
                  <c:v>1955</c:v>
                </c:pt>
                <c:pt idx="6">
                  <c:v>1956</c:v>
                </c:pt>
                <c:pt idx="7">
                  <c:v>1957</c:v>
                </c:pt>
                <c:pt idx="8">
                  <c:v>1958</c:v>
                </c:pt>
                <c:pt idx="9">
                  <c:v>1959</c:v>
                </c:pt>
                <c:pt idx="10">
                  <c:v>1960</c:v>
                </c:pt>
                <c:pt idx="11">
                  <c:v>1961</c:v>
                </c:pt>
                <c:pt idx="12">
                  <c:v>1962</c:v>
                </c:pt>
                <c:pt idx="13">
                  <c:v>1963</c:v>
                </c:pt>
                <c:pt idx="14">
                  <c:v>1964</c:v>
                </c:pt>
                <c:pt idx="15">
                  <c:v>1965</c:v>
                </c:pt>
                <c:pt idx="16">
                  <c:v>1966</c:v>
                </c:pt>
                <c:pt idx="17">
                  <c:v>1967</c:v>
                </c:pt>
                <c:pt idx="18">
                  <c:v>1968</c:v>
                </c:pt>
                <c:pt idx="19">
                  <c:v>1969</c:v>
                </c:pt>
                <c:pt idx="20">
                  <c:v>1970</c:v>
                </c:pt>
                <c:pt idx="21">
                  <c:v>1971</c:v>
                </c:pt>
                <c:pt idx="22">
                  <c:v>1972</c:v>
                </c:pt>
                <c:pt idx="23">
                  <c:v>1973</c:v>
                </c:pt>
                <c:pt idx="24">
                  <c:v>1974</c:v>
                </c:pt>
                <c:pt idx="25">
                  <c:v>1975</c:v>
                </c:pt>
                <c:pt idx="26">
                  <c:v>1976</c:v>
                </c:pt>
                <c:pt idx="27">
                  <c:v>1977</c:v>
                </c:pt>
                <c:pt idx="28">
                  <c:v>1978</c:v>
                </c:pt>
                <c:pt idx="29">
                  <c:v>1979</c:v>
                </c:pt>
                <c:pt idx="30">
                  <c:v>1980</c:v>
                </c:pt>
                <c:pt idx="31">
                  <c:v>1981</c:v>
                </c:pt>
                <c:pt idx="32">
                  <c:v>1982</c:v>
                </c:pt>
                <c:pt idx="33">
                  <c:v>1983</c:v>
                </c:pt>
                <c:pt idx="34">
                  <c:v>1984</c:v>
                </c:pt>
                <c:pt idx="35">
                  <c:v>1985</c:v>
                </c:pt>
                <c:pt idx="36">
                  <c:v>1986</c:v>
                </c:pt>
                <c:pt idx="37">
                  <c:v>1987</c:v>
                </c:pt>
                <c:pt idx="38">
                  <c:v>1988</c:v>
                </c:pt>
                <c:pt idx="39">
                  <c:v>1989</c:v>
                </c:pt>
                <c:pt idx="40">
                  <c:v>1990</c:v>
                </c:pt>
                <c:pt idx="41">
                  <c:v>1991</c:v>
                </c:pt>
                <c:pt idx="42">
                  <c:v>1992</c:v>
                </c:pt>
                <c:pt idx="43">
                  <c:v>1993</c:v>
                </c:pt>
                <c:pt idx="44">
                  <c:v>1994</c:v>
                </c:pt>
                <c:pt idx="45">
                  <c:v>1995</c:v>
                </c:pt>
                <c:pt idx="46">
                  <c:v>1996</c:v>
                </c:pt>
                <c:pt idx="47">
                  <c:v>1997</c:v>
                </c:pt>
                <c:pt idx="48">
                  <c:v>1998</c:v>
                </c:pt>
                <c:pt idx="49">
                  <c:v>1999</c:v>
                </c:pt>
                <c:pt idx="50">
                  <c:v>2000</c:v>
                </c:pt>
                <c:pt idx="51">
                  <c:v>2001</c:v>
                </c:pt>
                <c:pt idx="52">
                  <c:v>2002</c:v>
                </c:pt>
                <c:pt idx="53">
                  <c:v>2003</c:v>
                </c:pt>
                <c:pt idx="54">
                  <c:v>2004</c:v>
                </c:pt>
                <c:pt idx="55">
                  <c:v>2005</c:v>
                </c:pt>
                <c:pt idx="56">
                  <c:v>2006</c:v>
                </c:pt>
                <c:pt idx="57">
                  <c:v>2007</c:v>
                </c:pt>
                <c:pt idx="58">
                  <c:v>2008</c:v>
                </c:pt>
                <c:pt idx="59">
                  <c:v>2009</c:v>
                </c:pt>
                <c:pt idx="60">
                  <c:v>2010</c:v>
                </c:pt>
                <c:pt idx="61">
                  <c:v>2011</c:v>
                </c:pt>
                <c:pt idx="62">
                  <c:v>2012</c:v>
                </c:pt>
                <c:pt idx="63">
                  <c:v>2013</c:v>
                </c:pt>
                <c:pt idx="64">
                  <c:v>2014</c:v>
                </c:pt>
                <c:pt idx="65">
                  <c:v>2015</c:v>
                </c:pt>
                <c:pt idx="66">
                  <c:v>2016</c:v>
                </c:pt>
                <c:pt idx="67">
                  <c:v>2017</c:v>
                </c:pt>
                <c:pt idx="68">
                  <c:v>2018</c:v>
                </c:pt>
                <c:pt idx="69">
                  <c:v>2019</c:v>
                </c:pt>
                <c:pt idx="70">
                  <c:v>2020</c:v>
                </c:pt>
                <c:pt idx="71">
                  <c:v>2021</c:v>
                </c:pt>
                <c:pt idx="72">
                  <c:v>2022</c:v>
                </c:pt>
                <c:pt idx="73">
                  <c:v>2023</c:v>
                </c:pt>
                <c:pt idx="74">
                  <c:v>2024</c:v>
                </c:pt>
                <c:pt idx="75">
                  <c:v>2025</c:v>
                </c:pt>
                <c:pt idx="76">
                  <c:v>2026</c:v>
                </c:pt>
                <c:pt idx="77">
                  <c:v>2027</c:v>
                </c:pt>
                <c:pt idx="78">
                  <c:v>2028</c:v>
                </c:pt>
                <c:pt idx="79">
                  <c:v>2029</c:v>
                </c:pt>
                <c:pt idx="80">
                  <c:v>2030</c:v>
                </c:pt>
                <c:pt idx="81">
                  <c:v>2031</c:v>
                </c:pt>
                <c:pt idx="82">
                  <c:v>2032</c:v>
                </c:pt>
                <c:pt idx="83">
                  <c:v>2033</c:v>
                </c:pt>
                <c:pt idx="84">
                  <c:v>2034</c:v>
                </c:pt>
                <c:pt idx="85">
                  <c:v>2035</c:v>
                </c:pt>
                <c:pt idx="86">
                  <c:v>2036</c:v>
                </c:pt>
                <c:pt idx="87">
                  <c:v>2037</c:v>
                </c:pt>
                <c:pt idx="88">
                  <c:v>2038</c:v>
                </c:pt>
                <c:pt idx="89">
                  <c:v>2039</c:v>
                </c:pt>
                <c:pt idx="90">
                  <c:v>2040</c:v>
                </c:pt>
                <c:pt idx="91">
                  <c:v>2041</c:v>
                </c:pt>
                <c:pt idx="92">
                  <c:v>2042</c:v>
                </c:pt>
                <c:pt idx="93">
                  <c:v>2043</c:v>
                </c:pt>
                <c:pt idx="94">
                  <c:v>2044</c:v>
                </c:pt>
                <c:pt idx="95">
                  <c:v>2045</c:v>
                </c:pt>
                <c:pt idx="96">
                  <c:v>2046</c:v>
                </c:pt>
                <c:pt idx="97">
                  <c:v>2047</c:v>
                </c:pt>
                <c:pt idx="98">
                  <c:v>2048</c:v>
                </c:pt>
                <c:pt idx="99">
                  <c:v>2049</c:v>
                </c:pt>
                <c:pt idx="100">
                  <c:v>2050</c:v>
                </c:pt>
                <c:pt idx="101">
                  <c:v>2051</c:v>
                </c:pt>
                <c:pt idx="102">
                  <c:v>2052</c:v>
                </c:pt>
                <c:pt idx="103">
                  <c:v>2053</c:v>
                </c:pt>
                <c:pt idx="104">
                  <c:v>2054</c:v>
                </c:pt>
                <c:pt idx="105">
                  <c:v>2055</c:v>
                </c:pt>
                <c:pt idx="106">
                  <c:v>2056</c:v>
                </c:pt>
                <c:pt idx="107">
                  <c:v>2057</c:v>
                </c:pt>
                <c:pt idx="108">
                  <c:v>2058</c:v>
                </c:pt>
                <c:pt idx="109">
                  <c:v>2059</c:v>
                </c:pt>
                <c:pt idx="110">
                  <c:v>2060</c:v>
                </c:pt>
                <c:pt idx="111">
                  <c:v>2061</c:v>
                </c:pt>
                <c:pt idx="112">
                  <c:v>2062</c:v>
                </c:pt>
                <c:pt idx="113">
                  <c:v>2063</c:v>
                </c:pt>
                <c:pt idx="114">
                  <c:v>2064</c:v>
                </c:pt>
                <c:pt idx="115">
                  <c:v>2065</c:v>
                </c:pt>
                <c:pt idx="116">
                  <c:v>2066</c:v>
                </c:pt>
                <c:pt idx="117">
                  <c:v>2067</c:v>
                </c:pt>
                <c:pt idx="118">
                  <c:v>2068</c:v>
                </c:pt>
                <c:pt idx="119">
                  <c:v>2069</c:v>
                </c:pt>
                <c:pt idx="120">
                  <c:v>2070</c:v>
                </c:pt>
                <c:pt idx="121">
                  <c:v>2071</c:v>
                </c:pt>
                <c:pt idx="122">
                  <c:v>2072</c:v>
                </c:pt>
                <c:pt idx="123">
                  <c:v>2073</c:v>
                </c:pt>
                <c:pt idx="124">
                  <c:v>2074</c:v>
                </c:pt>
                <c:pt idx="125">
                  <c:v>2075</c:v>
                </c:pt>
                <c:pt idx="126">
                  <c:v>2076</c:v>
                </c:pt>
                <c:pt idx="127">
                  <c:v>2077</c:v>
                </c:pt>
                <c:pt idx="128">
                  <c:v>2078</c:v>
                </c:pt>
                <c:pt idx="129">
                  <c:v>2079</c:v>
                </c:pt>
                <c:pt idx="130">
                  <c:v>2080</c:v>
                </c:pt>
                <c:pt idx="131">
                  <c:v>2081</c:v>
                </c:pt>
                <c:pt idx="132">
                  <c:v>2082</c:v>
                </c:pt>
                <c:pt idx="133">
                  <c:v>2083</c:v>
                </c:pt>
                <c:pt idx="134">
                  <c:v>2084</c:v>
                </c:pt>
                <c:pt idx="135">
                  <c:v>2085</c:v>
                </c:pt>
                <c:pt idx="136">
                  <c:v>2086</c:v>
                </c:pt>
                <c:pt idx="137">
                  <c:v>2087</c:v>
                </c:pt>
                <c:pt idx="138">
                  <c:v>2088</c:v>
                </c:pt>
                <c:pt idx="139">
                  <c:v>2089</c:v>
                </c:pt>
                <c:pt idx="140">
                  <c:v>2090</c:v>
                </c:pt>
                <c:pt idx="141">
                  <c:v>2091</c:v>
                </c:pt>
                <c:pt idx="142">
                  <c:v>2092</c:v>
                </c:pt>
                <c:pt idx="143">
                  <c:v>2093</c:v>
                </c:pt>
                <c:pt idx="144">
                  <c:v>2094</c:v>
                </c:pt>
                <c:pt idx="145">
                  <c:v>2095</c:v>
                </c:pt>
                <c:pt idx="146">
                  <c:v>2096</c:v>
                </c:pt>
                <c:pt idx="147">
                  <c:v>2097</c:v>
                </c:pt>
                <c:pt idx="148">
                  <c:v>2098</c:v>
                </c:pt>
                <c:pt idx="149">
                  <c:v>2099</c:v>
                </c:pt>
                <c:pt idx="150">
                  <c:v>2100</c:v>
                </c:pt>
              </c:strCache>
            </c:strRef>
          </c:cat>
          <c:val>
            <c:numRef>
              <c:f>Sheet1!$B$14:$EV$14</c:f>
              <c:numCache>
                <c:formatCode>#\ ###\ ###\ ##0;\-#\ ###\ ###\ ##0;0</c:formatCode>
                <c:ptCount val="151"/>
                <c:pt idx="0">
                  <c:v>168917.693</c:v>
                </c:pt>
                <c:pt idx="1">
                  <c:v>173497.12599999999</c:v>
                </c:pt>
                <c:pt idx="2">
                  <c:v>178233.93599999999</c:v>
                </c:pt>
                <c:pt idx="3">
                  <c:v>183107.43599999999</c:v>
                </c:pt>
                <c:pt idx="4">
                  <c:v>188105.27299999999</c:v>
                </c:pt>
                <c:pt idx="5">
                  <c:v>193223.682</c:v>
                </c:pt>
                <c:pt idx="6">
                  <c:v>198467.73</c:v>
                </c:pt>
                <c:pt idx="7">
                  <c:v>203850.83100000001</c:v>
                </c:pt>
                <c:pt idx="8">
                  <c:v>209393.36900000001</c:v>
                </c:pt>
                <c:pt idx="9">
                  <c:v>215119.74400000001</c:v>
                </c:pt>
                <c:pt idx="10">
                  <c:v>221050.541</c:v>
                </c:pt>
                <c:pt idx="11">
                  <c:v>227193.80799999999</c:v>
                </c:pt>
                <c:pt idx="12">
                  <c:v>233537.69399999999</c:v>
                </c:pt>
                <c:pt idx="13">
                  <c:v>240046.97500000001</c:v>
                </c:pt>
                <c:pt idx="14">
                  <c:v>246672.717</c:v>
                </c:pt>
                <c:pt idx="15">
                  <c:v>253378.16</c:v>
                </c:pt>
                <c:pt idx="16">
                  <c:v>260148.65900000001</c:v>
                </c:pt>
                <c:pt idx="17">
                  <c:v>266990.56800000003</c:v>
                </c:pt>
                <c:pt idx="18">
                  <c:v>273914.30300000001</c:v>
                </c:pt>
                <c:pt idx="19">
                  <c:v>280939.03499999997</c:v>
                </c:pt>
                <c:pt idx="20">
                  <c:v>288077.45199999999</c:v>
                </c:pt>
                <c:pt idx="21">
                  <c:v>295329.89600000001</c:v>
                </c:pt>
                <c:pt idx="22">
                  <c:v>302686.18800000002</c:v>
                </c:pt>
                <c:pt idx="23">
                  <c:v>310136.41200000001</c:v>
                </c:pt>
                <c:pt idx="24">
                  <c:v>317666.95299999998</c:v>
                </c:pt>
                <c:pt idx="25">
                  <c:v>325267.48499999999</c:v>
                </c:pt>
                <c:pt idx="26">
                  <c:v>332929.511</c:v>
                </c:pt>
                <c:pt idx="27">
                  <c:v>340652.97600000002</c:v>
                </c:pt>
                <c:pt idx="28">
                  <c:v>348445.87400000001</c:v>
                </c:pt>
                <c:pt idx="29">
                  <c:v>356320.90399999998</c:v>
                </c:pt>
                <c:pt idx="30">
                  <c:v>364284.30499999999</c:v>
                </c:pt>
                <c:pt idx="31">
                  <c:v>372337.98100000003</c:v>
                </c:pt>
                <c:pt idx="32">
                  <c:v>380469.74699999997</c:v>
                </c:pt>
                <c:pt idx="33">
                  <c:v>388654.56199999998</c:v>
                </c:pt>
                <c:pt idx="34">
                  <c:v>396859.511</c:v>
                </c:pt>
                <c:pt idx="35">
                  <c:v>405059.62099999998</c:v>
                </c:pt>
                <c:pt idx="36">
                  <c:v>413238.72100000002</c:v>
                </c:pt>
                <c:pt idx="37">
                  <c:v>421398.06900000002</c:v>
                </c:pt>
                <c:pt idx="38">
                  <c:v>429551.19300000003</c:v>
                </c:pt>
                <c:pt idx="39">
                  <c:v>437720.60100000002</c:v>
                </c:pt>
                <c:pt idx="40">
                  <c:v>445919.20899999997</c:v>
                </c:pt>
                <c:pt idx="41">
                  <c:v>454146.50400000002</c:v>
                </c:pt>
                <c:pt idx="42">
                  <c:v>462384.12300000002</c:v>
                </c:pt>
                <c:pt idx="43">
                  <c:v>470605.185</c:v>
                </c:pt>
                <c:pt idx="44">
                  <c:v>478774.19500000001</c:v>
                </c:pt>
                <c:pt idx="45">
                  <c:v>486862.56199999998</c:v>
                </c:pt>
                <c:pt idx="46">
                  <c:v>494867.21899999998</c:v>
                </c:pt>
                <c:pt idx="47">
                  <c:v>502786.73200000002</c:v>
                </c:pt>
                <c:pt idx="48">
                  <c:v>510597.435</c:v>
                </c:pt>
                <c:pt idx="49">
                  <c:v>518271.92599999998</c:v>
                </c:pt>
                <c:pt idx="50">
                  <c:v>525794.973</c:v>
                </c:pt>
                <c:pt idx="51">
                  <c:v>533150.54799999995</c:v>
                </c:pt>
                <c:pt idx="52">
                  <c:v>540353.64599999995</c:v>
                </c:pt>
                <c:pt idx="53">
                  <c:v>547458.82499999995</c:v>
                </c:pt>
                <c:pt idx="54">
                  <c:v>554541.43599999999</c:v>
                </c:pt>
                <c:pt idx="55">
                  <c:v>561655.87100000004</c:v>
                </c:pt>
                <c:pt idx="56">
                  <c:v>568818.53899999999</c:v>
                </c:pt>
                <c:pt idx="57">
                  <c:v>576013.49399999995</c:v>
                </c:pt>
                <c:pt idx="58">
                  <c:v>583222.304</c:v>
                </c:pt>
                <c:pt idx="59">
                  <c:v>590413.65800000005</c:v>
                </c:pt>
                <c:pt idx="60">
                  <c:v>597561.53</c:v>
                </c:pt>
                <c:pt idx="61">
                  <c:v>604661.71400000004</c:v>
                </c:pt>
                <c:pt idx="62">
                  <c:v>611713.89500000002</c:v>
                </c:pt>
                <c:pt idx="63">
                  <c:v>618698.84600000002</c:v>
                </c:pt>
                <c:pt idx="64">
                  <c:v>625593.92200000002</c:v>
                </c:pt>
                <c:pt idx="65">
                  <c:v>632380.83100000001</c:v>
                </c:pt>
                <c:pt idx="66">
                  <c:v>639048.63899999997</c:v>
                </c:pt>
                <c:pt idx="67">
                  <c:v>645593.25300000003</c:v>
                </c:pt>
                <c:pt idx="68">
                  <c:v>652012.00100000005</c:v>
                </c:pt>
                <c:pt idx="69">
                  <c:v>658305.55700000003</c:v>
                </c:pt>
                <c:pt idx="70">
                  <c:v>664473.53799999994</c:v>
                </c:pt>
                <c:pt idx="71">
                  <c:v>670510.98800000001</c:v>
                </c:pt>
                <c:pt idx="72">
                  <c:v>676412.10699999996</c:v>
                </c:pt>
                <c:pt idx="73">
                  <c:v>682175.04700000002</c:v>
                </c:pt>
                <c:pt idx="74">
                  <c:v>687798.80599999998</c:v>
                </c:pt>
                <c:pt idx="75">
                  <c:v>693281.87800000003</c:v>
                </c:pt>
                <c:pt idx="76">
                  <c:v>698622.32499999995</c:v>
                </c:pt>
                <c:pt idx="77">
                  <c:v>703817.03799999994</c:v>
                </c:pt>
                <c:pt idx="78">
                  <c:v>708861.85400000005</c:v>
                </c:pt>
                <c:pt idx="79">
                  <c:v>713751.86600000004</c:v>
                </c:pt>
                <c:pt idx="80">
                  <c:v>718483.39099999995</c:v>
                </c:pt>
                <c:pt idx="81">
                  <c:v>723054.18400000001</c:v>
                </c:pt>
                <c:pt idx="82">
                  <c:v>727463.81499999994</c:v>
                </c:pt>
                <c:pt idx="83">
                  <c:v>731712.93400000001</c:v>
                </c:pt>
                <c:pt idx="84">
                  <c:v>735803.28200000001</c:v>
                </c:pt>
                <c:pt idx="85">
                  <c:v>739736.02899999998</c:v>
                </c:pt>
                <c:pt idx="86">
                  <c:v>743511.07</c:v>
                </c:pt>
                <c:pt idx="87">
                  <c:v>747127.62399999995</c:v>
                </c:pt>
                <c:pt idx="88">
                  <c:v>750585.78</c:v>
                </c:pt>
                <c:pt idx="89">
                  <c:v>753885.51</c:v>
                </c:pt>
                <c:pt idx="90">
                  <c:v>757027.01300000004</c:v>
                </c:pt>
                <c:pt idx="91">
                  <c:v>760010.54200000002</c:v>
                </c:pt>
                <c:pt idx="92">
                  <c:v>762836.54</c:v>
                </c:pt>
                <c:pt idx="93">
                  <c:v>765505.45200000005</c:v>
                </c:pt>
                <c:pt idx="94">
                  <c:v>768017.83900000004</c:v>
                </c:pt>
                <c:pt idx="95">
                  <c:v>770374.33299999998</c:v>
                </c:pt>
                <c:pt idx="96">
                  <c:v>772575.30900000001</c:v>
                </c:pt>
                <c:pt idx="97">
                  <c:v>774621.37199999997</c:v>
                </c:pt>
                <c:pt idx="98">
                  <c:v>776513.54500000004</c:v>
                </c:pt>
                <c:pt idx="99">
                  <c:v>778253.147</c:v>
                </c:pt>
                <c:pt idx="100">
                  <c:v>779841.201</c:v>
                </c:pt>
                <c:pt idx="101">
                  <c:v>781278.88500000001</c:v>
                </c:pt>
                <c:pt idx="102">
                  <c:v>782566.52500000002</c:v>
                </c:pt>
                <c:pt idx="103">
                  <c:v>783703.57499999995</c:v>
                </c:pt>
                <c:pt idx="104">
                  <c:v>784689.12100000004</c:v>
                </c:pt>
                <c:pt idx="105">
                  <c:v>785522.68799999997</c:v>
                </c:pt>
                <c:pt idx="106">
                  <c:v>786205.26300000004</c:v>
                </c:pt>
                <c:pt idx="107">
                  <c:v>786738.38899999997</c:v>
                </c:pt>
                <c:pt idx="108">
                  <c:v>787123.43700000003</c:v>
                </c:pt>
                <c:pt idx="109">
                  <c:v>787362.28099999996</c:v>
                </c:pt>
                <c:pt idx="110">
                  <c:v>787456.6</c:v>
                </c:pt>
                <c:pt idx="111">
                  <c:v>787408.38100000005</c:v>
                </c:pt>
                <c:pt idx="112">
                  <c:v>787219.72499999998</c:v>
                </c:pt>
                <c:pt idx="113">
                  <c:v>786893.23300000001</c:v>
                </c:pt>
                <c:pt idx="114">
                  <c:v>786431.59100000001</c:v>
                </c:pt>
                <c:pt idx="115">
                  <c:v>785837.89599999995</c:v>
                </c:pt>
                <c:pt idx="116">
                  <c:v>785114.98</c:v>
                </c:pt>
                <c:pt idx="117">
                  <c:v>784266.08200000005</c:v>
                </c:pt>
                <c:pt idx="118">
                  <c:v>783294.473</c:v>
                </c:pt>
                <c:pt idx="119">
                  <c:v>782203.51100000006</c:v>
                </c:pt>
                <c:pt idx="120">
                  <c:v>780996.95200000005</c:v>
                </c:pt>
                <c:pt idx="121">
                  <c:v>779678.07700000005</c:v>
                </c:pt>
                <c:pt idx="122">
                  <c:v>778251.01199999999</c:v>
                </c:pt>
                <c:pt idx="123">
                  <c:v>776720.85600000003</c:v>
                </c:pt>
                <c:pt idx="124">
                  <c:v>775093.397</c:v>
                </c:pt>
                <c:pt idx="125">
                  <c:v>773373.85900000005</c:v>
                </c:pt>
                <c:pt idx="126">
                  <c:v>771566.73499999999</c:v>
                </c:pt>
                <c:pt idx="127">
                  <c:v>769675.75300000003</c:v>
                </c:pt>
                <c:pt idx="128">
                  <c:v>767704.19</c:v>
                </c:pt>
                <c:pt idx="129">
                  <c:v>765655.15599999996</c:v>
                </c:pt>
                <c:pt idx="130">
                  <c:v>763531.86199999996</c:v>
                </c:pt>
                <c:pt idx="131">
                  <c:v>761338.43900000001</c:v>
                </c:pt>
                <c:pt idx="132">
                  <c:v>759079.26500000001</c:v>
                </c:pt>
                <c:pt idx="133">
                  <c:v>756758.90899999999</c:v>
                </c:pt>
                <c:pt idx="134">
                  <c:v>754382.08200000005</c:v>
                </c:pt>
                <c:pt idx="135">
                  <c:v>751953.35600000003</c:v>
                </c:pt>
                <c:pt idx="136">
                  <c:v>749476.71699999995</c:v>
                </c:pt>
                <c:pt idx="137">
                  <c:v>746956.06</c:v>
                </c:pt>
                <c:pt idx="138">
                  <c:v>744396.35900000005</c:v>
                </c:pt>
                <c:pt idx="139">
                  <c:v>741802.87399999995</c:v>
                </c:pt>
                <c:pt idx="140">
                  <c:v>739180.41200000001</c:v>
                </c:pt>
                <c:pt idx="141">
                  <c:v>736532.71400000004</c:v>
                </c:pt>
                <c:pt idx="142">
                  <c:v>733862.94700000004</c:v>
                </c:pt>
                <c:pt idx="143">
                  <c:v>731173.77399999998</c:v>
                </c:pt>
                <c:pt idx="144">
                  <c:v>728467.49100000004</c:v>
                </c:pt>
                <c:pt idx="145">
                  <c:v>725746.51599999995</c:v>
                </c:pt>
                <c:pt idx="146">
                  <c:v>723013.39399999997</c:v>
                </c:pt>
                <c:pt idx="147">
                  <c:v>720270.58200000005</c:v>
                </c:pt>
                <c:pt idx="148">
                  <c:v>717520.91299999994</c:v>
                </c:pt>
                <c:pt idx="149">
                  <c:v>714767.28099999996</c:v>
                </c:pt>
                <c:pt idx="150">
                  <c:v>712012.63600000006</c:v>
                </c:pt>
              </c:numCache>
            </c:numRef>
          </c:val>
          <c:smooth val="0"/>
          <c:extLst>
            <c:ext xmlns:c16="http://schemas.microsoft.com/office/drawing/2014/chart" uri="{C3380CC4-5D6E-409C-BE32-E72D297353CC}">
              <c16:uniqueId val="{00000003-D8B8-4049-941C-804839837573}"/>
            </c:ext>
          </c:extLst>
        </c:ser>
        <c:ser>
          <c:idx val="4"/>
          <c:order val="4"/>
          <c:tx>
            <c:strRef>
              <c:f>Sheet1!$A$15</c:f>
              <c:strCache>
                <c:ptCount val="1"/>
                <c:pt idx="0">
                  <c:v>NORTHERN AMERICA</c:v>
                </c:pt>
              </c:strCache>
            </c:strRef>
          </c:tx>
          <c:spPr>
            <a:ln w="15875" cap="rnd">
              <a:solidFill>
                <a:schemeClr val="tx1">
                  <a:lumMod val="50000"/>
                  <a:lumOff val="50000"/>
                </a:schemeClr>
              </a:solidFill>
              <a:prstDash val="sysDash"/>
              <a:round/>
            </a:ln>
            <a:effectLst/>
          </c:spPr>
          <c:marker>
            <c:symbol val="none"/>
          </c:marker>
          <c:cat>
            <c:strRef>
              <c:f>Sheet1!$B$10:$EV$10</c:f>
              <c:strCache>
                <c:ptCount val="151"/>
                <c:pt idx="0">
                  <c:v>1950</c:v>
                </c:pt>
                <c:pt idx="1">
                  <c:v>1951</c:v>
                </c:pt>
                <c:pt idx="2">
                  <c:v>1952</c:v>
                </c:pt>
                <c:pt idx="3">
                  <c:v>1953</c:v>
                </c:pt>
                <c:pt idx="4">
                  <c:v>1954</c:v>
                </c:pt>
                <c:pt idx="5">
                  <c:v>1955</c:v>
                </c:pt>
                <c:pt idx="6">
                  <c:v>1956</c:v>
                </c:pt>
                <c:pt idx="7">
                  <c:v>1957</c:v>
                </c:pt>
                <c:pt idx="8">
                  <c:v>1958</c:v>
                </c:pt>
                <c:pt idx="9">
                  <c:v>1959</c:v>
                </c:pt>
                <c:pt idx="10">
                  <c:v>1960</c:v>
                </c:pt>
                <c:pt idx="11">
                  <c:v>1961</c:v>
                </c:pt>
                <c:pt idx="12">
                  <c:v>1962</c:v>
                </c:pt>
                <c:pt idx="13">
                  <c:v>1963</c:v>
                </c:pt>
                <c:pt idx="14">
                  <c:v>1964</c:v>
                </c:pt>
                <c:pt idx="15">
                  <c:v>1965</c:v>
                </c:pt>
                <c:pt idx="16">
                  <c:v>1966</c:v>
                </c:pt>
                <c:pt idx="17">
                  <c:v>1967</c:v>
                </c:pt>
                <c:pt idx="18">
                  <c:v>1968</c:v>
                </c:pt>
                <c:pt idx="19">
                  <c:v>1969</c:v>
                </c:pt>
                <c:pt idx="20">
                  <c:v>1970</c:v>
                </c:pt>
                <c:pt idx="21">
                  <c:v>1971</c:v>
                </c:pt>
                <c:pt idx="22">
                  <c:v>1972</c:v>
                </c:pt>
                <c:pt idx="23">
                  <c:v>1973</c:v>
                </c:pt>
                <c:pt idx="24">
                  <c:v>1974</c:v>
                </c:pt>
                <c:pt idx="25">
                  <c:v>1975</c:v>
                </c:pt>
                <c:pt idx="26">
                  <c:v>1976</c:v>
                </c:pt>
                <c:pt idx="27">
                  <c:v>1977</c:v>
                </c:pt>
                <c:pt idx="28">
                  <c:v>1978</c:v>
                </c:pt>
                <c:pt idx="29">
                  <c:v>1979</c:v>
                </c:pt>
                <c:pt idx="30">
                  <c:v>1980</c:v>
                </c:pt>
                <c:pt idx="31">
                  <c:v>1981</c:v>
                </c:pt>
                <c:pt idx="32">
                  <c:v>1982</c:v>
                </c:pt>
                <c:pt idx="33">
                  <c:v>1983</c:v>
                </c:pt>
                <c:pt idx="34">
                  <c:v>1984</c:v>
                </c:pt>
                <c:pt idx="35">
                  <c:v>1985</c:v>
                </c:pt>
                <c:pt idx="36">
                  <c:v>1986</c:v>
                </c:pt>
                <c:pt idx="37">
                  <c:v>1987</c:v>
                </c:pt>
                <c:pt idx="38">
                  <c:v>1988</c:v>
                </c:pt>
                <c:pt idx="39">
                  <c:v>1989</c:v>
                </c:pt>
                <c:pt idx="40">
                  <c:v>1990</c:v>
                </c:pt>
                <c:pt idx="41">
                  <c:v>1991</c:v>
                </c:pt>
                <c:pt idx="42">
                  <c:v>1992</c:v>
                </c:pt>
                <c:pt idx="43">
                  <c:v>1993</c:v>
                </c:pt>
                <c:pt idx="44">
                  <c:v>1994</c:v>
                </c:pt>
                <c:pt idx="45">
                  <c:v>1995</c:v>
                </c:pt>
                <c:pt idx="46">
                  <c:v>1996</c:v>
                </c:pt>
                <c:pt idx="47">
                  <c:v>1997</c:v>
                </c:pt>
                <c:pt idx="48">
                  <c:v>1998</c:v>
                </c:pt>
                <c:pt idx="49">
                  <c:v>1999</c:v>
                </c:pt>
                <c:pt idx="50">
                  <c:v>2000</c:v>
                </c:pt>
                <c:pt idx="51">
                  <c:v>2001</c:v>
                </c:pt>
                <c:pt idx="52">
                  <c:v>2002</c:v>
                </c:pt>
                <c:pt idx="53">
                  <c:v>2003</c:v>
                </c:pt>
                <c:pt idx="54">
                  <c:v>2004</c:v>
                </c:pt>
                <c:pt idx="55">
                  <c:v>2005</c:v>
                </c:pt>
                <c:pt idx="56">
                  <c:v>2006</c:v>
                </c:pt>
                <c:pt idx="57">
                  <c:v>2007</c:v>
                </c:pt>
                <c:pt idx="58">
                  <c:v>2008</c:v>
                </c:pt>
                <c:pt idx="59">
                  <c:v>2009</c:v>
                </c:pt>
                <c:pt idx="60">
                  <c:v>2010</c:v>
                </c:pt>
                <c:pt idx="61">
                  <c:v>2011</c:v>
                </c:pt>
                <c:pt idx="62">
                  <c:v>2012</c:v>
                </c:pt>
                <c:pt idx="63">
                  <c:v>2013</c:v>
                </c:pt>
                <c:pt idx="64">
                  <c:v>2014</c:v>
                </c:pt>
                <c:pt idx="65">
                  <c:v>2015</c:v>
                </c:pt>
                <c:pt idx="66">
                  <c:v>2016</c:v>
                </c:pt>
                <c:pt idx="67">
                  <c:v>2017</c:v>
                </c:pt>
                <c:pt idx="68">
                  <c:v>2018</c:v>
                </c:pt>
                <c:pt idx="69">
                  <c:v>2019</c:v>
                </c:pt>
                <c:pt idx="70">
                  <c:v>2020</c:v>
                </c:pt>
                <c:pt idx="71">
                  <c:v>2021</c:v>
                </c:pt>
                <c:pt idx="72">
                  <c:v>2022</c:v>
                </c:pt>
                <c:pt idx="73">
                  <c:v>2023</c:v>
                </c:pt>
                <c:pt idx="74">
                  <c:v>2024</c:v>
                </c:pt>
                <c:pt idx="75">
                  <c:v>2025</c:v>
                </c:pt>
                <c:pt idx="76">
                  <c:v>2026</c:v>
                </c:pt>
                <c:pt idx="77">
                  <c:v>2027</c:v>
                </c:pt>
                <c:pt idx="78">
                  <c:v>2028</c:v>
                </c:pt>
                <c:pt idx="79">
                  <c:v>2029</c:v>
                </c:pt>
                <c:pt idx="80">
                  <c:v>2030</c:v>
                </c:pt>
                <c:pt idx="81">
                  <c:v>2031</c:v>
                </c:pt>
                <c:pt idx="82">
                  <c:v>2032</c:v>
                </c:pt>
                <c:pt idx="83">
                  <c:v>2033</c:v>
                </c:pt>
                <c:pt idx="84">
                  <c:v>2034</c:v>
                </c:pt>
                <c:pt idx="85">
                  <c:v>2035</c:v>
                </c:pt>
                <c:pt idx="86">
                  <c:v>2036</c:v>
                </c:pt>
                <c:pt idx="87">
                  <c:v>2037</c:v>
                </c:pt>
                <c:pt idx="88">
                  <c:v>2038</c:v>
                </c:pt>
                <c:pt idx="89">
                  <c:v>2039</c:v>
                </c:pt>
                <c:pt idx="90">
                  <c:v>2040</c:v>
                </c:pt>
                <c:pt idx="91">
                  <c:v>2041</c:v>
                </c:pt>
                <c:pt idx="92">
                  <c:v>2042</c:v>
                </c:pt>
                <c:pt idx="93">
                  <c:v>2043</c:v>
                </c:pt>
                <c:pt idx="94">
                  <c:v>2044</c:v>
                </c:pt>
                <c:pt idx="95">
                  <c:v>2045</c:v>
                </c:pt>
                <c:pt idx="96">
                  <c:v>2046</c:v>
                </c:pt>
                <c:pt idx="97">
                  <c:v>2047</c:v>
                </c:pt>
                <c:pt idx="98">
                  <c:v>2048</c:v>
                </c:pt>
                <c:pt idx="99">
                  <c:v>2049</c:v>
                </c:pt>
                <c:pt idx="100">
                  <c:v>2050</c:v>
                </c:pt>
                <c:pt idx="101">
                  <c:v>2051</c:v>
                </c:pt>
                <c:pt idx="102">
                  <c:v>2052</c:v>
                </c:pt>
                <c:pt idx="103">
                  <c:v>2053</c:v>
                </c:pt>
                <c:pt idx="104">
                  <c:v>2054</c:v>
                </c:pt>
                <c:pt idx="105">
                  <c:v>2055</c:v>
                </c:pt>
                <c:pt idx="106">
                  <c:v>2056</c:v>
                </c:pt>
                <c:pt idx="107">
                  <c:v>2057</c:v>
                </c:pt>
                <c:pt idx="108">
                  <c:v>2058</c:v>
                </c:pt>
                <c:pt idx="109">
                  <c:v>2059</c:v>
                </c:pt>
                <c:pt idx="110">
                  <c:v>2060</c:v>
                </c:pt>
                <c:pt idx="111">
                  <c:v>2061</c:v>
                </c:pt>
                <c:pt idx="112">
                  <c:v>2062</c:v>
                </c:pt>
                <c:pt idx="113">
                  <c:v>2063</c:v>
                </c:pt>
                <c:pt idx="114">
                  <c:v>2064</c:v>
                </c:pt>
                <c:pt idx="115">
                  <c:v>2065</c:v>
                </c:pt>
                <c:pt idx="116">
                  <c:v>2066</c:v>
                </c:pt>
                <c:pt idx="117">
                  <c:v>2067</c:v>
                </c:pt>
                <c:pt idx="118">
                  <c:v>2068</c:v>
                </c:pt>
                <c:pt idx="119">
                  <c:v>2069</c:v>
                </c:pt>
                <c:pt idx="120">
                  <c:v>2070</c:v>
                </c:pt>
                <c:pt idx="121">
                  <c:v>2071</c:v>
                </c:pt>
                <c:pt idx="122">
                  <c:v>2072</c:v>
                </c:pt>
                <c:pt idx="123">
                  <c:v>2073</c:v>
                </c:pt>
                <c:pt idx="124">
                  <c:v>2074</c:v>
                </c:pt>
                <c:pt idx="125">
                  <c:v>2075</c:v>
                </c:pt>
                <c:pt idx="126">
                  <c:v>2076</c:v>
                </c:pt>
                <c:pt idx="127">
                  <c:v>2077</c:v>
                </c:pt>
                <c:pt idx="128">
                  <c:v>2078</c:v>
                </c:pt>
                <c:pt idx="129">
                  <c:v>2079</c:v>
                </c:pt>
                <c:pt idx="130">
                  <c:v>2080</c:v>
                </c:pt>
                <c:pt idx="131">
                  <c:v>2081</c:v>
                </c:pt>
                <c:pt idx="132">
                  <c:v>2082</c:v>
                </c:pt>
                <c:pt idx="133">
                  <c:v>2083</c:v>
                </c:pt>
                <c:pt idx="134">
                  <c:v>2084</c:v>
                </c:pt>
                <c:pt idx="135">
                  <c:v>2085</c:v>
                </c:pt>
                <c:pt idx="136">
                  <c:v>2086</c:v>
                </c:pt>
                <c:pt idx="137">
                  <c:v>2087</c:v>
                </c:pt>
                <c:pt idx="138">
                  <c:v>2088</c:v>
                </c:pt>
                <c:pt idx="139">
                  <c:v>2089</c:v>
                </c:pt>
                <c:pt idx="140">
                  <c:v>2090</c:v>
                </c:pt>
                <c:pt idx="141">
                  <c:v>2091</c:v>
                </c:pt>
                <c:pt idx="142">
                  <c:v>2092</c:v>
                </c:pt>
                <c:pt idx="143">
                  <c:v>2093</c:v>
                </c:pt>
                <c:pt idx="144">
                  <c:v>2094</c:v>
                </c:pt>
                <c:pt idx="145">
                  <c:v>2095</c:v>
                </c:pt>
                <c:pt idx="146">
                  <c:v>2096</c:v>
                </c:pt>
                <c:pt idx="147">
                  <c:v>2097</c:v>
                </c:pt>
                <c:pt idx="148">
                  <c:v>2098</c:v>
                </c:pt>
                <c:pt idx="149">
                  <c:v>2099</c:v>
                </c:pt>
                <c:pt idx="150">
                  <c:v>2100</c:v>
                </c:pt>
              </c:strCache>
            </c:strRef>
          </c:cat>
          <c:val>
            <c:numRef>
              <c:f>Sheet1!$B$15:$EV$15</c:f>
              <c:numCache>
                <c:formatCode>#\ ###\ ###\ ##0;\-#\ ###\ ###\ ##0;0</c:formatCode>
                <c:ptCount val="151"/>
                <c:pt idx="0">
                  <c:v>172602.62400000001</c:v>
                </c:pt>
                <c:pt idx="1">
                  <c:v>175069.6</c:v>
                </c:pt>
                <c:pt idx="2">
                  <c:v>177873.95699999999</c:v>
                </c:pt>
                <c:pt idx="3">
                  <c:v>180940.68900000001</c:v>
                </c:pt>
                <c:pt idx="4">
                  <c:v>184201.25200000001</c:v>
                </c:pt>
                <c:pt idx="5">
                  <c:v>187593.52799999999</c:v>
                </c:pt>
                <c:pt idx="6">
                  <c:v>191061.864</c:v>
                </c:pt>
                <c:pt idx="7">
                  <c:v>194557.057</c:v>
                </c:pt>
                <c:pt idx="8">
                  <c:v>198036.25099999999</c:v>
                </c:pt>
                <c:pt idx="9">
                  <c:v>201462.9</c:v>
                </c:pt>
                <c:pt idx="10">
                  <c:v>204806.56700000001</c:v>
                </c:pt>
                <c:pt idx="11">
                  <c:v>208042.55</c:v>
                </c:pt>
                <c:pt idx="12">
                  <c:v>211151.75</c:v>
                </c:pt>
                <c:pt idx="13">
                  <c:v>214120.51699999999</c:v>
                </c:pt>
                <c:pt idx="14">
                  <c:v>216940.935</c:v>
                </c:pt>
                <c:pt idx="15">
                  <c:v>219611.69200000001</c:v>
                </c:pt>
                <c:pt idx="16">
                  <c:v>222121.85800000001</c:v>
                </c:pt>
                <c:pt idx="17">
                  <c:v>224480.144</c:v>
                </c:pt>
                <c:pt idx="18">
                  <c:v>226731.32199999999</c:v>
                </c:pt>
                <c:pt idx="19">
                  <c:v>228937.02600000001</c:v>
                </c:pt>
                <c:pt idx="20">
                  <c:v>231144.70600000001</c:v>
                </c:pt>
                <c:pt idx="21">
                  <c:v>233371.459</c:v>
                </c:pt>
                <c:pt idx="22">
                  <c:v>235615.13</c:v>
                </c:pt>
                <c:pt idx="23">
                  <c:v>237880.386</c:v>
                </c:pt>
                <c:pt idx="24">
                  <c:v>240166.13800000001</c:v>
                </c:pt>
                <c:pt idx="25">
                  <c:v>242471.96400000001</c:v>
                </c:pt>
                <c:pt idx="26">
                  <c:v>244806.85800000001</c:v>
                </c:pt>
                <c:pt idx="27">
                  <c:v>247177.28099999999</c:v>
                </c:pt>
                <c:pt idx="28">
                  <c:v>249575.80499999999</c:v>
                </c:pt>
                <c:pt idx="29">
                  <c:v>251990.47399999999</c:v>
                </c:pt>
                <c:pt idx="30">
                  <c:v>254413.64600000001</c:v>
                </c:pt>
                <c:pt idx="31">
                  <c:v>256844.07699999999</c:v>
                </c:pt>
                <c:pt idx="32">
                  <c:v>259288.52600000001</c:v>
                </c:pt>
                <c:pt idx="33">
                  <c:v>261756.859</c:v>
                </c:pt>
                <c:pt idx="34">
                  <c:v>264262.66899999999</c:v>
                </c:pt>
                <c:pt idx="35">
                  <c:v>266816.288</c:v>
                </c:pt>
                <c:pt idx="36">
                  <c:v>269426.27600000001</c:v>
                </c:pt>
                <c:pt idx="37">
                  <c:v>272092.91399999999</c:v>
                </c:pt>
                <c:pt idx="38">
                  <c:v>274808.65399999998</c:v>
                </c:pt>
                <c:pt idx="39">
                  <c:v>277561.43699999998</c:v>
                </c:pt>
                <c:pt idx="40">
                  <c:v>280345.44</c:v>
                </c:pt>
                <c:pt idx="41">
                  <c:v>283142.82</c:v>
                </c:pt>
                <c:pt idx="42">
                  <c:v>285962.467</c:v>
                </c:pt>
                <c:pt idx="43">
                  <c:v>288855.67499999999</c:v>
                </c:pt>
                <c:pt idx="44">
                  <c:v>291892.25699999998</c:v>
                </c:pt>
                <c:pt idx="45">
                  <c:v>295113.73300000001</c:v>
                </c:pt>
                <c:pt idx="46">
                  <c:v>298550.67499999999</c:v>
                </c:pt>
                <c:pt idx="47">
                  <c:v>302165.13199999998</c:v>
                </c:pt>
                <c:pt idx="48">
                  <c:v>305846.48100000003</c:v>
                </c:pt>
                <c:pt idx="49">
                  <c:v>309442.255</c:v>
                </c:pt>
                <c:pt idx="50">
                  <c:v>312845.02600000001</c:v>
                </c:pt>
                <c:pt idx="51">
                  <c:v>316004.04100000003</c:v>
                </c:pt>
                <c:pt idx="52">
                  <c:v>318955.12599999999</c:v>
                </c:pt>
                <c:pt idx="53">
                  <c:v>321783.26299999998</c:v>
                </c:pt>
                <c:pt idx="54">
                  <c:v>324616.92599999998</c:v>
                </c:pt>
                <c:pt idx="55">
                  <c:v>327545.82299999997</c:v>
                </c:pt>
                <c:pt idx="56">
                  <c:v>330601.13299999997</c:v>
                </c:pt>
                <c:pt idx="57">
                  <c:v>333743.18699999998</c:v>
                </c:pt>
                <c:pt idx="58">
                  <c:v>336906.35</c:v>
                </c:pt>
                <c:pt idx="59">
                  <c:v>339993.50099999999</c:v>
                </c:pt>
                <c:pt idx="60">
                  <c:v>342936.92700000003</c:v>
                </c:pt>
                <c:pt idx="61">
                  <c:v>345716.402</c:v>
                </c:pt>
                <c:pt idx="62">
                  <c:v>348362.05300000001</c:v>
                </c:pt>
                <c:pt idx="63">
                  <c:v>350917.62900000002</c:v>
                </c:pt>
                <c:pt idx="64">
                  <c:v>353448.54800000001</c:v>
                </c:pt>
                <c:pt idx="65">
                  <c:v>356003.54100000003</c:v>
                </c:pt>
                <c:pt idx="66">
                  <c:v>358593.81</c:v>
                </c:pt>
                <c:pt idx="67">
                  <c:v>361207.81099999999</c:v>
                </c:pt>
                <c:pt idx="68">
                  <c:v>363844.49</c:v>
                </c:pt>
                <c:pt idx="69">
                  <c:v>366496.80200000003</c:v>
                </c:pt>
                <c:pt idx="70">
                  <c:v>369158.55699999997</c:v>
                </c:pt>
                <c:pt idx="71">
                  <c:v>371831.16700000002</c:v>
                </c:pt>
                <c:pt idx="72">
                  <c:v>374515.78899999999</c:v>
                </c:pt>
                <c:pt idx="73">
                  <c:v>377204.51400000002</c:v>
                </c:pt>
                <c:pt idx="74">
                  <c:v>379886.62599999999</c:v>
                </c:pt>
                <c:pt idx="75">
                  <c:v>382552.71299999999</c:v>
                </c:pt>
                <c:pt idx="76">
                  <c:v>385199.16800000001</c:v>
                </c:pt>
                <c:pt idx="77">
                  <c:v>387822.37099999998</c:v>
                </c:pt>
                <c:pt idx="78">
                  <c:v>390412.65500000003</c:v>
                </c:pt>
                <c:pt idx="79">
                  <c:v>392958.962</c:v>
                </c:pt>
                <c:pt idx="80">
                  <c:v>395452.58500000002</c:v>
                </c:pt>
                <c:pt idx="81">
                  <c:v>397888.967</c:v>
                </c:pt>
                <c:pt idx="82">
                  <c:v>400266.74900000001</c:v>
                </c:pt>
                <c:pt idx="83">
                  <c:v>402584.87199999997</c:v>
                </c:pt>
                <c:pt idx="84">
                  <c:v>404843.81800000003</c:v>
                </c:pt>
                <c:pt idx="85">
                  <c:v>407044.28200000001</c:v>
                </c:pt>
                <c:pt idx="86">
                  <c:v>409186.17499999999</c:v>
                </c:pt>
                <c:pt idx="87">
                  <c:v>411269.70400000003</c:v>
                </c:pt>
                <c:pt idx="88">
                  <c:v>413296.82799999998</c:v>
                </c:pt>
                <c:pt idx="89">
                  <c:v>415270.35800000001</c:v>
                </c:pt>
                <c:pt idx="90">
                  <c:v>417193.46100000001</c:v>
                </c:pt>
                <c:pt idx="91">
                  <c:v>419067.79</c:v>
                </c:pt>
                <c:pt idx="92">
                  <c:v>420896.68599999999</c:v>
                </c:pt>
                <c:pt idx="93">
                  <c:v>422687.35399999999</c:v>
                </c:pt>
                <c:pt idx="94">
                  <c:v>424448.54499999998</c:v>
                </c:pt>
                <c:pt idx="95">
                  <c:v>426187.58899999998</c:v>
                </c:pt>
                <c:pt idx="96">
                  <c:v>427908.777</c:v>
                </c:pt>
                <c:pt idx="97">
                  <c:v>429614.17700000003</c:v>
                </c:pt>
                <c:pt idx="98">
                  <c:v>431306.027</c:v>
                </c:pt>
                <c:pt idx="99">
                  <c:v>432985.69199999998</c:v>
                </c:pt>
                <c:pt idx="100">
                  <c:v>434654.82299999997</c:v>
                </c:pt>
                <c:pt idx="101">
                  <c:v>436315.11900000001</c:v>
                </c:pt>
                <c:pt idx="102">
                  <c:v>437969.35700000002</c:v>
                </c:pt>
                <c:pt idx="103">
                  <c:v>439621.34899999999</c:v>
                </c:pt>
                <c:pt idx="104">
                  <c:v>441275.40600000002</c:v>
                </c:pt>
                <c:pt idx="105">
                  <c:v>442934.58199999999</c:v>
                </c:pt>
                <c:pt idx="106">
                  <c:v>444600.06</c:v>
                </c:pt>
                <c:pt idx="107">
                  <c:v>446271.19</c:v>
                </c:pt>
                <c:pt idx="108">
                  <c:v>447946.61900000001</c:v>
                </c:pt>
                <c:pt idx="109">
                  <c:v>449623.91399999999</c:v>
                </c:pt>
                <c:pt idx="110">
                  <c:v>451300.68199999997</c:v>
                </c:pt>
                <c:pt idx="111">
                  <c:v>452975.58399999997</c:v>
                </c:pt>
                <c:pt idx="112">
                  <c:v>454647.11900000001</c:v>
                </c:pt>
                <c:pt idx="113">
                  <c:v>456312.21399999998</c:v>
                </c:pt>
                <c:pt idx="114">
                  <c:v>457967.34399999998</c:v>
                </c:pt>
                <c:pt idx="115">
                  <c:v>459609</c:v>
                </c:pt>
                <c:pt idx="116">
                  <c:v>461235.30599999998</c:v>
                </c:pt>
                <c:pt idx="117">
                  <c:v>462843.64600000001</c:v>
                </c:pt>
                <c:pt idx="118">
                  <c:v>464428.80099999998</c:v>
                </c:pt>
                <c:pt idx="119">
                  <c:v>465984.68699999998</c:v>
                </c:pt>
                <c:pt idx="120">
                  <c:v>467506.52899999998</c:v>
                </c:pt>
                <c:pt idx="121">
                  <c:v>468991.75900000002</c:v>
                </c:pt>
                <c:pt idx="122">
                  <c:v>470439.59499999997</c:v>
                </c:pt>
                <c:pt idx="123">
                  <c:v>471849.39199999999</c:v>
                </c:pt>
                <c:pt idx="124">
                  <c:v>473221.33</c:v>
                </c:pt>
                <c:pt idx="125">
                  <c:v>474555.598</c:v>
                </c:pt>
                <c:pt idx="126">
                  <c:v>475852.01899999997</c:v>
                </c:pt>
                <c:pt idx="127">
                  <c:v>477110.34700000001</c:v>
                </c:pt>
                <c:pt idx="128">
                  <c:v>478331.04</c:v>
                </c:pt>
                <c:pt idx="129">
                  <c:v>479514.745</c:v>
                </c:pt>
                <c:pt idx="130">
                  <c:v>480662.56900000002</c:v>
                </c:pt>
                <c:pt idx="131">
                  <c:v>481775.30800000002</c:v>
                </c:pt>
                <c:pt idx="132">
                  <c:v>482854.60800000001</c:v>
                </c:pt>
                <c:pt idx="133">
                  <c:v>483903.56199999998</c:v>
                </c:pt>
                <c:pt idx="134">
                  <c:v>484926.00099999999</c:v>
                </c:pt>
                <c:pt idx="135">
                  <c:v>485925.24900000001</c:v>
                </c:pt>
                <c:pt idx="136">
                  <c:v>486902.69</c:v>
                </c:pt>
                <c:pt idx="137">
                  <c:v>487859.74099999998</c:v>
                </c:pt>
                <c:pt idx="138">
                  <c:v>488799.94199999998</c:v>
                </c:pt>
                <c:pt idx="139">
                  <c:v>489727.29100000003</c:v>
                </c:pt>
                <c:pt idx="140">
                  <c:v>490644.72499999998</c:v>
                </c:pt>
                <c:pt idx="141">
                  <c:v>491553.58100000001</c:v>
                </c:pt>
                <c:pt idx="142">
                  <c:v>492453.86900000001</c:v>
                </c:pt>
                <c:pt idx="143">
                  <c:v>493344.549</c:v>
                </c:pt>
                <c:pt idx="144">
                  <c:v>494224.13299999997</c:v>
                </c:pt>
                <c:pt idx="145">
                  <c:v>495091.14</c:v>
                </c:pt>
                <c:pt idx="146">
                  <c:v>495944.18199999997</c:v>
                </c:pt>
                <c:pt idx="147">
                  <c:v>496782.11800000002</c:v>
                </c:pt>
                <c:pt idx="148">
                  <c:v>497604.06400000001</c:v>
                </c:pt>
                <c:pt idx="149">
                  <c:v>498409.37</c:v>
                </c:pt>
                <c:pt idx="150">
                  <c:v>499197.60600000003</c:v>
                </c:pt>
              </c:numCache>
            </c:numRef>
          </c:val>
          <c:smooth val="0"/>
          <c:extLst>
            <c:ext xmlns:c16="http://schemas.microsoft.com/office/drawing/2014/chart" uri="{C3380CC4-5D6E-409C-BE32-E72D297353CC}">
              <c16:uniqueId val="{00000004-D8B8-4049-941C-804839837573}"/>
            </c:ext>
          </c:extLst>
        </c:ser>
        <c:ser>
          <c:idx val="5"/>
          <c:order val="5"/>
          <c:tx>
            <c:strRef>
              <c:f>Sheet1!$A$16</c:f>
              <c:strCache>
                <c:ptCount val="1"/>
                <c:pt idx="0">
                  <c:v>OCEANIA</c:v>
                </c:pt>
              </c:strCache>
            </c:strRef>
          </c:tx>
          <c:spPr>
            <a:ln w="19050" cap="rnd">
              <a:solidFill>
                <a:schemeClr val="tx1">
                  <a:lumMod val="50000"/>
                  <a:lumOff val="50000"/>
                </a:schemeClr>
              </a:solidFill>
              <a:prstDash val="sysDash"/>
              <a:round/>
            </a:ln>
            <a:effectLst/>
          </c:spPr>
          <c:marker>
            <c:symbol val="none"/>
          </c:marker>
          <c:cat>
            <c:strRef>
              <c:f>Sheet1!$B$10:$EV$10</c:f>
              <c:strCache>
                <c:ptCount val="151"/>
                <c:pt idx="0">
                  <c:v>1950</c:v>
                </c:pt>
                <c:pt idx="1">
                  <c:v>1951</c:v>
                </c:pt>
                <c:pt idx="2">
                  <c:v>1952</c:v>
                </c:pt>
                <c:pt idx="3">
                  <c:v>1953</c:v>
                </c:pt>
                <c:pt idx="4">
                  <c:v>1954</c:v>
                </c:pt>
                <c:pt idx="5">
                  <c:v>1955</c:v>
                </c:pt>
                <c:pt idx="6">
                  <c:v>1956</c:v>
                </c:pt>
                <c:pt idx="7">
                  <c:v>1957</c:v>
                </c:pt>
                <c:pt idx="8">
                  <c:v>1958</c:v>
                </c:pt>
                <c:pt idx="9">
                  <c:v>1959</c:v>
                </c:pt>
                <c:pt idx="10">
                  <c:v>1960</c:v>
                </c:pt>
                <c:pt idx="11">
                  <c:v>1961</c:v>
                </c:pt>
                <c:pt idx="12">
                  <c:v>1962</c:v>
                </c:pt>
                <c:pt idx="13">
                  <c:v>1963</c:v>
                </c:pt>
                <c:pt idx="14">
                  <c:v>1964</c:v>
                </c:pt>
                <c:pt idx="15">
                  <c:v>1965</c:v>
                </c:pt>
                <c:pt idx="16">
                  <c:v>1966</c:v>
                </c:pt>
                <c:pt idx="17">
                  <c:v>1967</c:v>
                </c:pt>
                <c:pt idx="18">
                  <c:v>1968</c:v>
                </c:pt>
                <c:pt idx="19">
                  <c:v>1969</c:v>
                </c:pt>
                <c:pt idx="20">
                  <c:v>1970</c:v>
                </c:pt>
                <c:pt idx="21">
                  <c:v>1971</c:v>
                </c:pt>
                <c:pt idx="22">
                  <c:v>1972</c:v>
                </c:pt>
                <c:pt idx="23">
                  <c:v>1973</c:v>
                </c:pt>
                <c:pt idx="24">
                  <c:v>1974</c:v>
                </c:pt>
                <c:pt idx="25">
                  <c:v>1975</c:v>
                </c:pt>
                <c:pt idx="26">
                  <c:v>1976</c:v>
                </c:pt>
                <c:pt idx="27">
                  <c:v>1977</c:v>
                </c:pt>
                <c:pt idx="28">
                  <c:v>1978</c:v>
                </c:pt>
                <c:pt idx="29">
                  <c:v>1979</c:v>
                </c:pt>
                <c:pt idx="30">
                  <c:v>1980</c:v>
                </c:pt>
                <c:pt idx="31">
                  <c:v>1981</c:v>
                </c:pt>
                <c:pt idx="32">
                  <c:v>1982</c:v>
                </c:pt>
                <c:pt idx="33">
                  <c:v>1983</c:v>
                </c:pt>
                <c:pt idx="34">
                  <c:v>1984</c:v>
                </c:pt>
                <c:pt idx="35">
                  <c:v>1985</c:v>
                </c:pt>
                <c:pt idx="36">
                  <c:v>1986</c:v>
                </c:pt>
                <c:pt idx="37">
                  <c:v>1987</c:v>
                </c:pt>
                <c:pt idx="38">
                  <c:v>1988</c:v>
                </c:pt>
                <c:pt idx="39">
                  <c:v>1989</c:v>
                </c:pt>
                <c:pt idx="40">
                  <c:v>1990</c:v>
                </c:pt>
                <c:pt idx="41">
                  <c:v>1991</c:v>
                </c:pt>
                <c:pt idx="42">
                  <c:v>1992</c:v>
                </c:pt>
                <c:pt idx="43">
                  <c:v>1993</c:v>
                </c:pt>
                <c:pt idx="44">
                  <c:v>1994</c:v>
                </c:pt>
                <c:pt idx="45">
                  <c:v>1995</c:v>
                </c:pt>
                <c:pt idx="46">
                  <c:v>1996</c:v>
                </c:pt>
                <c:pt idx="47">
                  <c:v>1997</c:v>
                </c:pt>
                <c:pt idx="48">
                  <c:v>1998</c:v>
                </c:pt>
                <c:pt idx="49">
                  <c:v>1999</c:v>
                </c:pt>
                <c:pt idx="50">
                  <c:v>2000</c:v>
                </c:pt>
                <c:pt idx="51">
                  <c:v>2001</c:v>
                </c:pt>
                <c:pt idx="52">
                  <c:v>2002</c:v>
                </c:pt>
                <c:pt idx="53">
                  <c:v>2003</c:v>
                </c:pt>
                <c:pt idx="54">
                  <c:v>2004</c:v>
                </c:pt>
                <c:pt idx="55">
                  <c:v>2005</c:v>
                </c:pt>
                <c:pt idx="56">
                  <c:v>2006</c:v>
                </c:pt>
                <c:pt idx="57">
                  <c:v>2007</c:v>
                </c:pt>
                <c:pt idx="58">
                  <c:v>2008</c:v>
                </c:pt>
                <c:pt idx="59">
                  <c:v>2009</c:v>
                </c:pt>
                <c:pt idx="60">
                  <c:v>2010</c:v>
                </c:pt>
                <c:pt idx="61">
                  <c:v>2011</c:v>
                </c:pt>
                <c:pt idx="62">
                  <c:v>2012</c:v>
                </c:pt>
                <c:pt idx="63">
                  <c:v>2013</c:v>
                </c:pt>
                <c:pt idx="64">
                  <c:v>2014</c:v>
                </c:pt>
                <c:pt idx="65">
                  <c:v>2015</c:v>
                </c:pt>
                <c:pt idx="66">
                  <c:v>2016</c:v>
                </c:pt>
                <c:pt idx="67">
                  <c:v>2017</c:v>
                </c:pt>
                <c:pt idx="68">
                  <c:v>2018</c:v>
                </c:pt>
                <c:pt idx="69">
                  <c:v>2019</c:v>
                </c:pt>
                <c:pt idx="70">
                  <c:v>2020</c:v>
                </c:pt>
                <c:pt idx="71">
                  <c:v>2021</c:v>
                </c:pt>
                <c:pt idx="72">
                  <c:v>2022</c:v>
                </c:pt>
                <c:pt idx="73">
                  <c:v>2023</c:v>
                </c:pt>
                <c:pt idx="74">
                  <c:v>2024</c:v>
                </c:pt>
                <c:pt idx="75">
                  <c:v>2025</c:v>
                </c:pt>
                <c:pt idx="76">
                  <c:v>2026</c:v>
                </c:pt>
                <c:pt idx="77">
                  <c:v>2027</c:v>
                </c:pt>
                <c:pt idx="78">
                  <c:v>2028</c:v>
                </c:pt>
                <c:pt idx="79">
                  <c:v>2029</c:v>
                </c:pt>
                <c:pt idx="80">
                  <c:v>2030</c:v>
                </c:pt>
                <c:pt idx="81">
                  <c:v>2031</c:v>
                </c:pt>
                <c:pt idx="82">
                  <c:v>2032</c:v>
                </c:pt>
                <c:pt idx="83">
                  <c:v>2033</c:v>
                </c:pt>
                <c:pt idx="84">
                  <c:v>2034</c:v>
                </c:pt>
                <c:pt idx="85">
                  <c:v>2035</c:v>
                </c:pt>
                <c:pt idx="86">
                  <c:v>2036</c:v>
                </c:pt>
                <c:pt idx="87">
                  <c:v>2037</c:v>
                </c:pt>
                <c:pt idx="88">
                  <c:v>2038</c:v>
                </c:pt>
                <c:pt idx="89">
                  <c:v>2039</c:v>
                </c:pt>
                <c:pt idx="90">
                  <c:v>2040</c:v>
                </c:pt>
                <c:pt idx="91">
                  <c:v>2041</c:v>
                </c:pt>
                <c:pt idx="92">
                  <c:v>2042</c:v>
                </c:pt>
                <c:pt idx="93">
                  <c:v>2043</c:v>
                </c:pt>
                <c:pt idx="94">
                  <c:v>2044</c:v>
                </c:pt>
                <c:pt idx="95">
                  <c:v>2045</c:v>
                </c:pt>
                <c:pt idx="96">
                  <c:v>2046</c:v>
                </c:pt>
                <c:pt idx="97">
                  <c:v>2047</c:v>
                </c:pt>
                <c:pt idx="98">
                  <c:v>2048</c:v>
                </c:pt>
                <c:pt idx="99">
                  <c:v>2049</c:v>
                </c:pt>
                <c:pt idx="100">
                  <c:v>2050</c:v>
                </c:pt>
                <c:pt idx="101">
                  <c:v>2051</c:v>
                </c:pt>
                <c:pt idx="102">
                  <c:v>2052</c:v>
                </c:pt>
                <c:pt idx="103">
                  <c:v>2053</c:v>
                </c:pt>
                <c:pt idx="104">
                  <c:v>2054</c:v>
                </c:pt>
                <c:pt idx="105">
                  <c:v>2055</c:v>
                </c:pt>
                <c:pt idx="106">
                  <c:v>2056</c:v>
                </c:pt>
                <c:pt idx="107">
                  <c:v>2057</c:v>
                </c:pt>
                <c:pt idx="108">
                  <c:v>2058</c:v>
                </c:pt>
                <c:pt idx="109">
                  <c:v>2059</c:v>
                </c:pt>
                <c:pt idx="110">
                  <c:v>2060</c:v>
                </c:pt>
                <c:pt idx="111">
                  <c:v>2061</c:v>
                </c:pt>
                <c:pt idx="112">
                  <c:v>2062</c:v>
                </c:pt>
                <c:pt idx="113">
                  <c:v>2063</c:v>
                </c:pt>
                <c:pt idx="114">
                  <c:v>2064</c:v>
                </c:pt>
                <c:pt idx="115">
                  <c:v>2065</c:v>
                </c:pt>
                <c:pt idx="116">
                  <c:v>2066</c:v>
                </c:pt>
                <c:pt idx="117">
                  <c:v>2067</c:v>
                </c:pt>
                <c:pt idx="118">
                  <c:v>2068</c:v>
                </c:pt>
                <c:pt idx="119">
                  <c:v>2069</c:v>
                </c:pt>
                <c:pt idx="120">
                  <c:v>2070</c:v>
                </c:pt>
                <c:pt idx="121">
                  <c:v>2071</c:v>
                </c:pt>
                <c:pt idx="122">
                  <c:v>2072</c:v>
                </c:pt>
                <c:pt idx="123">
                  <c:v>2073</c:v>
                </c:pt>
                <c:pt idx="124">
                  <c:v>2074</c:v>
                </c:pt>
                <c:pt idx="125">
                  <c:v>2075</c:v>
                </c:pt>
                <c:pt idx="126">
                  <c:v>2076</c:v>
                </c:pt>
                <c:pt idx="127">
                  <c:v>2077</c:v>
                </c:pt>
                <c:pt idx="128">
                  <c:v>2078</c:v>
                </c:pt>
                <c:pt idx="129">
                  <c:v>2079</c:v>
                </c:pt>
                <c:pt idx="130">
                  <c:v>2080</c:v>
                </c:pt>
                <c:pt idx="131">
                  <c:v>2081</c:v>
                </c:pt>
                <c:pt idx="132">
                  <c:v>2082</c:v>
                </c:pt>
                <c:pt idx="133">
                  <c:v>2083</c:v>
                </c:pt>
                <c:pt idx="134">
                  <c:v>2084</c:v>
                </c:pt>
                <c:pt idx="135">
                  <c:v>2085</c:v>
                </c:pt>
                <c:pt idx="136">
                  <c:v>2086</c:v>
                </c:pt>
                <c:pt idx="137">
                  <c:v>2087</c:v>
                </c:pt>
                <c:pt idx="138">
                  <c:v>2088</c:v>
                </c:pt>
                <c:pt idx="139">
                  <c:v>2089</c:v>
                </c:pt>
                <c:pt idx="140">
                  <c:v>2090</c:v>
                </c:pt>
                <c:pt idx="141">
                  <c:v>2091</c:v>
                </c:pt>
                <c:pt idx="142">
                  <c:v>2092</c:v>
                </c:pt>
                <c:pt idx="143">
                  <c:v>2093</c:v>
                </c:pt>
                <c:pt idx="144">
                  <c:v>2094</c:v>
                </c:pt>
                <c:pt idx="145">
                  <c:v>2095</c:v>
                </c:pt>
                <c:pt idx="146">
                  <c:v>2096</c:v>
                </c:pt>
                <c:pt idx="147">
                  <c:v>2097</c:v>
                </c:pt>
                <c:pt idx="148">
                  <c:v>2098</c:v>
                </c:pt>
                <c:pt idx="149">
                  <c:v>2099</c:v>
                </c:pt>
                <c:pt idx="150">
                  <c:v>2100</c:v>
                </c:pt>
              </c:strCache>
            </c:strRef>
          </c:cat>
          <c:val>
            <c:numRef>
              <c:f>Sheet1!$B$16:$EV$16</c:f>
              <c:numCache>
                <c:formatCode>#\ ###\ ###\ ##0;\-#\ ###\ ###\ ##0;0</c:formatCode>
                <c:ptCount val="151"/>
                <c:pt idx="0">
                  <c:v>12647.776</c:v>
                </c:pt>
                <c:pt idx="1">
                  <c:v>12971.297</c:v>
                </c:pt>
                <c:pt idx="2">
                  <c:v>13275.573</c:v>
                </c:pt>
                <c:pt idx="3">
                  <c:v>13572.460999999999</c:v>
                </c:pt>
                <c:pt idx="4">
                  <c:v>13870.902</c:v>
                </c:pt>
                <c:pt idx="5">
                  <c:v>14176.713</c:v>
                </c:pt>
                <c:pt idx="6">
                  <c:v>14492.817999999999</c:v>
                </c:pt>
                <c:pt idx="7">
                  <c:v>14819.081</c:v>
                </c:pt>
                <c:pt idx="8">
                  <c:v>15152.85</c:v>
                </c:pt>
                <c:pt idx="9">
                  <c:v>15489.65</c:v>
                </c:pt>
                <c:pt idx="10">
                  <c:v>15825.224</c:v>
                </c:pt>
                <c:pt idx="11">
                  <c:v>16157.867</c:v>
                </c:pt>
                <c:pt idx="12">
                  <c:v>16490.164000000001</c:v>
                </c:pt>
                <c:pt idx="13">
                  <c:v>16829.986000000001</c:v>
                </c:pt>
                <c:pt idx="14">
                  <c:v>17188.133000000002</c:v>
                </c:pt>
                <c:pt idx="15">
                  <c:v>17571.233</c:v>
                </c:pt>
                <c:pt idx="16">
                  <c:v>17982.612000000001</c:v>
                </c:pt>
                <c:pt idx="17">
                  <c:v>18416.989000000001</c:v>
                </c:pt>
                <c:pt idx="18">
                  <c:v>18861.859</c:v>
                </c:pt>
                <c:pt idx="19">
                  <c:v>19299.805</c:v>
                </c:pt>
                <c:pt idx="20">
                  <c:v>19718.034</c:v>
                </c:pt>
                <c:pt idx="21">
                  <c:v>20113.704000000002</c:v>
                </c:pt>
                <c:pt idx="22">
                  <c:v>20489.704000000002</c:v>
                </c:pt>
                <c:pt idx="23">
                  <c:v>20846.064999999999</c:v>
                </c:pt>
                <c:pt idx="24">
                  <c:v>21184.323</c:v>
                </c:pt>
                <c:pt idx="25">
                  <c:v>21506.855</c:v>
                </c:pt>
                <c:pt idx="26">
                  <c:v>21811.919999999998</c:v>
                </c:pt>
                <c:pt idx="27">
                  <c:v>22101.728999999999</c:v>
                </c:pt>
                <c:pt idx="28">
                  <c:v>22387.772000000001</c:v>
                </c:pt>
                <c:pt idx="29">
                  <c:v>22685.175999999999</c:v>
                </c:pt>
                <c:pt idx="30">
                  <c:v>23005.067999999999</c:v>
                </c:pt>
                <c:pt idx="31">
                  <c:v>23351.573</c:v>
                </c:pt>
                <c:pt idx="32">
                  <c:v>23722.342000000001</c:v>
                </c:pt>
                <c:pt idx="33">
                  <c:v>24113.312999999998</c:v>
                </c:pt>
                <c:pt idx="34">
                  <c:v>24517.511999999999</c:v>
                </c:pt>
                <c:pt idx="35">
                  <c:v>24929.397000000001</c:v>
                </c:pt>
                <c:pt idx="36">
                  <c:v>25348.398000000001</c:v>
                </c:pt>
                <c:pt idx="37">
                  <c:v>25775.162</c:v>
                </c:pt>
                <c:pt idx="38">
                  <c:v>26206.73</c:v>
                </c:pt>
                <c:pt idx="39">
                  <c:v>26639.715</c:v>
                </c:pt>
                <c:pt idx="40">
                  <c:v>27071.460999999999</c:v>
                </c:pt>
                <c:pt idx="41">
                  <c:v>27501.305</c:v>
                </c:pt>
                <c:pt idx="42">
                  <c:v>27929.030999999999</c:v>
                </c:pt>
                <c:pt idx="43">
                  <c:v>28353.141</c:v>
                </c:pt>
                <c:pt idx="44">
                  <c:v>28772.098999999998</c:v>
                </c:pt>
                <c:pt idx="45">
                  <c:v>29185.313999999998</c:v>
                </c:pt>
                <c:pt idx="46">
                  <c:v>29593.027999999998</c:v>
                </c:pt>
                <c:pt idx="47">
                  <c:v>29997.105</c:v>
                </c:pt>
                <c:pt idx="48">
                  <c:v>30401.381000000001</c:v>
                </c:pt>
                <c:pt idx="49">
                  <c:v>30810.664000000001</c:v>
                </c:pt>
                <c:pt idx="50">
                  <c:v>31229.421999999999</c:v>
                </c:pt>
                <c:pt idx="51">
                  <c:v>31656.848999999998</c:v>
                </c:pt>
                <c:pt idx="52">
                  <c:v>32094.472000000002</c:v>
                </c:pt>
                <c:pt idx="53">
                  <c:v>32551.66</c:v>
                </c:pt>
                <c:pt idx="54">
                  <c:v>33040.245999999999</c:v>
                </c:pt>
                <c:pt idx="55">
                  <c:v>33567.637000000002</c:v>
                </c:pt>
                <c:pt idx="56">
                  <c:v>34138.499000000003</c:v>
                </c:pt>
                <c:pt idx="57">
                  <c:v>34747.498</c:v>
                </c:pt>
                <c:pt idx="58">
                  <c:v>35379.766000000003</c:v>
                </c:pt>
                <c:pt idx="59">
                  <c:v>36014.267999999996</c:v>
                </c:pt>
                <c:pt idx="60">
                  <c:v>36635.565999999999</c:v>
                </c:pt>
                <c:pt idx="61">
                  <c:v>37237.877</c:v>
                </c:pt>
                <c:pt idx="62">
                  <c:v>37824.446000000004</c:v>
                </c:pt>
                <c:pt idx="63">
                  <c:v>38399.398000000001</c:v>
                </c:pt>
                <c:pt idx="64">
                  <c:v>38970.389000000003</c:v>
                </c:pt>
                <c:pt idx="65">
                  <c:v>39542.980000000003</c:v>
                </c:pt>
                <c:pt idx="66">
                  <c:v>40117.432000000001</c:v>
                </c:pt>
                <c:pt idx="67">
                  <c:v>40690.786</c:v>
                </c:pt>
                <c:pt idx="68">
                  <c:v>41261.212</c:v>
                </c:pt>
                <c:pt idx="69">
                  <c:v>41826.175999999999</c:v>
                </c:pt>
                <c:pt idx="70">
                  <c:v>42383.788999999997</c:v>
                </c:pt>
                <c:pt idx="71">
                  <c:v>42933.372000000003</c:v>
                </c:pt>
                <c:pt idx="72">
                  <c:v>43475.805</c:v>
                </c:pt>
                <c:pt idx="73">
                  <c:v>44012.374000000003</c:v>
                </c:pt>
                <c:pt idx="74">
                  <c:v>44545.042000000001</c:v>
                </c:pt>
                <c:pt idx="75">
                  <c:v>45075.275000000001</c:v>
                </c:pt>
                <c:pt idx="76">
                  <c:v>45603.462</c:v>
                </c:pt>
                <c:pt idx="77">
                  <c:v>46129.108999999997</c:v>
                </c:pt>
                <c:pt idx="78">
                  <c:v>46651.605000000003</c:v>
                </c:pt>
                <c:pt idx="79">
                  <c:v>47169.872000000003</c:v>
                </c:pt>
                <c:pt idx="80">
                  <c:v>47683.184000000001</c:v>
                </c:pt>
                <c:pt idx="81">
                  <c:v>48191.474000000002</c:v>
                </c:pt>
                <c:pt idx="82">
                  <c:v>48695.010999999999</c:v>
                </c:pt>
                <c:pt idx="83">
                  <c:v>49193.94</c:v>
                </c:pt>
                <c:pt idx="84">
                  <c:v>49688.468000000001</c:v>
                </c:pt>
                <c:pt idx="85">
                  <c:v>50178.847999999998</c:v>
                </c:pt>
                <c:pt idx="86">
                  <c:v>50665.07</c:v>
                </c:pt>
                <c:pt idx="87">
                  <c:v>51147.142999999996</c:v>
                </c:pt>
                <c:pt idx="88">
                  <c:v>51625.487999999998</c:v>
                </c:pt>
                <c:pt idx="89">
                  <c:v>52100.425999999999</c:v>
                </c:pt>
                <c:pt idx="90">
                  <c:v>52572.33</c:v>
                </c:pt>
                <c:pt idx="91">
                  <c:v>53041.156999999999</c:v>
                </c:pt>
                <c:pt idx="92">
                  <c:v>53506.858</c:v>
                </c:pt>
                <c:pt idx="93">
                  <c:v>53969.622000000003</c:v>
                </c:pt>
                <c:pt idx="94">
                  <c:v>54429.597999999998</c:v>
                </c:pt>
                <c:pt idx="95">
                  <c:v>54886.722000000002</c:v>
                </c:pt>
                <c:pt idx="96">
                  <c:v>55341.135999999999</c:v>
                </c:pt>
                <c:pt idx="97">
                  <c:v>55792.571000000004</c:v>
                </c:pt>
                <c:pt idx="98">
                  <c:v>56240.34</c:v>
                </c:pt>
                <c:pt idx="99">
                  <c:v>56683.514000000003</c:v>
                </c:pt>
                <c:pt idx="100">
                  <c:v>57121.455000000002</c:v>
                </c:pt>
                <c:pt idx="101">
                  <c:v>57553.803999999996</c:v>
                </c:pt>
                <c:pt idx="102">
                  <c:v>57980.642999999996</c:v>
                </c:pt>
                <c:pt idx="103">
                  <c:v>58401.968000000001</c:v>
                </c:pt>
                <c:pt idx="104">
                  <c:v>58817.887000000002</c:v>
                </c:pt>
                <c:pt idx="105">
                  <c:v>59228.502</c:v>
                </c:pt>
                <c:pt idx="106">
                  <c:v>59633.705000000002</c:v>
                </c:pt>
                <c:pt idx="107">
                  <c:v>60033.391000000003</c:v>
                </c:pt>
                <c:pt idx="108">
                  <c:v>60427.607000000004</c:v>
                </c:pt>
                <c:pt idx="109">
                  <c:v>60816.358</c:v>
                </c:pt>
                <c:pt idx="110">
                  <c:v>61199.627</c:v>
                </c:pt>
                <c:pt idx="111">
                  <c:v>61577.453999999998</c:v>
                </c:pt>
                <c:pt idx="112">
                  <c:v>61949.775000000001</c:v>
                </c:pt>
                <c:pt idx="113">
                  <c:v>62316.675999999999</c:v>
                </c:pt>
                <c:pt idx="114">
                  <c:v>62678.332000000002</c:v>
                </c:pt>
                <c:pt idx="115">
                  <c:v>63034.800999999999</c:v>
                </c:pt>
                <c:pt idx="116">
                  <c:v>63386.095000000001</c:v>
                </c:pt>
                <c:pt idx="117">
                  <c:v>63732.07</c:v>
                </c:pt>
                <c:pt idx="118">
                  <c:v>64072.65</c:v>
                </c:pt>
                <c:pt idx="119">
                  <c:v>64407.673999999999</c:v>
                </c:pt>
                <c:pt idx="120">
                  <c:v>64737.014999999999</c:v>
                </c:pt>
                <c:pt idx="121">
                  <c:v>65060.62</c:v>
                </c:pt>
                <c:pt idx="122">
                  <c:v>65378.411999999997</c:v>
                </c:pt>
                <c:pt idx="123">
                  <c:v>65690.135999999999</c:v>
                </c:pt>
                <c:pt idx="124">
                  <c:v>65995.494999999995</c:v>
                </c:pt>
                <c:pt idx="125">
                  <c:v>66294.192999999999</c:v>
                </c:pt>
                <c:pt idx="126">
                  <c:v>66586.248999999996</c:v>
                </c:pt>
                <c:pt idx="127">
                  <c:v>66871.626999999993</c:v>
                </c:pt>
                <c:pt idx="128">
                  <c:v>67150.350000000006</c:v>
                </c:pt>
                <c:pt idx="129">
                  <c:v>67422.542000000001</c:v>
                </c:pt>
                <c:pt idx="130">
                  <c:v>67688.301000000007</c:v>
                </c:pt>
                <c:pt idx="131">
                  <c:v>67947.641000000003</c:v>
                </c:pt>
                <c:pt idx="132">
                  <c:v>68200.585000000006</c:v>
                </c:pt>
                <c:pt idx="133">
                  <c:v>68447.462</c:v>
                </c:pt>
                <c:pt idx="134">
                  <c:v>68688.476999999999</c:v>
                </c:pt>
                <c:pt idx="135">
                  <c:v>68923.894</c:v>
                </c:pt>
                <c:pt idx="136">
                  <c:v>69153.877999999997</c:v>
                </c:pt>
                <c:pt idx="137">
                  <c:v>69378.366999999998</c:v>
                </c:pt>
                <c:pt idx="138">
                  <c:v>69597.587</c:v>
                </c:pt>
                <c:pt idx="139">
                  <c:v>69811.698000000004</c:v>
                </c:pt>
                <c:pt idx="140">
                  <c:v>70020.803</c:v>
                </c:pt>
                <c:pt idx="141">
                  <c:v>70224.910999999993</c:v>
                </c:pt>
                <c:pt idx="142">
                  <c:v>70424.013999999996</c:v>
                </c:pt>
                <c:pt idx="143">
                  <c:v>70618.03</c:v>
                </c:pt>
                <c:pt idx="144">
                  <c:v>70806.796000000002</c:v>
                </c:pt>
                <c:pt idx="145">
                  <c:v>70990.282999999996</c:v>
                </c:pt>
                <c:pt idx="146">
                  <c:v>71168.288</c:v>
                </c:pt>
                <c:pt idx="147">
                  <c:v>71340.657000000007</c:v>
                </c:pt>
                <c:pt idx="148">
                  <c:v>71507.316999999995</c:v>
                </c:pt>
                <c:pt idx="149">
                  <c:v>71668.077999999994</c:v>
                </c:pt>
                <c:pt idx="150">
                  <c:v>71822.801000000007</c:v>
                </c:pt>
              </c:numCache>
            </c:numRef>
          </c:val>
          <c:smooth val="0"/>
          <c:extLst>
            <c:ext xmlns:c16="http://schemas.microsoft.com/office/drawing/2014/chart" uri="{C3380CC4-5D6E-409C-BE32-E72D297353CC}">
              <c16:uniqueId val="{00000005-D8B8-4049-941C-804839837573}"/>
            </c:ext>
          </c:extLst>
        </c:ser>
        <c:dLbls>
          <c:showLegendKey val="0"/>
          <c:showVal val="0"/>
          <c:showCatName val="0"/>
          <c:showSerName val="0"/>
          <c:showPercent val="0"/>
          <c:showBubbleSize val="0"/>
        </c:dLbls>
        <c:smooth val="0"/>
        <c:axId val="380268920"/>
        <c:axId val="380272440"/>
      </c:lineChart>
      <c:catAx>
        <c:axId val="38026892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crossAx val="380272440"/>
        <c:crosses val="autoZero"/>
        <c:auto val="1"/>
        <c:lblAlgn val="ctr"/>
        <c:lblOffset val="100"/>
        <c:noMultiLvlLbl val="0"/>
      </c:catAx>
      <c:valAx>
        <c:axId val="380272440"/>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r>
                  <a:rPr lang="en-GB"/>
                  <a:t>Thousands of People</a:t>
                </a:r>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title>
        <c:numFmt formatCode="#\ ###\ ###\ ##0;\-#\ ###\ ###\ ##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crossAx val="380268920"/>
        <c:crosses val="autoZero"/>
        <c:crossBetween val="between"/>
        <c:majorUnit val="1000000"/>
      </c:valAx>
      <c:spPr>
        <a:noFill/>
        <a:ln>
          <a:noFill/>
        </a:ln>
        <a:effectLst/>
      </c:spPr>
    </c:plotArea>
    <c:legend>
      <c:legendPos val="b"/>
      <c:overlay val="0"/>
      <c:spPr>
        <a:noFill/>
        <a:ln>
          <a:noFill/>
        </a:ln>
        <a:effectLst/>
      </c:spPr>
      <c:txPr>
        <a:bodyPr rot="0" spcFirstLastPara="1" vertOverflow="ellipsis" vert="horz" wrap="square" anchor="ctr" anchorCtr="1"/>
        <a:lstStyle/>
        <a:p>
          <a:pPr>
            <a:defRPr sz="8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solidFill>
      <a:round/>
    </a:ln>
    <a:effectLst/>
  </c:spPr>
  <c:txPr>
    <a:bodyPr/>
    <a:lstStyle/>
    <a:p>
      <a:pPr>
        <a:defRPr>
          <a:latin typeface="Times New Roman" panose="02020603050405020304" pitchFamily="18" charset="0"/>
          <a:cs typeface="Times New Roman" panose="02020603050405020304" pitchFamily="18" charset="0"/>
        </a:defRPr>
      </a:pPr>
      <a:endParaRPr lang="en-US"/>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GB"/>
              <a:t>UK Coal RP</a:t>
            </a:r>
            <a:r>
              <a:rPr lang="en-GB" baseline="0"/>
              <a:t> Ratio and Production</a:t>
            </a:r>
            <a:endParaRPr lang="en-GB"/>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lineChart>
        <c:grouping val="standard"/>
        <c:varyColors val="0"/>
        <c:ser>
          <c:idx val="0"/>
          <c:order val="0"/>
          <c:tx>
            <c:v>Coal Production Historical</c:v>
          </c:tx>
          <c:spPr>
            <a:ln w="28575" cap="rnd">
              <a:solidFill>
                <a:schemeClr val="tx1"/>
              </a:solidFill>
              <a:prstDash val="sysDot"/>
              <a:round/>
            </a:ln>
            <a:effectLst/>
          </c:spPr>
          <c:marker>
            <c:symbol val="none"/>
          </c:marker>
          <c:cat>
            <c:numRef>
              <c:f>Sheet1!$T$38:$T$162</c:f>
              <c:numCache>
                <c:formatCode>General</c:formatCode>
                <c:ptCount val="125"/>
                <c:pt idx="0">
                  <c:v>1880</c:v>
                </c:pt>
                <c:pt idx="1">
                  <c:v>1881</c:v>
                </c:pt>
                <c:pt idx="2">
                  <c:v>1882</c:v>
                </c:pt>
                <c:pt idx="3">
                  <c:v>1883</c:v>
                </c:pt>
                <c:pt idx="4">
                  <c:v>1884</c:v>
                </c:pt>
                <c:pt idx="5">
                  <c:v>1885</c:v>
                </c:pt>
                <c:pt idx="6">
                  <c:v>1886</c:v>
                </c:pt>
                <c:pt idx="7">
                  <c:v>1887</c:v>
                </c:pt>
                <c:pt idx="8">
                  <c:v>1888</c:v>
                </c:pt>
                <c:pt idx="9">
                  <c:v>1889</c:v>
                </c:pt>
                <c:pt idx="10">
                  <c:v>1890</c:v>
                </c:pt>
                <c:pt idx="11">
                  <c:v>1891</c:v>
                </c:pt>
                <c:pt idx="12">
                  <c:v>1892</c:v>
                </c:pt>
                <c:pt idx="13">
                  <c:v>1893</c:v>
                </c:pt>
                <c:pt idx="14">
                  <c:v>1894</c:v>
                </c:pt>
                <c:pt idx="15">
                  <c:v>1895</c:v>
                </c:pt>
                <c:pt idx="16">
                  <c:v>1896</c:v>
                </c:pt>
                <c:pt idx="17">
                  <c:v>1897</c:v>
                </c:pt>
                <c:pt idx="18">
                  <c:v>1898</c:v>
                </c:pt>
                <c:pt idx="19">
                  <c:v>1899</c:v>
                </c:pt>
                <c:pt idx="20">
                  <c:v>1900</c:v>
                </c:pt>
                <c:pt idx="21">
                  <c:v>1901</c:v>
                </c:pt>
                <c:pt idx="22">
                  <c:v>1902</c:v>
                </c:pt>
                <c:pt idx="23">
                  <c:v>1903</c:v>
                </c:pt>
                <c:pt idx="24">
                  <c:v>1904</c:v>
                </c:pt>
                <c:pt idx="25">
                  <c:v>1905</c:v>
                </c:pt>
                <c:pt idx="26">
                  <c:v>1906</c:v>
                </c:pt>
                <c:pt idx="27">
                  <c:v>1907</c:v>
                </c:pt>
                <c:pt idx="28">
                  <c:v>1908</c:v>
                </c:pt>
                <c:pt idx="29">
                  <c:v>1909</c:v>
                </c:pt>
                <c:pt idx="30">
                  <c:v>1910</c:v>
                </c:pt>
                <c:pt idx="31">
                  <c:v>1911</c:v>
                </c:pt>
                <c:pt idx="32">
                  <c:v>1912</c:v>
                </c:pt>
                <c:pt idx="33">
                  <c:v>1913</c:v>
                </c:pt>
                <c:pt idx="34">
                  <c:v>1914</c:v>
                </c:pt>
                <c:pt idx="35">
                  <c:v>1915</c:v>
                </c:pt>
                <c:pt idx="36">
                  <c:v>1916</c:v>
                </c:pt>
                <c:pt idx="37">
                  <c:v>1917</c:v>
                </c:pt>
                <c:pt idx="38">
                  <c:v>1918</c:v>
                </c:pt>
                <c:pt idx="39">
                  <c:v>1919</c:v>
                </c:pt>
                <c:pt idx="40">
                  <c:v>1920</c:v>
                </c:pt>
                <c:pt idx="41">
                  <c:v>1921</c:v>
                </c:pt>
                <c:pt idx="42">
                  <c:v>1922</c:v>
                </c:pt>
                <c:pt idx="43">
                  <c:v>1923</c:v>
                </c:pt>
                <c:pt idx="44">
                  <c:v>1924</c:v>
                </c:pt>
                <c:pt idx="45">
                  <c:v>1925</c:v>
                </c:pt>
                <c:pt idx="46">
                  <c:v>1926</c:v>
                </c:pt>
                <c:pt idx="47">
                  <c:v>1927</c:v>
                </c:pt>
                <c:pt idx="48">
                  <c:v>1928</c:v>
                </c:pt>
                <c:pt idx="49">
                  <c:v>1929</c:v>
                </c:pt>
                <c:pt idx="50">
                  <c:v>1930</c:v>
                </c:pt>
                <c:pt idx="51">
                  <c:v>1931</c:v>
                </c:pt>
                <c:pt idx="52">
                  <c:v>1932</c:v>
                </c:pt>
                <c:pt idx="53">
                  <c:v>1933</c:v>
                </c:pt>
                <c:pt idx="54">
                  <c:v>1934</c:v>
                </c:pt>
                <c:pt idx="55">
                  <c:v>1935</c:v>
                </c:pt>
                <c:pt idx="56">
                  <c:v>1936</c:v>
                </c:pt>
                <c:pt idx="57">
                  <c:v>1937</c:v>
                </c:pt>
                <c:pt idx="58">
                  <c:v>1938</c:v>
                </c:pt>
                <c:pt idx="59">
                  <c:v>1939</c:v>
                </c:pt>
                <c:pt idx="60">
                  <c:v>1940</c:v>
                </c:pt>
                <c:pt idx="61">
                  <c:v>1941</c:v>
                </c:pt>
                <c:pt idx="62">
                  <c:v>1942</c:v>
                </c:pt>
                <c:pt idx="63">
                  <c:v>1943</c:v>
                </c:pt>
                <c:pt idx="64">
                  <c:v>1944</c:v>
                </c:pt>
                <c:pt idx="65">
                  <c:v>1945</c:v>
                </c:pt>
                <c:pt idx="66">
                  <c:v>1946</c:v>
                </c:pt>
                <c:pt idx="67">
                  <c:v>1947</c:v>
                </c:pt>
                <c:pt idx="68">
                  <c:v>1948</c:v>
                </c:pt>
                <c:pt idx="69">
                  <c:v>1949</c:v>
                </c:pt>
                <c:pt idx="70">
                  <c:v>1950</c:v>
                </c:pt>
                <c:pt idx="71">
                  <c:v>1951</c:v>
                </c:pt>
                <c:pt idx="72">
                  <c:v>1952</c:v>
                </c:pt>
                <c:pt idx="73">
                  <c:v>1953</c:v>
                </c:pt>
                <c:pt idx="74">
                  <c:v>1954</c:v>
                </c:pt>
                <c:pt idx="75">
                  <c:v>1955</c:v>
                </c:pt>
                <c:pt idx="76">
                  <c:v>1956</c:v>
                </c:pt>
                <c:pt idx="77">
                  <c:v>1957</c:v>
                </c:pt>
                <c:pt idx="78">
                  <c:v>1958</c:v>
                </c:pt>
                <c:pt idx="79">
                  <c:v>1959</c:v>
                </c:pt>
                <c:pt idx="80">
                  <c:v>1960</c:v>
                </c:pt>
                <c:pt idx="81">
                  <c:v>1961</c:v>
                </c:pt>
                <c:pt idx="82">
                  <c:v>1962</c:v>
                </c:pt>
                <c:pt idx="83">
                  <c:v>1963</c:v>
                </c:pt>
                <c:pt idx="84">
                  <c:v>1964</c:v>
                </c:pt>
                <c:pt idx="85">
                  <c:v>1965</c:v>
                </c:pt>
                <c:pt idx="86">
                  <c:v>1966</c:v>
                </c:pt>
                <c:pt idx="87">
                  <c:v>1967</c:v>
                </c:pt>
                <c:pt idx="88">
                  <c:v>1968</c:v>
                </c:pt>
                <c:pt idx="89">
                  <c:v>1969</c:v>
                </c:pt>
                <c:pt idx="90">
                  <c:v>1970</c:v>
                </c:pt>
                <c:pt idx="91">
                  <c:v>1971</c:v>
                </c:pt>
                <c:pt idx="92">
                  <c:v>1972</c:v>
                </c:pt>
                <c:pt idx="93">
                  <c:v>1973</c:v>
                </c:pt>
                <c:pt idx="94">
                  <c:v>1974</c:v>
                </c:pt>
                <c:pt idx="95">
                  <c:v>1975</c:v>
                </c:pt>
                <c:pt idx="96">
                  <c:v>1976</c:v>
                </c:pt>
                <c:pt idx="97">
                  <c:v>1977</c:v>
                </c:pt>
                <c:pt idx="98">
                  <c:v>1978</c:v>
                </c:pt>
                <c:pt idx="99">
                  <c:v>1979</c:v>
                </c:pt>
                <c:pt idx="100">
                  <c:v>1980</c:v>
                </c:pt>
                <c:pt idx="101">
                  <c:v>1981</c:v>
                </c:pt>
                <c:pt idx="102">
                  <c:v>1982</c:v>
                </c:pt>
                <c:pt idx="103">
                  <c:v>1983</c:v>
                </c:pt>
                <c:pt idx="104">
                  <c:v>1984</c:v>
                </c:pt>
                <c:pt idx="105">
                  <c:v>1985</c:v>
                </c:pt>
                <c:pt idx="106">
                  <c:v>1986</c:v>
                </c:pt>
                <c:pt idx="107">
                  <c:v>1987</c:v>
                </c:pt>
                <c:pt idx="108">
                  <c:v>1988</c:v>
                </c:pt>
                <c:pt idx="109">
                  <c:v>1989</c:v>
                </c:pt>
                <c:pt idx="110">
                  <c:v>1990</c:v>
                </c:pt>
                <c:pt idx="111">
                  <c:v>1991</c:v>
                </c:pt>
                <c:pt idx="112">
                  <c:v>1992</c:v>
                </c:pt>
                <c:pt idx="113">
                  <c:v>1993</c:v>
                </c:pt>
                <c:pt idx="114">
                  <c:v>1994</c:v>
                </c:pt>
                <c:pt idx="115">
                  <c:v>1995</c:v>
                </c:pt>
                <c:pt idx="116">
                  <c:v>1996</c:v>
                </c:pt>
                <c:pt idx="117">
                  <c:v>1997</c:v>
                </c:pt>
                <c:pt idx="118">
                  <c:v>1998</c:v>
                </c:pt>
                <c:pt idx="119">
                  <c:v>1999</c:v>
                </c:pt>
                <c:pt idx="120">
                  <c:v>2000</c:v>
                </c:pt>
                <c:pt idx="121">
                  <c:v>2001</c:v>
                </c:pt>
                <c:pt idx="122">
                  <c:v>2002</c:v>
                </c:pt>
                <c:pt idx="123">
                  <c:v>2003</c:v>
                </c:pt>
                <c:pt idx="124">
                  <c:v>2004</c:v>
                </c:pt>
              </c:numCache>
            </c:numRef>
          </c:cat>
          <c:val>
            <c:numRef>
              <c:f>Sheet1!$U$38:$U$162</c:f>
              <c:numCache>
                <c:formatCode>General</c:formatCode>
                <c:ptCount val="125"/>
                <c:pt idx="0">
                  <c:v>149.99970000000002</c:v>
                </c:pt>
                <c:pt idx="1">
                  <c:v>153.23413600000001</c:v>
                </c:pt>
                <c:pt idx="2">
                  <c:v>156.46857199999999</c:v>
                </c:pt>
                <c:pt idx="3">
                  <c:v>159.70300800000001</c:v>
                </c:pt>
                <c:pt idx="4">
                  <c:v>162.93744400000003</c:v>
                </c:pt>
                <c:pt idx="5">
                  <c:v>166.17188000000002</c:v>
                </c:pt>
                <c:pt idx="6">
                  <c:v>169.406316</c:v>
                </c:pt>
                <c:pt idx="7" formatCode="#,##0.000;[Red]#,##0.000">
                  <c:v>172.64075200000002</c:v>
                </c:pt>
                <c:pt idx="8">
                  <c:v>176.03429360000001</c:v>
                </c:pt>
                <c:pt idx="9">
                  <c:v>179.4278352</c:v>
                </c:pt>
                <c:pt idx="10">
                  <c:v>182.82137680000002</c:v>
                </c:pt>
                <c:pt idx="11">
                  <c:v>186.21491840000002</c:v>
                </c:pt>
                <c:pt idx="12">
                  <c:v>189.60846000000001</c:v>
                </c:pt>
                <c:pt idx="13">
                  <c:v>193.0020016</c:v>
                </c:pt>
                <c:pt idx="14">
                  <c:v>196.39554319999999</c:v>
                </c:pt>
                <c:pt idx="15">
                  <c:v>199.78908480000001</c:v>
                </c:pt>
                <c:pt idx="16">
                  <c:v>203.1826264</c:v>
                </c:pt>
                <c:pt idx="17" formatCode="#,##0.000;[Red]#,##0.000">
                  <c:v>206.576168</c:v>
                </c:pt>
                <c:pt idx="18">
                  <c:v>211.72322399999999</c:v>
                </c:pt>
                <c:pt idx="19">
                  <c:v>216.87028000000001</c:v>
                </c:pt>
                <c:pt idx="20">
                  <c:v>222.017336</c:v>
                </c:pt>
                <c:pt idx="21">
                  <c:v>227.16439200000002</c:v>
                </c:pt>
                <c:pt idx="22">
                  <c:v>232.31144800000001</c:v>
                </c:pt>
                <c:pt idx="23">
                  <c:v>237.458504</c:v>
                </c:pt>
                <c:pt idx="24">
                  <c:v>242.60556000000003</c:v>
                </c:pt>
                <c:pt idx="25">
                  <c:v>247.75261600000002</c:v>
                </c:pt>
                <c:pt idx="26">
                  <c:v>252.89967200000004</c:v>
                </c:pt>
                <c:pt idx="27" formatCode="#,##0.000;[Red]#,##0.000">
                  <c:v>258.04672800000003</c:v>
                </c:pt>
                <c:pt idx="28">
                  <c:v>263.71042</c:v>
                </c:pt>
                <c:pt idx="29">
                  <c:v>269.37411200000003</c:v>
                </c:pt>
                <c:pt idx="30">
                  <c:v>275.03780400000005</c:v>
                </c:pt>
                <c:pt idx="31">
                  <c:v>280.70149600000002</c:v>
                </c:pt>
                <c:pt idx="32">
                  <c:v>286.36518799999999</c:v>
                </c:pt>
                <c:pt idx="33" formatCode="0.0">
                  <c:v>292.02888000000002</c:v>
                </c:pt>
                <c:pt idx="34" formatCode="0.0">
                  <c:v>269.914624</c:v>
                </c:pt>
                <c:pt idx="35" formatCode="0.0">
                  <c:v>257.257296</c:v>
                </c:pt>
                <c:pt idx="36" formatCode="0.0">
                  <c:v>260.47699999999998</c:v>
                </c:pt>
                <c:pt idx="37" formatCode="0.0">
                  <c:v>252.47498400000001</c:v>
                </c:pt>
                <c:pt idx="38" formatCode="0.0">
                  <c:v>231.39298399999998</c:v>
                </c:pt>
                <c:pt idx="39" formatCode="0.0">
                  <c:v>233.45648</c:v>
                </c:pt>
                <c:pt idx="40" formatCode="0.0">
                  <c:v>233.20451200000002</c:v>
                </c:pt>
                <c:pt idx="41" formatCode="0.0">
                  <c:v>165.86301600000002</c:v>
                </c:pt>
                <c:pt idx="42" formatCode="0.0">
                  <c:v>253.60071200000002</c:v>
                </c:pt>
                <c:pt idx="43" formatCode="0.0">
                  <c:v>280.41701599999999</c:v>
                </c:pt>
                <c:pt idx="44" formatCode="0.0">
                  <c:v>271.39188799999999</c:v>
                </c:pt>
                <c:pt idx="45" formatCode="0.0">
                  <c:v>247.06681599999999</c:v>
                </c:pt>
                <c:pt idx="46" formatCode="0.0">
                  <c:v>128.299464</c:v>
                </c:pt>
                <c:pt idx="47" formatCode="0.0">
                  <c:v>255.251712</c:v>
                </c:pt>
                <c:pt idx="48" formatCode="0.0">
                  <c:v>241.27155200000001</c:v>
                </c:pt>
                <c:pt idx="49" formatCode="0.0">
                  <c:v>262.03351199999997</c:v>
                </c:pt>
                <c:pt idx="50" formatCode="0.0">
                  <c:v>247.78411200000002</c:v>
                </c:pt>
                <c:pt idx="51" formatCode="0.0">
                  <c:v>222.97034400000001</c:v>
                </c:pt>
                <c:pt idx="52" formatCode="0.0">
                  <c:v>212.07272800000001</c:v>
                </c:pt>
                <c:pt idx="53" formatCode="0.0">
                  <c:v>210.425792</c:v>
                </c:pt>
                <c:pt idx="54" formatCode="0.0">
                  <c:v>224.25761600000001</c:v>
                </c:pt>
                <c:pt idx="55" formatCode="0.0">
                  <c:v>225.80498399999999</c:v>
                </c:pt>
                <c:pt idx="56" formatCode="0.0">
                  <c:v>232.10316800000001</c:v>
                </c:pt>
                <c:pt idx="57" formatCode="0.0">
                  <c:v>244.25554399999999</c:v>
                </c:pt>
                <c:pt idx="58" formatCode="0.0">
                  <c:v>230.624888</c:v>
                </c:pt>
                <c:pt idx="59" formatCode="0.0">
                  <c:v>235.03940800000001</c:v>
                </c:pt>
                <c:pt idx="60" formatCode="0.0">
                  <c:v>227.88778400000001</c:v>
                </c:pt>
                <c:pt idx="61" formatCode="0.0">
                  <c:v>209.64550399999999</c:v>
                </c:pt>
                <c:pt idx="62" formatCode="0.0">
                  <c:v>208.22310400000001</c:v>
                </c:pt>
                <c:pt idx="63" formatCode="0.0">
                  <c:v>202.10271999999998</c:v>
                </c:pt>
                <c:pt idx="64" formatCode="0.0">
                  <c:v>195.83196800000002</c:v>
                </c:pt>
                <c:pt idx="65" formatCode="0.0">
                  <c:v>185.6994</c:v>
                </c:pt>
                <c:pt idx="66" formatCode="0.0">
                  <c:v>193.10990079999999</c:v>
                </c:pt>
                <c:pt idx="67" formatCode="0.0">
                  <c:v>200.0504</c:v>
                </c:pt>
                <c:pt idx="68" formatCode="0.0">
                  <c:v>210.31200000000001</c:v>
                </c:pt>
                <c:pt idx="69" formatCode="0.0">
                  <c:v>218.33840000000001</c:v>
                </c:pt>
                <c:pt idx="70" formatCode="0.0">
                  <c:v>219.45600000000002</c:v>
                </c:pt>
                <c:pt idx="71" formatCode="0.0">
                  <c:v>226.16159999999999</c:v>
                </c:pt>
                <c:pt idx="72" formatCode="0.0">
                  <c:v>228.4984</c:v>
                </c:pt>
                <c:pt idx="73" formatCode="0.0">
                  <c:v>227.07599999999999</c:v>
                </c:pt>
                <c:pt idx="74" formatCode="0.0">
                  <c:v>227.38080000000002</c:v>
                </c:pt>
                <c:pt idx="75" formatCode="0.0">
                  <c:v>225.65360000000001</c:v>
                </c:pt>
                <c:pt idx="76" formatCode="0.0">
                  <c:v>226.06</c:v>
                </c:pt>
                <c:pt idx="77" formatCode="0.0">
                  <c:v>227.78719999999998</c:v>
                </c:pt>
                <c:pt idx="78" formatCode="0.0">
                  <c:v>219.76080000000002</c:v>
                </c:pt>
                <c:pt idx="79" formatCode="0.0">
                  <c:v>210.1088</c:v>
                </c:pt>
                <c:pt idx="80" formatCode="0.0">
                  <c:v>197.83099999999999</c:v>
                </c:pt>
                <c:pt idx="81" formatCode="0.0">
                  <c:v>195.047</c:v>
                </c:pt>
                <c:pt idx="82" formatCode="0.0">
                  <c:v>202.63900000000001</c:v>
                </c:pt>
                <c:pt idx="83" formatCode="0.0">
                  <c:v>200.46199999999999</c:v>
                </c:pt>
                <c:pt idx="84" formatCode="0.0">
                  <c:v>198.05600000000001</c:v>
                </c:pt>
                <c:pt idx="85" formatCode="0.0">
                  <c:v>191.62700000000001</c:v>
                </c:pt>
                <c:pt idx="86" formatCode="0.0">
                  <c:v>179.90899999999999</c:v>
                </c:pt>
                <c:pt idx="87" formatCode="0.0">
                  <c:v>177.65100000000001</c:v>
                </c:pt>
                <c:pt idx="88" formatCode="0.0">
                  <c:v>169.92</c:v>
                </c:pt>
                <c:pt idx="89" formatCode="0.0">
                  <c:v>155.69399999999999</c:v>
                </c:pt>
                <c:pt idx="90" formatCode="0.0">
                  <c:v>147.19499999999999</c:v>
                </c:pt>
                <c:pt idx="91" formatCode="0.0">
                  <c:v>153.68299999999999</c:v>
                </c:pt>
                <c:pt idx="92" formatCode="0.0">
                  <c:v>126.834</c:v>
                </c:pt>
                <c:pt idx="93" formatCode="0.0">
                  <c:v>131.98400000000001</c:v>
                </c:pt>
                <c:pt idx="94" formatCode="0.0">
                  <c:v>110.452</c:v>
                </c:pt>
                <c:pt idx="95" formatCode="0.0">
                  <c:v>128.68299999999999</c:v>
                </c:pt>
                <c:pt idx="96" formatCode="0.0">
                  <c:v>123.801</c:v>
                </c:pt>
                <c:pt idx="97" formatCode="0.0">
                  <c:v>122.15</c:v>
                </c:pt>
                <c:pt idx="98" formatCode="0.0">
                  <c:v>123.577</c:v>
                </c:pt>
                <c:pt idx="99" formatCode="0.0">
                  <c:v>122.369</c:v>
                </c:pt>
                <c:pt idx="100" formatCode="0.0">
                  <c:v>130.09700000000001</c:v>
                </c:pt>
                <c:pt idx="101" formatCode="0.0">
                  <c:v>127.46899999999999</c:v>
                </c:pt>
                <c:pt idx="102" formatCode="0.0">
                  <c:v>124.711</c:v>
                </c:pt>
                <c:pt idx="103" formatCode="0.0">
                  <c:v>119.254</c:v>
                </c:pt>
                <c:pt idx="104" formatCode="0.0">
                  <c:v>51.182000000000002</c:v>
                </c:pt>
                <c:pt idx="105" formatCode="0.0">
                  <c:v>94.111000000000004</c:v>
                </c:pt>
                <c:pt idx="106" formatCode="0.0">
                  <c:v>108.099</c:v>
                </c:pt>
                <c:pt idx="107" formatCode="0.0">
                  <c:v>104.533</c:v>
                </c:pt>
                <c:pt idx="108" formatCode="0.0">
                  <c:v>104.066</c:v>
                </c:pt>
                <c:pt idx="109" formatCode="0.0">
                  <c:v>99.82</c:v>
                </c:pt>
                <c:pt idx="110" formatCode="0.0">
                  <c:v>92.762</c:v>
                </c:pt>
                <c:pt idx="111" formatCode="0.0">
                  <c:v>94.201999999999998</c:v>
                </c:pt>
                <c:pt idx="112" formatCode="0.0">
                  <c:v>84.492999999999995</c:v>
                </c:pt>
                <c:pt idx="113" formatCode="0.0">
                  <c:v>68.198999999999998</c:v>
                </c:pt>
                <c:pt idx="114" formatCode="0.0">
                  <c:v>49.784999999999997</c:v>
                </c:pt>
                <c:pt idx="115" formatCode="0.0">
                  <c:v>53.036999999999999</c:v>
                </c:pt>
                <c:pt idx="116" formatCode="0.0">
                  <c:v>50.197000000000003</c:v>
                </c:pt>
                <c:pt idx="117" formatCode="0.0">
                  <c:v>48.494999999999997</c:v>
                </c:pt>
                <c:pt idx="118" formatCode="0.0">
                  <c:v>41.177</c:v>
                </c:pt>
                <c:pt idx="119" formatCode="0.0">
                  <c:v>37.076999999999998</c:v>
                </c:pt>
                <c:pt idx="120" formatCode="0.0">
                  <c:v>31.196999999999999</c:v>
                </c:pt>
                <c:pt idx="121" formatCode="0.0">
                  <c:v>31.93</c:v>
                </c:pt>
                <c:pt idx="122" formatCode="0.0">
                  <c:v>29.989000000000001</c:v>
                </c:pt>
                <c:pt idx="123" formatCode="0.0">
                  <c:v>28.259</c:v>
                </c:pt>
                <c:pt idx="124" formatCode="0.0">
                  <c:v>25.1</c:v>
                </c:pt>
              </c:numCache>
            </c:numRef>
          </c:val>
          <c:smooth val="0"/>
          <c:extLst>
            <c:ext xmlns:c16="http://schemas.microsoft.com/office/drawing/2014/chart" uri="{C3380CC4-5D6E-409C-BE32-E72D297353CC}">
              <c16:uniqueId val="{00000000-945C-4B6E-8E2C-A0597959F7FA}"/>
            </c:ext>
          </c:extLst>
        </c:ser>
        <c:ser>
          <c:idx val="1"/>
          <c:order val="1"/>
          <c:tx>
            <c:v>Coal Production Trend</c:v>
          </c:tx>
          <c:spPr>
            <a:ln w="28575" cap="rnd">
              <a:solidFill>
                <a:schemeClr val="tx1">
                  <a:lumMod val="65000"/>
                  <a:lumOff val="35000"/>
                </a:schemeClr>
              </a:solidFill>
              <a:round/>
            </a:ln>
            <a:effectLst/>
          </c:spPr>
          <c:marker>
            <c:symbol val="none"/>
          </c:marker>
          <c:cat>
            <c:numRef>
              <c:f>Sheet1!$T$38:$T$162</c:f>
              <c:numCache>
                <c:formatCode>General</c:formatCode>
                <c:ptCount val="125"/>
                <c:pt idx="0">
                  <c:v>1880</c:v>
                </c:pt>
                <c:pt idx="1">
                  <c:v>1881</c:v>
                </c:pt>
                <c:pt idx="2">
                  <c:v>1882</c:v>
                </c:pt>
                <c:pt idx="3">
                  <c:v>1883</c:v>
                </c:pt>
                <c:pt idx="4">
                  <c:v>1884</c:v>
                </c:pt>
                <c:pt idx="5">
                  <c:v>1885</c:v>
                </c:pt>
                <c:pt idx="6">
                  <c:v>1886</c:v>
                </c:pt>
                <c:pt idx="7">
                  <c:v>1887</c:v>
                </c:pt>
                <c:pt idx="8">
                  <c:v>1888</c:v>
                </c:pt>
                <c:pt idx="9">
                  <c:v>1889</c:v>
                </c:pt>
                <c:pt idx="10">
                  <c:v>1890</c:v>
                </c:pt>
                <c:pt idx="11">
                  <c:v>1891</c:v>
                </c:pt>
                <c:pt idx="12">
                  <c:v>1892</c:v>
                </c:pt>
                <c:pt idx="13">
                  <c:v>1893</c:v>
                </c:pt>
                <c:pt idx="14">
                  <c:v>1894</c:v>
                </c:pt>
                <c:pt idx="15">
                  <c:v>1895</c:v>
                </c:pt>
                <c:pt idx="16">
                  <c:v>1896</c:v>
                </c:pt>
                <c:pt idx="17">
                  <c:v>1897</c:v>
                </c:pt>
                <c:pt idx="18">
                  <c:v>1898</c:v>
                </c:pt>
                <c:pt idx="19">
                  <c:v>1899</c:v>
                </c:pt>
                <c:pt idx="20">
                  <c:v>1900</c:v>
                </c:pt>
                <c:pt idx="21">
                  <c:v>1901</c:v>
                </c:pt>
                <c:pt idx="22">
                  <c:v>1902</c:v>
                </c:pt>
                <c:pt idx="23">
                  <c:v>1903</c:v>
                </c:pt>
                <c:pt idx="24">
                  <c:v>1904</c:v>
                </c:pt>
                <c:pt idx="25">
                  <c:v>1905</c:v>
                </c:pt>
                <c:pt idx="26">
                  <c:v>1906</c:v>
                </c:pt>
                <c:pt idx="27">
                  <c:v>1907</c:v>
                </c:pt>
                <c:pt idx="28">
                  <c:v>1908</c:v>
                </c:pt>
                <c:pt idx="29">
                  <c:v>1909</c:v>
                </c:pt>
                <c:pt idx="30">
                  <c:v>1910</c:v>
                </c:pt>
                <c:pt idx="31">
                  <c:v>1911</c:v>
                </c:pt>
                <c:pt idx="32">
                  <c:v>1912</c:v>
                </c:pt>
                <c:pt idx="33">
                  <c:v>1913</c:v>
                </c:pt>
                <c:pt idx="34">
                  <c:v>1914</c:v>
                </c:pt>
                <c:pt idx="35">
                  <c:v>1915</c:v>
                </c:pt>
                <c:pt idx="36">
                  <c:v>1916</c:v>
                </c:pt>
                <c:pt idx="37">
                  <c:v>1917</c:v>
                </c:pt>
                <c:pt idx="38">
                  <c:v>1918</c:v>
                </c:pt>
                <c:pt idx="39">
                  <c:v>1919</c:v>
                </c:pt>
                <c:pt idx="40">
                  <c:v>1920</c:v>
                </c:pt>
                <c:pt idx="41">
                  <c:v>1921</c:v>
                </c:pt>
                <c:pt idx="42">
                  <c:v>1922</c:v>
                </c:pt>
                <c:pt idx="43">
                  <c:v>1923</c:v>
                </c:pt>
                <c:pt idx="44">
                  <c:v>1924</c:v>
                </c:pt>
                <c:pt idx="45">
                  <c:v>1925</c:v>
                </c:pt>
                <c:pt idx="46">
                  <c:v>1926</c:v>
                </c:pt>
                <c:pt idx="47">
                  <c:v>1927</c:v>
                </c:pt>
                <c:pt idx="48">
                  <c:v>1928</c:v>
                </c:pt>
                <c:pt idx="49">
                  <c:v>1929</c:v>
                </c:pt>
                <c:pt idx="50">
                  <c:v>1930</c:v>
                </c:pt>
                <c:pt idx="51">
                  <c:v>1931</c:v>
                </c:pt>
                <c:pt idx="52">
                  <c:v>1932</c:v>
                </c:pt>
                <c:pt idx="53">
                  <c:v>1933</c:v>
                </c:pt>
                <c:pt idx="54">
                  <c:v>1934</c:v>
                </c:pt>
                <c:pt idx="55">
                  <c:v>1935</c:v>
                </c:pt>
                <c:pt idx="56">
                  <c:v>1936</c:v>
                </c:pt>
                <c:pt idx="57">
                  <c:v>1937</c:v>
                </c:pt>
                <c:pt idx="58">
                  <c:v>1938</c:v>
                </c:pt>
                <c:pt idx="59">
                  <c:v>1939</c:v>
                </c:pt>
                <c:pt idx="60">
                  <c:v>1940</c:v>
                </c:pt>
                <c:pt idx="61">
                  <c:v>1941</c:v>
                </c:pt>
                <c:pt idx="62">
                  <c:v>1942</c:v>
                </c:pt>
                <c:pt idx="63">
                  <c:v>1943</c:v>
                </c:pt>
                <c:pt idx="64">
                  <c:v>1944</c:v>
                </c:pt>
                <c:pt idx="65">
                  <c:v>1945</c:v>
                </c:pt>
                <c:pt idx="66">
                  <c:v>1946</c:v>
                </c:pt>
                <c:pt idx="67">
                  <c:v>1947</c:v>
                </c:pt>
                <c:pt idx="68">
                  <c:v>1948</c:v>
                </c:pt>
                <c:pt idx="69">
                  <c:v>1949</c:v>
                </c:pt>
                <c:pt idx="70">
                  <c:v>1950</c:v>
                </c:pt>
                <c:pt idx="71">
                  <c:v>1951</c:v>
                </c:pt>
                <c:pt idx="72">
                  <c:v>1952</c:v>
                </c:pt>
                <c:pt idx="73">
                  <c:v>1953</c:v>
                </c:pt>
                <c:pt idx="74">
                  <c:v>1954</c:v>
                </c:pt>
                <c:pt idx="75">
                  <c:v>1955</c:v>
                </c:pt>
                <c:pt idx="76">
                  <c:v>1956</c:v>
                </c:pt>
                <c:pt idx="77">
                  <c:v>1957</c:v>
                </c:pt>
                <c:pt idx="78">
                  <c:v>1958</c:v>
                </c:pt>
                <c:pt idx="79">
                  <c:v>1959</c:v>
                </c:pt>
                <c:pt idx="80">
                  <c:v>1960</c:v>
                </c:pt>
                <c:pt idx="81">
                  <c:v>1961</c:v>
                </c:pt>
                <c:pt idx="82">
                  <c:v>1962</c:v>
                </c:pt>
                <c:pt idx="83">
                  <c:v>1963</c:v>
                </c:pt>
                <c:pt idx="84">
                  <c:v>1964</c:v>
                </c:pt>
                <c:pt idx="85">
                  <c:v>1965</c:v>
                </c:pt>
                <c:pt idx="86">
                  <c:v>1966</c:v>
                </c:pt>
                <c:pt idx="87">
                  <c:v>1967</c:v>
                </c:pt>
                <c:pt idx="88">
                  <c:v>1968</c:v>
                </c:pt>
                <c:pt idx="89">
                  <c:v>1969</c:v>
                </c:pt>
                <c:pt idx="90">
                  <c:v>1970</c:v>
                </c:pt>
                <c:pt idx="91">
                  <c:v>1971</c:v>
                </c:pt>
                <c:pt idx="92">
                  <c:v>1972</c:v>
                </c:pt>
                <c:pt idx="93">
                  <c:v>1973</c:v>
                </c:pt>
                <c:pt idx="94">
                  <c:v>1974</c:v>
                </c:pt>
                <c:pt idx="95">
                  <c:v>1975</c:v>
                </c:pt>
                <c:pt idx="96">
                  <c:v>1976</c:v>
                </c:pt>
                <c:pt idx="97">
                  <c:v>1977</c:v>
                </c:pt>
                <c:pt idx="98">
                  <c:v>1978</c:v>
                </c:pt>
                <c:pt idx="99">
                  <c:v>1979</c:v>
                </c:pt>
                <c:pt idx="100">
                  <c:v>1980</c:v>
                </c:pt>
                <c:pt idx="101">
                  <c:v>1981</c:v>
                </c:pt>
                <c:pt idx="102">
                  <c:v>1982</c:v>
                </c:pt>
                <c:pt idx="103">
                  <c:v>1983</c:v>
                </c:pt>
                <c:pt idx="104">
                  <c:v>1984</c:v>
                </c:pt>
                <c:pt idx="105">
                  <c:v>1985</c:v>
                </c:pt>
                <c:pt idx="106">
                  <c:v>1986</c:v>
                </c:pt>
                <c:pt idx="107">
                  <c:v>1987</c:v>
                </c:pt>
                <c:pt idx="108">
                  <c:v>1988</c:v>
                </c:pt>
                <c:pt idx="109">
                  <c:v>1989</c:v>
                </c:pt>
                <c:pt idx="110">
                  <c:v>1990</c:v>
                </c:pt>
                <c:pt idx="111">
                  <c:v>1991</c:v>
                </c:pt>
                <c:pt idx="112">
                  <c:v>1992</c:v>
                </c:pt>
                <c:pt idx="113">
                  <c:v>1993</c:v>
                </c:pt>
                <c:pt idx="114">
                  <c:v>1994</c:v>
                </c:pt>
                <c:pt idx="115">
                  <c:v>1995</c:v>
                </c:pt>
                <c:pt idx="116">
                  <c:v>1996</c:v>
                </c:pt>
                <c:pt idx="117">
                  <c:v>1997</c:v>
                </c:pt>
                <c:pt idx="118">
                  <c:v>1998</c:v>
                </c:pt>
                <c:pt idx="119">
                  <c:v>1999</c:v>
                </c:pt>
                <c:pt idx="120">
                  <c:v>2000</c:v>
                </c:pt>
                <c:pt idx="121">
                  <c:v>2001</c:v>
                </c:pt>
                <c:pt idx="122">
                  <c:v>2002</c:v>
                </c:pt>
                <c:pt idx="123">
                  <c:v>2003</c:v>
                </c:pt>
                <c:pt idx="124">
                  <c:v>2004</c:v>
                </c:pt>
              </c:numCache>
            </c:numRef>
          </c:cat>
          <c:val>
            <c:numRef>
              <c:f>Sheet1!$V$38:$V$162</c:f>
              <c:numCache>
                <c:formatCode>General</c:formatCode>
                <c:ptCount val="125"/>
                <c:pt idx="0">
                  <c:v>138.08495766918975</c:v>
                </c:pt>
                <c:pt idx="1">
                  <c:v>141.97935092632446</c:v>
                </c:pt>
                <c:pt idx="2">
                  <c:v>145.89236605324535</c:v>
                </c:pt>
                <c:pt idx="3">
                  <c:v>149.81955915466796</c:v>
                </c:pt>
                <c:pt idx="4">
                  <c:v>153.75633837121512</c:v>
                </c:pt>
                <c:pt idx="5">
                  <c:v>157.69797152528469</c:v>
                </c:pt>
                <c:pt idx="6">
                  <c:v>161.63959441427025</c:v>
                </c:pt>
                <c:pt idx="7">
                  <c:v>165.57621973665323</c:v>
                </c:pt>
                <c:pt idx="8">
                  <c:v>169.50274663330981</c:v>
                </c:pt>
                <c:pt idx="9">
                  <c:v>173.41397082320333</c:v>
                </c:pt>
                <c:pt idx="10">
                  <c:v>177.30459530949051</c:v>
                </c:pt>
                <c:pt idx="11">
                  <c:v>181.16924162896905</c:v>
                </c:pt>
                <c:pt idx="12">
                  <c:v>185.00246161475954</c:v>
                </c:pt>
                <c:pt idx="13">
                  <c:v>188.79874963915964</c:v>
                </c:pt>
                <c:pt idx="14">
                  <c:v>192.5525553007555</c:v>
                </c:pt>
                <c:pt idx="15">
                  <c:v>196.2582965171419</c:v>
                </c:pt>
                <c:pt idx="16">
                  <c:v>199.9103729820059</c:v>
                </c:pt>
                <c:pt idx="17">
                  <c:v>203.50317994288571</c:v>
                </c:pt>
                <c:pt idx="18">
                  <c:v>207.03112225364902</c:v>
                </c:pt>
                <c:pt idx="19">
                  <c:v>210.48862865365058</c:v>
                </c:pt>
                <c:pt idx="20">
                  <c:v>213.8701662236528</c:v>
                </c:pt>
                <c:pt idx="21">
                  <c:v>217.17025496693071</c:v>
                </c:pt>
                <c:pt idx="22">
                  <c:v>220.38348246255532</c:v>
                </c:pt>
                <c:pt idx="23">
                  <c:v>223.50451853666098</c:v>
                </c:pt>
                <c:pt idx="24">
                  <c:v>226.52812989657227</c:v>
                </c:pt>
                <c:pt idx="25">
                  <c:v>229.44919467199483</c:v>
                </c:pt>
                <c:pt idx="26">
                  <c:v>232.26271680707748</c:v>
                </c:pt>
                <c:pt idx="27">
                  <c:v>234.96384024703096</c:v>
                </c:pt>
                <c:pt idx="28">
                  <c:v>237.54786286314953</c:v>
                </c:pt>
                <c:pt idx="29">
                  <c:v>240.01025006052529</c:v>
                </c:pt>
                <c:pt idx="30">
                  <c:v>242.34664801347716</c:v>
                </c:pt>
                <c:pt idx="31">
                  <c:v>244.55289647472895</c:v>
                </c:pt>
                <c:pt idx="32">
                  <c:v>246.62504110566999</c:v>
                </c:pt>
                <c:pt idx="33">
                  <c:v>248.559345276606</c:v>
                </c:pt>
                <c:pt idx="34">
                  <c:v>250.35230128775433</c:v>
                </c:pt>
                <c:pt idx="35">
                  <c:v>252.00064096384946</c:v>
                </c:pt>
                <c:pt idx="36">
                  <c:v>253.50134557758864</c:v>
                </c:pt>
                <c:pt idx="37">
                  <c:v>254.85165505975635</c:v>
                </c:pt>
                <c:pt idx="38">
                  <c:v>256.04907645670482</c:v>
                </c:pt>
                <c:pt idx="39">
                  <c:v>257.09139159892061</c:v>
                </c:pt>
                <c:pt idx="40">
                  <c:v>257.97666394766333</c:v>
                </c:pt>
                <c:pt idx="41">
                  <c:v>258.70324459009743</c:v>
                </c:pt>
                <c:pt idx="42">
                  <c:v>259.2697773569397</c:v>
                </c:pt>
                <c:pt idx="43">
                  <c:v>259.67520304039101</c:v>
                </c:pt>
                <c:pt idx="44">
                  <c:v>259.91876269399017</c:v>
                </c:pt>
                <c:pt idx="45">
                  <c:v>260</c:v>
                </c:pt>
                <c:pt idx="46">
                  <c:v>259.91876269399017</c:v>
                </c:pt>
                <c:pt idx="47">
                  <c:v>259.67520304039101</c:v>
                </c:pt>
                <c:pt idx="48">
                  <c:v>259.2697773569397</c:v>
                </c:pt>
                <c:pt idx="49">
                  <c:v>258.70324459009743</c:v>
                </c:pt>
                <c:pt idx="50">
                  <c:v>257.97666394766333</c:v>
                </c:pt>
                <c:pt idx="51">
                  <c:v>257.09139159892061</c:v>
                </c:pt>
                <c:pt idx="52">
                  <c:v>256.04907645670482</c:v>
                </c:pt>
                <c:pt idx="53">
                  <c:v>254.85165505975635</c:v>
                </c:pt>
                <c:pt idx="54">
                  <c:v>253.50134557758864</c:v>
                </c:pt>
                <c:pt idx="55">
                  <c:v>252.00064096384946</c:v>
                </c:pt>
                <c:pt idx="56">
                  <c:v>250.35230128775433</c:v>
                </c:pt>
                <c:pt idx="57">
                  <c:v>248.559345276606</c:v>
                </c:pt>
                <c:pt idx="58">
                  <c:v>246.62504110566999</c:v>
                </c:pt>
                <c:pt idx="59">
                  <c:v>244.55289647472895</c:v>
                </c:pt>
                <c:pt idx="60">
                  <c:v>242.34664801347716</c:v>
                </c:pt>
                <c:pt idx="61">
                  <c:v>240.01025006052529</c:v>
                </c:pt>
                <c:pt idx="62">
                  <c:v>237.54786286314953</c:v>
                </c:pt>
                <c:pt idx="63">
                  <c:v>234.96384024703096</c:v>
                </c:pt>
                <c:pt idx="64">
                  <c:v>232.26271680707748</c:v>
                </c:pt>
                <c:pt idx="65">
                  <c:v>229.44919467199483</c:v>
                </c:pt>
                <c:pt idx="66">
                  <c:v>226.52812989657227</c:v>
                </c:pt>
                <c:pt idx="67">
                  <c:v>223.50451853666098</c:v>
                </c:pt>
                <c:pt idx="68">
                  <c:v>220.38348246255532</c:v>
                </c:pt>
                <c:pt idx="69">
                  <c:v>217.17025496693071</c:v>
                </c:pt>
                <c:pt idx="70">
                  <c:v>213.8701662236528</c:v>
                </c:pt>
                <c:pt idx="71">
                  <c:v>210.48862865365058</c:v>
                </c:pt>
                <c:pt idx="72">
                  <c:v>207.03112225364902</c:v>
                </c:pt>
                <c:pt idx="73">
                  <c:v>203.50317994288571</c:v>
                </c:pt>
                <c:pt idx="74">
                  <c:v>199.9103729820059</c:v>
                </c:pt>
                <c:pt idx="75">
                  <c:v>196.2582965171419</c:v>
                </c:pt>
                <c:pt idx="76">
                  <c:v>192.5525553007555</c:v>
                </c:pt>
                <c:pt idx="77">
                  <c:v>188.79874963915964</c:v>
                </c:pt>
                <c:pt idx="78">
                  <c:v>185.00246161475954</c:v>
                </c:pt>
                <c:pt idx="79">
                  <c:v>181.16924162896905</c:v>
                </c:pt>
                <c:pt idx="80">
                  <c:v>177.30459530949051</c:v>
                </c:pt>
                <c:pt idx="81">
                  <c:v>173.41397082320333</c:v>
                </c:pt>
                <c:pt idx="82">
                  <c:v>169.50274663330981</c:v>
                </c:pt>
                <c:pt idx="83">
                  <c:v>165.57621973665323</c:v>
                </c:pt>
                <c:pt idx="84">
                  <c:v>161.63959441427025</c:v>
                </c:pt>
                <c:pt idx="85">
                  <c:v>157.69797152528469</c:v>
                </c:pt>
                <c:pt idx="86">
                  <c:v>153.75633837121512</c:v>
                </c:pt>
                <c:pt idx="87">
                  <c:v>149.81955915466796</c:v>
                </c:pt>
                <c:pt idx="88">
                  <c:v>145.89236605324535</c:v>
                </c:pt>
                <c:pt idx="89">
                  <c:v>141.97935092632446</c:v>
                </c:pt>
                <c:pt idx="90">
                  <c:v>138.08495766918975</c:v>
                </c:pt>
                <c:pt idx="91">
                  <c:v>134.21347522582906</c:v>
                </c:pt>
                <c:pt idx="92">
                  <c:v>130.36903126856453</c:v>
                </c:pt>
                <c:pt idx="93">
                  <c:v>126.55558654959263</c:v>
                </c:pt>
                <c:pt idx="94">
                  <c:v>122.77692992646999</c:v>
                </c:pt>
                <c:pt idx="95">
                  <c:v>119.0366740606197</c:v>
                </c:pt>
                <c:pt idx="96">
                  <c:v>115.33825178506066</c:v>
                </c:pt>
                <c:pt idx="97">
                  <c:v>111.68491313479218</c:v>
                </c:pt>
                <c:pt idx="98">
                  <c:v>108.07972303061108</c:v>
                </c:pt>
                <c:pt idx="99">
                  <c:v>104.52555960461027</c:v>
                </c:pt>
                <c:pt idx="100">
                  <c:v>101.02511315321468</c:v>
                </c:pt>
                <c:pt idx="101">
                  <c:v>97.580885701363883</c:v>
                </c:pt>
                <c:pt idx="102">
                  <c:v>94.195191159356483</c:v>
                </c:pt>
                <c:pt idx="103">
                  <c:v>90.870156051936689</c:v>
                </c:pt>
                <c:pt idx="104">
                  <c:v>87.607720797434538</c:v>
                </c:pt>
                <c:pt idx="105">
                  <c:v>84.409641513170925</c:v>
                </c:pt>
                <c:pt idx="106">
                  <c:v>81.277492321910401</c:v>
                </c:pt>
                <c:pt idx="107">
                  <c:v>78.212668132891636</c:v>
                </c:pt>
                <c:pt idx="108">
                  <c:v>75.216387869886034</c:v>
                </c:pt>
                <c:pt idx="109">
                  <c:v>72.289698117830469</c:v>
                </c:pt>
                <c:pt idx="110">
                  <c:v>69.433477158849271</c:v>
                </c:pt>
                <c:pt idx="111">
                  <c:v>66.648439367919138</c:v>
                </c:pt>
                <c:pt idx="112">
                  <c:v>63.935139938037594</c:v>
                </c:pt>
                <c:pt idx="113">
                  <c:v>61.293979904524512</c:v>
                </c:pt>
                <c:pt idx="114">
                  <c:v>58.725211438013766</c:v>
                </c:pt>
                <c:pt idx="115">
                  <c:v>56.228943375770697</c:v>
                </c:pt>
                <c:pt idx="116">
                  <c:v>53.805146961196186</c:v>
                </c:pt>
                <c:pt idx="117">
                  <c:v>51.453661761739809</c:v>
                </c:pt>
                <c:pt idx="118">
                  <c:v>49.174201735938645</c:v>
                </c:pt>
                <c:pt idx="119">
                  <c:v>46.966361420912435</c:v>
                </c:pt>
                <c:pt idx="120">
                  <c:v>44.829622212375732</c:v>
                </c:pt>
                <c:pt idx="121">
                  <c:v>42.763358710060274</c:v>
                </c:pt>
                <c:pt idx="122">
                  <c:v>40.766845102370333</c:v>
                </c:pt>
                <c:pt idx="123">
                  <c:v>38.839261565108686</c:v>
                </c:pt>
                <c:pt idx="124">
                  <c:v>36.979700650202794</c:v>
                </c:pt>
              </c:numCache>
            </c:numRef>
          </c:val>
          <c:smooth val="0"/>
          <c:extLst>
            <c:ext xmlns:c16="http://schemas.microsoft.com/office/drawing/2014/chart" uri="{C3380CC4-5D6E-409C-BE32-E72D297353CC}">
              <c16:uniqueId val="{00000001-945C-4B6E-8E2C-A0597959F7FA}"/>
            </c:ext>
          </c:extLst>
        </c:ser>
        <c:dLbls>
          <c:showLegendKey val="0"/>
          <c:showVal val="0"/>
          <c:showCatName val="0"/>
          <c:showSerName val="0"/>
          <c:showPercent val="0"/>
          <c:showBubbleSize val="0"/>
        </c:dLbls>
        <c:marker val="1"/>
        <c:smooth val="0"/>
        <c:axId val="637068408"/>
        <c:axId val="637069048"/>
      </c:lineChart>
      <c:lineChart>
        <c:grouping val="standard"/>
        <c:varyColors val="0"/>
        <c:ser>
          <c:idx val="3"/>
          <c:order val="2"/>
          <c:tx>
            <c:v>RP Ratio Trend</c:v>
          </c:tx>
          <c:spPr>
            <a:ln w="28575" cap="rnd">
              <a:solidFill>
                <a:schemeClr val="bg2">
                  <a:lumMod val="10000"/>
                </a:schemeClr>
              </a:solidFill>
              <a:prstDash val="lgDashDotDot"/>
              <a:round/>
            </a:ln>
            <a:effectLst/>
          </c:spPr>
          <c:marker>
            <c:symbol val="none"/>
          </c:marker>
          <c:cat>
            <c:numRef>
              <c:f>Sheet1!$T$38:$T$162</c:f>
              <c:numCache>
                <c:formatCode>General</c:formatCode>
                <c:ptCount val="125"/>
                <c:pt idx="0">
                  <c:v>1880</c:v>
                </c:pt>
                <c:pt idx="1">
                  <c:v>1881</c:v>
                </c:pt>
                <c:pt idx="2">
                  <c:v>1882</c:v>
                </c:pt>
                <c:pt idx="3">
                  <c:v>1883</c:v>
                </c:pt>
                <c:pt idx="4">
                  <c:v>1884</c:v>
                </c:pt>
                <c:pt idx="5">
                  <c:v>1885</c:v>
                </c:pt>
                <c:pt idx="6">
                  <c:v>1886</c:v>
                </c:pt>
                <c:pt idx="7">
                  <c:v>1887</c:v>
                </c:pt>
                <c:pt idx="8">
                  <c:v>1888</c:v>
                </c:pt>
                <c:pt idx="9">
                  <c:v>1889</c:v>
                </c:pt>
                <c:pt idx="10">
                  <c:v>1890</c:v>
                </c:pt>
                <c:pt idx="11">
                  <c:v>1891</c:v>
                </c:pt>
                <c:pt idx="12">
                  <c:v>1892</c:v>
                </c:pt>
                <c:pt idx="13">
                  <c:v>1893</c:v>
                </c:pt>
                <c:pt idx="14">
                  <c:v>1894</c:v>
                </c:pt>
                <c:pt idx="15">
                  <c:v>1895</c:v>
                </c:pt>
                <c:pt idx="16">
                  <c:v>1896</c:v>
                </c:pt>
                <c:pt idx="17">
                  <c:v>1897</c:v>
                </c:pt>
                <c:pt idx="18">
                  <c:v>1898</c:v>
                </c:pt>
                <c:pt idx="19">
                  <c:v>1899</c:v>
                </c:pt>
                <c:pt idx="20">
                  <c:v>1900</c:v>
                </c:pt>
                <c:pt idx="21">
                  <c:v>1901</c:v>
                </c:pt>
                <c:pt idx="22">
                  <c:v>1902</c:v>
                </c:pt>
                <c:pt idx="23">
                  <c:v>1903</c:v>
                </c:pt>
                <c:pt idx="24">
                  <c:v>1904</c:v>
                </c:pt>
                <c:pt idx="25">
                  <c:v>1905</c:v>
                </c:pt>
                <c:pt idx="26">
                  <c:v>1906</c:v>
                </c:pt>
                <c:pt idx="27">
                  <c:v>1907</c:v>
                </c:pt>
                <c:pt idx="28">
                  <c:v>1908</c:v>
                </c:pt>
                <c:pt idx="29">
                  <c:v>1909</c:v>
                </c:pt>
                <c:pt idx="30">
                  <c:v>1910</c:v>
                </c:pt>
                <c:pt idx="31">
                  <c:v>1911</c:v>
                </c:pt>
                <c:pt idx="32">
                  <c:v>1912</c:v>
                </c:pt>
                <c:pt idx="33">
                  <c:v>1913</c:v>
                </c:pt>
                <c:pt idx="34">
                  <c:v>1914</c:v>
                </c:pt>
                <c:pt idx="35">
                  <c:v>1915</c:v>
                </c:pt>
                <c:pt idx="36">
                  <c:v>1916</c:v>
                </c:pt>
                <c:pt idx="37">
                  <c:v>1917</c:v>
                </c:pt>
                <c:pt idx="38">
                  <c:v>1918</c:v>
                </c:pt>
                <c:pt idx="39">
                  <c:v>1919</c:v>
                </c:pt>
                <c:pt idx="40">
                  <c:v>1920</c:v>
                </c:pt>
                <c:pt idx="41">
                  <c:v>1921</c:v>
                </c:pt>
                <c:pt idx="42">
                  <c:v>1922</c:v>
                </c:pt>
                <c:pt idx="43">
                  <c:v>1923</c:v>
                </c:pt>
                <c:pt idx="44">
                  <c:v>1924</c:v>
                </c:pt>
                <c:pt idx="45">
                  <c:v>1925</c:v>
                </c:pt>
                <c:pt idx="46">
                  <c:v>1926</c:v>
                </c:pt>
                <c:pt idx="47">
                  <c:v>1927</c:v>
                </c:pt>
                <c:pt idx="48">
                  <c:v>1928</c:v>
                </c:pt>
                <c:pt idx="49">
                  <c:v>1929</c:v>
                </c:pt>
                <c:pt idx="50">
                  <c:v>1930</c:v>
                </c:pt>
                <c:pt idx="51">
                  <c:v>1931</c:v>
                </c:pt>
                <c:pt idx="52">
                  <c:v>1932</c:v>
                </c:pt>
                <c:pt idx="53">
                  <c:v>1933</c:v>
                </c:pt>
                <c:pt idx="54">
                  <c:v>1934</c:v>
                </c:pt>
                <c:pt idx="55">
                  <c:v>1935</c:v>
                </c:pt>
                <c:pt idx="56">
                  <c:v>1936</c:v>
                </c:pt>
                <c:pt idx="57">
                  <c:v>1937</c:v>
                </c:pt>
                <c:pt idx="58">
                  <c:v>1938</c:v>
                </c:pt>
                <c:pt idx="59">
                  <c:v>1939</c:v>
                </c:pt>
                <c:pt idx="60">
                  <c:v>1940</c:v>
                </c:pt>
                <c:pt idx="61">
                  <c:v>1941</c:v>
                </c:pt>
                <c:pt idx="62">
                  <c:v>1942</c:v>
                </c:pt>
                <c:pt idx="63">
                  <c:v>1943</c:v>
                </c:pt>
                <c:pt idx="64">
                  <c:v>1944</c:v>
                </c:pt>
                <c:pt idx="65">
                  <c:v>1945</c:v>
                </c:pt>
                <c:pt idx="66">
                  <c:v>1946</c:v>
                </c:pt>
                <c:pt idx="67">
                  <c:v>1947</c:v>
                </c:pt>
                <c:pt idx="68">
                  <c:v>1948</c:v>
                </c:pt>
                <c:pt idx="69">
                  <c:v>1949</c:v>
                </c:pt>
                <c:pt idx="70">
                  <c:v>1950</c:v>
                </c:pt>
                <c:pt idx="71">
                  <c:v>1951</c:v>
                </c:pt>
                <c:pt idx="72">
                  <c:v>1952</c:v>
                </c:pt>
                <c:pt idx="73">
                  <c:v>1953</c:v>
                </c:pt>
                <c:pt idx="74">
                  <c:v>1954</c:v>
                </c:pt>
                <c:pt idx="75">
                  <c:v>1955</c:v>
                </c:pt>
                <c:pt idx="76">
                  <c:v>1956</c:v>
                </c:pt>
                <c:pt idx="77">
                  <c:v>1957</c:v>
                </c:pt>
                <c:pt idx="78">
                  <c:v>1958</c:v>
                </c:pt>
                <c:pt idx="79">
                  <c:v>1959</c:v>
                </c:pt>
                <c:pt idx="80">
                  <c:v>1960</c:v>
                </c:pt>
                <c:pt idx="81">
                  <c:v>1961</c:v>
                </c:pt>
                <c:pt idx="82">
                  <c:v>1962</c:v>
                </c:pt>
                <c:pt idx="83">
                  <c:v>1963</c:v>
                </c:pt>
                <c:pt idx="84">
                  <c:v>1964</c:v>
                </c:pt>
                <c:pt idx="85">
                  <c:v>1965</c:v>
                </c:pt>
                <c:pt idx="86">
                  <c:v>1966</c:v>
                </c:pt>
                <c:pt idx="87">
                  <c:v>1967</c:v>
                </c:pt>
                <c:pt idx="88">
                  <c:v>1968</c:v>
                </c:pt>
                <c:pt idx="89">
                  <c:v>1969</c:v>
                </c:pt>
                <c:pt idx="90">
                  <c:v>1970</c:v>
                </c:pt>
                <c:pt idx="91">
                  <c:v>1971</c:v>
                </c:pt>
                <c:pt idx="92">
                  <c:v>1972</c:v>
                </c:pt>
                <c:pt idx="93">
                  <c:v>1973</c:v>
                </c:pt>
                <c:pt idx="94">
                  <c:v>1974</c:v>
                </c:pt>
                <c:pt idx="95">
                  <c:v>1975</c:v>
                </c:pt>
                <c:pt idx="96">
                  <c:v>1976</c:v>
                </c:pt>
                <c:pt idx="97">
                  <c:v>1977</c:v>
                </c:pt>
                <c:pt idx="98">
                  <c:v>1978</c:v>
                </c:pt>
                <c:pt idx="99">
                  <c:v>1979</c:v>
                </c:pt>
                <c:pt idx="100">
                  <c:v>1980</c:v>
                </c:pt>
                <c:pt idx="101">
                  <c:v>1981</c:v>
                </c:pt>
                <c:pt idx="102">
                  <c:v>1982</c:v>
                </c:pt>
                <c:pt idx="103">
                  <c:v>1983</c:v>
                </c:pt>
                <c:pt idx="104">
                  <c:v>1984</c:v>
                </c:pt>
                <c:pt idx="105">
                  <c:v>1985</c:v>
                </c:pt>
                <c:pt idx="106">
                  <c:v>1986</c:v>
                </c:pt>
                <c:pt idx="107">
                  <c:v>1987</c:v>
                </c:pt>
                <c:pt idx="108">
                  <c:v>1988</c:v>
                </c:pt>
                <c:pt idx="109">
                  <c:v>1989</c:v>
                </c:pt>
                <c:pt idx="110">
                  <c:v>1990</c:v>
                </c:pt>
                <c:pt idx="111">
                  <c:v>1991</c:v>
                </c:pt>
                <c:pt idx="112">
                  <c:v>1992</c:v>
                </c:pt>
                <c:pt idx="113">
                  <c:v>1993</c:v>
                </c:pt>
                <c:pt idx="114">
                  <c:v>1994</c:v>
                </c:pt>
                <c:pt idx="115">
                  <c:v>1995</c:v>
                </c:pt>
                <c:pt idx="116">
                  <c:v>1996</c:v>
                </c:pt>
                <c:pt idx="117">
                  <c:v>1997</c:v>
                </c:pt>
                <c:pt idx="118">
                  <c:v>1998</c:v>
                </c:pt>
                <c:pt idx="119">
                  <c:v>1999</c:v>
                </c:pt>
                <c:pt idx="120">
                  <c:v>2000</c:v>
                </c:pt>
                <c:pt idx="121">
                  <c:v>2001</c:v>
                </c:pt>
                <c:pt idx="122">
                  <c:v>2002</c:v>
                </c:pt>
                <c:pt idx="123">
                  <c:v>2003</c:v>
                </c:pt>
                <c:pt idx="124">
                  <c:v>2004</c:v>
                </c:pt>
              </c:numCache>
            </c:numRef>
          </c:cat>
          <c:val>
            <c:numRef>
              <c:f>Sheet1!$AF$38:$AF$162</c:f>
              <c:numCache>
                <c:formatCode>General</c:formatCode>
                <c:ptCount val="125"/>
                <c:pt idx="0">
                  <c:v>159.26511651171847</c:v>
                </c:pt>
                <c:pt idx="1">
                  <c:v>153.89658692066641</c:v>
                </c:pt>
                <c:pt idx="2">
                  <c:v>148.76888861202235</c:v>
                </c:pt>
                <c:pt idx="3">
                  <c:v>143.8692365481667</c:v>
                </c:pt>
                <c:pt idx="4">
                  <c:v>139.18560681073168</c:v>
                </c:pt>
                <c:pt idx="5">
                  <c:v>134.70668696751412</c:v>
                </c:pt>
                <c:pt idx="6">
                  <c:v>130.42182992135162</c:v>
                </c:pt>
                <c:pt idx="7">
                  <c:v>126.32101098082676</c:v>
                </c:pt>
                <c:pt idx="8">
                  <c:v>122.39478791317295</c:v>
                </c:pt>
                <c:pt idx="9">
                  <c:v>118.63426375857101</c:v>
                </c:pt>
                <c:pt idx="10">
                  <c:v>115.031052202288</c:v>
                </c:pt>
                <c:pt idx="11">
                  <c:v>111.57724531695726</c:v>
                </c:pt>
                <c:pt idx="12">
                  <c:v>108.26538350184784</c:v>
                </c:pt>
                <c:pt idx="13">
                  <c:v>105.08842745933863</c:v>
                </c:pt>
                <c:pt idx="14">
                  <c:v>102.03973206109313</c:v>
                </c:pt>
                <c:pt idx="15">
                  <c:v>99.113021967719874</c:v>
                </c:pt>
                <c:pt idx="16">
                  <c:v>96.302368876084458</c:v>
                </c:pt>
                <c:pt idx="17">
                  <c:v>93.602170277987284</c:v>
                </c:pt>
                <c:pt idx="18">
                  <c:v>91.007129622706472</c:v>
                </c:pt>
                <c:pt idx="19">
                  <c:v>88.512237783993243</c:v>
                </c:pt>
                <c:pt idx="20">
                  <c:v>86.112755739552568</c:v>
                </c:pt>
                <c:pt idx="21">
                  <c:v>83.80419837790096</c:v>
                </c:pt>
                <c:pt idx="22">
                  <c:v>81.582319353812082</c:v>
                </c:pt>
                <c:pt idx="23">
                  <c:v>79.443096919386505</c:v>
                </c:pt>
                <c:pt idx="24">
                  <c:v>77.382720663149954</c:v>
                </c:pt>
                <c:pt idx="25">
                  <c:v>75.397579094539878</c:v>
                </c:pt>
                <c:pt idx="26">
                  <c:v>73.484248015706711</c:v>
                </c:pt>
                <c:pt idx="27">
                  <c:v>71.639479626775469</c:v>
                </c:pt>
                <c:pt idx="28">
                  <c:v>69.860192314604603</c:v>
                </c:pt>
                <c:pt idx="29">
                  <c:v>68.143461078674861</c:v>
                </c:pt>
                <c:pt idx="30">
                  <c:v>66.486508551060709</c:v>
                </c:pt>
                <c:pt idx="31">
                  <c:v>64.886696570506473</c:v>
                </c:pt>
                <c:pt idx="32">
                  <c:v>63.34151827346377</c:v>
                </c:pt>
                <c:pt idx="33">
                  <c:v>61.848590667569759</c:v>
                </c:pt>
                <c:pt idx="34">
                  <c:v>60.405647655470133</c:v>
                </c:pt>
                <c:pt idx="35">
                  <c:v>59.0105334791335</c:v>
                </c:pt>
                <c:pt idx="36">
                  <c:v>57.66119655687941</c:v>
                </c:pt>
                <c:pt idx="37">
                  <c:v>56.355683687262641</c:v>
                </c:pt>
                <c:pt idx="38">
                  <c:v>55.092134595734478</c:v>
                </c:pt>
                <c:pt idx="39">
                  <c:v>53.868776801648131</c:v>
                </c:pt>
                <c:pt idx="40">
                  <c:v>52.683920784699374</c:v>
                </c:pt>
                <c:pt idx="41">
                  <c:v>51.535955431306363</c:v>
                </c:pt>
                <c:pt idx="42">
                  <c:v>50.423343742740123</c:v>
                </c:pt>
                <c:pt idx="43">
                  <c:v>49.344618788029592</c:v>
                </c:pt>
                <c:pt idx="44">
                  <c:v>48.298379885787881</c:v>
                </c:pt>
                <c:pt idx="45">
                  <c:v>47.283289000147263</c:v>
                </c:pt>
                <c:pt idx="46">
                  <c:v>46.298067336954674</c:v>
                </c:pt>
                <c:pt idx="47">
                  <c:v>45.341492127273007</c:v>
                </c:pt>
                <c:pt idx="48">
                  <c:v>44.412393586061604</c:v>
                </c:pt>
                <c:pt idx="49">
                  <c:v>43.509652034676215</c:v>
                </c:pt>
                <c:pt idx="50">
                  <c:v>42.632195176539049</c:v>
                </c:pt>
                <c:pt idx="51">
                  <c:v>41.778995515987489</c:v>
                </c:pt>
                <c:pt idx="52">
                  <c:v>40.949067910918558</c:v>
                </c:pt>
                <c:pt idx="53">
                  <c:v>40.141467250409342</c:v>
                </c:pt>
                <c:pt idx="54">
                  <c:v>39.355286249014078</c:v>
                </c:pt>
                <c:pt idx="55">
                  <c:v>38.589653349919161</c:v>
                </c:pt>
                <c:pt idx="56">
                  <c:v>37.843730729580706</c:v>
                </c:pt>
                <c:pt idx="57">
                  <c:v>37.116712396877794</c:v>
                </c:pt>
                <c:pt idx="58">
                  <c:v>36.407822380190275</c:v>
                </c:pt>
                <c:pt idx="59">
                  <c:v>35.716312996154677</c:v>
                </c:pt>
                <c:pt idx="60">
                  <c:v>35.041463194167612</c:v>
                </c:pt>
                <c:pt idx="61">
                  <c:v>34.382576970994421</c:v>
                </c:pt>
                <c:pt idx="62">
                  <c:v>33.738981850102668</c:v>
                </c:pt>
                <c:pt idx="63">
                  <c:v>33.110027420577765</c:v>
                </c:pt>
                <c:pt idx="64">
                  <c:v>32.495083930691322</c:v>
                </c:pt>
                <c:pt idx="65">
                  <c:v>31.893540931384074</c:v>
                </c:pt>
                <c:pt idx="66">
                  <c:v>31.304805965094022</c:v>
                </c:pt>
                <c:pt idx="67">
                  <c:v>30.728303295508621</c:v>
                </c:pt>
                <c:pt idx="68">
                  <c:v>30.163472673947119</c:v>
                </c:pt>
                <c:pt idx="69">
                  <c:v>29.609768138186485</c:v>
                </c:pt>
                <c:pt idx="70">
                  <c:v>29.066656839632174</c:v>
                </c:pt>
                <c:pt idx="71">
                  <c:v>28.533617894803051</c:v>
                </c:pt>
                <c:pt idx="72">
                  <c:v>28.010141257148604</c:v>
                </c:pt>
                <c:pt idx="73">
                  <c:v>27.495726605246279</c:v>
                </c:pt>
                <c:pt idx="74">
                  <c:v>26.989882243436547</c:v>
                </c:pt>
                <c:pt idx="75">
                  <c:v>26.492124010943662</c:v>
                </c:pt>
                <c:pt idx="76">
                  <c:v>26.001974195500473</c:v>
                </c:pt>
                <c:pt idx="77">
                  <c:v>25.518960447444886</c:v>
                </c:pt>
                <c:pt idx="78">
                  <c:v>25.042614690184134</c:v>
                </c:pt>
                <c:pt idx="79">
                  <c:v>24.572472022829249</c:v>
                </c:pt>
                <c:pt idx="80">
                  <c:v>24.108069610685071</c:v>
                </c:pt>
                <c:pt idx="81">
                  <c:v>23.648945559140643</c:v>
                </c:pt>
                <c:pt idx="82">
                  <c:v>23.194637766338246</c:v>
                </c:pt>
                <c:pt idx="83">
                  <c:v>22.744682749806202</c:v>
                </c:pt>
                <c:pt idx="84">
                  <c:v>22.298614442018792</c:v>
                </c:pt>
                <c:pt idx="85">
                  <c:v>21.855962949594439</c:v>
                </c:pt>
                <c:pt idx="86">
                  <c:v>21.416253270558308</c:v>
                </c:pt>
                <c:pt idx="87">
                  <c:v>20.979003963775906</c:v>
                </c:pt>
                <c:pt idx="88">
                  <c:v>20.543725764306505</c:v>
                </c:pt>
                <c:pt idx="89">
                  <c:v>20.109920138027508</c:v>
                </c:pt>
                <c:pt idx="90">
                  <c:v>19.677077768438433</c:v>
                </c:pt>
                <c:pt idx="91">
                  <c:v>19.244676968064052</c:v>
                </c:pt>
                <c:pt idx="92">
                  <c:v>18.812182006334758</c:v>
                </c:pt>
                <c:pt idx="93">
                  <c:v>18.379041345225218</c:v>
                </c:pt>
                <c:pt idx="94">
                  <c:v>17.944685773273491</c:v>
                </c:pt>
                <c:pt idx="95">
                  <c:v>17.508526427878369</c:v>
                </c:pt>
                <c:pt idx="96">
                  <c:v>17.069952694974479</c:v>
                </c:pt>
                <c:pt idx="97">
                  <c:v>16.628329974307995</c:v>
                </c:pt>
                <c:pt idx="98">
                  <c:v>16.18299729757133</c:v>
                </c:pt>
                <c:pt idx="99">
                  <c:v>15.733264785596907</c:v>
                </c:pt>
                <c:pt idx="100">
                  <c:v>15.27841092964613</c:v>
                </c:pt>
                <c:pt idx="101">
                  <c:v>14.817679680552819</c:v>
                </c:pt>
                <c:pt idx="102">
                  <c:v>14.350277328078034</c:v>
                </c:pt>
                <c:pt idx="103">
                  <c:v>13.875369151292229</c:v>
                </c:pt>
                <c:pt idx="104">
                  <c:v>13.392075819110637</c:v>
                </c:pt>
                <c:pt idx="105">
                  <c:v>12.899469518249873</c:v>
                </c:pt>
                <c:pt idx="106">
                  <c:v>12.396569783834515</c:v>
                </c:pt>
                <c:pt idx="107">
                  <c:v>11.8823390056414</c:v>
                </c:pt>
                <c:pt idx="108">
                  <c:v>11.355677580508011</c:v>
                </c:pt>
                <c:pt idx="109">
                  <c:v>10.81541867872574</c:v>
                </c:pt>
                <c:pt idx="110">
                  <c:v>10.260322589265302</c:v>
                </c:pt>
                <c:pt idx="111">
                  <c:v>9.689070605411521</c:v>
                </c:pt>
                <c:pt idx="112">
                  <c:v>9.100258408788843</c:v>
                </c:pt>
                <c:pt idx="113">
                  <c:v>8.4923889058029776</c:v>
                </c:pt>
                <c:pt idx="114">
                  <c:v>7.8638644661693968</c:v>
                </c:pt>
                <c:pt idx="115">
                  <c:v>7.2129785084077209</c:v>
                </c:pt>
                <c:pt idx="116">
                  <c:v>6.5379063719017063</c:v>
                </c:pt>
                <c:pt idx="117">
                  <c:v>5.8366954093106731</c:v>
                </c:pt>
                <c:pt idx="118">
                  <c:v>5.1072542267113983</c:v>
                </c:pt>
                <c:pt idx="119">
                  <c:v>4.3473409917849226</c:v>
                </c:pt>
                <c:pt idx="120">
                  <c:v>3.5545507225745263</c:v>
                </c:pt>
                <c:pt idx="121">
                  <c:v>2.7263014607469316</c:v>
                </c:pt>
                <c:pt idx="122">
                  <c:v>1.8598192238060369</c:v>
                </c:pt>
                <c:pt idx="123">
                  <c:v>0.95212162023754954</c:v>
                </c:pt>
                <c:pt idx="124">
                  <c:v>0</c:v>
                </c:pt>
              </c:numCache>
            </c:numRef>
          </c:val>
          <c:smooth val="0"/>
          <c:extLst>
            <c:ext xmlns:c16="http://schemas.microsoft.com/office/drawing/2014/chart" uri="{C3380CC4-5D6E-409C-BE32-E72D297353CC}">
              <c16:uniqueId val="{00000002-945C-4B6E-8E2C-A0597959F7FA}"/>
            </c:ext>
          </c:extLst>
        </c:ser>
        <c:dLbls>
          <c:showLegendKey val="0"/>
          <c:showVal val="0"/>
          <c:showCatName val="0"/>
          <c:showSerName val="0"/>
          <c:showPercent val="0"/>
          <c:showBubbleSize val="0"/>
        </c:dLbls>
        <c:marker val="1"/>
        <c:smooth val="0"/>
        <c:axId val="637045688"/>
        <c:axId val="637044088"/>
      </c:lineChart>
      <c:catAx>
        <c:axId val="63706840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637069048"/>
        <c:crosses val="autoZero"/>
        <c:auto val="1"/>
        <c:lblAlgn val="ctr"/>
        <c:lblOffset val="100"/>
        <c:noMultiLvlLbl val="0"/>
      </c:catAx>
      <c:valAx>
        <c:axId val="637069048"/>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637068408"/>
        <c:crosses val="autoZero"/>
        <c:crossBetween val="between"/>
      </c:valAx>
      <c:valAx>
        <c:axId val="637044088"/>
        <c:scaling>
          <c:orientation val="minMax"/>
        </c:scaling>
        <c:delete val="0"/>
        <c:axPos val="r"/>
        <c:numFmt formatCode="General" sourceLinked="1"/>
        <c:majorTickMark val="out"/>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637045688"/>
        <c:crosses val="max"/>
        <c:crossBetween val="between"/>
      </c:valAx>
      <c:catAx>
        <c:axId val="637045688"/>
        <c:scaling>
          <c:orientation val="minMax"/>
        </c:scaling>
        <c:delete val="1"/>
        <c:axPos val="b"/>
        <c:numFmt formatCode="General" sourceLinked="1"/>
        <c:majorTickMark val="out"/>
        <c:minorTickMark val="none"/>
        <c:tickLblPos val="nextTo"/>
        <c:crossAx val="637044088"/>
        <c:crosses val="autoZero"/>
        <c:auto val="1"/>
        <c:lblAlgn val="ctr"/>
        <c:lblOffset val="100"/>
        <c:noMultiLvlLbl val="0"/>
      </c:cat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r>
              <a:rPr lang="en-GB"/>
              <a:t>Correlation between Carbon Concentration and Global average temperature change between 1850 and 2018</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title>
    <c:autoTitleDeleted val="0"/>
    <c:plotArea>
      <c:layout>
        <c:manualLayout>
          <c:layoutTarget val="inner"/>
          <c:xMode val="edge"/>
          <c:yMode val="edge"/>
          <c:x val="9.5344491540191798E-2"/>
          <c:y val="0.20292134831460673"/>
          <c:w val="0.7967474443631215"/>
          <c:h val="0.55035536288301046"/>
        </c:manualLayout>
      </c:layout>
      <c:lineChart>
        <c:grouping val="standard"/>
        <c:varyColors val="0"/>
        <c:ser>
          <c:idx val="0"/>
          <c:order val="0"/>
          <c:tx>
            <c:strRef>
              <c:f>'02 Fig 3.7 temp anomaly and car'!$G$2</c:f>
              <c:strCache>
                <c:ptCount val="1"/>
                <c:pt idx="0">
                  <c:v>Temperature anomaly</c:v>
                </c:pt>
              </c:strCache>
            </c:strRef>
          </c:tx>
          <c:spPr>
            <a:ln w="28575" cap="rnd">
              <a:solidFill>
                <a:schemeClr val="tx1"/>
              </a:solidFill>
              <a:prstDash val="solid"/>
              <a:round/>
            </a:ln>
            <a:effectLst/>
          </c:spPr>
          <c:marker>
            <c:symbol val="none"/>
          </c:marker>
          <c:cat>
            <c:numRef>
              <c:f>'02 Fig 3.7 temp anomaly and car'!$C$3:$C$171</c:f>
              <c:numCache>
                <c:formatCode>General</c:formatCode>
                <c:ptCount val="169"/>
                <c:pt idx="0">
                  <c:v>1850</c:v>
                </c:pt>
                <c:pt idx="1">
                  <c:v>1851</c:v>
                </c:pt>
                <c:pt idx="2">
                  <c:v>1852</c:v>
                </c:pt>
                <c:pt idx="3">
                  <c:v>1853</c:v>
                </c:pt>
                <c:pt idx="4">
                  <c:v>1854</c:v>
                </c:pt>
                <c:pt idx="5">
                  <c:v>1855</c:v>
                </c:pt>
                <c:pt idx="6">
                  <c:v>1856</c:v>
                </c:pt>
                <c:pt idx="7">
                  <c:v>1857</c:v>
                </c:pt>
                <c:pt idx="8">
                  <c:v>1858</c:v>
                </c:pt>
                <c:pt idx="9">
                  <c:v>1859</c:v>
                </c:pt>
                <c:pt idx="10">
                  <c:v>1860</c:v>
                </c:pt>
                <c:pt idx="11">
                  <c:v>1861</c:v>
                </c:pt>
                <c:pt idx="12">
                  <c:v>1862</c:v>
                </c:pt>
                <c:pt idx="13">
                  <c:v>1863</c:v>
                </c:pt>
                <c:pt idx="14">
                  <c:v>1864</c:v>
                </c:pt>
                <c:pt idx="15">
                  <c:v>1865</c:v>
                </c:pt>
                <c:pt idx="16">
                  <c:v>1866</c:v>
                </c:pt>
                <c:pt idx="17">
                  <c:v>1867</c:v>
                </c:pt>
                <c:pt idx="18">
                  <c:v>1868</c:v>
                </c:pt>
                <c:pt idx="19">
                  <c:v>1869</c:v>
                </c:pt>
                <c:pt idx="20">
                  <c:v>1870</c:v>
                </c:pt>
                <c:pt idx="21">
                  <c:v>1871</c:v>
                </c:pt>
                <c:pt idx="22">
                  <c:v>1872</c:v>
                </c:pt>
                <c:pt idx="23">
                  <c:v>1873</c:v>
                </c:pt>
                <c:pt idx="24">
                  <c:v>1874</c:v>
                </c:pt>
                <c:pt idx="25">
                  <c:v>1875</c:v>
                </c:pt>
                <c:pt idx="26">
                  <c:v>1876</c:v>
                </c:pt>
                <c:pt idx="27">
                  <c:v>1877</c:v>
                </c:pt>
                <c:pt idx="28">
                  <c:v>1878</c:v>
                </c:pt>
                <c:pt idx="29">
                  <c:v>1879</c:v>
                </c:pt>
                <c:pt idx="30">
                  <c:v>1880</c:v>
                </c:pt>
                <c:pt idx="31">
                  <c:v>1881</c:v>
                </c:pt>
                <c:pt idx="32">
                  <c:v>1882</c:v>
                </c:pt>
                <c:pt idx="33">
                  <c:v>1883</c:v>
                </c:pt>
                <c:pt idx="34">
                  <c:v>1884</c:v>
                </c:pt>
                <c:pt idx="35">
                  <c:v>1885</c:v>
                </c:pt>
                <c:pt idx="36">
                  <c:v>1886</c:v>
                </c:pt>
                <c:pt idx="37">
                  <c:v>1887</c:v>
                </c:pt>
                <c:pt idx="38">
                  <c:v>1888</c:v>
                </c:pt>
                <c:pt idx="39">
                  <c:v>1889</c:v>
                </c:pt>
                <c:pt idx="40">
                  <c:v>1890</c:v>
                </c:pt>
                <c:pt idx="41">
                  <c:v>1891</c:v>
                </c:pt>
                <c:pt idx="42">
                  <c:v>1892</c:v>
                </c:pt>
                <c:pt idx="43">
                  <c:v>1893</c:v>
                </c:pt>
                <c:pt idx="44">
                  <c:v>1894</c:v>
                </c:pt>
                <c:pt idx="45">
                  <c:v>1895</c:v>
                </c:pt>
                <c:pt idx="46">
                  <c:v>1896</c:v>
                </c:pt>
                <c:pt idx="47">
                  <c:v>1897</c:v>
                </c:pt>
                <c:pt idx="48">
                  <c:v>1898</c:v>
                </c:pt>
                <c:pt idx="49">
                  <c:v>1899</c:v>
                </c:pt>
                <c:pt idx="50">
                  <c:v>1900</c:v>
                </c:pt>
                <c:pt idx="51">
                  <c:v>1901</c:v>
                </c:pt>
                <c:pt idx="52">
                  <c:v>1902</c:v>
                </c:pt>
                <c:pt idx="53">
                  <c:v>1903</c:v>
                </c:pt>
                <c:pt idx="54">
                  <c:v>1904</c:v>
                </c:pt>
                <c:pt idx="55">
                  <c:v>1905</c:v>
                </c:pt>
                <c:pt idx="56">
                  <c:v>1906</c:v>
                </c:pt>
                <c:pt idx="57">
                  <c:v>1907</c:v>
                </c:pt>
                <c:pt idx="58">
                  <c:v>1908</c:v>
                </c:pt>
                <c:pt idx="59">
                  <c:v>1909</c:v>
                </c:pt>
                <c:pt idx="60">
                  <c:v>1910</c:v>
                </c:pt>
                <c:pt idx="61">
                  <c:v>1911</c:v>
                </c:pt>
                <c:pt idx="62">
                  <c:v>1912</c:v>
                </c:pt>
                <c:pt idx="63">
                  <c:v>1913</c:v>
                </c:pt>
                <c:pt idx="64">
                  <c:v>1914</c:v>
                </c:pt>
                <c:pt idx="65">
                  <c:v>1915</c:v>
                </c:pt>
                <c:pt idx="66">
                  <c:v>1916</c:v>
                </c:pt>
                <c:pt idx="67">
                  <c:v>1917</c:v>
                </c:pt>
                <c:pt idx="68">
                  <c:v>1918</c:v>
                </c:pt>
                <c:pt idx="69">
                  <c:v>1919</c:v>
                </c:pt>
                <c:pt idx="70">
                  <c:v>1920</c:v>
                </c:pt>
                <c:pt idx="71">
                  <c:v>1921</c:v>
                </c:pt>
                <c:pt idx="72">
                  <c:v>1922</c:v>
                </c:pt>
                <c:pt idx="73">
                  <c:v>1923</c:v>
                </c:pt>
                <c:pt idx="74">
                  <c:v>1924</c:v>
                </c:pt>
                <c:pt idx="75">
                  <c:v>1925</c:v>
                </c:pt>
                <c:pt idx="76">
                  <c:v>1926</c:v>
                </c:pt>
                <c:pt idx="77">
                  <c:v>1927</c:v>
                </c:pt>
                <c:pt idx="78">
                  <c:v>1928</c:v>
                </c:pt>
                <c:pt idx="79">
                  <c:v>1929</c:v>
                </c:pt>
                <c:pt idx="80">
                  <c:v>1930</c:v>
                </c:pt>
                <c:pt idx="81">
                  <c:v>1931</c:v>
                </c:pt>
                <c:pt idx="82">
                  <c:v>1932</c:v>
                </c:pt>
                <c:pt idx="83">
                  <c:v>1933</c:v>
                </c:pt>
                <c:pt idx="84">
                  <c:v>1934</c:v>
                </c:pt>
                <c:pt idx="85">
                  <c:v>1935</c:v>
                </c:pt>
                <c:pt idx="86">
                  <c:v>1936</c:v>
                </c:pt>
                <c:pt idx="87">
                  <c:v>1937</c:v>
                </c:pt>
                <c:pt idx="88">
                  <c:v>1938</c:v>
                </c:pt>
                <c:pt idx="89">
                  <c:v>1939</c:v>
                </c:pt>
                <c:pt idx="90">
                  <c:v>1940</c:v>
                </c:pt>
                <c:pt idx="91">
                  <c:v>1941</c:v>
                </c:pt>
                <c:pt idx="92">
                  <c:v>1942</c:v>
                </c:pt>
                <c:pt idx="93">
                  <c:v>1943</c:v>
                </c:pt>
                <c:pt idx="94">
                  <c:v>1944</c:v>
                </c:pt>
                <c:pt idx="95">
                  <c:v>1945</c:v>
                </c:pt>
                <c:pt idx="96">
                  <c:v>1946</c:v>
                </c:pt>
                <c:pt idx="97">
                  <c:v>1947</c:v>
                </c:pt>
                <c:pt idx="98">
                  <c:v>1948</c:v>
                </c:pt>
                <c:pt idx="99">
                  <c:v>1949</c:v>
                </c:pt>
                <c:pt idx="100">
                  <c:v>1950</c:v>
                </c:pt>
                <c:pt idx="101">
                  <c:v>1951</c:v>
                </c:pt>
                <c:pt idx="102">
                  <c:v>1952</c:v>
                </c:pt>
                <c:pt idx="103">
                  <c:v>1953</c:v>
                </c:pt>
                <c:pt idx="104">
                  <c:v>1954</c:v>
                </c:pt>
                <c:pt idx="105">
                  <c:v>1955</c:v>
                </c:pt>
                <c:pt idx="106">
                  <c:v>1956</c:v>
                </c:pt>
                <c:pt idx="107">
                  <c:v>1957</c:v>
                </c:pt>
                <c:pt idx="108">
                  <c:v>1958</c:v>
                </c:pt>
                <c:pt idx="109">
                  <c:v>1959</c:v>
                </c:pt>
                <c:pt idx="110">
                  <c:v>1960</c:v>
                </c:pt>
                <c:pt idx="111">
                  <c:v>1961</c:v>
                </c:pt>
                <c:pt idx="112">
                  <c:v>1962</c:v>
                </c:pt>
                <c:pt idx="113">
                  <c:v>1963</c:v>
                </c:pt>
                <c:pt idx="114">
                  <c:v>1964</c:v>
                </c:pt>
                <c:pt idx="115">
                  <c:v>1965</c:v>
                </c:pt>
                <c:pt idx="116">
                  <c:v>1966</c:v>
                </c:pt>
                <c:pt idx="117">
                  <c:v>1967</c:v>
                </c:pt>
                <c:pt idx="118">
                  <c:v>1968</c:v>
                </c:pt>
                <c:pt idx="119">
                  <c:v>1969</c:v>
                </c:pt>
                <c:pt idx="120">
                  <c:v>1970</c:v>
                </c:pt>
                <c:pt idx="121">
                  <c:v>1971</c:v>
                </c:pt>
                <c:pt idx="122">
                  <c:v>1972</c:v>
                </c:pt>
                <c:pt idx="123">
                  <c:v>1973</c:v>
                </c:pt>
                <c:pt idx="124">
                  <c:v>1974</c:v>
                </c:pt>
                <c:pt idx="125">
                  <c:v>1975</c:v>
                </c:pt>
                <c:pt idx="126">
                  <c:v>1976</c:v>
                </c:pt>
                <c:pt idx="127">
                  <c:v>1977</c:v>
                </c:pt>
                <c:pt idx="128">
                  <c:v>1978</c:v>
                </c:pt>
                <c:pt idx="129">
                  <c:v>1979</c:v>
                </c:pt>
                <c:pt idx="130">
                  <c:v>1980</c:v>
                </c:pt>
                <c:pt idx="131">
                  <c:v>1981</c:v>
                </c:pt>
                <c:pt idx="132">
                  <c:v>1982</c:v>
                </c:pt>
                <c:pt idx="133">
                  <c:v>1983</c:v>
                </c:pt>
                <c:pt idx="134">
                  <c:v>1984</c:v>
                </c:pt>
                <c:pt idx="135">
                  <c:v>1985</c:v>
                </c:pt>
                <c:pt idx="136">
                  <c:v>1986</c:v>
                </c:pt>
                <c:pt idx="137">
                  <c:v>1987</c:v>
                </c:pt>
                <c:pt idx="138">
                  <c:v>1988</c:v>
                </c:pt>
                <c:pt idx="139">
                  <c:v>1989</c:v>
                </c:pt>
                <c:pt idx="140">
                  <c:v>1990</c:v>
                </c:pt>
                <c:pt idx="141">
                  <c:v>1991</c:v>
                </c:pt>
                <c:pt idx="142">
                  <c:v>1992</c:v>
                </c:pt>
                <c:pt idx="143">
                  <c:v>1993</c:v>
                </c:pt>
                <c:pt idx="144">
                  <c:v>1994</c:v>
                </c:pt>
                <c:pt idx="145">
                  <c:v>1995</c:v>
                </c:pt>
                <c:pt idx="146">
                  <c:v>1996</c:v>
                </c:pt>
                <c:pt idx="147">
                  <c:v>1997</c:v>
                </c:pt>
                <c:pt idx="148">
                  <c:v>1998</c:v>
                </c:pt>
                <c:pt idx="149">
                  <c:v>1999</c:v>
                </c:pt>
                <c:pt idx="150">
                  <c:v>2000</c:v>
                </c:pt>
                <c:pt idx="151">
                  <c:v>2001</c:v>
                </c:pt>
                <c:pt idx="152">
                  <c:v>2002</c:v>
                </c:pt>
                <c:pt idx="153">
                  <c:v>2003</c:v>
                </c:pt>
                <c:pt idx="154">
                  <c:v>2004</c:v>
                </c:pt>
                <c:pt idx="155">
                  <c:v>2005</c:v>
                </c:pt>
                <c:pt idx="156">
                  <c:v>2006</c:v>
                </c:pt>
                <c:pt idx="157">
                  <c:v>2007</c:v>
                </c:pt>
                <c:pt idx="158">
                  <c:v>2008</c:v>
                </c:pt>
                <c:pt idx="159">
                  <c:v>2009</c:v>
                </c:pt>
                <c:pt idx="160">
                  <c:v>2010</c:v>
                </c:pt>
                <c:pt idx="161">
                  <c:v>2011</c:v>
                </c:pt>
                <c:pt idx="162">
                  <c:v>2012</c:v>
                </c:pt>
                <c:pt idx="163">
                  <c:v>2013</c:v>
                </c:pt>
                <c:pt idx="164">
                  <c:v>2014</c:v>
                </c:pt>
                <c:pt idx="165">
                  <c:v>2015</c:v>
                </c:pt>
                <c:pt idx="166">
                  <c:v>2016</c:v>
                </c:pt>
                <c:pt idx="167">
                  <c:v>2017</c:v>
                </c:pt>
                <c:pt idx="168">
                  <c:v>2018</c:v>
                </c:pt>
              </c:numCache>
            </c:numRef>
          </c:cat>
          <c:val>
            <c:numRef>
              <c:f>'02 Fig 3.7 temp anomaly and car'!$G$3:$G$171</c:f>
              <c:numCache>
                <c:formatCode>General</c:formatCode>
                <c:ptCount val="169"/>
                <c:pt idx="0">
                  <c:v>0</c:v>
                </c:pt>
                <c:pt idx="1">
                  <c:v>0.155</c:v>
                </c:pt>
                <c:pt idx="2">
                  <c:v>0.14499999999999999</c:v>
                </c:pt>
                <c:pt idx="3">
                  <c:v>0.104</c:v>
                </c:pt>
                <c:pt idx="4">
                  <c:v>0.125</c:v>
                </c:pt>
                <c:pt idx="5">
                  <c:v>0.10100000000000001</c:v>
                </c:pt>
                <c:pt idx="6">
                  <c:v>1.4999999999999999E-2</c:v>
                </c:pt>
                <c:pt idx="7">
                  <c:v>-8.7999999999999995E-2</c:v>
                </c:pt>
                <c:pt idx="8">
                  <c:v>-9.4E-2</c:v>
                </c:pt>
                <c:pt idx="9">
                  <c:v>8.8999999999999996E-2</c:v>
                </c:pt>
                <c:pt idx="10">
                  <c:v>0.03</c:v>
                </c:pt>
                <c:pt idx="11">
                  <c:v>-3.4000000000000002E-2</c:v>
                </c:pt>
                <c:pt idx="12">
                  <c:v>-0.151</c:v>
                </c:pt>
                <c:pt idx="13">
                  <c:v>9.5000000000000001E-2</c:v>
                </c:pt>
                <c:pt idx="14">
                  <c:v>-0.121</c:v>
                </c:pt>
                <c:pt idx="15">
                  <c:v>9.4E-2</c:v>
                </c:pt>
                <c:pt idx="16">
                  <c:v>0.122</c:v>
                </c:pt>
                <c:pt idx="17">
                  <c:v>5.1999999999999998E-2</c:v>
                </c:pt>
                <c:pt idx="18">
                  <c:v>0.13500000000000001</c:v>
                </c:pt>
                <c:pt idx="19">
                  <c:v>0.111</c:v>
                </c:pt>
                <c:pt idx="20">
                  <c:v>9.7000000000000003E-2</c:v>
                </c:pt>
                <c:pt idx="21">
                  <c:v>3.7999999999999999E-2</c:v>
                </c:pt>
                <c:pt idx="22">
                  <c:v>0.14599999999999999</c:v>
                </c:pt>
                <c:pt idx="23">
                  <c:v>6.9000000000000006E-2</c:v>
                </c:pt>
                <c:pt idx="24">
                  <c:v>5.0000000000000001E-3</c:v>
                </c:pt>
                <c:pt idx="25">
                  <c:v>-2.1999999999999999E-2</c:v>
                </c:pt>
                <c:pt idx="26">
                  <c:v>-1.0999999999999999E-2</c:v>
                </c:pt>
                <c:pt idx="27">
                  <c:v>0.29799999999999999</c:v>
                </c:pt>
                <c:pt idx="28">
                  <c:v>0.40799999999999997</c:v>
                </c:pt>
                <c:pt idx="29">
                  <c:v>0.14299999999999999</c:v>
                </c:pt>
                <c:pt idx="30">
                  <c:v>0.14599999999999999</c:v>
                </c:pt>
                <c:pt idx="31">
                  <c:v>0.17299999999999999</c:v>
                </c:pt>
                <c:pt idx="32">
                  <c:v>0.16</c:v>
                </c:pt>
                <c:pt idx="33">
                  <c:v>7.6999999999999999E-2</c:v>
                </c:pt>
                <c:pt idx="34">
                  <c:v>-3.5999999999999997E-2</c:v>
                </c:pt>
                <c:pt idx="35">
                  <c:v>-1.6E-2</c:v>
                </c:pt>
                <c:pt idx="36">
                  <c:v>6.0000000000000001E-3</c:v>
                </c:pt>
                <c:pt idx="37">
                  <c:v>-4.4999999999999998E-2</c:v>
                </c:pt>
                <c:pt idx="38">
                  <c:v>6.6000000000000003E-2</c:v>
                </c:pt>
                <c:pt idx="39">
                  <c:v>0.20200000000000001</c:v>
                </c:pt>
                <c:pt idx="40">
                  <c:v>-4.2999999999999997E-2</c:v>
                </c:pt>
                <c:pt idx="41">
                  <c:v>4.2999999999999997E-2</c:v>
                </c:pt>
                <c:pt idx="42">
                  <c:v>-8.2000000000000003E-2</c:v>
                </c:pt>
                <c:pt idx="43">
                  <c:v>-0.1</c:v>
                </c:pt>
                <c:pt idx="44">
                  <c:v>-3.6999999999999998E-2</c:v>
                </c:pt>
                <c:pt idx="45">
                  <c:v>-1.7000000000000001E-2</c:v>
                </c:pt>
                <c:pt idx="46">
                  <c:v>0.187</c:v>
                </c:pt>
                <c:pt idx="47">
                  <c:v>0.16700000000000001</c:v>
                </c:pt>
                <c:pt idx="48">
                  <c:v>-3.9E-2</c:v>
                </c:pt>
                <c:pt idx="49">
                  <c:v>8.4000000000000005E-2</c:v>
                </c:pt>
                <c:pt idx="50">
                  <c:v>0.17</c:v>
                </c:pt>
                <c:pt idx="51">
                  <c:v>0.114</c:v>
                </c:pt>
                <c:pt idx="52">
                  <c:v>-2.9000000000000001E-2</c:v>
                </c:pt>
                <c:pt idx="53">
                  <c:v>-0.106</c:v>
                </c:pt>
                <c:pt idx="54">
                  <c:v>-0.14699999999999999</c:v>
                </c:pt>
                <c:pt idx="55">
                  <c:v>-4.0000000000000001E-3</c:v>
                </c:pt>
                <c:pt idx="56">
                  <c:v>0.09</c:v>
                </c:pt>
                <c:pt idx="57">
                  <c:v>-9.1999999999999998E-2</c:v>
                </c:pt>
                <c:pt idx="58">
                  <c:v>-0.13800000000000001</c:v>
                </c:pt>
                <c:pt idx="59">
                  <c:v>-0.14899999999999999</c:v>
                </c:pt>
                <c:pt idx="60">
                  <c:v>-0.11700000000000001</c:v>
                </c:pt>
                <c:pt idx="61">
                  <c:v>-0.17100000000000001</c:v>
                </c:pt>
                <c:pt idx="62">
                  <c:v>-6.4000000000000001E-2</c:v>
                </c:pt>
                <c:pt idx="63">
                  <c:v>-5.0999999999999997E-2</c:v>
                </c:pt>
                <c:pt idx="64">
                  <c:v>0.129</c:v>
                </c:pt>
                <c:pt idx="65">
                  <c:v>0.23200000000000001</c:v>
                </c:pt>
                <c:pt idx="66">
                  <c:v>-0.01</c:v>
                </c:pt>
                <c:pt idx="67">
                  <c:v>-9.5000000000000001E-2</c:v>
                </c:pt>
                <c:pt idx="68">
                  <c:v>0.04</c:v>
                </c:pt>
                <c:pt idx="69">
                  <c:v>9.8000000000000004E-2</c:v>
                </c:pt>
                <c:pt idx="70">
                  <c:v>0.126</c:v>
                </c:pt>
                <c:pt idx="71">
                  <c:v>0.186</c:v>
                </c:pt>
                <c:pt idx="72">
                  <c:v>7.0999999999999994E-2</c:v>
                </c:pt>
                <c:pt idx="73">
                  <c:v>9.7000000000000003E-2</c:v>
                </c:pt>
                <c:pt idx="74">
                  <c:v>7.9000000000000001E-2</c:v>
                </c:pt>
                <c:pt idx="75">
                  <c:v>0.158</c:v>
                </c:pt>
                <c:pt idx="76">
                  <c:v>0.26500000000000001</c:v>
                </c:pt>
                <c:pt idx="77">
                  <c:v>0.16300000000000001</c:v>
                </c:pt>
                <c:pt idx="78">
                  <c:v>0.16700000000000001</c:v>
                </c:pt>
                <c:pt idx="79">
                  <c:v>2.3E-2</c:v>
                </c:pt>
                <c:pt idx="80">
                  <c:v>0.23599999999999999</c:v>
                </c:pt>
                <c:pt idx="81">
                  <c:v>0.28599999999999998</c:v>
                </c:pt>
                <c:pt idx="82">
                  <c:v>0.23599999999999999</c:v>
                </c:pt>
                <c:pt idx="83">
                  <c:v>0.1</c:v>
                </c:pt>
                <c:pt idx="84">
                  <c:v>0.24199999999999999</c:v>
                </c:pt>
                <c:pt idx="85">
                  <c:v>0.19500000000000001</c:v>
                </c:pt>
                <c:pt idx="86">
                  <c:v>0.22600000000000001</c:v>
                </c:pt>
                <c:pt idx="87">
                  <c:v>0.34699999999999998</c:v>
                </c:pt>
                <c:pt idx="88">
                  <c:v>0.36699999999999999</c:v>
                </c:pt>
                <c:pt idx="89">
                  <c:v>0.32100000000000001</c:v>
                </c:pt>
                <c:pt idx="90">
                  <c:v>0.38700000000000001</c:v>
                </c:pt>
                <c:pt idx="91">
                  <c:v>0.39300000000000002</c:v>
                </c:pt>
                <c:pt idx="92">
                  <c:v>0.34599999999999997</c:v>
                </c:pt>
                <c:pt idx="93">
                  <c:v>0.36899999999999999</c:v>
                </c:pt>
                <c:pt idx="94">
                  <c:v>0.51700000000000002</c:v>
                </c:pt>
                <c:pt idx="95">
                  <c:v>0.39800000000000002</c:v>
                </c:pt>
                <c:pt idx="96">
                  <c:v>0.30199999999999999</c:v>
                </c:pt>
                <c:pt idx="97">
                  <c:v>0.33500000000000002</c:v>
                </c:pt>
                <c:pt idx="98">
                  <c:v>0.33400000000000002</c:v>
                </c:pt>
                <c:pt idx="99">
                  <c:v>0.29899999999999999</c:v>
                </c:pt>
                <c:pt idx="100">
                  <c:v>0.2</c:v>
                </c:pt>
                <c:pt idx="101">
                  <c:v>0.32100000000000001</c:v>
                </c:pt>
                <c:pt idx="102">
                  <c:v>0.40100000000000002</c:v>
                </c:pt>
                <c:pt idx="103">
                  <c:v>0.47</c:v>
                </c:pt>
                <c:pt idx="104">
                  <c:v>0.24399999999999999</c:v>
                </c:pt>
                <c:pt idx="105">
                  <c:v>0.183</c:v>
                </c:pt>
                <c:pt idx="106">
                  <c:v>0.106</c:v>
                </c:pt>
                <c:pt idx="107">
                  <c:v>0.36599999999999999</c:v>
                </c:pt>
                <c:pt idx="108">
                  <c:v>0.41899999999999998</c:v>
                </c:pt>
                <c:pt idx="109">
                  <c:v>0.39</c:v>
                </c:pt>
                <c:pt idx="110">
                  <c:v>0.32400000000000001</c:v>
                </c:pt>
                <c:pt idx="111">
                  <c:v>0.41099999999999998</c:v>
                </c:pt>
                <c:pt idx="112">
                  <c:v>0.38700000000000001</c:v>
                </c:pt>
                <c:pt idx="113">
                  <c:v>0.42099999999999999</c:v>
                </c:pt>
                <c:pt idx="114">
                  <c:v>0.15</c:v>
                </c:pt>
                <c:pt idx="115">
                  <c:v>0.23300000000000001</c:v>
                </c:pt>
                <c:pt idx="116">
                  <c:v>0.30499999999999999</c:v>
                </c:pt>
                <c:pt idx="117">
                  <c:v>0.29899999999999999</c:v>
                </c:pt>
                <c:pt idx="118">
                  <c:v>0.26</c:v>
                </c:pt>
                <c:pt idx="119">
                  <c:v>0.40500000000000003</c:v>
                </c:pt>
                <c:pt idx="120">
                  <c:v>0.34599999999999997</c:v>
                </c:pt>
                <c:pt idx="121">
                  <c:v>0.187</c:v>
                </c:pt>
                <c:pt idx="122">
                  <c:v>0.308</c:v>
                </c:pt>
                <c:pt idx="123">
                  <c:v>0.435</c:v>
                </c:pt>
                <c:pt idx="124">
                  <c:v>0.159</c:v>
                </c:pt>
                <c:pt idx="125">
                  <c:v>0.224</c:v>
                </c:pt>
                <c:pt idx="126">
                  <c:v>0.13200000000000001</c:v>
                </c:pt>
                <c:pt idx="127">
                  <c:v>0.42</c:v>
                </c:pt>
                <c:pt idx="128">
                  <c:v>0.311</c:v>
                </c:pt>
                <c:pt idx="129">
                  <c:v>0.43</c:v>
                </c:pt>
                <c:pt idx="130">
                  <c:v>0.46500000000000002</c:v>
                </c:pt>
                <c:pt idx="131">
                  <c:v>0.51300000000000001</c:v>
                </c:pt>
                <c:pt idx="132">
                  <c:v>0.38400000000000001</c:v>
                </c:pt>
                <c:pt idx="133">
                  <c:v>0.56699999999999995</c:v>
                </c:pt>
                <c:pt idx="134">
                  <c:v>0.35899999999999999</c:v>
                </c:pt>
                <c:pt idx="135">
                  <c:v>0.34300000000000003</c:v>
                </c:pt>
                <c:pt idx="136">
                  <c:v>0.41799999999999998</c:v>
                </c:pt>
                <c:pt idx="137">
                  <c:v>0.56499999999999995</c:v>
                </c:pt>
                <c:pt idx="138">
                  <c:v>0.57099999999999995</c:v>
                </c:pt>
                <c:pt idx="139">
                  <c:v>0.49099999999999999</c:v>
                </c:pt>
                <c:pt idx="140">
                  <c:v>0.66900000000000004</c:v>
                </c:pt>
                <c:pt idx="141">
                  <c:v>0.627</c:v>
                </c:pt>
                <c:pt idx="142">
                  <c:v>0.47799999999999998</c:v>
                </c:pt>
                <c:pt idx="143">
                  <c:v>0.52100000000000002</c:v>
                </c:pt>
                <c:pt idx="144">
                  <c:v>0.58099999999999996</c:v>
                </c:pt>
                <c:pt idx="145">
                  <c:v>0.69799999999999995</c:v>
                </c:pt>
                <c:pt idx="146">
                  <c:v>0.55600000000000005</c:v>
                </c:pt>
                <c:pt idx="147">
                  <c:v>0.76300000000000001</c:v>
                </c:pt>
                <c:pt idx="148">
                  <c:v>0.91200000000000003</c:v>
                </c:pt>
                <c:pt idx="149">
                  <c:v>0.67900000000000005</c:v>
                </c:pt>
                <c:pt idx="150">
                  <c:v>0.66700000000000004</c:v>
                </c:pt>
                <c:pt idx="151">
                  <c:v>0.81399999999999995</c:v>
                </c:pt>
                <c:pt idx="152">
                  <c:v>0.86899999999999999</c:v>
                </c:pt>
                <c:pt idx="153">
                  <c:v>0.878</c:v>
                </c:pt>
                <c:pt idx="154">
                  <c:v>0.82</c:v>
                </c:pt>
                <c:pt idx="155">
                  <c:v>0.91800000000000004</c:v>
                </c:pt>
                <c:pt idx="156">
                  <c:v>0.879</c:v>
                </c:pt>
                <c:pt idx="157">
                  <c:v>0.86399999999999999</c:v>
                </c:pt>
                <c:pt idx="158">
                  <c:v>0.76800000000000002</c:v>
                </c:pt>
                <c:pt idx="159">
                  <c:v>0.879</c:v>
                </c:pt>
                <c:pt idx="160">
                  <c:v>0.93300000000000005</c:v>
                </c:pt>
                <c:pt idx="161">
                  <c:v>0.79800000000000004</c:v>
                </c:pt>
                <c:pt idx="162">
                  <c:v>0.84299999999999997</c:v>
                </c:pt>
                <c:pt idx="163">
                  <c:v>0.88700000000000001</c:v>
                </c:pt>
                <c:pt idx="164">
                  <c:v>0.95199999999999996</c:v>
                </c:pt>
                <c:pt idx="165">
                  <c:v>1.1359999999999999</c:v>
                </c:pt>
                <c:pt idx="166">
                  <c:v>1.17</c:v>
                </c:pt>
                <c:pt idx="167">
                  <c:v>1.05</c:v>
                </c:pt>
                <c:pt idx="168">
                  <c:v>0.96799999999999997</c:v>
                </c:pt>
              </c:numCache>
            </c:numRef>
          </c:val>
          <c:smooth val="0"/>
          <c:extLst>
            <c:ext xmlns:c16="http://schemas.microsoft.com/office/drawing/2014/chart" uri="{C3380CC4-5D6E-409C-BE32-E72D297353CC}">
              <c16:uniqueId val="{00000000-68CF-4781-8A04-57E1700EB1AF}"/>
            </c:ext>
          </c:extLst>
        </c:ser>
        <c:dLbls>
          <c:showLegendKey val="0"/>
          <c:showVal val="0"/>
          <c:showCatName val="0"/>
          <c:showSerName val="0"/>
          <c:showPercent val="0"/>
          <c:showBubbleSize val="0"/>
        </c:dLbls>
        <c:marker val="1"/>
        <c:smooth val="0"/>
        <c:axId val="564288760"/>
        <c:axId val="564286520"/>
      </c:lineChart>
      <c:lineChart>
        <c:grouping val="standard"/>
        <c:varyColors val="0"/>
        <c:ser>
          <c:idx val="1"/>
          <c:order val="1"/>
          <c:tx>
            <c:strRef>
              <c:f>'02 Fig 3.7 temp anomaly and car'!$L$2</c:f>
              <c:strCache>
                <c:ptCount val="1"/>
                <c:pt idx="0">
                  <c:v>Carbon concentration</c:v>
                </c:pt>
              </c:strCache>
            </c:strRef>
          </c:tx>
          <c:spPr>
            <a:ln w="28575" cap="rnd">
              <a:solidFill>
                <a:schemeClr val="tx1"/>
              </a:solidFill>
              <a:prstDash val="sysDot"/>
              <a:round/>
            </a:ln>
            <a:effectLst/>
          </c:spPr>
          <c:marker>
            <c:symbol val="none"/>
          </c:marker>
          <c:val>
            <c:numRef>
              <c:f>'02 Fig 3.7 temp anomaly and car'!$L$3:$L$171</c:f>
              <c:numCache>
                <c:formatCode>General</c:formatCode>
                <c:ptCount val="169"/>
                <c:pt idx="0">
                  <c:v>287.05799999999999</c:v>
                </c:pt>
                <c:pt idx="1">
                  <c:v>287.19</c:v>
                </c:pt>
                <c:pt idx="2">
                  <c:v>287.26299999999998</c:v>
                </c:pt>
                <c:pt idx="3">
                  <c:v>287.27199999999999</c:v>
                </c:pt>
                <c:pt idx="4">
                  <c:v>287.22300000000001</c:v>
                </c:pt>
                <c:pt idx="5">
                  <c:v>287.12900000000002</c:v>
                </c:pt>
                <c:pt idx="6">
                  <c:v>287.00200000000001</c:v>
                </c:pt>
                <c:pt idx="7">
                  <c:v>286.85300000000001</c:v>
                </c:pt>
                <c:pt idx="8">
                  <c:v>286.69400000000002</c:v>
                </c:pt>
                <c:pt idx="9">
                  <c:v>286.53399999999999</c:v>
                </c:pt>
                <c:pt idx="10">
                  <c:v>286.38600000000002</c:v>
                </c:pt>
                <c:pt idx="11">
                  <c:v>286.25799999999998</c:v>
                </c:pt>
                <c:pt idx="12">
                  <c:v>286.16199999999998</c:v>
                </c:pt>
                <c:pt idx="13">
                  <c:v>286.10700000000003</c:v>
                </c:pt>
                <c:pt idx="14">
                  <c:v>286.10399999999998</c:v>
                </c:pt>
                <c:pt idx="15">
                  <c:v>286.161</c:v>
                </c:pt>
                <c:pt idx="16">
                  <c:v>286.27800000000002</c:v>
                </c:pt>
                <c:pt idx="17">
                  <c:v>286.45400000000001</c:v>
                </c:pt>
                <c:pt idx="18">
                  <c:v>286.685</c:v>
                </c:pt>
                <c:pt idx="19">
                  <c:v>286.95400000000001</c:v>
                </c:pt>
                <c:pt idx="20">
                  <c:v>287.23899999999998</c:v>
                </c:pt>
                <c:pt idx="21">
                  <c:v>287.52999999999997</c:v>
                </c:pt>
                <c:pt idx="22">
                  <c:v>287.815</c:v>
                </c:pt>
                <c:pt idx="23">
                  <c:v>288.08699999999999</c:v>
                </c:pt>
                <c:pt idx="24">
                  <c:v>288.33199999999999</c:v>
                </c:pt>
                <c:pt idx="25">
                  <c:v>288.53399999999999</c:v>
                </c:pt>
                <c:pt idx="26">
                  <c:v>288.69900000000001</c:v>
                </c:pt>
                <c:pt idx="27">
                  <c:v>288.83699999999999</c:v>
                </c:pt>
                <c:pt idx="28">
                  <c:v>288.959</c:v>
                </c:pt>
                <c:pt idx="29">
                  <c:v>289.07600000000002</c:v>
                </c:pt>
                <c:pt idx="30">
                  <c:v>289.19900000000001</c:v>
                </c:pt>
                <c:pt idx="31">
                  <c:v>289.339</c:v>
                </c:pt>
                <c:pt idx="32">
                  <c:v>289.50700000000001</c:v>
                </c:pt>
                <c:pt idx="33">
                  <c:v>289.71499999999997</c:v>
                </c:pt>
                <c:pt idx="34">
                  <c:v>289.97199999999998</c:v>
                </c:pt>
                <c:pt idx="35">
                  <c:v>290.28899999999999</c:v>
                </c:pt>
                <c:pt idx="36">
                  <c:v>290.66399999999999</c:v>
                </c:pt>
                <c:pt idx="37">
                  <c:v>291.08800000000002</c:v>
                </c:pt>
                <c:pt idx="38">
                  <c:v>291.55200000000002</c:v>
                </c:pt>
                <c:pt idx="39">
                  <c:v>292.04599999999999</c:v>
                </c:pt>
                <c:pt idx="40">
                  <c:v>292.55799999999999</c:v>
                </c:pt>
                <c:pt idx="41">
                  <c:v>293.07799999999997</c:v>
                </c:pt>
                <c:pt idx="42">
                  <c:v>293.59100000000001</c:v>
                </c:pt>
                <c:pt idx="43">
                  <c:v>294.08499999999998</c:v>
                </c:pt>
                <c:pt idx="44">
                  <c:v>294.548</c:v>
                </c:pt>
                <c:pt idx="45">
                  <c:v>294.96499999999997</c:v>
                </c:pt>
                <c:pt idx="46">
                  <c:v>295.31299999999999</c:v>
                </c:pt>
                <c:pt idx="47">
                  <c:v>295.57499999999999</c:v>
                </c:pt>
                <c:pt idx="48">
                  <c:v>295.767</c:v>
                </c:pt>
                <c:pt idx="49">
                  <c:v>295.91000000000003</c:v>
                </c:pt>
                <c:pt idx="50">
                  <c:v>296.02600000000001</c:v>
                </c:pt>
                <c:pt idx="51">
                  <c:v>296.13900000000001</c:v>
                </c:pt>
                <c:pt idx="52">
                  <c:v>296.27600000000001</c:v>
                </c:pt>
                <c:pt idx="53">
                  <c:v>296.45699999999999</c:v>
                </c:pt>
                <c:pt idx="54">
                  <c:v>296.697</c:v>
                </c:pt>
                <c:pt idx="55">
                  <c:v>296.99799999999999</c:v>
                </c:pt>
                <c:pt idx="56">
                  <c:v>297.351</c:v>
                </c:pt>
                <c:pt idx="57">
                  <c:v>297.738</c:v>
                </c:pt>
                <c:pt idx="58">
                  <c:v>298.14400000000001</c:v>
                </c:pt>
                <c:pt idx="59">
                  <c:v>298.55200000000002</c:v>
                </c:pt>
                <c:pt idx="60">
                  <c:v>298.952</c:v>
                </c:pt>
                <c:pt idx="61">
                  <c:v>299.35300000000001</c:v>
                </c:pt>
                <c:pt idx="62">
                  <c:v>299.76900000000001</c:v>
                </c:pt>
                <c:pt idx="63">
                  <c:v>300.20600000000002</c:v>
                </c:pt>
                <c:pt idx="64">
                  <c:v>300.66000000000003</c:v>
                </c:pt>
                <c:pt idx="65">
                  <c:v>301.12599999999998</c:v>
                </c:pt>
                <c:pt idx="66">
                  <c:v>301.59500000000003</c:v>
                </c:pt>
                <c:pt idx="67">
                  <c:v>302.05900000000003</c:v>
                </c:pt>
                <c:pt idx="68">
                  <c:v>302.50700000000001</c:v>
                </c:pt>
                <c:pt idx="69">
                  <c:v>302.93</c:v>
                </c:pt>
                <c:pt idx="70">
                  <c:v>303.32499999999999</c:v>
                </c:pt>
                <c:pt idx="71">
                  <c:v>303.69900000000001</c:v>
                </c:pt>
                <c:pt idx="72">
                  <c:v>304.06</c:v>
                </c:pt>
                <c:pt idx="73">
                  <c:v>304.41699999999997</c:v>
                </c:pt>
                <c:pt idx="74">
                  <c:v>304.77699999999999</c:v>
                </c:pt>
                <c:pt idx="75">
                  <c:v>305.13499999999999</c:v>
                </c:pt>
                <c:pt idx="76">
                  <c:v>305.49099999999999</c:v>
                </c:pt>
                <c:pt idx="77">
                  <c:v>305.84100000000001</c:v>
                </c:pt>
                <c:pt idx="78">
                  <c:v>306.185</c:v>
                </c:pt>
                <c:pt idx="79">
                  <c:v>306.52199999999999</c:v>
                </c:pt>
                <c:pt idx="80">
                  <c:v>306.85199999999998</c:v>
                </c:pt>
                <c:pt idx="81">
                  <c:v>307.185</c:v>
                </c:pt>
                <c:pt idx="82">
                  <c:v>307.52600000000001</c:v>
                </c:pt>
                <c:pt idx="83">
                  <c:v>307.88099999999997</c:v>
                </c:pt>
                <c:pt idx="84">
                  <c:v>308.25700000000001</c:v>
                </c:pt>
                <c:pt idx="85">
                  <c:v>308.65100000000001</c:v>
                </c:pt>
                <c:pt idx="86">
                  <c:v>309.05200000000002</c:v>
                </c:pt>
                <c:pt idx="87">
                  <c:v>309.44799999999998</c:v>
                </c:pt>
                <c:pt idx="88">
                  <c:v>309.82100000000003</c:v>
                </c:pt>
                <c:pt idx="89">
                  <c:v>310.15300000000002</c:v>
                </c:pt>
                <c:pt idx="90">
                  <c:v>310.42200000000003</c:v>
                </c:pt>
                <c:pt idx="91">
                  <c:v>310.62200000000001</c:v>
                </c:pt>
                <c:pt idx="92">
                  <c:v>310.762</c:v>
                </c:pt>
                <c:pt idx="93">
                  <c:v>310.85500000000002</c:v>
                </c:pt>
                <c:pt idx="94">
                  <c:v>310.916</c:v>
                </c:pt>
                <c:pt idx="95">
                  <c:v>310.96499999999997</c:v>
                </c:pt>
                <c:pt idx="96">
                  <c:v>311.02199999999999</c:v>
                </c:pt>
                <c:pt idx="97">
                  <c:v>311.09899999999999</c:v>
                </c:pt>
                <c:pt idx="98">
                  <c:v>311.20800000000003</c:v>
                </c:pt>
                <c:pt idx="99">
                  <c:v>311.35599999999999</c:v>
                </c:pt>
                <c:pt idx="100">
                  <c:v>311.54300000000001</c:v>
                </c:pt>
                <c:pt idx="101">
                  <c:v>311.76400000000001</c:v>
                </c:pt>
                <c:pt idx="102">
                  <c:v>312.02499999999998</c:v>
                </c:pt>
                <c:pt idx="103">
                  <c:v>312.33699999999999</c:v>
                </c:pt>
                <c:pt idx="104">
                  <c:v>312.709</c:v>
                </c:pt>
                <c:pt idx="105">
                  <c:v>313.14299999999997</c:v>
                </c:pt>
                <c:pt idx="106">
                  <c:v>313.63299999999998</c:v>
                </c:pt>
                <c:pt idx="107">
                  <c:v>314.17200000000003</c:v>
                </c:pt>
                <c:pt idx="108">
                  <c:v>314.75700000000001</c:v>
                </c:pt>
                <c:pt idx="109">
                  <c:v>315.38299999999998</c:v>
                </c:pt>
                <c:pt idx="110">
                  <c:v>316.04199999999997</c:v>
                </c:pt>
                <c:pt idx="111">
                  <c:v>316.72500000000002</c:v>
                </c:pt>
                <c:pt idx="112">
                  <c:v>317.428</c:v>
                </c:pt>
                <c:pt idx="113">
                  <c:v>318.15300000000002</c:v>
                </c:pt>
                <c:pt idx="114">
                  <c:v>318.90300000000002</c:v>
                </c:pt>
                <c:pt idx="115">
                  <c:v>319.68599999999998</c:v>
                </c:pt>
                <c:pt idx="116">
                  <c:v>320.51</c:v>
                </c:pt>
                <c:pt idx="117">
                  <c:v>321.37799999999999</c:v>
                </c:pt>
                <c:pt idx="118">
                  <c:v>322.29199999999997</c:v>
                </c:pt>
                <c:pt idx="119">
                  <c:v>323.25200000000001</c:v>
                </c:pt>
                <c:pt idx="120">
                  <c:v>324.25700000000001</c:v>
                </c:pt>
                <c:pt idx="121">
                  <c:v>325.30599999999998</c:v>
                </c:pt>
                <c:pt idx="122">
                  <c:v>326.39699999999999</c:v>
                </c:pt>
                <c:pt idx="123">
                  <c:v>327.53199999999998</c:v>
                </c:pt>
                <c:pt idx="124">
                  <c:v>328.709</c:v>
                </c:pt>
                <c:pt idx="125">
                  <c:v>329.92899999999997</c:v>
                </c:pt>
                <c:pt idx="126">
                  <c:v>331.19499999999999</c:v>
                </c:pt>
                <c:pt idx="127">
                  <c:v>332.51299999999998</c:v>
                </c:pt>
                <c:pt idx="128">
                  <c:v>333.88</c:v>
                </c:pt>
                <c:pt idx="129">
                  <c:v>335.291</c:v>
                </c:pt>
                <c:pt idx="130">
                  <c:v>336.73500000000001</c:v>
                </c:pt>
                <c:pt idx="131">
                  <c:v>338.20400000000001</c:v>
                </c:pt>
                <c:pt idx="132">
                  <c:v>339.69099999999997</c:v>
                </c:pt>
                <c:pt idx="133">
                  <c:v>341.19400000000002</c:v>
                </c:pt>
                <c:pt idx="134">
                  <c:v>342.71100000000001</c:v>
                </c:pt>
                <c:pt idx="135">
                  <c:v>344.23599999999999</c:v>
                </c:pt>
                <c:pt idx="136">
                  <c:v>345.76499999999999</c:v>
                </c:pt>
                <c:pt idx="137">
                  <c:v>347.29300000000001</c:v>
                </c:pt>
                <c:pt idx="138">
                  <c:v>348.81099999999998</c:v>
                </c:pt>
                <c:pt idx="139">
                  <c:v>350.30700000000002</c:v>
                </c:pt>
                <c:pt idx="140">
                  <c:v>351.77199999999999</c:v>
                </c:pt>
                <c:pt idx="141">
                  <c:v>353.21199999999999</c:v>
                </c:pt>
                <c:pt idx="142">
                  <c:v>354.63799999999998</c:v>
                </c:pt>
                <c:pt idx="143">
                  <c:v>356.07100000000003</c:v>
                </c:pt>
                <c:pt idx="144">
                  <c:v>357.53399999999999</c:v>
                </c:pt>
                <c:pt idx="145">
                  <c:v>359.04599999999999</c:v>
                </c:pt>
                <c:pt idx="146">
                  <c:v>360.61500000000001</c:v>
                </c:pt>
                <c:pt idx="147">
                  <c:v>362.24</c:v>
                </c:pt>
                <c:pt idx="148">
                  <c:v>363.923</c:v>
                </c:pt>
                <c:pt idx="149">
                  <c:v>365.65600000000001</c:v>
                </c:pt>
                <c:pt idx="150">
                  <c:v>367.43</c:v>
                </c:pt>
                <c:pt idx="151">
                  <c:v>369.245</c:v>
                </c:pt>
                <c:pt idx="152">
                  <c:v>371.10199999999998</c:v>
                </c:pt>
                <c:pt idx="153">
                  <c:v>372.99799999999999</c:v>
                </c:pt>
                <c:pt idx="154">
                  <c:v>374.92500000000001</c:v>
                </c:pt>
                <c:pt idx="155">
                  <c:v>376.87599999999998</c:v>
                </c:pt>
                <c:pt idx="156">
                  <c:v>378.84699999999998</c:v>
                </c:pt>
                <c:pt idx="157">
                  <c:v>380.83600000000001</c:v>
                </c:pt>
                <c:pt idx="158">
                  <c:v>382.84899999999999</c:v>
                </c:pt>
                <c:pt idx="159">
                  <c:v>384.892</c:v>
                </c:pt>
                <c:pt idx="160">
                  <c:v>386.976</c:v>
                </c:pt>
                <c:pt idx="161">
                  <c:v>389.11</c:v>
                </c:pt>
                <c:pt idx="162">
                  <c:v>391.30200000000002</c:v>
                </c:pt>
                <c:pt idx="163">
                  <c:v>393.553</c:v>
                </c:pt>
                <c:pt idx="164">
                  <c:v>395.85700000000003</c:v>
                </c:pt>
                <c:pt idx="165">
                  <c:v>398.20499999999998</c:v>
                </c:pt>
                <c:pt idx="166">
                  <c:v>400.58499999999998</c:v>
                </c:pt>
                <c:pt idx="167">
                  <c:v>402.98200000000003</c:v>
                </c:pt>
                <c:pt idx="168">
                  <c:v>405.38499999999999</c:v>
                </c:pt>
              </c:numCache>
            </c:numRef>
          </c:val>
          <c:smooth val="0"/>
          <c:extLst>
            <c:ext xmlns:c16="http://schemas.microsoft.com/office/drawing/2014/chart" uri="{C3380CC4-5D6E-409C-BE32-E72D297353CC}">
              <c16:uniqueId val="{00000001-68CF-4781-8A04-57E1700EB1AF}"/>
            </c:ext>
          </c:extLst>
        </c:ser>
        <c:dLbls>
          <c:showLegendKey val="0"/>
          <c:showVal val="0"/>
          <c:showCatName val="0"/>
          <c:showSerName val="0"/>
          <c:showPercent val="0"/>
          <c:showBubbleSize val="0"/>
        </c:dLbls>
        <c:marker val="1"/>
        <c:smooth val="0"/>
        <c:axId val="565147576"/>
        <c:axId val="565148856"/>
      </c:lineChart>
      <c:catAx>
        <c:axId val="564288760"/>
        <c:scaling>
          <c:orientation val="minMax"/>
        </c:scaling>
        <c:delete val="0"/>
        <c:axPos val="b"/>
        <c:numFmt formatCode="General" sourceLinked="1"/>
        <c:majorTickMark val="none"/>
        <c:minorTickMark val="none"/>
        <c:tickLblPos val="low"/>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crossAx val="564286520"/>
        <c:crosses val="autoZero"/>
        <c:auto val="1"/>
        <c:lblAlgn val="ctr"/>
        <c:lblOffset val="100"/>
        <c:noMultiLvlLbl val="0"/>
      </c:catAx>
      <c:valAx>
        <c:axId val="564286520"/>
        <c:scaling>
          <c:orientation val="minMax"/>
          <c:max val="1.2"/>
          <c:min val="-0.2"/>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r>
                  <a:rPr lang="en-GB"/>
                  <a:t>Degrees celsius in comparison to the year 1850</a:t>
                </a:r>
              </a:p>
            </c:rich>
          </c:tx>
          <c:layout>
            <c:manualLayout>
              <c:xMode val="edge"/>
              <c:yMode val="edge"/>
              <c:x val="6.3665943697793648E-3"/>
              <c:y val="0.15985495353132537"/>
            </c:manualLayout>
          </c:layout>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crossAx val="564288760"/>
        <c:crosses val="autoZero"/>
        <c:crossBetween val="between"/>
      </c:valAx>
      <c:valAx>
        <c:axId val="565148856"/>
        <c:scaling>
          <c:orientation val="minMax"/>
          <c:max val="420"/>
          <c:min val="260"/>
        </c:scaling>
        <c:delete val="0"/>
        <c:axPos val="r"/>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r>
                  <a:rPr lang="en-GB"/>
                  <a:t>parts per million</a:t>
                </a:r>
                <a:r>
                  <a:rPr lang="en-GB" baseline="0"/>
                  <a:t> of Carbon Concentration</a:t>
                </a:r>
                <a:endParaRPr lang="en-GB"/>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title>
        <c:numFmt formatCode="General" sourceLinked="1"/>
        <c:majorTickMark val="out"/>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crossAx val="565147576"/>
        <c:crosses val="max"/>
        <c:crossBetween val="between"/>
      </c:valAx>
      <c:catAx>
        <c:axId val="565147576"/>
        <c:scaling>
          <c:orientation val="minMax"/>
        </c:scaling>
        <c:delete val="1"/>
        <c:axPos val="b"/>
        <c:majorTickMark val="out"/>
        <c:minorTickMark val="none"/>
        <c:tickLblPos val="nextTo"/>
        <c:crossAx val="565148856"/>
        <c:crosses val="autoZero"/>
        <c:auto val="1"/>
        <c:lblAlgn val="ctr"/>
        <c:lblOffset val="100"/>
        <c:noMultiLvlLbl val="0"/>
      </c:cat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latin typeface="Times New Roman" panose="02020603050405020304" pitchFamily="18" charset="0"/>
          <a:cs typeface="Times New Roman" panose="02020603050405020304" pitchFamily="18" charset="0"/>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301150D-5207-42EC-BB10-77D787589D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26</Pages>
  <Words>8369</Words>
  <Characters>47705</Characters>
  <Application>Microsoft Office Word</Application>
  <DocSecurity>0</DocSecurity>
  <Lines>397</Lines>
  <Paragraphs>111</Paragraphs>
  <ScaleCrop>false</ScaleCrop>
  <HeadingPairs>
    <vt:vector size="2" baseType="variant">
      <vt:variant>
        <vt:lpstr>Title</vt:lpstr>
      </vt:variant>
      <vt:variant>
        <vt:i4>1</vt:i4>
      </vt:variant>
    </vt:vector>
  </HeadingPairs>
  <TitlesOfParts>
    <vt:vector size="1" baseType="lpstr">
      <vt:lpstr/>
    </vt:vector>
  </TitlesOfParts>
  <Company>Rockefeller &amp; Co.</Company>
  <LinksUpToDate>false</LinksUpToDate>
  <CharactersWithSpaces>55963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manny</dc:creator>
  <cp:lastModifiedBy>Blanshard, Lisa</cp:lastModifiedBy>
  <cp:revision>5</cp:revision>
  <cp:lastPrinted>2012-12-10T22:55:00Z</cp:lastPrinted>
  <dcterms:created xsi:type="dcterms:W3CDTF">2021-11-17T13:47:00Z</dcterms:created>
  <dcterms:modified xsi:type="dcterms:W3CDTF">2021-11-17T15:01:00Z</dcterms:modified>
</cp:coreProperties>
</file>